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834" w:rsidRDefault="00C12B37">
      <w:pPr>
        <w:spacing w:after="240" w:line="480" w:lineRule="auto"/>
        <w:contextualSpacing w:val="0"/>
        <w:rPr>
          <w:b/>
          <w:sz w:val="20"/>
          <w:szCs w:val="20"/>
          <w:highlight w:val="white"/>
          <w:u w:val="single"/>
        </w:rPr>
      </w:pPr>
      <w:r>
        <w:rPr>
          <w:b/>
          <w:sz w:val="20"/>
          <w:szCs w:val="20"/>
          <w:highlight w:val="white"/>
          <w:u w:val="single"/>
        </w:rPr>
        <w:t>Genetic influences on treatment-seeking for common mental health problems in the UK Biobank</w:t>
      </w:r>
    </w:p>
    <w:p w:rsidR="00862834" w:rsidRDefault="00C12B37">
      <w:pPr>
        <w:spacing w:after="240" w:line="480" w:lineRule="auto"/>
        <w:contextualSpacing w:val="0"/>
        <w:rPr>
          <w:b/>
          <w:sz w:val="20"/>
          <w:szCs w:val="20"/>
          <w:u w:val="single"/>
        </w:rPr>
      </w:pPr>
      <w:r>
        <w:rPr>
          <w:sz w:val="20"/>
          <w:szCs w:val="20"/>
        </w:rPr>
        <w:t xml:space="preserve">Christopher Rayner </w:t>
      </w:r>
      <w:r>
        <w:rPr>
          <w:sz w:val="20"/>
          <w:szCs w:val="20"/>
          <w:vertAlign w:val="superscript"/>
        </w:rPr>
        <w:t>1</w:t>
      </w:r>
      <w:r>
        <w:rPr>
          <w:sz w:val="20"/>
          <w:szCs w:val="20"/>
        </w:rPr>
        <w:t xml:space="preserve">, Jonathan R.I. Coleman </w:t>
      </w:r>
      <w:r>
        <w:rPr>
          <w:sz w:val="20"/>
          <w:szCs w:val="20"/>
          <w:vertAlign w:val="superscript"/>
        </w:rPr>
        <w:t>1,2</w:t>
      </w:r>
      <w:r>
        <w:rPr>
          <w:sz w:val="20"/>
          <w:szCs w:val="20"/>
        </w:rPr>
        <w:t xml:space="preserve">, Kirstin L. Purves </w:t>
      </w:r>
      <w:r>
        <w:rPr>
          <w:sz w:val="20"/>
          <w:szCs w:val="20"/>
          <w:vertAlign w:val="superscript"/>
        </w:rPr>
        <w:t>1</w:t>
      </w:r>
      <w:r>
        <w:rPr>
          <w:sz w:val="20"/>
          <w:szCs w:val="20"/>
        </w:rPr>
        <w:t xml:space="preserve">, Rosa Cheesman </w:t>
      </w:r>
      <w:r>
        <w:rPr>
          <w:sz w:val="20"/>
          <w:szCs w:val="20"/>
          <w:vertAlign w:val="superscript"/>
        </w:rPr>
        <w:t>1</w:t>
      </w:r>
      <w:r>
        <w:rPr>
          <w:sz w:val="20"/>
          <w:szCs w:val="20"/>
        </w:rPr>
        <w:t xml:space="preserve">, Christopher </w:t>
      </w:r>
      <w:proofErr w:type="spellStart"/>
      <w:r>
        <w:rPr>
          <w:sz w:val="20"/>
          <w:szCs w:val="20"/>
        </w:rPr>
        <w:t>Hübel</w:t>
      </w:r>
      <w:proofErr w:type="spellEnd"/>
      <w:r>
        <w:rPr>
          <w:sz w:val="20"/>
          <w:szCs w:val="20"/>
        </w:rPr>
        <w:t xml:space="preserve"> </w:t>
      </w:r>
      <w:r>
        <w:rPr>
          <w:sz w:val="20"/>
          <w:szCs w:val="20"/>
          <w:vertAlign w:val="superscript"/>
        </w:rPr>
        <w:t>1,2,3</w:t>
      </w:r>
      <w:r>
        <w:rPr>
          <w:sz w:val="20"/>
          <w:szCs w:val="20"/>
        </w:rPr>
        <w:t xml:space="preserve">, Helena Gaspar </w:t>
      </w:r>
      <w:r>
        <w:rPr>
          <w:sz w:val="20"/>
          <w:szCs w:val="20"/>
          <w:vertAlign w:val="superscript"/>
        </w:rPr>
        <w:t>1</w:t>
      </w:r>
      <w:r>
        <w:rPr>
          <w:sz w:val="20"/>
          <w:szCs w:val="20"/>
        </w:rPr>
        <w:t xml:space="preserve">, Kylie Glanville </w:t>
      </w:r>
      <w:r>
        <w:rPr>
          <w:sz w:val="20"/>
          <w:szCs w:val="20"/>
          <w:vertAlign w:val="superscript"/>
        </w:rPr>
        <w:t>1</w:t>
      </w:r>
      <w:r>
        <w:rPr>
          <w:sz w:val="20"/>
          <w:szCs w:val="20"/>
        </w:rPr>
        <w:t xml:space="preserve">, Georgina Krebs </w:t>
      </w:r>
      <w:r>
        <w:rPr>
          <w:sz w:val="20"/>
          <w:szCs w:val="20"/>
          <w:vertAlign w:val="superscript"/>
        </w:rPr>
        <w:t>1</w:t>
      </w:r>
      <w:r>
        <w:rPr>
          <w:sz w:val="20"/>
          <w:szCs w:val="20"/>
        </w:rPr>
        <w:t xml:space="preserve">, Genevieve Morneau-Vaillancourt </w:t>
      </w:r>
      <w:r>
        <w:rPr>
          <w:sz w:val="20"/>
          <w:szCs w:val="20"/>
          <w:vertAlign w:val="superscript"/>
        </w:rPr>
        <w:t>4</w:t>
      </w:r>
      <w:r>
        <w:rPr>
          <w:sz w:val="20"/>
          <w:szCs w:val="20"/>
        </w:rPr>
        <w:t xml:space="preserve">, Gerome Breen </w:t>
      </w:r>
      <w:r>
        <w:rPr>
          <w:sz w:val="20"/>
          <w:szCs w:val="20"/>
          <w:vertAlign w:val="superscript"/>
        </w:rPr>
        <w:t>1,2</w:t>
      </w:r>
      <w:r>
        <w:rPr>
          <w:sz w:val="20"/>
          <w:szCs w:val="20"/>
        </w:rPr>
        <w:t xml:space="preserve">*, Thalia C. Eley </w:t>
      </w:r>
      <w:r>
        <w:rPr>
          <w:sz w:val="20"/>
          <w:szCs w:val="20"/>
          <w:vertAlign w:val="superscript"/>
        </w:rPr>
        <w:t>1,2</w:t>
      </w:r>
      <w:r>
        <w:rPr>
          <w:sz w:val="20"/>
          <w:szCs w:val="20"/>
        </w:rPr>
        <w:t>*</w:t>
      </w:r>
    </w:p>
    <w:p w:rsidR="00862834" w:rsidRDefault="00C12B37">
      <w:pPr>
        <w:spacing w:before="120" w:after="240" w:line="480" w:lineRule="auto"/>
        <w:contextualSpacing w:val="0"/>
        <w:rPr>
          <w:b/>
          <w:sz w:val="20"/>
          <w:szCs w:val="20"/>
          <w:u w:val="single"/>
        </w:rPr>
      </w:pPr>
      <w:r>
        <w:rPr>
          <w:b/>
          <w:sz w:val="20"/>
          <w:szCs w:val="20"/>
          <w:u w:val="single"/>
        </w:rPr>
        <w:t>Author affiliations</w:t>
      </w:r>
    </w:p>
    <w:p w:rsidR="00862834" w:rsidRDefault="00C12B37">
      <w:pPr>
        <w:numPr>
          <w:ilvl w:val="0"/>
          <w:numId w:val="1"/>
        </w:numPr>
        <w:spacing w:before="120" w:after="240" w:line="480" w:lineRule="auto"/>
        <w:rPr>
          <w:sz w:val="18"/>
          <w:szCs w:val="18"/>
        </w:rPr>
      </w:pPr>
      <w:r>
        <w:rPr>
          <w:sz w:val="18"/>
          <w:szCs w:val="18"/>
        </w:rPr>
        <w:t>King’s College London; Social, Genetic and Developmental Psychiatry Centre; Institute of Psychiatry, Psychology &amp; Neuroscience; London; UK</w:t>
      </w:r>
    </w:p>
    <w:p w:rsidR="00862834" w:rsidRDefault="00C12B37">
      <w:pPr>
        <w:numPr>
          <w:ilvl w:val="0"/>
          <w:numId w:val="1"/>
        </w:numPr>
        <w:spacing w:after="240" w:line="480" w:lineRule="auto"/>
        <w:rPr>
          <w:sz w:val="18"/>
          <w:szCs w:val="18"/>
        </w:rPr>
      </w:pPr>
      <w:r>
        <w:rPr>
          <w:sz w:val="18"/>
          <w:szCs w:val="18"/>
        </w:rPr>
        <w:t>NIHR Biomedical Research Centre; South London and Maudsley NHS Trust; London</w:t>
      </w:r>
    </w:p>
    <w:p w:rsidR="00862834" w:rsidRDefault="00C12B37">
      <w:pPr>
        <w:numPr>
          <w:ilvl w:val="0"/>
          <w:numId w:val="1"/>
        </w:numPr>
        <w:spacing w:after="240" w:line="480" w:lineRule="auto"/>
        <w:rPr>
          <w:sz w:val="18"/>
          <w:szCs w:val="18"/>
        </w:rPr>
      </w:pPr>
      <w:r>
        <w:rPr>
          <w:sz w:val="18"/>
          <w:szCs w:val="18"/>
        </w:rPr>
        <w:t xml:space="preserve">Department of Medical Epidemiology and Biostatistics, Karolinska </w:t>
      </w:r>
      <w:proofErr w:type="spellStart"/>
      <w:r>
        <w:rPr>
          <w:sz w:val="18"/>
          <w:szCs w:val="18"/>
        </w:rPr>
        <w:t>Institutet</w:t>
      </w:r>
      <w:proofErr w:type="spellEnd"/>
      <w:r>
        <w:rPr>
          <w:sz w:val="18"/>
          <w:szCs w:val="18"/>
        </w:rPr>
        <w:t>, Stockholm, Sweden</w:t>
      </w:r>
    </w:p>
    <w:p w:rsidR="00862834" w:rsidRDefault="00C12B37">
      <w:pPr>
        <w:numPr>
          <w:ilvl w:val="0"/>
          <w:numId w:val="1"/>
        </w:numPr>
        <w:spacing w:after="240" w:line="480" w:lineRule="auto"/>
        <w:rPr>
          <w:sz w:val="18"/>
          <w:szCs w:val="18"/>
        </w:rPr>
      </w:pPr>
      <w:r>
        <w:rPr>
          <w:sz w:val="18"/>
          <w:szCs w:val="18"/>
        </w:rPr>
        <w:t>Research Unit on Child Psychosocial Maladjustment, Laval University, Canada</w:t>
      </w:r>
    </w:p>
    <w:p w:rsidR="00862834" w:rsidRDefault="00C12B37">
      <w:pPr>
        <w:spacing w:after="240" w:line="480" w:lineRule="auto"/>
        <w:contextualSpacing w:val="0"/>
        <w:rPr>
          <w:b/>
          <w:sz w:val="20"/>
          <w:szCs w:val="20"/>
          <w:u w:val="single"/>
        </w:rPr>
      </w:pPr>
      <w:r>
        <w:rPr>
          <w:sz w:val="18"/>
          <w:szCs w:val="18"/>
        </w:rPr>
        <w:t xml:space="preserve">* Address correspondence to Prof. Thalia Eley </w:t>
      </w:r>
      <w:hyperlink r:id="rId7">
        <w:r>
          <w:rPr>
            <w:color w:val="1155CC"/>
            <w:sz w:val="18"/>
            <w:szCs w:val="18"/>
            <w:u w:val="single"/>
          </w:rPr>
          <w:t>thalia.eley@kcl.ac.uk</w:t>
        </w:r>
      </w:hyperlink>
      <w:r>
        <w:rPr>
          <w:sz w:val="18"/>
          <w:szCs w:val="18"/>
        </w:rPr>
        <w:t>, +442078480863) or Dr Gerome Breen (</w:t>
      </w:r>
      <w:hyperlink r:id="rId8">
        <w:r>
          <w:rPr>
            <w:color w:val="1155CC"/>
            <w:sz w:val="18"/>
            <w:szCs w:val="18"/>
            <w:u w:val="single"/>
          </w:rPr>
          <w:t>gerome.breen@kcl.ac.uk</w:t>
        </w:r>
      </w:hyperlink>
      <w:r>
        <w:rPr>
          <w:sz w:val="18"/>
          <w:szCs w:val="18"/>
        </w:rPr>
        <w:t>, +442078480409), Social, Genetic and Developmental Psychiatry Centre, Institute of Psychiatry, Psychology &amp; Neuroscience, King’s College London, London, SE5 8AF, UK.</w:t>
      </w:r>
    </w:p>
    <w:p w:rsidR="00862834" w:rsidRDefault="00C12B37">
      <w:pPr>
        <w:spacing w:before="200" w:after="240" w:line="480" w:lineRule="auto"/>
        <w:contextualSpacing w:val="0"/>
        <w:rPr>
          <w:sz w:val="18"/>
          <w:szCs w:val="18"/>
        </w:rPr>
      </w:pPr>
      <w:r>
        <w:rPr>
          <w:b/>
          <w:sz w:val="20"/>
          <w:szCs w:val="20"/>
          <w:u w:val="single"/>
        </w:rPr>
        <w:t xml:space="preserve">Acknowledgments </w:t>
      </w:r>
    </w:p>
    <w:p w:rsidR="00862834" w:rsidRDefault="00C12B37">
      <w:pPr>
        <w:spacing w:after="240" w:line="360" w:lineRule="auto"/>
        <w:contextualSpacing w:val="0"/>
        <w:rPr>
          <w:sz w:val="18"/>
          <w:szCs w:val="18"/>
        </w:rPr>
      </w:pPr>
      <w:r>
        <w:rPr>
          <w:sz w:val="18"/>
          <w:szCs w:val="18"/>
        </w:rPr>
        <w:t xml:space="preserve">We would like to thank the scientists involved in the construction of the UK Biobank and </w:t>
      </w:r>
      <w:proofErr w:type="gramStart"/>
      <w:r>
        <w:rPr>
          <w:sz w:val="18"/>
          <w:szCs w:val="18"/>
        </w:rPr>
        <w:t>all of</w:t>
      </w:r>
      <w:proofErr w:type="gramEnd"/>
      <w:r>
        <w:rPr>
          <w:sz w:val="18"/>
          <w:szCs w:val="18"/>
        </w:rPr>
        <w:t xml:space="preserve"> the participants who have shared their life experiences with investigators in the UK Biobank. This research has been conducted using the UK Biobank Resource, under the application 18177 (Paul F. O’Reilly). This study represents independent research part funded by the National Institute for Health Research (NIHR) Biomedical Research Centre at South London and Maudsley NHS Foundation Trust and King’s College London. The views expressed are those of the author(s) and not necessarily those of the NHS, the NIHR or the Department of Health. High performance computing facilities were funded with capital equipment grants from the GSTT Charity (TR130505) and Maudsley Charity (980). T.C Eley is part funded by a program grant from the UK Medical Research Council (MR/M021475/1). C. Rayner is supported by a grant from </w:t>
      </w:r>
      <w:proofErr w:type="spellStart"/>
      <w:r>
        <w:rPr>
          <w:sz w:val="18"/>
          <w:szCs w:val="18"/>
        </w:rPr>
        <w:t>Fondation</w:t>
      </w:r>
      <w:proofErr w:type="spellEnd"/>
      <w:r>
        <w:rPr>
          <w:sz w:val="18"/>
          <w:szCs w:val="18"/>
        </w:rPr>
        <w:t xml:space="preserve"> Peters to T.C. Eley and G. Breen. K.L. Purves is supported by a grant from the Alexander Von Humboldt Foundation. </w:t>
      </w:r>
      <w:proofErr w:type="spellStart"/>
      <w:proofErr w:type="gramStart"/>
      <w:r>
        <w:rPr>
          <w:sz w:val="18"/>
          <w:szCs w:val="18"/>
        </w:rPr>
        <w:t>R.Cheesman</w:t>
      </w:r>
      <w:proofErr w:type="spellEnd"/>
      <w:proofErr w:type="gramEnd"/>
      <w:r>
        <w:rPr>
          <w:sz w:val="18"/>
          <w:szCs w:val="18"/>
        </w:rPr>
        <w:t xml:space="preserve"> is supported by an ESRC studentship. G. Morneau-Vaillancourt is supported by a studentship from the Quebec Network on Suicide, Mood Disorders and Related Disorders. C. </w:t>
      </w:r>
      <w:proofErr w:type="spellStart"/>
      <w:r>
        <w:rPr>
          <w:sz w:val="18"/>
          <w:szCs w:val="18"/>
        </w:rPr>
        <w:t>Hübel</w:t>
      </w:r>
      <w:proofErr w:type="spellEnd"/>
      <w:r>
        <w:rPr>
          <w:sz w:val="18"/>
          <w:szCs w:val="18"/>
        </w:rPr>
        <w:t xml:space="preserve"> has no disclosures.</w:t>
      </w:r>
    </w:p>
    <w:p w:rsidR="00862834" w:rsidRDefault="00C12B37">
      <w:pPr>
        <w:spacing w:after="240" w:line="480" w:lineRule="auto"/>
        <w:contextualSpacing w:val="0"/>
        <w:rPr>
          <w:b/>
          <w:sz w:val="20"/>
          <w:szCs w:val="20"/>
          <w:u w:val="single"/>
        </w:rPr>
      </w:pPr>
      <w:r>
        <w:rPr>
          <w:b/>
          <w:sz w:val="20"/>
          <w:szCs w:val="20"/>
          <w:u w:val="single"/>
        </w:rPr>
        <w:t>Conflicts of interest:</w:t>
      </w:r>
      <w:r>
        <w:rPr>
          <w:sz w:val="20"/>
          <w:szCs w:val="20"/>
        </w:rPr>
        <w:t xml:space="preserve"> The authors declare no conflict of interest</w:t>
      </w:r>
      <w:r>
        <w:rPr>
          <w:b/>
          <w:sz w:val="20"/>
          <w:szCs w:val="20"/>
          <w:u w:val="single"/>
        </w:rPr>
        <w:t xml:space="preserve"> </w:t>
      </w:r>
    </w:p>
    <w:p w:rsidR="00C12B37" w:rsidRDefault="00C12B37">
      <w:pPr>
        <w:spacing w:after="240" w:line="480" w:lineRule="auto"/>
        <w:contextualSpacing w:val="0"/>
        <w:rPr>
          <w:b/>
          <w:sz w:val="20"/>
          <w:szCs w:val="20"/>
          <w:u w:val="single"/>
        </w:rPr>
      </w:pPr>
    </w:p>
    <w:p w:rsidR="00C12B37" w:rsidRDefault="00C12B37">
      <w:pPr>
        <w:spacing w:after="240" w:line="480" w:lineRule="auto"/>
        <w:contextualSpacing w:val="0"/>
        <w:rPr>
          <w:b/>
          <w:sz w:val="20"/>
          <w:szCs w:val="20"/>
          <w:u w:val="single"/>
        </w:rPr>
      </w:pPr>
    </w:p>
    <w:p w:rsidR="00862834" w:rsidRDefault="00C12B37">
      <w:pPr>
        <w:spacing w:after="240" w:line="480" w:lineRule="auto"/>
        <w:contextualSpacing w:val="0"/>
        <w:rPr>
          <w:b/>
          <w:sz w:val="20"/>
          <w:szCs w:val="20"/>
          <w:u w:val="single"/>
        </w:rPr>
      </w:pPr>
      <w:r>
        <w:rPr>
          <w:b/>
          <w:sz w:val="20"/>
          <w:szCs w:val="20"/>
          <w:u w:val="single"/>
        </w:rPr>
        <w:lastRenderedPageBreak/>
        <w:t>Abstract</w:t>
      </w:r>
    </w:p>
    <w:p w:rsidR="00862834" w:rsidRDefault="00C12B37">
      <w:pPr>
        <w:spacing w:after="240" w:line="480" w:lineRule="auto"/>
        <w:contextualSpacing w:val="0"/>
        <w:rPr>
          <w:sz w:val="20"/>
          <w:szCs w:val="20"/>
        </w:rPr>
      </w:pPr>
      <w:r>
        <w:rPr>
          <w:sz w:val="20"/>
          <w:szCs w:val="20"/>
        </w:rPr>
        <w:t xml:space="preserve">The majority of those who experience clinical anxiety and depressive symptoms do not receive treatment. Studies investigating inequalities in treatment outcomes rarely consider that individuals respond differently to their experience of the environment. </w:t>
      </w:r>
      <w:r w:rsidR="00667704">
        <w:rPr>
          <w:sz w:val="20"/>
          <w:szCs w:val="20"/>
        </w:rPr>
        <w:t>Indeed, i</w:t>
      </w:r>
      <w:bookmarkStart w:id="0" w:name="_GoBack"/>
      <w:bookmarkEnd w:id="0"/>
      <w:r w:rsidR="00667704">
        <w:rPr>
          <w:sz w:val="20"/>
          <w:szCs w:val="20"/>
        </w:rPr>
        <w:t>ndividuals actively select their experiences. Therefore, m</w:t>
      </w:r>
      <w:r>
        <w:rPr>
          <w:sz w:val="20"/>
          <w:szCs w:val="20"/>
        </w:rPr>
        <w:t>uch of our environment is under genetic influence, via our behaviour</w:t>
      </w:r>
      <w:r w:rsidR="00667704">
        <w:rPr>
          <w:sz w:val="20"/>
          <w:szCs w:val="20"/>
        </w:rPr>
        <w:t xml:space="preserve">. </w:t>
      </w:r>
      <w:r>
        <w:rPr>
          <w:sz w:val="20"/>
          <w:szCs w:val="20"/>
        </w:rPr>
        <w:t xml:space="preserve">If genes influence who seeks and receives treatment, selection bias will confound genomic studies of treatment response. Furthermore, if some individuals are at high genetic risk of seeking but not commencing treatment, then greater efforts could be made to engage them.  We explored the role of genetic influences on four lifetime treatment-seeking </w:t>
      </w:r>
      <w:proofErr w:type="spellStart"/>
      <w:r>
        <w:rPr>
          <w:sz w:val="20"/>
          <w:szCs w:val="20"/>
        </w:rPr>
        <w:t>behaviours</w:t>
      </w:r>
      <w:proofErr w:type="spellEnd"/>
      <w:r>
        <w:rPr>
          <w:sz w:val="20"/>
          <w:szCs w:val="20"/>
        </w:rPr>
        <w:t xml:space="preserve"> (</w:t>
      </w:r>
      <w:r>
        <w:rPr>
          <w:i/>
          <w:sz w:val="20"/>
          <w:szCs w:val="20"/>
        </w:rPr>
        <w:t>treatment-seeking, treatment-receipt, self-help, self-medication</w:t>
      </w:r>
      <w:r>
        <w:rPr>
          <w:sz w:val="20"/>
          <w:szCs w:val="20"/>
        </w:rPr>
        <w:t xml:space="preserve">) in participants of the UK Biobank (sample size range: 48,106 - 75,322). We found that treatment-related </w:t>
      </w:r>
      <w:proofErr w:type="spellStart"/>
      <w:r>
        <w:rPr>
          <w:sz w:val="20"/>
          <w:szCs w:val="20"/>
        </w:rPr>
        <w:t>behaviours</w:t>
      </w:r>
      <w:proofErr w:type="spellEnd"/>
      <w:r>
        <w:rPr>
          <w:sz w:val="20"/>
          <w:szCs w:val="20"/>
        </w:rPr>
        <w:t xml:space="preserve"> were modestly heritable in these data. Nonetheless, we observed interesting genetic overlap between lifetime treatment related-phenotypes and psychiatric disorders, symptoms and </w:t>
      </w:r>
      <w:proofErr w:type="spellStart"/>
      <w:r>
        <w:rPr>
          <w:sz w:val="20"/>
          <w:szCs w:val="20"/>
        </w:rPr>
        <w:t>behavioural</w:t>
      </w:r>
      <w:proofErr w:type="spellEnd"/>
      <w:r>
        <w:rPr>
          <w:sz w:val="20"/>
          <w:szCs w:val="20"/>
        </w:rPr>
        <w:t xml:space="preserve"> traits. </w:t>
      </w:r>
    </w:p>
    <w:p w:rsidR="00862834" w:rsidRDefault="00862834">
      <w:pPr>
        <w:spacing w:after="240" w:line="480" w:lineRule="auto"/>
        <w:contextualSpacing w:val="0"/>
        <w:rPr>
          <w:b/>
          <w:sz w:val="20"/>
          <w:szCs w:val="20"/>
          <w:u w:val="single"/>
        </w:rPr>
      </w:pPr>
    </w:p>
    <w:p w:rsidR="00862834" w:rsidRDefault="00862834">
      <w:pPr>
        <w:spacing w:after="240" w:line="480" w:lineRule="auto"/>
        <w:contextualSpacing w:val="0"/>
        <w:rPr>
          <w:b/>
          <w:sz w:val="20"/>
          <w:szCs w:val="20"/>
          <w:u w:val="single"/>
        </w:rPr>
      </w:pPr>
    </w:p>
    <w:p w:rsidR="00862834" w:rsidRDefault="00862834">
      <w:pPr>
        <w:spacing w:after="240" w:line="480" w:lineRule="auto"/>
        <w:contextualSpacing w:val="0"/>
        <w:rPr>
          <w:b/>
          <w:sz w:val="20"/>
          <w:szCs w:val="20"/>
          <w:u w:val="single"/>
        </w:rPr>
      </w:pPr>
    </w:p>
    <w:p w:rsidR="00862834" w:rsidRDefault="00862834">
      <w:pPr>
        <w:spacing w:after="240" w:line="480" w:lineRule="auto"/>
        <w:contextualSpacing w:val="0"/>
        <w:rPr>
          <w:b/>
          <w:sz w:val="20"/>
          <w:szCs w:val="20"/>
          <w:u w:val="single"/>
        </w:rPr>
      </w:pPr>
    </w:p>
    <w:p w:rsidR="00862834" w:rsidRDefault="00862834">
      <w:pPr>
        <w:spacing w:after="240" w:line="480" w:lineRule="auto"/>
        <w:contextualSpacing w:val="0"/>
        <w:rPr>
          <w:b/>
          <w:sz w:val="20"/>
          <w:szCs w:val="20"/>
          <w:u w:val="single"/>
        </w:rPr>
      </w:pPr>
    </w:p>
    <w:p w:rsidR="00862834" w:rsidRDefault="00862834">
      <w:pPr>
        <w:spacing w:after="240" w:line="480" w:lineRule="auto"/>
        <w:contextualSpacing w:val="0"/>
        <w:rPr>
          <w:b/>
          <w:sz w:val="20"/>
          <w:szCs w:val="20"/>
          <w:u w:val="single"/>
        </w:rPr>
      </w:pPr>
    </w:p>
    <w:p w:rsidR="00862834" w:rsidRDefault="00C12B37">
      <w:pPr>
        <w:spacing w:after="240" w:line="480" w:lineRule="auto"/>
        <w:contextualSpacing w:val="0"/>
        <w:rPr>
          <w:b/>
          <w:sz w:val="20"/>
          <w:szCs w:val="20"/>
          <w:u w:val="single"/>
        </w:rPr>
      </w:pPr>
      <w:r>
        <w:br w:type="page"/>
      </w:r>
    </w:p>
    <w:p w:rsidR="00862834" w:rsidRDefault="00C12B37">
      <w:pPr>
        <w:spacing w:after="240" w:line="480" w:lineRule="auto"/>
        <w:contextualSpacing w:val="0"/>
        <w:rPr>
          <w:b/>
          <w:sz w:val="20"/>
          <w:szCs w:val="20"/>
          <w:u w:val="single"/>
        </w:rPr>
      </w:pPr>
      <w:r>
        <w:rPr>
          <w:b/>
          <w:sz w:val="20"/>
          <w:szCs w:val="20"/>
          <w:u w:val="single"/>
        </w:rPr>
        <w:lastRenderedPageBreak/>
        <w:t>Introduction</w:t>
      </w:r>
    </w:p>
    <w:p w:rsidR="00862834" w:rsidRDefault="00C12B37">
      <w:pPr>
        <w:spacing w:after="240" w:line="480" w:lineRule="auto"/>
        <w:ind w:firstLine="720"/>
        <w:contextualSpacing w:val="0"/>
        <w:rPr>
          <w:sz w:val="20"/>
          <w:szCs w:val="20"/>
        </w:rPr>
      </w:pPr>
      <w:r>
        <w:rPr>
          <w:sz w:val="20"/>
          <w:szCs w:val="20"/>
        </w:rPr>
        <w:t xml:space="preserve">One in six adults experience clinical anxiety and/or depressive symptoms in any given week in the UK, but only one in three of those in need of treatment report currently using a treatment </w:t>
      </w:r>
      <w:hyperlink r:id="rId9">
        <w:r>
          <w:rPr>
            <w:color w:val="000000"/>
            <w:sz w:val="20"/>
            <w:szCs w:val="20"/>
          </w:rPr>
          <w:t>(McManus et al. 2016)</w:t>
        </w:r>
      </w:hyperlink>
      <w:r>
        <w:rPr>
          <w:sz w:val="20"/>
          <w:szCs w:val="20"/>
        </w:rPr>
        <w:t>. The disparity between the number of individuals with clinical symptoms and those that receive treatment is called the treatment gap</w:t>
      </w:r>
      <w:r>
        <w:rPr>
          <w:b/>
          <w:sz w:val="20"/>
          <w:szCs w:val="20"/>
        </w:rPr>
        <w:t xml:space="preserve"> </w:t>
      </w:r>
      <w:hyperlink r:id="rId10">
        <w:r>
          <w:rPr>
            <w:color w:val="000000"/>
            <w:sz w:val="20"/>
            <w:szCs w:val="20"/>
          </w:rPr>
          <w:t>(Kohn et al. 2004)</w:t>
        </w:r>
      </w:hyperlink>
      <w:r>
        <w:rPr>
          <w:sz w:val="20"/>
          <w:szCs w:val="20"/>
        </w:rPr>
        <w:t xml:space="preserve">. A number of studies have estimated that as many as 75% of individuals who have a 12 month diagnosis of depression do not receive treatment </w:t>
      </w:r>
      <w:hyperlink r:id="rId11">
        <w:r>
          <w:rPr>
            <w:color w:val="000000"/>
            <w:sz w:val="20"/>
            <w:szCs w:val="20"/>
          </w:rPr>
          <w:t>(Chisholm et al. 2016; Thornicroft 2008; Thornicroft et al. 2017)</w:t>
        </w:r>
      </w:hyperlink>
      <w:r>
        <w:rPr>
          <w:sz w:val="20"/>
          <w:szCs w:val="20"/>
        </w:rPr>
        <w:t xml:space="preserve">. This is despite many such individuals acknowledging a need for treatment and having contacted services. Some evidence for demographic inequalities in who receives treatment exists. Within the UK, individuals who are White British, female, or middle-aged were more likely to receive treatment than those who were not </w:t>
      </w:r>
      <w:hyperlink r:id="rId12">
        <w:r>
          <w:rPr>
            <w:color w:val="000000"/>
            <w:sz w:val="20"/>
            <w:szCs w:val="20"/>
          </w:rPr>
          <w:t>(McManus et al. 2016)</w:t>
        </w:r>
      </w:hyperlink>
      <w:r>
        <w:rPr>
          <w:sz w:val="20"/>
          <w:szCs w:val="20"/>
        </w:rPr>
        <w:t xml:space="preserve">. Individuals from lower socioeconomic backgrounds are more likely to have sought but not actually received treatment </w:t>
      </w:r>
      <w:hyperlink r:id="rId13">
        <w:r>
          <w:rPr>
            <w:color w:val="000000"/>
            <w:sz w:val="20"/>
            <w:szCs w:val="20"/>
          </w:rPr>
          <w:t>(McManus et al. 2016; Delgadillo et al. 2016)</w:t>
        </w:r>
      </w:hyperlink>
      <w:r>
        <w:rPr>
          <w:sz w:val="20"/>
          <w:szCs w:val="20"/>
        </w:rPr>
        <w:t xml:space="preserve">. There are many reasons why individuals might not seek treatment, such as a lack of knowledge to identify clinical symptoms (i.e. poor mental-health literacy), lack of awareness about treatment options, negative beliefs about the effectiveness of treatment, and stigma (i.e., perceived prejudice and/or discrimination against people diagnosed with mental health conditions; </w:t>
      </w:r>
      <w:hyperlink r:id="rId14">
        <w:r>
          <w:rPr>
            <w:color w:val="000000"/>
            <w:sz w:val="20"/>
            <w:szCs w:val="20"/>
          </w:rPr>
          <w:t>(Henderson, Evans-</w:t>
        </w:r>
        <w:proofErr w:type="spellStart"/>
        <w:r>
          <w:rPr>
            <w:color w:val="000000"/>
            <w:sz w:val="20"/>
            <w:szCs w:val="20"/>
          </w:rPr>
          <w:t>Lacko</w:t>
        </w:r>
        <w:proofErr w:type="spellEnd"/>
        <w:r>
          <w:rPr>
            <w:color w:val="000000"/>
            <w:sz w:val="20"/>
            <w:szCs w:val="20"/>
          </w:rPr>
          <w:t>, and Thornicroft 2013)</w:t>
        </w:r>
      </w:hyperlink>
      <w:r>
        <w:rPr>
          <w:sz w:val="20"/>
          <w:szCs w:val="20"/>
        </w:rPr>
        <w:t>.</w:t>
      </w:r>
    </w:p>
    <w:p w:rsidR="00862834" w:rsidRDefault="00C12B37">
      <w:pPr>
        <w:spacing w:after="240" w:line="480" w:lineRule="auto"/>
        <w:ind w:firstLine="720"/>
        <w:contextualSpacing w:val="0"/>
        <w:rPr>
          <w:sz w:val="20"/>
          <w:szCs w:val="20"/>
        </w:rPr>
      </w:pPr>
      <w:r>
        <w:rPr>
          <w:sz w:val="20"/>
          <w:szCs w:val="20"/>
          <w:highlight w:val="white"/>
        </w:rPr>
        <w:t xml:space="preserve">Twin studies have shown that a proportion of the variation in nearly all complex human traits can be explained by genetic variation (on average ~50%; </w:t>
      </w:r>
      <w:hyperlink r:id="rId15">
        <w:proofErr w:type="spellStart"/>
        <w:r>
          <w:rPr>
            <w:color w:val="000000"/>
            <w:sz w:val="20"/>
            <w:szCs w:val="20"/>
            <w:highlight w:val="white"/>
          </w:rPr>
          <w:t>Polderman</w:t>
        </w:r>
        <w:proofErr w:type="spellEnd"/>
        <w:r>
          <w:rPr>
            <w:color w:val="000000"/>
            <w:sz w:val="20"/>
            <w:szCs w:val="20"/>
            <w:highlight w:val="white"/>
          </w:rPr>
          <w:t xml:space="preserve"> et al. 2015)</w:t>
        </w:r>
      </w:hyperlink>
      <w:r>
        <w:rPr>
          <w:sz w:val="20"/>
          <w:szCs w:val="20"/>
          <w:highlight w:val="white"/>
        </w:rPr>
        <w:t xml:space="preserve">. This is known as heritability, the proportion of variation in an observable trait attributed to genetic factors, in a given population at a particular time-point </w:t>
      </w:r>
      <w:hyperlink r:id="rId16">
        <w:r>
          <w:rPr>
            <w:color w:val="000000"/>
            <w:sz w:val="20"/>
            <w:szCs w:val="20"/>
            <w:highlight w:val="white"/>
          </w:rPr>
          <w:t>(Visscher, Hill, and Wray 2008)</w:t>
        </w:r>
      </w:hyperlink>
      <w:r>
        <w:rPr>
          <w:sz w:val="20"/>
          <w:szCs w:val="20"/>
          <w:highlight w:val="white"/>
        </w:rPr>
        <w:t>. Analysis of genome-wide genetic data in many traits has shown that</w:t>
      </w:r>
      <w:r>
        <w:rPr>
          <w:color w:val="FF00FF"/>
          <w:sz w:val="20"/>
          <w:szCs w:val="20"/>
          <w:highlight w:val="white"/>
        </w:rPr>
        <w:t xml:space="preserve"> </w:t>
      </w:r>
      <w:r>
        <w:rPr>
          <w:sz w:val="20"/>
          <w:szCs w:val="20"/>
          <w:highlight w:val="white"/>
        </w:rPr>
        <w:t>a proportion of</w:t>
      </w:r>
      <w:r>
        <w:rPr>
          <w:color w:val="FF00FF"/>
          <w:sz w:val="20"/>
          <w:szCs w:val="20"/>
          <w:highlight w:val="white"/>
        </w:rPr>
        <w:t xml:space="preserve"> </w:t>
      </w:r>
      <w:r>
        <w:rPr>
          <w:sz w:val="20"/>
          <w:szCs w:val="20"/>
          <w:highlight w:val="white"/>
        </w:rPr>
        <w:t>heritability can be explained by the additive effects of common genetic variants (genetic variation in 1% of the genome, that occurs in &gt;1% of the population). Variation in disorders (e.g. Anxiety and Major Depressive Disorder), personality traits, (e.g. neuroticism, openness, conscientiousness), and life outcomes (e.g. educational attainment) can be explained by common genetic variation (common genetic variant heritability; h</w:t>
      </w:r>
      <w:r>
        <w:rPr>
          <w:sz w:val="20"/>
          <w:szCs w:val="20"/>
          <w:highlight w:val="white"/>
          <w:vertAlign w:val="superscript"/>
        </w:rPr>
        <w:t>2</w:t>
      </w:r>
      <w:r>
        <w:rPr>
          <w:sz w:val="20"/>
          <w:szCs w:val="20"/>
          <w:highlight w:val="white"/>
          <w:vertAlign w:val="subscript"/>
        </w:rPr>
        <w:t>SNP</w:t>
      </w:r>
      <w:r>
        <w:rPr>
          <w:sz w:val="20"/>
          <w:szCs w:val="20"/>
          <w:highlight w:val="white"/>
        </w:rPr>
        <w:t xml:space="preserve"> range: 5-30%; </w:t>
      </w:r>
      <w:hyperlink r:id="rId17">
        <w:r>
          <w:rPr>
            <w:color w:val="000000"/>
            <w:sz w:val="20"/>
            <w:szCs w:val="20"/>
            <w:highlight w:val="white"/>
          </w:rPr>
          <w:t>Brainstorm Consortium et al. 2018)</w:t>
        </w:r>
      </w:hyperlink>
      <w:r>
        <w:rPr>
          <w:sz w:val="20"/>
          <w:szCs w:val="20"/>
          <w:highlight w:val="white"/>
        </w:rPr>
        <w:t>.</w:t>
      </w:r>
    </w:p>
    <w:p w:rsidR="00862834" w:rsidRDefault="00C12B37">
      <w:pPr>
        <w:spacing w:after="240" w:line="480" w:lineRule="auto"/>
        <w:ind w:firstLine="720"/>
        <w:contextualSpacing w:val="0"/>
        <w:rPr>
          <w:sz w:val="20"/>
          <w:szCs w:val="20"/>
          <w:highlight w:val="white"/>
        </w:rPr>
      </w:pPr>
      <w:r>
        <w:rPr>
          <w:sz w:val="20"/>
          <w:szCs w:val="20"/>
        </w:rPr>
        <w:t xml:space="preserve">Studies investigating causes of treatment inequalities do not always account for the fact that individuals differ in their response to the environment </w:t>
      </w:r>
      <w:hyperlink r:id="rId18">
        <w:r>
          <w:rPr>
            <w:color w:val="000000"/>
            <w:sz w:val="20"/>
            <w:szCs w:val="20"/>
          </w:rPr>
          <w:t>(</w:t>
        </w:r>
        <w:proofErr w:type="spellStart"/>
        <w:r>
          <w:rPr>
            <w:color w:val="000000"/>
            <w:sz w:val="20"/>
            <w:szCs w:val="20"/>
          </w:rPr>
          <w:t>Spinath</w:t>
        </w:r>
        <w:proofErr w:type="spellEnd"/>
        <w:r>
          <w:rPr>
            <w:color w:val="000000"/>
            <w:sz w:val="20"/>
            <w:szCs w:val="20"/>
          </w:rPr>
          <w:t xml:space="preserve"> and </w:t>
        </w:r>
        <w:proofErr w:type="spellStart"/>
        <w:r>
          <w:rPr>
            <w:color w:val="000000"/>
            <w:sz w:val="20"/>
            <w:szCs w:val="20"/>
          </w:rPr>
          <w:t>Bleidorn</w:t>
        </w:r>
        <w:proofErr w:type="spellEnd"/>
        <w:r>
          <w:rPr>
            <w:color w:val="000000"/>
            <w:sz w:val="20"/>
            <w:szCs w:val="20"/>
          </w:rPr>
          <w:t xml:space="preserve"> 2017)</w:t>
        </w:r>
      </w:hyperlink>
      <w:r>
        <w:rPr>
          <w:sz w:val="20"/>
          <w:szCs w:val="20"/>
        </w:rPr>
        <w:t>.</w:t>
      </w:r>
      <w:r>
        <w:rPr>
          <w:sz w:val="20"/>
          <w:szCs w:val="20"/>
          <w:highlight w:val="white"/>
        </w:rPr>
        <w:t xml:space="preserve"> Whether an individual </w:t>
      </w:r>
      <w:r>
        <w:rPr>
          <w:sz w:val="20"/>
          <w:szCs w:val="20"/>
          <w:highlight w:val="white"/>
        </w:rPr>
        <w:lastRenderedPageBreak/>
        <w:t xml:space="preserve">receives treatment, and the type of treatment they receive, are components of their environment. Many environmental influences have been found to be heritable </w:t>
      </w:r>
      <w:hyperlink r:id="rId19">
        <w:r>
          <w:rPr>
            <w:color w:val="000000"/>
            <w:sz w:val="20"/>
            <w:szCs w:val="20"/>
            <w:highlight w:val="white"/>
          </w:rPr>
          <w:t>(Kendler and Baker 2007)</w:t>
        </w:r>
      </w:hyperlink>
      <w:r>
        <w:rPr>
          <w:sz w:val="20"/>
          <w:szCs w:val="20"/>
          <w:highlight w:val="white"/>
        </w:rPr>
        <w:t xml:space="preserve">. Environments known to be heritable include experience of stressful life events, social support and marital quality </w:t>
      </w:r>
      <w:hyperlink r:id="rId20">
        <w:r>
          <w:rPr>
            <w:color w:val="000000"/>
            <w:sz w:val="20"/>
            <w:szCs w:val="20"/>
            <w:highlight w:val="white"/>
          </w:rPr>
          <w:t>(Kendler and Baker 2007)</w:t>
        </w:r>
      </w:hyperlink>
      <w:r>
        <w:rPr>
          <w:sz w:val="20"/>
          <w:szCs w:val="20"/>
          <w:highlight w:val="white"/>
        </w:rPr>
        <w:t xml:space="preserve">. Of particular note, the genetic influences on such environmental experiences (e.g. stressful life events or social deprivation) overlap considerably with those on traits of interest such as depression </w:t>
      </w:r>
      <w:hyperlink r:id="rId21">
        <w:r>
          <w:rPr>
            <w:color w:val="000000"/>
            <w:sz w:val="20"/>
            <w:szCs w:val="20"/>
            <w:highlight w:val="white"/>
          </w:rPr>
          <w:t>(Thapar, Harold, and McGuffin 1998; Hill et al. 2016)</w:t>
        </w:r>
      </w:hyperlink>
      <w:r>
        <w:rPr>
          <w:sz w:val="20"/>
          <w:szCs w:val="20"/>
          <w:highlight w:val="white"/>
        </w:rPr>
        <w:t>.  This indicates that genetic variation influences correlations between behaviour and life experiences. In other words, genetic factors influence behaviour, which plays a major role in shaping our environment, so called gene-environment correlation.</w:t>
      </w:r>
    </w:p>
    <w:p w:rsidR="00862834" w:rsidRDefault="00C12B37">
      <w:pPr>
        <w:spacing w:after="240" w:line="480" w:lineRule="auto"/>
        <w:ind w:firstLine="720"/>
        <w:contextualSpacing w:val="0"/>
        <w:rPr>
          <w:sz w:val="20"/>
          <w:szCs w:val="20"/>
          <w:highlight w:val="white"/>
        </w:rPr>
      </w:pPr>
      <w:r>
        <w:rPr>
          <w:sz w:val="20"/>
          <w:szCs w:val="20"/>
        </w:rPr>
        <w:t xml:space="preserve">One approach to understanding how genetic influences on different traits relate to one another is to examine their genetic correlation. </w:t>
      </w:r>
      <w:r>
        <w:rPr>
          <w:sz w:val="20"/>
          <w:szCs w:val="20"/>
          <w:highlight w:val="white"/>
        </w:rPr>
        <w:t xml:space="preserve">Exploring genetic correlations allows us to garner information about where genetic influences on the trait of interest (e.g. treatment seeking) come from. Shared genetic variation can indicate that specific genetic variants influence the two traits independently. Alternatively, in the case where trait A directly influences trait B, any genetic effects on trait A will also influence trait B </w:t>
      </w:r>
      <w:hyperlink r:id="rId22">
        <w:r>
          <w:rPr>
            <w:color w:val="000000"/>
            <w:sz w:val="20"/>
            <w:szCs w:val="20"/>
            <w:highlight w:val="white"/>
          </w:rPr>
          <w:t>(Gage et al. 2016)</w:t>
        </w:r>
      </w:hyperlink>
      <w:r>
        <w:rPr>
          <w:sz w:val="20"/>
          <w:szCs w:val="20"/>
          <w:highlight w:val="white"/>
        </w:rPr>
        <w:t xml:space="preserve">. For example, genetic effects might impact on both anxiety symptoms and treatment seeking. Genes influencing greater symptom severity are likely to influence need for treatment. Different genes influencing personality traits, for example openness, might also lead an individual to be more open about their experiences, in turn promoting treatment-seeking. Indeed, the decision to seek and then commence treatment, may depend in part on genetically influenced individual characteristics, which themselves impact on treatment-seeking </w:t>
      </w:r>
      <w:proofErr w:type="spellStart"/>
      <w:r>
        <w:rPr>
          <w:sz w:val="20"/>
          <w:szCs w:val="20"/>
          <w:highlight w:val="white"/>
        </w:rPr>
        <w:t>behaviours</w:t>
      </w:r>
      <w:proofErr w:type="spellEnd"/>
      <w:r>
        <w:rPr>
          <w:sz w:val="20"/>
          <w:szCs w:val="20"/>
          <w:highlight w:val="white"/>
        </w:rPr>
        <w:t xml:space="preserve">. </w:t>
      </w:r>
    </w:p>
    <w:p w:rsidR="00862834" w:rsidRDefault="00C12B37">
      <w:pPr>
        <w:spacing w:after="240" w:line="480" w:lineRule="auto"/>
        <w:ind w:firstLine="720"/>
        <w:contextualSpacing w:val="0"/>
        <w:rPr>
          <w:sz w:val="20"/>
          <w:szCs w:val="20"/>
        </w:rPr>
      </w:pPr>
      <w:r>
        <w:rPr>
          <w:sz w:val="20"/>
          <w:szCs w:val="20"/>
          <w:highlight w:val="white"/>
        </w:rPr>
        <w:t xml:space="preserve">Whether or not genes influence treatment-seeking should also be of </w:t>
      </w:r>
      <w:proofErr w:type="gramStart"/>
      <w:r>
        <w:rPr>
          <w:sz w:val="20"/>
          <w:szCs w:val="20"/>
          <w:highlight w:val="white"/>
        </w:rPr>
        <w:t>particular interest</w:t>
      </w:r>
      <w:proofErr w:type="gramEnd"/>
      <w:r>
        <w:rPr>
          <w:sz w:val="20"/>
          <w:szCs w:val="20"/>
          <w:highlight w:val="white"/>
        </w:rPr>
        <w:t xml:space="preserve"> to researchers investigating genetic influences on treatment response. It will be important to identify genetic influences on treatment-seeking and control for them in genomic studies of treatment response. It is also important to consider that o</w:t>
      </w:r>
      <w:r>
        <w:rPr>
          <w:sz w:val="20"/>
          <w:szCs w:val="20"/>
        </w:rPr>
        <w:t xml:space="preserve">nly those who seek treatment will receive it, which may have implications for studies and trials investigating treatment efficacy. Those who do not seek treatment (or who seek but do not receive treatment) will be excluded from such analyses, which could bias estimated effects of treatment. For example, belief in the positive effects of treatment has been linked with adherence to treatment and </w:t>
      </w:r>
      <w:proofErr w:type="spellStart"/>
      <w:r>
        <w:rPr>
          <w:sz w:val="20"/>
          <w:szCs w:val="20"/>
        </w:rPr>
        <w:t>favourable</w:t>
      </w:r>
      <w:proofErr w:type="spellEnd"/>
      <w:r>
        <w:rPr>
          <w:sz w:val="20"/>
          <w:szCs w:val="20"/>
        </w:rPr>
        <w:t xml:space="preserve"> response </w:t>
      </w:r>
      <w:hyperlink r:id="rId23">
        <w:r>
          <w:rPr>
            <w:color w:val="000000"/>
            <w:sz w:val="20"/>
            <w:szCs w:val="20"/>
          </w:rPr>
          <w:t>(</w:t>
        </w:r>
        <w:proofErr w:type="spellStart"/>
        <w:r>
          <w:rPr>
            <w:color w:val="000000"/>
            <w:sz w:val="20"/>
            <w:szCs w:val="20"/>
          </w:rPr>
          <w:t>Ownby</w:t>
        </w:r>
        <w:proofErr w:type="spellEnd"/>
        <w:r>
          <w:rPr>
            <w:color w:val="000000"/>
            <w:sz w:val="20"/>
            <w:szCs w:val="20"/>
          </w:rPr>
          <w:t xml:space="preserve"> et al. 2014; J. Carter et al. 2006; J. D. Carter et al. 2015; </w:t>
        </w:r>
        <w:r>
          <w:rPr>
            <w:color w:val="000000"/>
            <w:sz w:val="20"/>
            <w:szCs w:val="20"/>
          </w:rPr>
          <w:lastRenderedPageBreak/>
          <w:t>Lambert and Barley 2001)</w:t>
        </w:r>
      </w:hyperlink>
      <w:r>
        <w:rPr>
          <w:sz w:val="20"/>
          <w:szCs w:val="20"/>
        </w:rPr>
        <w:t xml:space="preserve">. Whereas, negative beliefs about treatment have been associated with reluctance to seek help </w:t>
      </w:r>
      <w:hyperlink r:id="rId24">
        <w:r>
          <w:rPr>
            <w:color w:val="000000"/>
            <w:sz w:val="20"/>
            <w:szCs w:val="20"/>
          </w:rPr>
          <w:t>(Henderson, Evans-</w:t>
        </w:r>
        <w:proofErr w:type="spellStart"/>
        <w:r>
          <w:rPr>
            <w:color w:val="000000"/>
            <w:sz w:val="20"/>
            <w:szCs w:val="20"/>
          </w:rPr>
          <w:t>Lacko</w:t>
        </w:r>
        <w:proofErr w:type="spellEnd"/>
        <w:r>
          <w:rPr>
            <w:color w:val="000000"/>
            <w:sz w:val="20"/>
            <w:szCs w:val="20"/>
          </w:rPr>
          <w:t>, and Thornicroft 2013)</w:t>
        </w:r>
      </w:hyperlink>
      <w:r>
        <w:rPr>
          <w:sz w:val="20"/>
          <w:szCs w:val="20"/>
        </w:rPr>
        <w:t>. By not including individuals with negative beliefs about treatment efficacy, the positive effects of treatment might be overestimated. Furthermore, if individuals who need treatment are at high genetic risk of not taking up treatment, then greater efforts could be made to engage them and improve compliance with treatment.</w:t>
      </w:r>
    </w:p>
    <w:p w:rsidR="00992A8F" w:rsidRDefault="00C12B37" w:rsidP="00992A8F">
      <w:pPr>
        <w:spacing w:after="240" w:line="480" w:lineRule="auto"/>
        <w:ind w:firstLine="720"/>
        <w:contextualSpacing w:val="0"/>
        <w:rPr>
          <w:sz w:val="20"/>
          <w:szCs w:val="20"/>
        </w:rPr>
      </w:pPr>
      <w:r>
        <w:rPr>
          <w:sz w:val="20"/>
          <w:szCs w:val="20"/>
        </w:rPr>
        <w:t xml:space="preserve">We explored the role of genetic influences on lifetime treatment-seeking </w:t>
      </w:r>
      <w:proofErr w:type="spellStart"/>
      <w:r>
        <w:rPr>
          <w:sz w:val="20"/>
          <w:szCs w:val="20"/>
        </w:rPr>
        <w:t>behaviours</w:t>
      </w:r>
      <w:proofErr w:type="spellEnd"/>
      <w:r>
        <w:rPr>
          <w:sz w:val="20"/>
          <w:szCs w:val="20"/>
        </w:rPr>
        <w:t xml:space="preserve"> in a large UK population study, the UK Biobank. We defined four treatment-related phenotypes in response to symptoms of anxiety or depression; </w:t>
      </w:r>
      <w:r>
        <w:rPr>
          <w:b/>
          <w:sz w:val="20"/>
          <w:szCs w:val="20"/>
        </w:rPr>
        <w:t>treatment-seeking</w:t>
      </w:r>
      <w:r>
        <w:rPr>
          <w:sz w:val="20"/>
          <w:szCs w:val="20"/>
        </w:rPr>
        <w:t xml:space="preserve"> (</w:t>
      </w:r>
      <w:r>
        <w:rPr>
          <w:i/>
          <w:sz w:val="20"/>
          <w:szCs w:val="20"/>
        </w:rPr>
        <w:t>have you ever from sought help from a professional?</w:t>
      </w:r>
      <w:r>
        <w:rPr>
          <w:sz w:val="20"/>
          <w:szCs w:val="20"/>
        </w:rPr>
        <w:t xml:space="preserve">), </w:t>
      </w:r>
      <w:r>
        <w:rPr>
          <w:b/>
          <w:sz w:val="20"/>
          <w:szCs w:val="20"/>
        </w:rPr>
        <w:t>treatment-receipt</w:t>
      </w:r>
      <w:r>
        <w:rPr>
          <w:sz w:val="20"/>
          <w:szCs w:val="20"/>
        </w:rPr>
        <w:t xml:space="preserve"> (</w:t>
      </w:r>
      <w:r>
        <w:rPr>
          <w:i/>
          <w:sz w:val="20"/>
          <w:szCs w:val="20"/>
        </w:rPr>
        <w:t>have you ever received talking therapy or prescription medication?</w:t>
      </w:r>
      <w:r>
        <w:rPr>
          <w:sz w:val="20"/>
          <w:szCs w:val="20"/>
        </w:rPr>
        <w:t xml:space="preserve">), </w:t>
      </w:r>
      <w:r>
        <w:rPr>
          <w:b/>
          <w:sz w:val="20"/>
          <w:szCs w:val="20"/>
        </w:rPr>
        <w:t>self-help</w:t>
      </w:r>
      <w:r>
        <w:rPr>
          <w:sz w:val="20"/>
          <w:szCs w:val="20"/>
        </w:rPr>
        <w:t xml:space="preserve"> (</w:t>
      </w:r>
      <w:r>
        <w:rPr>
          <w:i/>
          <w:sz w:val="20"/>
          <w:szCs w:val="20"/>
        </w:rPr>
        <w:t>have you ever used a structured therapeutic activity or over the counter medications to alleviate symptoms?</w:t>
      </w:r>
      <w:r>
        <w:rPr>
          <w:sz w:val="20"/>
          <w:szCs w:val="20"/>
        </w:rPr>
        <w:t xml:space="preserve">), and </w:t>
      </w:r>
      <w:r>
        <w:rPr>
          <w:b/>
          <w:sz w:val="20"/>
          <w:szCs w:val="20"/>
        </w:rPr>
        <w:t>self-medication</w:t>
      </w:r>
      <w:r>
        <w:rPr>
          <w:sz w:val="20"/>
          <w:szCs w:val="20"/>
        </w:rPr>
        <w:t xml:space="preserve"> (</w:t>
      </w:r>
      <w:r>
        <w:rPr>
          <w:i/>
          <w:sz w:val="20"/>
          <w:szCs w:val="20"/>
        </w:rPr>
        <w:t>have you ever used drugs or alcohol to alleviate symptoms?</w:t>
      </w:r>
      <w:r>
        <w:rPr>
          <w:sz w:val="20"/>
          <w:szCs w:val="20"/>
        </w:rPr>
        <w:t xml:space="preserve">). We estimated the common variant heritability of these phenotypes and examined genetic correlations with psychiatric disorders and </w:t>
      </w:r>
      <w:proofErr w:type="spellStart"/>
      <w:r>
        <w:rPr>
          <w:sz w:val="20"/>
          <w:szCs w:val="20"/>
        </w:rPr>
        <w:t>behavioural</w:t>
      </w:r>
      <w:proofErr w:type="spellEnd"/>
      <w:r>
        <w:rPr>
          <w:sz w:val="20"/>
          <w:szCs w:val="20"/>
        </w:rPr>
        <w:t xml:space="preserve"> traits. We aimed to determine whether treatment-related phenotypes have genetic influences distinct from those influencing symptoms. Therefore, where possible we stratified our analyses based on whether individuals meet diagnostic criteria for an anxiety or depressive disorder diagnosis. Here, we specifically examined whether there were genetic influences on reluctance to seek treatment in those who need it (‘cases’) and on seeking treatment despite not meeting diagnostic criteria (‘controls’).</w:t>
      </w:r>
    </w:p>
    <w:p w:rsidR="00992A8F" w:rsidRDefault="00992A8F" w:rsidP="00992A8F">
      <w:pPr>
        <w:spacing w:after="240" w:line="480" w:lineRule="auto"/>
        <w:contextualSpacing w:val="0"/>
        <w:rPr>
          <w:b/>
          <w:sz w:val="20"/>
          <w:szCs w:val="20"/>
          <w:u w:val="single"/>
        </w:rPr>
      </w:pPr>
    </w:p>
    <w:p w:rsidR="00862834" w:rsidRPr="00992A8F" w:rsidRDefault="00C12B37" w:rsidP="00992A8F">
      <w:pPr>
        <w:spacing w:after="240" w:line="480" w:lineRule="auto"/>
        <w:contextualSpacing w:val="0"/>
        <w:rPr>
          <w:sz w:val="20"/>
          <w:szCs w:val="20"/>
        </w:rPr>
      </w:pPr>
      <w:r>
        <w:rPr>
          <w:b/>
          <w:sz w:val="20"/>
          <w:szCs w:val="20"/>
          <w:u w:val="single"/>
        </w:rPr>
        <w:t>Methods</w:t>
      </w:r>
    </w:p>
    <w:p w:rsidR="00862834" w:rsidRDefault="00C12B37">
      <w:pPr>
        <w:spacing w:after="240" w:line="480" w:lineRule="auto"/>
        <w:contextualSpacing w:val="0"/>
        <w:rPr>
          <w:i/>
          <w:sz w:val="20"/>
          <w:szCs w:val="20"/>
        </w:rPr>
      </w:pPr>
      <w:r>
        <w:rPr>
          <w:i/>
          <w:sz w:val="20"/>
          <w:szCs w:val="20"/>
          <w:u w:val="single"/>
        </w:rPr>
        <w:t>Sample &amp; Phenotypes</w:t>
      </w:r>
      <w:r>
        <w:rPr>
          <w:sz w:val="20"/>
          <w:szCs w:val="20"/>
        </w:rPr>
        <w:br/>
      </w:r>
      <w:r>
        <w:rPr>
          <w:sz w:val="20"/>
          <w:szCs w:val="20"/>
        </w:rPr>
        <w:tab/>
        <w:t xml:space="preserve">The UK Biobank is a UK population study of approximately half a million individuals aged between 40 and 70 </w:t>
      </w:r>
      <w:hyperlink r:id="rId25">
        <w:r>
          <w:rPr>
            <w:color w:val="000000"/>
            <w:sz w:val="20"/>
            <w:szCs w:val="20"/>
          </w:rPr>
          <w:t>(Allen et al. 2014)</w:t>
        </w:r>
      </w:hyperlink>
      <w:r>
        <w:rPr>
          <w:sz w:val="20"/>
          <w:szCs w:val="20"/>
        </w:rPr>
        <w:t xml:space="preserve">. The study originally assessed a range of health-related phenotypes and biological measures including genome-wide genotype. More recently a follow-up, online mental health questionnaire was completed by 157,366 participants </w:t>
      </w:r>
      <w:hyperlink r:id="rId26">
        <w:r>
          <w:rPr>
            <w:color w:val="000000"/>
            <w:sz w:val="20"/>
            <w:szCs w:val="20"/>
          </w:rPr>
          <w:t>(Davis et al. 2018)</w:t>
        </w:r>
      </w:hyperlink>
      <w:r>
        <w:rPr>
          <w:sz w:val="20"/>
          <w:szCs w:val="20"/>
        </w:rPr>
        <w:t xml:space="preserve">. The mental health questionnaire assesses common mental health conditions, including lifetime symptoms of anxiety </w:t>
      </w:r>
      <w:r>
        <w:rPr>
          <w:sz w:val="20"/>
          <w:szCs w:val="20"/>
        </w:rPr>
        <w:lastRenderedPageBreak/>
        <w:t xml:space="preserve">and depression, and experiences of healthcare. Specifically, participants who reported having worried for a period of six months or longer, having worried more than most people would in a similar situation, having prolonged loss of interest in normal activities, or prolonged feelings of sadness or depression they were asked: </w:t>
      </w:r>
      <w:r>
        <w:rPr>
          <w:i/>
          <w:sz w:val="20"/>
          <w:szCs w:val="20"/>
        </w:rPr>
        <w:t>"Did you ever tell a professional about these problems (medical doctor, psychologist, social worker, counsellor, nurse, clergy, or other helping professional)?</w:t>
      </w:r>
      <w:r>
        <w:rPr>
          <w:sz w:val="20"/>
          <w:szCs w:val="20"/>
        </w:rPr>
        <w:t xml:space="preserve">". </w:t>
      </w:r>
    </w:p>
    <w:p w:rsidR="00862834" w:rsidRDefault="00C12B37">
      <w:pPr>
        <w:spacing w:after="240" w:line="480" w:lineRule="auto"/>
        <w:ind w:firstLine="720"/>
        <w:contextualSpacing w:val="0"/>
        <w:rPr>
          <w:sz w:val="20"/>
          <w:szCs w:val="20"/>
        </w:rPr>
      </w:pPr>
      <w:r>
        <w:rPr>
          <w:sz w:val="20"/>
          <w:szCs w:val="20"/>
        </w:rPr>
        <w:t xml:space="preserve">From these data, we defined four treatment related phenotypes (see supplemental material for sample selection and phenotype definition workflow). </w:t>
      </w:r>
      <w:r>
        <w:rPr>
          <w:b/>
          <w:sz w:val="20"/>
          <w:szCs w:val="20"/>
        </w:rPr>
        <w:t>Treatment-seeking</w:t>
      </w:r>
      <w:r>
        <w:rPr>
          <w:sz w:val="20"/>
          <w:szCs w:val="20"/>
        </w:rPr>
        <w:t xml:space="preserve"> participants reported on seeking help from a professional. </w:t>
      </w:r>
      <w:r>
        <w:rPr>
          <w:b/>
          <w:sz w:val="20"/>
          <w:szCs w:val="20"/>
        </w:rPr>
        <w:t>Treatment-receipt</w:t>
      </w:r>
      <w:r>
        <w:rPr>
          <w:sz w:val="20"/>
          <w:szCs w:val="20"/>
        </w:rPr>
        <w:t xml:space="preserve"> was defined from participants who reported on seeking help and then receiving either prescribed medication or talking therapy for their symptoms. </w:t>
      </w:r>
      <w:r>
        <w:rPr>
          <w:b/>
          <w:sz w:val="20"/>
          <w:szCs w:val="20"/>
        </w:rPr>
        <w:t xml:space="preserve">Self-help </w:t>
      </w:r>
      <w:r>
        <w:rPr>
          <w:sz w:val="20"/>
          <w:szCs w:val="20"/>
        </w:rPr>
        <w:t xml:space="preserve">participants reported engaging in a structured therapeutic activity (e.g. mindfulness or yoga) or using over-the-counter medications to help with their symptoms. </w:t>
      </w:r>
      <w:r>
        <w:rPr>
          <w:b/>
          <w:sz w:val="20"/>
          <w:szCs w:val="20"/>
        </w:rPr>
        <w:t xml:space="preserve">Self-medication </w:t>
      </w:r>
      <w:r>
        <w:rPr>
          <w:sz w:val="20"/>
          <w:szCs w:val="20"/>
        </w:rPr>
        <w:t xml:space="preserve">was defined from those who reported using alcohol or illicit drugs in response to their symptoms. </w:t>
      </w:r>
    </w:p>
    <w:p w:rsidR="00862834" w:rsidRDefault="00C12B37">
      <w:pPr>
        <w:spacing w:after="240" w:line="480" w:lineRule="auto"/>
        <w:ind w:firstLine="720"/>
        <w:contextualSpacing w:val="0"/>
        <w:rPr>
          <w:sz w:val="20"/>
          <w:szCs w:val="20"/>
        </w:rPr>
      </w:pPr>
      <w:r>
        <w:rPr>
          <w:sz w:val="20"/>
          <w:szCs w:val="20"/>
        </w:rPr>
        <w:t xml:space="preserve">For stratified analyses, cases were defined as those who reported </w:t>
      </w:r>
      <w:proofErr w:type="gramStart"/>
      <w:r>
        <w:rPr>
          <w:sz w:val="20"/>
          <w:szCs w:val="20"/>
        </w:rPr>
        <w:t>sufficient</w:t>
      </w:r>
      <w:proofErr w:type="gramEnd"/>
      <w:r>
        <w:rPr>
          <w:sz w:val="20"/>
          <w:szCs w:val="20"/>
        </w:rPr>
        <w:t xml:space="preserve"> severity and impact of symptoms to meet lifetime criteria for likely DSM-IV for either </w:t>
      </w:r>
      <w:proofErr w:type="spellStart"/>
      <w:r>
        <w:rPr>
          <w:sz w:val="20"/>
          <w:szCs w:val="20"/>
        </w:rPr>
        <w:t>generalised</w:t>
      </w:r>
      <w:proofErr w:type="spellEnd"/>
      <w:r>
        <w:rPr>
          <w:sz w:val="20"/>
          <w:szCs w:val="20"/>
        </w:rPr>
        <w:t xml:space="preserve"> anxiety disorder or major depressive disorder diagnoses. The </w:t>
      </w:r>
      <w:r>
        <w:rPr>
          <w:b/>
          <w:sz w:val="20"/>
          <w:szCs w:val="20"/>
        </w:rPr>
        <w:t>self-report items</w:t>
      </w:r>
      <w:r>
        <w:rPr>
          <w:sz w:val="20"/>
          <w:szCs w:val="20"/>
        </w:rPr>
        <w:t xml:space="preserve"> were based on questions derived from the Composite International Diagnostic Interview (CIDI; i.e., probable lifetime diagnosis; as described in </w:t>
      </w:r>
      <w:hyperlink r:id="rId27">
        <w:r>
          <w:rPr>
            <w:color w:val="000000"/>
            <w:sz w:val="20"/>
            <w:szCs w:val="20"/>
          </w:rPr>
          <w:t>(Purves et al. 2017; Coleman et al. 2018)</w:t>
        </w:r>
      </w:hyperlink>
      <w:r>
        <w:rPr>
          <w:sz w:val="20"/>
          <w:szCs w:val="20"/>
        </w:rPr>
        <w:t xml:space="preserve">. Cases were excluded if they self-report lifetime diagnoses of schizophrenia, other psychoses or bipolar disorder. Controls were defined as those not meeting criteria for either anxiety, or depression diagnoses, and were excluded if they reported a diagnosis of any psychiatric disorder. Individuals were excluded from analyses if they did not complete mental health online questionnaire (n=157,366), or if they did not endorse at least one of the four core common mental health screening items (worried for a period of more than six-months, worry more than most people in a particular situation, loss of interest in usual activities, prolonged feelings of sadness; Max n=75,322). It should be noted that our 'controls' endorse at least one of the four core common mental health screening items (worried for a period of more than six-months, worry more than most people in a </w:t>
      </w:r>
      <w:proofErr w:type="gramStart"/>
      <w:r>
        <w:rPr>
          <w:sz w:val="20"/>
          <w:szCs w:val="20"/>
        </w:rPr>
        <w:t>particular situation</w:t>
      </w:r>
      <w:proofErr w:type="gramEnd"/>
      <w:r>
        <w:rPr>
          <w:sz w:val="20"/>
          <w:szCs w:val="20"/>
        </w:rPr>
        <w:t xml:space="preserve">, loss of interest in usual activities, prolonged feelings of sadness), and as such are not symptom-free. This </w:t>
      </w:r>
      <w:r>
        <w:rPr>
          <w:sz w:val="20"/>
          <w:szCs w:val="20"/>
        </w:rPr>
        <w:lastRenderedPageBreak/>
        <w:t>is a necessary condition for respondents to report on treatment-seeking in the mental health questionnaire.</w:t>
      </w:r>
    </w:p>
    <w:p w:rsidR="00862834" w:rsidRDefault="00C12B37">
      <w:pPr>
        <w:spacing w:after="240" w:line="480" w:lineRule="auto"/>
        <w:ind w:firstLine="720"/>
        <w:contextualSpacing w:val="0"/>
        <w:rPr>
          <w:sz w:val="20"/>
          <w:szCs w:val="20"/>
        </w:rPr>
      </w:pPr>
      <w:r>
        <w:rPr>
          <w:sz w:val="20"/>
          <w:szCs w:val="20"/>
        </w:rPr>
        <w:t xml:space="preserve">The whole UK Biobank sample (N=502,616) were also asked the question: </w:t>
      </w:r>
      <w:r>
        <w:rPr>
          <w:i/>
          <w:sz w:val="20"/>
          <w:szCs w:val="20"/>
        </w:rPr>
        <w:t xml:space="preserve">“Have you ever seen a GP / psychiatrist for nerves, anxiety, tension or depression?”. </w:t>
      </w:r>
      <w:r>
        <w:rPr>
          <w:sz w:val="20"/>
          <w:szCs w:val="20"/>
        </w:rPr>
        <w:t xml:space="preserve">From this data, we defined a </w:t>
      </w:r>
      <w:r>
        <w:rPr>
          <w:b/>
          <w:sz w:val="20"/>
          <w:szCs w:val="20"/>
        </w:rPr>
        <w:t xml:space="preserve">formal </w:t>
      </w:r>
      <w:r>
        <w:rPr>
          <w:sz w:val="20"/>
          <w:szCs w:val="20"/>
        </w:rPr>
        <w:t>treatment-seeking</w:t>
      </w:r>
      <w:r>
        <w:rPr>
          <w:b/>
          <w:sz w:val="20"/>
          <w:szCs w:val="20"/>
        </w:rPr>
        <w:t xml:space="preserve"> </w:t>
      </w:r>
      <w:r>
        <w:rPr>
          <w:sz w:val="20"/>
          <w:szCs w:val="20"/>
        </w:rPr>
        <w:t xml:space="preserve">phenotype, i.e. participants who reported on seeking help specifically from their doctor or a psychiatrist. Data were available for 391,213 participants reporting on </w:t>
      </w:r>
      <w:r>
        <w:rPr>
          <w:b/>
          <w:sz w:val="20"/>
          <w:szCs w:val="20"/>
        </w:rPr>
        <w:t xml:space="preserve">formal </w:t>
      </w:r>
      <w:r>
        <w:rPr>
          <w:sz w:val="20"/>
          <w:szCs w:val="20"/>
        </w:rPr>
        <w:t>treatment seeking. For these participants, information on symptoms and diagnoses was not available. However, we saw this as an opportunity to test the reproducibility of our primary treatment-seeking analyses in a much larger sample. Results from these analyses are presented in the supplementary material.</w:t>
      </w:r>
    </w:p>
    <w:p w:rsidR="00862834" w:rsidRDefault="00C12B37">
      <w:pPr>
        <w:spacing w:after="240" w:line="480" w:lineRule="auto"/>
        <w:contextualSpacing w:val="0"/>
        <w:rPr>
          <w:i/>
          <w:sz w:val="20"/>
          <w:szCs w:val="20"/>
          <w:u w:val="single"/>
        </w:rPr>
      </w:pPr>
      <w:r>
        <w:rPr>
          <w:i/>
          <w:sz w:val="20"/>
          <w:szCs w:val="20"/>
          <w:u w:val="single"/>
        </w:rPr>
        <w:t>Genetic data</w:t>
      </w:r>
      <w:r>
        <w:rPr>
          <w:i/>
          <w:sz w:val="20"/>
          <w:szCs w:val="20"/>
        </w:rPr>
        <w:br/>
      </w:r>
      <w:r>
        <w:rPr>
          <w:i/>
          <w:sz w:val="20"/>
          <w:szCs w:val="20"/>
        </w:rPr>
        <w:tab/>
      </w:r>
      <w:r>
        <w:rPr>
          <w:sz w:val="20"/>
          <w:szCs w:val="20"/>
        </w:rPr>
        <w:t xml:space="preserve">Genetic data were drawn from the full release of the UK Biobank data (n=487,410; </w:t>
      </w:r>
      <w:hyperlink r:id="rId28">
        <w:proofErr w:type="spellStart"/>
        <w:r>
          <w:rPr>
            <w:color w:val="000000"/>
            <w:sz w:val="20"/>
            <w:szCs w:val="20"/>
          </w:rPr>
          <w:t>Bycroft</w:t>
        </w:r>
        <w:proofErr w:type="spellEnd"/>
        <w:r>
          <w:rPr>
            <w:color w:val="000000"/>
            <w:sz w:val="20"/>
            <w:szCs w:val="20"/>
          </w:rPr>
          <w:t xml:space="preserve"> et al. 2017)</w:t>
        </w:r>
      </w:hyperlink>
      <w:r>
        <w:rPr>
          <w:sz w:val="20"/>
          <w:szCs w:val="20"/>
        </w:rPr>
        <w:t xml:space="preserve">. Standard quality control described previously </w:t>
      </w:r>
      <w:hyperlink r:id="rId29">
        <w:r>
          <w:rPr>
            <w:color w:val="000000"/>
            <w:sz w:val="20"/>
            <w:szCs w:val="20"/>
          </w:rPr>
          <w:t>(Coleman et al. 2018)</w:t>
        </w:r>
      </w:hyperlink>
      <w:r>
        <w:rPr>
          <w:sz w:val="20"/>
          <w:szCs w:val="20"/>
        </w:rPr>
        <w:t xml:space="preserve"> and presented in full in the supplement were applied to the full data. Analyses were limited to common genetic variants imputed to the Haplotype Reference Consortium reference panel with high confidence </w:t>
      </w:r>
      <w:hyperlink r:id="rId30">
        <w:r>
          <w:rPr>
            <w:color w:val="000000"/>
            <w:sz w:val="20"/>
            <w:szCs w:val="20"/>
          </w:rPr>
          <w:t>(McCarthy et al. 2016)</w:t>
        </w:r>
      </w:hyperlink>
      <w:r>
        <w:rPr>
          <w:sz w:val="20"/>
          <w:szCs w:val="20"/>
        </w:rPr>
        <w:t>. Participants were excluded if they had unusual levels of missingness or heterozygosity, they were related to another individual in the dataset, or their phenotypic and genotypic gender information was discordant. All analyses were limited to individuals of White Western European ancestry. This is because 95% of respondents to the mental health questionnaire are of White Western European ancestry. Therefore, we did not have sample sizes required to perform informative genomic analyses in other ancestry groups.</w:t>
      </w:r>
    </w:p>
    <w:p w:rsidR="00862834" w:rsidRDefault="00C12B37">
      <w:pPr>
        <w:spacing w:after="240" w:line="480" w:lineRule="auto"/>
        <w:contextualSpacing w:val="0"/>
        <w:rPr>
          <w:sz w:val="20"/>
          <w:szCs w:val="20"/>
        </w:rPr>
      </w:pPr>
      <w:r>
        <w:rPr>
          <w:i/>
          <w:sz w:val="20"/>
          <w:szCs w:val="20"/>
          <w:u w:val="single"/>
        </w:rPr>
        <w:t>Analyses</w:t>
      </w:r>
      <w:r>
        <w:rPr>
          <w:sz w:val="20"/>
          <w:szCs w:val="20"/>
          <w:highlight w:val="yellow"/>
        </w:rPr>
        <w:br/>
      </w:r>
      <w:r>
        <w:rPr>
          <w:sz w:val="20"/>
          <w:szCs w:val="20"/>
        </w:rPr>
        <w:tab/>
        <w:t xml:space="preserve">All genomic analyses were performed on the residuals from the regression of the binary treatment related phenotypes and age, sex, six population principal components, batch and assessment </w:t>
      </w:r>
      <w:proofErr w:type="spellStart"/>
      <w:r>
        <w:rPr>
          <w:sz w:val="20"/>
          <w:szCs w:val="20"/>
        </w:rPr>
        <w:t>centre</w:t>
      </w:r>
      <w:proofErr w:type="spellEnd"/>
      <w:r>
        <w:rPr>
          <w:sz w:val="20"/>
          <w:szCs w:val="20"/>
        </w:rPr>
        <w:t xml:space="preserve">. Analyses were performed in the whole sample and then stratified by lifetime diagnosis, </w:t>
      </w:r>
      <w:proofErr w:type="gramStart"/>
      <w:r>
        <w:rPr>
          <w:sz w:val="20"/>
          <w:szCs w:val="20"/>
        </w:rPr>
        <w:t>and also</w:t>
      </w:r>
      <w:proofErr w:type="gramEnd"/>
      <w:r>
        <w:rPr>
          <w:sz w:val="20"/>
          <w:szCs w:val="20"/>
        </w:rPr>
        <w:t xml:space="preserve"> by sex. We performed genome-wide association analyses to estimate the effects of 9.94 million genome-wide genetic variants on each phenotype (BGENIE v1.2; </w:t>
      </w:r>
      <w:hyperlink r:id="rId31">
        <w:proofErr w:type="spellStart"/>
        <w:r>
          <w:rPr>
            <w:color w:val="000000"/>
            <w:sz w:val="20"/>
            <w:szCs w:val="20"/>
          </w:rPr>
          <w:t>Bycroft</w:t>
        </w:r>
        <w:proofErr w:type="spellEnd"/>
        <w:r>
          <w:rPr>
            <w:color w:val="000000"/>
            <w:sz w:val="20"/>
            <w:szCs w:val="20"/>
          </w:rPr>
          <w:t xml:space="preserve"> et al. 2017)</w:t>
        </w:r>
      </w:hyperlink>
      <w:r>
        <w:rPr>
          <w:sz w:val="20"/>
          <w:szCs w:val="20"/>
        </w:rPr>
        <w:t xml:space="preserve">. We then estimated how much phenotypic variance could be explained by common genome-wide genetic variants, using linkage disequilibrium score regression (LDSC; </w:t>
      </w:r>
      <w:hyperlink r:id="rId32">
        <w:proofErr w:type="spellStart"/>
        <w:r>
          <w:rPr>
            <w:color w:val="000000"/>
            <w:sz w:val="20"/>
            <w:szCs w:val="20"/>
          </w:rPr>
          <w:t>Bulik</w:t>
        </w:r>
        <w:proofErr w:type="spellEnd"/>
        <w:r>
          <w:rPr>
            <w:color w:val="000000"/>
            <w:sz w:val="20"/>
            <w:szCs w:val="20"/>
          </w:rPr>
          <w:t>-Sullivan et al. 2015)</w:t>
        </w:r>
      </w:hyperlink>
      <w:r>
        <w:rPr>
          <w:sz w:val="20"/>
          <w:szCs w:val="20"/>
        </w:rPr>
        <w:t xml:space="preserve">, converting to the liability scale at the </w:t>
      </w:r>
      <w:r>
        <w:rPr>
          <w:sz w:val="20"/>
          <w:szCs w:val="20"/>
        </w:rPr>
        <w:lastRenderedPageBreak/>
        <w:t xml:space="preserve">full range of population prevalence estimates </w:t>
      </w:r>
      <w:hyperlink r:id="rId33">
        <w:r>
          <w:rPr>
            <w:color w:val="000000"/>
            <w:sz w:val="20"/>
            <w:szCs w:val="20"/>
          </w:rPr>
          <w:t>(</w:t>
        </w:r>
        <w:proofErr w:type="spellStart"/>
        <w:r>
          <w:rPr>
            <w:color w:val="000000"/>
            <w:sz w:val="20"/>
            <w:szCs w:val="20"/>
          </w:rPr>
          <w:t>Bulik</w:t>
        </w:r>
        <w:proofErr w:type="spellEnd"/>
        <w:r>
          <w:rPr>
            <w:color w:val="000000"/>
            <w:sz w:val="20"/>
            <w:szCs w:val="20"/>
          </w:rPr>
          <w:t>-Sullivan et al. 2015)</w:t>
        </w:r>
      </w:hyperlink>
      <w:r>
        <w:rPr>
          <w:sz w:val="20"/>
          <w:szCs w:val="20"/>
        </w:rPr>
        <w:t xml:space="preserve">. We tested differences between </w:t>
      </w:r>
      <w:proofErr w:type="spellStart"/>
      <w:r>
        <w:rPr>
          <w:sz w:val="20"/>
          <w:szCs w:val="20"/>
        </w:rPr>
        <w:t>heritabilities</w:t>
      </w:r>
      <w:proofErr w:type="spellEnd"/>
      <w:r>
        <w:rPr>
          <w:sz w:val="20"/>
          <w:szCs w:val="20"/>
        </w:rPr>
        <w:t xml:space="preserve"> using a block-jackknife approach (supplementary methods). </w:t>
      </w:r>
    </w:p>
    <w:p w:rsidR="00862834" w:rsidRDefault="00C12B37" w:rsidP="00992A8F">
      <w:pPr>
        <w:spacing w:after="240" w:line="480" w:lineRule="auto"/>
        <w:ind w:firstLine="720"/>
        <w:contextualSpacing w:val="0"/>
        <w:rPr>
          <w:sz w:val="20"/>
          <w:szCs w:val="20"/>
        </w:rPr>
      </w:pPr>
      <w:r>
        <w:rPr>
          <w:sz w:val="20"/>
          <w:szCs w:val="20"/>
        </w:rPr>
        <w:t>We also estimated genetic correlations (</w:t>
      </w:r>
      <w:proofErr w:type="spellStart"/>
      <w:r>
        <w:rPr>
          <w:sz w:val="20"/>
          <w:szCs w:val="20"/>
        </w:rPr>
        <w:t>r</w:t>
      </w:r>
      <w:r>
        <w:rPr>
          <w:sz w:val="20"/>
          <w:szCs w:val="20"/>
          <w:vertAlign w:val="subscript"/>
        </w:rPr>
        <w:t>g</w:t>
      </w:r>
      <w:proofErr w:type="spellEnd"/>
      <w:r>
        <w:rPr>
          <w:sz w:val="20"/>
          <w:szCs w:val="20"/>
        </w:rPr>
        <w:t xml:space="preserve">) between treatment related phenotypes </w:t>
      </w:r>
      <w:proofErr w:type="gramStart"/>
      <w:r>
        <w:rPr>
          <w:sz w:val="20"/>
          <w:szCs w:val="20"/>
        </w:rPr>
        <w:t>and also</w:t>
      </w:r>
      <w:proofErr w:type="gramEnd"/>
      <w:r>
        <w:rPr>
          <w:sz w:val="20"/>
          <w:szCs w:val="20"/>
        </w:rPr>
        <w:t xml:space="preserve"> with a range of psychiatric disorders, personality and </w:t>
      </w:r>
      <w:proofErr w:type="spellStart"/>
      <w:r>
        <w:rPr>
          <w:sz w:val="20"/>
          <w:szCs w:val="20"/>
        </w:rPr>
        <w:t>behavioural</w:t>
      </w:r>
      <w:proofErr w:type="spellEnd"/>
      <w:r>
        <w:rPr>
          <w:sz w:val="20"/>
          <w:szCs w:val="20"/>
        </w:rPr>
        <w:t xml:space="preserve"> traits. We selected a range of well-powered GWAS of psychiatric, </w:t>
      </w:r>
      <w:proofErr w:type="spellStart"/>
      <w:r>
        <w:rPr>
          <w:sz w:val="20"/>
          <w:szCs w:val="20"/>
        </w:rPr>
        <w:t>behavioural</w:t>
      </w:r>
      <w:proofErr w:type="spellEnd"/>
      <w:r>
        <w:rPr>
          <w:sz w:val="20"/>
          <w:szCs w:val="20"/>
        </w:rPr>
        <w:t xml:space="preserve"> and related traits to provide a thorough examination of the genetic overlap between treatment related phenotypes and behaviour, psychopathology (for the full list, including references see supplement and/or Figure 2). Significance was assessed after Bonferroni multiple testing correction.</w:t>
      </w:r>
    </w:p>
    <w:p w:rsidR="00992A8F" w:rsidRDefault="00992A8F">
      <w:pPr>
        <w:spacing w:after="240" w:line="480" w:lineRule="auto"/>
        <w:contextualSpacing w:val="0"/>
        <w:rPr>
          <w:b/>
          <w:sz w:val="20"/>
          <w:szCs w:val="20"/>
          <w:u w:val="single"/>
        </w:rPr>
      </w:pPr>
    </w:p>
    <w:p w:rsidR="00862834" w:rsidRDefault="00C12B37">
      <w:pPr>
        <w:spacing w:after="240" w:line="480" w:lineRule="auto"/>
        <w:contextualSpacing w:val="0"/>
        <w:rPr>
          <w:sz w:val="20"/>
          <w:szCs w:val="20"/>
        </w:rPr>
      </w:pPr>
      <w:r>
        <w:rPr>
          <w:b/>
          <w:sz w:val="20"/>
          <w:szCs w:val="20"/>
          <w:u w:val="single"/>
        </w:rPr>
        <w:t>Results</w:t>
      </w:r>
      <w:r>
        <w:rPr>
          <w:b/>
          <w:sz w:val="20"/>
          <w:szCs w:val="20"/>
          <w:u w:val="single"/>
        </w:rPr>
        <w:br/>
      </w:r>
      <w:r>
        <w:rPr>
          <w:i/>
          <w:sz w:val="20"/>
          <w:szCs w:val="20"/>
          <w:u w:val="single"/>
        </w:rPr>
        <w:t>Phenotype distribution</w:t>
      </w:r>
      <w:r>
        <w:rPr>
          <w:i/>
          <w:sz w:val="20"/>
          <w:szCs w:val="20"/>
          <w:u w:val="single"/>
        </w:rPr>
        <w:br/>
      </w:r>
      <w:r>
        <w:rPr>
          <w:sz w:val="20"/>
          <w:szCs w:val="20"/>
        </w:rPr>
        <w:tab/>
        <w:t xml:space="preserve">Phenotype and genotype data were available for participants reporting on treatment-seeking </w:t>
      </w:r>
      <w:r>
        <w:rPr>
          <w:i/>
          <w:sz w:val="20"/>
          <w:szCs w:val="20"/>
        </w:rPr>
        <w:t>(n=71,416)</w:t>
      </w:r>
      <w:r>
        <w:rPr>
          <w:sz w:val="20"/>
          <w:szCs w:val="20"/>
        </w:rPr>
        <w:t>, treatment-receipt (</w:t>
      </w:r>
      <w:r>
        <w:rPr>
          <w:i/>
          <w:sz w:val="20"/>
          <w:szCs w:val="20"/>
        </w:rPr>
        <w:t>n=48,106)</w:t>
      </w:r>
      <w:r>
        <w:rPr>
          <w:sz w:val="20"/>
          <w:szCs w:val="20"/>
        </w:rPr>
        <w:t>, self-help (</w:t>
      </w:r>
      <w:r>
        <w:rPr>
          <w:i/>
          <w:sz w:val="20"/>
          <w:szCs w:val="20"/>
        </w:rPr>
        <w:t>n=75,322)</w:t>
      </w:r>
      <w:r>
        <w:rPr>
          <w:sz w:val="20"/>
          <w:szCs w:val="20"/>
        </w:rPr>
        <w:t>, and self-medication (</w:t>
      </w:r>
      <w:r>
        <w:rPr>
          <w:i/>
          <w:sz w:val="20"/>
          <w:szCs w:val="20"/>
        </w:rPr>
        <w:t>n=75,128; Table 1)</w:t>
      </w:r>
      <w:r>
        <w:rPr>
          <w:sz w:val="20"/>
          <w:szCs w:val="20"/>
        </w:rPr>
        <w:t xml:space="preserve">. Based on the self-report items, the lifetime prevalence of </w:t>
      </w:r>
      <w:proofErr w:type="spellStart"/>
      <w:r>
        <w:rPr>
          <w:sz w:val="20"/>
          <w:szCs w:val="20"/>
        </w:rPr>
        <w:t>generalised</w:t>
      </w:r>
      <w:proofErr w:type="spellEnd"/>
      <w:r>
        <w:rPr>
          <w:sz w:val="20"/>
          <w:szCs w:val="20"/>
        </w:rPr>
        <w:t xml:space="preserve"> anxiety disorder and major depressive disorder was 11% and 38% respectively (in individuals seeking treatment). Combined, the prevalence of experiencing a common mental disorder across the lifespan was 41%. All participants in our primary sample reported experiencing at least one core symptom of anxiety or depression across their lifetime. The majority (67%) of the sample reported informing a professional about their symptoms and </w:t>
      </w:r>
      <w:r w:rsidR="00E37E57">
        <w:rPr>
          <w:sz w:val="20"/>
          <w:szCs w:val="20"/>
        </w:rPr>
        <w:t>most of</w:t>
      </w:r>
      <w:r>
        <w:rPr>
          <w:sz w:val="20"/>
          <w:szCs w:val="20"/>
        </w:rPr>
        <w:t xml:space="preserve"> these individuals (84%) reported receiving treatment for their symptoms (i.e. 56% of the total sample). Of the whole sample, 14% report </w:t>
      </w:r>
      <w:proofErr w:type="spellStart"/>
      <w:r>
        <w:rPr>
          <w:sz w:val="20"/>
          <w:szCs w:val="20"/>
        </w:rPr>
        <w:t>utilising</w:t>
      </w:r>
      <w:proofErr w:type="spellEnd"/>
      <w:r>
        <w:rPr>
          <w:sz w:val="20"/>
          <w:szCs w:val="20"/>
        </w:rPr>
        <w:t xml:space="preserve"> some form of self-help approach such as exercise, mindfulness or over-the-counter medication, and 14% report self-medicating with alcohol or drugs. </w:t>
      </w:r>
    </w:p>
    <w:p w:rsidR="00862834" w:rsidRDefault="00862834">
      <w:pPr>
        <w:spacing w:after="240" w:line="480" w:lineRule="auto"/>
        <w:contextualSpacing w:val="0"/>
        <w:rPr>
          <w:sz w:val="20"/>
          <w:szCs w:val="20"/>
          <w:u w:val="single"/>
        </w:rPr>
      </w:pPr>
    </w:p>
    <w:p w:rsidR="00992A8F" w:rsidRDefault="00992A8F">
      <w:pPr>
        <w:spacing w:after="240" w:line="480" w:lineRule="auto"/>
        <w:contextualSpacing w:val="0"/>
        <w:rPr>
          <w:sz w:val="20"/>
          <w:szCs w:val="20"/>
          <w:u w:val="single"/>
        </w:rPr>
      </w:pPr>
    </w:p>
    <w:p w:rsidR="00862834" w:rsidRPr="00B82C65" w:rsidRDefault="00C12B37" w:rsidP="00992A8F">
      <w:pPr>
        <w:spacing w:after="240" w:line="360" w:lineRule="auto"/>
        <w:contextualSpacing w:val="0"/>
        <w:rPr>
          <w:i/>
          <w:sz w:val="18"/>
          <w:szCs w:val="18"/>
        </w:rPr>
      </w:pPr>
      <w:r w:rsidRPr="00B82C65">
        <w:rPr>
          <w:i/>
          <w:sz w:val="20"/>
          <w:szCs w:val="20"/>
          <w:u w:val="single"/>
        </w:rPr>
        <w:t>Table 1. Treatment seeking phenotype distributions in the full sample and stratified by CIDI derived lifetime diagnosis of a common mental disorder status and sex</w:t>
      </w:r>
    </w:p>
    <w:tbl>
      <w:tblPr>
        <w:tblStyle w:val="ListTable2"/>
        <w:tblW w:w="9350" w:type="dxa"/>
        <w:tblLayout w:type="fixed"/>
        <w:tblLook w:val="0600" w:firstRow="0" w:lastRow="0" w:firstColumn="0" w:lastColumn="0" w:noHBand="1" w:noVBand="1"/>
      </w:tblPr>
      <w:tblGrid>
        <w:gridCol w:w="2131"/>
        <w:gridCol w:w="1065"/>
        <w:gridCol w:w="1307"/>
        <w:gridCol w:w="1322"/>
        <w:gridCol w:w="1087"/>
        <w:gridCol w:w="1205"/>
        <w:gridCol w:w="1233"/>
      </w:tblGrid>
      <w:tr w:rsidR="00862834" w:rsidRPr="00B82C65" w:rsidTr="00B82C65">
        <w:trPr>
          <w:trHeight w:val="240"/>
        </w:trPr>
        <w:tc>
          <w:tcPr>
            <w:tcW w:w="2131" w:type="dxa"/>
            <w:vAlign w:val="center"/>
          </w:tcPr>
          <w:p w:rsidR="00862834" w:rsidRPr="00B82C65" w:rsidRDefault="00862834" w:rsidP="00992A8F">
            <w:pPr>
              <w:widowControl w:val="0"/>
              <w:contextualSpacing w:val="0"/>
              <w:jc w:val="center"/>
              <w:rPr>
                <w:sz w:val="20"/>
                <w:szCs w:val="20"/>
              </w:rPr>
            </w:pPr>
          </w:p>
        </w:tc>
        <w:tc>
          <w:tcPr>
            <w:tcW w:w="1065" w:type="dxa"/>
            <w:vAlign w:val="center"/>
          </w:tcPr>
          <w:p w:rsidR="00862834" w:rsidRPr="00B82C65" w:rsidRDefault="00862834" w:rsidP="00992A8F">
            <w:pPr>
              <w:widowControl w:val="0"/>
              <w:contextualSpacing w:val="0"/>
              <w:jc w:val="center"/>
              <w:rPr>
                <w:sz w:val="20"/>
                <w:szCs w:val="20"/>
              </w:rPr>
            </w:pPr>
          </w:p>
        </w:tc>
        <w:tc>
          <w:tcPr>
            <w:tcW w:w="1307" w:type="dxa"/>
            <w:vAlign w:val="center"/>
          </w:tcPr>
          <w:p w:rsidR="00862834" w:rsidRPr="00B82C65" w:rsidRDefault="00862834" w:rsidP="00992A8F">
            <w:pPr>
              <w:widowControl w:val="0"/>
              <w:contextualSpacing w:val="0"/>
              <w:jc w:val="center"/>
              <w:rPr>
                <w:sz w:val="20"/>
                <w:szCs w:val="20"/>
              </w:rPr>
            </w:pPr>
          </w:p>
        </w:tc>
        <w:tc>
          <w:tcPr>
            <w:tcW w:w="2409" w:type="dxa"/>
            <w:gridSpan w:val="2"/>
            <w:vAlign w:val="center"/>
          </w:tcPr>
          <w:p w:rsidR="00862834" w:rsidRPr="00B82C65" w:rsidRDefault="00C12B37" w:rsidP="00992A8F">
            <w:pPr>
              <w:widowControl w:val="0"/>
              <w:contextualSpacing w:val="0"/>
              <w:jc w:val="center"/>
              <w:rPr>
                <w:sz w:val="20"/>
                <w:szCs w:val="20"/>
              </w:rPr>
            </w:pPr>
            <w:r w:rsidRPr="00B82C65">
              <w:rPr>
                <w:b/>
                <w:sz w:val="20"/>
                <w:szCs w:val="20"/>
              </w:rPr>
              <w:t>Lifetime diagnosis</w:t>
            </w:r>
          </w:p>
        </w:tc>
        <w:tc>
          <w:tcPr>
            <w:tcW w:w="2438" w:type="dxa"/>
            <w:gridSpan w:val="2"/>
            <w:vAlign w:val="center"/>
          </w:tcPr>
          <w:p w:rsidR="00862834" w:rsidRPr="00B82C65" w:rsidRDefault="00C12B37" w:rsidP="00992A8F">
            <w:pPr>
              <w:widowControl w:val="0"/>
              <w:contextualSpacing w:val="0"/>
              <w:jc w:val="center"/>
              <w:rPr>
                <w:sz w:val="20"/>
                <w:szCs w:val="20"/>
              </w:rPr>
            </w:pPr>
            <w:r w:rsidRPr="00B82C65">
              <w:rPr>
                <w:b/>
                <w:sz w:val="20"/>
                <w:szCs w:val="20"/>
              </w:rPr>
              <w:t>Sex</w:t>
            </w:r>
          </w:p>
        </w:tc>
      </w:tr>
      <w:tr w:rsidR="00862834" w:rsidRPr="00B82C65" w:rsidTr="00B82C65">
        <w:trPr>
          <w:trHeight w:val="300"/>
        </w:trPr>
        <w:tc>
          <w:tcPr>
            <w:tcW w:w="2131" w:type="dxa"/>
            <w:vAlign w:val="center"/>
          </w:tcPr>
          <w:p w:rsidR="00862834" w:rsidRPr="00B82C65" w:rsidRDefault="00862834" w:rsidP="00992A8F">
            <w:pPr>
              <w:widowControl w:val="0"/>
              <w:contextualSpacing w:val="0"/>
              <w:jc w:val="center"/>
              <w:rPr>
                <w:sz w:val="20"/>
                <w:szCs w:val="20"/>
              </w:rPr>
            </w:pPr>
          </w:p>
        </w:tc>
        <w:tc>
          <w:tcPr>
            <w:tcW w:w="1065" w:type="dxa"/>
            <w:vAlign w:val="center"/>
          </w:tcPr>
          <w:p w:rsidR="00862834" w:rsidRPr="00B82C65" w:rsidRDefault="00862834" w:rsidP="00992A8F">
            <w:pPr>
              <w:widowControl w:val="0"/>
              <w:contextualSpacing w:val="0"/>
              <w:jc w:val="center"/>
              <w:rPr>
                <w:sz w:val="20"/>
                <w:szCs w:val="20"/>
              </w:rPr>
            </w:pPr>
          </w:p>
        </w:tc>
        <w:tc>
          <w:tcPr>
            <w:tcW w:w="1307" w:type="dxa"/>
            <w:vAlign w:val="center"/>
          </w:tcPr>
          <w:p w:rsidR="00862834" w:rsidRPr="00B82C65" w:rsidRDefault="00C12B37" w:rsidP="00992A8F">
            <w:pPr>
              <w:widowControl w:val="0"/>
              <w:contextualSpacing w:val="0"/>
              <w:jc w:val="center"/>
              <w:rPr>
                <w:b/>
                <w:i/>
                <w:sz w:val="20"/>
                <w:szCs w:val="20"/>
              </w:rPr>
            </w:pPr>
            <w:r w:rsidRPr="00B82C65">
              <w:rPr>
                <w:b/>
                <w:i/>
                <w:sz w:val="20"/>
                <w:szCs w:val="20"/>
              </w:rPr>
              <w:t xml:space="preserve">N </w:t>
            </w:r>
            <w:r w:rsidRPr="00B82C65">
              <w:rPr>
                <w:i/>
                <w:sz w:val="20"/>
                <w:szCs w:val="20"/>
                <w:vertAlign w:val="superscript"/>
              </w:rPr>
              <w:t>(a)</w:t>
            </w:r>
          </w:p>
        </w:tc>
        <w:tc>
          <w:tcPr>
            <w:tcW w:w="1322" w:type="dxa"/>
            <w:vAlign w:val="center"/>
          </w:tcPr>
          <w:p w:rsidR="00862834" w:rsidRPr="00B82C65" w:rsidRDefault="00C12B37" w:rsidP="00992A8F">
            <w:pPr>
              <w:widowControl w:val="0"/>
              <w:contextualSpacing w:val="0"/>
              <w:jc w:val="center"/>
              <w:rPr>
                <w:sz w:val="20"/>
                <w:szCs w:val="20"/>
              </w:rPr>
            </w:pPr>
            <w:r w:rsidRPr="00B82C65">
              <w:rPr>
                <w:b/>
                <w:i/>
                <w:sz w:val="20"/>
                <w:szCs w:val="20"/>
              </w:rPr>
              <w:t xml:space="preserve">Controls </w:t>
            </w:r>
            <w:r w:rsidRPr="00B82C65">
              <w:rPr>
                <w:i/>
                <w:sz w:val="20"/>
                <w:szCs w:val="20"/>
                <w:vertAlign w:val="superscript"/>
              </w:rPr>
              <w:t>(b)</w:t>
            </w:r>
          </w:p>
        </w:tc>
        <w:tc>
          <w:tcPr>
            <w:tcW w:w="1087" w:type="dxa"/>
            <w:vAlign w:val="center"/>
          </w:tcPr>
          <w:p w:rsidR="00862834" w:rsidRPr="00B82C65" w:rsidRDefault="00C12B37" w:rsidP="00992A8F">
            <w:pPr>
              <w:widowControl w:val="0"/>
              <w:contextualSpacing w:val="0"/>
              <w:jc w:val="center"/>
              <w:rPr>
                <w:sz w:val="20"/>
                <w:szCs w:val="20"/>
              </w:rPr>
            </w:pPr>
            <w:r w:rsidRPr="00B82C65">
              <w:rPr>
                <w:b/>
                <w:i/>
                <w:sz w:val="20"/>
                <w:szCs w:val="20"/>
              </w:rPr>
              <w:t xml:space="preserve">Cases </w:t>
            </w:r>
            <w:r w:rsidRPr="00B82C65">
              <w:rPr>
                <w:i/>
                <w:sz w:val="20"/>
                <w:szCs w:val="20"/>
                <w:vertAlign w:val="superscript"/>
              </w:rPr>
              <w:t>(b)</w:t>
            </w:r>
          </w:p>
        </w:tc>
        <w:tc>
          <w:tcPr>
            <w:tcW w:w="1205" w:type="dxa"/>
            <w:vAlign w:val="center"/>
          </w:tcPr>
          <w:p w:rsidR="00862834" w:rsidRPr="00B82C65" w:rsidRDefault="00C12B37" w:rsidP="00992A8F">
            <w:pPr>
              <w:widowControl w:val="0"/>
              <w:contextualSpacing w:val="0"/>
              <w:jc w:val="center"/>
              <w:rPr>
                <w:sz w:val="20"/>
                <w:szCs w:val="20"/>
              </w:rPr>
            </w:pPr>
            <w:r w:rsidRPr="00B82C65">
              <w:rPr>
                <w:b/>
                <w:i/>
                <w:sz w:val="20"/>
                <w:szCs w:val="20"/>
              </w:rPr>
              <w:t xml:space="preserve">Female </w:t>
            </w:r>
            <w:r w:rsidRPr="00B82C65">
              <w:rPr>
                <w:i/>
                <w:sz w:val="20"/>
                <w:szCs w:val="20"/>
                <w:vertAlign w:val="superscript"/>
              </w:rPr>
              <w:t>(b)</w:t>
            </w:r>
          </w:p>
        </w:tc>
        <w:tc>
          <w:tcPr>
            <w:tcW w:w="1233" w:type="dxa"/>
            <w:vAlign w:val="center"/>
          </w:tcPr>
          <w:p w:rsidR="00862834" w:rsidRPr="00B82C65" w:rsidRDefault="00C12B37" w:rsidP="00992A8F">
            <w:pPr>
              <w:widowControl w:val="0"/>
              <w:contextualSpacing w:val="0"/>
              <w:jc w:val="center"/>
              <w:rPr>
                <w:sz w:val="20"/>
                <w:szCs w:val="20"/>
              </w:rPr>
            </w:pPr>
            <w:r w:rsidRPr="00B82C65">
              <w:rPr>
                <w:b/>
                <w:i/>
                <w:sz w:val="20"/>
                <w:szCs w:val="20"/>
              </w:rPr>
              <w:t xml:space="preserve">Male </w:t>
            </w:r>
            <w:r w:rsidRPr="00B82C65">
              <w:rPr>
                <w:i/>
                <w:sz w:val="20"/>
                <w:szCs w:val="20"/>
                <w:vertAlign w:val="superscript"/>
              </w:rPr>
              <w:t>(b)</w:t>
            </w:r>
          </w:p>
        </w:tc>
      </w:tr>
      <w:tr w:rsidR="00862834" w:rsidRPr="00B82C65" w:rsidTr="00B82C65">
        <w:trPr>
          <w:trHeight w:val="300"/>
        </w:trPr>
        <w:tc>
          <w:tcPr>
            <w:tcW w:w="2131" w:type="dxa"/>
            <w:vMerge w:val="restart"/>
            <w:vAlign w:val="center"/>
          </w:tcPr>
          <w:p w:rsidR="00862834" w:rsidRPr="00B82C65" w:rsidRDefault="00C12B37" w:rsidP="00992A8F">
            <w:pPr>
              <w:widowControl w:val="0"/>
              <w:contextualSpacing w:val="0"/>
              <w:jc w:val="center"/>
              <w:rPr>
                <w:sz w:val="20"/>
                <w:szCs w:val="20"/>
              </w:rPr>
            </w:pPr>
            <w:r w:rsidRPr="00B82C65">
              <w:rPr>
                <w:sz w:val="20"/>
                <w:szCs w:val="20"/>
              </w:rPr>
              <w:t>Treatment-seeking</w:t>
            </w: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No</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23,362</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16,789</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4,222</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12,528</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10,834</w:t>
            </w:r>
          </w:p>
        </w:tc>
      </w:tr>
      <w:tr w:rsidR="00862834" w:rsidRPr="00B82C65" w:rsidTr="00B82C65">
        <w:trPr>
          <w:trHeight w:val="300"/>
        </w:trPr>
        <w:tc>
          <w:tcPr>
            <w:tcW w:w="2131" w:type="dxa"/>
            <w:vMerge/>
            <w:vAlign w:val="center"/>
          </w:tcPr>
          <w:p w:rsidR="00862834" w:rsidRPr="00B82C65" w:rsidRDefault="00862834" w:rsidP="00992A8F">
            <w:pPr>
              <w:widowControl w:val="0"/>
              <w:contextualSpacing w:val="0"/>
              <w:jc w:val="center"/>
              <w:rPr>
                <w:sz w:val="20"/>
                <w:szCs w:val="20"/>
              </w:rPr>
            </w:pP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Yes</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48,054</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14,700</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25,810</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32,706</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15,348</w:t>
            </w:r>
          </w:p>
        </w:tc>
      </w:tr>
      <w:tr w:rsidR="00862834" w:rsidRPr="00B82C65" w:rsidTr="00B82C65">
        <w:trPr>
          <w:trHeight w:val="300"/>
        </w:trPr>
        <w:tc>
          <w:tcPr>
            <w:tcW w:w="2131" w:type="dxa"/>
            <w:vMerge/>
            <w:vAlign w:val="center"/>
          </w:tcPr>
          <w:p w:rsidR="00862834" w:rsidRPr="00B82C65" w:rsidRDefault="00862834" w:rsidP="00992A8F">
            <w:pPr>
              <w:widowControl w:val="0"/>
              <w:contextualSpacing w:val="0"/>
              <w:jc w:val="center"/>
              <w:rPr>
                <w:sz w:val="20"/>
                <w:szCs w:val="20"/>
              </w:rPr>
            </w:pP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 xml:space="preserve">Prev. </w:t>
            </w:r>
            <w:r w:rsidRPr="00B82C65">
              <w:rPr>
                <w:sz w:val="20"/>
                <w:szCs w:val="20"/>
                <w:vertAlign w:val="superscript"/>
              </w:rPr>
              <w:t>(</w:t>
            </w:r>
            <w:r w:rsidRPr="00B82C65">
              <w:rPr>
                <w:b/>
                <w:sz w:val="20"/>
                <w:szCs w:val="20"/>
              </w:rPr>
              <w:t>*</w:t>
            </w:r>
            <w:r w:rsidRPr="00B82C65">
              <w:rPr>
                <w:sz w:val="20"/>
                <w:szCs w:val="20"/>
                <w:vertAlign w:val="superscript"/>
              </w:rPr>
              <w:t>)</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0.67</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0.47</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0.86</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0.72</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0.59</w:t>
            </w:r>
          </w:p>
        </w:tc>
      </w:tr>
      <w:tr w:rsidR="00862834" w:rsidRPr="00B82C65" w:rsidTr="00B82C65">
        <w:trPr>
          <w:trHeight w:val="300"/>
        </w:trPr>
        <w:tc>
          <w:tcPr>
            <w:tcW w:w="2131" w:type="dxa"/>
            <w:vMerge w:val="restart"/>
            <w:vAlign w:val="center"/>
          </w:tcPr>
          <w:p w:rsidR="00862834" w:rsidRPr="00B82C65" w:rsidRDefault="00C12B37" w:rsidP="00992A8F">
            <w:pPr>
              <w:widowControl w:val="0"/>
              <w:contextualSpacing w:val="0"/>
              <w:jc w:val="center"/>
              <w:rPr>
                <w:sz w:val="20"/>
                <w:szCs w:val="20"/>
              </w:rPr>
            </w:pPr>
            <w:r w:rsidRPr="00B82C65">
              <w:rPr>
                <w:sz w:val="20"/>
                <w:szCs w:val="20"/>
              </w:rPr>
              <w:t>Treatment-receipt</w:t>
            </w: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No</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7,670</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4,005</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2,552</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4,914</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2,756</w:t>
            </w:r>
          </w:p>
        </w:tc>
      </w:tr>
      <w:tr w:rsidR="00862834" w:rsidRPr="00B82C65" w:rsidTr="00B82C65">
        <w:trPr>
          <w:trHeight w:val="300"/>
        </w:trPr>
        <w:tc>
          <w:tcPr>
            <w:tcW w:w="2131" w:type="dxa"/>
            <w:vMerge/>
            <w:vAlign w:val="center"/>
          </w:tcPr>
          <w:p w:rsidR="00862834" w:rsidRPr="00B82C65" w:rsidRDefault="00862834" w:rsidP="00992A8F">
            <w:pPr>
              <w:widowControl w:val="0"/>
              <w:contextualSpacing w:val="0"/>
              <w:jc w:val="center"/>
              <w:rPr>
                <w:sz w:val="20"/>
                <w:szCs w:val="20"/>
              </w:rPr>
            </w:pP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Yes</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40,436</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10,715</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23,283</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27,829</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12,607</w:t>
            </w:r>
          </w:p>
        </w:tc>
      </w:tr>
      <w:tr w:rsidR="00862834" w:rsidRPr="00B82C65" w:rsidTr="00B82C65">
        <w:trPr>
          <w:trHeight w:val="300"/>
        </w:trPr>
        <w:tc>
          <w:tcPr>
            <w:tcW w:w="2131" w:type="dxa"/>
            <w:vMerge/>
            <w:vAlign w:val="center"/>
          </w:tcPr>
          <w:p w:rsidR="00862834" w:rsidRPr="00B82C65" w:rsidRDefault="00862834" w:rsidP="00992A8F">
            <w:pPr>
              <w:widowControl w:val="0"/>
              <w:contextualSpacing w:val="0"/>
              <w:jc w:val="center"/>
              <w:rPr>
                <w:sz w:val="20"/>
                <w:szCs w:val="20"/>
              </w:rPr>
            </w:pP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 xml:space="preserve">Prev. </w:t>
            </w:r>
            <w:r w:rsidRPr="00B82C65">
              <w:rPr>
                <w:sz w:val="20"/>
                <w:szCs w:val="20"/>
                <w:vertAlign w:val="superscript"/>
              </w:rPr>
              <w:t>(</w:t>
            </w:r>
            <w:r w:rsidRPr="00B82C65">
              <w:rPr>
                <w:b/>
                <w:sz w:val="20"/>
                <w:szCs w:val="20"/>
              </w:rPr>
              <w:t>*</w:t>
            </w:r>
            <w:r w:rsidRPr="00B82C65">
              <w:rPr>
                <w:sz w:val="20"/>
                <w:szCs w:val="20"/>
                <w:vertAlign w:val="superscript"/>
              </w:rPr>
              <w:t>)</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0.84</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0.73</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0.9</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0.85</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0.82</w:t>
            </w:r>
          </w:p>
        </w:tc>
      </w:tr>
      <w:tr w:rsidR="00862834" w:rsidRPr="00B82C65" w:rsidTr="00B82C65">
        <w:trPr>
          <w:trHeight w:val="300"/>
        </w:trPr>
        <w:tc>
          <w:tcPr>
            <w:tcW w:w="2131" w:type="dxa"/>
            <w:vMerge w:val="restart"/>
            <w:vAlign w:val="center"/>
          </w:tcPr>
          <w:p w:rsidR="00862834" w:rsidRPr="00B82C65" w:rsidRDefault="00C12B37" w:rsidP="00992A8F">
            <w:pPr>
              <w:widowControl w:val="0"/>
              <w:contextualSpacing w:val="0"/>
              <w:jc w:val="center"/>
              <w:rPr>
                <w:sz w:val="20"/>
                <w:szCs w:val="20"/>
              </w:rPr>
            </w:pPr>
            <w:r w:rsidRPr="00B82C65">
              <w:rPr>
                <w:sz w:val="20"/>
                <w:szCs w:val="20"/>
              </w:rPr>
              <w:t>Self-help</w:t>
            </w: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No</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60,091</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29,451</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22,515</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36,132</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23,959</w:t>
            </w:r>
          </w:p>
        </w:tc>
      </w:tr>
      <w:tr w:rsidR="00862834" w:rsidRPr="00B82C65" w:rsidTr="00B82C65">
        <w:trPr>
          <w:trHeight w:val="300"/>
        </w:trPr>
        <w:tc>
          <w:tcPr>
            <w:tcW w:w="2131" w:type="dxa"/>
            <w:vMerge/>
            <w:vAlign w:val="center"/>
          </w:tcPr>
          <w:p w:rsidR="00862834" w:rsidRPr="00B82C65" w:rsidRDefault="00862834" w:rsidP="00992A8F">
            <w:pPr>
              <w:widowControl w:val="0"/>
              <w:contextualSpacing w:val="0"/>
              <w:jc w:val="center"/>
              <w:rPr>
                <w:sz w:val="20"/>
                <w:szCs w:val="20"/>
              </w:rPr>
            </w:pP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Yes</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15,231</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4,317</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8,519</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11,587</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3,644</w:t>
            </w:r>
          </w:p>
        </w:tc>
      </w:tr>
      <w:tr w:rsidR="00862834" w:rsidRPr="00B82C65" w:rsidTr="00B82C65">
        <w:trPr>
          <w:trHeight w:val="300"/>
        </w:trPr>
        <w:tc>
          <w:tcPr>
            <w:tcW w:w="2131" w:type="dxa"/>
            <w:vMerge/>
            <w:vAlign w:val="center"/>
          </w:tcPr>
          <w:p w:rsidR="00862834" w:rsidRPr="00B82C65" w:rsidRDefault="00862834" w:rsidP="00992A8F">
            <w:pPr>
              <w:widowControl w:val="0"/>
              <w:contextualSpacing w:val="0"/>
              <w:jc w:val="center"/>
              <w:rPr>
                <w:sz w:val="20"/>
                <w:szCs w:val="20"/>
              </w:rPr>
            </w:pP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 xml:space="preserve">Prev. </w:t>
            </w:r>
            <w:r w:rsidRPr="00B82C65">
              <w:rPr>
                <w:sz w:val="20"/>
                <w:szCs w:val="20"/>
                <w:vertAlign w:val="superscript"/>
              </w:rPr>
              <w:t>(</w:t>
            </w:r>
            <w:r w:rsidRPr="00B82C65">
              <w:rPr>
                <w:b/>
                <w:sz w:val="20"/>
                <w:szCs w:val="20"/>
              </w:rPr>
              <w:t>*</w:t>
            </w:r>
            <w:r w:rsidRPr="00B82C65">
              <w:rPr>
                <w:sz w:val="20"/>
                <w:szCs w:val="20"/>
                <w:vertAlign w:val="superscript"/>
              </w:rPr>
              <w:t>)</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0.2</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0.13</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0.27</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0.24</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0.13</w:t>
            </w:r>
          </w:p>
        </w:tc>
      </w:tr>
      <w:tr w:rsidR="00862834" w:rsidRPr="00B82C65" w:rsidTr="00B82C65">
        <w:trPr>
          <w:trHeight w:val="300"/>
        </w:trPr>
        <w:tc>
          <w:tcPr>
            <w:tcW w:w="2131" w:type="dxa"/>
            <w:vMerge w:val="restart"/>
            <w:vAlign w:val="center"/>
          </w:tcPr>
          <w:p w:rsidR="00862834" w:rsidRPr="00B82C65" w:rsidRDefault="00C12B37" w:rsidP="00992A8F">
            <w:pPr>
              <w:widowControl w:val="0"/>
              <w:contextualSpacing w:val="0"/>
              <w:jc w:val="center"/>
              <w:rPr>
                <w:sz w:val="20"/>
                <w:szCs w:val="20"/>
              </w:rPr>
            </w:pPr>
            <w:r w:rsidRPr="00B82C65">
              <w:rPr>
                <w:sz w:val="20"/>
                <w:szCs w:val="20"/>
              </w:rPr>
              <w:t>Self-medication</w:t>
            </w: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No</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64,171</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30,642</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24,714</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41,670</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22,501</w:t>
            </w:r>
          </w:p>
        </w:tc>
      </w:tr>
      <w:tr w:rsidR="00862834" w:rsidRPr="00B82C65" w:rsidTr="00B82C65">
        <w:trPr>
          <w:trHeight w:val="300"/>
        </w:trPr>
        <w:tc>
          <w:tcPr>
            <w:tcW w:w="2131" w:type="dxa"/>
            <w:vMerge/>
            <w:vAlign w:val="center"/>
          </w:tcPr>
          <w:p w:rsidR="00862834" w:rsidRPr="00B82C65" w:rsidRDefault="00862834" w:rsidP="00992A8F">
            <w:pPr>
              <w:widowControl w:val="0"/>
              <w:contextualSpacing w:val="0"/>
              <w:jc w:val="center"/>
              <w:rPr>
                <w:sz w:val="20"/>
                <w:szCs w:val="20"/>
              </w:rPr>
            </w:pP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Yes</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10,957</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3,042</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6,252</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5,924</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5,033</w:t>
            </w:r>
          </w:p>
        </w:tc>
      </w:tr>
      <w:tr w:rsidR="00862834" w:rsidRPr="00B82C65" w:rsidTr="00B82C65">
        <w:trPr>
          <w:trHeight w:val="300"/>
        </w:trPr>
        <w:tc>
          <w:tcPr>
            <w:tcW w:w="2131" w:type="dxa"/>
            <w:vMerge/>
            <w:vAlign w:val="center"/>
          </w:tcPr>
          <w:p w:rsidR="00862834" w:rsidRPr="00B82C65" w:rsidRDefault="00862834" w:rsidP="00992A8F">
            <w:pPr>
              <w:widowControl w:val="0"/>
              <w:contextualSpacing w:val="0"/>
              <w:jc w:val="center"/>
              <w:rPr>
                <w:sz w:val="20"/>
                <w:szCs w:val="20"/>
              </w:rPr>
            </w:pPr>
          </w:p>
        </w:tc>
        <w:tc>
          <w:tcPr>
            <w:tcW w:w="1065" w:type="dxa"/>
            <w:vAlign w:val="center"/>
          </w:tcPr>
          <w:p w:rsidR="00862834" w:rsidRPr="00B82C65" w:rsidRDefault="00C12B37" w:rsidP="00992A8F">
            <w:pPr>
              <w:widowControl w:val="0"/>
              <w:contextualSpacing w:val="0"/>
              <w:jc w:val="center"/>
              <w:rPr>
                <w:sz w:val="20"/>
                <w:szCs w:val="20"/>
              </w:rPr>
            </w:pPr>
            <w:r w:rsidRPr="00B82C65">
              <w:rPr>
                <w:b/>
                <w:i/>
                <w:sz w:val="20"/>
                <w:szCs w:val="20"/>
              </w:rPr>
              <w:t xml:space="preserve">Prev. </w:t>
            </w:r>
            <w:r w:rsidRPr="00B82C65">
              <w:rPr>
                <w:sz w:val="20"/>
                <w:szCs w:val="20"/>
                <w:vertAlign w:val="superscript"/>
              </w:rPr>
              <w:t>(</w:t>
            </w:r>
            <w:r w:rsidRPr="00B82C65">
              <w:rPr>
                <w:b/>
                <w:sz w:val="20"/>
                <w:szCs w:val="20"/>
              </w:rPr>
              <w:t>*</w:t>
            </w:r>
            <w:r w:rsidRPr="00B82C65">
              <w:rPr>
                <w:sz w:val="20"/>
                <w:szCs w:val="20"/>
                <w:vertAlign w:val="superscript"/>
              </w:rPr>
              <w:t>)</w:t>
            </w:r>
          </w:p>
        </w:tc>
        <w:tc>
          <w:tcPr>
            <w:tcW w:w="1307" w:type="dxa"/>
            <w:vAlign w:val="center"/>
          </w:tcPr>
          <w:p w:rsidR="00862834" w:rsidRPr="00B82C65" w:rsidRDefault="00C12B37" w:rsidP="00992A8F">
            <w:pPr>
              <w:widowControl w:val="0"/>
              <w:contextualSpacing w:val="0"/>
              <w:jc w:val="center"/>
              <w:rPr>
                <w:sz w:val="20"/>
                <w:szCs w:val="20"/>
              </w:rPr>
            </w:pPr>
            <w:r w:rsidRPr="00B82C65">
              <w:rPr>
                <w:sz w:val="20"/>
                <w:szCs w:val="20"/>
              </w:rPr>
              <w:t>0.15</w:t>
            </w:r>
          </w:p>
        </w:tc>
        <w:tc>
          <w:tcPr>
            <w:tcW w:w="1322" w:type="dxa"/>
            <w:vAlign w:val="center"/>
          </w:tcPr>
          <w:p w:rsidR="00862834" w:rsidRPr="00B82C65" w:rsidRDefault="00C12B37" w:rsidP="00992A8F">
            <w:pPr>
              <w:widowControl w:val="0"/>
              <w:contextualSpacing w:val="0"/>
              <w:jc w:val="center"/>
              <w:rPr>
                <w:sz w:val="20"/>
                <w:szCs w:val="20"/>
              </w:rPr>
            </w:pPr>
            <w:r w:rsidRPr="00B82C65">
              <w:rPr>
                <w:sz w:val="20"/>
                <w:szCs w:val="20"/>
              </w:rPr>
              <w:t>0.09</w:t>
            </w:r>
          </w:p>
        </w:tc>
        <w:tc>
          <w:tcPr>
            <w:tcW w:w="1087" w:type="dxa"/>
            <w:vAlign w:val="center"/>
          </w:tcPr>
          <w:p w:rsidR="00862834" w:rsidRPr="00B82C65" w:rsidRDefault="00C12B37" w:rsidP="00992A8F">
            <w:pPr>
              <w:widowControl w:val="0"/>
              <w:contextualSpacing w:val="0"/>
              <w:jc w:val="center"/>
              <w:rPr>
                <w:sz w:val="20"/>
                <w:szCs w:val="20"/>
              </w:rPr>
            </w:pPr>
            <w:r w:rsidRPr="00B82C65">
              <w:rPr>
                <w:sz w:val="20"/>
                <w:szCs w:val="20"/>
              </w:rPr>
              <w:t>0.2</w:t>
            </w:r>
          </w:p>
        </w:tc>
        <w:tc>
          <w:tcPr>
            <w:tcW w:w="1205" w:type="dxa"/>
            <w:vAlign w:val="center"/>
          </w:tcPr>
          <w:p w:rsidR="00862834" w:rsidRPr="00B82C65" w:rsidRDefault="00C12B37" w:rsidP="00992A8F">
            <w:pPr>
              <w:widowControl w:val="0"/>
              <w:contextualSpacing w:val="0"/>
              <w:jc w:val="center"/>
              <w:rPr>
                <w:sz w:val="20"/>
                <w:szCs w:val="20"/>
              </w:rPr>
            </w:pPr>
            <w:r w:rsidRPr="00B82C65">
              <w:rPr>
                <w:sz w:val="20"/>
                <w:szCs w:val="20"/>
              </w:rPr>
              <w:t>0.12</w:t>
            </w:r>
          </w:p>
        </w:tc>
        <w:tc>
          <w:tcPr>
            <w:tcW w:w="1233" w:type="dxa"/>
            <w:vAlign w:val="center"/>
          </w:tcPr>
          <w:p w:rsidR="00862834" w:rsidRPr="00B82C65" w:rsidRDefault="00C12B37" w:rsidP="00992A8F">
            <w:pPr>
              <w:widowControl w:val="0"/>
              <w:contextualSpacing w:val="0"/>
              <w:jc w:val="center"/>
              <w:rPr>
                <w:sz w:val="20"/>
                <w:szCs w:val="20"/>
              </w:rPr>
            </w:pPr>
            <w:r w:rsidRPr="00B82C65">
              <w:rPr>
                <w:sz w:val="20"/>
                <w:szCs w:val="20"/>
              </w:rPr>
              <w:t>0.18</w:t>
            </w:r>
          </w:p>
        </w:tc>
      </w:tr>
      <w:tr w:rsidR="00862834" w:rsidRPr="00B82C65" w:rsidTr="00B82C65">
        <w:trPr>
          <w:trHeight w:val="1001"/>
        </w:trPr>
        <w:tc>
          <w:tcPr>
            <w:tcW w:w="9350" w:type="dxa"/>
            <w:gridSpan w:val="7"/>
            <w:vAlign w:val="center"/>
          </w:tcPr>
          <w:p w:rsidR="00862834" w:rsidRPr="00B82C65" w:rsidRDefault="00C12B37" w:rsidP="00992A8F">
            <w:pPr>
              <w:widowControl w:val="0"/>
              <w:contextualSpacing w:val="0"/>
              <w:jc w:val="center"/>
              <w:rPr>
                <w:sz w:val="20"/>
                <w:szCs w:val="20"/>
              </w:rPr>
            </w:pPr>
            <w:r w:rsidRPr="00B82C65">
              <w:rPr>
                <w:i/>
                <w:sz w:val="20"/>
                <w:szCs w:val="20"/>
              </w:rPr>
              <w:t xml:space="preserve">(*) Proportion of individuals that endorse each phenotype in (a) individuals who report on the phenotype, drawn from the full sample and (b) individuals who report on the phenotype, drawn from each </w:t>
            </w:r>
            <w:proofErr w:type="gramStart"/>
            <w:r w:rsidRPr="00B82C65">
              <w:rPr>
                <w:i/>
                <w:sz w:val="20"/>
                <w:szCs w:val="20"/>
              </w:rPr>
              <w:t>strata</w:t>
            </w:r>
            <w:proofErr w:type="gramEnd"/>
            <w:r w:rsidR="00992A8F" w:rsidRPr="00B82C65">
              <w:rPr>
                <w:i/>
                <w:sz w:val="20"/>
                <w:szCs w:val="20"/>
              </w:rPr>
              <w:t>; No = never in their lifetime; Yes = at least once in their lifetime</w:t>
            </w:r>
          </w:p>
        </w:tc>
      </w:tr>
    </w:tbl>
    <w:p w:rsidR="00862834" w:rsidRDefault="00862834">
      <w:pPr>
        <w:spacing w:after="240" w:line="240" w:lineRule="auto"/>
        <w:contextualSpacing w:val="0"/>
        <w:rPr>
          <w:sz w:val="20"/>
          <w:szCs w:val="20"/>
          <w:u w:val="single"/>
        </w:rPr>
      </w:pPr>
    </w:p>
    <w:p w:rsidR="00862834" w:rsidRPr="00B82C65" w:rsidRDefault="00C12B37">
      <w:pPr>
        <w:spacing w:after="240" w:line="240" w:lineRule="auto"/>
        <w:contextualSpacing w:val="0"/>
        <w:rPr>
          <w:i/>
          <w:sz w:val="20"/>
          <w:szCs w:val="20"/>
          <w:u w:val="single"/>
        </w:rPr>
      </w:pPr>
      <w:r w:rsidRPr="00B82C65">
        <w:rPr>
          <w:i/>
          <w:sz w:val="20"/>
          <w:szCs w:val="20"/>
          <w:u w:val="single"/>
        </w:rPr>
        <w:t>Table 2. Overlap between treatment seeking phenotypes</w:t>
      </w:r>
    </w:p>
    <w:tbl>
      <w:tblPr>
        <w:tblStyle w:val="ListTable2"/>
        <w:tblW w:w="9840" w:type="dxa"/>
        <w:tblLayout w:type="fixed"/>
        <w:tblLook w:val="0600" w:firstRow="0" w:lastRow="0" w:firstColumn="0" w:lastColumn="0" w:noHBand="1" w:noVBand="1"/>
      </w:tblPr>
      <w:tblGrid>
        <w:gridCol w:w="1604"/>
        <w:gridCol w:w="713"/>
        <w:gridCol w:w="989"/>
        <w:gridCol w:w="944"/>
        <w:gridCol w:w="699"/>
        <w:gridCol w:w="811"/>
        <w:gridCol w:w="855"/>
        <w:gridCol w:w="813"/>
        <w:gridCol w:w="844"/>
        <w:gridCol w:w="908"/>
        <w:gridCol w:w="660"/>
      </w:tblGrid>
      <w:tr w:rsidR="00862834" w:rsidRPr="00B82C65" w:rsidTr="00B82C65">
        <w:trPr>
          <w:trHeight w:val="297"/>
        </w:trPr>
        <w:tc>
          <w:tcPr>
            <w:tcW w:w="1604"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713"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2632" w:type="dxa"/>
            <w:gridSpan w:val="3"/>
            <w:vAlign w:val="center"/>
          </w:tcPr>
          <w:p w:rsidR="00862834" w:rsidRPr="00B82C65" w:rsidRDefault="00C12B37" w:rsidP="00992A8F">
            <w:pPr>
              <w:widowControl w:val="0"/>
              <w:contextualSpacing w:val="0"/>
              <w:jc w:val="center"/>
              <w:rPr>
                <w:sz w:val="20"/>
                <w:szCs w:val="18"/>
              </w:rPr>
            </w:pPr>
            <w:r w:rsidRPr="00B82C65">
              <w:rPr>
                <w:b/>
                <w:sz w:val="20"/>
                <w:szCs w:val="18"/>
              </w:rPr>
              <w:t xml:space="preserve">Treatment-seeking </w:t>
            </w:r>
            <w:r w:rsidRPr="00B82C65">
              <w:rPr>
                <w:i/>
                <w:sz w:val="20"/>
                <w:szCs w:val="18"/>
                <w:vertAlign w:val="superscript"/>
              </w:rPr>
              <w:t>(</w:t>
            </w:r>
            <w:proofErr w:type="spellStart"/>
            <w:r w:rsidRPr="00B82C65">
              <w:rPr>
                <w:i/>
                <w:sz w:val="20"/>
                <w:szCs w:val="18"/>
                <w:vertAlign w:val="superscript"/>
              </w:rPr>
              <w:t>i</w:t>
            </w:r>
            <w:proofErr w:type="spellEnd"/>
            <w:r w:rsidRPr="00B82C65">
              <w:rPr>
                <w:i/>
                <w:sz w:val="20"/>
                <w:szCs w:val="18"/>
                <w:vertAlign w:val="superscript"/>
              </w:rPr>
              <w:t>)</w:t>
            </w:r>
          </w:p>
        </w:tc>
        <w:tc>
          <w:tcPr>
            <w:tcW w:w="811"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855"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813"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844"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908"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660" w:type="dxa"/>
            <w:tcBorders>
              <w:top w:val="nil"/>
              <w:bottom w:val="nil"/>
            </w:tcBorders>
            <w:vAlign w:val="center"/>
          </w:tcPr>
          <w:p w:rsidR="00862834" w:rsidRPr="00B82C65" w:rsidRDefault="00862834" w:rsidP="00992A8F">
            <w:pPr>
              <w:widowControl w:val="0"/>
              <w:contextualSpacing w:val="0"/>
              <w:jc w:val="center"/>
              <w:rPr>
                <w:sz w:val="20"/>
                <w:szCs w:val="18"/>
              </w:rPr>
            </w:pPr>
          </w:p>
        </w:tc>
      </w:tr>
      <w:tr w:rsidR="00862834" w:rsidRPr="00B82C65" w:rsidTr="00B82C65">
        <w:trPr>
          <w:trHeight w:val="297"/>
        </w:trPr>
        <w:tc>
          <w:tcPr>
            <w:tcW w:w="1604" w:type="dxa"/>
            <w:tcBorders>
              <w:top w:val="nil"/>
              <w:bottom w:val="single" w:sz="4" w:space="0" w:color="auto"/>
            </w:tcBorders>
            <w:vAlign w:val="center"/>
          </w:tcPr>
          <w:p w:rsidR="00862834" w:rsidRPr="00B82C65" w:rsidRDefault="00862834" w:rsidP="00992A8F">
            <w:pPr>
              <w:widowControl w:val="0"/>
              <w:contextualSpacing w:val="0"/>
              <w:jc w:val="center"/>
              <w:rPr>
                <w:sz w:val="20"/>
                <w:szCs w:val="18"/>
              </w:rPr>
            </w:pPr>
          </w:p>
        </w:tc>
        <w:tc>
          <w:tcPr>
            <w:tcW w:w="713" w:type="dxa"/>
            <w:tcBorders>
              <w:top w:val="nil"/>
              <w:bottom w:val="single" w:sz="4" w:space="0" w:color="auto"/>
            </w:tcBorders>
            <w:vAlign w:val="center"/>
          </w:tcPr>
          <w:p w:rsidR="00862834" w:rsidRPr="00B82C65" w:rsidRDefault="00862834" w:rsidP="00992A8F">
            <w:pPr>
              <w:widowControl w:val="0"/>
              <w:contextualSpacing w:val="0"/>
              <w:jc w:val="center"/>
              <w:rPr>
                <w:sz w:val="20"/>
                <w:szCs w:val="18"/>
              </w:rPr>
            </w:pPr>
          </w:p>
        </w:tc>
        <w:tc>
          <w:tcPr>
            <w:tcW w:w="989" w:type="dxa"/>
            <w:vAlign w:val="center"/>
          </w:tcPr>
          <w:p w:rsidR="00862834" w:rsidRPr="00B82C65" w:rsidRDefault="00B82C65" w:rsidP="00992A8F">
            <w:pPr>
              <w:widowControl w:val="0"/>
              <w:contextualSpacing w:val="0"/>
              <w:jc w:val="center"/>
              <w:rPr>
                <w:i/>
                <w:sz w:val="20"/>
                <w:szCs w:val="18"/>
              </w:rPr>
            </w:pPr>
            <w:r w:rsidRPr="00B82C65">
              <w:rPr>
                <w:b/>
                <w:i/>
                <w:sz w:val="20"/>
                <w:szCs w:val="18"/>
              </w:rPr>
              <w:t>No</w:t>
            </w:r>
          </w:p>
        </w:tc>
        <w:tc>
          <w:tcPr>
            <w:tcW w:w="944" w:type="dxa"/>
            <w:vAlign w:val="center"/>
          </w:tcPr>
          <w:p w:rsidR="00862834" w:rsidRPr="00B82C65" w:rsidRDefault="00B82C65" w:rsidP="00992A8F">
            <w:pPr>
              <w:widowControl w:val="0"/>
              <w:contextualSpacing w:val="0"/>
              <w:jc w:val="center"/>
              <w:rPr>
                <w:b/>
                <w:i/>
                <w:sz w:val="20"/>
                <w:szCs w:val="18"/>
              </w:rPr>
            </w:pPr>
            <w:r w:rsidRPr="00B82C65">
              <w:rPr>
                <w:b/>
                <w:i/>
                <w:sz w:val="20"/>
                <w:szCs w:val="18"/>
              </w:rPr>
              <w:t>Yes</w:t>
            </w:r>
          </w:p>
        </w:tc>
        <w:tc>
          <w:tcPr>
            <w:tcW w:w="699" w:type="dxa"/>
            <w:vAlign w:val="center"/>
          </w:tcPr>
          <w:p w:rsidR="00862834" w:rsidRPr="00B82C65" w:rsidRDefault="00C12B37" w:rsidP="00992A8F">
            <w:pPr>
              <w:widowControl w:val="0"/>
              <w:contextualSpacing w:val="0"/>
              <w:jc w:val="center"/>
              <w:rPr>
                <w:sz w:val="20"/>
                <w:szCs w:val="18"/>
              </w:rPr>
            </w:pPr>
            <w:r w:rsidRPr="00B82C65">
              <w:rPr>
                <w:b/>
                <w:sz w:val="20"/>
                <w:szCs w:val="18"/>
              </w:rPr>
              <w:t>%</w:t>
            </w:r>
            <w:r w:rsidRPr="00B82C65">
              <w:rPr>
                <w:i/>
                <w:sz w:val="20"/>
                <w:szCs w:val="18"/>
                <w:vertAlign w:val="superscript"/>
              </w:rPr>
              <w:t>(a)</w:t>
            </w:r>
          </w:p>
        </w:tc>
        <w:tc>
          <w:tcPr>
            <w:tcW w:w="811"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855"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813"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844"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908"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660" w:type="dxa"/>
            <w:tcBorders>
              <w:top w:val="nil"/>
              <w:bottom w:val="nil"/>
            </w:tcBorders>
            <w:vAlign w:val="center"/>
          </w:tcPr>
          <w:p w:rsidR="00862834" w:rsidRPr="00B82C65" w:rsidRDefault="00862834" w:rsidP="00992A8F">
            <w:pPr>
              <w:widowControl w:val="0"/>
              <w:contextualSpacing w:val="0"/>
              <w:jc w:val="center"/>
              <w:rPr>
                <w:sz w:val="20"/>
                <w:szCs w:val="18"/>
              </w:rPr>
            </w:pPr>
          </w:p>
        </w:tc>
      </w:tr>
      <w:tr w:rsidR="00862834" w:rsidRPr="00B82C65" w:rsidTr="00B82C65">
        <w:trPr>
          <w:trHeight w:val="297"/>
        </w:trPr>
        <w:tc>
          <w:tcPr>
            <w:tcW w:w="1604" w:type="dxa"/>
            <w:vMerge w:val="restart"/>
            <w:tcBorders>
              <w:top w:val="single" w:sz="4" w:space="0" w:color="auto"/>
            </w:tcBorders>
            <w:vAlign w:val="center"/>
          </w:tcPr>
          <w:p w:rsidR="00862834" w:rsidRPr="00B82C65" w:rsidRDefault="00C12B37" w:rsidP="00992A8F">
            <w:pPr>
              <w:widowControl w:val="0"/>
              <w:contextualSpacing w:val="0"/>
              <w:jc w:val="center"/>
              <w:rPr>
                <w:b/>
                <w:sz w:val="20"/>
                <w:szCs w:val="18"/>
              </w:rPr>
            </w:pPr>
            <w:r w:rsidRPr="00B82C65">
              <w:rPr>
                <w:b/>
                <w:sz w:val="20"/>
                <w:szCs w:val="18"/>
              </w:rPr>
              <w:t xml:space="preserve">Treatment-receipt </w:t>
            </w:r>
            <w:r w:rsidRPr="00B82C65">
              <w:rPr>
                <w:i/>
                <w:sz w:val="20"/>
                <w:szCs w:val="18"/>
                <w:vertAlign w:val="superscript"/>
              </w:rPr>
              <w:t>(ii)</w:t>
            </w:r>
          </w:p>
        </w:tc>
        <w:tc>
          <w:tcPr>
            <w:tcW w:w="713" w:type="dxa"/>
            <w:tcBorders>
              <w:top w:val="single" w:sz="4" w:space="0" w:color="auto"/>
            </w:tcBorders>
            <w:vAlign w:val="center"/>
          </w:tcPr>
          <w:p w:rsidR="00862834" w:rsidRPr="00B82C65" w:rsidRDefault="00B82C65" w:rsidP="00992A8F">
            <w:pPr>
              <w:widowControl w:val="0"/>
              <w:contextualSpacing w:val="0"/>
              <w:jc w:val="center"/>
              <w:rPr>
                <w:b/>
                <w:i/>
                <w:sz w:val="20"/>
                <w:szCs w:val="18"/>
              </w:rPr>
            </w:pPr>
            <w:r w:rsidRPr="00B82C65">
              <w:rPr>
                <w:b/>
                <w:i/>
                <w:sz w:val="20"/>
                <w:szCs w:val="18"/>
              </w:rPr>
              <w:t>No</w:t>
            </w:r>
          </w:p>
        </w:tc>
        <w:tc>
          <w:tcPr>
            <w:tcW w:w="989" w:type="dxa"/>
            <w:vAlign w:val="center"/>
          </w:tcPr>
          <w:p w:rsidR="00862834" w:rsidRPr="00B82C65" w:rsidRDefault="00C12B37" w:rsidP="00992A8F">
            <w:pPr>
              <w:widowControl w:val="0"/>
              <w:contextualSpacing w:val="0"/>
              <w:jc w:val="center"/>
              <w:rPr>
                <w:sz w:val="20"/>
                <w:szCs w:val="18"/>
              </w:rPr>
            </w:pPr>
            <w:r w:rsidRPr="00B82C65">
              <w:rPr>
                <w:sz w:val="20"/>
                <w:szCs w:val="18"/>
              </w:rPr>
              <w:t>0</w:t>
            </w:r>
          </w:p>
        </w:tc>
        <w:tc>
          <w:tcPr>
            <w:tcW w:w="944" w:type="dxa"/>
            <w:vAlign w:val="center"/>
          </w:tcPr>
          <w:p w:rsidR="00862834" w:rsidRPr="00B82C65" w:rsidRDefault="00C12B37" w:rsidP="00992A8F">
            <w:pPr>
              <w:widowControl w:val="0"/>
              <w:contextualSpacing w:val="0"/>
              <w:jc w:val="center"/>
              <w:rPr>
                <w:sz w:val="20"/>
                <w:szCs w:val="18"/>
              </w:rPr>
            </w:pPr>
            <w:r w:rsidRPr="00B82C65">
              <w:rPr>
                <w:sz w:val="20"/>
                <w:szCs w:val="18"/>
              </w:rPr>
              <w:t>7,665</w:t>
            </w:r>
          </w:p>
        </w:tc>
        <w:tc>
          <w:tcPr>
            <w:tcW w:w="699" w:type="dxa"/>
            <w:vAlign w:val="center"/>
          </w:tcPr>
          <w:p w:rsidR="00862834" w:rsidRPr="00B82C65" w:rsidRDefault="00C12B37" w:rsidP="00992A8F">
            <w:pPr>
              <w:widowControl w:val="0"/>
              <w:contextualSpacing w:val="0"/>
              <w:jc w:val="center"/>
              <w:rPr>
                <w:sz w:val="20"/>
                <w:szCs w:val="18"/>
              </w:rPr>
            </w:pPr>
            <w:r w:rsidRPr="00B82C65">
              <w:rPr>
                <w:sz w:val="20"/>
                <w:szCs w:val="18"/>
              </w:rPr>
              <w:t>100</w:t>
            </w:r>
          </w:p>
        </w:tc>
        <w:tc>
          <w:tcPr>
            <w:tcW w:w="811" w:type="dxa"/>
            <w:tcBorders>
              <w:top w:val="nil"/>
            </w:tcBorders>
            <w:vAlign w:val="center"/>
          </w:tcPr>
          <w:p w:rsidR="00862834" w:rsidRPr="00B82C65" w:rsidRDefault="00862834" w:rsidP="00992A8F">
            <w:pPr>
              <w:widowControl w:val="0"/>
              <w:contextualSpacing w:val="0"/>
              <w:jc w:val="center"/>
              <w:rPr>
                <w:sz w:val="20"/>
                <w:szCs w:val="18"/>
              </w:rPr>
            </w:pPr>
          </w:p>
        </w:tc>
        <w:tc>
          <w:tcPr>
            <w:tcW w:w="855" w:type="dxa"/>
            <w:tcBorders>
              <w:top w:val="nil"/>
            </w:tcBorders>
            <w:vAlign w:val="center"/>
          </w:tcPr>
          <w:p w:rsidR="00862834" w:rsidRPr="00B82C65" w:rsidRDefault="00862834" w:rsidP="00992A8F">
            <w:pPr>
              <w:widowControl w:val="0"/>
              <w:contextualSpacing w:val="0"/>
              <w:jc w:val="center"/>
              <w:rPr>
                <w:sz w:val="20"/>
                <w:szCs w:val="18"/>
              </w:rPr>
            </w:pPr>
          </w:p>
        </w:tc>
        <w:tc>
          <w:tcPr>
            <w:tcW w:w="813" w:type="dxa"/>
            <w:tcBorders>
              <w:top w:val="nil"/>
            </w:tcBorders>
            <w:vAlign w:val="center"/>
          </w:tcPr>
          <w:p w:rsidR="00862834" w:rsidRPr="00B82C65" w:rsidRDefault="00862834" w:rsidP="00992A8F">
            <w:pPr>
              <w:widowControl w:val="0"/>
              <w:contextualSpacing w:val="0"/>
              <w:jc w:val="center"/>
              <w:rPr>
                <w:sz w:val="20"/>
                <w:szCs w:val="18"/>
              </w:rPr>
            </w:pPr>
          </w:p>
        </w:tc>
        <w:tc>
          <w:tcPr>
            <w:tcW w:w="844"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908"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660" w:type="dxa"/>
            <w:tcBorders>
              <w:top w:val="nil"/>
              <w:bottom w:val="nil"/>
            </w:tcBorders>
            <w:vAlign w:val="center"/>
          </w:tcPr>
          <w:p w:rsidR="00862834" w:rsidRPr="00B82C65" w:rsidRDefault="00862834" w:rsidP="00992A8F">
            <w:pPr>
              <w:widowControl w:val="0"/>
              <w:contextualSpacing w:val="0"/>
              <w:jc w:val="center"/>
              <w:rPr>
                <w:sz w:val="20"/>
                <w:szCs w:val="18"/>
              </w:rPr>
            </w:pPr>
          </w:p>
        </w:tc>
      </w:tr>
      <w:tr w:rsidR="00862834" w:rsidRPr="00B82C65" w:rsidTr="00B82C65">
        <w:trPr>
          <w:trHeight w:val="297"/>
        </w:trPr>
        <w:tc>
          <w:tcPr>
            <w:tcW w:w="1604" w:type="dxa"/>
            <w:vMerge/>
            <w:vAlign w:val="center"/>
          </w:tcPr>
          <w:p w:rsidR="00862834" w:rsidRPr="00B82C65" w:rsidRDefault="00862834" w:rsidP="00992A8F">
            <w:pPr>
              <w:widowControl w:val="0"/>
              <w:contextualSpacing w:val="0"/>
              <w:jc w:val="center"/>
              <w:rPr>
                <w:sz w:val="20"/>
                <w:szCs w:val="20"/>
              </w:rPr>
            </w:pPr>
          </w:p>
        </w:tc>
        <w:tc>
          <w:tcPr>
            <w:tcW w:w="713" w:type="dxa"/>
            <w:vAlign w:val="center"/>
          </w:tcPr>
          <w:p w:rsidR="00862834" w:rsidRPr="00B82C65" w:rsidRDefault="00B82C65" w:rsidP="00992A8F">
            <w:pPr>
              <w:widowControl w:val="0"/>
              <w:contextualSpacing w:val="0"/>
              <w:jc w:val="center"/>
              <w:rPr>
                <w:i/>
                <w:sz w:val="20"/>
                <w:szCs w:val="18"/>
              </w:rPr>
            </w:pPr>
            <w:r w:rsidRPr="00B82C65">
              <w:rPr>
                <w:b/>
                <w:i/>
                <w:sz w:val="20"/>
                <w:szCs w:val="18"/>
              </w:rPr>
              <w:t>Yes</w:t>
            </w:r>
          </w:p>
        </w:tc>
        <w:tc>
          <w:tcPr>
            <w:tcW w:w="989" w:type="dxa"/>
            <w:vAlign w:val="center"/>
          </w:tcPr>
          <w:p w:rsidR="00862834" w:rsidRPr="00B82C65" w:rsidRDefault="00C12B37" w:rsidP="00992A8F">
            <w:pPr>
              <w:widowControl w:val="0"/>
              <w:contextualSpacing w:val="0"/>
              <w:jc w:val="center"/>
              <w:rPr>
                <w:sz w:val="20"/>
                <w:szCs w:val="18"/>
              </w:rPr>
            </w:pPr>
            <w:r w:rsidRPr="00B82C65">
              <w:rPr>
                <w:sz w:val="20"/>
                <w:szCs w:val="18"/>
              </w:rPr>
              <w:t>0</w:t>
            </w:r>
          </w:p>
        </w:tc>
        <w:tc>
          <w:tcPr>
            <w:tcW w:w="944" w:type="dxa"/>
            <w:vAlign w:val="center"/>
          </w:tcPr>
          <w:p w:rsidR="00862834" w:rsidRPr="00B82C65" w:rsidRDefault="00C12B37" w:rsidP="00992A8F">
            <w:pPr>
              <w:widowControl w:val="0"/>
              <w:contextualSpacing w:val="0"/>
              <w:jc w:val="center"/>
              <w:rPr>
                <w:sz w:val="20"/>
                <w:szCs w:val="18"/>
              </w:rPr>
            </w:pPr>
            <w:r w:rsidRPr="00B82C65">
              <w:rPr>
                <w:sz w:val="20"/>
                <w:szCs w:val="18"/>
              </w:rPr>
              <w:t>40,389</w:t>
            </w:r>
          </w:p>
        </w:tc>
        <w:tc>
          <w:tcPr>
            <w:tcW w:w="699" w:type="dxa"/>
            <w:vAlign w:val="center"/>
          </w:tcPr>
          <w:p w:rsidR="00862834" w:rsidRPr="00B82C65" w:rsidRDefault="00C12B37" w:rsidP="00992A8F">
            <w:pPr>
              <w:widowControl w:val="0"/>
              <w:contextualSpacing w:val="0"/>
              <w:jc w:val="center"/>
              <w:rPr>
                <w:sz w:val="20"/>
                <w:szCs w:val="18"/>
              </w:rPr>
            </w:pPr>
            <w:r w:rsidRPr="00B82C65">
              <w:rPr>
                <w:sz w:val="20"/>
                <w:szCs w:val="18"/>
              </w:rPr>
              <w:t>100</w:t>
            </w:r>
          </w:p>
        </w:tc>
        <w:tc>
          <w:tcPr>
            <w:tcW w:w="2479" w:type="dxa"/>
            <w:gridSpan w:val="3"/>
            <w:vAlign w:val="center"/>
          </w:tcPr>
          <w:p w:rsidR="00862834" w:rsidRPr="00B82C65" w:rsidRDefault="00C12B37" w:rsidP="00992A8F">
            <w:pPr>
              <w:widowControl w:val="0"/>
              <w:contextualSpacing w:val="0"/>
              <w:jc w:val="center"/>
              <w:rPr>
                <w:sz w:val="20"/>
                <w:szCs w:val="18"/>
              </w:rPr>
            </w:pPr>
            <w:r w:rsidRPr="00B82C65">
              <w:rPr>
                <w:b/>
                <w:sz w:val="20"/>
                <w:szCs w:val="18"/>
              </w:rPr>
              <w:t xml:space="preserve">Treatment-receipt </w:t>
            </w:r>
            <w:r w:rsidRPr="00B82C65">
              <w:rPr>
                <w:i/>
                <w:sz w:val="20"/>
                <w:szCs w:val="18"/>
                <w:vertAlign w:val="superscript"/>
              </w:rPr>
              <w:t>(</w:t>
            </w:r>
            <w:proofErr w:type="spellStart"/>
            <w:r w:rsidRPr="00B82C65">
              <w:rPr>
                <w:i/>
                <w:sz w:val="20"/>
                <w:szCs w:val="18"/>
                <w:vertAlign w:val="superscript"/>
              </w:rPr>
              <w:t>i</w:t>
            </w:r>
            <w:proofErr w:type="spellEnd"/>
            <w:r w:rsidRPr="00B82C65">
              <w:rPr>
                <w:i/>
                <w:sz w:val="20"/>
                <w:szCs w:val="18"/>
                <w:vertAlign w:val="superscript"/>
              </w:rPr>
              <w:t>)</w:t>
            </w:r>
          </w:p>
        </w:tc>
        <w:tc>
          <w:tcPr>
            <w:tcW w:w="844"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908" w:type="dxa"/>
            <w:tcBorders>
              <w:top w:val="nil"/>
              <w:bottom w:val="nil"/>
            </w:tcBorders>
            <w:vAlign w:val="center"/>
          </w:tcPr>
          <w:p w:rsidR="00862834" w:rsidRPr="00B82C65" w:rsidRDefault="00862834" w:rsidP="00992A8F">
            <w:pPr>
              <w:widowControl w:val="0"/>
              <w:contextualSpacing w:val="0"/>
              <w:jc w:val="center"/>
              <w:rPr>
                <w:sz w:val="20"/>
                <w:szCs w:val="18"/>
              </w:rPr>
            </w:pPr>
          </w:p>
        </w:tc>
        <w:tc>
          <w:tcPr>
            <w:tcW w:w="660" w:type="dxa"/>
            <w:tcBorders>
              <w:top w:val="nil"/>
              <w:bottom w:val="nil"/>
            </w:tcBorders>
            <w:vAlign w:val="center"/>
          </w:tcPr>
          <w:p w:rsidR="00862834" w:rsidRPr="00B82C65" w:rsidRDefault="00862834" w:rsidP="00992A8F">
            <w:pPr>
              <w:widowControl w:val="0"/>
              <w:contextualSpacing w:val="0"/>
              <w:jc w:val="center"/>
              <w:rPr>
                <w:sz w:val="20"/>
                <w:szCs w:val="18"/>
              </w:rPr>
            </w:pPr>
          </w:p>
        </w:tc>
      </w:tr>
      <w:tr w:rsidR="00B82C65" w:rsidRPr="00B82C65" w:rsidTr="00B82C65">
        <w:trPr>
          <w:trHeight w:val="297"/>
        </w:trPr>
        <w:tc>
          <w:tcPr>
            <w:tcW w:w="1604" w:type="dxa"/>
            <w:vMerge/>
            <w:vAlign w:val="center"/>
          </w:tcPr>
          <w:p w:rsidR="00B82C65" w:rsidRPr="00B82C65" w:rsidRDefault="00B82C65" w:rsidP="00B82C65">
            <w:pPr>
              <w:widowControl w:val="0"/>
              <w:contextualSpacing w:val="0"/>
              <w:jc w:val="center"/>
              <w:rPr>
                <w:sz w:val="20"/>
                <w:szCs w:val="20"/>
              </w:rPr>
            </w:pPr>
          </w:p>
        </w:tc>
        <w:tc>
          <w:tcPr>
            <w:tcW w:w="713" w:type="dxa"/>
            <w:vAlign w:val="center"/>
          </w:tcPr>
          <w:p w:rsidR="00B82C65" w:rsidRPr="00B82C65" w:rsidRDefault="00B82C65" w:rsidP="00B82C65">
            <w:pPr>
              <w:widowControl w:val="0"/>
              <w:contextualSpacing w:val="0"/>
              <w:jc w:val="center"/>
              <w:rPr>
                <w:sz w:val="20"/>
                <w:szCs w:val="18"/>
              </w:rPr>
            </w:pPr>
            <w:r w:rsidRPr="00B82C65">
              <w:rPr>
                <w:b/>
                <w:sz w:val="20"/>
                <w:szCs w:val="18"/>
              </w:rPr>
              <w:t>%</w:t>
            </w:r>
            <w:r w:rsidRPr="00B82C65">
              <w:rPr>
                <w:i/>
                <w:sz w:val="20"/>
                <w:szCs w:val="18"/>
                <w:vertAlign w:val="superscript"/>
              </w:rPr>
              <w:t>(b)</w:t>
            </w:r>
          </w:p>
        </w:tc>
        <w:tc>
          <w:tcPr>
            <w:tcW w:w="989" w:type="dxa"/>
            <w:vAlign w:val="center"/>
          </w:tcPr>
          <w:p w:rsidR="00B82C65" w:rsidRPr="00B82C65" w:rsidRDefault="00B82C65" w:rsidP="00B82C65">
            <w:pPr>
              <w:widowControl w:val="0"/>
              <w:contextualSpacing w:val="0"/>
              <w:jc w:val="center"/>
              <w:rPr>
                <w:sz w:val="20"/>
                <w:szCs w:val="18"/>
              </w:rPr>
            </w:pPr>
            <w:r w:rsidRPr="00B82C65">
              <w:rPr>
                <w:sz w:val="20"/>
                <w:szCs w:val="18"/>
              </w:rPr>
              <w:t>-</w:t>
            </w:r>
          </w:p>
        </w:tc>
        <w:tc>
          <w:tcPr>
            <w:tcW w:w="944" w:type="dxa"/>
            <w:vAlign w:val="center"/>
          </w:tcPr>
          <w:p w:rsidR="00B82C65" w:rsidRPr="00B82C65" w:rsidRDefault="00B82C65" w:rsidP="00B82C65">
            <w:pPr>
              <w:widowControl w:val="0"/>
              <w:contextualSpacing w:val="0"/>
              <w:jc w:val="center"/>
              <w:rPr>
                <w:sz w:val="20"/>
                <w:szCs w:val="18"/>
              </w:rPr>
            </w:pPr>
            <w:r w:rsidRPr="00B82C65">
              <w:rPr>
                <w:sz w:val="20"/>
                <w:szCs w:val="18"/>
              </w:rPr>
              <w:t>84</w:t>
            </w:r>
          </w:p>
        </w:tc>
        <w:tc>
          <w:tcPr>
            <w:tcW w:w="699" w:type="dxa"/>
            <w:vAlign w:val="center"/>
          </w:tcPr>
          <w:p w:rsidR="00B82C65" w:rsidRPr="00B82C65" w:rsidRDefault="00B82C65" w:rsidP="00B82C65">
            <w:pPr>
              <w:widowControl w:val="0"/>
              <w:contextualSpacing w:val="0"/>
              <w:jc w:val="center"/>
              <w:rPr>
                <w:sz w:val="20"/>
                <w:szCs w:val="18"/>
              </w:rPr>
            </w:pPr>
          </w:p>
        </w:tc>
        <w:tc>
          <w:tcPr>
            <w:tcW w:w="811" w:type="dxa"/>
            <w:vAlign w:val="center"/>
          </w:tcPr>
          <w:p w:rsidR="00B82C65" w:rsidRPr="00B82C65" w:rsidRDefault="00B82C65" w:rsidP="00B82C65">
            <w:pPr>
              <w:widowControl w:val="0"/>
              <w:contextualSpacing w:val="0"/>
              <w:jc w:val="center"/>
              <w:rPr>
                <w:i/>
                <w:sz w:val="20"/>
                <w:szCs w:val="18"/>
              </w:rPr>
            </w:pPr>
            <w:r w:rsidRPr="00B82C65">
              <w:rPr>
                <w:b/>
                <w:i/>
                <w:sz w:val="20"/>
                <w:szCs w:val="18"/>
              </w:rPr>
              <w:t>No</w:t>
            </w:r>
          </w:p>
        </w:tc>
        <w:tc>
          <w:tcPr>
            <w:tcW w:w="855" w:type="dxa"/>
            <w:vAlign w:val="center"/>
          </w:tcPr>
          <w:p w:rsidR="00B82C65" w:rsidRPr="00B82C65" w:rsidRDefault="00B82C65" w:rsidP="00B82C65">
            <w:pPr>
              <w:widowControl w:val="0"/>
              <w:contextualSpacing w:val="0"/>
              <w:jc w:val="center"/>
              <w:rPr>
                <w:b/>
                <w:i/>
                <w:sz w:val="20"/>
                <w:szCs w:val="18"/>
              </w:rPr>
            </w:pPr>
            <w:r w:rsidRPr="00B82C65">
              <w:rPr>
                <w:b/>
                <w:i/>
                <w:sz w:val="20"/>
                <w:szCs w:val="18"/>
              </w:rPr>
              <w:t>Yes</w:t>
            </w:r>
          </w:p>
        </w:tc>
        <w:tc>
          <w:tcPr>
            <w:tcW w:w="813" w:type="dxa"/>
            <w:vAlign w:val="center"/>
          </w:tcPr>
          <w:p w:rsidR="00B82C65" w:rsidRPr="00B82C65" w:rsidRDefault="00B82C65" w:rsidP="00B82C65">
            <w:pPr>
              <w:widowControl w:val="0"/>
              <w:contextualSpacing w:val="0"/>
              <w:jc w:val="center"/>
              <w:rPr>
                <w:sz w:val="20"/>
                <w:szCs w:val="18"/>
              </w:rPr>
            </w:pPr>
            <w:r w:rsidRPr="00B82C65">
              <w:rPr>
                <w:b/>
                <w:sz w:val="20"/>
                <w:szCs w:val="18"/>
              </w:rPr>
              <w:t>%</w:t>
            </w:r>
            <w:r w:rsidRPr="00B82C65">
              <w:rPr>
                <w:i/>
                <w:sz w:val="20"/>
                <w:szCs w:val="18"/>
                <w:vertAlign w:val="superscript"/>
              </w:rPr>
              <w:t>(a)</w:t>
            </w:r>
          </w:p>
        </w:tc>
        <w:tc>
          <w:tcPr>
            <w:tcW w:w="844" w:type="dxa"/>
            <w:tcBorders>
              <w:top w:val="nil"/>
              <w:bottom w:val="nil"/>
            </w:tcBorders>
            <w:vAlign w:val="center"/>
          </w:tcPr>
          <w:p w:rsidR="00B82C65" w:rsidRPr="00B82C65" w:rsidRDefault="00B82C65" w:rsidP="00B82C65">
            <w:pPr>
              <w:widowControl w:val="0"/>
              <w:contextualSpacing w:val="0"/>
              <w:jc w:val="center"/>
              <w:rPr>
                <w:sz w:val="20"/>
                <w:szCs w:val="18"/>
              </w:rPr>
            </w:pPr>
          </w:p>
        </w:tc>
        <w:tc>
          <w:tcPr>
            <w:tcW w:w="908" w:type="dxa"/>
            <w:tcBorders>
              <w:top w:val="nil"/>
              <w:bottom w:val="nil"/>
            </w:tcBorders>
            <w:vAlign w:val="center"/>
          </w:tcPr>
          <w:p w:rsidR="00B82C65" w:rsidRPr="00B82C65" w:rsidRDefault="00B82C65" w:rsidP="00B82C65">
            <w:pPr>
              <w:widowControl w:val="0"/>
              <w:contextualSpacing w:val="0"/>
              <w:jc w:val="center"/>
              <w:rPr>
                <w:sz w:val="20"/>
                <w:szCs w:val="18"/>
              </w:rPr>
            </w:pPr>
          </w:p>
        </w:tc>
        <w:tc>
          <w:tcPr>
            <w:tcW w:w="660" w:type="dxa"/>
            <w:tcBorders>
              <w:top w:val="nil"/>
              <w:bottom w:val="nil"/>
            </w:tcBorders>
            <w:vAlign w:val="center"/>
          </w:tcPr>
          <w:p w:rsidR="00B82C65" w:rsidRPr="00B82C65" w:rsidRDefault="00B82C65" w:rsidP="00B82C65">
            <w:pPr>
              <w:widowControl w:val="0"/>
              <w:contextualSpacing w:val="0"/>
              <w:jc w:val="center"/>
              <w:rPr>
                <w:sz w:val="20"/>
                <w:szCs w:val="18"/>
              </w:rPr>
            </w:pPr>
          </w:p>
        </w:tc>
      </w:tr>
      <w:tr w:rsidR="00B82C65" w:rsidRPr="00B82C65" w:rsidTr="00B82C65">
        <w:trPr>
          <w:trHeight w:val="297"/>
        </w:trPr>
        <w:tc>
          <w:tcPr>
            <w:tcW w:w="1604" w:type="dxa"/>
            <w:vMerge w:val="restart"/>
            <w:vAlign w:val="center"/>
          </w:tcPr>
          <w:p w:rsidR="00B82C65" w:rsidRPr="00B82C65" w:rsidRDefault="00B82C65" w:rsidP="00B82C65">
            <w:pPr>
              <w:widowControl w:val="0"/>
              <w:contextualSpacing w:val="0"/>
              <w:jc w:val="center"/>
              <w:rPr>
                <w:b/>
                <w:sz w:val="20"/>
                <w:szCs w:val="18"/>
              </w:rPr>
            </w:pPr>
            <w:r w:rsidRPr="00B82C65">
              <w:rPr>
                <w:b/>
                <w:sz w:val="20"/>
                <w:szCs w:val="18"/>
              </w:rPr>
              <w:t xml:space="preserve">Self-help </w:t>
            </w:r>
            <w:r w:rsidRPr="00B82C65">
              <w:rPr>
                <w:i/>
                <w:sz w:val="20"/>
                <w:szCs w:val="18"/>
                <w:vertAlign w:val="superscript"/>
              </w:rPr>
              <w:t>(ii)</w:t>
            </w:r>
          </w:p>
        </w:tc>
        <w:tc>
          <w:tcPr>
            <w:tcW w:w="713" w:type="dxa"/>
            <w:vAlign w:val="center"/>
          </w:tcPr>
          <w:p w:rsidR="00B82C65" w:rsidRPr="00B82C65" w:rsidRDefault="00B82C65" w:rsidP="00B82C65">
            <w:pPr>
              <w:widowControl w:val="0"/>
              <w:contextualSpacing w:val="0"/>
              <w:jc w:val="center"/>
              <w:rPr>
                <w:b/>
                <w:i/>
                <w:sz w:val="20"/>
                <w:szCs w:val="18"/>
              </w:rPr>
            </w:pPr>
            <w:r w:rsidRPr="00B82C65">
              <w:rPr>
                <w:b/>
                <w:i/>
                <w:sz w:val="20"/>
                <w:szCs w:val="18"/>
              </w:rPr>
              <w:t>No</w:t>
            </w:r>
          </w:p>
        </w:tc>
        <w:tc>
          <w:tcPr>
            <w:tcW w:w="989" w:type="dxa"/>
            <w:vAlign w:val="center"/>
          </w:tcPr>
          <w:p w:rsidR="00B82C65" w:rsidRPr="00B82C65" w:rsidRDefault="00B82C65" w:rsidP="00B82C65">
            <w:pPr>
              <w:widowControl w:val="0"/>
              <w:contextualSpacing w:val="0"/>
              <w:jc w:val="center"/>
              <w:rPr>
                <w:sz w:val="20"/>
                <w:szCs w:val="18"/>
              </w:rPr>
            </w:pPr>
            <w:r w:rsidRPr="00B82C65">
              <w:rPr>
                <w:sz w:val="20"/>
                <w:szCs w:val="18"/>
              </w:rPr>
              <w:t>20,831</w:t>
            </w:r>
          </w:p>
        </w:tc>
        <w:tc>
          <w:tcPr>
            <w:tcW w:w="944" w:type="dxa"/>
            <w:vAlign w:val="center"/>
          </w:tcPr>
          <w:p w:rsidR="00B82C65" w:rsidRPr="00B82C65" w:rsidRDefault="00B82C65" w:rsidP="00B82C65">
            <w:pPr>
              <w:widowControl w:val="0"/>
              <w:contextualSpacing w:val="0"/>
              <w:jc w:val="center"/>
              <w:rPr>
                <w:sz w:val="20"/>
                <w:szCs w:val="18"/>
              </w:rPr>
            </w:pPr>
            <w:r w:rsidRPr="00B82C65">
              <w:rPr>
                <w:sz w:val="20"/>
                <w:szCs w:val="18"/>
              </w:rPr>
              <w:t>35,971</w:t>
            </w:r>
          </w:p>
        </w:tc>
        <w:tc>
          <w:tcPr>
            <w:tcW w:w="699" w:type="dxa"/>
            <w:vAlign w:val="center"/>
          </w:tcPr>
          <w:p w:rsidR="00B82C65" w:rsidRPr="00B82C65" w:rsidRDefault="00B82C65" w:rsidP="00B82C65">
            <w:pPr>
              <w:widowControl w:val="0"/>
              <w:contextualSpacing w:val="0"/>
              <w:jc w:val="center"/>
              <w:rPr>
                <w:sz w:val="20"/>
                <w:szCs w:val="18"/>
              </w:rPr>
            </w:pPr>
            <w:r w:rsidRPr="00B82C65">
              <w:rPr>
                <w:sz w:val="20"/>
                <w:szCs w:val="18"/>
              </w:rPr>
              <w:t>63.3</w:t>
            </w:r>
          </w:p>
        </w:tc>
        <w:tc>
          <w:tcPr>
            <w:tcW w:w="811" w:type="dxa"/>
            <w:vAlign w:val="center"/>
          </w:tcPr>
          <w:p w:rsidR="00B82C65" w:rsidRPr="00B82C65" w:rsidRDefault="00B82C65" w:rsidP="00B82C65">
            <w:pPr>
              <w:widowControl w:val="0"/>
              <w:contextualSpacing w:val="0"/>
              <w:jc w:val="center"/>
              <w:rPr>
                <w:sz w:val="20"/>
                <w:szCs w:val="18"/>
              </w:rPr>
            </w:pPr>
            <w:r w:rsidRPr="00B82C65">
              <w:rPr>
                <w:sz w:val="20"/>
                <w:szCs w:val="18"/>
              </w:rPr>
              <w:t>6,100</w:t>
            </w:r>
          </w:p>
        </w:tc>
        <w:tc>
          <w:tcPr>
            <w:tcW w:w="855" w:type="dxa"/>
            <w:vAlign w:val="center"/>
          </w:tcPr>
          <w:p w:rsidR="00B82C65" w:rsidRPr="00B82C65" w:rsidRDefault="00B82C65" w:rsidP="00B82C65">
            <w:pPr>
              <w:widowControl w:val="0"/>
              <w:contextualSpacing w:val="0"/>
              <w:jc w:val="center"/>
              <w:rPr>
                <w:sz w:val="20"/>
                <w:szCs w:val="18"/>
              </w:rPr>
            </w:pPr>
            <w:r w:rsidRPr="00B82C65">
              <w:rPr>
                <w:sz w:val="20"/>
                <w:szCs w:val="18"/>
              </w:rPr>
              <w:t>29,916</w:t>
            </w:r>
          </w:p>
        </w:tc>
        <w:tc>
          <w:tcPr>
            <w:tcW w:w="813" w:type="dxa"/>
            <w:vAlign w:val="center"/>
          </w:tcPr>
          <w:p w:rsidR="00B82C65" w:rsidRPr="00B82C65" w:rsidRDefault="00B82C65" w:rsidP="00B82C65">
            <w:pPr>
              <w:widowControl w:val="0"/>
              <w:contextualSpacing w:val="0"/>
              <w:jc w:val="center"/>
              <w:rPr>
                <w:sz w:val="20"/>
                <w:szCs w:val="18"/>
              </w:rPr>
            </w:pPr>
            <w:r w:rsidRPr="00B82C65">
              <w:rPr>
                <w:sz w:val="20"/>
                <w:szCs w:val="18"/>
              </w:rPr>
              <w:t>83.1</w:t>
            </w:r>
          </w:p>
        </w:tc>
        <w:tc>
          <w:tcPr>
            <w:tcW w:w="844" w:type="dxa"/>
            <w:tcBorders>
              <w:top w:val="nil"/>
            </w:tcBorders>
            <w:vAlign w:val="center"/>
          </w:tcPr>
          <w:p w:rsidR="00B82C65" w:rsidRPr="00B82C65" w:rsidRDefault="00B82C65" w:rsidP="00B82C65">
            <w:pPr>
              <w:widowControl w:val="0"/>
              <w:contextualSpacing w:val="0"/>
              <w:jc w:val="center"/>
              <w:rPr>
                <w:sz w:val="20"/>
                <w:szCs w:val="18"/>
              </w:rPr>
            </w:pPr>
          </w:p>
        </w:tc>
        <w:tc>
          <w:tcPr>
            <w:tcW w:w="908" w:type="dxa"/>
            <w:tcBorders>
              <w:top w:val="nil"/>
            </w:tcBorders>
            <w:vAlign w:val="center"/>
          </w:tcPr>
          <w:p w:rsidR="00B82C65" w:rsidRPr="00B82C65" w:rsidRDefault="00B82C65" w:rsidP="00B82C65">
            <w:pPr>
              <w:widowControl w:val="0"/>
              <w:contextualSpacing w:val="0"/>
              <w:jc w:val="center"/>
              <w:rPr>
                <w:sz w:val="20"/>
                <w:szCs w:val="18"/>
              </w:rPr>
            </w:pPr>
          </w:p>
        </w:tc>
        <w:tc>
          <w:tcPr>
            <w:tcW w:w="660" w:type="dxa"/>
            <w:tcBorders>
              <w:top w:val="nil"/>
            </w:tcBorders>
            <w:vAlign w:val="center"/>
          </w:tcPr>
          <w:p w:rsidR="00B82C65" w:rsidRPr="00B82C65" w:rsidRDefault="00B82C65" w:rsidP="00B82C65">
            <w:pPr>
              <w:widowControl w:val="0"/>
              <w:contextualSpacing w:val="0"/>
              <w:jc w:val="center"/>
              <w:rPr>
                <w:sz w:val="20"/>
                <w:szCs w:val="18"/>
              </w:rPr>
            </w:pPr>
          </w:p>
        </w:tc>
      </w:tr>
      <w:tr w:rsidR="00B82C65" w:rsidRPr="00B82C65" w:rsidTr="00B82C65">
        <w:trPr>
          <w:trHeight w:val="297"/>
        </w:trPr>
        <w:tc>
          <w:tcPr>
            <w:tcW w:w="1604" w:type="dxa"/>
            <w:vMerge/>
            <w:vAlign w:val="center"/>
          </w:tcPr>
          <w:p w:rsidR="00B82C65" w:rsidRPr="00B82C65" w:rsidRDefault="00B82C65" w:rsidP="00B82C65">
            <w:pPr>
              <w:widowControl w:val="0"/>
              <w:contextualSpacing w:val="0"/>
              <w:jc w:val="center"/>
              <w:rPr>
                <w:sz w:val="20"/>
                <w:szCs w:val="20"/>
              </w:rPr>
            </w:pPr>
          </w:p>
        </w:tc>
        <w:tc>
          <w:tcPr>
            <w:tcW w:w="713" w:type="dxa"/>
            <w:vAlign w:val="center"/>
          </w:tcPr>
          <w:p w:rsidR="00B82C65" w:rsidRPr="00B82C65" w:rsidRDefault="00B82C65" w:rsidP="00B82C65">
            <w:pPr>
              <w:widowControl w:val="0"/>
              <w:contextualSpacing w:val="0"/>
              <w:jc w:val="center"/>
              <w:rPr>
                <w:i/>
                <w:sz w:val="20"/>
                <w:szCs w:val="18"/>
              </w:rPr>
            </w:pPr>
            <w:r w:rsidRPr="00B82C65">
              <w:rPr>
                <w:b/>
                <w:i/>
                <w:sz w:val="20"/>
                <w:szCs w:val="18"/>
              </w:rPr>
              <w:t>Yes</w:t>
            </w:r>
          </w:p>
        </w:tc>
        <w:tc>
          <w:tcPr>
            <w:tcW w:w="989" w:type="dxa"/>
            <w:vAlign w:val="center"/>
          </w:tcPr>
          <w:p w:rsidR="00B82C65" w:rsidRPr="00B82C65" w:rsidRDefault="00B82C65" w:rsidP="00B82C65">
            <w:pPr>
              <w:widowControl w:val="0"/>
              <w:contextualSpacing w:val="0"/>
              <w:jc w:val="center"/>
              <w:rPr>
                <w:sz w:val="20"/>
                <w:szCs w:val="18"/>
              </w:rPr>
            </w:pPr>
            <w:r w:rsidRPr="00B82C65">
              <w:rPr>
                <w:sz w:val="20"/>
                <w:szCs w:val="18"/>
              </w:rPr>
              <w:t>2,521</w:t>
            </w:r>
          </w:p>
        </w:tc>
        <w:tc>
          <w:tcPr>
            <w:tcW w:w="944" w:type="dxa"/>
            <w:vAlign w:val="center"/>
          </w:tcPr>
          <w:p w:rsidR="00B82C65" w:rsidRPr="00B82C65" w:rsidRDefault="00B82C65" w:rsidP="00B82C65">
            <w:pPr>
              <w:widowControl w:val="0"/>
              <w:contextualSpacing w:val="0"/>
              <w:jc w:val="center"/>
              <w:rPr>
                <w:sz w:val="20"/>
                <w:szCs w:val="18"/>
              </w:rPr>
            </w:pPr>
            <w:r w:rsidRPr="00B82C65">
              <w:rPr>
                <w:sz w:val="20"/>
                <w:szCs w:val="18"/>
              </w:rPr>
              <w:t>12,056</w:t>
            </w:r>
          </w:p>
        </w:tc>
        <w:tc>
          <w:tcPr>
            <w:tcW w:w="699" w:type="dxa"/>
            <w:vAlign w:val="center"/>
          </w:tcPr>
          <w:p w:rsidR="00B82C65" w:rsidRPr="00B82C65" w:rsidRDefault="00B82C65" w:rsidP="00B82C65">
            <w:pPr>
              <w:widowControl w:val="0"/>
              <w:contextualSpacing w:val="0"/>
              <w:jc w:val="center"/>
              <w:rPr>
                <w:sz w:val="20"/>
                <w:szCs w:val="18"/>
              </w:rPr>
            </w:pPr>
            <w:r w:rsidRPr="00B82C65">
              <w:rPr>
                <w:sz w:val="20"/>
                <w:szCs w:val="18"/>
              </w:rPr>
              <w:t>82.7</w:t>
            </w:r>
          </w:p>
        </w:tc>
        <w:tc>
          <w:tcPr>
            <w:tcW w:w="811" w:type="dxa"/>
            <w:vAlign w:val="center"/>
          </w:tcPr>
          <w:p w:rsidR="00B82C65" w:rsidRPr="00B82C65" w:rsidRDefault="00B82C65" w:rsidP="00B82C65">
            <w:pPr>
              <w:widowControl w:val="0"/>
              <w:contextualSpacing w:val="0"/>
              <w:jc w:val="center"/>
              <w:rPr>
                <w:sz w:val="20"/>
                <w:szCs w:val="18"/>
              </w:rPr>
            </w:pPr>
            <w:r w:rsidRPr="00B82C65">
              <w:rPr>
                <w:sz w:val="20"/>
                <w:szCs w:val="18"/>
              </w:rPr>
              <w:t>1,557</w:t>
            </w:r>
          </w:p>
        </w:tc>
        <w:tc>
          <w:tcPr>
            <w:tcW w:w="855" w:type="dxa"/>
            <w:vAlign w:val="center"/>
          </w:tcPr>
          <w:p w:rsidR="00B82C65" w:rsidRPr="00B82C65" w:rsidRDefault="00B82C65" w:rsidP="00B82C65">
            <w:pPr>
              <w:widowControl w:val="0"/>
              <w:contextualSpacing w:val="0"/>
              <w:jc w:val="center"/>
              <w:rPr>
                <w:sz w:val="20"/>
                <w:szCs w:val="18"/>
              </w:rPr>
            </w:pPr>
            <w:r w:rsidRPr="00B82C65">
              <w:rPr>
                <w:sz w:val="20"/>
                <w:szCs w:val="18"/>
              </w:rPr>
              <w:t>10,506</w:t>
            </w:r>
          </w:p>
        </w:tc>
        <w:tc>
          <w:tcPr>
            <w:tcW w:w="813" w:type="dxa"/>
            <w:vAlign w:val="center"/>
          </w:tcPr>
          <w:p w:rsidR="00B82C65" w:rsidRPr="00B82C65" w:rsidRDefault="00B82C65" w:rsidP="00B82C65">
            <w:pPr>
              <w:widowControl w:val="0"/>
              <w:contextualSpacing w:val="0"/>
              <w:jc w:val="center"/>
              <w:rPr>
                <w:sz w:val="20"/>
                <w:szCs w:val="18"/>
              </w:rPr>
            </w:pPr>
            <w:r w:rsidRPr="00B82C65">
              <w:rPr>
                <w:sz w:val="20"/>
                <w:szCs w:val="18"/>
              </w:rPr>
              <w:t>87.1</w:t>
            </w:r>
          </w:p>
        </w:tc>
        <w:tc>
          <w:tcPr>
            <w:tcW w:w="2412" w:type="dxa"/>
            <w:gridSpan w:val="3"/>
            <w:vAlign w:val="center"/>
          </w:tcPr>
          <w:p w:rsidR="00B82C65" w:rsidRPr="00B82C65" w:rsidRDefault="00B82C65" w:rsidP="00B82C65">
            <w:pPr>
              <w:widowControl w:val="0"/>
              <w:contextualSpacing w:val="0"/>
              <w:jc w:val="center"/>
              <w:rPr>
                <w:sz w:val="20"/>
                <w:szCs w:val="18"/>
              </w:rPr>
            </w:pPr>
            <w:r w:rsidRPr="00B82C65">
              <w:rPr>
                <w:b/>
                <w:sz w:val="20"/>
                <w:szCs w:val="18"/>
              </w:rPr>
              <w:t xml:space="preserve">Self-help </w:t>
            </w:r>
            <w:r w:rsidRPr="00B82C65">
              <w:rPr>
                <w:i/>
                <w:sz w:val="20"/>
                <w:szCs w:val="18"/>
                <w:vertAlign w:val="superscript"/>
              </w:rPr>
              <w:t>(</w:t>
            </w:r>
            <w:proofErr w:type="spellStart"/>
            <w:r w:rsidRPr="00B82C65">
              <w:rPr>
                <w:i/>
                <w:sz w:val="20"/>
                <w:szCs w:val="18"/>
                <w:vertAlign w:val="superscript"/>
              </w:rPr>
              <w:t>i</w:t>
            </w:r>
            <w:proofErr w:type="spellEnd"/>
            <w:r w:rsidRPr="00B82C65">
              <w:rPr>
                <w:i/>
                <w:sz w:val="20"/>
                <w:szCs w:val="18"/>
                <w:vertAlign w:val="superscript"/>
              </w:rPr>
              <w:t>)</w:t>
            </w:r>
          </w:p>
        </w:tc>
      </w:tr>
      <w:tr w:rsidR="00B82C65" w:rsidRPr="00B82C65" w:rsidTr="00B82C65">
        <w:trPr>
          <w:trHeight w:val="297"/>
        </w:trPr>
        <w:tc>
          <w:tcPr>
            <w:tcW w:w="1604" w:type="dxa"/>
            <w:vMerge/>
            <w:vAlign w:val="center"/>
          </w:tcPr>
          <w:p w:rsidR="00B82C65" w:rsidRPr="00B82C65" w:rsidRDefault="00B82C65" w:rsidP="00B82C65">
            <w:pPr>
              <w:widowControl w:val="0"/>
              <w:contextualSpacing w:val="0"/>
              <w:jc w:val="center"/>
              <w:rPr>
                <w:sz w:val="20"/>
                <w:szCs w:val="20"/>
              </w:rPr>
            </w:pPr>
          </w:p>
        </w:tc>
        <w:tc>
          <w:tcPr>
            <w:tcW w:w="713" w:type="dxa"/>
            <w:vAlign w:val="center"/>
          </w:tcPr>
          <w:p w:rsidR="00B82C65" w:rsidRPr="00B82C65" w:rsidRDefault="00B82C65" w:rsidP="00B82C65">
            <w:pPr>
              <w:widowControl w:val="0"/>
              <w:contextualSpacing w:val="0"/>
              <w:jc w:val="center"/>
              <w:rPr>
                <w:sz w:val="20"/>
                <w:szCs w:val="18"/>
              </w:rPr>
            </w:pPr>
            <w:r w:rsidRPr="00B82C65">
              <w:rPr>
                <w:b/>
                <w:sz w:val="20"/>
                <w:szCs w:val="18"/>
              </w:rPr>
              <w:t>%</w:t>
            </w:r>
            <w:r w:rsidRPr="00B82C65">
              <w:rPr>
                <w:i/>
                <w:sz w:val="20"/>
                <w:szCs w:val="18"/>
                <w:vertAlign w:val="superscript"/>
              </w:rPr>
              <w:t>(b)</w:t>
            </w:r>
          </w:p>
        </w:tc>
        <w:tc>
          <w:tcPr>
            <w:tcW w:w="989" w:type="dxa"/>
            <w:vAlign w:val="center"/>
          </w:tcPr>
          <w:p w:rsidR="00B82C65" w:rsidRPr="00B82C65" w:rsidRDefault="00B82C65" w:rsidP="00B82C65">
            <w:pPr>
              <w:widowControl w:val="0"/>
              <w:contextualSpacing w:val="0"/>
              <w:jc w:val="center"/>
              <w:rPr>
                <w:sz w:val="20"/>
                <w:szCs w:val="18"/>
              </w:rPr>
            </w:pPr>
            <w:r w:rsidRPr="00B82C65">
              <w:rPr>
                <w:sz w:val="20"/>
                <w:szCs w:val="18"/>
              </w:rPr>
              <w:t>10.8</w:t>
            </w:r>
          </w:p>
        </w:tc>
        <w:tc>
          <w:tcPr>
            <w:tcW w:w="944" w:type="dxa"/>
            <w:vAlign w:val="center"/>
          </w:tcPr>
          <w:p w:rsidR="00B82C65" w:rsidRPr="00B82C65" w:rsidRDefault="00B82C65" w:rsidP="00B82C65">
            <w:pPr>
              <w:widowControl w:val="0"/>
              <w:contextualSpacing w:val="0"/>
              <w:jc w:val="center"/>
              <w:rPr>
                <w:sz w:val="20"/>
                <w:szCs w:val="18"/>
              </w:rPr>
            </w:pPr>
            <w:r w:rsidRPr="00B82C65">
              <w:rPr>
                <w:sz w:val="20"/>
                <w:szCs w:val="18"/>
              </w:rPr>
              <w:t>25.1</w:t>
            </w:r>
          </w:p>
        </w:tc>
        <w:tc>
          <w:tcPr>
            <w:tcW w:w="699" w:type="dxa"/>
            <w:vAlign w:val="center"/>
          </w:tcPr>
          <w:p w:rsidR="00B82C65" w:rsidRPr="00B82C65" w:rsidRDefault="00B82C65" w:rsidP="00B82C65">
            <w:pPr>
              <w:widowControl w:val="0"/>
              <w:contextualSpacing w:val="0"/>
              <w:jc w:val="center"/>
              <w:rPr>
                <w:sz w:val="20"/>
                <w:szCs w:val="18"/>
              </w:rPr>
            </w:pPr>
          </w:p>
        </w:tc>
        <w:tc>
          <w:tcPr>
            <w:tcW w:w="811" w:type="dxa"/>
            <w:vAlign w:val="center"/>
          </w:tcPr>
          <w:p w:rsidR="00B82C65" w:rsidRPr="00B82C65" w:rsidRDefault="00B82C65" w:rsidP="00B82C65">
            <w:pPr>
              <w:widowControl w:val="0"/>
              <w:contextualSpacing w:val="0"/>
              <w:jc w:val="center"/>
              <w:rPr>
                <w:sz w:val="20"/>
                <w:szCs w:val="18"/>
              </w:rPr>
            </w:pPr>
            <w:r w:rsidRPr="00B82C65">
              <w:rPr>
                <w:sz w:val="20"/>
                <w:szCs w:val="18"/>
              </w:rPr>
              <w:t>20.3</w:t>
            </w:r>
          </w:p>
        </w:tc>
        <w:tc>
          <w:tcPr>
            <w:tcW w:w="855" w:type="dxa"/>
            <w:vAlign w:val="center"/>
          </w:tcPr>
          <w:p w:rsidR="00B82C65" w:rsidRPr="00B82C65" w:rsidRDefault="00B82C65" w:rsidP="00B82C65">
            <w:pPr>
              <w:widowControl w:val="0"/>
              <w:contextualSpacing w:val="0"/>
              <w:jc w:val="center"/>
              <w:rPr>
                <w:sz w:val="20"/>
                <w:szCs w:val="18"/>
              </w:rPr>
            </w:pPr>
            <w:r w:rsidRPr="00B82C65">
              <w:rPr>
                <w:sz w:val="20"/>
                <w:szCs w:val="18"/>
              </w:rPr>
              <w:t>26</w:t>
            </w:r>
          </w:p>
        </w:tc>
        <w:tc>
          <w:tcPr>
            <w:tcW w:w="813" w:type="dxa"/>
            <w:vAlign w:val="center"/>
          </w:tcPr>
          <w:p w:rsidR="00B82C65" w:rsidRPr="00B82C65" w:rsidRDefault="00B82C65" w:rsidP="00B82C65">
            <w:pPr>
              <w:widowControl w:val="0"/>
              <w:contextualSpacing w:val="0"/>
              <w:jc w:val="center"/>
              <w:rPr>
                <w:sz w:val="20"/>
                <w:szCs w:val="18"/>
              </w:rPr>
            </w:pPr>
          </w:p>
        </w:tc>
        <w:tc>
          <w:tcPr>
            <w:tcW w:w="844" w:type="dxa"/>
            <w:vAlign w:val="center"/>
          </w:tcPr>
          <w:p w:rsidR="00B82C65" w:rsidRPr="00B82C65" w:rsidRDefault="00B82C65" w:rsidP="00B82C65">
            <w:pPr>
              <w:widowControl w:val="0"/>
              <w:contextualSpacing w:val="0"/>
              <w:jc w:val="center"/>
              <w:rPr>
                <w:i/>
                <w:sz w:val="20"/>
                <w:szCs w:val="18"/>
              </w:rPr>
            </w:pPr>
            <w:r w:rsidRPr="00B82C65">
              <w:rPr>
                <w:b/>
                <w:i/>
                <w:sz w:val="20"/>
                <w:szCs w:val="18"/>
              </w:rPr>
              <w:t>No</w:t>
            </w:r>
          </w:p>
        </w:tc>
        <w:tc>
          <w:tcPr>
            <w:tcW w:w="908" w:type="dxa"/>
            <w:vAlign w:val="center"/>
          </w:tcPr>
          <w:p w:rsidR="00B82C65" w:rsidRPr="00B82C65" w:rsidRDefault="00B82C65" w:rsidP="00B82C65">
            <w:pPr>
              <w:widowControl w:val="0"/>
              <w:contextualSpacing w:val="0"/>
              <w:jc w:val="center"/>
              <w:rPr>
                <w:b/>
                <w:i/>
                <w:sz w:val="20"/>
                <w:szCs w:val="18"/>
              </w:rPr>
            </w:pPr>
            <w:r w:rsidRPr="00B82C65">
              <w:rPr>
                <w:b/>
                <w:i/>
                <w:sz w:val="20"/>
                <w:szCs w:val="18"/>
              </w:rPr>
              <w:t>Yes</w:t>
            </w:r>
          </w:p>
        </w:tc>
        <w:tc>
          <w:tcPr>
            <w:tcW w:w="660" w:type="dxa"/>
            <w:vAlign w:val="center"/>
          </w:tcPr>
          <w:p w:rsidR="00B82C65" w:rsidRPr="00B82C65" w:rsidRDefault="00B82C65" w:rsidP="00B82C65">
            <w:pPr>
              <w:widowControl w:val="0"/>
              <w:contextualSpacing w:val="0"/>
              <w:jc w:val="center"/>
              <w:rPr>
                <w:sz w:val="20"/>
                <w:szCs w:val="18"/>
              </w:rPr>
            </w:pPr>
            <w:r w:rsidRPr="00B82C65">
              <w:rPr>
                <w:b/>
                <w:sz w:val="20"/>
                <w:szCs w:val="18"/>
              </w:rPr>
              <w:t>%</w:t>
            </w:r>
            <w:r w:rsidRPr="00B82C65">
              <w:rPr>
                <w:i/>
                <w:sz w:val="20"/>
                <w:szCs w:val="18"/>
                <w:vertAlign w:val="superscript"/>
              </w:rPr>
              <w:t>(a)</w:t>
            </w:r>
          </w:p>
        </w:tc>
      </w:tr>
      <w:tr w:rsidR="00B82C65" w:rsidRPr="00B82C65" w:rsidTr="00B82C65">
        <w:trPr>
          <w:trHeight w:val="297"/>
        </w:trPr>
        <w:tc>
          <w:tcPr>
            <w:tcW w:w="1604" w:type="dxa"/>
            <w:vMerge w:val="restart"/>
            <w:vAlign w:val="center"/>
          </w:tcPr>
          <w:p w:rsidR="00B82C65" w:rsidRPr="00B82C65" w:rsidRDefault="00B82C65" w:rsidP="00B82C65">
            <w:pPr>
              <w:widowControl w:val="0"/>
              <w:contextualSpacing w:val="0"/>
              <w:jc w:val="center"/>
              <w:rPr>
                <w:b/>
                <w:sz w:val="20"/>
                <w:szCs w:val="18"/>
              </w:rPr>
            </w:pPr>
            <w:r w:rsidRPr="00B82C65">
              <w:rPr>
                <w:b/>
                <w:sz w:val="20"/>
                <w:szCs w:val="18"/>
              </w:rPr>
              <w:t xml:space="preserve">Self-medication </w:t>
            </w:r>
            <w:r w:rsidRPr="00B82C65">
              <w:rPr>
                <w:i/>
                <w:sz w:val="20"/>
                <w:szCs w:val="18"/>
                <w:vertAlign w:val="superscript"/>
              </w:rPr>
              <w:t>(ii)</w:t>
            </w:r>
          </w:p>
        </w:tc>
        <w:tc>
          <w:tcPr>
            <w:tcW w:w="713" w:type="dxa"/>
            <w:vAlign w:val="center"/>
          </w:tcPr>
          <w:p w:rsidR="00B82C65" w:rsidRPr="00B82C65" w:rsidRDefault="00B82C65" w:rsidP="00B82C65">
            <w:pPr>
              <w:widowControl w:val="0"/>
              <w:contextualSpacing w:val="0"/>
              <w:jc w:val="center"/>
              <w:rPr>
                <w:b/>
                <w:i/>
                <w:sz w:val="20"/>
                <w:szCs w:val="18"/>
              </w:rPr>
            </w:pPr>
            <w:r w:rsidRPr="00B82C65">
              <w:rPr>
                <w:b/>
                <w:i/>
                <w:sz w:val="20"/>
                <w:szCs w:val="18"/>
              </w:rPr>
              <w:t>No</w:t>
            </w:r>
          </w:p>
        </w:tc>
        <w:tc>
          <w:tcPr>
            <w:tcW w:w="989" w:type="dxa"/>
            <w:vAlign w:val="center"/>
          </w:tcPr>
          <w:p w:rsidR="00B82C65" w:rsidRPr="00B82C65" w:rsidRDefault="00B82C65" w:rsidP="00B82C65">
            <w:pPr>
              <w:widowControl w:val="0"/>
              <w:contextualSpacing w:val="0"/>
              <w:jc w:val="center"/>
              <w:rPr>
                <w:sz w:val="20"/>
                <w:szCs w:val="18"/>
              </w:rPr>
            </w:pPr>
            <w:r w:rsidRPr="00B82C65">
              <w:rPr>
                <w:sz w:val="20"/>
                <w:szCs w:val="18"/>
              </w:rPr>
              <w:t>20,517</w:t>
            </w:r>
          </w:p>
        </w:tc>
        <w:tc>
          <w:tcPr>
            <w:tcW w:w="944" w:type="dxa"/>
            <w:vAlign w:val="center"/>
          </w:tcPr>
          <w:p w:rsidR="00B82C65" w:rsidRPr="00B82C65" w:rsidRDefault="00B82C65" w:rsidP="00B82C65">
            <w:pPr>
              <w:widowControl w:val="0"/>
              <w:contextualSpacing w:val="0"/>
              <w:jc w:val="center"/>
              <w:rPr>
                <w:sz w:val="20"/>
                <w:szCs w:val="18"/>
              </w:rPr>
            </w:pPr>
            <w:r w:rsidRPr="00B82C65">
              <w:rPr>
                <w:sz w:val="20"/>
                <w:szCs w:val="18"/>
              </w:rPr>
              <w:t>40,324</w:t>
            </w:r>
          </w:p>
        </w:tc>
        <w:tc>
          <w:tcPr>
            <w:tcW w:w="699" w:type="dxa"/>
            <w:vAlign w:val="center"/>
          </w:tcPr>
          <w:p w:rsidR="00B82C65" w:rsidRPr="00B82C65" w:rsidRDefault="00B82C65" w:rsidP="00B82C65">
            <w:pPr>
              <w:widowControl w:val="0"/>
              <w:contextualSpacing w:val="0"/>
              <w:jc w:val="center"/>
              <w:rPr>
                <w:sz w:val="20"/>
                <w:szCs w:val="18"/>
              </w:rPr>
            </w:pPr>
            <w:r w:rsidRPr="00B82C65">
              <w:rPr>
                <w:sz w:val="20"/>
                <w:szCs w:val="18"/>
              </w:rPr>
              <w:t>66.3</w:t>
            </w:r>
          </w:p>
        </w:tc>
        <w:tc>
          <w:tcPr>
            <w:tcW w:w="811" w:type="dxa"/>
            <w:vAlign w:val="center"/>
          </w:tcPr>
          <w:p w:rsidR="00B82C65" w:rsidRPr="00B82C65" w:rsidRDefault="00B82C65" w:rsidP="00B82C65">
            <w:pPr>
              <w:widowControl w:val="0"/>
              <w:contextualSpacing w:val="0"/>
              <w:jc w:val="center"/>
              <w:rPr>
                <w:sz w:val="20"/>
                <w:szCs w:val="18"/>
              </w:rPr>
            </w:pPr>
            <w:r w:rsidRPr="00B82C65">
              <w:rPr>
                <w:sz w:val="20"/>
                <w:szCs w:val="18"/>
              </w:rPr>
              <w:t>6,684</w:t>
            </w:r>
          </w:p>
        </w:tc>
        <w:tc>
          <w:tcPr>
            <w:tcW w:w="855" w:type="dxa"/>
            <w:vAlign w:val="center"/>
          </w:tcPr>
          <w:p w:rsidR="00B82C65" w:rsidRPr="00B82C65" w:rsidRDefault="00B82C65" w:rsidP="00B82C65">
            <w:pPr>
              <w:widowControl w:val="0"/>
              <w:contextualSpacing w:val="0"/>
              <w:jc w:val="center"/>
              <w:rPr>
                <w:sz w:val="20"/>
                <w:szCs w:val="18"/>
              </w:rPr>
            </w:pPr>
            <w:r w:rsidRPr="00B82C65">
              <w:rPr>
                <w:sz w:val="20"/>
                <w:szCs w:val="18"/>
              </w:rPr>
              <w:t>33,685</w:t>
            </w:r>
          </w:p>
        </w:tc>
        <w:tc>
          <w:tcPr>
            <w:tcW w:w="813" w:type="dxa"/>
            <w:vAlign w:val="center"/>
          </w:tcPr>
          <w:p w:rsidR="00B82C65" w:rsidRPr="00B82C65" w:rsidRDefault="00B82C65" w:rsidP="00B82C65">
            <w:pPr>
              <w:widowControl w:val="0"/>
              <w:contextualSpacing w:val="0"/>
              <w:jc w:val="center"/>
              <w:rPr>
                <w:sz w:val="20"/>
                <w:szCs w:val="18"/>
              </w:rPr>
            </w:pPr>
            <w:r w:rsidRPr="00B82C65">
              <w:rPr>
                <w:sz w:val="20"/>
                <w:szCs w:val="18"/>
              </w:rPr>
              <w:t>83.4</w:t>
            </w:r>
          </w:p>
        </w:tc>
        <w:tc>
          <w:tcPr>
            <w:tcW w:w="844" w:type="dxa"/>
            <w:vAlign w:val="center"/>
          </w:tcPr>
          <w:p w:rsidR="00B82C65" w:rsidRPr="00B82C65" w:rsidRDefault="00B82C65" w:rsidP="00B82C65">
            <w:pPr>
              <w:widowControl w:val="0"/>
              <w:contextualSpacing w:val="0"/>
              <w:jc w:val="center"/>
              <w:rPr>
                <w:sz w:val="20"/>
                <w:szCs w:val="18"/>
              </w:rPr>
            </w:pPr>
            <w:r w:rsidRPr="00B82C65">
              <w:rPr>
                <w:sz w:val="20"/>
                <w:szCs w:val="18"/>
              </w:rPr>
              <w:t>52,453</w:t>
            </w:r>
          </w:p>
        </w:tc>
        <w:tc>
          <w:tcPr>
            <w:tcW w:w="908" w:type="dxa"/>
            <w:vAlign w:val="center"/>
          </w:tcPr>
          <w:p w:rsidR="00B82C65" w:rsidRPr="00B82C65" w:rsidRDefault="00B82C65" w:rsidP="00B82C65">
            <w:pPr>
              <w:widowControl w:val="0"/>
              <w:contextualSpacing w:val="0"/>
              <w:jc w:val="center"/>
              <w:rPr>
                <w:sz w:val="20"/>
                <w:szCs w:val="18"/>
              </w:rPr>
            </w:pPr>
            <w:r w:rsidRPr="00B82C65">
              <w:rPr>
                <w:sz w:val="20"/>
                <w:szCs w:val="18"/>
              </w:rPr>
              <w:t>11,708</w:t>
            </w:r>
          </w:p>
        </w:tc>
        <w:tc>
          <w:tcPr>
            <w:tcW w:w="660" w:type="dxa"/>
            <w:vAlign w:val="center"/>
          </w:tcPr>
          <w:p w:rsidR="00B82C65" w:rsidRPr="00B82C65" w:rsidRDefault="00B82C65" w:rsidP="00B82C65">
            <w:pPr>
              <w:widowControl w:val="0"/>
              <w:contextualSpacing w:val="0"/>
              <w:jc w:val="center"/>
              <w:rPr>
                <w:sz w:val="20"/>
                <w:szCs w:val="18"/>
              </w:rPr>
            </w:pPr>
            <w:r w:rsidRPr="00B82C65">
              <w:rPr>
                <w:sz w:val="20"/>
                <w:szCs w:val="18"/>
              </w:rPr>
              <w:t>18.2</w:t>
            </w:r>
          </w:p>
        </w:tc>
      </w:tr>
      <w:tr w:rsidR="00B82C65" w:rsidRPr="00B82C65" w:rsidTr="00B82C65">
        <w:trPr>
          <w:trHeight w:val="297"/>
        </w:trPr>
        <w:tc>
          <w:tcPr>
            <w:tcW w:w="1604" w:type="dxa"/>
            <w:vMerge/>
            <w:vAlign w:val="center"/>
          </w:tcPr>
          <w:p w:rsidR="00B82C65" w:rsidRPr="00B82C65" w:rsidRDefault="00B82C65" w:rsidP="00B82C65">
            <w:pPr>
              <w:widowControl w:val="0"/>
              <w:contextualSpacing w:val="0"/>
              <w:jc w:val="center"/>
              <w:rPr>
                <w:sz w:val="20"/>
                <w:szCs w:val="20"/>
              </w:rPr>
            </w:pPr>
          </w:p>
        </w:tc>
        <w:tc>
          <w:tcPr>
            <w:tcW w:w="713" w:type="dxa"/>
            <w:vAlign w:val="center"/>
          </w:tcPr>
          <w:p w:rsidR="00B82C65" w:rsidRPr="00B82C65" w:rsidRDefault="00B82C65" w:rsidP="00B82C65">
            <w:pPr>
              <w:widowControl w:val="0"/>
              <w:contextualSpacing w:val="0"/>
              <w:jc w:val="center"/>
              <w:rPr>
                <w:i/>
                <w:sz w:val="20"/>
                <w:szCs w:val="18"/>
              </w:rPr>
            </w:pPr>
            <w:r w:rsidRPr="00B82C65">
              <w:rPr>
                <w:b/>
                <w:i/>
                <w:sz w:val="20"/>
                <w:szCs w:val="18"/>
              </w:rPr>
              <w:t>Yes</w:t>
            </w:r>
          </w:p>
        </w:tc>
        <w:tc>
          <w:tcPr>
            <w:tcW w:w="989" w:type="dxa"/>
            <w:vAlign w:val="center"/>
          </w:tcPr>
          <w:p w:rsidR="00B82C65" w:rsidRPr="00B82C65" w:rsidRDefault="00B82C65" w:rsidP="00B82C65">
            <w:pPr>
              <w:widowControl w:val="0"/>
              <w:contextualSpacing w:val="0"/>
              <w:jc w:val="center"/>
              <w:rPr>
                <w:sz w:val="20"/>
                <w:szCs w:val="18"/>
              </w:rPr>
            </w:pPr>
            <w:r w:rsidRPr="00B82C65">
              <w:rPr>
                <w:sz w:val="20"/>
                <w:szCs w:val="18"/>
              </w:rPr>
              <w:t>2,772</w:t>
            </w:r>
          </w:p>
        </w:tc>
        <w:tc>
          <w:tcPr>
            <w:tcW w:w="944" w:type="dxa"/>
            <w:vAlign w:val="center"/>
          </w:tcPr>
          <w:p w:rsidR="00B82C65" w:rsidRPr="00B82C65" w:rsidRDefault="00B82C65" w:rsidP="00B82C65">
            <w:pPr>
              <w:widowControl w:val="0"/>
              <w:contextualSpacing w:val="0"/>
              <w:jc w:val="center"/>
              <w:rPr>
                <w:sz w:val="20"/>
                <w:szCs w:val="18"/>
              </w:rPr>
            </w:pPr>
            <w:r w:rsidRPr="00B82C65">
              <w:rPr>
                <w:sz w:val="20"/>
                <w:szCs w:val="18"/>
              </w:rPr>
              <w:t>7,603</w:t>
            </w:r>
          </w:p>
        </w:tc>
        <w:tc>
          <w:tcPr>
            <w:tcW w:w="699" w:type="dxa"/>
            <w:vAlign w:val="center"/>
          </w:tcPr>
          <w:p w:rsidR="00B82C65" w:rsidRPr="00B82C65" w:rsidRDefault="00B82C65" w:rsidP="00B82C65">
            <w:pPr>
              <w:widowControl w:val="0"/>
              <w:contextualSpacing w:val="0"/>
              <w:jc w:val="center"/>
              <w:rPr>
                <w:sz w:val="20"/>
                <w:szCs w:val="18"/>
              </w:rPr>
            </w:pPr>
            <w:r w:rsidRPr="00B82C65">
              <w:rPr>
                <w:sz w:val="20"/>
                <w:szCs w:val="18"/>
              </w:rPr>
              <w:t>73.3</w:t>
            </w:r>
          </w:p>
        </w:tc>
        <w:tc>
          <w:tcPr>
            <w:tcW w:w="811" w:type="dxa"/>
            <w:vAlign w:val="center"/>
          </w:tcPr>
          <w:p w:rsidR="00B82C65" w:rsidRPr="00B82C65" w:rsidRDefault="00B82C65" w:rsidP="00B82C65">
            <w:pPr>
              <w:widowControl w:val="0"/>
              <w:contextualSpacing w:val="0"/>
              <w:jc w:val="center"/>
              <w:rPr>
                <w:sz w:val="20"/>
                <w:szCs w:val="18"/>
              </w:rPr>
            </w:pPr>
            <w:r w:rsidRPr="00B82C65">
              <w:rPr>
                <w:sz w:val="20"/>
                <w:szCs w:val="18"/>
              </w:rPr>
              <w:t>933</w:t>
            </w:r>
          </w:p>
        </w:tc>
        <w:tc>
          <w:tcPr>
            <w:tcW w:w="855" w:type="dxa"/>
            <w:vAlign w:val="center"/>
          </w:tcPr>
          <w:p w:rsidR="00B82C65" w:rsidRPr="00B82C65" w:rsidRDefault="00B82C65" w:rsidP="00B82C65">
            <w:pPr>
              <w:widowControl w:val="0"/>
              <w:contextualSpacing w:val="0"/>
              <w:jc w:val="center"/>
              <w:rPr>
                <w:sz w:val="20"/>
                <w:szCs w:val="18"/>
              </w:rPr>
            </w:pPr>
            <w:r w:rsidRPr="00B82C65">
              <w:rPr>
                <w:sz w:val="20"/>
                <w:szCs w:val="18"/>
              </w:rPr>
              <w:t>6,677</w:t>
            </w:r>
          </w:p>
        </w:tc>
        <w:tc>
          <w:tcPr>
            <w:tcW w:w="813" w:type="dxa"/>
            <w:vAlign w:val="center"/>
          </w:tcPr>
          <w:p w:rsidR="00B82C65" w:rsidRPr="00B82C65" w:rsidRDefault="00B82C65" w:rsidP="00B82C65">
            <w:pPr>
              <w:widowControl w:val="0"/>
              <w:contextualSpacing w:val="0"/>
              <w:jc w:val="center"/>
              <w:rPr>
                <w:sz w:val="20"/>
                <w:szCs w:val="18"/>
              </w:rPr>
            </w:pPr>
            <w:r w:rsidRPr="00B82C65">
              <w:rPr>
                <w:sz w:val="20"/>
                <w:szCs w:val="18"/>
              </w:rPr>
              <w:t>87.7</w:t>
            </w:r>
          </w:p>
        </w:tc>
        <w:tc>
          <w:tcPr>
            <w:tcW w:w="844" w:type="dxa"/>
            <w:vAlign w:val="center"/>
          </w:tcPr>
          <w:p w:rsidR="00B82C65" w:rsidRPr="00B82C65" w:rsidRDefault="00B82C65" w:rsidP="00B82C65">
            <w:pPr>
              <w:widowControl w:val="0"/>
              <w:contextualSpacing w:val="0"/>
              <w:jc w:val="center"/>
              <w:rPr>
                <w:sz w:val="20"/>
                <w:szCs w:val="18"/>
              </w:rPr>
            </w:pPr>
            <w:r w:rsidRPr="00B82C65">
              <w:rPr>
                <w:sz w:val="20"/>
                <w:szCs w:val="18"/>
              </w:rPr>
              <w:t>7,467</w:t>
            </w:r>
          </w:p>
        </w:tc>
        <w:tc>
          <w:tcPr>
            <w:tcW w:w="908" w:type="dxa"/>
            <w:vAlign w:val="center"/>
          </w:tcPr>
          <w:p w:rsidR="00B82C65" w:rsidRPr="00B82C65" w:rsidRDefault="00B82C65" w:rsidP="00B82C65">
            <w:pPr>
              <w:widowControl w:val="0"/>
              <w:contextualSpacing w:val="0"/>
              <w:jc w:val="center"/>
              <w:rPr>
                <w:sz w:val="20"/>
                <w:szCs w:val="18"/>
              </w:rPr>
            </w:pPr>
            <w:r w:rsidRPr="00B82C65">
              <w:rPr>
                <w:sz w:val="20"/>
                <w:szCs w:val="18"/>
              </w:rPr>
              <w:t>3,488</w:t>
            </w:r>
          </w:p>
        </w:tc>
        <w:tc>
          <w:tcPr>
            <w:tcW w:w="660" w:type="dxa"/>
            <w:vAlign w:val="center"/>
          </w:tcPr>
          <w:p w:rsidR="00B82C65" w:rsidRPr="00B82C65" w:rsidRDefault="00B82C65" w:rsidP="00B82C65">
            <w:pPr>
              <w:widowControl w:val="0"/>
              <w:contextualSpacing w:val="0"/>
              <w:jc w:val="center"/>
              <w:rPr>
                <w:sz w:val="20"/>
                <w:szCs w:val="18"/>
              </w:rPr>
            </w:pPr>
            <w:r w:rsidRPr="00B82C65">
              <w:rPr>
                <w:sz w:val="20"/>
                <w:szCs w:val="18"/>
              </w:rPr>
              <w:t>31.8</w:t>
            </w:r>
          </w:p>
        </w:tc>
      </w:tr>
      <w:tr w:rsidR="00862834" w:rsidRPr="00B82C65" w:rsidTr="00B82C65">
        <w:trPr>
          <w:trHeight w:val="297"/>
        </w:trPr>
        <w:tc>
          <w:tcPr>
            <w:tcW w:w="1604" w:type="dxa"/>
            <w:vMerge/>
            <w:vAlign w:val="center"/>
          </w:tcPr>
          <w:p w:rsidR="00862834" w:rsidRPr="00B82C65" w:rsidRDefault="00862834" w:rsidP="00992A8F">
            <w:pPr>
              <w:widowControl w:val="0"/>
              <w:contextualSpacing w:val="0"/>
              <w:jc w:val="center"/>
              <w:rPr>
                <w:sz w:val="20"/>
                <w:szCs w:val="20"/>
              </w:rPr>
            </w:pPr>
          </w:p>
        </w:tc>
        <w:tc>
          <w:tcPr>
            <w:tcW w:w="713" w:type="dxa"/>
            <w:vAlign w:val="center"/>
          </w:tcPr>
          <w:p w:rsidR="00862834" w:rsidRPr="00B82C65" w:rsidRDefault="00C12B37" w:rsidP="00992A8F">
            <w:pPr>
              <w:widowControl w:val="0"/>
              <w:contextualSpacing w:val="0"/>
              <w:jc w:val="center"/>
              <w:rPr>
                <w:sz w:val="20"/>
                <w:szCs w:val="18"/>
              </w:rPr>
            </w:pPr>
            <w:r w:rsidRPr="00B82C65">
              <w:rPr>
                <w:b/>
                <w:sz w:val="20"/>
                <w:szCs w:val="18"/>
              </w:rPr>
              <w:t>%</w:t>
            </w:r>
            <w:r w:rsidRPr="00B82C65">
              <w:rPr>
                <w:i/>
                <w:sz w:val="20"/>
                <w:szCs w:val="18"/>
                <w:vertAlign w:val="superscript"/>
              </w:rPr>
              <w:t>(b)</w:t>
            </w:r>
          </w:p>
        </w:tc>
        <w:tc>
          <w:tcPr>
            <w:tcW w:w="989" w:type="dxa"/>
            <w:vAlign w:val="center"/>
          </w:tcPr>
          <w:p w:rsidR="00862834" w:rsidRPr="00B82C65" w:rsidRDefault="00C12B37" w:rsidP="00992A8F">
            <w:pPr>
              <w:widowControl w:val="0"/>
              <w:contextualSpacing w:val="0"/>
              <w:jc w:val="center"/>
              <w:rPr>
                <w:sz w:val="20"/>
                <w:szCs w:val="18"/>
              </w:rPr>
            </w:pPr>
            <w:r w:rsidRPr="00B82C65">
              <w:rPr>
                <w:sz w:val="20"/>
                <w:szCs w:val="18"/>
              </w:rPr>
              <w:t>11.9</w:t>
            </w:r>
          </w:p>
        </w:tc>
        <w:tc>
          <w:tcPr>
            <w:tcW w:w="944" w:type="dxa"/>
            <w:vAlign w:val="center"/>
          </w:tcPr>
          <w:p w:rsidR="00862834" w:rsidRPr="00B82C65" w:rsidRDefault="00C12B37" w:rsidP="00992A8F">
            <w:pPr>
              <w:widowControl w:val="0"/>
              <w:contextualSpacing w:val="0"/>
              <w:jc w:val="center"/>
              <w:rPr>
                <w:sz w:val="20"/>
                <w:szCs w:val="18"/>
              </w:rPr>
            </w:pPr>
            <w:r w:rsidRPr="00B82C65">
              <w:rPr>
                <w:sz w:val="20"/>
                <w:szCs w:val="18"/>
              </w:rPr>
              <w:t>15.9</w:t>
            </w:r>
          </w:p>
        </w:tc>
        <w:tc>
          <w:tcPr>
            <w:tcW w:w="699" w:type="dxa"/>
            <w:vAlign w:val="center"/>
          </w:tcPr>
          <w:p w:rsidR="00862834" w:rsidRPr="00B82C65" w:rsidRDefault="00862834" w:rsidP="00992A8F">
            <w:pPr>
              <w:widowControl w:val="0"/>
              <w:contextualSpacing w:val="0"/>
              <w:jc w:val="center"/>
              <w:rPr>
                <w:sz w:val="20"/>
                <w:szCs w:val="18"/>
              </w:rPr>
            </w:pPr>
          </w:p>
        </w:tc>
        <w:tc>
          <w:tcPr>
            <w:tcW w:w="811" w:type="dxa"/>
            <w:vAlign w:val="center"/>
          </w:tcPr>
          <w:p w:rsidR="00862834" w:rsidRPr="00B82C65" w:rsidRDefault="00C12B37" w:rsidP="00992A8F">
            <w:pPr>
              <w:widowControl w:val="0"/>
              <w:contextualSpacing w:val="0"/>
              <w:jc w:val="center"/>
              <w:rPr>
                <w:sz w:val="20"/>
                <w:szCs w:val="18"/>
              </w:rPr>
            </w:pPr>
            <w:r w:rsidRPr="00B82C65">
              <w:rPr>
                <w:sz w:val="20"/>
                <w:szCs w:val="18"/>
              </w:rPr>
              <w:t>12.2</w:t>
            </w:r>
          </w:p>
        </w:tc>
        <w:tc>
          <w:tcPr>
            <w:tcW w:w="855" w:type="dxa"/>
            <w:vAlign w:val="center"/>
          </w:tcPr>
          <w:p w:rsidR="00862834" w:rsidRPr="00B82C65" w:rsidRDefault="00C12B37" w:rsidP="00992A8F">
            <w:pPr>
              <w:widowControl w:val="0"/>
              <w:contextualSpacing w:val="0"/>
              <w:jc w:val="center"/>
              <w:rPr>
                <w:sz w:val="20"/>
                <w:szCs w:val="18"/>
              </w:rPr>
            </w:pPr>
            <w:r w:rsidRPr="00B82C65">
              <w:rPr>
                <w:sz w:val="20"/>
                <w:szCs w:val="18"/>
              </w:rPr>
              <w:t>16.5</w:t>
            </w:r>
          </w:p>
        </w:tc>
        <w:tc>
          <w:tcPr>
            <w:tcW w:w="813" w:type="dxa"/>
            <w:vAlign w:val="center"/>
          </w:tcPr>
          <w:p w:rsidR="00862834" w:rsidRPr="00B82C65" w:rsidRDefault="00862834" w:rsidP="00992A8F">
            <w:pPr>
              <w:widowControl w:val="0"/>
              <w:contextualSpacing w:val="0"/>
              <w:jc w:val="center"/>
              <w:rPr>
                <w:sz w:val="20"/>
                <w:szCs w:val="18"/>
              </w:rPr>
            </w:pPr>
          </w:p>
        </w:tc>
        <w:tc>
          <w:tcPr>
            <w:tcW w:w="844" w:type="dxa"/>
            <w:vAlign w:val="center"/>
          </w:tcPr>
          <w:p w:rsidR="00862834" w:rsidRPr="00B82C65" w:rsidRDefault="00C12B37" w:rsidP="00992A8F">
            <w:pPr>
              <w:widowControl w:val="0"/>
              <w:contextualSpacing w:val="0"/>
              <w:jc w:val="center"/>
              <w:rPr>
                <w:sz w:val="20"/>
                <w:szCs w:val="18"/>
              </w:rPr>
            </w:pPr>
            <w:r w:rsidRPr="00B82C65">
              <w:rPr>
                <w:sz w:val="20"/>
                <w:szCs w:val="18"/>
              </w:rPr>
              <w:t>12.5</w:t>
            </w:r>
          </w:p>
        </w:tc>
        <w:tc>
          <w:tcPr>
            <w:tcW w:w="908" w:type="dxa"/>
            <w:vAlign w:val="center"/>
          </w:tcPr>
          <w:p w:rsidR="00862834" w:rsidRPr="00B82C65" w:rsidRDefault="00C12B37" w:rsidP="00992A8F">
            <w:pPr>
              <w:widowControl w:val="0"/>
              <w:contextualSpacing w:val="0"/>
              <w:jc w:val="center"/>
              <w:rPr>
                <w:sz w:val="20"/>
                <w:szCs w:val="18"/>
              </w:rPr>
            </w:pPr>
            <w:r w:rsidRPr="00B82C65">
              <w:rPr>
                <w:sz w:val="20"/>
                <w:szCs w:val="18"/>
              </w:rPr>
              <w:t>23</w:t>
            </w:r>
          </w:p>
        </w:tc>
        <w:tc>
          <w:tcPr>
            <w:tcW w:w="660" w:type="dxa"/>
            <w:vAlign w:val="center"/>
          </w:tcPr>
          <w:p w:rsidR="00862834" w:rsidRPr="00B82C65" w:rsidRDefault="00862834" w:rsidP="00992A8F">
            <w:pPr>
              <w:widowControl w:val="0"/>
              <w:contextualSpacing w:val="0"/>
              <w:jc w:val="center"/>
              <w:rPr>
                <w:sz w:val="20"/>
                <w:szCs w:val="18"/>
              </w:rPr>
            </w:pPr>
          </w:p>
        </w:tc>
      </w:tr>
      <w:tr w:rsidR="00862834" w:rsidRPr="00B82C65" w:rsidTr="00B82C65">
        <w:trPr>
          <w:trHeight w:val="1307"/>
        </w:trPr>
        <w:tc>
          <w:tcPr>
            <w:tcW w:w="9840" w:type="dxa"/>
            <w:gridSpan w:val="11"/>
            <w:vAlign w:val="center"/>
          </w:tcPr>
          <w:p w:rsidR="00862834" w:rsidRPr="00B82C65" w:rsidRDefault="00C12B37" w:rsidP="00992A8F">
            <w:pPr>
              <w:widowControl w:val="0"/>
              <w:contextualSpacing w:val="0"/>
              <w:jc w:val="center"/>
              <w:rPr>
                <w:i/>
                <w:sz w:val="20"/>
                <w:szCs w:val="18"/>
              </w:rPr>
            </w:pPr>
            <w:r w:rsidRPr="00B82C65">
              <w:rPr>
                <w:b/>
                <w:i/>
                <w:sz w:val="20"/>
                <w:szCs w:val="18"/>
              </w:rPr>
              <w:t>(a)</w:t>
            </w:r>
            <w:r w:rsidRPr="00B82C65">
              <w:rPr>
                <w:i/>
                <w:sz w:val="20"/>
                <w:szCs w:val="18"/>
              </w:rPr>
              <w:t xml:space="preserve"> % of individuals who endorse phenotype (</w:t>
            </w:r>
            <w:proofErr w:type="spellStart"/>
            <w:r w:rsidRPr="00B82C65">
              <w:rPr>
                <w:i/>
                <w:sz w:val="20"/>
                <w:szCs w:val="18"/>
              </w:rPr>
              <w:t>i</w:t>
            </w:r>
            <w:proofErr w:type="spellEnd"/>
            <w:r w:rsidRPr="00B82C65">
              <w:rPr>
                <w:i/>
                <w:sz w:val="20"/>
                <w:szCs w:val="18"/>
              </w:rPr>
              <w:t xml:space="preserve">) out of the total number of individuals who either have never endorsed (0) </w:t>
            </w:r>
            <w:r w:rsidR="00992A8F" w:rsidRPr="00B82C65">
              <w:rPr>
                <w:i/>
                <w:sz w:val="20"/>
                <w:szCs w:val="18"/>
              </w:rPr>
              <w:t>or have</w:t>
            </w:r>
            <w:r w:rsidRPr="00B82C65">
              <w:rPr>
                <w:i/>
                <w:sz w:val="20"/>
                <w:szCs w:val="18"/>
              </w:rPr>
              <w:t xml:space="preserve"> endorsed (1) phenotype (ii); </w:t>
            </w:r>
            <w:r w:rsidRPr="00B82C65">
              <w:rPr>
                <w:b/>
                <w:i/>
                <w:sz w:val="20"/>
                <w:szCs w:val="18"/>
              </w:rPr>
              <w:t>(b)</w:t>
            </w:r>
            <w:r w:rsidRPr="00B82C65">
              <w:rPr>
                <w:i/>
                <w:sz w:val="20"/>
                <w:szCs w:val="18"/>
              </w:rPr>
              <w:t xml:space="preserve"> % of individuals who endorse phenotype (ii) out of the total number of individuals who either (0) have never endorsed or (1) have endorsed phenotype (</w:t>
            </w:r>
            <w:proofErr w:type="spellStart"/>
            <w:r w:rsidRPr="00B82C65">
              <w:rPr>
                <w:i/>
                <w:sz w:val="20"/>
                <w:szCs w:val="18"/>
              </w:rPr>
              <w:t>i</w:t>
            </w:r>
            <w:proofErr w:type="spellEnd"/>
            <w:r w:rsidRPr="00B82C65">
              <w:rPr>
                <w:i/>
                <w:sz w:val="20"/>
                <w:szCs w:val="18"/>
              </w:rPr>
              <w:t>)</w:t>
            </w:r>
            <w:r w:rsidR="00B82C65" w:rsidRPr="00B82C65">
              <w:rPr>
                <w:i/>
                <w:sz w:val="20"/>
                <w:szCs w:val="18"/>
              </w:rPr>
              <w:t>; No = never in their lifetime; Yes = at least once in their lifetime</w:t>
            </w:r>
          </w:p>
        </w:tc>
      </w:tr>
    </w:tbl>
    <w:p w:rsidR="00862834" w:rsidRDefault="00862834">
      <w:pPr>
        <w:spacing w:after="240" w:line="480" w:lineRule="auto"/>
        <w:contextualSpacing w:val="0"/>
        <w:rPr>
          <w:i/>
          <w:sz w:val="20"/>
          <w:szCs w:val="20"/>
          <w:u w:val="single"/>
        </w:rPr>
      </w:pPr>
    </w:p>
    <w:p w:rsidR="00862834" w:rsidRDefault="00C12B37">
      <w:pPr>
        <w:spacing w:after="240" w:line="480" w:lineRule="auto"/>
        <w:contextualSpacing w:val="0"/>
        <w:rPr>
          <w:sz w:val="20"/>
          <w:szCs w:val="20"/>
        </w:rPr>
      </w:pPr>
      <w:r>
        <w:rPr>
          <w:i/>
          <w:sz w:val="20"/>
          <w:szCs w:val="20"/>
          <w:u w:val="single"/>
        </w:rPr>
        <w:t>Heritability analyses</w:t>
      </w:r>
      <w:r>
        <w:rPr>
          <w:sz w:val="20"/>
          <w:szCs w:val="20"/>
        </w:rPr>
        <w:br/>
      </w:r>
      <w:r>
        <w:rPr>
          <w:sz w:val="20"/>
          <w:szCs w:val="20"/>
        </w:rPr>
        <w:tab/>
        <w:t>Our analyses indicate that treatment-seeking is modestly heritable. In the whole cohort we detect small, but significant estimates of common variant heritability for treatment-seeking (h</w:t>
      </w:r>
      <w:r>
        <w:rPr>
          <w:sz w:val="20"/>
          <w:szCs w:val="20"/>
          <w:vertAlign w:val="superscript"/>
        </w:rPr>
        <w:t>2</w:t>
      </w:r>
      <w:r>
        <w:rPr>
          <w:i/>
          <w:sz w:val="20"/>
          <w:szCs w:val="20"/>
          <w:vertAlign w:val="subscript"/>
        </w:rPr>
        <w:t xml:space="preserve">SNP </w:t>
      </w:r>
      <w:r>
        <w:rPr>
          <w:sz w:val="20"/>
          <w:szCs w:val="20"/>
        </w:rPr>
        <w:t xml:space="preserve">=3.9% se=.7%), </w:t>
      </w:r>
      <w:r>
        <w:rPr>
          <w:sz w:val="20"/>
          <w:szCs w:val="20"/>
        </w:rPr>
        <w:lastRenderedPageBreak/>
        <w:t>self-medication (h</w:t>
      </w:r>
      <w:r>
        <w:rPr>
          <w:sz w:val="20"/>
          <w:szCs w:val="20"/>
          <w:vertAlign w:val="superscript"/>
        </w:rPr>
        <w:t>2</w:t>
      </w:r>
      <w:r>
        <w:rPr>
          <w:i/>
          <w:sz w:val="20"/>
          <w:szCs w:val="20"/>
          <w:vertAlign w:val="subscript"/>
        </w:rPr>
        <w:t xml:space="preserve">SNP </w:t>
      </w:r>
      <w:r>
        <w:rPr>
          <w:sz w:val="20"/>
          <w:szCs w:val="20"/>
        </w:rPr>
        <w:t>=3.4% se=.7%) and self-help (h</w:t>
      </w:r>
      <w:r>
        <w:rPr>
          <w:sz w:val="20"/>
          <w:szCs w:val="20"/>
          <w:vertAlign w:val="superscript"/>
        </w:rPr>
        <w:t>2</w:t>
      </w:r>
      <w:r>
        <w:rPr>
          <w:i/>
          <w:sz w:val="20"/>
          <w:szCs w:val="20"/>
          <w:vertAlign w:val="subscript"/>
        </w:rPr>
        <w:t xml:space="preserve">SNP </w:t>
      </w:r>
      <w:r>
        <w:rPr>
          <w:sz w:val="20"/>
          <w:szCs w:val="20"/>
        </w:rPr>
        <w:t>=2% se=.6%; Figure 1a). The heritability of receiving treatment (as opposed to seeking treatment but not receiving it) was smaller than our analysis was powered to detect (80% power to detect h</w:t>
      </w:r>
      <w:r>
        <w:rPr>
          <w:sz w:val="20"/>
          <w:szCs w:val="20"/>
          <w:vertAlign w:val="superscript"/>
        </w:rPr>
        <w:t>2</w:t>
      </w:r>
      <w:r>
        <w:rPr>
          <w:i/>
          <w:sz w:val="20"/>
          <w:szCs w:val="20"/>
          <w:vertAlign w:val="subscript"/>
        </w:rPr>
        <w:t>SNP</w:t>
      </w:r>
      <w:r>
        <w:rPr>
          <w:i/>
          <w:sz w:val="20"/>
          <w:szCs w:val="20"/>
        </w:rPr>
        <w:t>=</w:t>
      </w:r>
      <w:r>
        <w:rPr>
          <w:sz w:val="20"/>
          <w:szCs w:val="20"/>
        </w:rPr>
        <w:t>4.5%; 70% power to detect h</w:t>
      </w:r>
      <w:r>
        <w:rPr>
          <w:sz w:val="20"/>
          <w:szCs w:val="20"/>
          <w:vertAlign w:val="superscript"/>
        </w:rPr>
        <w:t>2</w:t>
      </w:r>
      <w:r>
        <w:rPr>
          <w:i/>
          <w:sz w:val="20"/>
          <w:szCs w:val="20"/>
          <w:vertAlign w:val="subscript"/>
        </w:rPr>
        <w:t xml:space="preserve">SNP </w:t>
      </w:r>
      <w:r>
        <w:rPr>
          <w:i/>
          <w:sz w:val="20"/>
          <w:szCs w:val="20"/>
        </w:rPr>
        <w:t>=</w:t>
      </w:r>
      <w:r>
        <w:rPr>
          <w:sz w:val="20"/>
          <w:szCs w:val="20"/>
        </w:rPr>
        <w:t>4%;</w:t>
      </w:r>
      <w:r w:rsidR="00B82C65">
        <w:rPr>
          <w:sz w:val="20"/>
          <w:szCs w:val="20"/>
        </w:rPr>
        <w:t xml:space="preserve"> GCTA power calculator:</w:t>
      </w:r>
      <w:r>
        <w:rPr>
          <w:sz w:val="20"/>
          <w:szCs w:val="20"/>
        </w:rPr>
        <w:t xml:space="preserve"> </w:t>
      </w:r>
      <w:hyperlink r:id="rId34">
        <w:proofErr w:type="spellStart"/>
        <w:r>
          <w:rPr>
            <w:color w:val="000000"/>
            <w:sz w:val="20"/>
            <w:szCs w:val="20"/>
          </w:rPr>
          <w:t>Hemani</w:t>
        </w:r>
        <w:proofErr w:type="spellEnd"/>
        <w:r>
          <w:rPr>
            <w:color w:val="000000"/>
            <w:sz w:val="20"/>
            <w:szCs w:val="20"/>
          </w:rPr>
          <w:t xml:space="preserve"> and Yang 2017)</w:t>
        </w:r>
      </w:hyperlink>
      <w:r>
        <w:rPr>
          <w:sz w:val="20"/>
          <w:szCs w:val="20"/>
        </w:rPr>
        <w:t xml:space="preserve">. </w:t>
      </w:r>
    </w:p>
    <w:p w:rsidR="00862834" w:rsidRDefault="00C12B37">
      <w:pPr>
        <w:spacing w:after="240" w:line="480" w:lineRule="auto"/>
        <w:ind w:firstLine="720"/>
        <w:contextualSpacing w:val="0"/>
        <w:rPr>
          <w:sz w:val="20"/>
          <w:szCs w:val="20"/>
        </w:rPr>
      </w:pPr>
      <w:r>
        <w:rPr>
          <w:sz w:val="20"/>
          <w:szCs w:val="20"/>
        </w:rPr>
        <w:t xml:space="preserve">We also estimated the heritability of all the treatment-related phenotypes in cases and controls, and in males and females separately (Figure 1a). However, in these smaller sub samples, the estimates are small and standard errors are large and overlap substantially. This could </w:t>
      </w:r>
      <w:r w:rsidR="00B82C65">
        <w:rPr>
          <w:sz w:val="20"/>
          <w:szCs w:val="20"/>
        </w:rPr>
        <w:t>suggest</w:t>
      </w:r>
      <w:r>
        <w:rPr>
          <w:sz w:val="20"/>
          <w:szCs w:val="20"/>
        </w:rPr>
        <w:t xml:space="preserve"> that the estimates are not significantly different between strata (cases/controls; males/females). It is more likely that we are underpowered to detect subtle differences.</w:t>
      </w:r>
    </w:p>
    <w:p w:rsidR="00862834" w:rsidRDefault="00C12B37">
      <w:pPr>
        <w:spacing w:after="240" w:line="480" w:lineRule="auto"/>
        <w:contextualSpacing w:val="0"/>
        <w:rPr>
          <w:sz w:val="20"/>
          <w:szCs w:val="20"/>
        </w:rPr>
      </w:pPr>
      <w:r>
        <w:rPr>
          <w:sz w:val="20"/>
          <w:szCs w:val="20"/>
        </w:rPr>
        <w:tab/>
        <w:t xml:space="preserve">The lifetime </w:t>
      </w:r>
      <w:proofErr w:type="spellStart"/>
      <w:r>
        <w:rPr>
          <w:sz w:val="20"/>
          <w:szCs w:val="20"/>
        </w:rPr>
        <w:t>prevalences</w:t>
      </w:r>
      <w:proofErr w:type="spellEnd"/>
      <w:r>
        <w:rPr>
          <w:sz w:val="20"/>
          <w:szCs w:val="20"/>
        </w:rPr>
        <w:t xml:space="preserve"> of treatment-related phenotypes are difficult to estimate, so we converted estimates to the liability scale across the full range of population prevalence (Figure 1b).  Heritability on the liability scale ranges from 2% to 9% for treatment-seeking, 2% to 5% for self-medication and 1% to 6% for self-help. Again, the standard errors of the heritability estimates overlap substantially when the analyses are stratified by case-control status. </w:t>
      </w:r>
    </w:p>
    <w:p w:rsidR="00862834" w:rsidRDefault="00C12B37">
      <w:pPr>
        <w:spacing w:after="240" w:line="480" w:lineRule="auto"/>
        <w:contextualSpacing w:val="0"/>
        <w:rPr>
          <w:sz w:val="20"/>
          <w:szCs w:val="20"/>
        </w:rPr>
      </w:pPr>
      <w:r>
        <w:rPr>
          <w:sz w:val="20"/>
          <w:szCs w:val="20"/>
          <w:u w:val="single"/>
        </w:rPr>
        <w:t>G</w:t>
      </w:r>
      <w:r>
        <w:rPr>
          <w:i/>
          <w:sz w:val="20"/>
          <w:szCs w:val="20"/>
          <w:u w:val="single"/>
        </w:rPr>
        <w:t>enetic correlations</w:t>
      </w:r>
      <w:r>
        <w:rPr>
          <w:sz w:val="20"/>
          <w:szCs w:val="20"/>
        </w:rPr>
        <w:br/>
      </w:r>
      <w:r>
        <w:rPr>
          <w:sz w:val="20"/>
          <w:szCs w:val="20"/>
        </w:rPr>
        <w:tab/>
        <w:t>Treatment-seeking, self-help and self-medication all show modest genetic correlations with one another, that are not significant after multiple testing correction. Treatment-seeking has genetic correlations with both self-medication (</w:t>
      </w:r>
      <w:proofErr w:type="spellStart"/>
      <w:r>
        <w:rPr>
          <w:sz w:val="20"/>
          <w:szCs w:val="20"/>
        </w:rPr>
        <w:t>r</w:t>
      </w:r>
      <w:r>
        <w:rPr>
          <w:sz w:val="20"/>
          <w:szCs w:val="20"/>
          <w:vertAlign w:val="subscript"/>
        </w:rPr>
        <w:t>g</w:t>
      </w:r>
      <w:proofErr w:type="spellEnd"/>
      <w:r>
        <w:rPr>
          <w:sz w:val="20"/>
          <w:szCs w:val="20"/>
        </w:rPr>
        <w:t>=.36, se=.13) and self-help (</w:t>
      </w:r>
      <w:proofErr w:type="spellStart"/>
      <w:r>
        <w:rPr>
          <w:sz w:val="20"/>
          <w:szCs w:val="20"/>
        </w:rPr>
        <w:t>r</w:t>
      </w:r>
      <w:r>
        <w:rPr>
          <w:sz w:val="20"/>
          <w:szCs w:val="20"/>
          <w:vertAlign w:val="subscript"/>
        </w:rPr>
        <w:t>g</w:t>
      </w:r>
      <w:proofErr w:type="spellEnd"/>
      <w:r>
        <w:rPr>
          <w:sz w:val="20"/>
          <w:szCs w:val="20"/>
        </w:rPr>
        <w:t>=.52, se=.15). Self-medication has a genetic correlation with self-help (</w:t>
      </w:r>
      <w:proofErr w:type="spellStart"/>
      <w:r>
        <w:rPr>
          <w:sz w:val="20"/>
          <w:szCs w:val="20"/>
        </w:rPr>
        <w:t>r</w:t>
      </w:r>
      <w:r>
        <w:rPr>
          <w:sz w:val="20"/>
          <w:szCs w:val="20"/>
          <w:vertAlign w:val="subscript"/>
        </w:rPr>
        <w:t>g</w:t>
      </w:r>
      <w:proofErr w:type="spellEnd"/>
      <w:r>
        <w:rPr>
          <w:sz w:val="20"/>
          <w:szCs w:val="20"/>
        </w:rPr>
        <w:t xml:space="preserve">=.65, se=.17). Treatment-seeking has significant, positive genetic correlations with anxiety disorders </w:t>
      </w:r>
      <w:hyperlink r:id="rId35">
        <w:r>
          <w:rPr>
            <w:color w:val="000000"/>
            <w:sz w:val="20"/>
            <w:szCs w:val="20"/>
          </w:rPr>
          <w:t>(Purves et al. 2017)</w:t>
        </w:r>
      </w:hyperlink>
      <w:r>
        <w:rPr>
          <w:sz w:val="20"/>
          <w:szCs w:val="20"/>
        </w:rPr>
        <w:t xml:space="preserve">, major depression </w:t>
      </w:r>
      <w:hyperlink r:id="rId36">
        <w:r>
          <w:rPr>
            <w:color w:val="000000"/>
            <w:sz w:val="20"/>
            <w:szCs w:val="20"/>
          </w:rPr>
          <w:t>(Wray et al. 2018)</w:t>
        </w:r>
      </w:hyperlink>
      <w:r>
        <w:rPr>
          <w:sz w:val="20"/>
          <w:szCs w:val="20"/>
        </w:rPr>
        <w:t xml:space="preserve"> and related traits (Figure 2). Self-help has positive genetic correlations with educational attainment </w:t>
      </w:r>
      <w:hyperlink r:id="rId37">
        <w:r>
          <w:rPr>
            <w:color w:val="000000"/>
            <w:sz w:val="20"/>
            <w:szCs w:val="20"/>
          </w:rPr>
          <w:t>(Lee et al. 2018)</w:t>
        </w:r>
      </w:hyperlink>
      <w:r>
        <w:rPr>
          <w:sz w:val="20"/>
          <w:szCs w:val="20"/>
        </w:rPr>
        <w:t xml:space="preserve">, schizophrenia </w:t>
      </w:r>
      <w:hyperlink r:id="rId38">
        <w:r>
          <w:rPr>
            <w:color w:val="000000"/>
            <w:sz w:val="20"/>
            <w:szCs w:val="20"/>
          </w:rPr>
          <w:t>(</w:t>
        </w:r>
        <w:proofErr w:type="spellStart"/>
        <w:r>
          <w:rPr>
            <w:color w:val="000000"/>
            <w:sz w:val="20"/>
            <w:szCs w:val="20"/>
          </w:rPr>
          <w:t>Ripke</w:t>
        </w:r>
        <w:proofErr w:type="spellEnd"/>
        <w:r>
          <w:rPr>
            <w:color w:val="000000"/>
            <w:sz w:val="20"/>
            <w:szCs w:val="20"/>
          </w:rPr>
          <w:t xml:space="preserve"> et al. 2014)</w:t>
        </w:r>
      </w:hyperlink>
      <w:r>
        <w:rPr>
          <w:sz w:val="20"/>
          <w:szCs w:val="20"/>
        </w:rPr>
        <w:t xml:space="preserve">, bipolar disorder </w:t>
      </w:r>
      <w:hyperlink r:id="rId39">
        <w:r>
          <w:rPr>
            <w:color w:val="000000"/>
            <w:sz w:val="20"/>
            <w:szCs w:val="20"/>
          </w:rPr>
          <w:t>(Psychiatric GWAS Consortium Bipolar Disorder Working Group 2011)</w:t>
        </w:r>
      </w:hyperlink>
      <w:r>
        <w:rPr>
          <w:sz w:val="20"/>
          <w:szCs w:val="20"/>
        </w:rPr>
        <w:t xml:space="preserve">, cross disorder psychopathology </w:t>
      </w:r>
      <w:hyperlink r:id="rId40">
        <w:r>
          <w:rPr>
            <w:color w:val="000000"/>
            <w:sz w:val="20"/>
            <w:szCs w:val="20"/>
          </w:rPr>
          <w:t>(Cross-Disorder Group of the Psychiatric Genomics Consortium 2013)</w:t>
        </w:r>
      </w:hyperlink>
      <w:r>
        <w:rPr>
          <w:sz w:val="20"/>
          <w:szCs w:val="20"/>
        </w:rPr>
        <w:t>, anxiety disorders (r</w:t>
      </w:r>
      <w:r>
        <w:rPr>
          <w:sz w:val="20"/>
          <w:szCs w:val="20"/>
          <w:vertAlign w:val="subscript"/>
        </w:rPr>
        <w:t>g</w:t>
      </w:r>
      <w:r>
        <w:rPr>
          <w:sz w:val="20"/>
          <w:szCs w:val="20"/>
        </w:rPr>
        <w:t>~.5; Figure 2) and a negative genetic correlation with body mass index (</w:t>
      </w:r>
      <w:proofErr w:type="spellStart"/>
      <w:r>
        <w:rPr>
          <w:sz w:val="20"/>
          <w:szCs w:val="20"/>
        </w:rPr>
        <w:t>r</w:t>
      </w:r>
      <w:r>
        <w:rPr>
          <w:sz w:val="20"/>
          <w:szCs w:val="20"/>
          <w:vertAlign w:val="subscript"/>
        </w:rPr>
        <w:t>g</w:t>
      </w:r>
      <w:proofErr w:type="spellEnd"/>
      <w:r>
        <w:rPr>
          <w:sz w:val="20"/>
          <w:szCs w:val="20"/>
        </w:rPr>
        <w:t xml:space="preserve">=-.24; </w:t>
      </w:r>
      <w:hyperlink r:id="rId41">
        <w:r>
          <w:rPr>
            <w:color w:val="000000"/>
            <w:sz w:val="20"/>
            <w:szCs w:val="20"/>
          </w:rPr>
          <w:t>(</w:t>
        </w:r>
        <w:proofErr w:type="spellStart"/>
        <w:r>
          <w:rPr>
            <w:color w:val="000000"/>
            <w:sz w:val="20"/>
            <w:szCs w:val="20"/>
          </w:rPr>
          <w:t>Yengo</w:t>
        </w:r>
        <w:proofErr w:type="spellEnd"/>
        <w:r>
          <w:rPr>
            <w:color w:val="000000"/>
            <w:sz w:val="20"/>
            <w:szCs w:val="20"/>
          </w:rPr>
          <w:t xml:space="preserve"> et al. 2018)</w:t>
        </w:r>
      </w:hyperlink>
      <w:r>
        <w:rPr>
          <w:sz w:val="20"/>
          <w:szCs w:val="20"/>
        </w:rPr>
        <w:t xml:space="preserve">. Self-medication has significant positive genetic correlations with social deprivation </w:t>
      </w:r>
      <w:hyperlink r:id="rId42">
        <w:r>
          <w:rPr>
            <w:color w:val="000000"/>
            <w:sz w:val="20"/>
            <w:szCs w:val="20"/>
          </w:rPr>
          <w:t>(Hill et al. 2016)</w:t>
        </w:r>
      </w:hyperlink>
      <w:r>
        <w:rPr>
          <w:sz w:val="20"/>
          <w:szCs w:val="20"/>
        </w:rPr>
        <w:t xml:space="preserve">, cannabis use </w:t>
      </w:r>
      <w:hyperlink r:id="rId43">
        <w:r>
          <w:rPr>
            <w:color w:val="000000"/>
            <w:sz w:val="20"/>
            <w:szCs w:val="20"/>
          </w:rPr>
          <w:t>(Stringer et al. 2016)</w:t>
        </w:r>
      </w:hyperlink>
      <w:r>
        <w:rPr>
          <w:sz w:val="20"/>
          <w:szCs w:val="20"/>
        </w:rPr>
        <w:t xml:space="preserve">, schizophrenia, </w:t>
      </w:r>
      <w:r>
        <w:rPr>
          <w:sz w:val="20"/>
          <w:szCs w:val="20"/>
        </w:rPr>
        <w:lastRenderedPageBreak/>
        <w:t xml:space="preserve">alcohol use </w:t>
      </w:r>
      <w:hyperlink r:id="rId44">
        <w:r>
          <w:rPr>
            <w:color w:val="000000"/>
            <w:sz w:val="20"/>
            <w:szCs w:val="20"/>
          </w:rPr>
          <w:t>(Schumann et al. 2016)</w:t>
        </w:r>
      </w:hyperlink>
      <w:r>
        <w:rPr>
          <w:sz w:val="20"/>
          <w:szCs w:val="20"/>
        </w:rPr>
        <w:t xml:space="preserve"> and alcohol dependence </w:t>
      </w:r>
      <w:hyperlink r:id="rId45">
        <w:r>
          <w:rPr>
            <w:color w:val="000000"/>
            <w:sz w:val="20"/>
            <w:szCs w:val="20"/>
          </w:rPr>
          <w:t>(Walters et al. 2018)</w:t>
        </w:r>
      </w:hyperlink>
      <w:r>
        <w:rPr>
          <w:sz w:val="20"/>
          <w:szCs w:val="20"/>
        </w:rPr>
        <w:t xml:space="preserve"> (range </w:t>
      </w:r>
      <w:proofErr w:type="spellStart"/>
      <w:r>
        <w:rPr>
          <w:sz w:val="20"/>
          <w:szCs w:val="20"/>
        </w:rPr>
        <w:t>r</w:t>
      </w:r>
      <w:r>
        <w:rPr>
          <w:sz w:val="20"/>
          <w:szCs w:val="20"/>
          <w:vertAlign w:val="subscript"/>
        </w:rPr>
        <w:t>g</w:t>
      </w:r>
      <w:proofErr w:type="spellEnd"/>
      <w:r>
        <w:rPr>
          <w:sz w:val="20"/>
          <w:szCs w:val="20"/>
        </w:rPr>
        <w:t>=.26-.62; Figure 2).</w:t>
      </w:r>
    </w:p>
    <w:p w:rsidR="00862834" w:rsidRDefault="00862834">
      <w:pPr>
        <w:spacing w:after="240" w:line="480" w:lineRule="auto"/>
        <w:contextualSpacing w:val="0"/>
        <w:rPr>
          <w:sz w:val="20"/>
          <w:szCs w:val="20"/>
        </w:rPr>
      </w:pPr>
    </w:p>
    <w:p w:rsidR="00862834" w:rsidRDefault="00C12B37">
      <w:pPr>
        <w:spacing w:after="240" w:line="360" w:lineRule="auto"/>
        <w:contextualSpacing w:val="0"/>
        <w:rPr>
          <w:sz w:val="18"/>
          <w:szCs w:val="18"/>
          <w:u w:val="single"/>
        </w:rPr>
      </w:pPr>
      <w:r>
        <w:br w:type="page"/>
      </w:r>
    </w:p>
    <w:p w:rsidR="00862834" w:rsidRPr="00B82C65" w:rsidRDefault="00C12B37">
      <w:pPr>
        <w:spacing w:after="240" w:line="360" w:lineRule="auto"/>
        <w:contextualSpacing w:val="0"/>
        <w:rPr>
          <w:i/>
          <w:sz w:val="20"/>
          <w:szCs w:val="20"/>
          <w:u w:val="single"/>
        </w:rPr>
      </w:pPr>
      <w:r w:rsidRPr="00B82C65">
        <w:rPr>
          <w:i/>
          <w:sz w:val="20"/>
          <w:szCs w:val="20"/>
          <w:u w:val="single"/>
        </w:rPr>
        <w:lastRenderedPageBreak/>
        <w:t>Figure 1 (a) Observed common genetic variant heritability estimates of treatment-seeking phenotypes in the whole cohort, and stratified by case/control status and sex; (b) Common genetic variant heritability curves: heritability estimates of treatment-seeking phenotypes converted to the liability scale at the full range of population prevalence</w:t>
      </w:r>
    </w:p>
    <w:p w:rsidR="00862834" w:rsidRDefault="00C12B37">
      <w:pPr>
        <w:spacing w:line="240" w:lineRule="auto"/>
        <w:ind w:firstLine="720"/>
        <w:contextualSpacing w:val="0"/>
        <w:rPr>
          <w:sz w:val="18"/>
          <w:szCs w:val="18"/>
        </w:rPr>
      </w:pPr>
      <w:r>
        <w:rPr>
          <w:sz w:val="18"/>
          <w:szCs w:val="18"/>
        </w:rPr>
        <w:t>(a)</w:t>
      </w:r>
    </w:p>
    <w:p w:rsidR="00862834" w:rsidRDefault="00C12B37">
      <w:pPr>
        <w:spacing w:line="240" w:lineRule="auto"/>
        <w:ind w:left="720" w:firstLine="720"/>
        <w:contextualSpacing w:val="0"/>
        <w:rPr>
          <w:sz w:val="18"/>
          <w:szCs w:val="18"/>
          <w:u w:val="single"/>
        </w:rPr>
      </w:pPr>
      <w:r>
        <w:rPr>
          <w:noProof/>
          <w:sz w:val="18"/>
          <w:szCs w:val="18"/>
        </w:rPr>
        <w:drawing>
          <wp:inline distT="114300" distB="114300" distL="114300" distR="114300">
            <wp:extent cx="4271963" cy="213124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4271963" cy="2131245"/>
                    </a:xfrm>
                    <a:prstGeom prst="rect">
                      <a:avLst/>
                    </a:prstGeom>
                    <a:ln/>
                  </pic:spPr>
                </pic:pic>
              </a:graphicData>
            </a:graphic>
          </wp:inline>
        </w:drawing>
      </w:r>
      <w:r>
        <w:rPr>
          <w:sz w:val="18"/>
          <w:szCs w:val="18"/>
        </w:rPr>
        <w:br/>
      </w:r>
    </w:p>
    <w:p w:rsidR="00862834" w:rsidRDefault="00C12B37">
      <w:pPr>
        <w:spacing w:line="240" w:lineRule="auto"/>
        <w:ind w:firstLine="720"/>
        <w:contextualSpacing w:val="0"/>
        <w:rPr>
          <w:sz w:val="18"/>
          <w:szCs w:val="18"/>
        </w:rPr>
      </w:pPr>
      <w:r>
        <w:rPr>
          <w:sz w:val="18"/>
          <w:szCs w:val="18"/>
        </w:rPr>
        <w:t>(b)</w:t>
      </w:r>
    </w:p>
    <w:p w:rsidR="00862834" w:rsidRDefault="00C12B37">
      <w:pPr>
        <w:spacing w:after="240" w:line="240" w:lineRule="auto"/>
        <w:ind w:left="720" w:firstLine="720"/>
        <w:contextualSpacing w:val="0"/>
        <w:rPr>
          <w:sz w:val="18"/>
          <w:szCs w:val="18"/>
          <w:u w:val="single"/>
        </w:rPr>
      </w:pPr>
      <w:r>
        <w:rPr>
          <w:noProof/>
          <w:sz w:val="18"/>
          <w:szCs w:val="18"/>
        </w:rPr>
        <w:drawing>
          <wp:inline distT="114300" distB="114300" distL="114300" distR="114300">
            <wp:extent cx="4252913" cy="297146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4252913" cy="2971467"/>
                    </a:xfrm>
                    <a:prstGeom prst="rect">
                      <a:avLst/>
                    </a:prstGeom>
                    <a:ln/>
                  </pic:spPr>
                </pic:pic>
              </a:graphicData>
            </a:graphic>
          </wp:inline>
        </w:drawing>
      </w:r>
      <w:r>
        <w:rPr>
          <w:sz w:val="18"/>
          <w:szCs w:val="18"/>
        </w:rPr>
        <w:tab/>
      </w:r>
    </w:p>
    <w:p w:rsidR="00862834" w:rsidRDefault="00C12B37">
      <w:pPr>
        <w:spacing w:after="240" w:line="360" w:lineRule="auto"/>
        <w:contextualSpacing w:val="0"/>
        <w:rPr>
          <w:i/>
          <w:sz w:val="18"/>
          <w:szCs w:val="18"/>
        </w:rPr>
      </w:pPr>
      <w:r>
        <w:rPr>
          <w:i/>
          <w:sz w:val="18"/>
          <w:szCs w:val="18"/>
        </w:rPr>
        <w:t xml:space="preserve">Note: error bars represent standard errors. Overlapping standard errors indicate that estimates are not significantly different between strata (tested formally via block jackknife; see supplement). Negative estimates indicate that the heritability is smaller than our analyses were powered to detect. Heritability estimates, intercept estimates and standard errors are presented in the supplement. Heritability on the liability scale peaks at 50% population prevalence. A deviation from 50% population prevalence provides the same heritability same estimate regardless of direction (+/-), </w:t>
      </w:r>
      <w:proofErr w:type="spellStart"/>
      <w:r>
        <w:rPr>
          <w:i/>
          <w:sz w:val="18"/>
          <w:szCs w:val="18"/>
        </w:rPr>
        <w:t>i.e</w:t>
      </w:r>
      <w:proofErr w:type="spellEnd"/>
      <w:r>
        <w:rPr>
          <w:i/>
          <w:sz w:val="18"/>
          <w:szCs w:val="18"/>
        </w:rPr>
        <w:t xml:space="preserve"> liability scale h</w:t>
      </w:r>
      <w:r>
        <w:rPr>
          <w:sz w:val="18"/>
          <w:szCs w:val="18"/>
          <w:vertAlign w:val="superscript"/>
        </w:rPr>
        <w:t>2</w:t>
      </w:r>
      <w:r>
        <w:rPr>
          <w:i/>
          <w:sz w:val="18"/>
          <w:szCs w:val="18"/>
        </w:rPr>
        <w:t xml:space="preserve"> at a pop. </w:t>
      </w:r>
      <w:proofErr w:type="spellStart"/>
      <w:r>
        <w:rPr>
          <w:i/>
          <w:sz w:val="18"/>
          <w:szCs w:val="18"/>
        </w:rPr>
        <w:t>prev</w:t>
      </w:r>
      <w:proofErr w:type="spellEnd"/>
      <w:r>
        <w:rPr>
          <w:i/>
          <w:sz w:val="18"/>
          <w:szCs w:val="18"/>
        </w:rPr>
        <w:t xml:space="preserve"> of 20% is equal to liability scale h</w:t>
      </w:r>
      <w:r>
        <w:rPr>
          <w:sz w:val="18"/>
          <w:szCs w:val="18"/>
          <w:vertAlign w:val="superscript"/>
        </w:rPr>
        <w:t>2</w:t>
      </w:r>
      <w:r>
        <w:rPr>
          <w:i/>
          <w:sz w:val="18"/>
          <w:szCs w:val="18"/>
        </w:rPr>
        <w:t xml:space="preserve"> at a pop. </w:t>
      </w:r>
      <w:proofErr w:type="spellStart"/>
      <w:r>
        <w:rPr>
          <w:i/>
          <w:sz w:val="18"/>
          <w:szCs w:val="18"/>
        </w:rPr>
        <w:t>prev</w:t>
      </w:r>
      <w:proofErr w:type="spellEnd"/>
      <w:r>
        <w:rPr>
          <w:i/>
          <w:sz w:val="18"/>
          <w:szCs w:val="18"/>
        </w:rPr>
        <w:t xml:space="preserve"> of 80%. </w:t>
      </w:r>
      <w:proofErr w:type="gramStart"/>
      <w:r>
        <w:rPr>
          <w:i/>
          <w:sz w:val="18"/>
          <w:szCs w:val="18"/>
        </w:rPr>
        <w:t>Thus,  liability</w:t>
      </w:r>
      <w:proofErr w:type="gramEnd"/>
      <w:r>
        <w:rPr>
          <w:i/>
          <w:sz w:val="18"/>
          <w:szCs w:val="18"/>
        </w:rPr>
        <w:t xml:space="preserve"> scale h</w:t>
      </w:r>
      <w:r>
        <w:rPr>
          <w:sz w:val="18"/>
          <w:szCs w:val="18"/>
          <w:vertAlign w:val="superscript"/>
        </w:rPr>
        <w:t>2</w:t>
      </w:r>
      <w:r>
        <w:rPr>
          <w:i/>
          <w:sz w:val="18"/>
          <w:szCs w:val="18"/>
        </w:rPr>
        <w:t xml:space="preserve"> is only plotted at 0-50% population prevalence. </w:t>
      </w:r>
    </w:p>
    <w:p w:rsidR="00862834" w:rsidRPr="00B82C65" w:rsidRDefault="00C12B37">
      <w:pPr>
        <w:spacing w:line="360" w:lineRule="auto"/>
        <w:contextualSpacing w:val="0"/>
        <w:rPr>
          <w:i/>
          <w:sz w:val="20"/>
          <w:szCs w:val="20"/>
          <w:u w:val="single"/>
        </w:rPr>
      </w:pPr>
      <w:r w:rsidRPr="00B82C65">
        <w:rPr>
          <w:i/>
          <w:sz w:val="20"/>
          <w:szCs w:val="20"/>
          <w:u w:val="single"/>
        </w:rPr>
        <w:lastRenderedPageBreak/>
        <w:t xml:space="preserve">Figure 2. Genetic correlations between the treatment seeking phenotypes and psychiatric, and </w:t>
      </w:r>
      <w:proofErr w:type="spellStart"/>
      <w:r w:rsidRPr="00B82C65">
        <w:rPr>
          <w:i/>
          <w:sz w:val="20"/>
          <w:szCs w:val="20"/>
          <w:u w:val="single"/>
        </w:rPr>
        <w:t>behavioural</w:t>
      </w:r>
      <w:proofErr w:type="spellEnd"/>
      <w:r w:rsidRPr="00B82C65">
        <w:rPr>
          <w:i/>
          <w:sz w:val="20"/>
          <w:szCs w:val="20"/>
          <w:u w:val="single"/>
        </w:rPr>
        <w:t xml:space="preserve"> traits </w:t>
      </w:r>
    </w:p>
    <w:p w:rsidR="00862834" w:rsidRDefault="00862834">
      <w:pPr>
        <w:spacing w:line="360" w:lineRule="auto"/>
        <w:contextualSpacing w:val="0"/>
        <w:rPr>
          <w:sz w:val="18"/>
          <w:szCs w:val="18"/>
          <w:u w:val="single"/>
        </w:rPr>
      </w:pPr>
    </w:p>
    <w:p w:rsidR="00862834" w:rsidRDefault="00C12B37">
      <w:pPr>
        <w:spacing w:line="360" w:lineRule="auto"/>
        <w:contextualSpacing w:val="0"/>
        <w:rPr>
          <w:sz w:val="18"/>
          <w:szCs w:val="18"/>
          <w:u w:val="single"/>
        </w:rPr>
      </w:pPr>
      <w:r w:rsidRPr="00B82C65">
        <w:rPr>
          <w:noProof/>
          <w:sz w:val="18"/>
          <w:szCs w:val="18"/>
        </w:rPr>
        <w:drawing>
          <wp:inline distT="114300" distB="114300" distL="114300" distR="114300">
            <wp:extent cx="5462588" cy="382556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462588" cy="3825562"/>
                    </a:xfrm>
                    <a:prstGeom prst="rect">
                      <a:avLst/>
                    </a:prstGeom>
                    <a:ln/>
                  </pic:spPr>
                </pic:pic>
              </a:graphicData>
            </a:graphic>
          </wp:inline>
        </w:drawing>
      </w:r>
    </w:p>
    <w:p w:rsidR="00862834" w:rsidRDefault="00C12B37">
      <w:pPr>
        <w:spacing w:after="240" w:line="360" w:lineRule="auto"/>
        <w:contextualSpacing w:val="0"/>
        <w:rPr>
          <w:b/>
          <w:i/>
          <w:sz w:val="18"/>
          <w:szCs w:val="18"/>
          <w:u w:val="single"/>
        </w:rPr>
      </w:pPr>
      <w:r>
        <w:rPr>
          <w:b/>
          <w:sz w:val="20"/>
          <w:szCs w:val="20"/>
          <w:u w:val="single"/>
        </w:rPr>
        <w:br/>
      </w:r>
      <w:r>
        <w:rPr>
          <w:i/>
          <w:sz w:val="18"/>
          <w:szCs w:val="18"/>
        </w:rPr>
        <w:t xml:space="preserve">(Note: * Bonferroni p&lt;0.0001; error bars represent standard errors; GWAS summary statistics obtained from: major depressive disorder </w:t>
      </w:r>
      <w:hyperlink r:id="rId49">
        <w:r>
          <w:rPr>
            <w:i/>
            <w:color w:val="000000"/>
            <w:sz w:val="18"/>
            <w:szCs w:val="18"/>
          </w:rPr>
          <w:t>(Wray et al. 2018)</w:t>
        </w:r>
      </w:hyperlink>
      <w:r>
        <w:rPr>
          <w:i/>
          <w:sz w:val="18"/>
          <w:szCs w:val="18"/>
        </w:rPr>
        <w:t xml:space="preserve">, anxiety disorders </w:t>
      </w:r>
      <w:hyperlink r:id="rId50">
        <w:r>
          <w:rPr>
            <w:i/>
            <w:color w:val="000000"/>
            <w:sz w:val="18"/>
            <w:szCs w:val="18"/>
          </w:rPr>
          <w:t>(Purves et al. 2017)</w:t>
        </w:r>
      </w:hyperlink>
      <w:r>
        <w:rPr>
          <w:i/>
          <w:sz w:val="18"/>
          <w:szCs w:val="18"/>
        </w:rPr>
        <w:t xml:space="preserve">, bipolar disorder </w:t>
      </w:r>
      <w:hyperlink r:id="rId51">
        <w:r>
          <w:rPr>
            <w:i/>
            <w:color w:val="000000"/>
            <w:sz w:val="18"/>
            <w:szCs w:val="18"/>
          </w:rPr>
          <w:t>(Psychiatric GWAS Consortium Bipolar Disorder Working Group 2011)</w:t>
        </w:r>
      </w:hyperlink>
      <w:r>
        <w:rPr>
          <w:i/>
          <w:sz w:val="18"/>
          <w:szCs w:val="18"/>
        </w:rPr>
        <w:t xml:space="preserve">, schizophrenia </w:t>
      </w:r>
      <w:hyperlink r:id="rId52">
        <w:r>
          <w:rPr>
            <w:i/>
            <w:color w:val="000000"/>
            <w:sz w:val="18"/>
            <w:szCs w:val="18"/>
          </w:rPr>
          <w:t>(</w:t>
        </w:r>
        <w:proofErr w:type="spellStart"/>
        <w:r>
          <w:rPr>
            <w:i/>
            <w:color w:val="000000"/>
            <w:sz w:val="18"/>
            <w:szCs w:val="18"/>
          </w:rPr>
          <w:t>Ripke</w:t>
        </w:r>
        <w:proofErr w:type="spellEnd"/>
        <w:r>
          <w:rPr>
            <w:i/>
            <w:color w:val="000000"/>
            <w:sz w:val="18"/>
            <w:szCs w:val="18"/>
          </w:rPr>
          <w:t xml:space="preserve"> et al. 2014)</w:t>
        </w:r>
      </w:hyperlink>
      <w:r>
        <w:rPr>
          <w:i/>
          <w:sz w:val="18"/>
          <w:szCs w:val="18"/>
        </w:rPr>
        <w:t xml:space="preserve">, autism spectrum disorder </w:t>
      </w:r>
      <w:hyperlink r:id="rId53">
        <w:r>
          <w:rPr>
            <w:i/>
            <w:color w:val="000000"/>
            <w:sz w:val="18"/>
            <w:szCs w:val="18"/>
          </w:rPr>
          <w:t>(Autism Spectrum Disorders Working Group of The Psychiatric Genomics Consortium 2017)</w:t>
        </w:r>
      </w:hyperlink>
      <w:r>
        <w:rPr>
          <w:i/>
          <w:sz w:val="18"/>
          <w:szCs w:val="18"/>
        </w:rPr>
        <w:t xml:space="preserve">, ADHD </w:t>
      </w:r>
      <w:hyperlink r:id="rId54">
        <w:r>
          <w:rPr>
            <w:i/>
            <w:color w:val="000000"/>
            <w:sz w:val="18"/>
            <w:szCs w:val="18"/>
          </w:rPr>
          <w:t>(</w:t>
        </w:r>
        <w:proofErr w:type="spellStart"/>
        <w:r>
          <w:rPr>
            <w:i/>
            <w:color w:val="000000"/>
            <w:sz w:val="18"/>
            <w:szCs w:val="18"/>
          </w:rPr>
          <w:t>Demontis</w:t>
        </w:r>
        <w:proofErr w:type="spellEnd"/>
        <w:r>
          <w:rPr>
            <w:i/>
            <w:color w:val="000000"/>
            <w:sz w:val="18"/>
            <w:szCs w:val="18"/>
          </w:rPr>
          <w:t xml:space="preserve"> et al. 2018)</w:t>
        </w:r>
      </w:hyperlink>
      <w:r>
        <w:rPr>
          <w:i/>
          <w:sz w:val="18"/>
          <w:szCs w:val="18"/>
        </w:rPr>
        <w:t xml:space="preserve">, anorexia nervosa </w:t>
      </w:r>
      <w:hyperlink r:id="rId55">
        <w:r>
          <w:rPr>
            <w:i/>
            <w:color w:val="000000"/>
            <w:sz w:val="18"/>
            <w:szCs w:val="18"/>
          </w:rPr>
          <w:t>(</w:t>
        </w:r>
        <w:proofErr w:type="spellStart"/>
        <w:r>
          <w:rPr>
            <w:i/>
            <w:color w:val="000000"/>
            <w:sz w:val="18"/>
            <w:szCs w:val="18"/>
          </w:rPr>
          <w:t>Bulik</w:t>
        </w:r>
        <w:proofErr w:type="spellEnd"/>
        <w:r>
          <w:rPr>
            <w:i/>
            <w:color w:val="000000"/>
            <w:sz w:val="18"/>
            <w:szCs w:val="18"/>
          </w:rPr>
          <w:t xml:space="preserve"> et al. 2017)</w:t>
        </w:r>
      </w:hyperlink>
      <w:r>
        <w:rPr>
          <w:i/>
          <w:sz w:val="18"/>
          <w:szCs w:val="18"/>
        </w:rPr>
        <w:t xml:space="preserve">, borderline personality disorder </w:t>
      </w:r>
      <w:hyperlink r:id="rId56">
        <w:r>
          <w:rPr>
            <w:i/>
            <w:color w:val="000000"/>
            <w:sz w:val="18"/>
            <w:szCs w:val="18"/>
          </w:rPr>
          <w:t>(Witt et al. 2017)</w:t>
        </w:r>
      </w:hyperlink>
      <w:r>
        <w:rPr>
          <w:i/>
          <w:sz w:val="18"/>
          <w:szCs w:val="18"/>
        </w:rPr>
        <w:t xml:space="preserve">, cross-disorder psychopathology </w:t>
      </w:r>
      <w:hyperlink r:id="rId57">
        <w:r>
          <w:rPr>
            <w:i/>
            <w:color w:val="000000"/>
            <w:sz w:val="18"/>
            <w:szCs w:val="18"/>
          </w:rPr>
          <w:t>(Cross-Disorder Group of the Psychiatric Genomics Consortium 2013)</w:t>
        </w:r>
      </w:hyperlink>
      <w:r>
        <w:rPr>
          <w:i/>
          <w:sz w:val="18"/>
          <w:szCs w:val="18"/>
        </w:rPr>
        <w:t xml:space="preserve">, alcohol dependence </w:t>
      </w:r>
      <w:hyperlink r:id="rId58">
        <w:r>
          <w:rPr>
            <w:i/>
            <w:color w:val="000000"/>
            <w:sz w:val="18"/>
            <w:szCs w:val="18"/>
          </w:rPr>
          <w:t>(Walters et al. 2018)</w:t>
        </w:r>
      </w:hyperlink>
      <w:r>
        <w:rPr>
          <w:i/>
          <w:sz w:val="18"/>
          <w:szCs w:val="18"/>
        </w:rPr>
        <w:t>, depressive symptoms (</w:t>
      </w:r>
      <w:hyperlink r:id="rId59">
        <w:r>
          <w:rPr>
            <w:i/>
            <w:color w:val="000000"/>
            <w:sz w:val="18"/>
            <w:szCs w:val="18"/>
          </w:rPr>
          <w:t>(</w:t>
        </w:r>
        <w:proofErr w:type="spellStart"/>
        <w:r>
          <w:rPr>
            <w:i/>
            <w:color w:val="000000"/>
            <w:sz w:val="18"/>
            <w:szCs w:val="18"/>
          </w:rPr>
          <w:t>Okbay</w:t>
        </w:r>
        <w:proofErr w:type="spellEnd"/>
        <w:r>
          <w:rPr>
            <w:i/>
            <w:color w:val="000000"/>
            <w:sz w:val="18"/>
            <w:szCs w:val="18"/>
          </w:rPr>
          <w:t xml:space="preserve"> et al. 2016)</w:t>
        </w:r>
      </w:hyperlink>
      <w:r>
        <w:rPr>
          <w:i/>
          <w:sz w:val="18"/>
          <w:szCs w:val="18"/>
        </w:rPr>
        <w:t xml:space="preserve">, insomnia </w:t>
      </w:r>
      <w:hyperlink r:id="rId60">
        <w:r>
          <w:rPr>
            <w:i/>
            <w:color w:val="000000"/>
            <w:sz w:val="18"/>
            <w:szCs w:val="18"/>
          </w:rPr>
          <w:t>(</w:t>
        </w:r>
        <w:proofErr w:type="spellStart"/>
        <w:r>
          <w:rPr>
            <w:i/>
            <w:color w:val="000000"/>
            <w:sz w:val="18"/>
            <w:szCs w:val="18"/>
          </w:rPr>
          <w:t>Hammerschlag</w:t>
        </w:r>
        <w:proofErr w:type="spellEnd"/>
        <w:r>
          <w:rPr>
            <w:i/>
            <w:color w:val="000000"/>
            <w:sz w:val="18"/>
            <w:szCs w:val="18"/>
          </w:rPr>
          <w:t xml:space="preserve"> et al. 2017)</w:t>
        </w:r>
      </w:hyperlink>
      <w:r>
        <w:rPr>
          <w:i/>
          <w:sz w:val="18"/>
          <w:szCs w:val="18"/>
        </w:rPr>
        <w:t xml:space="preserve">, tiredness </w:t>
      </w:r>
      <w:hyperlink r:id="rId61">
        <w:r>
          <w:rPr>
            <w:i/>
            <w:color w:val="000000"/>
            <w:sz w:val="18"/>
            <w:szCs w:val="18"/>
          </w:rPr>
          <w:t>(</w:t>
        </w:r>
        <w:proofErr w:type="spellStart"/>
        <w:r>
          <w:rPr>
            <w:i/>
            <w:color w:val="000000"/>
            <w:sz w:val="18"/>
            <w:szCs w:val="18"/>
          </w:rPr>
          <w:t>Deary</w:t>
        </w:r>
        <w:proofErr w:type="spellEnd"/>
        <w:r>
          <w:rPr>
            <w:i/>
            <w:color w:val="000000"/>
            <w:sz w:val="18"/>
            <w:szCs w:val="18"/>
          </w:rPr>
          <w:t xml:space="preserve"> et al. 2018)</w:t>
        </w:r>
      </w:hyperlink>
      <w:r>
        <w:rPr>
          <w:i/>
          <w:sz w:val="18"/>
          <w:szCs w:val="18"/>
        </w:rPr>
        <w:t xml:space="preserve">, migraine </w:t>
      </w:r>
      <w:hyperlink r:id="rId62">
        <w:r>
          <w:rPr>
            <w:i/>
            <w:color w:val="000000"/>
            <w:sz w:val="18"/>
            <w:szCs w:val="18"/>
          </w:rPr>
          <w:t>(Gormley et al. 2016)</w:t>
        </w:r>
      </w:hyperlink>
      <w:r>
        <w:rPr>
          <w:i/>
          <w:sz w:val="18"/>
          <w:szCs w:val="18"/>
        </w:rPr>
        <w:t xml:space="preserve">, BMI </w:t>
      </w:r>
      <w:hyperlink r:id="rId63">
        <w:r>
          <w:rPr>
            <w:i/>
            <w:color w:val="000000"/>
            <w:sz w:val="18"/>
            <w:szCs w:val="18"/>
          </w:rPr>
          <w:t>(</w:t>
        </w:r>
        <w:proofErr w:type="spellStart"/>
        <w:r>
          <w:rPr>
            <w:i/>
            <w:color w:val="000000"/>
            <w:sz w:val="18"/>
            <w:szCs w:val="18"/>
          </w:rPr>
          <w:t>Yengo</w:t>
        </w:r>
        <w:proofErr w:type="spellEnd"/>
        <w:r>
          <w:rPr>
            <w:i/>
            <w:color w:val="000000"/>
            <w:sz w:val="18"/>
            <w:szCs w:val="18"/>
          </w:rPr>
          <w:t xml:space="preserve"> et al. 2018)</w:t>
        </w:r>
      </w:hyperlink>
      <w:r>
        <w:rPr>
          <w:i/>
          <w:sz w:val="18"/>
          <w:szCs w:val="18"/>
        </w:rPr>
        <w:t xml:space="preserve">, neuroticism and subjective well-being </w:t>
      </w:r>
      <w:hyperlink r:id="rId64">
        <w:r>
          <w:rPr>
            <w:i/>
            <w:color w:val="000000"/>
            <w:sz w:val="18"/>
            <w:szCs w:val="18"/>
          </w:rPr>
          <w:t>(</w:t>
        </w:r>
        <w:proofErr w:type="spellStart"/>
        <w:r>
          <w:rPr>
            <w:i/>
            <w:color w:val="000000"/>
            <w:sz w:val="18"/>
            <w:szCs w:val="18"/>
          </w:rPr>
          <w:t>Okbay</w:t>
        </w:r>
        <w:proofErr w:type="spellEnd"/>
        <w:r>
          <w:rPr>
            <w:i/>
            <w:color w:val="000000"/>
            <w:sz w:val="18"/>
            <w:szCs w:val="18"/>
          </w:rPr>
          <w:t xml:space="preserve"> et al. 2016)</w:t>
        </w:r>
      </w:hyperlink>
      <w:r>
        <w:rPr>
          <w:i/>
          <w:sz w:val="18"/>
          <w:szCs w:val="18"/>
        </w:rPr>
        <w:t xml:space="preserve">, extraversion, openness to experience, and conscientiousness </w:t>
      </w:r>
      <w:hyperlink r:id="rId65">
        <w:r>
          <w:rPr>
            <w:i/>
            <w:color w:val="000000"/>
            <w:sz w:val="18"/>
            <w:szCs w:val="18"/>
          </w:rPr>
          <w:t>(de Moor et al. 2010)</w:t>
        </w:r>
      </w:hyperlink>
      <w:r>
        <w:rPr>
          <w:i/>
          <w:sz w:val="18"/>
          <w:szCs w:val="18"/>
        </w:rPr>
        <w:t xml:space="preserve">, intelligence (adult IQ: </w:t>
      </w:r>
      <w:hyperlink r:id="rId66">
        <w:r>
          <w:rPr>
            <w:i/>
            <w:color w:val="000000"/>
            <w:sz w:val="18"/>
            <w:szCs w:val="18"/>
          </w:rPr>
          <w:t>(Savage et al. 2018; Benyamin et al. 2014)</w:t>
        </w:r>
      </w:hyperlink>
      <w:r>
        <w:rPr>
          <w:i/>
          <w:sz w:val="18"/>
          <w:szCs w:val="18"/>
        </w:rPr>
        <w:t>child IQ:</w:t>
      </w:r>
      <w:hyperlink r:id="rId67">
        <w:r>
          <w:rPr>
            <w:i/>
            <w:color w:val="000000"/>
            <w:sz w:val="18"/>
            <w:szCs w:val="18"/>
          </w:rPr>
          <w:t>(Savage et al. 2018; Benyamin et al. 2014)</w:t>
        </w:r>
      </w:hyperlink>
      <w:r>
        <w:rPr>
          <w:i/>
          <w:sz w:val="18"/>
          <w:szCs w:val="18"/>
        </w:rPr>
        <w:t xml:space="preserve">, educational attainment </w:t>
      </w:r>
      <w:hyperlink r:id="rId68">
        <w:r>
          <w:rPr>
            <w:i/>
            <w:color w:val="000000"/>
            <w:sz w:val="18"/>
            <w:szCs w:val="18"/>
          </w:rPr>
          <w:t>(Lee et al. 2018)</w:t>
        </w:r>
      </w:hyperlink>
      <w:r>
        <w:rPr>
          <w:i/>
          <w:sz w:val="18"/>
          <w:szCs w:val="18"/>
        </w:rPr>
        <w:t xml:space="preserve">, social deprivation </w:t>
      </w:r>
      <w:hyperlink r:id="rId69">
        <w:r>
          <w:rPr>
            <w:i/>
            <w:color w:val="000000"/>
            <w:sz w:val="18"/>
            <w:szCs w:val="18"/>
          </w:rPr>
          <w:t>(Hill et al. 2016)</w:t>
        </w:r>
      </w:hyperlink>
      <w:r>
        <w:rPr>
          <w:i/>
          <w:sz w:val="18"/>
          <w:szCs w:val="18"/>
        </w:rPr>
        <w:t xml:space="preserve">, alcohol use </w:t>
      </w:r>
      <w:hyperlink r:id="rId70">
        <w:r>
          <w:rPr>
            <w:i/>
            <w:color w:val="000000"/>
            <w:sz w:val="18"/>
            <w:szCs w:val="18"/>
          </w:rPr>
          <w:t>(Schumann et al. 2016)</w:t>
        </w:r>
      </w:hyperlink>
      <w:r>
        <w:rPr>
          <w:i/>
          <w:sz w:val="18"/>
          <w:szCs w:val="18"/>
        </w:rPr>
        <w:t>, cannabis use (</w:t>
      </w:r>
      <w:hyperlink r:id="rId71">
        <w:r>
          <w:rPr>
            <w:i/>
            <w:color w:val="000000"/>
            <w:sz w:val="18"/>
            <w:szCs w:val="18"/>
          </w:rPr>
          <w:t>(Schumann et al. 2016; Stringer et al. 2016)</w:t>
        </w:r>
      </w:hyperlink>
      <w:r>
        <w:rPr>
          <w:b/>
          <w:i/>
          <w:sz w:val="18"/>
          <w:szCs w:val="18"/>
          <w:u w:val="single"/>
        </w:rPr>
        <w:t>)</w:t>
      </w:r>
    </w:p>
    <w:p w:rsidR="00862834" w:rsidRDefault="00862834">
      <w:pPr>
        <w:spacing w:after="240" w:line="360" w:lineRule="auto"/>
        <w:contextualSpacing w:val="0"/>
        <w:rPr>
          <w:b/>
          <w:sz w:val="20"/>
          <w:szCs w:val="20"/>
          <w:u w:val="single"/>
        </w:rPr>
      </w:pPr>
    </w:p>
    <w:p w:rsidR="00862834" w:rsidRDefault="00862834">
      <w:pPr>
        <w:spacing w:after="240" w:line="360" w:lineRule="auto"/>
        <w:contextualSpacing w:val="0"/>
        <w:rPr>
          <w:b/>
          <w:sz w:val="20"/>
          <w:szCs w:val="20"/>
          <w:u w:val="single"/>
        </w:rPr>
      </w:pPr>
    </w:p>
    <w:p w:rsidR="00862834" w:rsidRDefault="00C12B37">
      <w:pPr>
        <w:spacing w:after="240" w:line="480" w:lineRule="auto"/>
        <w:ind w:firstLine="720"/>
        <w:contextualSpacing w:val="0"/>
        <w:rPr>
          <w:sz w:val="20"/>
          <w:szCs w:val="20"/>
        </w:rPr>
      </w:pPr>
      <w:r>
        <w:rPr>
          <w:sz w:val="20"/>
          <w:szCs w:val="20"/>
        </w:rPr>
        <w:lastRenderedPageBreak/>
        <w:t>We were particularly interested in understanding whether the genetic contributions to treatment-seeking differed between anxiety/depression</w:t>
      </w:r>
      <w:r>
        <w:rPr>
          <w:rFonts w:ascii="Roboto" w:eastAsia="Roboto" w:hAnsi="Roboto" w:cs="Roboto"/>
          <w:color w:val="333333"/>
          <w:sz w:val="20"/>
          <w:szCs w:val="20"/>
          <w:shd w:val="clear" w:color="auto" w:fill="F5F5F5"/>
        </w:rPr>
        <w:t xml:space="preserve"> </w:t>
      </w:r>
      <w:r>
        <w:rPr>
          <w:sz w:val="20"/>
          <w:szCs w:val="20"/>
        </w:rPr>
        <w:t xml:space="preserve">cases and controls. Stratified analyses resulted in reduced statistical power to detect genetic correlations after multiple testing correction. Estimates were not significantly different between the strata and standard errors overlap substantially (see Supplementary Figure 5). Of note, no significant genetic correlations were observed with treatment-seeking in cases, whereas in controls, significant positive genetic correlations were observed between treatment seeking and anxiety disorders, and neuroticism. This might suggest that within controls, those with higher genetic propensity for anxiety/neuroticism were more likely to seek treatment. In contrast, for self-help significant positive genetic correlations with schizophrenia and educational attainment were observed in cases: cases who self-help have higher genetic propensity for educational attainment and schizophrenia compared to cases who do not self-help (see Supplementary Figure 5). </w:t>
      </w:r>
    </w:p>
    <w:p w:rsidR="00862834" w:rsidRDefault="00C12B37">
      <w:pPr>
        <w:spacing w:after="240" w:line="480" w:lineRule="auto"/>
        <w:ind w:firstLine="720"/>
        <w:contextualSpacing w:val="0"/>
        <w:rPr>
          <w:sz w:val="20"/>
          <w:szCs w:val="20"/>
        </w:rPr>
      </w:pPr>
      <w:r>
        <w:rPr>
          <w:sz w:val="20"/>
          <w:szCs w:val="20"/>
        </w:rPr>
        <w:t xml:space="preserve">As a final step, we performed secondary analyses using data available from the entire UK Biobank sample, which assessed </w:t>
      </w:r>
      <w:r>
        <w:rPr>
          <w:b/>
          <w:sz w:val="20"/>
          <w:szCs w:val="20"/>
        </w:rPr>
        <w:t>formal</w:t>
      </w:r>
      <w:r>
        <w:rPr>
          <w:sz w:val="20"/>
          <w:szCs w:val="20"/>
        </w:rPr>
        <w:t xml:space="preserve"> treatment-seeking. This terminology refers to when someone has specifically </w:t>
      </w:r>
      <w:r w:rsidR="00B82C65">
        <w:rPr>
          <w:sz w:val="20"/>
          <w:szCs w:val="20"/>
        </w:rPr>
        <w:t>sought treatment</w:t>
      </w:r>
      <w:r>
        <w:rPr>
          <w:sz w:val="20"/>
          <w:szCs w:val="20"/>
        </w:rPr>
        <w:t xml:space="preserve"> (in this case for nerves, anxiety, tension or depression) from a medical professional, i.e. a GP or psychiatrist. Further details including results are presented in the supplemental material. </w:t>
      </w:r>
    </w:p>
    <w:p w:rsidR="00862834" w:rsidRDefault="00C12B37">
      <w:pPr>
        <w:spacing w:after="240" w:line="480" w:lineRule="auto"/>
        <w:contextualSpacing w:val="0"/>
        <w:rPr>
          <w:sz w:val="20"/>
          <w:szCs w:val="20"/>
        </w:rPr>
      </w:pPr>
      <w:r>
        <w:rPr>
          <w:b/>
          <w:sz w:val="20"/>
          <w:szCs w:val="20"/>
          <w:u w:val="single"/>
        </w:rPr>
        <w:t>Discussion</w:t>
      </w:r>
      <w:r>
        <w:rPr>
          <w:sz w:val="20"/>
          <w:szCs w:val="20"/>
          <w:u w:val="single"/>
        </w:rPr>
        <w:br/>
      </w:r>
      <w:r>
        <w:rPr>
          <w:sz w:val="20"/>
          <w:szCs w:val="20"/>
        </w:rPr>
        <w:tab/>
        <w:t xml:space="preserve">To our knowledge, this is the first study to use genomic data to examine genetic influences on treatment-seeking and related phenotypes. A recent study estimated that as many as 75% of individuals suffering with symptoms of anxiety and depression, are not receiving treatment when in need, i.e. the treatment gap </w:t>
      </w:r>
      <w:hyperlink r:id="rId72">
        <w:r>
          <w:rPr>
            <w:color w:val="000000"/>
            <w:sz w:val="20"/>
            <w:szCs w:val="20"/>
          </w:rPr>
          <w:t>(Thornicroft et al. 2017)</w:t>
        </w:r>
      </w:hyperlink>
      <w:r>
        <w:rPr>
          <w:sz w:val="20"/>
          <w:szCs w:val="20"/>
        </w:rPr>
        <w:t xml:space="preserve">. We </w:t>
      </w:r>
      <w:proofErr w:type="spellStart"/>
      <w:r>
        <w:rPr>
          <w:sz w:val="20"/>
          <w:szCs w:val="20"/>
        </w:rPr>
        <w:t>utilised</w:t>
      </w:r>
      <w:proofErr w:type="spellEnd"/>
      <w:r>
        <w:rPr>
          <w:sz w:val="20"/>
          <w:szCs w:val="20"/>
        </w:rPr>
        <w:t xml:space="preserve"> participant responses to the UK Biobank mental health questionnaire (MHQ), which assessed adults for lifetime mental health, and their responses to mental health symptoms. Responses included seeking-treatment, receiving treatment, self-sourcing a remedy or therapeutic activity, or self-medicating with alcohol and/or drugs. </w:t>
      </w:r>
    </w:p>
    <w:p w:rsidR="00862834" w:rsidRDefault="00C12B37">
      <w:pPr>
        <w:spacing w:after="240" w:line="480" w:lineRule="auto"/>
        <w:ind w:firstLine="720"/>
        <w:contextualSpacing w:val="0"/>
        <w:rPr>
          <w:sz w:val="20"/>
          <w:szCs w:val="20"/>
        </w:rPr>
      </w:pPr>
      <w:r>
        <w:rPr>
          <w:sz w:val="20"/>
          <w:szCs w:val="20"/>
        </w:rPr>
        <w:t xml:space="preserve">Of the UK Biobank participants who completed the MHQ and who endorse at least one symptom of anxiety/depression (necessary for inclusion), the lifetime prevalence of anxiety and/or depression was 41%. More than 85% of those who met lifetime criteria for a diagnosis, sought help, and 90% of those </w:t>
      </w:r>
      <w:r>
        <w:rPr>
          <w:sz w:val="20"/>
          <w:szCs w:val="20"/>
        </w:rPr>
        <w:lastRenderedPageBreak/>
        <w:t>who sought help, received treatment. Of note, 47% of individuals who have experienced an anxiety/depression symptom seek help, even though they do not necessarily meet criteria for a clinical diagnosis. Furthermore, 73% of these individuals go on to receive treatment.</w:t>
      </w:r>
    </w:p>
    <w:p w:rsidR="00862834" w:rsidRDefault="00C12B37">
      <w:pPr>
        <w:spacing w:after="240" w:line="480" w:lineRule="auto"/>
        <w:ind w:firstLine="720"/>
        <w:contextualSpacing w:val="0"/>
        <w:rPr>
          <w:sz w:val="20"/>
          <w:szCs w:val="20"/>
        </w:rPr>
      </w:pPr>
      <w:r>
        <w:rPr>
          <w:sz w:val="20"/>
          <w:szCs w:val="20"/>
        </w:rPr>
        <w:t xml:space="preserve">The treatment gap estimated in this sample is thus much lower than previous point prevalence estimates. Previous estimates from the UK suggest that at any one point in time, only ~30% of individuals are receiving the treatment they need </w:t>
      </w:r>
      <w:hyperlink r:id="rId73">
        <w:r>
          <w:rPr>
            <w:color w:val="000000"/>
            <w:sz w:val="20"/>
            <w:szCs w:val="20"/>
          </w:rPr>
          <w:t>(McManus et al. 2016; Thornicroft et al. 2017)</w:t>
        </w:r>
      </w:hyperlink>
      <w:r>
        <w:rPr>
          <w:sz w:val="20"/>
          <w:szCs w:val="20"/>
        </w:rPr>
        <w:t xml:space="preserve">. There are several reasons why rates of treatment are much higher in this UK biobank sample than in previous studies. Firstly, our estimate reflects lifetime prevalence of treatment-seeking and treatment-receipt rather than the point prevalence estimates provided elsewhere </w:t>
      </w:r>
      <w:hyperlink r:id="rId74">
        <w:r>
          <w:rPr>
            <w:color w:val="000000"/>
            <w:sz w:val="20"/>
            <w:szCs w:val="20"/>
          </w:rPr>
          <w:t>(McManus et al. 2016; Thornicroft et al. 2017)</w:t>
        </w:r>
      </w:hyperlink>
      <w:r>
        <w:rPr>
          <w:sz w:val="20"/>
          <w:szCs w:val="20"/>
        </w:rPr>
        <w:t xml:space="preserve">. </w:t>
      </w:r>
      <w:r w:rsidR="00B82C65">
        <w:rPr>
          <w:sz w:val="20"/>
          <w:szCs w:val="20"/>
        </w:rPr>
        <w:t>Of course,</w:t>
      </w:r>
      <w:r>
        <w:rPr>
          <w:sz w:val="20"/>
          <w:szCs w:val="20"/>
        </w:rPr>
        <w:t xml:space="preserve"> individuals are more likely to have received treatment at some point in their lives than in the context of any single episode. As such, these </w:t>
      </w:r>
      <w:r w:rsidR="00B82C65">
        <w:rPr>
          <w:sz w:val="20"/>
          <w:szCs w:val="20"/>
        </w:rPr>
        <w:t>estimates (</w:t>
      </w:r>
      <w:r>
        <w:rPr>
          <w:sz w:val="20"/>
          <w:szCs w:val="20"/>
        </w:rPr>
        <w:t>90% lifetime prevalence of treatment-receipt; ~30% point prevalence of treatment-receipt) are not directly comparable.</w:t>
      </w:r>
    </w:p>
    <w:p w:rsidR="00862834" w:rsidRDefault="00C12B37">
      <w:pPr>
        <w:spacing w:after="240" w:line="480" w:lineRule="auto"/>
        <w:ind w:firstLine="720"/>
        <w:contextualSpacing w:val="0"/>
        <w:rPr>
          <w:sz w:val="20"/>
          <w:szCs w:val="20"/>
        </w:rPr>
      </w:pPr>
      <w:r>
        <w:rPr>
          <w:sz w:val="20"/>
          <w:szCs w:val="20"/>
        </w:rPr>
        <w:t xml:space="preserve">The high rates of treatment-seeking and receipt in this UK Biobank study may also be related to </w:t>
      </w:r>
      <w:r w:rsidR="00B82C65">
        <w:rPr>
          <w:sz w:val="20"/>
          <w:szCs w:val="20"/>
        </w:rPr>
        <w:t>other aspects</w:t>
      </w:r>
      <w:r>
        <w:rPr>
          <w:sz w:val="20"/>
          <w:szCs w:val="20"/>
        </w:rPr>
        <w:t xml:space="preserve"> of the study design. All participants in these analyses endorsed at least one of the four core common mental health symptom screening items, and as such are not symptom-free. Moreover, the UK Biobank sample (particularly the MHQ respondent sub-sample) has more individuals from high socioeconomic backgrounds, and with high educational attainment, than the general UK population </w:t>
      </w:r>
      <w:hyperlink r:id="rId75">
        <w:r>
          <w:rPr>
            <w:color w:val="000000"/>
            <w:sz w:val="20"/>
            <w:szCs w:val="20"/>
          </w:rPr>
          <w:t>(Davis et al. 2018)</w:t>
        </w:r>
      </w:hyperlink>
      <w:r>
        <w:rPr>
          <w:sz w:val="20"/>
          <w:szCs w:val="20"/>
        </w:rPr>
        <w:t xml:space="preserve">. These characteristics are associated with greater access to treatment </w:t>
      </w:r>
      <w:hyperlink r:id="rId76">
        <w:r>
          <w:rPr>
            <w:color w:val="000000"/>
            <w:sz w:val="20"/>
            <w:szCs w:val="20"/>
          </w:rPr>
          <w:t>(Delgadillo et al. 2016)</w:t>
        </w:r>
      </w:hyperlink>
      <w:r>
        <w:rPr>
          <w:sz w:val="20"/>
          <w:szCs w:val="20"/>
        </w:rPr>
        <w:t xml:space="preserve">.  </w:t>
      </w:r>
    </w:p>
    <w:p w:rsidR="00862834" w:rsidRDefault="00C12B37">
      <w:pPr>
        <w:spacing w:after="240" w:line="480" w:lineRule="auto"/>
        <w:ind w:firstLine="720"/>
        <w:contextualSpacing w:val="0"/>
        <w:rPr>
          <w:sz w:val="20"/>
          <w:szCs w:val="20"/>
        </w:rPr>
      </w:pPr>
      <w:r>
        <w:rPr>
          <w:sz w:val="20"/>
          <w:szCs w:val="20"/>
        </w:rPr>
        <w:t xml:space="preserve">Our goal was to determine whether lifetime treatment-seeking behaviour was influenced by common genetic variation, and if so, whether treatment-seeking shared genetic influences with psychiatric disorders and </w:t>
      </w:r>
      <w:proofErr w:type="spellStart"/>
      <w:r>
        <w:rPr>
          <w:sz w:val="20"/>
          <w:szCs w:val="20"/>
        </w:rPr>
        <w:t>behavioural</w:t>
      </w:r>
      <w:proofErr w:type="spellEnd"/>
      <w:r>
        <w:rPr>
          <w:sz w:val="20"/>
          <w:szCs w:val="20"/>
        </w:rPr>
        <w:t xml:space="preserve"> traits. Our analyses indicate that treatment-seeking, self-medication and self-help in response to symptoms of anxiety or depression are only modestly heritable phenotypes in these data. The phenotypes examined here are drawn from self-report data of </w:t>
      </w:r>
      <w:r>
        <w:rPr>
          <w:i/>
          <w:sz w:val="20"/>
          <w:szCs w:val="20"/>
        </w:rPr>
        <w:t>lifetime</w:t>
      </w:r>
      <w:r>
        <w:rPr>
          <w:sz w:val="20"/>
          <w:szCs w:val="20"/>
        </w:rPr>
        <w:t xml:space="preserve"> experiences, thus we are unable to draw strong conclusions regarding genetic influence on treatment-seeking at a given point in time (i.e. specifically at the time of need). Future research on this topic would ideally identify groups of individuals with current symptoms including both those receiving and not receiving treatment. </w:t>
      </w:r>
      <w:r>
        <w:rPr>
          <w:sz w:val="20"/>
          <w:szCs w:val="20"/>
        </w:rPr>
        <w:lastRenderedPageBreak/>
        <w:t>This would enable a more precise estimation of the role of genetic factors with respect to accessing and receiving treatment.</w:t>
      </w:r>
    </w:p>
    <w:p w:rsidR="00862834" w:rsidRDefault="00C12B37">
      <w:pPr>
        <w:spacing w:after="240" w:line="480" w:lineRule="auto"/>
        <w:ind w:firstLine="720"/>
        <w:contextualSpacing w:val="0"/>
        <w:rPr>
          <w:sz w:val="20"/>
          <w:szCs w:val="20"/>
          <w:highlight w:val="yellow"/>
        </w:rPr>
      </w:pPr>
      <w:r>
        <w:rPr>
          <w:sz w:val="20"/>
          <w:szCs w:val="20"/>
        </w:rPr>
        <w:t xml:space="preserve">We used linkage disequilibrium score regression to estimate heritability and genetic correlation because it is less computationally demanding than other methods and enables the calculation of genetic correlations with external traits (such as the psychiatric disorders and </w:t>
      </w:r>
      <w:proofErr w:type="spellStart"/>
      <w:r>
        <w:rPr>
          <w:sz w:val="20"/>
          <w:szCs w:val="20"/>
        </w:rPr>
        <w:t>behavioural</w:t>
      </w:r>
      <w:proofErr w:type="spellEnd"/>
      <w:r>
        <w:rPr>
          <w:sz w:val="20"/>
          <w:szCs w:val="20"/>
        </w:rPr>
        <w:t xml:space="preserve"> traits included herein). However, it is likely that LD score regression underestimates heritability, relative to other contemporary approaches </w:t>
      </w:r>
      <w:hyperlink r:id="rId77">
        <w:r>
          <w:rPr>
            <w:color w:val="000000"/>
            <w:sz w:val="20"/>
            <w:szCs w:val="20"/>
          </w:rPr>
          <w:t>(Evans et al. 2017; Ni et al. 2018)</w:t>
        </w:r>
      </w:hyperlink>
      <w:r>
        <w:rPr>
          <w:sz w:val="20"/>
          <w:szCs w:val="20"/>
        </w:rPr>
        <w:t xml:space="preserve">. It is also important to note that SNP heritability estimates only consider common genetic variation, rather than the whole genome. Twin heritability estimates, which capture the proportion of variation in a trait due to all genetic influences are usually at least twice that of SNP heritability estimates </w:t>
      </w:r>
      <w:hyperlink r:id="rId78">
        <w:r>
          <w:rPr>
            <w:color w:val="000000"/>
            <w:sz w:val="20"/>
            <w:szCs w:val="20"/>
          </w:rPr>
          <w:t>(</w:t>
        </w:r>
        <w:proofErr w:type="spellStart"/>
        <w:r>
          <w:rPr>
            <w:color w:val="000000"/>
            <w:sz w:val="20"/>
            <w:szCs w:val="20"/>
          </w:rPr>
          <w:t>Polderman</w:t>
        </w:r>
        <w:proofErr w:type="spellEnd"/>
        <w:r>
          <w:rPr>
            <w:color w:val="000000"/>
            <w:sz w:val="20"/>
            <w:szCs w:val="20"/>
          </w:rPr>
          <w:t xml:space="preserve"> et al. 2015; Brainstorm Consortium et al. 2018)</w:t>
        </w:r>
      </w:hyperlink>
      <w:r>
        <w:rPr>
          <w:sz w:val="20"/>
          <w:szCs w:val="20"/>
        </w:rPr>
        <w:t xml:space="preserve">.  As such, our estimates are likely to represent the lower bounds of heritability for treatment-seeking and related traits. </w:t>
      </w:r>
    </w:p>
    <w:p w:rsidR="00862834" w:rsidRDefault="00C12B37">
      <w:pPr>
        <w:spacing w:after="240" w:line="480" w:lineRule="auto"/>
        <w:ind w:firstLine="720"/>
        <w:contextualSpacing w:val="0"/>
        <w:rPr>
          <w:sz w:val="20"/>
          <w:szCs w:val="20"/>
        </w:rPr>
      </w:pPr>
      <w:r>
        <w:rPr>
          <w:sz w:val="20"/>
          <w:szCs w:val="20"/>
        </w:rPr>
        <w:t xml:space="preserve"> The genetic overlap between treatment seeking and both anxiety and depression, as well as the high genetic correlations with the remaining traits, reflect a similar pattern of genetic correlations to that observed in genetic studies of depression and anxiety disorders themselves </w:t>
      </w:r>
      <w:hyperlink r:id="rId79">
        <w:r>
          <w:rPr>
            <w:color w:val="000000"/>
            <w:sz w:val="20"/>
            <w:szCs w:val="20"/>
          </w:rPr>
          <w:t>(Brainstorm Consortium et al. 2018)</w:t>
        </w:r>
      </w:hyperlink>
      <w:r>
        <w:rPr>
          <w:sz w:val="20"/>
          <w:szCs w:val="20"/>
        </w:rPr>
        <w:t xml:space="preserve">. This suggests that the genetic influences on treatment-seeking for anxiety and depression are largely the same as those influencing the experience of these disorders. Indeed, one might expect that the primary genetic influences on treatment seeking are related to symptom severity. However, some individuals who need treatment do not seek it. Therefore, we were also interested in whether additional genetically influenced characteristics influence treatment-seeking. In order to try and examine treatment-seeking as a behaviour independent of symptom experience, we stratified our analyses by case/control status. As such, we contrasted individuals who need treatment but don’t seek it, with individuals who seek treatment but don’t meet criteria for a diagnosis. We found no significant differences between these two strata. Of note, by halving our sample, we lost power to detect any subtle differences. </w:t>
      </w:r>
    </w:p>
    <w:p w:rsidR="00862834" w:rsidRDefault="00C12B37">
      <w:pPr>
        <w:spacing w:after="240" w:line="480" w:lineRule="auto"/>
        <w:ind w:firstLine="720"/>
        <w:contextualSpacing w:val="0"/>
        <w:rPr>
          <w:sz w:val="20"/>
          <w:szCs w:val="20"/>
        </w:rPr>
      </w:pPr>
      <w:r>
        <w:rPr>
          <w:sz w:val="20"/>
          <w:szCs w:val="20"/>
        </w:rPr>
        <w:t xml:space="preserve">We also examined genetic influences on self-help and self-medication. Self-help shows a similarly wide set of genetic correlations, though fewer reach statistical significance. </w:t>
      </w:r>
      <w:proofErr w:type="gramStart"/>
      <w:r>
        <w:rPr>
          <w:sz w:val="20"/>
          <w:szCs w:val="20"/>
        </w:rPr>
        <w:t>With regard to</w:t>
      </w:r>
      <w:proofErr w:type="gramEnd"/>
      <w:r>
        <w:rPr>
          <w:sz w:val="20"/>
          <w:szCs w:val="20"/>
        </w:rPr>
        <w:t xml:space="preserve"> psychiatric phenotypes, self-help is genetically correlated with anxiety disorder, bipolar disorder, schizophrenia and general psychopathology. There is also a small negative, but significant, genetic </w:t>
      </w:r>
      <w:r>
        <w:rPr>
          <w:sz w:val="20"/>
          <w:szCs w:val="20"/>
        </w:rPr>
        <w:lastRenderedPageBreak/>
        <w:t xml:space="preserve">correlation with BMI, suggesting that those with a genetic predisposition towards a lower weight are more likely to engage in self-help </w:t>
      </w:r>
      <w:proofErr w:type="spellStart"/>
      <w:r>
        <w:rPr>
          <w:sz w:val="20"/>
          <w:szCs w:val="20"/>
        </w:rPr>
        <w:t>behaviours</w:t>
      </w:r>
      <w:proofErr w:type="spellEnd"/>
      <w:r>
        <w:rPr>
          <w:sz w:val="20"/>
          <w:szCs w:val="20"/>
        </w:rPr>
        <w:t xml:space="preserve">. This might be explained by the inclusion in the self-help category of exercise </w:t>
      </w:r>
      <w:proofErr w:type="gramStart"/>
      <w:r>
        <w:rPr>
          <w:sz w:val="20"/>
          <w:szCs w:val="20"/>
        </w:rPr>
        <w:t>as a way to</w:t>
      </w:r>
      <w:proofErr w:type="gramEnd"/>
      <w:r>
        <w:rPr>
          <w:sz w:val="20"/>
          <w:szCs w:val="20"/>
        </w:rPr>
        <w:t xml:space="preserve"> deal with symptoms. Interestingly self-help is positively genetically correlated with educational outcomes (compared to negative genetic correlations between treatment seeking and education). This genetic correlation remains significant in individuals with a diagnosis, but not in individuals without. This could suggest that genetic influences on educational achievement promote positive lifestyle habits (such as yoga or mindfulness) reducing symptoms and the need for clinical treatment. However, we cannot draw any strong conclusions from this data. Although the estimate is significant in individuals with a diagnosis, but not in individuals without, standard errors overlap substantially (Supplementary Figure 5).</w:t>
      </w:r>
    </w:p>
    <w:p w:rsidR="00862834" w:rsidRDefault="00C12B37">
      <w:pPr>
        <w:spacing w:after="240" w:line="480" w:lineRule="auto"/>
        <w:ind w:firstLine="720"/>
        <w:contextualSpacing w:val="0"/>
        <w:rPr>
          <w:sz w:val="20"/>
          <w:szCs w:val="20"/>
        </w:rPr>
      </w:pPr>
      <w:r>
        <w:rPr>
          <w:sz w:val="20"/>
          <w:szCs w:val="20"/>
        </w:rPr>
        <w:t xml:space="preserve">Self-medication is significantly genetically correlated with schizophrenia, alcohol dependence, alcohol use and cannabis use. The strong weighting towards genetic correlations with substance use variables is to be expected, due to the phenotypic similarity. Of </w:t>
      </w:r>
      <w:proofErr w:type="gramStart"/>
      <w:r>
        <w:rPr>
          <w:sz w:val="20"/>
          <w:szCs w:val="20"/>
        </w:rPr>
        <w:t>particular interest</w:t>
      </w:r>
      <w:proofErr w:type="gramEnd"/>
      <w:r>
        <w:rPr>
          <w:sz w:val="20"/>
          <w:szCs w:val="20"/>
        </w:rPr>
        <w:t>, self-medication has a significant genetic correlation with social deprivation (</w:t>
      </w:r>
      <w:proofErr w:type="spellStart"/>
      <w:r>
        <w:rPr>
          <w:sz w:val="20"/>
          <w:szCs w:val="20"/>
        </w:rPr>
        <w:t>r</w:t>
      </w:r>
      <w:r>
        <w:rPr>
          <w:sz w:val="20"/>
          <w:szCs w:val="20"/>
          <w:vertAlign w:val="subscript"/>
        </w:rPr>
        <w:t>g</w:t>
      </w:r>
      <w:proofErr w:type="spellEnd"/>
      <w:r>
        <w:rPr>
          <w:sz w:val="20"/>
          <w:szCs w:val="20"/>
        </w:rPr>
        <w:t xml:space="preserve">=.55; se=.11). Genes influencing self-medication with drugs or alcohol thus also tend to be associated with social deprivation. </w:t>
      </w:r>
    </w:p>
    <w:p w:rsidR="00862834" w:rsidRDefault="00C12B37">
      <w:pPr>
        <w:spacing w:after="240" w:line="480" w:lineRule="auto"/>
        <w:ind w:firstLine="720"/>
        <w:contextualSpacing w:val="0"/>
        <w:rPr>
          <w:sz w:val="20"/>
          <w:szCs w:val="20"/>
        </w:rPr>
      </w:pPr>
      <w:r>
        <w:rPr>
          <w:sz w:val="20"/>
          <w:szCs w:val="20"/>
        </w:rPr>
        <w:t xml:space="preserve">When we performed secondary analyses examining </w:t>
      </w:r>
      <w:r>
        <w:rPr>
          <w:b/>
          <w:sz w:val="20"/>
          <w:szCs w:val="20"/>
        </w:rPr>
        <w:t>formal</w:t>
      </w:r>
      <w:r>
        <w:rPr>
          <w:sz w:val="20"/>
          <w:szCs w:val="20"/>
        </w:rPr>
        <w:t xml:space="preserve"> treatment-seeking (i.e. specifically seeking treatment from a GP or psychiatrist, see supplemental material) we also detected a significant genetic correlation between formal treatment-seeking and social deprivation (</w:t>
      </w:r>
      <w:proofErr w:type="spellStart"/>
      <w:r>
        <w:rPr>
          <w:sz w:val="20"/>
          <w:szCs w:val="20"/>
        </w:rPr>
        <w:t>r</w:t>
      </w:r>
      <w:r>
        <w:rPr>
          <w:sz w:val="20"/>
          <w:szCs w:val="20"/>
          <w:vertAlign w:val="subscript"/>
        </w:rPr>
        <w:t>g</w:t>
      </w:r>
      <w:proofErr w:type="spellEnd"/>
      <w:r>
        <w:rPr>
          <w:sz w:val="20"/>
          <w:szCs w:val="20"/>
        </w:rPr>
        <w:t xml:space="preserve">=0.44, se=0.06; note: this genetic correlation was observed in our primary analysis, but was not significant after corrections; </w:t>
      </w:r>
      <w:proofErr w:type="spellStart"/>
      <w:r>
        <w:rPr>
          <w:sz w:val="20"/>
          <w:szCs w:val="20"/>
        </w:rPr>
        <w:t>r</w:t>
      </w:r>
      <w:r>
        <w:rPr>
          <w:sz w:val="20"/>
          <w:szCs w:val="20"/>
          <w:vertAlign w:val="subscript"/>
        </w:rPr>
        <w:t>g</w:t>
      </w:r>
      <w:proofErr w:type="spellEnd"/>
      <w:r>
        <w:rPr>
          <w:sz w:val="20"/>
          <w:szCs w:val="20"/>
        </w:rPr>
        <w:t xml:space="preserve">=0.35, se=0.1). This could reflect a greater genetic vulnerability for symptoms, need for treatment and self-medication among socially deprived individuals. A recent study has shown that there is greater demand for, but poorer access to treatment in socially deprived areas, known as the ‘inverse care law’ </w:t>
      </w:r>
      <w:hyperlink r:id="rId80">
        <w:r w:rsidRPr="00B82C65">
          <w:rPr>
            <w:color w:val="000000"/>
            <w:sz w:val="20"/>
            <w:szCs w:val="20"/>
          </w:rPr>
          <w:t>(Saxon et al. 2007</w:t>
        </w:r>
      </w:hyperlink>
      <w:r w:rsidRPr="00B82C65">
        <w:rPr>
          <w:sz w:val="20"/>
          <w:szCs w:val="20"/>
        </w:rPr>
        <w:t xml:space="preserve">; </w:t>
      </w:r>
      <w:hyperlink r:id="rId81">
        <w:r w:rsidRPr="00B82C65">
          <w:rPr>
            <w:color w:val="000000"/>
            <w:sz w:val="20"/>
            <w:szCs w:val="20"/>
          </w:rPr>
          <w:t>Delgadillo et al. 2016)</w:t>
        </w:r>
      </w:hyperlink>
      <w:r w:rsidRPr="00B82C65">
        <w:rPr>
          <w:sz w:val="20"/>
          <w:szCs w:val="20"/>
        </w:rPr>
        <w:t>. Public health</w:t>
      </w:r>
      <w:r>
        <w:rPr>
          <w:sz w:val="20"/>
          <w:szCs w:val="20"/>
        </w:rPr>
        <w:t xml:space="preserve"> interventions aiming to reduce rates of anxiety, depression and incidentally alcohol and drug abuse, should focus on improving the number of individuals who receive and remain in treatment for anxiety and/or depression in socially deprived areas. Further phenotypic analyses are required to disentangle social factors associated with treatment-seeking, treatment-receipt and self-medication.</w:t>
      </w:r>
    </w:p>
    <w:p w:rsidR="00862834" w:rsidRDefault="00C12B37">
      <w:pPr>
        <w:spacing w:after="240" w:line="480" w:lineRule="auto"/>
        <w:ind w:firstLine="720"/>
        <w:contextualSpacing w:val="0"/>
        <w:rPr>
          <w:sz w:val="20"/>
          <w:szCs w:val="20"/>
        </w:rPr>
      </w:pPr>
      <w:r>
        <w:rPr>
          <w:sz w:val="20"/>
          <w:szCs w:val="20"/>
        </w:rPr>
        <w:lastRenderedPageBreak/>
        <w:t xml:space="preserve">In conclusion, treatment seeking </w:t>
      </w:r>
      <w:proofErr w:type="spellStart"/>
      <w:r>
        <w:rPr>
          <w:sz w:val="20"/>
          <w:szCs w:val="20"/>
        </w:rPr>
        <w:t>behaviours</w:t>
      </w:r>
      <w:proofErr w:type="spellEnd"/>
      <w:r>
        <w:rPr>
          <w:sz w:val="20"/>
          <w:szCs w:val="20"/>
        </w:rPr>
        <w:t xml:space="preserve"> are modestly heritable. Nonetheless, we </w:t>
      </w:r>
      <w:r w:rsidR="00B82C65">
        <w:rPr>
          <w:sz w:val="20"/>
          <w:szCs w:val="20"/>
        </w:rPr>
        <w:t>we</w:t>
      </w:r>
      <w:r>
        <w:rPr>
          <w:sz w:val="20"/>
          <w:szCs w:val="20"/>
        </w:rPr>
        <w:t xml:space="preserve">re able to detect interesting genetic correlations with statistical significance, which provide some preliminary insights on the genetic architecture of these treatment related </w:t>
      </w:r>
      <w:proofErr w:type="spellStart"/>
      <w:r>
        <w:rPr>
          <w:sz w:val="20"/>
          <w:szCs w:val="20"/>
        </w:rPr>
        <w:t>behaviours</w:t>
      </w:r>
      <w:proofErr w:type="spellEnd"/>
      <w:r>
        <w:rPr>
          <w:sz w:val="20"/>
          <w:szCs w:val="20"/>
        </w:rPr>
        <w:t>. It should be noted that when the heritability of a trait is modest, estimates of genetic correlation can be inflated. As such, these estimates should be interpreted with caution. Further work is required to unpick the specific genetic influences on treatment seeking and related phenotypes. This could be facilitated by novel genomic methods, which allow for the combined analyses of multiple traits. Given that treatment-seeking is heritable, it will be necessary for genomic studies of treatment response (</w:t>
      </w:r>
      <w:proofErr w:type="spellStart"/>
      <w:r>
        <w:rPr>
          <w:sz w:val="20"/>
          <w:szCs w:val="20"/>
        </w:rPr>
        <w:t>i.e</w:t>
      </w:r>
      <w:proofErr w:type="spellEnd"/>
      <w:r>
        <w:rPr>
          <w:sz w:val="20"/>
          <w:szCs w:val="20"/>
        </w:rPr>
        <w:t xml:space="preserve"> pharmacogenetics and therapygenetics) to account and adjust for genetic influences on treatment-seeking in order to delineate the genetic mechanisms of response. In other words, when identifying genes that influence outcomes following treatment, it will be important to </w:t>
      </w:r>
      <w:proofErr w:type="gramStart"/>
      <w:r>
        <w:rPr>
          <w:sz w:val="20"/>
          <w:szCs w:val="20"/>
        </w:rPr>
        <w:t>take into account</w:t>
      </w:r>
      <w:proofErr w:type="gramEnd"/>
      <w:r>
        <w:rPr>
          <w:sz w:val="20"/>
          <w:szCs w:val="20"/>
        </w:rPr>
        <w:t xml:space="preserve"> genetic influences on treatment seeking so that these are not incorrectly thought to influence outcome. More work is needed to work out how best to make such an adjustment. </w:t>
      </w:r>
    </w:p>
    <w:p w:rsidR="00862834" w:rsidRDefault="00C12B37">
      <w:pPr>
        <w:spacing w:after="240" w:line="480" w:lineRule="auto"/>
        <w:ind w:firstLine="720"/>
        <w:contextualSpacing w:val="0"/>
        <w:rPr>
          <w:b/>
          <w:sz w:val="20"/>
          <w:szCs w:val="20"/>
          <w:u w:val="single"/>
        </w:rPr>
      </w:pPr>
      <w:r>
        <w:rPr>
          <w:sz w:val="20"/>
          <w:szCs w:val="20"/>
        </w:rPr>
        <w:t xml:space="preserve">Finally, our findings suggest that there is shared genetic risk for social deprivation with both treatment-seeking, and self-medication with drugs/alcohol. While genetics can be used to highlight </w:t>
      </w:r>
      <w:proofErr w:type="spellStart"/>
      <w:r>
        <w:rPr>
          <w:sz w:val="20"/>
          <w:szCs w:val="20"/>
        </w:rPr>
        <w:t>behaviours</w:t>
      </w:r>
      <w:proofErr w:type="spellEnd"/>
      <w:r>
        <w:rPr>
          <w:sz w:val="20"/>
          <w:szCs w:val="20"/>
        </w:rPr>
        <w:t xml:space="preserve"> and environments that share genetic risk, work investigating social, demographic or clinical barriers to treatment will be required to identify actionable predictors. Currently, whilst half of those treated recover, only ~30% of those with clinical symptoms receive treatment. As such, identifying barriers to treatment should be a public health research priority. Improving timely access to treatment will be essential to reduce the burden of untreated anxiety and depression. Future work would benefit from prospective and longitudinal study designs, collecting detailed clinical, social, demographic and genetic data. Such data could enable precision medicine initiatives to predict need-for-treatment and guide assertive outreach interventions towards those that are unlikely to seek and/or receive treatment.</w:t>
      </w:r>
    </w:p>
    <w:p w:rsidR="00862834" w:rsidRDefault="00862834">
      <w:pPr>
        <w:widowControl w:val="0"/>
        <w:spacing w:before="160" w:line="360" w:lineRule="auto"/>
        <w:ind w:left="320"/>
        <w:contextualSpacing w:val="0"/>
        <w:rPr>
          <w:b/>
          <w:sz w:val="20"/>
          <w:szCs w:val="20"/>
          <w:u w:val="single"/>
        </w:rPr>
      </w:pPr>
    </w:p>
    <w:p w:rsidR="00862834" w:rsidRDefault="00862834">
      <w:pPr>
        <w:widowControl w:val="0"/>
        <w:spacing w:before="160" w:line="360" w:lineRule="auto"/>
        <w:ind w:left="320"/>
        <w:contextualSpacing w:val="0"/>
        <w:rPr>
          <w:b/>
          <w:sz w:val="20"/>
          <w:szCs w:val="20"/>
          <w:u w:val="single"/>
        </w:rPr>
      </w:pPr>
    </w:p>
    <w:p w:rsidR="00B82C65" w:rsidRDefault="00B82C65">
      <w:pPr>
        <w:widowControl w:val="0"/>
        <w:spacing w:before="160" w:line="360" w:lineRule="auto"/>
        <w:ind w:left="320"/>
        <w:contextualSpacing w:val="0"/>
        <w:rPr>
          <w:b/>
          <w:sz w:val="20"/>
          <w:szCs w:val="20"/>
          <w:u w:val="single"/>
        </w:rPr>
      </w:pPr>
    </w:p>
    <w:p w:rsidR="00862834" w:rsidRDefault="00862834">
      <w:pPr>
        <w:widowControl w:val="0"/>
        <w:spacing w:before="160" w:line="360" w:lineRule="auto"/>
        <w:ind w:left="320"/>
        <w:contextualSpacing w:val="0"/>
        <w:rPr>
          <w:b/>
          <w:sz w:val="20"/>
          <w:szCs w:val="20"/>
          <w:u w:val="single"/>
        </w:rPr>
      </w:pPr>
    </w:p>
    <w:p w:rsidR="00862834" w:rsidRDefault="00C12B37">
      <w:pPr>
        <w:widowControl w:val="0"/>
        <w:spacing w:before="160" w:line="360" w:lineRule="auto"/>
        <w:ind w:left="320"/>
        <w:contextualSpacing w:val="0"/>
        <w:rPr>
          <w:b/>
          <w:sz w:val="20"/>
          <w:szCs w:val="20"/>
          <w:u w:val="single"/>
        </w:rPr>
      </w:pPr>
      <w:r>
        <w:rPr>
          <w:b/>
          <w:sz w:val="20"/>
          <w:szCs w:val="20"/>
          <w:u w:val="single"/>
        </w:rPr>
        <w:lastRenderedPageBreak/>
        <w:t>References</w:t>
      </w:r>
    </w:p>
    <w:p w:rsidR="00862834" w:rsidRDefault="00667704" w:rsidP="00B82C65">
      <w:pPr>
        <w:widowControl w:val="0"/>
        <w:pBdr>
          <w:top w:val="nil"/>
          <w:left w:val="nil"/>
          <w:bottom w:val="nil"/>
          <w:right w:val="nil"/>
          <w:between w:val="nil"/>
        </w:pBdr>
        <w:spacing w:before="200" w:line="360" w:lineRule="auto"/>
        <w:ind w:left="400" w:hanging="400"/>
        <w:contextualSpacing w:val="0"/>
        <w:rPr>
          <w:color w:val="000000"/>
          <w:sz w:val="20"/>
          <w:szCs w:val="20"/>
          <w:u w:val="single"/>
        </w:rPr>
      </w:pPr>
      <w:hyperlink r:id="rId82">
        <w:r w:rsidR="00C12B37">
          <w:rPr>
            <w:color w:val="000000"/>
            <w:sz w:val="20"/>
            <w:szCs w:val="20"/>
          </w:rPr>
          <w:t xml:space="preserve">Allen, Naomi E., Cathie </w:t>
        </w:r>
        <w:proofErr w:type="spellStart"/>
        <w:r w:rsidR="00C12B37">
          <w:rPr>
            <w:color w:val="000000"/>
            <w:sz w:val="20"/>
            <w:szCs w:val="20"/>
          </w:rPr>
          <w:t>Sudlow</w:t>
        </w:r>
        <w:proofErr w:type="spellEnd"/>
        <w:r w:rsidR="00C12B37">
          <w:rPr>
            <w:color w:val="000000"/>
            <w:sz w:val="20"/>
            <w:szCs w:val="20"/>
          </w:rPr>
          <w:t xml:space="preserve">, Tim </w:t>
        </w:r>
        <w:proofErr w:type="spellStart"/>
        <w:r w:rsidR="00C12B37">
          <w:rPr>
            <w:color w:val="000000"/>
            <w:sz w:val="20"/>
            <w:szCs w:val="20"/>
          </w:rPr>
          <w:t>Peakman</w:t>
        </w:r>
        <w:proofErr w:type="spellEnd"/>
        <w:r w:rsidR="00C12B37">
          <w:rPr>
            <w:color w:val="000000"/>
            <w:sz w:val="20"/>
            <w:szCs w:val="20"/>
          </w:rPr>
          <w:t xml:space="preserve">, Rory Collins, and UK Biobank. 2014. “UK Biobank Data: Come and Get It.” </w:t>
        </w:r>
      </w:hyperlink>
      <w:hyperlink r:id="rId83">
        <w:r w:rsidR="00C12B37">
          <w:rPr>
            <w:i/>
            <w:color w:val="000000"/>
            <w:sz w:val="20"/>
            <w:szCs w:val="20"/>
          </w:rPr>
          <w:t>Science Translational Medicine</w:t>
        </w:r>
      </w:hyperlink>
      <w:hyperlink r:id="rId84">
        <w:r w:rsidR="00C12B37">
          <w:rPr>
            <w:color w:val="000000"/>
            <w:sz w:val="20"/>
            <w:szCs w:val="20"/>
          </w:rPr>
          <w:t xml:space="preserve"> 6 (224): 224ed4.</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85">
        <w:r w:rsidR="00C12B37">
          <w:rPr>
            <w:color w:val="000000"/>
            <w:sz w:val="20"/>
            <w:szCs w:val="20"/>
          </w:rPr>
          <w:t xml:space="preserve">Autism Spectrum Disorders Working Group of The Psychiatric Genomics Consortium. 2017. “Meta-Analysis of GWAS of over 16,000 Individuals with Autism Spectrum Disorder Highlights a Novel Locus at 10q24.32 and a Significant Overlap with Schizophrenia.” </w:t>
        </w:r>
      </w:hyperlink>
      <w:hyperlink r:id="rId86">
        <w:r w:rsidR="00C12B37">
          <w:rPr>
            <w:i/>
            <w:color w:val="000000"/>
            <w:sz w:val="20"/>
            <w:szCs w:val="20"/>
          </w:rPr>
          <w:t>Molecular Autism</w:t>
        </w:r>
      </w:hyperlink>
      <w:hyperlink r:id="rId87">
        <w:r w:rsidR="00C12B37">
          <w:rPr>
            <w:color w:val="000000"/>
            <w:sz w:val="20"/>
            <w:szCs w:val="20"/>
          </w:rPr>
          <w:t xml:space="preserve"> 8 (1): 21.</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88">
        <w:r w:rsidR="00C12B37">
          <w:rPr>
            <w:color w:val="000000"/>
            <w:sz w:val="20"/>
            <w:szCs w:val="20"/>
          </w:rPr>
          <w:t xml:space="preserve">Benyamin, B., </w:t>
        </w:r>
        <w:proofErr w:type="spellStart"/>
        <w:r w:rsidR="00C12B37">
          <w:rPr>
            <w:color w:val="000000"/>
            <w:sz w:val="20"/>
            <w:szCs w:val="20"/>
          </w:rPr>
          <w:t>Bst</w:t>
        </w:r>
        <w:proofErr w:type="spellEnd"/>
        <w:r w:rsidR="00C12B37">
          <w:rPr>
            <w:color w:val="000000"/>
            <w:sz w:val="20"/>
            <w:szCs w:val="20"/>
          </w:rPr>
          <w:t xml:space="preserve"> </w:t>
        </w:r>
        <w:proofErr w:type="spellStart"/>
        <w:r w:rsidR="00C12B37">
          <w:rPr>
            <w:color w:val="000000"/>
            <w:sz w:val="20"/>
            <w:szCs w:val="20"/>
          </w:rPr>
          <w:t>Pourcain</w:t>
        </w:r>
        <w:proofErr w:type="spellEnd"/>
        <w:r w:rsidR="00C12B37">
          <w:rPr>
            <w:color w:val="000000"/>
            <w:sz w:val="20"/>
            <w:szCs w:val="20"/>
          </w:rPr>
          <w:t xml:space="preserve">, O. S. Davis, G. Davies, N. K. Hansell, M-J A. </w:t>
        </w:r>
        <w:proofErr w:type="spellStart"/>
        <w:r w:rsidR="00C12B37">
          <w:rPr>
            <w:color w:val="000000"/>
            <w:sz w:val="20"/>
            <w:szCs w:val="20"/>
          </w:rPr>
          <w:t>Brion</w:t>
        </w:r>
        <w:proofErr w:type="spellEnd"/>
        <w:r w:rsidR="00C12B37">
          <w:rPr>
            <w:color w:val="000000"/>
            <w:sz w:val="20"/>
            <w:szCs w:val="20"/>
          </w:rPr>
          <w:t xml:space="preserve">, R. M. Kirkpatrick, et al. 2014. “Childhood Intelligence Is Heritable, Highly Polygenic and Associated with FNBP1L.” </w:t>
        </w:r>
      </w:hyperlink>
      <w:hyperlink r:id="rId89">
        <w:r w:rsidR="00C12B37">
          <w:rPr>
            <w:i/>
            <w:color w:val="000000"/>
            <w:sz w:val="20"/>
            <w:szCs w:val="20"/>
          </w:rPr>
          <w:t>Molecular Psychiatry</w:t>
        </w:r>
      </w:hyperlink>
      <w:hyperlink r:id="rId90">
        <w:r w:rsidR="00C12B37">
          <w:rPr>
            <w:color w:val="000000"/>
            <w:sz w:val="20"/>
            <w:szCs w:val="20"/>
          </w:rPr>
          <w:t xml:space="preserve"> 19 (2): 253–58.</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91">
        <w:r w:rsidR="00C12B37">
          <w:rPr>
            <w:color w:val="000000"/>
            <w:sz w:val="20"/>
            <w:szCs w:val="20"/>
          </w:rPr>
          <w:t xml:space="preserve">Brainstorm Consortium, Verneri Anttila, Brendan Bulik-Sullivan, Hilary K. Finucane, Raymond K. Walters, Jose Bras, Laramie Duncan, et al. 2018. “Analysis of Shared Heritability in Common Disorders of the Brain.” </w:t>
        </w:r>
      </w:hyperlink>
      <w:hyperlink r:id="rId92">
        <w:r w:rsidR="00C12B37">
          <w:rPr>
            <w:i/>
            <w:color w:val="000000"/>
            <w:sz w:val="20"/>
            <w:szCs w:val="20"/>
          </w:rPr>
          <w:t>Science</w:t>
        </w:r>
      </w:hyperlink>
      <w:hyperlink r:id="rId93">
        <w:r w:rsidR="00C12B37">
          <w:rPr>
            <w:color w:val="000000"/>
            <w:sz w:val="20"/>
            <w:szCs w:val="20"/>
          </w:rPr>
          <w:t xml:space="preserve"> 360 (6395). https://doi.org/</w:t>
        </w:r>
      </w:hyperlink>
      <w:hyperlink r:id="rId94">
        <w:r w:rsidR="00C12B37">
          <w:rPr>
            <w:color w:val="000000"/>
            <w:sz w:val="20"/>
            <w:szCs w:val="20"/>
          </w:rPr>
          <w:t>10.1126/science.aap8757</w:t>
        </w:r>
      </w:hyperlink>
      <w:hyperlink r:id="rId95">
        <w:r w:rsidR="00C12B37">
          <w:rPr>
            <w:color w:val="000000"/>
            <w:sz w:val="20"/>
            <w:szCs w:val="20"/>
          </w:rPr>
          <w:t>.</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96">
        <w:proofErr w:type="spellStart"/>
        <w:r w:rsidR="00C12B37">
          <w:rPr>
            <w:color w:val="000000"/>
            <w:sz w:val="20"/>
            <w:szCs w:val="20"/>
          </w:rPr>
          <w:t>Bulik</w:t>
        </w:r>
        <w:proofErr w:type="spellEnd"/>
        <w:r w:rsidR="00C12B37">
          <w:rPr>
            <w:color w:val="000000"/>
            <w:sz w:val="20"/>
            <w:szCs w:val="20"/>
          </w:rPr>
          <w:t xml:space="preserve">, Cynthia, Laramie Duncan, Gerome Breen, and PGC_AN Working Group. 2017. “The PGC </w:t>
        </w:r>
        <w:proofErr w:type="spellStart"/>
        <w:r w:rsidR="00C12B37">
          <w:rPr>
            <w:color w:val="000000"/>
            <w:sz w:val="20"/>
            <w:szCs w:val="20"/>
          </w:rPr>
          <w:t>Gwas</w:t>
        </w:r>
        <w:proofErr w:type="spellEnd"/>
        <w:r w:rsidR="00C12B37">
          <w:rPr>
            <w:color w:val="000000"/>
            <w:sz w:val="20"/>
            <w:szCs w:val="20"/>
          </w:rPr>
          <w:t xml:space="preserve"> Meta-Analysis of Anorexia Nervosa: SNP Heritability, Genetic Correlations, And </w:t>
        </w:r>
        <w:proofErr w:type="spellStart"/>
        <w:r w:rsidR="00C12B37">
          <w:rPr>
            <w:color w:val="000000"/>
            <w:sz w:val="20"/>
            <w:szCs w:val="20"/>
          </w:rPr>
          <w:t>Snp</w:t>
        </w:r>
        <w:proofErr w:type="spellEnd"/>
        <w:r w:rsidR="00C12B37">
          <w:rPr>
            <w:color w:val="000000"/>
            <w:sz w:val="20"/>
            <w:szCs w:val="20"/>
          </w:rPr>
          <w:t xml:space="preserve"> Results.” </w:t>
        </w:r>
      </w:hyperlink>
      <w:hyperlink r:id="rId97">
        <w:r w:rsidR="00C12B37">
          <w:rPr>
            <w:i/>
            <w:color w:val="000000"/>
            <w:sz w:val="20"/>
            <w:szCs w:val="20"/>
          </w:rPr>
          <w:t>European Neuropsychopharmacology: The Journal of the European College of Neuropsychopharmacology</w:t>
        </w:r>
      </w:hyperlink>
      <w:hyperlink r:id="rId98">
        <w:r w:rsidR="00C12B37">
          <w:rPr>
            <w:color w:val="000000"/>
            <w:sz w:val="20"/>
            <w:szCs w:val="20"/>
          </w:rPr>
          <w:t xml:space="preserve"> 27 (January): S360–61.</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99">
        <w:proofErr w:type="spellStart"/>
        <w:r w:rsidR="00C12B37">
          <w:rPr>
            <w:color w:val="000000"/>
            <w:sz w:val="20"/>
            <w:szCs w:val="20"/>
          </w:rPr>
          <w:t>Bulik</w:t>
        </w:r>
        <w:proofErr w:type="spellEnd"/>
        <w:r w:rsidR="00C12B37">
          <w:rPr>
            <w:color w:val="000000"/>
            <w:sz w:val="20"/>
            <w:szCs w:val="20"/>
          </w:rPr>
          <w:t xml:space="preserve">-Sullivan, Brendan K., Po-Ru </w:t>
        </w:r>
        <w:proofErr w:type="spellStart"/>
        <w:r w:rsidR="00C12B37">
          <w:rPr>
            <w:color w:val="000000"/>
            <w:sz w:val="20"/>
            <w:szCs w:val="20"/>
          </w:rPr>
          <w:t>Loh</w:t>
        </w:r>
        <w:proofErr w:type="spellEnd"/>
        <w:r w:rsidR="00C12B37">
          <w:rPr>
            <w:color w:val="000000"/>
            <w:sz w:val="20"/>
            <w:szCs w:val="20"/>
          </w:rPr>
          <w:t xml:space="preserve">, Hilary K. Finucane, Stephan </w:t>
        </w:r>
        <w:proofErr w:type="spellStart"/>
        <w:r w:rsidR="00C12B37">
          <w:rPr>
            <w:color w:val="000000"/>
            <w:sz w:val="20"/>
            <w:szCs w:val="20"/>
          </w:rPr>
          <w:t>Ripke</w:t>
        </w:r>
        <w:proofErr w:type="spellEnd"/>
        <w:r w:rsidR="00C12B37">
          <w:rPr>
            <w:color w:val="000000"/>
            <w:sz w:val="20"/>
            <w:szCs w:val="20"/>
          </w:rPr>
          <w:t xml:space="preserve">, Jian Yang, Schizophrenia Working Group of the Psychiatric Genomics Consortium, Nick Patterson, Mark J. Daly, </w:t>
        </w:r>
        <w:proofErr w:type="spellStart"/>
        <w:r w:rsidR="00C12B37">
          <w:rPr>
            <w:color w:val="000000"/>
            <w:sz w:val="20"/>
            <w:szCs w:val="20"/>
          </w:rPr>
          <w:t>Alkes</w:t>
        </w:r>
        <w:proofErr w:type="spellEnd"/>
        <w:r w:rsidR="00C12B37">
          <w:rPr>
            <w:color w:val="000000"/>
            <w:sz w:val="20"/>
            <w:szCs w:val="20"/>
          </w:rPr>
          <w:t xml:space="preserve"> L. Price, and Benjamin M. Neale. 2015. “LD Score Regression Distinguishes Confounding from Polygenicity in Genome-Wide Association Studies.” </w:t>
        </w:r>
      </w:hyperlink>
      <w:hyperlink r:id="rId100">
        <w:r w:rsidR="00C12B37">
          <w:rPr>
            <w:i/>
            <w:color w:val="000000"/>
            <w:sz w:val="20"/>
            <w:szCs w:val="20"/>
          </w:rPr>
          <w:t>Nature Genetics</w:t>
        </w:r>
      </w:hyperlink>
      <w:hyperlink r:id="rId101">
        <w:r w:rsidR="00C12B37">
          <w:rPr>
            <w:color w:val="000000"/>
            <w:sz w:val="20"/>
            <w:szCs w:val="20"/>
          </w:rPr>
          <w:t xml:space="preserve"> 47 (3): 291–95.</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02">
        <w:r w:rsidR="00C12B37">
          <w:rPr>
            <w:color w:val="000000"/>
            <w:sz w:val="20"/>
            <w:szCs w:val="20"/>
          </w:rPr>
          <w:t xml:space="preserve">Bycroft, Clare, Colin Freeman, Desislava Petkova, Gavin Band, Lloyd T. Elliott, Kevin Sharp, Allan Motyer, et al. 2017. “Genome-Wide Genetic Data on ~500,000 UK Biobank Participants.” </w:t>
        </w:r>
      </w:hyperlink>
      <w:hyperlink r:id="rId103">
        <w:r w:rsidR="00C12B37">
          <w:rPr>
            <w:i/>
            <w:color w:val="000000"/>
            <w:sz w:val="20"/>
            <w:szCs w:val="20"/>
          </w:rPr>
          <w:t>bioRxiv</w:t>
        </w:r>
      </w:hyperlink>
      <w:hyperlink r:id="rId104">
        <w:r w:rsidR="00C12B37">
          <w:rPr>
            <w:color w:val="000000"/>
            <w:sz w:val="20"/>
            <w:szCs w:val="20"/>
          </w:rPr>
          <w:t xml:space="preserve">. </w:t>
        </w:r>
      </w:hyperlink>
      <w:hyperlink r:id="rId105">
        <w:r w:rsidR="00C12B37">
          <w:rPr>
            <w:color w:val="000000"/>
            <w:sz w:val="20"/>
            <w:szCs w:val="20"/>
          </w:rPr>
          <w:t>http://www.biorxiv.org/content/early/2017/07/20/166298</w:t>
        </w:r>
      </w:hyperlink>
      <w:hyperlink r:id="rId106">
        <w:r w:rsidR="00C12B37">
          <w:rPr>
            <w:color w:val="000000"/>
            <w:sz w:val="20"/>
            <w:szCs w:val="20"/>
          </w:rPr>
          <w:t>.</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07">
        <w:r w:rsidR="00C12B37">
          <w:rPr>
            <w:color w:val="000000"/>
            <w:sz w:val="20"/>
            <w:szCs w:val="20"/>
          </w:rPr>
          <w:t xml:space="preserve">Carter, Janet D., Marie T. Crowe, Jennifer Jordan, Virginia V. W. McIntosh, Christopher Frampton, and Peter R. Joyce. 2015. “Predictors of Response to CBT and IPT for Depression; the Contribution of Therapy Process.” </w:t>
        </w:r>
      </w:hyperlink>
      <w:hyperlink r:id="rId108">
        <w:r w:rsidR="00C12B37">
          <w:rPr>
            <w:i/>
            <w:color w:val="000000"/>
            <w:sz w:val="20"/>
            <w:szCs w:val="20"/>
          </w:rPr>
          <w:t>Behaviour Research and Therapy</w:t>
        </w:r>
      </w:hyperlink>
      <w:hyperlink r:id="rId109">
        <w:r w:rsidR="00C12B37">
          <w:rPr>
            <w:color w:val="000000"/>
            <w:sz w:val="20"/>
            <w:szCs w:val="20"/>
          </w:rPr>
          <w:t xml:space="preserve"> 74 (November): 72–79.</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10">
        <w:r w:rsidR="00C12B37">
          <w:rPr>
            <w:color w:val="000000"/>
            <w:sz w:val="20"/>
            <w:szCs w:val="20"/>
          </w:rPr>
          <w:t xml:space="preserve">Carter, J., C. Frampton, J. McKenzie, R. Mulder, S. </w:t>
        </w:r>
        <w:proofErr w:type="spellStart"/>
        <w:r w:rsidR="00C12B37">
          <w:rPr>
            <w:color w:val="000000"/>
            <w:sz w:val="20"/>
            <w:szCs w:val="20"/>
          </w:rPr>
          <w:t>Luty</w:t>
        </w:r>
        <w:proofErr w:type="spellEnd"/>
        <w:r w:rsidR="00C12B37">
          <w:rPr>
            <w:color w:val="000000"/>
            <w:sz w:val="20"/>
            <w:szCs w:val="20"/>
          </w:rPr>
          <w:t xml:space="preserve">, and P. Joyce. 2006. “Patient Predictors of Response to Interpersonal Psychotherapy and Cognitive Behaviour Therapy.” </w:t>
        </w:r>
      </w:hyperlink>
      <w:hyperlink r:id="rId111">
        <w:r w:rsidR="00C12B37">
          <w:rPr>
            <w:i/>
            <w:color w:val="000000"/>
            <w:sz w:val="20"/>
            <w:szCs w:val="20"/>
          </w:rPr>
          <w:t xml:space="preserve">Acta </w:t>
        </w:r>
        <w:proofErr w:type="spellStart"/>
        <w:r w:rsidR="00C12B37">
          <w:rPr>
            <w:i/>
            <w:color w:val="000000"/>
            <w:sz w:val="20"/>
            <w:szCs w:val="20"/>
          </w:rPr>
          <w:t>Neuropsychiatrica</w:t>
        </w:r>
        <w:proofErr w:type="spellEnd"/>
      </w:hyperlink>
      <w:hyperlink r:id="rId112">
        <w:r w:rsidR="00C12B37">
          <w:rPr>
            <w:color w:val="000000"/>
            <w:sz w:val="20"/>
            <w:szCs w:val="20"/>
          </w:rPr>
          <w:t xml:space="preserve"> 18 (6): 245–46.</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13">
        <w:r w:rsidR="00C12B37">
          <w:rPr>
            <w:color w:val="000000"/>
            <w:sz w:val="20"/>
            <w:szCs w:val="20"/>
          </w:rPr>
          <w:t xml:space="preserve">Chisholm, Dan, Kim Sweeny, Peter Sheehan, Bruce Rasmussen, Filip Smit, </w:t>
        </w:r>
        <w:proofErr w:type="spellStart"/>
        <w:r w:rsidR="00C12B37">
          <w:rPr>
            <w:color w:val="000000"/>
            <w:sz w:val="20"/>
            <w:szCs w:val="20"/>
          </w:rPr>
          <w:t>Pim</w:t>
        </w:r>
        <w:proofErr w:type="spellEnd"/>
        <w:r w:rsidR="00C12B37">
          <w:rPr>
            <w:color w:val="000000"/>
            <w:sz w:val="20"/>
            <w:szCs w:val="20"/>
          </w:rPr>
          <w:t xml:space="preserve"> </w:t>
        </w:r>
        <w:proofErr w:type="spellStart"/>
        <w:r w:rsidR="00C12B37">
          <w:rPr>
            <w:color w:val="000000"/>
            <w:sz w:val="20"/>
            <w:szCs w:val="20"/>
          </w:rPr>
          <w:t>Cuijpers</w:t>
        </w:r>
        <w:proofErr w:type="spellEnd"/>
        <w:r w:rsidR="00C12B37">
          <w:rPr>
            <w:color w:val="000000"/>
            <w:sz w:val="20"/>
            <w:szCs w:val="20"/>
          </w:rPr>
          <w:t xml:space="preserve">, and Shekhar Saxena. 2016. “Scaling-up Treatment of Depression and Anxiety: A Global Return on Investment Analysis.” </w:t>
        </w:r>
      </w:hyperlink>
      <w:hyperlink r:id="rId114">
        <w:r w:rsidR="00C12B37">
          <w:rPr>
            <w:i/>
            <w:color w:val="000000"/>
            <w:sz w:val="20"/>
            <w:szCs w:val="20"/>
          </w:rPr>
          <w:t>The Lancet. Psychiatry</w:t>
        </w:r>
      </w:hyperlink>
      <w:hyperlink r:id="rId115">
        <w:r w:rsidR="00C12B37">
          <w:rPr>
            <w:color w:val="000000"/>
            <w:sz w:val="20"/>
            <w:szCs w:val="20"/>
          </w:rPr>
          <w:t xml:space="preserve"> 3 (5): 415–24.</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16">
        <w:r w:rsidR="00C12B37">
          <w:rPr>
            <w:color w:val="000000"/>
            <w:sz w:val="20"/>
            <w:szCs w:val="20"/>
          </w:rPr>
          <w:t xml:space="preserve">Coleman, Jonathan R. I., Kirstin L. Purves, Katrina A. S. Davis, Christopher Rayner, Shing Wan Choi, Christopher Hübel, Héléna A. Gaspar, et al. 2018. “Genome-Wide Gene-Environment Analyses of Depression and Reported Lifetime Traumatic Experiences in UK Biobank.” </w:t>
        </w:r>
      </w:hyperlink>
      <w:hyperlink r:id="rId117">
        <w:r w:rsidR="00C12B37">
          <w:rPr>
            <w:i/>
            <w:color w:val="000000"/>
            <w:sz w:val="20"/>
            <w:szCs w:val="20"/>
          </w:rPr>
          <w:t>bioRxiv</w:t>
        </w:r>
      </w:hyperlink>
      <w:hyperlink r:id="rId118">
        <w:r w:rsidR="00C12B37">
          <w:rPr>
            <w:color w:val="000000"/>
            <w:sz w:val="20"/>
            <w:szCs w:val="20"/>
          </w:rPr>
          <w:t>. https://doi.org/</w:t>
        </w:r>
      </w:hyperlink>
      <w:hyperlink r:id="rId119">
        <w:r w:rsidR="00C12B37">
          <w:rPr>
            <w:color w:val="000000"/>
            <w:sz w:val="20"/>
            <w:szCs w:val="20"/>
          </w:rPr>
          <w:t>10.1101/247353</w:t>
        </w:r>
      </w:hyperlink>
      <w:hyperlink r:id="rId120">
        <w:r w:rsidR="00C12B37">
          <w:rPr>
            <w:color w:val="000000"/>
            <w:sz w:val="20"/>
            <w:szCs w:val="20"/>
          </w:rPr>
          <w:t>.</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21">
        <w:r w:rsidR="00C12B37">
          <w:rPr>
            <w:color w:val="000000"/>
            <w:sz w:val="20"/>
            <w:szCs w:val="20"/>
          </w:rPr>
          <w:t xml:space="preserve">Cross-Disorder Group of the Psychiatric Genomics Consortium. 2013. “Identification of Risk Loci with </w:t>
        </w:r>
        <w:r w:rsidR="00C12B37">
          <w:rPr>
            <w:color w:val="000000"/>
            <w:sz w:val="20"/>
            <w:szCs w:val="20"/>
          </w:rPr>
          <w:lastRenderedPageBreak/>
          <w:t xml:space="preserve">Shared Effects on Five Major Psychiatric Disorders: A Genome-Wide Analysis.” </w:t>
        </w:r>
      </w:hyperlink>
      <w:hyperlink r:id="rId122">
        <w:r w:rsidR="00C12B37">
          <w:rPr>
            <w:i/>
            <w:color w:val="000000"/>
            <w:sz w:val="20"/>
            <w:szCs w:val="20"/>
          </w:rPr>
          <w:t>The Lancet</w:t>
        </w:r>
      </w:hyperlink>
      <w:hyperlink r:id="rId123">
        <w:r w:rsidR="00C12B37">
          <w:rPr>
            <w:color w:val="000000"/>
            <w:sz w:val="20"/>
            <w:szCs w:val="20"/>
          </w:rPr>
          <w:t xml:space="preserve"> 381 (9875): 1371–79.</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24">
        <w:r w:rsidR="00C12B37">
          <w:rPr>
            <w:color w:val="000000"/>
            <w:sz w:val="20"/>
            <w:szCs w:val="20"/>
          </w:rPr>
          <w:t xml:space="preserve">Davis, Katrina A. S., Jonathan R. I. Coleman, Mark Adams, Naomi Allen, Gerome Breen, Breda Cullen, Chris Dickens, et al. 2018. “Mental Health in UK Biobank: Development, Implementation and Results from an Online Questionnaire Completed by 157 366 Participants.” </w:t>
        </w:r>
      </w:hyperlink>
      <w:hyperlink r:id="rId125">
        <w:proofErr w:type="spellStart"/>
        <w:r w:rsidR="00C12B37">
          <w:rPr>
            <w:i/>
            <w:color w:val="000000"/>
            <w:sz w:val="20"/>
            <w:szCs w:val="20"/>
          </w:rPr>
          <w:t>BJPsych</w:t>
        </w:r>
        <w:proofErr w:type="spellEnd"/>
        <w:r w:rsidR="00C12B37">
          <w:rPr>
            <w:i/>
            <w:color w:val="000000"/>
            <w:sz w:val="20"/>
            <w:szCs w:val="20"/>
          </w:rPr>
          <w:t xml:space="preserve"> Open</w:t>
        </w:r>
      </w:hyperlink>
      <w:hyperlink r:id="rId126">
        <w:r w:rsidR="00C12B37">
          <w:rPr>
            <w:color w:val="000000"/>
            <w:sz w:val="20"/>
            <w:szCs w:val="20"/>
          </w:rPr>
          <w:t xml:space="preserve"> 4 (3): 83–90.</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27">
        <w:proofErr w:type="spellStart"/>
        <w:r w:rsidR="00C12B37">
          <w:rPr>
            <w:color w:val="000000"/>
            <w:sz w:val="20"/>
            <w:szCs w:val="20"/>
          </w:rPr>
          <w:t>Deary</w:t>
        </w:r>
        <w:proofErr w:type="spellEnd"/>
        <w:r w:rsidR="00C12B37">
          <w:rPr>
            <w:color w:val="000000"/>
            <w:sz w:val="20"/>
            <w:szCs w:val="20"/>
          </w:rPr>
          <w:t xml:space="preserve">, V., S. P. </w:t>
        </w:r>
        <w:proofErr w:type="spellStart"/>
        <w:r w:rsidR="00C12B37">
          <w:rPr>
            <w:color w:val="000000"/>
            <w:sz w:val="20"/>
            <w:szCs w:val="20"/>
          </w:rPr>
          <w:t>Hagenaars</w:t>
        </w:r>
        <w:proofErr w:type="spellEnd"/>
        <w:r w:rsidR="00C12B37">
          <w:rPr>
            <w:color w:val="000000"/>
            <w:sz w:val="20"/>
            <w:szCs w:val="20"/>
          </w:rPr>
          <w:t xml:space="preserve">, S. E. Harris, W. D. Hill, G. Davies, D. C. M. </w:t>
        </w:r>
        <w:proofErr w:type="spellStart"/>
        <w:r w:rsidR="00C12B37">
          <w:rPr>
            <w:color w:val="000000"/>
            <w:sz w:val="20"/>
            <w:szCs w:val="20"/>
          </w:rPr>
          <w:t>Liewald</w:t>
        </w:r>
        <w:proofErr w:type="spellEnd"/>
        <w:r w:rsidR="00C12B37">
          <w:rPr>
            <w:color w:val="000000"/>
            <w:sz w:val="20"/>
            <w:szCs w:val="20"/>
          </w:rPr>
          <w:t xml:space="preserve">, International Consortium for Blood Pressure GWAS, et al. 2018. “Genetic Contributions to Self-Reported Tiredness.” </w:t>
        </w:r>
      </w:hyperlink>
      <w:hyperlink r:id="rId128">
        <w:r w:rsidR="00C12B37">
          <w:rPr>
            <w:i/>
            <w:color w:val="000000"/>
            <w:sz w:val="20"/>
            <w:szCs w:val="20"/>
          </w:rPr>
          <w:t>Molecular Psychiatry</w:t>
        </w:r>
      </w:hyperlink>
      <w:hyperlink r:id="rId129">
        <w:r w:rsidR="00C12B37">
          <w:rPr>
            <w:color w:val="000000"/>
            <w:sz w:val="20"/>
            <w:szCs w:val="20"/>
          </w:rPr>
          <w:t xml:space="preserve"> 23 (3): 609–20.</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30">
        <w:r w:rsidR="00C12B37">
          <w:rPr>
            <w:color w:val="000000"/>
            <w:sz w:val="20"/>
            <w:szCs w:val="20"/>
          </w:rPr>
          <w:t xml:space="preserve">Delgadillo, Jaime, </w:t>
        </w:r>
        <w:proofErr w:type="spellStart"/>
        <w:r w:rsidR="00C12B37">
          <w:rPr>
            <w:color w:val="000000"/>
            <w:sz w:val="20"/>
            <w:szCs w:val="20"/>
          </w:rPr>
          <w:t>Miqdad</w:t>
        </w:r>
        <w:proofErr w:type="spellEnd"/>
        <w:r w:rsidR="00C12B37">
          <w:rPr>
            <w:color w:val="000000"/>
            <w:sz w:val="20"/>
            <w:szCs w:val="20"/>
          </w:rPr>
          <w:t xml:space="preserve"> </w:t>
        </w:r>
        <w:proofErr w:type="spellStart"/>
        <w:r w:rsidR="00C12B37">
          <w:rPr>
            <w:color w:val="000000"/>
            <w:sz w:val="20"/>
            <w:szCs w:val="20"/>
          </w:rPr>
          <w:t>Asaria</w:t>
        </w:r>
        <w:proofErr w:type="spellEnd"/>
        <w:r w:rsidR="00C12B37">
          <w:rPr>
            <w:color w:val="000000"/>
            <w:sz w:val="20"/>
            <w:szCs w:val="20"/>
          </w:rPr>
          <w:t xml:space="preserve">, Shehzad Ali, and Simon </w:t>
        </w:r>
        <w:proofErr w:type="spellStart"/>
        <w:r w:rsidR="00C12B37">
          <w:rPr>
            <w:color w:val="000000"/>
            <w:sz w:val="20"/>
            <w:szCs w:val="20"/>
          </w:rPr>
          <w:t>Gilbody</w:t>
        </w:r>
        <w:proofErr w:type="spellEnd"/>
        <w:r w:rsidR="00C12B37">
          <w:rPr>
            <w:color w:val="000000"/>
            <w:sz w:val="20"/>
            <w:szCs w:val="20"/>
          </w:rPr>
          <w:t xml:space="preserve">. 2016. “On Poverty, Politics and Psychology: The Socioeconomic Gradient of Mental Healthcare </w:t>
        </w:r>
        <w:proofErr w:type="spellStart"/>
        <w:r w:rsidR="00C12B37">
          <w:rPr>
            <w:color w:val="000000"/>
            <w:sz w:val="20"/>
            <w:szCs w:val="20"/>
          </w:rPr>
          <w:t>Utilisation</w:t>
        </w:r>
        <w:proofErr w:type="spellEnd"/>
        <w:r w:rsidR="00C12B37">
          <w:rPr>
            <w:color w:val="000000"/>
            <w:sz w:val="20"/>
            <w:szCs w:val="20"/>
          </w:rPr>
          <w:t xml:space="preserve"> and Outcomes.” </w:t>
        </w:r>
      </w:hyperlink>
      <w:hyperlink r:id="rId131">
        <w:r w:rsidR="00C12B37">
          <w:rPr>
            <w:i/>
            <w:color w:val="000000"/>
            <w:sz w:val="20"/>
            <w:szCs w:val="20"/>
          </w:rPr>
          <w:t>The British Journal of Psychiatry: The Journal of Mental Science</w:t>
        </w:r>
      </w:hyperlink>
      <w:hyperlink r:id="rId132">
        <w:r w:rsidR="00C12B37">
          <w:rPr>
            <w:color w:val="000000"/>
            <w:sz w:val="20"/>
            <w:szCs w:val="20"/>
          </w:rPr>
          <w:t xml:space="preserve"> 209 (5): 429–30.</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33">
        <w:r w:rsidR="00C12B37">
          <w:rPr>
            <w:color w:val="000000"/>
            <w:sz w:val="20"/>
            <w:szCs w:val="20"/>
          </w:rPr>
          <w:t xml:space="preserve">Demontis, Ditte, Raymond K. Walters, Joanna Martin, Manuel Mattheisen, Thomas D. Als, Esben Agerbo, Gísli Baldursson, et al. 2018. “Discovery of the First Genome-Wide Significant Risk Loci for Attention Deficit/hyperactivity Disorder.” </w:t>
        </w:r>
      </w:hyperlink>
      <w:hyperlink r:id="rId134">
        <w:r w:rsidR="00C12B37">
          <w:rPr>
            <w:i/>
            <w:color w:val="000000"/>
            <w:sz w:val="20"/>
            <w:szCs w:val="20"/>
          </w:rPr>
          <w:t>Nature Genetics</w:t>
        </w:r>
      </w:hyperlink>
      <w:hyperlink r:id="rId135">
        <w:r w:rsidR="00C12B37">
          <w:rPr>
            <w:color w:val="000000"/>
            <w:sz w:val="20"/>
            <w:szCs w:val="20"/>
          </w:rPr>
          <w:t>, November. https://doi.org/</w:t>
        </w:r>
      </w:hyperlink>
      <w:hyperlink r:id="rId136">
        <w:r w:rsidR="00C12B37">
          <w:rPr>
            <w:color w:val="000000"/>
            <w:sz w:val="20"/>
            <w:szCs w:val="20"/>
          </w:rPr>
          <w:t>10.1038/s41588-018-0269-7</w:t>
        </w:r>
      </w:hyperlink>
      <w:hyperlink r:id="rId137">
        <w:r w:rsidR="00C12B37">
          <w:rPr>
            <w:color w:val="000000"/>
            <w:sz w:val="20"/>
            <w:szCs w:val="20"/>
          </w:rPr>
          <w:t>.</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38">
        <w:r w:rsidR="00C12B37">
          <w:rPr>
            <w:color w:val="000000"/>
            <w:sz w:val="20"/>
            <w:szCs w:val="20"/>
          </w:rPr>
          <w:t xml:space="preserve">Evans, Luke, Rasool Tahmasbi, Scott Vrieze, Goncalo Abecasis, Sayantan Das, Doug Bjelland, Teresa deCandia, et al. 2017. “Comparison of Methods That Use Whole Genome Data to Estimate the Heritability and Genetic Architecture of Complex Traits.” </w:t>
        </w:r>
      </w:hyperlink>
      <w:hyperlink r:id="rId139">
        <w:r w:rsidR="00C12B37">
          <w:rPr>
            <w:i/>
            <w:color w:val="000000"/>
            <w:sz w:val="20"/>
            <w:szCs w:val="20"/>
          </w:rPr>
          <w:t>bioRxiv</w:t>
        </w:r>
      </w:hyperlink>
      <w:hyperlink r:id="rId140">
        <w:r w:rsidR="00C12B37">
          <w:rPr>
            <w:color w:val="000000"/>
            <w:sz w:val="20"/>
            <w:szCs w:val="20"/>
          </w:rPr>
          <w:t>. https://doi.org/</w:t>
        </w:r>
      </w:hyperlink>
      <w:hyperlink r:id="rId141">
        <w:r w:rsidR="00C12B37">
          <w:rPr>
            <w:color w:val="000000"/>
            <w:sz w:val="20"/>
            <w:szCs w:val="20"/>
          </w:rPr>
          <w:t>10.1101/115527</w:t>
        </w:r>
      </w:hyperlink>
      <w:hyperlink r:id="rId142">
        <w:r w:rsidR="00C12B37">
          <w:rPr>
            <w:color w:val="000000"/>
            <w:sz w:val="20"/>
            <w:szCs w:val="20"/>
          </w:rPr>
          <w:t>.</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43">
        <w:r w:rsidR="00C12B37">
          <w:rPr>
            <w:color w:val="000000"/>
            <w:sz w:val="20"/>
            <w:szCs w:val="20"/>
          </w:rPr>
          <w:t xml:space="preserve">Gage, Suzanne H., George Davey Smith, Jennifer J. Ware, Jonathan Flint, Marcus R. </w:t>
        </w:r>
        <w:proofErr w:type="spellStart"/>
        <w:r w:rsidR="00C12B37">
          <w:rPr>
            <w:color w:val="000000"/>
            <w:sz w:val="20"/>
            <w:szCs w:val="20"/>
          </w:rPr>
          <w:t>Munafò</w:t>
        </w:r>
        <w:proofErr w:type="spellEnd"/>
        <w:r w:rsidR="00C12B37">
          <w:rPr>
            <w:color w:val="000000"/>
            <w:sz w:val="20"/>
            <w:szCs w:val="20"/>
          </w:rPr>
          <w:t xml:space="preserve">, and R. </w:t>
        </w:r>
        <w:proofErr w:type="spellStart"/>
        <w:r w:rsidR="00C12B37">
          <w:rPr>
            <w:color w:val="000000"/>
            <w:sz w:val="20"/>
            <w:szCs w:val="20"/>
          </w:rPr>
          <w:t>Koifman</w:t>
        </w:r>
        <w:proofErr w:type="spellEnd"/>
        <w:r w:rsidR="00C12B37">
          <w:rPr>
            <w:color w:val="000000"/>
            <w:sz w:val="20"/>
            <w:szCs w:val="20"/>
          </w:rPr>
          <w:t xml:space="preserve">. 2016. “G = E: What GWAS Can Tell Us about the Environment.” Edited by Greg Gibson. </w:t>
        </w:r>
      </w:hyperlink>
      <w:hyperlink r:id="rId144">
        <w:proofErr w:type="spellStart"/>
        <w:r w:rsidR="00C12B37">
          <w:rPr>
            <w:i/>
            <w:color w:val="000000"/>
            <w:sz w:val="20"/>
            <w:szCs w:val="20"/>
          </w:rPr>
          <w:t>PLoS</w:t>
        </w:r>
        <w:proofErr w:type="spellEnd"/>
        <w:r w:rsidR="00C12B37">
          <w:rPr>
            <w:i/>
            <w:color w:val="000000"/>
            <w:sz w:val="20"/>
            <w:szCs w:val="20"/>
          </w:rPr>
          <w:t xml:space="preserve"> Genetics</w:t>
        </w:r>
      </w:hyperlink>
      <w:hyperlink r:id="rId145">
        <w:r w:rsidR="00C12B37">
          <w:rPr>
            <w:color w:val="000000"/>
            <w:sz w:val="20"/>
            <w:szCs w:val="20"/>
          </w:rPr>
          <w:t xml:space="preserve"> 12 (2): e1005765.</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46">
        <w:r w:rsidR="00C12B37">
          <w:rPr>
            <w:color w:val="000000"/>
            <w:sz w:val="20"/>
            <w:szCs w:val="20"/>
          </w:rPr>
          <w:t xml:space="preserve">Gormley, </w:t>
        </w:r>
        <w:proofErr w:type="spellStart"/>
        <w:r w:rsidR="00C12B37">
          <w:rPr>
            <w:color w:val="000000"/>
            <w:sz w:val="20"/>
            <w:szCs w:val="20"/>
          </w:rPr>
          <w:t>Padhraig</w:t>
        </w:r>
        <w:proofErr w:type="spellEnd"/>
        <w:r w:rsidR="00C12B37">
          <w:rPr>
            <w:color w:val="000000"/>
            <w:sz w:val="20"/>
            <w:szCs w:val="20"/>
          </w:rPr>
          <w:t xml:space="preserve">, </w:t>
        </w:r>
        <w:proofErr w:type="spellStart"/>
        <w:r w:rsidR="00C12B37">
          <w:rPr>
            <w:color w:val="000000"/>
            <w:sz w:val="20"/>
            <w:szCs w:val="20"/>
          </w:rPr>
          <w:t>Verneri</w:t>
        </w:r>
        <w:proofErr w:type="spellEnd"/>
        <w:r w:rsidR="00C12B37">
          <w:rPr>
            <w:color w:val="000000"/>
            <w:sz w:val="20"/>
            <w:szCs w:val="20"/>
          </w:rPr>
          <w:t xml:space="preserve"> </w:t>
        </w:r>
        <w:proofErr w:type="spellStart"/>
        <w:r w:rsidR="00C12B37">
          <w:rPr>
            <w:color w:val="000000"/>
            <w:sz w:val="20"/>
            <w:szCs w:val="20"/>
          </w:rPr>
          <w:t>Anttila</w:t>
        </w:r>
        <w:proofErr w:type="spellEnd"/>
        <w:r w:rsidR="00C12B37">
          <w:rPr>
            <w:color w:val="000000"/>
            <w:sz w:val="20"/>
            <w:szCs w:val="20"/>
          </w:rPr>
          <w:t xml:space="preserve">, Bendik S. </w:t>
        </w:r>
        <w:proofErr w:type="spellStart"/>
        <w:r w:rsidR="00C12B37">
          <w:rPr>
            <w:color w:val="000000"/>
            <w:sz w:val="20"/>
            <w:szCs w:val="20"/>
          </w:rPr>
          <w:t>Winsvold</w:t>
        </w:r>
        <w:proofErr w:type="spellEnd"/>
        <w:r w:rsidR="00C12B37">
          <w:rPr>
            <w:color w:val="000000"/>
            <w:sz w:val="20"/>
            <w:szCs w:val="20"/>
          </w:rPr>
          <w:t xml:space="preserve">, </w:t>
        </w:r>
        <w:proofErr w:type="spellStart"/>
        <w:r w:rsidR="00C12B37">
          <w:rPr>
            <w:color w:val="000000"/>
            <w:sz w:val="20"/>
            <w:szCs w:val="20"/>
          </w:rPr>
          <w:t>Priit</w:t>
        </w:r>
        <w:proofErr w:type="spellEnd"/>
        <w:r w:rsidR="00C12B37">
          <w:rPr>
            <w:color w:val="000000"/>
            <w:sz w:val="20"/>
            <w:szCs w:val="20"/>
          </w:rPr>
          <w:t xml:space="preserve"> </w:t>
        </w:r>
        <w:proofErr w:type="spellStart"/>
        <w:r w:rsidR="00C12B37">
          <w:rPr>
            <w:color w:val="000000"/>
            <w:sz w:val="20"/>
            <w:szCs w:val="20"/>
          </w:rPr>
          <w:t>Palta</w:t>
        </w:r>
        <w:proofErr w:type="spellEnd"/>
        <w:r w:rsidR="00C12B37">
          <w:rPr>
            <w:color w:val="000000"/>
            <w:sz w:val="20"/>
            <w:szCs w:val="20"/>
          </w:rPr>
          <w:t xml:space="preserve">, </w:t>
        </w:r>
        <w:proofErr w:type="spellStart"/>
        <w:r w:rsidR="00C12B37">
          <w:rPr>
            <w:color w:val="000000"/>
            <w:sz w:val="20"/>
            <w:szCs w:val="20"/>
          </w:rPr>
          <w:t>Tonu</w:t>
        </w:r>
        <w:proofErr w:type="spellEnd"/>
        <w:r w:rsidR="00C12B37">
          <w:rPr>
            <w:color w:val="000000"/>
            <w:sz w:val="20"/>
            <w:szCs w:val="20"/>
          </w:rPr>
          <w:t xml:space="preserve"> Esko, Tune H. Pers, Kai-How </w:t>
        </w:r>
        <w:proofErr w:type="spellStart"/>
        <w:r w:rsidR="00C12B37">
          <w:rPr>
            <w:color w:val="000000"/>
            <w:sz w:val="20"/>
            <w:szCs w:val="20"/>
          </w:rPr>
          <w:t>Farh</w:t>
        </w:r>
        <w:proofErr w:type="spellEnd"/>
        <w:r w:rsidR="00C12B37">
          <w:rPr>
            <w:color w:val="000000"/>
            <w:sz w:val="20"/>
            <w:szCs w:val="20"/>
          </w:rPr>
          <w:t xml:space="preserve">, et al. 2016. “Meta-Analysis of 375,000 Individuals Identifies 38 Susceptibility Loci for Migraine.” </w:t>
        </w:r>
      </w:hyperlink>
      <w:hyperlink r:id="rId147">
        <w:r w:rsidR="00C12B37">
          <w:rPr>
            <w:i/>
            <w:color w:val="000000"/>
            <w:sz w:val="20"/>
            <w:szCs w:val="20"/>
          </w:rPr>
          <w:t>Nature Genetics</w:t>
        </w:r>
      </w:hyperlink>
      <w:hyperlink r:id="rId148">
        <w:r w:rsidR="00C12B37">
          <w:rPr>
            <w:color w:val="000000"/>
            <w:sz w:val="20"/>
            <w:szCs w:val="20"/>
          </w:rPr>
          <w:t xml:space="preserve"> 48 (8): 856–66.</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49">
        <w:proofErr w:type="spellStart"/>
        <w:r w:rsidR="00C12B37">
          <w:rPr>
            <w:color w:val="000000"/>
            <w:sz w:val="20"/>
            <w:szCs w:val="20"/>
          </w:rPr>
          <w:t>Hammerschlag</w:t>
        </w:r>
        <w:proofErr w:type="spellEnd"/>
        <w:r w:rsidR="00C12B37">
          <w:rPr>
            <w:color w:val="000000"/>
            <w:sz w:val="20"/>
            <w:szCs w:val="20"/>
          </w:rPr>
          <w:t xml:space="preserve">, </w:t>
        </w:r>
        <w:proofErr w:type="spellStart"/>
        <w:r w:rsidR="00C12B37">
          <w:rPr>
            <w:color w:val="000000"/>
            <w:sz w:val="20"/>
            <w:szCs w:val="20"/>
          </w:rPr>
          <w:t>Anke</w:t>
        </w:r>
        <w:proofErr w:type="spellEnd"/>
        <w:r w:rsidR="00C12B37">
          <w:rPr>
            <w:color w:val="000000"/>
            <w:sz w:val="20"/>
            <w:szCs w:val="20"/>
          </w:rPr>
          <w:t xml:space="preserve"> R., Sven Stringer, Christiaan A. de Leeuw, Suzanne </w:t>
        </w:r>
        <w:proofErr w:type="spellStart"/>
        <w:r w:rsidR="00C12B37">
          <w:rPr>
            <w:color w:val="000000"/>
            <w:sz w:val="20"/>
            <w:szCs w:val="20"/>
          </w:rPr>
          <w:t>Sniekers</w:t>
        </w:r>
        <w:proofErr w:type="spellEnd"/>
        <w:r w:rsidR="00C12B37">
          <w:rPr>
            <w:color w:val="000000"/>
            <w:sz w:val="20"/>
            <w:szCs w:val="20"/>
          </w:rPr>
          <w:t xml:space="preserve">, Erdogan </w:t>
        </w:r>
        <w:proofErr w:type="spellStart"/>
        <w:r w:rsidR="00C12B37">
          <w:rPr>
            <w:color w:val="000000"/>
            <w:sz w:val="20"/>
            <w:szCs w:val="20"/>
          </w:rPr>
          <w:t>Taskesen</w:t>
        </w:r>
        <w:proofErr w:type="spellEnd"/>
        <w:r w:rsidR="00C12B37">
          <w:rPr>
            <w:color w:val="000000"/>
            <w:sz w:val="20"/>
            <w:szCs w:val="20"/>
          </w:rPr>
          <w:t xml:space="preserve">, Kyoko Watanabe, Tessa F. </w:t>
        </w:r>
        <w:proofErr w:type="spellStart"/>
        <w:r w:rsidR="00C12B37">
          <w:rPr>
            <w:color w:val="000000"/>
            <w:sz w:val="20"/>
            <w:szCs w:val="20"/>
          </w:rPr>
          <w:t>Blanken</w:t>
        </w:r>
        <w:proofErr w:type="spellEnd"/>
        <w:r w:rsidR="00C12B37">
          <w:rPr>
            <w:color w:val="000000"/>
            <w:sz w:val="20"/>
            <w:szCs w:val="20"/>
          </w:rPr>
          <w:t xml:space="preserve">, et al. 2017. “Genome-Wide Association Analysis of Insomnia Complaints Identifies Risk Genes and Genetic Overlap with Psychiatric and Metabolic Traits.” </w:t>
        </w:r>
      </w:hyperlink>
      <w:hyperlink r:id="rId150">
        <w:r w:rsidR="00C12B37">
          <w:rPr>
            <w:i/>
            <w:color w:val="000000"/>
            <w:sz w:val="20"/>
            <w:szCs w:val="20"/>
          </w:rPr>
          <w:t>Nature Genetics</w:t>
        </w:r>
      </w:hyperlink>
      <w:hyperlink r:id="rId151">
        <w:r w:rsidR="00C12B37">
          <w:rPr>
            <w:color w:val="000000"/>
            <w:sz w:val="20"/>
            <w:szCs w:val="20"/>
          </w:rPr>
          <w:t xml:space="preserve"> 49 (11): 1584–92.</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52">
        <w:proofErr w:type="spellStart"/>
        <w:r w:rsidR="00C12B37">
          <w:rPr>
            <w:color w:val="000000"/>
            <w:sz w:val="20"/>
            <w:szCs w:val="20"/>
          </w:rPr>
          <w:t>Hemani</w:t>
        </w:r>
        <w:proofErr w:type="spellEnd"/>
        <w:r w:rsidR="00C12B37">
          <w:rPr>
            <w:color w:val="000000"/>
            <w:sz w:val="20"/>
            <w:szCs w:val="20"/>
          </w:rPr>
          <w:t>, G., and J. Yang. 2017. “</w:t>
        </w:r>
        <w:proofErr w:type="spellStart"/>
        <w:r w:rsidR="00C12B37">
          <w:rPr>
            <w:color w:val="000000"/>
            <w:sz w:val="20"/>
            <w:szCs w:val="20"/>
          </w:rPr>
          <w:t>Gcta-Greml</w:t>
        </w:r>
        <w:proofErr w:type="spellEnd"/>
        <w:r w:rsidR="00C12B37">
          <w:rPr>
            <w:color w:val="000000"/>
            <w:sz w:val="20"/>
            <w:szCs w:val="20"/>
          </w:rPr>
          <w:t xml:space="preserve"> Power Calculator.”</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53">
        <w:r w:rsidR="00C12B37">
          <w:rPr>
            <w:color w:val="000000"/>
            <w:sz w:val="20"/>
            <w:szCs w:val="20"/>
          </w:rPr>
          <w:t>Henderson, Claire, Sara Evans-</w:t>
        </w:r>
        <w:proofErr w:type="spellStart"/>
        <w:r w:rsidR="00C12B37">
          <w:rPr>
            <w:color w:val="000000"/>
            <w:sz w:val="20"/>
            <w:szCs w:val="20"/>
          </w:rPr>
          <w:t>Lacko</w:t>
        </w:r>
        <w:proofErr w:type="spellEnd"/>
        <w:r w:rsidR="00C12B37">
          <w:rPr>
            <w:color w:val="000000"/>
            <w:sz w:val="20"/>
            <w:szCs w:val="20"/>
          </w:rPr>
          <w:t xml:space="preserve">, and Graham Thornicroft. 2013. “Mental Illness Stigma, Help Seeking, and Public Health Programs.” </w:t>
        </w:r>
      </w:hyperlink>
      <w:hyperlink r:id="rId154">
        <w:r w:rsidR="00C12B37">
          <w:rPr>
            <w:i/>
            <w:color w:val="000000"/>
            <w:sz w:val="20"/>
            <w:szCs w:val="20"/>
          </w:rPr>
          <w:t>American Journal of Public Health</w:t>
        </w:r>
      </w:hyperlink>
      <w:hyperlink r:id="rId155">
        <w:r w:rsidR="00C12B37">
          <w:rPr>
            <w:color w:val="000000"/>
            <w:sz w:val="20"/>
            <w:szCs w:val="20"/>
          </w:rPr>
          <w:t xml:space="preserve"> 103 (5): 777–80.</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56">
        <w:r w:rsidR="00C12B37">
          <w:rPr>
            <w:color w:val="000000"/>
            <w:sz w:val="20"/>
            <w:szCs w:val="20"/>
          </w:rPr>
          <w:t xml:space="preserve">Hill, W. David, Saskia P. </w:t>
        </w:r>
        <w:proofErr w:type="spellStart"/>
        <w:r w:rsidR="00C12B37">
          <w:rPr>
            <w:color w:val="000000"/>
            <w:sz w:val="20"/>
            <w:szCs w:val="20"/>
          </w:rPr>
          <w:t>Hagenaars</w:t>
        </w:r>
        <w:proofErr w:type="spellEnd"/>
        <w:r w:rsidR="00C12B37">
          <w:rPr>
            <w:color w:val="000000"/>
            <w:sz w:val="20"/>
            <w:szCs w:val="20"/>
          </w:rPr>
          <w:t xml:space="preserve">, Riccardo E. </w:t>
        </w:r>
        <w:proofErr w:type="spellStart"/>
        <w:r w:rsidR="00C12B37">
          <w:rPr>
            <w:color w:val="000000"/>
            <w:sz w:val="20"/>
            <w:szCs w:val="20"/>
          </w:rPr>
          <w:t>Marioni</w:t>
        </w:r>
        <w:proofErr w:type="spellEnd"/>
        <w:r w:rsidR="00C12B37">
          <w:rPr>
            <w:color w:val="000000"/>
            <w:sz w:val="20"/>
            <w:szCs w:val="20"/>
          </w:rPr>
          <w:t xml:space="preserve">, Sarah E. Harris, David C. M. </w:t>
        </w:r>
        <w:proofErr w:type="spellStart"/>
        <w:r w:rsidR="00C12B37">
          <w:rPr>
            <w:color w:val="000000"/>
            <w:sz w:val="20"/>
            <w:szCs w:val="20"/>
          </w:rPr>
          <w:t>Liewald</w:t>
        </w:r>
        <w:proofErr w:type="spellEnd"/>
        <w:r w:rsidR="00C12B37">
          <w:rPr>
            <w:color w:val="000000"/>
            <w:sz w:val="20"/>
            <w:szCs w:val="20"/>
          </w:rPr>
          <w:t xml:space="preserve">, Gail Davies, </w:t>
        </w:r>
        <w:proofErr w:type="spellStart"/>
        <w:r w:rsidR="00C12B37">
          <w:rPr>
            <w:color w:val="000000"/>
            <w:sz w:val="20"/>
            <w:szCs w:val="20"/>
          </w:rPr>
          <w:t>Aysu</w:t>
        </w:r>
        <w:proofErr w:type="spellEnd"/>
        <w:r w:rsidR="00C12B37">
          <w:rPr>
            <w:color w:val="000000"/>
            <w:sz w:val="20"/>
            <w:szCs w:val="20"/>
          </w:rPr>
          <w:t xml:space="preserve"> </w:t>
        </w:r>
        <w:proofErr w:type="spellStart"/>
        <w:r w:rsidR="00C12B37">
          <w:rPr>
            <w:color w:val="000000"/>
            <w:sz w:val="20"/>
            <w:szCs w:val="20"/>
          </w:rPr>
          <w:t>Okbay</w:t>
        </w:r>
        <w:proofErr w:type="spellEnd"/>
        <w:r w:rsidR="00C12B37">
          <w:rPr>
            <w:color w:val="000000"/>
            <w:sz w:val="20"/>
            <w:szCs w:val="20"/>
          </w:rPr>
          <w:t xml:space="preserve">, Andrew M. McIntosh, Catharine R. Gale, and Ian J. </w:t>
        </w:r>
        <w:proofErr w:type="spellStart"/>
        <w:r w:rsidR="00C12B37">
          <w:rPr>
            <w:color w:val="000000"/>
            <w:sz w:val="20"/>
            <w:szCs w:val="20"/>
          </w:rPr>
          <w:t>Deary</w:t>
        </w:r>
        <w:proofErr w:type="spellEnd"/>
        <w:r w:rsidR="00C12B37">
          <w:rPr>
            <w:color w:val="000000"/>
            <w:sz w:val="20"/>
            <w:szCs w:val="20"/>
          </w:rPr>
          <w:t xml:space="preserve">. 2016. “Molecular Genetic Contributions to Social Deprivation and Household Income in UK Biobank.” </w:t>
        </w:r>
      </w:hyperlink>
      <w:hyperlink r:id="rId157">
        <w:r w:rsidR="00C12B37">
          <w:rPr>
            <w:i/>
            <w:color w:val="000000"/>
            <w:sz w:val="20"/>
            <w:szCs w:val="20"/>
          </w:rPr>
          <w:t>Current Biology: CB</w:t>
        </w:r>
      </w:hyperlink>
      <w:hyperlink r:id="rId158">
        <w:r w:rsidR="00C12B37">
          <w:rPr>
            <w:color w:val="000000"/>
            <w:sz w:val="20"/>
            <w:szCs w:val="20"/>
          </w:rPr>
          <w:t xml:space="preserve"> 26 (22): 3083–89.</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59">
        <w:r w:rsidR="00C12B37">
          <w:rPr>
            <w:color w:val="000000"/>
            <w:sz w:val="20"/>
            <w:szCs w:val="20"/>
          </w:rPr>
          <w:t xml:space="preserve">Kendler, Kenneth S., and Jessica Baker. 2007. “Genetic Influences on Measures of the Environment: A Systematic Review.” </w:t>
        </w:r>
      </w:hyperlink>
      <w:hyperlink r:id="rId160">
        <w:r w:rsidR="00C12B37">
          <w:rPr>
            <w:i/>
            <w:color w:val="000000"/>
            <w:sz w:val="20"/>
            <w:szCs w:val="20"/>
          </w:rPr>
          <w:t>Psychological Medicine</w:t>
        </w:r>
      </w:hyperlink>
      <w:hyperlink r:id="rId161">
        <w:r w:rsidR="00C12B37">
          <w:rPr>
            <w:color w:val="000000"/>
            <w:sz w:val="20"/>
            <w:szCs w:val="20"/>
          </w:rPr>
          <w:t xml:space="preserve"> 37 (05): 615.</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62">
        <w:r w:rsidR="00C12B37">
          <w:rPr>
            <w:color w:val="000000"/>
            <w:sz w:val="20"/>
            <w:szCs w:val="20"/>
          </w:rPr>
          <w:t xml:space="preserve">Kohn, Robert, Shekhar Saxena, Itzhak </w:t>
        </w:r>
        <w:proofErr w:type="spellStart"/>
        <w:r w:rsidR="00C12B37">
          <w:rPr>
            <w:color w:val="000000"/>
            <w:sz w:val="20"/>
            <w:szCs w:val="20"/>
          </w:rPr>
          <w:t>Levav</w:t>
        </w:r>
        <w:proofErr w:type="spellEnd"/>
        <w:r w:rsidR="00C12B37">
          <w:rPr>
            <w:color w:val="000000"/>
            <w:sz w:val="20"/>
            <w:szCs w:val="20"/>
          </w:rPr>
          <w:t xml:space="preserve">, and Benedetto </w:t>
        </w:r>
        <w:proofErr w:type="spellStart"/>
        <w:r w:rsidR="00C12B37">
          <w:rPr>
            <w:color w:val="000000"/>
            <w:sz w:val="20"/>
            <w:szCs w:val="20"/>
          </w:rPr>
          <w:t>Saraceno</w:t>
        </w:r>
        <w:proofErr w:type="spellEnd"/>
        <w:r w:rsidR="00C12B37">
          <w:rPr>
            <w:color w:val="000000"/>
            <w:sz w:val="20"/>
            <w:szCs w:val="20"/>
          </w:rPr>
          <w:t xml:space="preserve">. 2004. “The Treatment Gap in Mental Health Care.” </w:t>
        </w:r>
      </w:hyperlink>
      <w:hyperlink r:id="rId163">
        <w:r w:rsidR="00C12B37">
          <w:rPr>
            <w:i/>
            <w:color w:val="000000"/>
            <w:sz w:val="20"/>
            <w:szCs w:val="20"/>
          </w:rPr>
          <w:t>Bulletin of the World Health Organization</w:t>
        </w:r>
      </w:hyperlink>
      <w:hyperlink r:id="rId164">
        <w:r w:rsidR="00C12B37">
          <w:rPr>
            <w:color w:val="000000"/>
            <w:sz w:val="20"/>
            <w:szCs w:val="20"/>
          </w:rPr>
          <w:t xml:space="preserve"> 82 (11): 858–66.</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65">
        <w:r w:rsidR="00C12B37">
          <w:rPr>
            <w:color w:val="000000"/>
            <w:sz w:val="20"/>
            <w:szCs w:val="20"/>
          </w:rPr>
          <w:t xml:space="preserve">Lambert, Michael J., and Dean E. Barley. 2001. “Research Summary on the Therapeutic Relationship and Psychotherapy Outcome.” </w:t>
        </w:r>
      </w:hyperlink>
      <w:hyperlink r:id="rId166">
        <w:r w:rsidR="00C12B37">
          <w:rPr>
            <w:i/>
            <w:color w:val="000000"/>
            <w:sz w:val="20"/>
            <w:szCs w:val="20"/>
          </w:rPr>
          <w:t>Psychotherapy: Theory, Research, Practice, Training</w:t>
        </w:r>
      </w:hyperlink>
      <w:hyperlink r:id="rId167">
        <w:r w:rsidR="00C12B37">
          <w:rPr>
            <w:color w:val="000000"/>
            <w:sz w:val="20"/>
            <w:szCs w:val="20"/>
          </w:rPr>
          <w:t xml:space="preserve"> 38 (4): 357–61.</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68">
        <w:r w:rsidR="00C12B37">
          <w:rPr>
            <w:color w:val="000000"/>
            <w:sz w:val="20"/>
            <w:szCs w:val="20"/>
          </w:rPr>
          <w:t xml:space="preserve">Lee, James J., </w:t>
        </w:r>
        <w:proofErr w:type="spellStart"/>
        <w:r w:rsidR="00C12B37">
          <w:rPr>
            <w:color w:val="000000"/>
            <w:sz w:val="20"/>
            <w:szCs w:val="20"/>
          </w:rPr>
          <w:t>Robbee</w:t>
        </w:r>
        <w:proofErr w:type="spellEnd"/>
        <w:r w:rsidR="00C12B37">
          <w:rPr>
            <w:color w:val="000000"/>
            <w:sz w:val="20"/>
            <w:szCs w:val="20"/>
          </w:rPr>
          <w:t xml:space="preserve"> </w:t>
        </w:r>
        <w:proofErr w:type="spellStart"/>
        <w:r w:rsidR="00C12B37">
          <w:rPr>
            <w:color w:val="000000"/>
            <w:sz w:val="20"/>
            <w:szCs w:val="20"/>
          </w:rPr>
          <w:t>Wedow</w:t>
        </w:r>
        <w:proofErr w:type="spellEnd"/>
        <w:r w:rsidR="00C12B37">
          <w:rPr>
            <w:color w:val="000000"/>
            <w:sz w:val="20"/>
            <w:szCs w:val="20"/>
          </w:rPr>
          <w:t xml:space="preserve">, </w:t>
        </w:r>
        <w:proofErr w:type="spellStart"/>
        <w:r w:rsidR="00C12B37">
          <w:rPr>
            <w:color w:val="000000"/>
            <w:sz w:val="20"/>
            <w:szCs w:val="20"/>
          </w:rPr>
          <w:t>Aysu</w:t>
        </w:r>
        <w:proofErr w:type="spellEnd"/>
        <w:r w:rsidR="00C12B37">
          <w:rPr>
            <w:color w:val="000000"/>
            <w:sz w:val="20"/>
            <w:szCs w:val="20"/>
          </w:rPr>
          <w:t xml:space="preserve"> </w:t>
        </w:r>
        <w:proofErr w:type="spellStart"/>
        <w:r w:rsidR="00C12B37">
          <w:rPr>
            <w:color w:val="000000"/>
            <w:sz w:val="20"/>
            <w:szCs w:val="20"/>
          </w:rPr>
          <w:t>Okbay</w:t>
        </w:r>
        <w:proofErr w:type="spellEnd"/>
        <w:r w:rsidR="00C12B37">
          <w:rPr>
            <w:color w:val="000000"/>
            <w:sz w:val="20"/>
            <w:szCs w:val="20"/>
          </w:rPr>
          <w:t xml:space="preserve">, Edward Kong, </w:t>
        </w:r>
        <w:proofErr w:type="spellStart"/>
        <w:r w:rsidR="00C12B37">
          <w:rPr>
            <w:color w:val="000000"/>
            <w:sz w:val="20"/>
            <w:szCs w:val="20"/>
          </w:rPr>
          <w:t>Omeed</w:t>
        </w:r>
        <w:proofErr w:type="spellEnd"/>
        <w:r w:rsidR="00C12B37">
          <w:rPr>
            <w:color w:val="000000"/>
            <w:sz w:val="20"/>
            <w:szCs w:val="20"/>
          </w:rPr>
          <w:t xml:space="preserve"> </w:t>
        </w:r>
        <w:proofErr w:type="spellStart"/>
        <w:r w:rsidR="00C12B37">
          <w:rPr>
            <w:color w:val="000000"/>
            <w:sz w:val="20"/>
            <w:szCs w:val="20"/>
          </w:rPr>
          <w:t>Maghzian</w:t>
        </w:r>
        <w:proofErr w:type="spellEnd"/>
        <w:r w:rsidR="00C12B37">
          <w:rPr>
            <w:color w:val="000000"/>
            <w:sz w:val="20"/>
            <w:szCs w:val="20"/>
          </w:rPr>
          <w:t xml:space="preserve">, Meghan </w:t>
        </w:r>
        <w:proofErr w:type="spellStart"/>
        <w:r w:rsidR="00C12B37">
          <w:rPr>
            <w:color w:val="000000"/>
            <w:sz w:val="20"/>
            <w:szCs w:val="20"/>
          </w:rPr>
          <w:t>Zacher</w:t>
        </w:r>
        <w:proofErr w:type="spellEnd"/>
        <w:r w:rsidR="00C12B37">
          <w:rPr>
            <w:color w:val="000000"/>
            <w:sz w:val="20"/>
            <w:szCs w:val="20"/>
          </w:rPr>
          <w:t xml:space="preserve">, Tuan Anh Nguyen-Viet, et al. 2018. “Gene Discovery and Polygenic Prediction from a Genome-Wide Association Study of Educational Attainment in 1.1 Million Individuals.” </w:t>
        </w:r>
      </w:hyperlink>
      <w:hyperlink r:id="rId169">
        <w:r w:rsidR="00C12B37">
          <w:rPr>
            <w:i/>
            <w:color w:val="000000"/>
            <w:sz w:val="20"/>
            <w:szCs w:val="20"/>
          </w:rPr>
          <w:t>Nature Genetics</w:t>
        </w:r>
      </w:hyperlink>
      <w:hyperlink r:id="rId170">
        <w:r w:rsidR="00C12B37">
          <w:rPr>
            <w:color w:val="000000"/>
            <w:sz w:val="20"/>
            <w:szCs w:val="20"/>
          </w:rPr>
          <w:t xml:space="preserve"> 50 (8): 1112–21.</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71">
        <w:r w:rsidR="00C12B37">
          <w:rPr>
            <w:color w:val="000000"/>
            <w:sz w:val="20"/>
            <w:szCs w:val="20"/>
          </w:rPr>
          <w:t xml:space="preserve">McCarthy, Shane, </w:t>
        </w:r>
        <w:proofErr w:type="spellStart"/>
        <w:r w:rsidR="00C12B37">
          <w:rPr>
            <w:color w:val="000000"/>
            <w:sz w:val="20"/>
            <w:szCs w:val="20"/>
          </w:rPr>
          <w:t>Sayantan</w:t>
        </w:r>
        <w:proofErr w:type="spellEnd"/>
        <w:r w:rsidR="00C12B37">
          <w:rPr>
            <w:color w:val="000000"/>
            <w:sz w:val="20"/>
            <w:szCs w:val="20"/>
          </w:rPr>
          <w:t xml:space="preserve"> Das, Warren Kretzschmar, Olivier </w:t>
        </w:r>
        <w:proofErr w:type="spellStart"/>
        <w:r w:rsidR="00C12B37">
          <w:rPr>
            <w:color w:val="000000"/>
            <w:sz w:val="20"/>
            <w:szCs w:val="20"/>
          </w:rPr>
          <w:t>Delaneau</w:t>
        </w:r>
        <w:proofErr w:type="spellEnd"/>
        <w:r w:rsidR="00C12B37">
          <w:rPr>
            <w:color w:val="000000"/>
            <w:sz w:val="20"/>
            <w:szCs w:val="20"/>
          </w:rPr>
          <w:t xml:space="preserve">, Andrew R. Wood, Alexander </w:t>
        </w:r>
        <w:proofErr w:type="spellStart"/>
        <w:r w:rsidR="00C12B37">
          <w:rPr>
            <w:color w:val="000000"/>
            <w:sz w:val="20"/>
            <w:szCs w:val="20"/>
          </w:rPr>
          <w:t>Teumer</w:t>
        </w:r>
        <w:proofErr w:type="spellEnd"/>
        <w:r w:rsidR="00C12B37">
          <w:rPr>
            <w:color w:val="000000"/>
            <w:sz w:val="20"/>
            <w:szCs w:val="20"/>
          </w:rPr>
          <w:t xml:space="preserve">, Hyun Min Kang, et al. 2016. “A Reference Panel of 64,976 Haplotypes for Genotype Imputation.” </w:t>
        </w:r>
      </w:hyperlink>
      <w:hyperlink r:id="rId172">
        <w:r w:rsidR="00C12B37">
          <w:rPr>
            <w:i/>
            <w:color w:val="000000"/>
            <w:sz w:val="20"/>
            <w:szCs w:val="20"/>
          </w:rPr>
          <w:t>Nature Genetics</w:t>
        </w:r>
      </w:hyperlink>
      <w:hyperlink r:id="rId173">
        <w:r w:rsidR="00C12B37">
          <w:rPr>
            <w:color w:val="000000"/>
            <w:sz w:val="20"/>
            <w:szCs w:val="20"/>
          </w:rPr>
          <w:t xml:space="preserve"> 48 (10): 1279–83.</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74">
        <w:r w:rsidR="00C12B37">
          <w:rPr>
            <w:color w:val="000000"/>
            <w:sz w:val="20"/>
            <w:szCs w:val="20"/>
          </w:rPr>
          <w:t xml:space="preserve">McManus, Sally, Paul Bebbington, Louis Appleby, Philip </w:t>
        </w:r>
        <w:proofErr w:type="spellStart"/>
        <w:r w:rsidR="00C12B37">
          <w:rPr>
            <w:color w:val="000000"/>
            <w:sz w:val="20"/>
            <w:szCs w:val="20"/>
          </w:rPr>
          <w:t>Asherson</w:t>
        </w:r>
        <w:proofErr w:type="spellEnd"/>
        <w:r w:rsidR="00C12B37">
          <w:rPr>
            <w:color w:val="000000"/>
            <w:sz w:val="20"/>
            <w:szCs w:val="20"/>
          </w:rPr>
          <w:t xml:space="preserve">, </w:t>
        </w:r>
        <w:proofErr w:type="spellStart"/>
        <w:r w:rsidR="00C12B37">
          <w:rPr>
            <w:color w:val="000000"/>
            <w:sz w:val="20"/>
            <w:szCs w:val="20"/>
          </w:rPr>
          <w:t>Abdolreza</w:t>
        </w:r>
        <w:proofErr w:type="spellEnd"/>
        <w:r w:rsidR="00C12B37">
          <w:rPr>
            <w:color w:val="000000"/>
            <w:sz w:val="20"/>
            <w:szCs w:val="20"/>
          </w:rPr>
          <w:t xml:space="preserve"> </w:t>
        </w:r>
        <w:proofErr w:type="spellStart"/>
        <w:r w:rsidR="00C12B37">
          <w:rPr>
            <w:color w:val="000000"/>
            <w:sz w:val="20"/>
            <w:szCs w:val="20"/>
          </w:rPr>
          <w:t>Ashtarikiani</w:t>
        </w:r>
        <w:proofErr w:type="spellEnd"/>
        <w:r w:rsidR="00C12B37">
          <w:rPr>
            <w:color w:val="000000"/>
            <w:sz w:val="20"/>
            <w:szCs w:val="20"/>
          </w:rPr>
          <w:t xml:space="preserve">, Camille Aznar, Sally Bridges, et al. 2016. “Mental Health and Well-Being in England: Adult Psychiatric Morbidity Survey 2014.” </w:t>
        </w:r>
      </w:hyperlink>
      <w:hyperlink r:id="rId175">
        <w:r w:rsidR="00C12B37">
          <w:rPr>
            <w:i/>
            <w:color w:val="000000"/>
            <w:sz w:val="20"/>
            <w:szCs w:val="20"/>
          </w:rPr>
          <w:t>NHS Digital</w:t>
        </w:r>
      </w:hyperlink>
      <w:hyperlink r:id="rId176">
        <w:r w:rsidR="00C12B37">
          <w:rPr>
            <w:color w:val="000000"/>
            <w:sz w:val="20"/>
            <w:szCs w:val="20"/>
          </w:rPr>
          <w:t>.</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77">
        <w:r w:rsidR="00C12B37">
          <w:rPr>
            <w:color w:val="000000"/>
            <w:sz w:val="20"/>
            <w:szCs w:val="20"/>
          </w:rPr>
          <w:t xml:space="preserve">Moor, M. H. M. de, P. T. Costa, A. </w:t>
        </w:r>
        <w:proofErr w:type="spellStart"/>
        <w:r w:rsidR="00C12B37">
          <w:rPr>
            <w:color w:val="000000"/>
            <w:sz w:val="20"/>
            <w:szCs w:val="20"/>
          </w:rPr>
          <w:t>Terracciano</w:t>
        </w:r>
        <w:proofErr w:type="spellEnd"/>
        <w:r w:rsidR="00C12B37">
          <w:rPr>
            <w:color w:val="000000"/>
            <w:sz w:val="20"/>
            <w:szCs w:val="20"/>
          </w:rPr>
          <w:t xml:space="preserve">, R. F. Krueger, E. J. C. de </w:t>
        </w:r>
        <w:proofErr w:type="spellStart"/>
        <w:r w:rsidR="00C12B37">
          <w:rPr>
            <w:color w:val="000000"/>
            <w:sz w:val="20"/>
            <w:szCs w:val="20"/>
          </w:rPr>
          <w:t>Geus</w:t>
        </w:r>
        <w:proofErr w:type="spellEnd"/>
        <w:r w:rsidR="00C12B37">
          <w:rPr>
            <w:color w:val="000000"/>
            <w:sz w:val="20"/>
            <w:szCs w:val="20"/>
          </w:rPr>
          <w:t xml:space="preserve">, T. Toshiko, B. W. J. H. </w:t>
        </w:r>
        <w:proofErr w:type="spellStart"/>
        <w:r w:rsidR="00C12B37">
          <w:rPr>
            <w:color w:val="000000"/>
            <w:sz w:val="20"/>
            <w:szCs w:val="20"/>
          </w:rPr>
          <w:t>Penninx</w:t>
        </w:r>
        <w:proofErr w:type="spellEnd"/>
        <w:r w:rsidR="00C12B37">
          <w:rPr>
            <w:color w:val="000000"/>
            <w:sz w:val="20"/>
            <w:szCs w:val="20"/>
          </w:rPr>
          <w:t xml:space="preserve">, et al. 2010. “Meta-Analysis of Genome-Wide Association Studies for Personality.” </w:t>
        </w:r>
      </w:hyperlink>
      <w:hyperlink r:id="rId178">
        <w:r w:rsidR="00C12B37">
          <w:rPr>
            <w:i/>
            <w:color w:val="000000"/>
            <w:sz w:val="20"/>
            <w:szCs w:val="20"/>
          </w:rPr>
          <w:t>Molecular Psychiatry</w:t>
        </w:r>
      </w:hyperlink>
      <w:hyperlink r:id="rId179">
        <w:r w:rsidR="00C12B37">
          <w:rPr>
            <w:color w:val="000000"/>
            <w:sz w:val="20"/>
            <w:szCs w:val="20"/>
          </w:rPr>
          <w:t xml:space="preserve"> 17 (December): 337.</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80">
        <w:r w:rsidR="00C12B37">
          <w:rPr>
            <w:color w:val="000000"/>
            <w:sz w:val="20"/>
            <w:szCs w:val="20"/>
          </w:rPr>
          <w:t xml:space="preserve">Ni, </w:t>
        </w:r>
        <w:proofErr w:type="spellStart"/>
        <w:r w:rsidR="00C12B37">
          <w:rPr>
            <w:color w:val="000000"/>
            <w:sz w:val="20"/>
            <w:szCs w:val="20"/>
          </w:rPr>
          <w:t>Guiyan</w:t>
        </w:r>
        <w:proofErr w:type="spellEnd"/>
        <w:r w:rsidR="00C12B37">
          <w:rPr>
            <w:color w:val="000000"/>
            <w:sz w:val="20"/>
            <w:szCs w:val="20"/>
          </w:rPr>
          <w:t xml:space="preserve">, Gerhard Moser, Schizophrenia Working Group of the Psychiatric Genomics Consortium, Naomi R. Wray, and S. Hong Lee. 2018. “Estimation of Genetic Correlation via Linkage Disequilibrium Score Regression and Genomic Restricted Maximum Likelihood.” </w:t>
        </w:r>
      </w:hyperlink>
      <w:hyperlink r:id="rId181">
        <w:r w:rsidR="00C12B37">
          <w:rPr>
            <w:i/>
            <w:color w:val="000000"/>
            <w:sz w:val="20"/>
            <w:szCs w:val="20"/>
          </w:rPr>
          <w:t>American Journal of Human Genetics</w:t>
        </w:r>
      </w:hyperlink>
      <w:hyperlink r:id="rId182">
        <w:r w:rsidR="00C12B37">
          <w:rPr>
            <w:color w:val="000000"/>
            <w:sz w:val="20"/>
            <w:szCs w:val="20"/>
          </w:rPr>
          <w:t xml:space="preserve"> 102 (6): 1185–94.</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83">
        <w:proofErr w:type="spellStart"/>
        <w:r w:rsidR="00C12B37">
          <w:rPr>
            <w:color w:val="000000"/>
            <w:sz w:val="20"/>
            <w:szCs w:val="20"/>
          </w:rPr>
          <w:t>Okbay</w:t>
        </w:r>
        <w:proofErr w:type="spellEnd"/>
        <w:r w:rsidR="00C12B37">
          <w:rPr>
            <w:color w:val="000000"/>
            <w:sz w:val="20"/>
            <w:szCs w:val="20"/>
          </w:rPr>
          <w:t xml:space="preserve">, </w:t>
        </w:r>
        <w:proofErr w:type="spellStart"/>
        <w:r w:rsidR="00C12B37">
          <w:rPr>
            <w:color w:val="000000"/>
            <w:sz w:val="20"/>
            <w:szCs w:val="20"/>
          </w:rPr>
          <w:t>Aysu</w:t>
        </w:r>
        <w:proofErr w:type="spellEnd"/>
        <w:r w:rsidR="00C12B37">
          <w:rPr>
            <w:color w:val="000000"/>
            <w:sz w:val="20"/>
            <w:szCs w:val="20"/>
          </w:rPr>
          <w:t xml:space="preserve">, Bart M. L. </w:t>
        </w:r>
        <w:proofErr w:type="spellStart"/>
        <w:r w:rsidR="00C12B37">
          <w:rPr>
            <w:color w:val="000000"/>
            <w:sz w:val="20"/>
            <w:szCs w:val="20"/>
          </w:rPr>
          <w:t>Baselmans</w:t>
        </w:r>
        <w:proofErr w:type="spellEnd"/>
        <w:r w:rsidR="00C12B37">
          <w:rPr>
            <w:color w:val="000000"/>
            <w:sz w:val="20"/>
            <w:szCs w:val="20"/>
          </w:rPr>
          <w:t xml:space="preserve">, Jan-Emmanuel De Neve, Patrick Turley, Michel G. </w:t>
        </w:r>
        <w:proofErr w:type="spellStart"/>
        <w:r w:rsidR="00C12B37">
          <w:rPr>
            <w:color w:val="000000"/>
            <w:sz w:val="20"/>
            <w:szCs w:val="20"/>
          </w:rPr>
          <w:t>Nivard</w:t>
        </w:r>
        <w:proofErr w:type="spellEnd"/>
        <w:r w:rsidR="00C12B37">
          <w:rPr>
            <w:color w:val="000000"/>
            <w:sz w:val="20"/>
            <w:szCs w:val="20"/>
          </w:rPr>
          <w:t xml:space="preserve">, Mark Alan Fontana, S. Fleur W. </w:t>
        </w:r>
        <w:proofErr w:type="spellStart"/>
        <w:r w:rsidR="00C12B37">
          <w:rPr>
            <w:color w:val="000000"/>
            <w:sz w:val="20"/>
            <w:szCs w:val="20"/>
          </w:rPr>
          <w:t>Meddens</w:t>
        </w:r>
        <w:proofErr w:type="spellEnd"/>
        <w:r w:rsidR="00C12B37">
          <w:rPr>
            <w:color w:val="000000"/>
            <w:sz w:val="20"/>
            <w:szCs w:val="20"/>
          </w:rPr>
          <w:t xml:space="preserve">, et al. 2016. “Genetic Variants Associated with Subjective Well-Being, Depressive Symptoms, and Neuroticism Identified through Genome-Wide Analyses.” </w:t>
        </w:r>
      </w:hyperlink>
      <w:hyperlink r:id="rId184">
        <w:r w:rsidR="00C12B37">
          <w:rPr>
            <w:i/>
            <w:color w:val="000000"/>
            <w:sz w:val="20"/>
            <w:szCs w:val="20"/>
          </w:rPr>
          <w:t>Nature Genetics</w:t>
        </w:r>
      </w:hyperlink>
      <w:hyperlink r:id="rId185">
        <w:r w:rsidR="00C12B37">
          <w:rPr>
            <w:color w:val="000000"/>
            <w:sz w:val="20"/>
            <w:szCs w:val="20"/>
          </w:rPr>
          <w:t xml:space="preserve"> 48 (6): 624–33.</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86">
        <w:proofErr w:type="spellStart"/>
        <w:r w:rsidR="00C12B37">
          <w:rPr>
            <w:color w:val="000000"/>
            <w:sz w:val="20"/>
            <w:szCs w:val="20"/>
          </w:rPr>
          <w:t>Ownby</w:t>
        </w:r>
        <w:proofErr w:type="spellEnd"/>
        <w:r w:rsidR="00C12B37">
          <w:rPr>
            <w:color w:val="000000"/>
            <w:sz w:val="20"/>
            <w:szCs w:val="20"/>
          </w:rPr>
          <w:t xml:space="preserve">, Raymond L., </w:t>
        </w:r>
        <w:proofErr w:type="spellStart"/>
        <w:r w:rsidR="00C12B37">
          <w:rPr>
            <w:color w:val="000000"/>
            <w:sz w:val="20"/>
            <w:szCs w:val="20"/>
          </w:rPr>
          <w:t>Amarilis</w:t>
        </w:r>
        <w:proofErr w:type="spellEnd"/>
        <w:r w:rsidR="00C12B37">
          <w:rPr>
            <w:color w:val="000000"/>
            <w:sz w:val="20"/>
            <w:szCs w:val="20"/>
          </w:rPr>
          <w:t xml:space="preserve"> Acevedo, Robin J. Jacobs, Joshua Caballero, and </w:t>
        </w:r>
        <w:proofErr w:type="spellStart"/>
        <w:r w:rsidR="00C12B37">
          <w:rPr>
            <w:color w:val="000000"/>
            <w:sz w:val="20"/>
            <w:szCs w:val="20"/>
          </w:rPr>
          <w:t>Drenna</w:t>
        </w:r>
        <w:proofErr w:type="spellEnd"/>
        <w:r w:rsidR="00C12B37">
          <w:rPr>
            <w:color w:val="000000"/>
            <w:sz w:val="20"/>
            <w:szCs w:val="20"/>
          </w:rPr>
          <w:t xml:space="preserve"> Waldrop-Valverde. 2014. “Negative and Positive Beliefs Related to Mood and Health.” </w:t>
        </w:r>
      </w:hyperlink>
      <w:hyperlink r:id="rId187">
        <w:r w:rsidR="00C12B37">
          <w:rPr>
            <w:i/>
            <w:color w:val="000000"/>
            <w:sz w:val="20"/>
            <w:szCs w:val="20"/>
          </w:rPr>
          <w:t>American Journal of Health Behavior</w:t>
        </w:r>
      </w:hyperlink>
      <w:hyperlink r:id="rId188">
        <w:r w:rsidR="00C12B37">
          <w:rPr>
            <w:color w:val="000000"/>
            <w:sz w:val="20"/>
            <w:szCs w:val="20"/>
          </w:rPr>
          <w:t xml:space="preserve"> 38 (4): 586–97.</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89">
        <w:proofErr w:type="spellStart"/>
        <w:r w:rsidR="00C12B37">
          <w:rPr>
            <w:color w:val="000000"/>
            <w:sz w:val="20"/>
            <w:szCs w:val="20"/>
          </w:rPr>
          <w:t>Polderman</w:t>
        </w:r>
        <w:proofErr w:type="spellEnd"/>
        <w:r w:rsidR="00C12B37">
          <w:rPr>
            <w:color w:val="000000"/>
            <w:sz w:val="20"/>
            <w:szCs w:val="20"/>
          </w:rPr>
          <w:t xml:space="preserve">, </w:t>
        </w:r>
        <w:proofErr w:type="spellStart"/>
        <w:r w:rsidR="00C12B37">
          <w:rPr>
            <w:color w:val="000000"/>
            <w:sz w:val="20"/>
            <w:szCs w:val="20"/>
          </w:rPr>
          <w:t>Tinca</w:t>
        </w:r>
        <w:proofErr w:type="spellEnd"/>
        <w:r w:rsidR="00C12B37">
          <w:rPr>
            <w:color w:val="000000"/>
            <w:sz w:val="20"/>
            <w:szCs w:val="20"/>
          </w:rPr>
          <w:t xml:space="preserve"> J. C., </w:t>
        </w:r>
        <w:proofErr w:type="spellStart"/>
        <w:r w:rsidR="00C12B37">
          <w:rPr>
            <w:color w:val="000000"/>
            <w:sz w:val="20"/>
            <w:szCs w:val="20"/>
          </w:rPr>
          <w:t>Beben</w:t>
        </w:r>
        <w:proofErr w:type="spellEnd"/>
        <w:r w:rsidR="00C12B37">
          <w:rPr>
            <w:color w:val="000000"/>
            <w:sz w:val="20"/>
            <w:szCs w:val="20"/>
          </w:rPr>
          <w:t xml:space="preserve"> Benyamin, Christiaan A. de Leeuw, Patrick F. Sullivan, Arjen van </w:t>
        </w:r>
        <w:proofErr w:type="spellStart"/>
        <w:r w:rsidR="00C12B37">
          <w:rPr>
            <w:color w:val="000000"/>
            <w:sz w:val="20"/>
            <w:szCs w:val="20"/>
          </w:rPr>
          <w:t>Bochoven</w:t>
        </w:r>
        <w:proofErr w:type="spellEnd"/>
        <w:r w:rsidR="00C12B37">
          <w:rPr>
            <w:color w:val="000000"/>
            <w:sz w:val="20"/>
            <w:szCs w:val="20"/>
          </w:rPr>
          <w:t xml:space="preserve">, Peter M. Visscher, and Danielle </w:t>
        </w:r>
        <w:proofErr w:type="spellStart"/>
        <w:r w:rsidR="00C12B37">
          <w:rPr>
            <w:color w:val="000000"/>
            <w:sz w:val="20"/>
            <w:szCs w:val="20"/>
          </w:rPr>
          <w:t>Posthuma</w:t>
        </w:r>
        <w:proofErr w:type="spellEnd"/>
        <w:r w:rsidR="00C12B37">
          <w:rPr>
            <w:color w:val="000000"/>
            <w:sz w:val="20"/>
            <w:szCs w:val="20"/>
          </w:rPr>
          <w:t xml:space="preserve">. 2015. “Meta-Analysis of the Heritability of Human Traits Based on Fifty Years of Twin Studies.” </w:t>
        </w:r>
      </w:hyperlink>
      <w:hyperlink r:id="rId190">
        <w:r w:rsidR="00C12B37">
          <w:rPr>
            <w:i/>
            <w:color w:val="000000"/>
            <w:sz w:val="20"/>
            <w:szCs w:val="20"/>
          </w:rPr>
          <w:t>Nature Genetics</w:t>
        </w:r>
      </w:hyperlink>
      <w:hyperlink r:id="rId191">
        <w:r w:rsidR="00C12B37">
          <w:rPr>
            <w:color w:val="000000"/>
            <w:sz w:val="20"/>
            <w:szCs w:val="20"/>
          </w:rPr>
          <w:t xml:space="preserve"> 47 (7): 702–9.</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92">
        <w:r w:rsidR="00C12B37">
          <w:rPr>
            <w:color w:val="000000"/>
            <w:sz w:val="20"/>
            <w:szCs w:val="20"/>
          </w:rPr>
          <w:t xml:space="preserve">Psychiatric GWAS Consortium Bipolar Disorder Working Group. 2011. “Large-Scale Genome-Wide Association Analysis of Bipolar Disorder Identifies a New Susceptibility Locus near ODZ4.” </w:t>
        </w:r>
      </w:hyperlink>
      <w:hyperlink r:id="rId193">
        <w:r w:rsidR="00C12B37">
          <w:rPr>
            <w:i/>
            <w:color w:val="000000"/>
            <w:sz w:val="20"/>
            <w:szCs w:val="20"/>
          </w:rPr>
          <w:t>Nature Genetics</w:t>
        </w:r>
      </w:hyperlink>
      <w:hyperlink r:id="rId194">
        <w:r w:rsidR="00C12B37">
          <w:rPr>
            <w:color w:val="000000"/>
            <w:sz w:val="20"/>
            <w:szCs w:val="20"/>
          </w:rPr>
          <w:t xml:space="preserve"> 43 (10): 977–83.</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195">
        <w:r w:rsidR="00C12B37">
          <w:rPr>
            <w:color w:val="000000"/>
            <w:sz w:val="20"/>
            <w:szCs w:val="20"/>
          </w:rPr>
          <w:t xml:space="preserve">Purves, Kirstin, Jonathan R. I. Coleman, Chris Rayner, Jack M. Hettema, Jurgen Deckert, Andrew M. McIntosh, Kristin Nicodemus, Gerome Breen, and Thalia C. Eley. 2017. “The Common Genetic Architecture of Anxiety Disorders.” </w:t>
        </w:r>
      </w:hyperlink>
      <w:hyperlink r:id="rId196">
        <w:r w:rsidR="00C12B37">
          <w:rPr>
            <w:i/>
            <w:color w:val="000000"/>
            <w:sz w:val="20"/>
            <w:szCs w:val="20"/>
          </w:rPr>
          <w:t>BioRxiv</w:t>
        </w:r>
      </w:hyperlink>
      <w:hyperlink r:id="rId197">
        <w:r w:rsidR="00C12B37">
          <w:rPr>
            <w:color w:val="000000"/>
            <w:sz w:val="20"/>
            <w:szCs w:val="20"/>
          </w:rPr>
          <w:t>. https://doi.org/</w:t>
        </w:r>
      </w:hyperlink>
      <w:hyperlink r:id="rId198">
        <w:r w:rsidR="00C12B37">
          <w:rPr>
            <w:color w:val="000000"/>
            <w:sz w:val="20"/>
            <w:szCs w:val="20"/>
          </w:rPr>
          <w:t>10.1101/203844</w:t>
        </w:r>
      </w:hyperlink>
      <w:hyperlink r:id="rId199">
        <w:r w:rsidR="00C12B37">
          <w:rPr>
            <w:color w:val="000000"/>
            <w:sz w:val="20"/>
            <w:szCs w:val="20"/>
          </w:rPr>
          <w:t>.</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00">
        <w:proofErr w:type="spellStart"/>
        <w:r w:rsidR="00C12B37">
          <w:rPr>
            <w:color w:val="000000"/>
            <w:sz w:val="20"/>
            <w:szCs w:val="20"/>
          </w:rPr>
          <w:t>Ripke</w:t>
        </w:r>
        <w:proofErr w:type="spellEnd"/>
        <w:r w:rsidR="00C12B37">
          <w:rPr>
            <w:color w:val="000000"/>
            <w:sz w:val="20"/>
            <w:szCs w:val="20"/>
          </w:rPr>
          <w:t xml:space="preserve">, Stephan, Benjamin M. Neale, Aiden </w:t>
        </w:r>
        <w:proofErr w:type="spellStart"/>
        <w:r w:rsidR="00C12B37">
          <w:rPr>
            <w:color w:val="000000"/>
            <w:sz w:val="20"/>
            <w:szCs w:val="20"/>
          </w:rPr>
          <w:t>Corvin</w:t>
        </w:r>
        <w:proofErr w:type="spellEnd"/>
        <w:r w:rsidR="00C12B37">
          <w:rPr>
            <w:color w:val="000000"/>
            <w:sz w:val="20"/>
            <w:szCs w:val="20"/>
          </w:rPr>
          <w:t xml:space="preserve">, James T. R. Walters, Kai-How </w:t>
        </w:r>
        <w:proofErr w:type="spellStart"/>
        <w:r w:rsidR="00C12B37">
          <w:rPr>
            <w:color w:val="000000"/>
            <w:sz w:val="20"/>
            <w:szCs w:val="20"/>
          </w:rPr>
          <w:t>Farh</w:t>
        </w:r>
        <w:proofErr w:type="spellEnd"/>
        <w:r w:rsidR="00C12B37">
          <w:rPr>
            <w:color w:val="000000"/>
            <w:sz w:val="20"/>
            <w:szCs w:val="20"/>
          </w:rPr>
          <w:t xml:space="preserve">, Peter A. </w:t>
        </w:r>
        <w:proofErr w:type="spellStart"/>
        <w:r w:rsidR="00C12B37">
          <w:rPr>
            <w:color w:val="000000"/>
            <w:sz w:val="20"/>
            <w:szCs w:val="20"/>
          </w:rPr>
          <w:t>Holmans</w:t>
        </w:r>
        <w:proofErr w:type="spellEnd"/>
        <w:r w:rsidR="00C12B37">
          <w:rPr>
            <w:color w:val="000000"/>
            <w:sz w:val="20"/>
            <w:szCs w:val="20"/>
          </w:rPr>
          <w:t xml:space="preserve">, Phil Lee, et al. 2014. “Biological Insights from 108 Schizophrenia-Associated Genetic Loci.” </w:t>
        </w:r>
      </w:hyperlink>
      <w:hyperlink r:id="rId201">
        <w:r w:rsidR="00C12B37">
          <w:rPr>
            <w:i/>
            <w:color w:val="000000"/>
            <w:sz w:val="20"/>
            <w:szCs w:val="20"/>
          </w:rPr>
          <w:t>Nature</w:t>
        </w:r>
      </w:hyperlink>
      <w:hyperlink r:id="rId202">
        <w:r w:rsidR="00C12B37">
          <w:rPr>
            <w:color w:val="000000"/>
            <w:sz w:val="20"/>
            <w:szCs w:val="20"/>
          </w:rPr>
          <w:t xml:space="preserve"> 511 (7510): 421–27.</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03">
        <w:r w:rsidR="00C12B37">
          <w:rPr>
            <w:color w:val="000000"/>
            <w:sz w:val="20"/>
            <w:szCs w:val="20"/>
          </w:rPr>
          <w:t xml:space="preserve">Savage, Jeanne E., Philip R. Jansen, Sven Stringer, Kyoko Watanabe, Julien Bryois, Christiaan A. de Leeuw, Mats Nagel, et al. 2018. “Genome-Wide Association Meta-Analysis in 269,867 Individuals Identifies New Genetic and Functional Links to Intelligence.” </w:t>
        </w:r>
      </w:hyperlink>
      <w:hyperlink r:id="rId204">
        <w:r w:rsidR="00C12B37">
          <w:rPr>
            <w:i/>
            <w:color w:val="000000"/>
            <w:sz w:val="20"/>
            <w:szCs w:val="20"/>
          </w:rPr>
          <w:t>Nature Genetics</w:t>
        </w:r>
      </w:hyperlink>
      <w:hyperlink r:id="rId205">
        <w:r w:rsidR="00C12B37">
          <w:rPr>
            <w:color w:val="000000"/>
            <w:sz w:val="20"/>
            <w:szCs w:val="20"/>
          </w:rPr>
          <w:t>, June. https://doi.org/</w:t>
        </w:r>
      </w:hyperlink>
      <w:hyperlink r:id="rId206">
        <w:r w:rsidR="00C12B37">
          <w:rPr>
            <w:color w:val="000000"/>
            <w:sz w:val="20"/>
            <w:szCs w:val="20"/>
          </w:rPr>
          <w:t>10.1038/s41588-018-0152-6</w:t>
        </w:r>
      </w:hyperlink>
      <w:hyperlink r:id="rId207">
        <w:r w:rsidR="00C12B37">
          <w:rPr>
            <w:color w:val="000000"/>
            <w:sz w:val="20"/>
            <w:szCs w:val="20"/>
          </w:rPr>
          <w:t>.</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08">
        <w:r w:rsidR="00C12B37">
          <w:rPr>
            <w:color w:val="000000"/>
            <w:sz w:val="20"/>
            <w:szCs w:val="20"/>
          </w:rPr>
          <w:t xml:space="preserve">Saxon, David, Gearoid Fitzgerald, Simon Houghton, Francesca </w:t>
        </w:r>
        <w:proofErr w:type="spellStart"/>
        <w:r w:rsidR="00C12B37">
          <w:rPr>
            <w:color w:val="000000"/>
            <w:sz w:val="20"/>
            <w:szCs w:val="20"/>
          </w:rPr>
          <w:t>Lemme</w:t>
        </w:r>
        <w:proofErr w:type="spellEnd"/>
        <w:r w:rsidR="00C12B37">
          <w:rPr>
            <w:color w:val="000000"/>
            <w:sz w:val="20"/>
            <w:szCs w:val="20"/>
          </w:rPr>
          <w:t xml:space="preserve">, Carol Saul, Sharon Warden, and Tom Ricketts. 2007. “Psychotherapy Provision, Socioeconomic Deprivation, and the Inverse Care Law.” </w:t>
        </w:r>
      </w:hyperlink>
      <w:hyperlink r:id="rId209">
        <w:r w:rsidR="00C12B37">
          <w:rPr>
            <w:i/>
            <w:color w:val="000000"/>
            <w:sz w:val="20"/>
            <w:szCs w:val="20"/>
          </w:rPr>
          <w:t>Psychotherapy Research: Journal of the Society for Psychotherapy Research</w:t>
        </w:r>
      </w:hyperlink>
      <w:hyperlink r:id="rId210">
        <w:r w:rsidR="00C12B37">
          <w:rPr>
            <w:color w:val="000000"/>
            <w:sz w:val="20"/>
            <w:szCs w:val="20"/>
          </w:rPr>
          <w:t xml:space="preserve"> 17 (5): 515–21.</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11">
        <w:r w:rsidR="00C12B37">
          <w:rPr>
            <w:color w:val="000000"/>
            <w:sz w:val="20"/>
            <w:szCs w:val="20"/>
          </w:rPr>
          <w:t xml:space="preserve">Schumann, Gunter, </w:t>
        </w:r>
        <w:proofErr w:type="spellStart"/>
        <w:r w:rsidR="00C12B37">
          <w:rPr>
            <w:color w:val="000000"/>
            <w:sz w:val="20"/>
            <w:szCs w:val="20"/>
          </w:rPr>
          <w:t>Chunyu</w:t>
        </w:r>
        <w:proofErr w:type="spellEnd"/>
        <w:r w:rsidR="00C12B37">
          <w:rPr>
            <w:color w:val="000000"/>
            <w:sz w:val="20"/>
            <w:szCs w:val="20"/>
          </w:rPr>
          <w:t xml:space="preserve"> Liu, Paul O’Reilly, He Gao, </w:t>
        </w:r>
        <w:proofErr w:type="spellStart"/>
        <w:r w:rsidR="00C12B37">
          <w:rPr>
            <w:color w:val="000000"/>
            <w:sz w:val="20"/>
            <w:szCs w:val="20"/>
          </w:rPr>
          <w:t>Parkyong</w:t>
        </w:r>
        <w:proofErr w:type="spellEnd"/>
        <w:r w:rsidR="00C12B37">
          <w:rPr>
            <w:color w:val="000000"/>
            <w:sz w:val="20"/>
            <w:szCs w:val="20"/>
          </w:rPr>
          <w:t xml:space="preserve"> Song, Bing Xu, Barbara Ruggeri, et al. 2016. “KLB Is Associated with Alcohol Drinking, and Its Gene Product β-Klotho Is Necessary for FGF21 Regulation of Alcohol Preference.” </w:t>
        </w:r>
      </w:hyperlink>
      <w:hyperlink r:id="rId212">
        <w:r w:rsidR="00C12B37">
          <w:rPr>
            <w:i/>
            <w:color w:val="000000"/>
            <w:sz w:val="20"/>
            <w:szCs w:val="20"/>
          </w:rPr>
          <w:t>Proceedings of the National Academy of Sciences of the United States of America</w:t>
        </w:r>
      </w:hyperlink>
      <w:hyperlink r:id="rId213">
        <w:r w:rsidR="00C12B37">
          <w:rPr>
            <w:color w:val="000000"/>
            <w:sz w:val="20"/>
            <w:szCs w:val="20"/>
          </w:rPr>
          <w:t xml:space="preserve"> 113 (50): 14372–77.</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14">
        <w:proofErr w:type="spellStart"/>
        <w:r w:rsidR="00C12B37">
          <w:rPr>
            <w:color w:val="000000"/>
            <w:sz w:val="20"/>
            <w:szCs w:val="20"/>
          </w:rPr>
          <w:t>Spinath</w:t>
        </w:r>
        <w:proofErr w:type="spellEnd"/>
        <w:r w:rsidR="00C12B37">
          <w:rPr>
            <w:color w:val="000000"/>
            <w:sz w:val="20"/>
            <w:szCs w:val="20"/>
          </w:rPr>
          <w:t xml:space="preserve">, Frank M., and </w:t>
        </w:r>
        <w:proofErr w:type="spellStart"/>
        <w:r w:rsidR="00C12B37">
          <w:rPr>
            <w:color w:val="000000"/>
            <w:sz w:val="20"/>
            <w:szCs w:val="20"/>
          </w:rPr>
          <w:t>Wiebke</w:t>
        </w:r>
        <w:proofErr w:type="spellEnd"/>
        <w:r w:rsidR="00C12B37">
          <w:rPr>
            <w:color w:val="000000"/>
            <w:sz w:val="20"/>
            <w:szCs w:val="20"/>
          </w:rPr>
          <w:t xml:space="preserve"> </w:t>
        </w:r>
        <w:proofErr w:type="spellStart"/>
        <w:r w:rsidR="00C12B37">
          <w:rPr>
            <w:color w:val="000000"/>
            <w:sz w:val="20"/>
            <w:szCs w:val="20"/>
          </w:rPr>
          <w:t>Bleidorn</w:t>
        </w:r>
        <w:proofErr w:type="spellEnd"/>
        <w:r w:rsidR="00C12B37">
          <w:rPr>
            <w:color w:val="000000"/>
            <w:sz w:val="20"/>
            <w:szCs w:val="20"/>
          </w:rPr>
          <w:t xml:space="preserve">. 2017. “The New Look of Behavioral Genetics in Social Inequality: Gene-Environment Interplay and Life Chances.” </w:t>
        </w:r>
      </w:hyperlink>
      <w:hyperlink r:id="rId215">
        <w:r w:rsidR="00C12B37">
          <w:rPr>
            <w:i/>
            <w:color w:val="000000"/>
            <w:sz w:val="20"/>
            <w:szCs w:val="20"/>
          </w:rPr>
          <w:t>Journal of Personality</w:t>
        </w:r>
      </w:hyperlink>
      <w:hyperlink r:id="rId216">
        <w:r w:rsidR="00C12B37">
          <w:rPr>
            <w:color w:val="000000"/>
            <w:sz w:val="20"/>
            <w:szCs w:val="20"/>
          </w:rPr>
          <w:t xml:space="preserve"> 85 (1): 5–9.</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17">
        <w:r w:rsidR="00C12B37">
          <w:rPr>
            <w:color w:val="000000"/>
            <w:sz w:val="20"/>
            <w:szCs w:val="20"/>
          </w:rPr>
          <w:t xml:space="preserve">Stringer, S., C. C. </w:t>
        </w:r>
        <w:proofErr w:type="spellStart"/>
        <w:r w:rsidR="00C12B37">
          <w:rPr>
            <w:color w:val="000000"/>
            <w:sz w:val="20"/>
            <w:szCs w:val="20"/>
          </w:rPr>
          <w:t>Minică</w:t>
        </w:r>
        <w:proofErr w:type="spellEnd"/>
        <w:r w:rsidR="00C12B37">
          <w:rPr>
            <w:color w:val="000000"/>
            <w:sz w:val="20"/>
            <w:szCs w:val="20"/>
          </w:rPr>
          <w:t xml:space="preserve">, K. J. H. Verweij, H. </w:t>
        </w:r>
        <w:proofErr w:type="spellStart"/>
        <w:r w:rsidR="00C12B37">
          <w:rPr>
            <w:color w:val="000000"/>
            <w:sz w:val="20"/>
            <w:szCs w:val="20"/>
          </w:rPr>
          <w:t>Mbarek</w:t>
        </w:r>
        <w:proofErr w:type="spellEnd"/>
        <w:r w:rsidR="00C12B37">
          <w:rPr>
            <w:color w:val="000000"/>
            <w:sz w:val="20"/>
            <w:szCs w:val="20"/>
          </w:rPr>
          <w:t xml:space="preserve">, M. Bernard, J. Derringer, K. R. van </w:t>
        </w:r>
        <w:proofErr w:type="spellStart"/>
        <w:r w:rsidR="00C12B37">
          <w:rPr>
            <w:color w:val="000000"/>
            <w:sz w:val="20"/>
            <w:szCs w:val="20"/>
          </w:rPr>
          <w:t>Eijk</w:t>
        </w:r>
        <w:proofErr w:type="spellEnd"/>
        <w:r w:rsidR="00C12B37">
          <w:rPr>
            <w:color w:val="000000"/>
            <w:sz w:val="20"/>
            <w:szCs w:val="20"/>
          </w:rPr>
          <w:t xml:space="preserve">, et al. 2016. “Genome-Wide Association Study of Lifetime Cannabis Use Based on a Large Meta-Analytic Sample of 32 330 Subjects from the International Cannabis Consortium.” </w:t>
        </w:r>
      </w:hyperlink>
      <w:hyperlink r:id="rId218">
        <w:r w:rsidR="00C12B37">
          <w:rPr>
            <w:i/>
            <w:color w:val="000000"/>
            <w:sz w:val="20"/>
            <w:szCs w:val="20"/>
          </w:rPr>
          <w:t>Translational Psychiatry</w:t>
        </w:r>
      </w:hyperlink>
      <w:hyperlink r:id="rId219">
        <w:r w:rsidR="00C12B37">
          <w:rPr>
            <w:color w:val="000000"/>
            <w:sz w:val="20"/>
            <w:szCs w:val="20"/>
          </w:rPr>
          <w:t xml:space="preserve"> 6 (March): e769.</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20">
        <w:r w:rsidR="00C12B37">
          <w:rPr>
            <w:color w:val="000000"/>
            <w:sz w:val="20"/>
            <w:szCs w:val="20"/>
          </w:rPr>
          <w:t xml:space="preserve">Thapar, A., G. Harold, and P. McGuffin. 1998. “Life Events and Depressive Symptoms in Childhood--Shared Genes or Shared Adversity? A Research Note.” </w:t>
        </w:r>
      </w:hyperlink>
      <w:hyperlink r:id="rId221">
        <w:r w:rsidR="00C12B37">
          <w:rPr>
            <w:i/>
            <w:color w:val="000000"/>
            <w:sz w:val="20"/>
            <w:szCs w:val="20"/>
          </w:rPr>
          <w:t>Journal of Child Psychology and Psychiatry, and Allied Disciplines</w:t>
        </w:r>
      </w:hyperlink>
      <w:hyperlink r:id="rId222">
        <w:r w:rsidR="00C12B37">
          <w:rPr>
            <w:color w:val="000000"/>
            <w:sz w:val="20"/>
            <w:szCs w:val="20"/>
          </w:rPr>
          <w:t xml:space="preserve"> 39 (8): 1153–58.</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23">
        <w:r w:rsidR="00C12B37">
          <w:rPr>
            <w:color w:val="000000"/>
            <w:sz w:val="20"/>
            <w:szCs w:val="20"/>
          </w:rPr>
          <w:t xml:space="preserve">Thornicroft, Graham. 2008. “Stigma and Discrimination Limit Access to Mental Health Care.” </w:t>
        </w:r>
      </w:hyperlink>
      <w:hyperlink r:id="rId224">
        <w:proofErr w:type="spellStart"/>
        <w:r w:rsidR="00C12B37">
          <w:rPr>
            <w:i/>
            <w:color w:val="000000"/>
            <w:sz w:val="20"/>
            <w:szCs w:val="20"/>
          </w:rPr>
          <w:t>Epidemiologia</w:t>
        </w:r>
        <w:proofErr w:type="spellEnd"/>
        <w:r w:rsidR="00C12B37">
          <w:rPr>
            <w:i/>
            <w:color w:val="000000"/>
            <w:sz w:val="20"/>
            <w:szCs w:val="20"/>
          </w:rPr>
          <w:t xml:space="preserve"> E </w:t>
        </w:r>
        <w:proofErr w:type="spellStart"/>
        <w:r w:rsidR="00C12B37">
          <w:rPr>
            <w:i/>
            <w:color w:val="000000"/>
            <w:sz w:val="20"/>
            <w:szCs w:val="20"/>
          </w:rPr>
          <w:t>Psichiatria</w:t>
        </w:r>
        <w:proofErr w:type="spellEnd"/>
        <w:r w:rsidR="00C12B37">
          <w:rPr>
            <w:i/>
            <w:color w:val="000000"/>
            <w:sz w:val="20"/>
            <w:szCs w:val="20"/>
          </w:rPr>
          <w:t xml:space="preserve"> </w:t>
        </w:r>
        <w:proofErr w:type="spellStart"/>
        <w:r w:rsidR="00C12B37">
          <w:rPr>
            <w:i/>
            <w:color w:val="000000"/>
            <w:sz w:val="20"/>
            <w:szCs w:val="20"/>
          </w:rPr>
          <w:t>Sociale</w:t>
        </w:r>
        <w:proofErr w:type="spellEnd"/>
      </w:hyperlink>
      <w:hyperlink r:id="rId225">
        <w:r w:rsidR="00C12B37">
          <w:rPr>
            <w:color w:val="000000"/>
            <w:sz w:val="20"/>
            <w:szCs w:val="20"/>
          </w:rPr>
          <w:t xml:space="preserve"> 17 (1): 14–19.</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26">
        <w:r w:rsidR="00C12B37">
          <w:rPr>
            <w:color w:val="000000"/>
            <w:sz w:val="20"/>
            <w:szCs w:val="20"/>
          </w:rPr>
          <w:t xml:space="preserve">Thornicroft, Graham, Somnath </w:t>
        </w:r>
        <w:proofErr w:type="spellStart"/>
        <w:r w:rsidR="00C12B37">
          <w:rPr>
            <w:color w:val="000000"/>
            <w:sz w:val="20"/>
            <w:szCs w:val="20"/>
          </w:rPr>
          <w:t>Chatterji</w:t>
        </w:r>
        <w:proofErr w:type="spellEnd"/>
        <w:r w:rsidR="00C12B37">
          <w:rPr>
            <w:color w:val="000000"/>
            <w:sz w:val="20"/>
            <w:szCs w:val="20"/>
          </w:rPr>
          <w:t>, Sara Evans-</w:t>
        </w:r>
        <w:proofErr w:type="spellStart"/>
        <w:r w:rsidR="00C12B37">
          <w:rPr>
            <w:color w:val="000000"/>
            <w:sz w:val="20"/>
            <w:szCs w:val="20"/>
          </w:rPr>
          <w:t>Lacko</w:t>
        </w:r>
        <w:proofErr w:type="spellEnd"/>
        <w:r w:rsidR="00C12B37">
          <w:rPr>
            <w:color w:val="000000"/>
            <w:sz w:val="20"/>
            <w:szCs w:val="20"/>
          </w:rPr>
          <w:t>, Michael Gruber, Nancy Sampson, Sergio Aguilar-</w:t>
        </w:r>
        <w:proofErr w:type="spellStart"/>
        <w:r w:rsidR="00C12B37">
          <w:rPr>
            <w:color w:val="000000"/>
            <w:sz w:val="20"/>
            <w:szCs w:val="20"/>
          </w:rPr>
          <w:t>Gaxiola</w:t>
        </w:r>
        <w:proofErr w:type="spellEnd"/>
        <w:r w:rsidR="00C12B37">
          <w:rPr>
            <w:color w:val="000000"/>
            <w:sz w:val="20"/>
            <w:szCs w:val="20"/>
          </w:rPr>
          <w:t>, Ali Al-</w:t>
        </w:r>
        <w:proofErr w:type="spellStart"/>
        <w:r w:rsidR="00C12B37">
          <w:rPr>
            <w:color w:val="000000"/>
            <w:sz w:val="20"/>
            <w:szCs w:val="20"/>
          </w:rPr>
          <w:t>Hamzawi</w:t>
        </w:r>
        <w:proofErr w:type="spellEnd"/>
        <w:r w:rsidR="00C12B37">
          <w:rPr>
            <w:color w:val="000000"/>
            <w:sz w:val="20"/>
            <w:szCs w:val="20"/>
          </w:rPr>
          <w:t xml:space="preserve">, et al. 2017. “Undertreatment of People with Major Depressive Disorder in 21 Countries.” </w:t>
        </w:r>
      </w:hyperlink>
      <w:hyperlink r:id="rId227">
        <w:r w:rsidR="00C12B37">
          <w:rPr>
            <w:i/>
            <w:color w:val="000000"/>
            <w:sz w:val="20"/>
            <w:szCs w:val="20"/>
          </w:rPr>
          <w:t>The British Journal of Psychiatry: The Journal of Mental Science</w:t>
        </w:r>
      </w:hyperlink>
      <w:hyperlink r:id="rId228">
        <w:r w:rsidR="00C12B37">
          <w:rPr>
            <w:color w:val="000000"/>
            <w:sz w:val="20"/>
            <w:szCs w:val="20"/>
          </w:rPr>
          <w:t xml:space="preserve"> 210 (2): 119–24.</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29">
        <w:r w:rsidR="00C12B37">
          <w:rPr>
            <w:color w:val="000000"/>
            <w:sz w:val="20"/>
            <w:szCs w:val="20"/>
          </w:rPr>
          <w:t xml:space="preserve">Visscher, Peter M., William G. Hill, and Naomi R. Wray. 2008. “Heritability in the Genomics Era--Concepts and Misconceptions.” </w:t>
        </w:r>
      </w:hyperlink>
      <w:hyperlink r:id="rId230">
        <w:r w:rsidR="00C12B37">
          <w:rPr>
            <w:i/>
            <w:color w:val="000000"/>
            <w:sz w:val="20"/>
            <w:szCs w:val="20"/>
          </w:rPr>
          <w:t>Nature Reviews. Genetics</w:t>
        </w:r>
      </w:hyperlink>
      <w:hyperlink r:id="rId231">
        <w:r w:rsidR="00C12B37">
          <w:rPr>
            <w:color w:val="000000"/>
            <w:sz w:val="20"/>
            <w:szCs w:val="20"/>
          </w:rPr>
          <w:t xml:space="preserve"> 9 (4): 255–66.</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32">
        <w:r w:rsidR="00C12B37">
          <w:rPr>
            <w:color w:val="000000"/>
            <w:sz w:val="20"/>
            <w:szCs w:val="20"/>
          </w:rPr>
          <w:t xml:space="preserve">Walters, Raymond K., Mark J. Adams, Amy E. Adkins, Fazil Aliev, Silviu-Alin Bacanu, Anthony Batzler, Sarah Bertelsen, et al. 2018. “Trans-Ancestral GWAS of Alcohol Dependence Reveals Common Genetic Underpinnings with Psychiatric Disorders.” </w:t>
        </w:r>
      </w:hyperlink>
      <w:hyperlink r:id="rId233">
        <w:r w:rsidR="00C12B37">
          <w:rPr>
            <w:i/>
            <w:color w:val="000000"/>
            <w:sz w:val="20"/>
            <w:szCs w:val="20"/>
          </w:rPr>
          <w:t>bioRxiv</w:t>
        </w:r>
      </w:hyperlink>
      <w:hyperlink r:id="rId234">
        <w:r w:rsidR="00C12B37">
          <w:rPr>
            <w:color w:val="000000"/>
            <w:sz w:val="20"/>
            <w:szCs w:val="20"/>
          </w:rPr>
          <w:t>. https://doi.org/</w:t>
        </w:r>
      </w:hyperlink>
      <w:hyperlink r:id="rId235">
        <w:r w:rsidR="00C12B37">
          <w:rPr>
            <w:color w:val="000000"/>
            <w:sz w:val="20"/>
            <w:szCs w:val="20"/>
          </w:rPr>
          <w:t>10.1101/257311</w:t>
        </w:r>
      </w:hyperlink>
      <w:hyperlink r:id="rId236">
        <w:r w:rsidR="00C12B37">
          <w:rPr>
            <w:color w:val="000000"/>
            <w:sz w:val="20"/>
            <w:szCs w:val="20"/>
          </w:rPr>
          <w:t>.</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37">
        <w:r w:rsidR="00C12B37">
          <w:rPr>
            <w:color w:val="000000"/>
            <w:sz w:val="20"/>
            <w:szCs w:val="20"/>
          </w:rPr>
          <w:t xml:space="preserve">Witt, S. H., F. </w:t>
        </w:r>
        <w:proofErr w:type="spellStart"/>
        <w:r w:rsidR="00C12B37">
          <w:rPr>
            <w:color w:val="000000"/>
            <w:sz w:val="20"/>
            <w:szCs w:val="20"/>
          </w:rPr>
          <w:t>Streit</w:t>
        </w:r>
        <w:proofErr w:type="spellEnd"/>
        <w:r w:rsidR="00C12B37">
          <w:rPr>
            <w:color w:val="000000"/>
            <w:sz w:val="20"/>
            <w:szCs w:val="20"/>
          </w:rPr>
          <w:t xml:space="preserve">, M. </w:t>
        </w:r>
        <w:proofErr w:type="spellStart"/>
        <w:r w:rsidR="00C12B37">
          <w:rPr>
            <w:color w:val="000000"/>
            <w:sz w:val="20"/>
            <w:szCs w:val="20"/>
          </w:rPr>
          <w:t>Jungkunz</w:t>
        </w:r>
        <w:proofErr w:type="spellEnd"/>
        <w:r w:rsidR="00C12B37">
          <w:rPr>
            <w:color w:val="000000"/>
            <w:sz w:val="20"/>
            <w:szCs w:val="20"/>
          </w:rPr>
          <w:t xml:space="preserve">, J. Frank, S. Awasthi, C. S. </w:t>
        </w:r>
        <w:proofErr w:type="spellStart"/>
        <w:r w:rsidR="00C12B37">
          <w:rPr>
            <w:color w:val="000000"/>
            <w:sz w:val="20"/>
            <w:szCs w:val="20"/>
          </w:rPr>
          <w:t>Reinbold</w:t>
        </w:r>
        <w:proofErr w:type="spellEnd"/>
        <w:r w:rsidR="00C12B37">
          <w:rPr>
            <w:color w:val="000000"/>
            <w:sz w:val="20"/>
            <w:szCs w:val="20"/>
          </w:rPr>
          <w:t xml:space="preserve">, J. </w:t>
        </w:r>
        <w:proofErr w:type="spellStart"/>
        <w:r w:rsidR="00C12B37">
          <w:rPr>
            <w:color w:val="000000"/>
            <w:sz w:val="20"/>
            <w:szCs w:val="20"/>
          </w:rPr>
          <w:t>Treutlein</w:t>
        </w:r>
        <w:proofErr w:type="spellEnd"/>
        <w:r w:rsidR="00C12B37">
          <w:rPr>
            <w:color w:val="000000"/>
            <w:sz w:val="20"/>
            <w:szCs w:val="20"/>
          </w:rPr>
          <w:t xml:space="preserve">, et al. 2017. “Genome-Wide Association Study of Borderline Personality Disorder Reveals Genetic Overlap with Bipolar Disorder, Major Depression and Schizophrenia.” </w:t>
        </w:r>
      </w:hyperlink>
      <w:hyperlink r:id="rId238">
        <w:r w:rsidR="00C12B37">
          <w:rPr>
            <w:i/>
            <w:color w:val="000000"/>
            <w:sz w:val="20"/>
            <w:szCs w:val="20"/>
          </w:rPr>
          <w:t>Translational Psychiatry</w:t>
        </w:r>
      </w:hyperlink>
      <w:hyperlink r:id="rId239">
        <w:r w:rsidR="00C12B37">
          <w:rPr>
            <w:color w:val="000000"/>
            <w:sz w:val="20"/>
            <w:szCs w:val="20"/>
          </w:rPr>
          <w:t xml:space="preserve"> 7 (6): e1155.</w:t>
        </w:r>
      </w:hyperlink>
    </w:p>
    <w:p w:rsidR="00862834" w:rsidRDefault="00667704" w:rsidP="00B82C65">
      <w:pPr>
        <w:widowControl w:val="0"/>
        <w:pBdr>
          <w:top w:val="nil"/>
          <w:left w:val="nil"/>
          <w:bottom w:val="nil"/>
          <w:right w:val="nil"/>
          <w:between w:val="nil"/>
        </w:pBdr>
        <w:spacing w:line="360" w:lineRule="auto"/>
        <w:ind w:left="400" w:hanging="400"/>
        <w:contextualSpacing w:val="0"/>
        <w:rPr>
          <w:color w:val="000000"/>
          <w:sz w:val="20"/>
          <w:szCs w:val="20"/>
          <w:u w:val="single"/>
        </w:rPr>
      </w:pPr>
      <w:hyperlink r:id="rId240">
        <w:r w:rsidR="00C12B37">
          <w:rPr>
            <w:color w:val="000000"/>
            <w:sz w:val="20"/>
            <w:szCs w:val="20"/>
          </w:rPr>
          <w:t xml:space="preserve">Wray, Naomi R., Stephan </w:t>
        </w:r>
        <w:proofErr w:type="spellStart"/>
        <w:r w:rsidR="00C12B37">
          <w:rPr>
            <w:color w:val="000000"/>
            <w:sz w:val="20"/>
            <w:szCs w:val="20"/>
          </w:rPr>
          <w:t>Ripke</w:t>
        </w:r>
        <w:proofErr w:type="spellEnd"/>
        <w:r w:rsidR="00C12B37">
          <w:rPr>
            <w:color w:val="000000"/>
            <w:sz w:val="20"/>
            <w:szCs w:val="20"/>
          </w:rPr>
          <w:t xml:space="preserve">, Manuel </w:t>
        </w:r>
        <w:proofErr w:type="spellStart"/>
        <w:r w:rsidR="00C12B37">
          <w:rPr>
            <w:color w:val="000000"/>
            <w:sz w:val="20"/>
            <w:szCs w:val="20"/>
          </w:rPr>
          <w:t>Mattheisen</w:t>
        </w:r>
        <w:proofErr w:type="spellEnd"/>
        <w:r w:rsidR="00C12B37">
          <w:rPr>
            <w:color w:val="000000"/>
            <w:sz w:val="20"/>
            <w:szCs w:val="20"/>
          </w:rPr>
          <w:t xml:space="preserve">, Maciej </w:t>
        </w:r>
        <w:proofErr w:type="spellStart"/>
        <w:r w:rsidR="00C12B37">
          <w:rPr>
            <w:color w:val="000000"/>
            <w:sz w:val="20"/>
            <w:szCs w:val="20"/>
          </w:rPr>
          <w:t>Trzaskowski</w:t>
        </w:r>
        <w:proofErr w:type="spellEnd"/>
        <w:r w:rsidR="00C12B37">
          <w:rPr>
            <w:color w:val="000000"/>
            <w:sz w:val="20"/>
            <w:szCs w:val="20"/>
          </w:rPr>
          <w:t xml:space="preserve">, Enda M. Byrne, Abdel </w:t>
        </w:r>
        <w:proofErr w:type="spellStart"/>
        <w:r w:rsidR="00C12B37">
          <w:rPr>
            <w:color w:val="000000"/>
            <w:sz w:val="20"/>
            <w:szCs w:val="20"/>
          </w:rPr>
          <w:t>Abdellaoui</w:t>
        </w:r>
        <w:proofErr w:type="spellEnd"/>
        <w:r w:rsidR="00C12B37">
          <w:rPr>
            <w:color w:val="000000"/>
            <w:sz w:val="20"/>
            <w:szCs w:val="20"/>
          </w:rPr>
          <w:t xml:space="preserve">, Mark J. Adams, et al. 2018. “Genome-Wide Association Analyses Identify 44 Risk Variants and Refine the Genetic Architecture of Major Depression.” </w:t>
        </w:r>
      </w:hyperlink>
      <w:hyperlink r:id="rId241">
        <w:r w:rsidR="00C12B37">
          <w:rPr>
            <w:i/>
            <w:color w:val="000000"/>
            <w:sz w:val="20"/>
            <w:szCs w:val="20"/>
          </w:rPr>
          <w:t>Nature Genetics</w:t>
        </w:r>
      </w:hyperlink>
      <w:hyperlink r:id="rId242">
        <w:r w:rsidR="00C12B37">
          <w:rPr>
            <w:color w:val="000000"/>
            <w:sz w:val="20"/>
            <w:szCs w:val="20"/>
          </w:rPr>
          <w:t xml:space="preserve"> 50 (5): 668–81.</w:t>
        </w:r>
      </w:hyperlink>
    </w:p>
    <w:p w:rsidR="00862834" w:rsidRDefault="00667704" w:rsidP="00B82C65">
      <w:pPr>
        <w:widowControl w:val="0"/>
        <w:pBdr>
          <w:top w:val="nil"/>
          <w:left w:val="nil"/>
          <w:bottom w:val="nil"/>
          <w:right w:val="nil"/>
          <w:between w:val="nil"/>
        </w:pBdr>
        <w:spacing w:after="200" w:line="360" w:lineRule="auto"/>
        <w:ind w:left="400" w:hanging="400"/>
        <w:contextualSpacing w:val="0"/>
        <w:rPr>
          <w:color w:val="000000"/>
          <w:sz w:val="20"/>
          <w:szCs w:val="20"/>
          <w:u w:val="single"/>
        </w:rPr>
      </w:pPr>
      <w:hyperlink r:id="rId243">
        <w:r w:rsidR="00C12B37">
          <w:rPr>
            <w:color w:val="000000"/>
            <w:sz w:val="20"/>
            <w:szCs w:val="20"/>
          </w:rPr>
          <w:t xml:space="preserve">Yengo, Loic, Julia Sidorenko, Kathryn E. Kemper, Zhili Zheng, Andrew R. Wood, Michael N. Weedon, Timothy M. Frayling, et al. 2018. “Meta-Analysis of Genome-Wide Association Studies for Height and Body Mass Index in ~700,000 Individuals of European Ancestry.” </w:t>
        </w:r>
      </w:hyperlink>
      <w:hyperlink r:id="rId244">
        <w:r w:rsidR="00C12B37">
          <w:rPr>
            <w:i/>
            <w:color w:val="000000"/>
            <w:sz w:val="20"/>
            <w:szCs w:val="20"/>
          </w:rPr>
          <w:t>bioRxiv</w:t>
        </w:r>
      </w:hyperlink>
      <w:hyperlink r:id="rId245">
        <w:r w:rsidR="00C12B37">
          <w:rPr>
            <w:color w:val="000000"/>
            <w:sz w:val="20"/>
            <w:szCs w:val="20"/>
          </w:rPr>
          <w:t>. https://doi.org/</w:t>
        </w:r>
      </w:hyperlink>
      <w:hyperlink r:id="rId246">
        <w:r w:rsidR="00C12B37">
          <w:rPr>
            <w:color w:val="000000"/>
            <w:sz w:val="20"/>
            <w:szCs w:val="20"/>
          </w:rPr>
          <w:t>10.1101/274654</w:t>
        </w:r>
      </w:hyperlink>
      <w:hyperlink r:id="rId247">
        <w:r w:rsidR="00C12B37">
          <w:rPr>
            <w:color w:val="000000"/>
            <w:sz w:val="20"/>
            <w:szCs w:val="20"/>
          </w:rPr>
          <w:t>.</w:t>
        </w:r>
      </w:hyperlink>
    </w:p>
    <w:p w:rsidR="00862834" w:rsidRDefault="00862834" w:rsidP="00B82C65">
      <w:pPr>
        <w:spacing w:line="360" w:lineRule="auto"/>
        <w:contextualSpacing w:val="0"/>
        <w:rPr>
          <w:sz w:val="20"/>
          <w:szCs w:val="20"/>
          <w:u w:val="single"/>
        </w:rPr>
      </w:pPr>
    </w:p>
    <w:p w:rsidR="00862834" w:rsidRDefault="00862834" w:rsidP="00B82C65">
      <w:pPr>
        <w:spacing w:line="360" w:lineRule="auto"/>
        <w:contextualSpacing w:val="0"/>
        <w:rPr>
          <w:sz w:val="20"/>
          <w:szCs w:val="20"/>
          <w:u w:val="single"/>
        </w:rPr>
      </w:pPr>
    </w:p>
    <w:p w:rsidR="00862834" w:rsidRDefault="00862834">
      <w:pPr>
        <w:widowControl w:val="0"/>
        <w:pBdr>
          <w:top w:val="nil"/>
          <w:left w:val="nil"/>
          <w:bottom w:val="nil"/>
          <w:right w:val="nil"/>
          <w:between w:val="nil"/>
        </w:pBdr>
        <w:contextualSpacing w:val="0"/>
        <w:rPr>
          <w:sz w:val="16"/>
          <w:szCs w:val="16"/>
        </w:rPr>
      </w:pPr>
    </w:p>
    <w:sectPr w:rsidR="00862834">
      <w:footerReference w:type="default" r:id="rId248"/>
      <w:footerReference w:type="first" r:id="rId24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704" w:rsidRDefault="00667704">
      <w:pPr>
        <w:spacing w:line="240" w:lineRule="auto"/>
      </w:pPr>
      <w:r>
        <w:separator/>
      </w:r>
    </w:p>
  </w:endnote>
  <w:endnote w:type="continuationSeparator" w:id="0">
    <w:p w:rsidR="00667704" w:rsidRDefault="006677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704" w:rsidRDefault="00667704">
    <w:pPr>
      <w:contextualSpacing w:val="0"/>
      <w:jc w:val="right"/>
      <w:rPr>
        <w:color w:val="B7B7B7"/>
      </w:rPr>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704" w:rsidRDefault="00667704">
    <w:pPr>
      <w:contextualSpacing w:val="0"/>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704" w:rsidRDefault="00667704">
      <w:pPr>
        <w:spacing w:line="240" w:lineRule="auto"/>
      </w:pPr>
      <w:r>
        <w:separator/>
      </w:r>
    </w:p>
  </w:footnote>
  <w:footnote w:type="continuationSeparator" w:id="0">
    <w:p w:rsidR="00667704" w:rsidRDefault="0066770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A173E7"/>
    <w:multiLevelType w:val="multilevel"/>
    <w:tmpl w:val="7410F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834"/>
    <w:rsid w:val="005C44AB"/>
    <w:rsid w:val="00667704"/>
    <w:rsid w:val="00862834"/>
    <w:rsid w:val="00992A8F"/>
    <w:rsid w:val="00B82C65"/>
    <w:rsid w:val="00C12B37"/>
    <w:rsid w:val="00E37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08780"/>
  <w15:docId w15:val="{562F9D3F-2132-4E4E-9AAE-6C517236C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ListTable2">
    <w:name w:val="List Table 2"/>
    <w:basedOn w:val="TableNormal"/>
    <w:uiPriority w:val="47"/>
    <w:rsid w:val="00992A8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paperpile.com/b/nojX1q/yMjt" TargetMode="External"/><Relationship Id="rId21" Type="http://schemas.openxmlformats.org/officeDocument/2006/relationships/hyperlink" Target="https://paperpile.com/c/nojX1q/xy8f+2Gum" TargetMode="External"/><Relationship Id="rId42" Type="http://schemas.openxmlformats.org/officeDocument/2006/relationships/hyperlink" Target="https://paperpile.com/c/nojX1q/2Gum" TargetMode="External"/><Relationship Id="rId63" Type="http://schemas.openxmlformats.org/officeDocument/2006/relationships/hyperlink" Target="https://paperpile.com/c/nojX1q/al6Z" TargetMode="External"/><Relationship Id="rId84" Type="http://schemas.openxmlformats.org/officeDocument/2006/relationships/hyperlink" Target="http://paperpile.com/b/nojX1q/vhYj" TargetMode="External"/><Relationship Id="rId138" Type="http://schemas.openxmlformats.org/officeDocument/2006/relationships/hyperlink" Target="http://paperpile.com/b/nojX1q/cYdU7" TargetMode="External"/><Relationship Id="rId159" Type="http://schemas.openxmlformats.org/officeDocument/2006/relationships/hyperlink" Target="http://paperpile.com/b/nojX1q/kshmk" TargetMode="External"/><Relationship Id="rId170" Type="http://schemas.openxmlformats.org/officeDocument/2006/relationships/hyperlink" Target="http://paperpile.com/b/nojX1q/N4W8" TargetMode="External"/><Relationship Id="rId191" Type="http://schemas.openxmlformats.org/officeDocument/2006/relationships/hyperlink" Target="http://paperpile.com/b/nojX1q/E0wO" TargetMode="External"/><Relationship Id="rId205" Type="http://schemas.openxmlformats.org/officeDocument/2006/relationships/hyperlink" Target="http://paperpile.com/b/nojX1q/Y3yr" TargetMode="External"/><Relationship Id="rId226" Type="http://schemas.openxmlformats.org/officeDocument/2006/relationships/hyperlink" Target="http://paperpile.com/b/nojX1q/fzhD" TargetMode="External"/><Relationship Id="rId247" Type="http://schemas.openxmlformats.org/officeDocument/2006/relationships/hyperlink" Target="http://paperpile.com/b/nojX1q/al6Z" TargetMode="External"/><Relationship Id="rId107" Type="http://schemas.openxmlformats.org/officeDocument/2006/relationships/hyperlink" Target="http://paperpile.com/b/nojX1q/q6ttY" TargetMode="External"/><Relationship Id="rId11" Type="http://schemas.openxmlformats.org/officeDocument/2006/relationships/hyperlink" Target="https://paperpile.com/c/nojX1q/zOgn+dGDj+fzhD" TargetMode="External"/><Relationship Id="rId32" Type="http://schemas.openxmlformats.org/officeDocument/2006/relationships/hyperlink" Target="https://paperpile.com/c/nojX1q/rIFFg" TargetMode="External"/><Relationship Id="rId53" Type="http://schemas.openxmlformats.org/officeDocument/2006/relationships/hyperlink" Target="https://paperpile.com/c/nojX1q/CMdy" TargetMode="External"/><Relationship Id="rId74" Type="http://schemas.openxmlformats.org/officeDocument/2006/relationships/hyperlink" Target="https://paperpile.com/c/nojX1q/aVNn+fzhD" TargetMode="External"/><Relationship Id="rId128" Type="http://schemas.openxmlformats.org/officeDocument/2006/relationships/hyperlink" Target="http://paperpile.com/b/nojX1q/ffnA" TargetMode="External"/><Relationship Id="rId149" Type="http://schemas.openxmlformats.org/officeDocument/2006/relationships/hyperlink" Target="http://paperpile.com/b/nojX1q/Fj9d" TargetMode="External"/><Relationship Id="rId5" Type="http://schemas.openxmlformats.org/officeDocument/2006/relationships/footnotes" Target="footnotes.xml"/><Relationship Id="rId95" Type="http://schemas.openxmlformats.org/officeDocument/2006/relationships/hyperlink" Target="http://paperpile.com/b/nojX1q/5zhGN" TargetMode="External"/><Relationship Id="rId160" Type="http://schemas.openxmlformats.org/officeDocument/2006/relationships/hyperlink" Target="http://paperpile.com/b/nojX1q/kshmk" TargetMode="External"/><Relationship Id="rId181" Type="http://schemas.openxmlformats.org/officeDocument/2006/relationships/hyperlink" Target="http://paperpile.com/b/nojX1q/VVJ3e" TargetMode="External"/><Relationship Id="rId216" Type="http://schemas.openxmlformats.org/officeDocument/2006/relationships/hyperlink" Target="http://paperpile.com/b/nojX1q/EM2mL" TargetMode="External"/><Relationship Id="rId237" Type="http://schemas.openxmlformats.org/officeDocument/2006/relationships/hyperlink" Target="http://paperpile.com/b/nojX1q/SLTL" TargetMode="External"/><Relationship Id="rId22" Type="http://schemas.openxmlformats.org/officeDocument/2006/relationships/hyperlink" Target="https://paperpile.com/c/nojX1q/bVKDL" TargetMode="External"/><Relationship Id="rId43" Type="http://schemas.openxmlformats.org/officeDocument/2006/relationships/hyperlink" Target="https://paperpile.com/c/nojX1q/hiL5" TargetMode="External"/><Relationship Id="rId64" Type="http://schemas.openxmlformats.org/officeDocument/2006/relationships/hyperlink" Target="https://paperpile.com/c/nojX1q/WwQE" TargetMode="External"/><Relationship Id="rId118" Type="http://schemas.openxmlformats.org/officeDocument/2006/relationships/hyperlink" Target="http://paperpile.com/b/nojX1q/yMjt" TargetMode="External"/><Relationship Id="rId139" Type="http://schemas.openxmlformats.org/officeDocument/2006/relationships/hyperlink" Target="http://paperpile.com/b/nojX1q/cYdU7" TargetMode="External"/><Relationship Id="rId85" Type="http://schemas.openxmlformats.org/officeDocument/2006/relationships/hyperlink" Target="http://paperpile.com/b/nojX1q/CMdy" TargetMode="External"/><Relationship Id="rId150" Type="http://schemas.openxmlformats.org/officeDocument/2006/relationships/hyperlink" Target="http://paperpile.com/b/nojX1q/Fj9d" TargetMode="External"/><Relationship Id="rId171" Type="http://schemas.openxmlformats.org/officeDocument/2006/relationships/hyperlink" Target="http://paperpile.com/b/nojX1q/0Q52" TargetMode="External"/><Relationship Id="rId192" Type="http://schemas.openxmlformats.org/officeDocument/2006/relationships/hyperlink" Target="http://paperpile.com/b/nojX1q/Jhnd" TargetMode="External"/><Relationship Id="rId206" Type="http://schemas.openxmlformats.org/officeDocument/2006/relationships/hyperlink" Target="http://dx.doi.org/10.1038/s41588-018-0152-6" TargetMode="External"/><Relationship Id="rId227" Type="http://schemas.openxmlformats.org/officeDocument/2006/relationships/hyperlink" Target="http://paperpile.com/b/nojX1q/fzhD" TargetMode="External"/><Relationship Id="rId248" Type="http://schemas.openxmlformats.org/officeDocument/2006/relationships/footer" Target="footer1.xml"/><Relationship Id="rId12" Type="http://schemas.openxmlformats.org/officeDocument/2006/relationships/hyperlink" Target="https://paperpile.com/c/nojX1q/aVNn" TargetMode="External"/><Relationship Id="rId17" Type="http://schemas.openxmlformats.org/officeDocument/2006/relationships/hyperlink" Target="https://paperpile.com/c/nojX1q/5zhGN" TargetMode="External"/><Relationship Id="rId33" Type="http://schemas.openxmlformats.org/officeDocument/2006/relationships/hyperlink" Target="https://paperpile.com/c/nojX1q/rIFFg" TargetMode="External"/><Relationship Id="rId38" Type="http://schemas.openxmlformats.org/officeDocument/2006/relationships/hyperlink" Target="https://paperpile.com/c/nojX1q/NK0D" TargetMode="External"/><Relationship Id="rId59" Type="http://schemas.openxmlformats.org/officeDocument/2006/relationships/hyperlink" Target="https://paperpile.com/c/nojX1q/WwQE" TargetMode="External"/><Relationship Id="rId103" Type="http://schemas.openxmlformats.org/officeDocument/2006/relationships/hyperlink" Target="http://paperpile.com/b/nojX1q/qfKC1" TargetMode="External"/><Relationship Id="rId108" Type="http://schemas.openxmlformats.org/officeDocument/2006/relationships/hyperlink" Target="http://paperpile.com/b/nojX1q/q6ttY" TargetMode="External"/><Relationship Id="rId124" Type="http://schemas.openxmlformats.org/officeDocument/2006/relationships/hyperlink" Target="http://paperpile.com/b/nojX1q/JcUP6" TargetMode="External"/><Relationship Id="rId129" Type="http://schemas.openxmlformats.org/officeDocument/2006/relationships/hyperlink" Target="http://paperpile.com/b/nojX1q/ffnA" TargetMode="External"/><Relationship Id="rId54" Type="http://schemas.openxmlformats.org/officeDocument/2006/relationships/hyperlink" Target="https://paperpile.com/c/nojX1q/fa9M" TargetMode="External"/><Relationship Id="rId70" Type="http://schemas.openxmlformats.org/officeDocument/2006/relationships/hyperlink" Target="https://paperpile.com/c/nojX1q/VSF2" TargetMode="External"/><Relationship Id="rId75" Type="http://schemas.openxmlformats.org/officeDocument/2006/relationships/hyperlink" Target="https://paperpile.com/c/nojX1q/JcUP6" TargetMode="External"/><Relationship Id="rId91" Type="http://schemas.openxmlformats.org/officeDocument/2006/relationships/hyperlink" Target="http://paperpile.com/b/nojX1q/5zhGN" TargetMode="External"/><Relationship Id="rId96" Type="http://schemas.openxmlformats.org/officeDocument/2006/relationships/hyperlink" Target="http://paperpile.com/b/nojX1q/XECr" TargetMode="External"/><Relationship Id="rId140" Type="http://schemas.openxmlformats.org/officeDocument/2006/relationships/hyperlink" Target="http://paperpile.com/b/nojX1q/cYdU7" TargetMode="External"/><Relationship Id="rId145" Type="http://schemas.openxmlformats.org/officeDocument/2006/relationships/hyperlink" Target="http://paperpile.com/b/nojX1q/bVKDL" TargetMode="External"/><Relationship Id="rId161" Type="http://schemas.openxmlformats.org/officeDocument/2006/relationships/hyperlink" Target="http://paperpile.com/b/nojX1q/kshmk" TargetMode="External"/><Relationship Id="rId166" Type="http://schemas.openxmlformats.org/officeDocument/2006/relationships/hyperlink" Target="http://paperpile.com/b/nojX1q/aGHhl" TargetMode="External"/><Relationship Id="rId182" Type="http://schemas.openxmlformats.org/officeDocument/2006/relationships/hyperlink" Target="http://paperpile.com/b/nojX1q/VVJ3e" TargetMode="External"/><Relationship Id="rId187" Type="http://schemas.openxmlformats.org/officeDocument/2006/relationships/hyperlink" Target="http://paperpile.com/b/nojX1q/tYJmr" TargetMode="External"/><Relationship Id="rId217" Type="http://schemas.openxmlformats.org/officeDocument/2006/relationships/hyperlink" Target="http://paperpile.com/b/nojX1q/hiL5"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paperpile.com/b/nojX1q/VSF2" TargetMode="External"/><Relationship Id="rId233" Type="http://schemas.openxmlformats.org/officeDocument/2006/relationships/hyperlink" Target="http://paperpile.com/b/nojX1q/H8tB" TargetMode="External"/><Relationship Id="rId238" Type="http://schemas.openxmlformats.org/officeDocument/2006/relationships/hyperlink" Target="http://paperpile.com/b/nojX1q/SLTL" TargetMode="External"/><Relationship Id="rId23" Type="http://schemas.openxmlformats.org/officeDocument/2006/relationships/hyperlink" Target="https://paperpile.com/c/nojX1q/tYJmr+y4js5+q6ttY+aGHhl" TargetMode="External"/><Relationship Id="rId28" Type="http://schemas.openxmlformats.org/officeDocument/2006/relationships/hyperlink" Target="https://paperpile.com/c/nojX1q/qfKC1" TargetMode="External"/><Relationship Id="rId49" Type="http://schemas.openxmlformats.org/officeDocument/2006/relationships/hyperlink" Target="https://paperpile.com/c/nojX1q/51xI" TargetMode="External"/><Relationship Id="rId114" Type="http://schemas.openxmlformats.org/officeDocument/2006/relationships/hyperlink" Target="http://paperpile.com/b/nojX1q/zOgn" TargetMode="External"/><Relationship Id="rId119" Type="http://schemas.openxmlformats.org/officeDocument/2006/relationships/hyperlink" Target="http://dx.doi.org/10.1101/247353" TargetMode="External"/><Relationship Id="rId44" Type="http://schemas.openxmlformats.org/officeDocument/2006/relationships/hyperlink" Target="https://paperpile.com/c/nojX1q/VSF2" TargetMode="External"/><Relationship Id="rId60" Type="http://schemas.openxmlformats.org/officeDocument/2006/relationships/hyperlink" Target="https://paperpile.com/c/nojX1q/Fj9d" TargetMode="External"/><Relationship Id="rId65" Type="http://schemas.openxmlformats.org/officeDocument/2006/relationships/hyperlink" Target="https://paperpile.com/c/nojX1q/hwdt" TargetMode="External"/><Relationship Id="rId81" Type="http://schemas.openxmlformats.org/officeDocument/2006/relationships/hyperlink" Target="https://paperpile.com/c/nojX1q/HK0Xb" TargetMode="External"/><Relationship Id="rId86" Type="http://schemas.openxmlformats.org/officeDocument/2006/relationships/hyperlink" Target="http://paperpile.com/b/nojX1q/CMdy" TargetMode="External"/><Relationship Id="rId130" Type="http://schemas.openxmlformats.org/officeDocument/2006/relationships/hyperlink" Target="http://paperpile.com/b/nojX1q/HK0Xb" TargetMode="External"/><Relationship Id="rId135" Type="http://schemas.openxmlformats.org/officeDocument/2006/relationships/hyperlink" Target="http://paperpile.com/b/nojX1q/fa9M" TargetMode="External"/><Relationship Id="rId151" Type="http://schemas.openxmlformats.org/officeDocument/2006/relationships/hyperlink" Target="http://paperpile.com/b/nojX1q/Fj9d" TargetMode="External"/><Relationship Id="rId156" Type="http://schemas.openxmlformats.org/officeDocument/2006/relationships/hyperlink" Target="http://paperpile.com/b/nojX1q/2Gum" TargetMode="External"/><Relationship Id="rId177" Type="http://schemas.openxmlformats.org/officeDocument/2006/relationships/hyperlink" Target="http://paperpile.com/b/nojX1q/hwdt" TargetMode="External"/><Relationship Id="rId198" Type="http://schemas.openxmlformats.org/officeDocument/2006/relationships/hyperlink" Target="http://dx.doi.org/10.1101/203844" TargetMode="External"/><Relationship Id="rId172" Type="http://schemas.openxmlformats.org/officeDocument/2006/relationships/hyperlink" Target="http://paperpile.com/b/nojX1q/0Q52" TargetMode="External"/><Relationship Id="rId193" Type="http://schemas.openxmlformats.org/officeDocument/2006/relationships/hyperlink" Target="http://paperpile.com/b/nojX1q/Jhnd" TargetMode="External"/><Relationship Id="rId202" Type="http://schemas.openxmlformats.org/officeDocument/2006/relationships/hyperlink" Target="http://paperpile.com/b/nojX1q/NK0D" TargetMode="External"/><Relationship Id="rId207" Type="http://schemas.openxmlformats.org/officeDocument/2006/relationships/hyperlink" Target="http://paperpile.com/b/nojX1q/Y3yr" TargetMode="External"/><Relationship Id="rId223" Type="http://schemas.openxmlformats.org/officeDocument/2006/relationships/hyperlink" Target="http://paperpile.com/b/nojX1q/dGDj" TargetMode="External"/><Relationship Id="rId228" Type="http://schemas.openxmlformats.org/officeDocument/2006/relationships/hyperlink" Target="http://paperpile.com/b/nojX1q/fzhD" TargetMode="External"/><Relationship Id="rId244" Type="http://schemas.openxmlformats.org/officeDocument/2006/relationships/hyperlink" Target="http://paperpile.com/b/nojX1q/al6Z" TargetMode="External"/><Relationship Id="rId249" Type="http://schemas.openxmlformats.org/officeDocument/2006/relationships/footer" Target="footer2.xml"/><Relationship Id="rId13" Type="http://schemas.openxmlformats.org/officeDocument/2006/relationships/hyperlink" Target="https://paperpile.com/c/nojX1q/aVNn+HK0Xb" TargetMode="External"/><Relationship Id="rId18" Type="http://schemas.openxmlformats.org/officeDocument/2006/relationships/hyperlink" Target="https://paperpile.com/c/nojX1q/EM2mL" TargetMode="External"/><Relationship Id="rId39" Type="http://schemas.openxmlformats.org/officeDocument/2006/relationships/hyperlink" Target="https://paperpile.com/c/nojX1q/Jhnd" TargetMode="External"/><Relationship Id="rId109" Type="http://schemas.openxmlformats.org/officeDocument/2006/relationships/hyperlink" Target="http://paperpile.com/b/nojX1q/q6ttY" TargetMode="External"/><Relationship Id="rId34" Type="http://schemas.openxmlformats.org/officeDocument/2006/relationships/hyperlink" Target="https://paperpile.com/c/nojX1q/SC6I" TargetMode="External"/><Relationship Id="rId50" Type="http://schemas.openxmlformats.org/officeDocument/2006/relationships/hyperlink" Target="https://paperpile.com/c/nojX1q/YZZi" TargetMode="External"/><Relationship Id="rId55" Type="http://schemas.openxmlformats.org/officeDocument/2006/relationships/hyperlink" Target="https://paperpile.com/c/nojX1q/XECr" TargetMode="External"/><Relationship Id="rId76" Type="http://schemas.openxmlformats.org/officeDocument/2006/relationships/hyperlink" Target="https://paperpile.com/c/nojX1q/HK0Xb" TargetMode="External"/><Relationship Id="rId97" Type="http://schemas.openxmlformats.org/officeDocument/2006/relationships/hyperlink" Target="http://paperpile.com/b/nojX1q/XECr" TargetMode="External"/><Relationship Id="rId104" Type="http://schemas.openxmlformats.org/officeDocument/2006/relationships/hyperlink" Target="http://paperpile.com/b/nojX1q/qfKC1" TargetMode="External"/><Relationship Id="rId120" Type="http://schemas.openxmlformats.org/officeDocument/2006/relationships/hyperlink" Target="http://paperpile.com/b/nojX1q/yMjt" TargetMode="External"/><Relationship Id="rId125" Type="http://schemas.openxmlformats.org/officeDocument/2006/relationships/hyperlink" Target="http://paperpile.com/b/nojX1q/JcUP6" TargetMode="External"/><Relationship Id="rId141" Type="http://schemas.openxmlformats.org/officeDocument/2006/relationships/hyperlink" Target="http://dx.doi.org/10.1101/115527" TargetMode="External"/><Relationship Id="rId146" Type="http://schemas.openxmlformats.org/officeDocument/2006/relationships/hyperlink" Target="http://paperpile.com/b/nojX1q/WYwj" TargetMode="External"/><Relationship Id="rId167" Type="http://schemas.openxmlformats.org/officeDocument/2006/relationships/hyperlink" Target="http://paperpile.com/b/nojX1q/aGHhl" TargetMode="External"/><Relationship Id="rId188" Type="http://schemas.openxmlformats.org/officeDocument/2006/relationships/hyperlink" Target="http://paperpile.com/b/nojX1q/tYJmr" TargetMode="External"/><Relationship Id="rId7" Type="http://schemas.openxmlformats.org/officeDocument/2006/relationships/hyperlink" Target="mailto:thalia.eley@kcl.ac.uk" TargetMode="External"/><Relationship Id="rId71" Type="http://schemas.openxmlformats.org/officeDocument/2006/relationships/hyperlink" Target="https://paperpile.com/c/nojX1q/VSF2+hiL5" TargetMode="External"/><Relationship Id="rId92" Type="http://schemas.openxmlformats.org/officeDocument/2006/relationships/hyperlink" Target="http://paperpile.com/b/nojX1q/5zhGN" TargetMode="External"/><Relationship Id="rId162" Type="http://schemas.openxmlformats.org/officeDocument/2006/relationships/hyperlink" Target="http://paperpile.com/b/nojX1q/kNZQy" TargetMode="External"/><Relationship Id="rId183" Type="http://schemas.openxmlformats.org/officeDocument/2006/relationships/hyperlink" Target="http://paperpile.com/b/nojX1q/WwQE" TargetMode="External"/><Relationship Id="rId213" Type="http://schemas.openxmlformats.org/officeDocument/2006/relationships/hyperlink" Target="http://paperpile.com/b/nojX1q/VSF2" TargetMode="External"/><Relationship Id="rId218" Type="http://schemas.openxmlformats.org/officeDocument/2006/relationships/hyperlink" Target="http://paperpile.com/b/nojX1q/hiL5" TargetMode="External"/><Relationship Id="rId234" Type="http://schemas.openxmlformats.org/officeDocument/2006/relationships/hyperlink" Target="http://paperpile.com/b/nojX1q/H8tB" TargetMode="External"/><Relationship Id="rId239" Type="http://schemas.openxmlformats.org/officeDocument/2006/relationships/hyperlink" Target="http://paperpile.com/b/nojX1q/SLTL" TargetMode="External"/><Relationship Id="rId2" Type="http://schemas.openxmlformats.org/officeDocument/2006/relationships/styles" Target="styles.xml"/><Relationship Id="rId29" Type="http://schemas.openxmlformats.org/officeDocument/2006/relationships/hyperlink" Target="https://paperpile.com/c/nojX1q/yMjt" TargetMode="External"/><Relationship Id="rId250" Type="http://schemas.openxmlformats.org/officeDocument/2006/relationships/fontTable" Target="fontTable.xml"/><Relationship Id="rId24" Type="http://schemas.openxmlformats.org/officeDocument/2006/relationships/hyperlink" Target="https://paperpile.com/c/nojX1q/naicS" TargetMode="External"/><Relationship Id="rId40" Type="http://schemas.openxmlformats.org/officeDocument/2006/relationships/hyperlink" Target="https://paperpile.com/c/nojX1q/kHGG" TargetMode="External"/><Relationship Id="rId45" Type="http://schemas.openxmlformats.org/officeDocument/2006/relationships/hyperlink" Target="https://paperpile.com/c/nojX1q/H8tB" TargetMode="External"/><Relationship Id="rId66" Type="http://schemas.openxmlformats.org/officeDocument/2006/relationships/hyperlink" Target="https://paperpile.com/c/nojX1q/Y3yr+WvgH" TargetMode="External"/><Relationship Id="rId87" Type="http://schemas.openxmlformats.org/officeDocument/2006/relationships/hyperlink" Target="http://paperpile.com/b/nojX1q/CMdy" TargetMode="External"/><Relationship Id="rId110" Type="http://schemas.openxmlformats.org/officeDocument/2006/relationships/hyperlink" Target="http://paperpile.com/b/nojX1q/y4js5" TargetMode="External"/><Relationship Id="rId115" Type="http://schemas.openxmlformats.org/officeDocument/2006/relationships/hyperlink" Target="http://paperpile.com/b/nojX1q/zOgn" TargetMode="External"/><Relationship Id="rId131" Type="http://schemas.openxmlformats.org/officeDocument/2006/relationships/hyperlink" Target="http://paperpile.com/b/nojX1q/HK0Xb" TargetMode="External"/><Relationship Id="rId136" Type="http://schemas.openxmlformats.org/officeDocument/2006/relationships/hyperlink" Target="http://dx.doi.org/10.1038/s41588-018-0269-7" TargetMode="External"/><Relationship Id="rId157" Type="http://schemas.openxmlformats.org/officeDocument/2006/relationships/hyperlink" Target="http://paperpile.com/b/nojX1q/2Gum" TargetMode="External"/><Relationship Id="rId178" Type="http://schemas.openxmlformats.org/officeDocument/2006/relationships/hyperlink" Target="http://paperpile.com/b/nojX1q/hwdt" TargetMode="External"/><Relationship Id="rId61" Type="http://schemas.openxmlformats.org/officeDocument/2006/relationships/hyperlink" Target="https://paperpile.com/c/nojX1q/ffnA" TargetMode="External"/><Relationship Id="rId82" Type="http://schemas.openxmlformats.org/officeDocument/2006/relationships/hyperlink" Target="http://paperpile.com/b/nojX1q/vhYj" TargetMode="External"/><Relationship Id="rId152" Type="http://schemas.openxmlformats.org/officeDocument/2006/relationships/hyperlink" Target="http://paperpile.com/b/nojX1q/SC6I" TargetMode="External"/><Relationship Id="rId173" Type="http://schemas.openxmlformats.org/officeDocument/2006/relationships/hyperlink" Target="http://paperpile.com/b/nojX1q/0Q52" TargetMode="External"/><Relationship Id="rId194" Type="http://schemas.openxmlformats.org/officeDocument/2006/relationships/hyperlink" Target="http://paperpile.com/b/nojX1q/Jhnd" TargetMode="External"/><Relationship Id="rId199" Type="http://schemas.openxmlformats.org/officeDocument/2006/relationships/hyperlink" Target="http://paperpile.com/b/nojX1q/YZZi" TargetMode="External"/><Relationship Id="rId203" Type="http://schemas.openxmlformats.org/officeDocument/2006/relationships/hyperlink" Target="http://paperpile.com/b/nojX1q/Y3yr" TargetMode="External"/><Relationship Id="rId208" Type="http://schemas.openxmlformats.org/officeDocument/2006/relationships/hyperlink" Target="http://paperpile.com/b/nojX1q/XTGa" TargetMode="External"/><Relationship Id="rId229" Type="http://schemas.openxmlformats.org/officeDocument/2006/relationships/hyperlink" Target="http://paperpile.com/b/nojX1q/LO7Vs" TargetMode="External"/><Relationship Id="rId19" Type="http://schemas.openxmlformats.org/officeDocument/2006/relationships/hyperlink" Target="https://paperpile.com/c/nojX1q/kshmk" TargetMode="External"/><Relationship Id="rId224" Type="http://schemas.openxmlformats.org/officeDocument/2006/relationships/hyperlink" Target="http://paperpile.com/b/nojX1q/dGDj" TargetMode="External"/><Relationship Id="rId240" Type="http://schemas.openxmlformats.org/officeDocument/2006/relationships/hyperlink" Target="http://paperpile.com/b/nojX1q/51xI" TargetMode="External"/><Relationship Id="rId245" Type="http://schemas.openxmlformats.org/officeDocument/2006/relationships/hyperlink" Target="http://paperpile.com/b/nojX1q/al6Z" TargetMode="External"/><Relationship Id="rId14" Type="http://schemas.openxmlformats.org/officeDocument/2006/relationships/hyperlink" Target="https://paperpile.com/c/nojX1q/naicS" TargetMode="External"/><Relationship Id="rId30" Type="http://schemas.openxmlformats.org/officeDocument/2006/relationships/hyperlink" Target="https://paperpile.com/c/nojX1q/0Q52" TargetMode="External"/><Relationship Id="rId35" Type="http://schemas.openxmlformats.org/officeDocument/2006/relationships/hyperlink" Target="https://paperpile.com/c/nojX1q/YZZi" TargetMode="External"/><Relationship Id="rId56" Type="http://schemas.openxmlformats.org/officeDocument/2006/relationships/hyperlink" Target="https://paperpile.com/c/nojX1q/SLTL" TargetMode="External"/><Relationship Id="rId77" Type="http://schemas.openxmlformats.org/officeDocument/2006/relationships/hyperlink" Target="https://paperpile.com/c/nojX1q/cYdU7+VVJ3e" TargetMode="External"/><Relationship Id="rId100" Type="http://schemas.openxmlformats.org/officeDocument/2006/relationships/hyperlink" Target="http://paperpile.com/b/nojX1q/rIFFg" TargetMode="External"/><Relationship Id="rId105" Type="http://schemas.openxmlformats.org/officeDocument/2006/relationships/hyperlink" Target="http://www.biorxiv.org/content/early/2017/07/20/166298" TargetMode="External"/><Relationship Id="rId126" Type="http://schemas.openxmlformats.org/officeDocument/2006/relationships/hyperlink" Target="http://paperpile.com/b/nojX1q/JcUP6" TargetMode="External"/><Relationship Id="rId147" Type="http://schemas.openxmlformats.org/officeDocument/2006/relationships/hyperlink" Target="http://paperpile.com/b/nojX1q/WYwj" TargetMode="External"/><Relationship Id="rId168" Type="http://schemas.openxmlformats.org/officeDocument/2006/relationships/hyperlink" Target="http://paperpile.com/b/nojX1q/N4W8" TargetMode="External"/><Relationship Id="rId8" Type="http://schemas.openxmlformats.org/officeDocument/2006/relationships/hyperlink" Target="mailto:gerome.breen@kcl.ac.uk" TargetMode="External"/><Relationship Id="rId51" Type="http://schemas.openxmlformats.org/officeDocument/2006/relationships/hyperlink" Target="https://paperpile.com/c/nojX1q/Jhnd" TargetMode="External"/><Relationship Id="rId72" Type="http://schemas.openxmlformats.org/officeDocument/2006/relationships/hyperlink" Target="https://paperpile.com/c/nojX1q/fzhD" TargetMode="External"/><Relationship Id="rId93" Type="http://schemas.openxmlformats.org/officeDocument/2006/relationships/hyperlink" Target="http://paperpile.com/b/nojX1q/5zhGN" TargetMode="External"/><Relationship Id="rId98" Type="http://schemas.openxmlformats.org/officeDocument/2006/relationships/hyperlink" Target="http://paperpile.com/b/nojX1q/XECr" TargetMode="External"/><Relationship Id="rId121" Type="http://schemas.openxmlformats.org/officeDocument/2006/relationships/hyperlink" Target="http://paperpile.com/b/nojX1q/kHGG" TargetMode="External"/><Relationship Id="rId142" Type="http://schemas.openxmlformats.org/officeDocument/2006/relationships/hyperlink" Target="http://paperpile.com/b/nojX1q/cYdU7" TargetMode="External"/><Relationship Id="rId163" Type="http://schemas.openxmlformats.org/officeDocument/2006/relationships/hyperlink" Target="http://paperpile.com/b/nojX1q/kNZQy" TargetMode="External"/><Relationship Id="rId184" Type="http://schemas.openxmlformats.org/officeDocument/2006/relationships/hyperlink" Target="http://paperpile.com/b/nojX1q/WwQE" TargetMode="External"/><Relationship Id="rId189" Type="http://schemas.openxmlformats.org/officeDocument/2006/relationships/hyperlink" Target="http://paperpile.com/b/nojX1q/E0wO" TargetMode="External"/><Relationship Id="rId219" Type="http://schemas.openxmlformats.org/officeDocument/2006/relationships/hyperlink" Target="http://paperpile.com/b/nojX1q/hiL5" TargetMode="External"/><Relationship Id="rId3" Type="http://schemas.openxmlformats.org/officeDocument/2006/relationships/settings" Target="settings.xml"/><Relationship Id="rId214" Type="http://schemas.openxmlformats.org/officeDocument/2006/relationships/hyperlink" Target="http://paperpile.com/b/nojX1q/EM2mL" TargetMode="External"/><Relationship Id="rId230" Type="http://schemas.openxmlformats.org/officeDocument/2006/relationships/hyperlink" Target="http://paperpile.com/b/nojX1q/LO7Vs" TargetMode="External"/><Relationship Id="rId235" Type="http://schemas.openxmlformats.org/officeDocument/2006/relationships/hyperlink" Target="http://dx.doi.org/10.1101/257311" TargetMode="External"/><Relationship Id="rId251" Type="http://schemas.openxmlformats.org/officeDocument/2006/relationships/theme" Target="theme/theme1.xml"/><Relationship Id="rId25" Type="http://schemas.openxmlformats.org/officeDocument/2006/relationships/hyperlink" Target="https://paperpile.com/c/nojX1q/vhYj" TargetMode="External"/><Relationship Id="rId46" Type="http://schemas.openxmlformats.org/officeDocument/2006/relationships/image" Target="media/image1.png"/><Relationship Id="rId67" Type="http://schemas.openxmlformats.org/officeDocument/2006/relationships/hyperlink" Target="https://paperpile.com/c/nojX1q/Y3yr+WvgH" TargetMode="External"/><Relationship Id="rId116" Type="http://schemas.openxmlformats.org/officeDocument/2006/relationships/hyperlink" Target="http://paperpile.com/b/nojX1q/yMjt" TargetMode="External"/><Relationship Id="rId137" Type="http://schemas.openxmlformats.org/officeDocument/2006/relationships/hyperlink" Target="http://paperpile.com/b/nojX1q/fa9M" TargetMode="External"/><Relationship Id="rId158" Type="http://schemas.openxmlformats.org/officeDocument/2006/relationships/hyperlink" Target="http://paperpile.com/b/nojX1q/2Gum" TargetMode="External"/><Relationship Id="rId20" Type="http://schemas.openxmlformats.org/officeDocument/2006/relationships/hyperlink" Target="https://paperpile.com/c/nojX1q/kshmk" TargetMode="External"/><Relationship Id="rId41" Type="http://schemas.openxmlformats.org/officeDocument/2006/relationships/hyperlink" Target="https://paperpile.com/c/nojX1q/al6Z" TargetMode="External"/><Relationship Id="rId62" Type="http://schemas.openxmlformats.org/officeDocument/2006/relationships/hyperlink" Target="https://paperpile.com/c/nojX1q/WYwj" TargetMode="External"/><Relationship Id="rId83" Type="http://schemas.openxmlformats.org/officeDocument/2006/relationships/hyperlink" Target="http://paperpile.com/b/nojX1q/vhYj" TargetMode="External"/><Relationship Id="rId88" Type="http://schemas.openxmlformats.org/officeDocument/2006/relationships/hyperlink" Target="http://paperpile.com/b/nojX1q/WvgH" TargetMode="External"/><Relationship Id="rId111" Type="http://schemas.openxmlformats.org/officeDocument/2006/relationships/hyperlink" Target="http://paperpile.com/b/nojX1q/y4js5" TargetMode="External"/><Relationship Id="rId132" Type="http://schemas.openxmlformats.org/officeDocument/2006/relationships/hyperlink" Target="http://paperpile.com/b/nojX1q/HK0Xb" TargetMode="External"/><Relationship Id="rId153" Type="http://schemas.openxmlformats.org/officeDocument/2006/relationships/hyperlink" Target="http://paperpile.com/b/nojX1q/naicS" TargetMode="External"/><Relationship Id="rId174" Type="http://schemas.openxmlformats.org/officeDocument/2006/relationships/hyperlink" Target="http://paperpile.com/b/nojX1q/aVNn" TargetMode="External"/><Relationship Id="rId179" Type="http://schemas.openxmlformats.org/officeDocument/2006/relationships/hyperlink" Target="http://paperpile.com/b/nojX1q/hwdt" TargetMode="External"/><Relationship Id="rId195" Type="http://schemas.openxmlformats.org/officeDocument/2006/relationships/hyperlink" Target="http://paperpile.com/b/nojX1q/YZZi" TargetMode="External"/><Relationship Id="rId209" Type="http://schemas.openxmlformats.org/officeDocument/2006/relationships/hyperlink" Target="http://paperpile.com/b/nojX1q/XTGa" TargetMode="External"/><Relationship Id="rId190" Type="http://schemas.openxmlformats.org/officeDocument/2006/relationships/hyperlink" Target="http://paperpile.com/b/nojX1q/E0wO" TargetMode="External"/><Relationship Id="rId204" Type="http://schemas.openxmlformats.org/officeDocument/2006/relationships/hyperlink" Target="http://paperpile.com/b/nojX1q/Y3yr" TargetMode="External"/><Relationship Id="rId220" Type="http://schemas.openxmlformats.org/officeDocument/2006/relationships/hyperlink" Target="http://paperpile.com/b/nojX1q/xy8f" TargetMode="External"/><Relationship Id="rId225" Type="http://schemas.openxmlformats.org/officeDocument/2006/relationships/hyperlink" Target="http://paperpile.com/b/nojX1q/dGDj" TargetMode="External"/><Relationship Id="rId241" Type="http://schemas.openxmlformats.org/officeDocument/2006/relationships/hyperlink" Target="http://paperpile.com/b/nojX1q/51xI" TargetMode="External"/><Relationship Id="rId246" Type="http://schemas.openxmlformats.org/officeDocument/2006/relationships/hyperlink" Target="http://dx.doi.org/10.1101/274654" TargetMode="External"/><Relationship Id="rId15" Type="http://schemas.openxmlformats.org/officeDocument/2006/relationships/hyperlink" Target="https://paperpile.com/c/nojX1q/E0wO" TargetMode="External"/><Relationship Id="rId36" Type="http://schemas.openxmlformats.org/officeDocument/2006/relationships/hyperlink" Target="https://paperpile.com/c/nojX1q/51xI" TargetMode="External"/><Relationship Id="rId57" Type="http://schemas.openxmlformats.org/officeDocument/2006/relationships/hyperlink" Target="https://paperpile.com/c/nojX1q/kHGG" TargetMode="External"/><Relationship Id="rId106" Type="http://schemas.openxmlformats.org/officeDocument/2006/relationships/hyperlink" Target="http://paperpile.com/b/nojX1q/qfKC1" TargetMode="External"/><Relationship Id="rId127" Type="http://schemas.openxmlformats.org/officeDocument/2006/relationships/hyperlink" Target="http://paperpile.com/b/nojX1q/ffnA" TargetMode="External"/><Relationship Id="rId10" Type="http://schemas.openxmlformats.org/officeDocument/2006/relationships/hyperlink" Target="https://paperpile.com/c/nojX1q/kNZQy" TargetMode="External"/><Relationship Id="rId31" Type="http://schemas.openxmlformats.org/officeDocument/2006/relationships/hyperlink" Target="https://paperpile.com/c/nojX1q/qfKC1" TargetMode="External"/><Relationship Id="rId52" Type="http://schemas.openxmlformats.org/officeDocument/2006/relationships/hyperlink" Target="https://paperpile.com/c/nojX1q/NK0D" TargetMode="External"/><Relationship Id="rId73" Type="http://schemas.openxmlformats.org/officeDocument/2006/relationships/hyperlink" Target="https://paperpile.com/c/nojX1q/aVNn+fzhD" TargetMode="External"/><Relationship Id="rId78" Type="http://schemas.openxmlformats.org/officeDocument/2006/relationships/hyperlink" Target="https://paperpile.com/c/nojX1q/E0wO+5zhGN" TargetMode="External"/><Relationship Id="rId94" Type="http://schemas.openxmlformats.org/officeDocument/2006/relationships/hyperlink" Target="http://dx.doi.org/10.1126/science.aap8757" TargetMode="External"/><Relationship Id="rId99" Type="http://schemas.openxmlformats.org/officeDocument/2006/relationships/hyperlink" Target="http://paperpile.com/b/nojX1q/rIFFg" TargetMode="External"/><Relationship Id="rId101" Type="http://schemas.openxmlformats.org/officeDocument/2006/relationships/hyperlink" Target="http://paperpile.com/b/nojX1q/rIFFg" TargetMode="External"/><Relationship Id="rId122" Type="http://schemas.openxmlformats.org/officeDocument/2006/relationships/hyperlink" Target="http://paperpile.com/b/nojX1q/kHGG" TargetMode="External"/><Relationship Id="rId143" Type="http://schemas.openxmlformats.org/officeDocument/2006/relationships/hyperlink" Target="http://paperpile.com/b/nojX1q/bVKDL" TargetMode="External"/><Relationship Id="rId148" Type="http://schemas.openxmlformats.org/officeDocument/2006/relationships/hyperlink" Target="http://paperpile.com/b/nojX1q/WYwj" TargetMode="External"/><Relationship Id="rId164" Type="http://schemas.openxmlformats.org/officeDocument/2006/relationships/hyperlink" Target="http://paperpile.com/b/nojX1q/kNZQy" TargetMode="External"/><Relationship Id="rId169" Type="http://schemas.openxmlformats.org/officeDocument/2006/relationships/hyperlink" Target="http://paperpile.com/b/nojX1q/N4W8" TargetMode="External"/><Relationship Id="rId185" Type="http://schemas.openxmlformats.org/officeDocument/2006/relationships/hyperlink" Target="http://paperpile.com/b/nojX1q/WwQE" TargetMode="External"/><Relationship Id="rId4" Type="http://schemas.openxmlformats.org/officeDocument/2006/relationships/webSettings" Target="webSettings.xml"/><Relationship Id="rId9" Type="http://schemas.openxmlformats.org/officeDocument/2006/relationships/hyperlink" Target="https://paperpile.com/c/nojX1q/aVNn" TargetMode="External"/><Relationship Id="rId180" Type="http://schemas.openxmlformats.org/officeDocument/2006/relationships/hyperlink" Target="http://paperpile.com/b/nojX1q/VVJ3e" TargetMode="External"/><Relationship Id="rId210" Type="http://schemas.openxmlformats.org/officeDocument/2006/relationships/hyperlink" Target="http://paperpile.com/b/nojX1q/XTGa" TargetMode="External"/><Relationship Id="rId215" Type="http://schemas.openxmlformats.org/officeDocument/2006/relationships/hyperlink" Target="http://paperpile.com/b/nojX1q/EM2mL" TargetMode="External"/><Relationship Id="rId236" Type="http://schemas.openxmlformats.org/officeDocument/2006/relationships/hyperlink" Target="http://paperpile.com/b/nojX1q/H8tB" TargetMode="External"/><Relationship Id="rId26" Type="http://schemas.openxmlformats.org/officeDocument/2006/relationships/hyperlink" Target="https://paperpile.com/c/nojX1q/JcUP6" TargetMode="External"/><Relationship Id="rId231" Type="http://schemas.openxmlformats.org/officeDocument/2006/relationships/hyperlink" Target="http://paperpile.com/b/nojX1q/LO7Vs" TargetMode="External"/><Relationship Id="rId47" Type="http://schemas.openxmlformats.org/officeDocument/2006/relationships/image" Target="media/image2.png"/><Relationship Id="rId68" Type="http://schemas.openxmlformats.org/officeDocument/2006/relationships/hyperlink" Target="https://paperpile.com/c/nojX1q/N4W8" TargetMode="External"/><Relationship Id="rId89" Type="http://schemas.openxmlformats.org/officeDocument/2006/relationships/hyperlink" Target="http://paperpile.com/b/nojX1q/WvgH" TargetMode="External"/><Relationship Id="rId112" Type="http://schemas.openxmlformats.org/officeDocument/2006/relationships/hyperlink" Target="http://paperpile.com/b/nojX1q/y4js5" TargetMode="External"/><Relationship Id="rId133" Type="http://schemas.openxmlformats.org/officeDocument/2006/relationships/hyperlink" Target="http://paperpile.com/b/nojX1q/fa9M" TargetMode="External"/><Relationship Id="rId154" Type="http://schemas.openxmlformats.org/officeDocument/2006/relationships/hyperlink" Target="http://paperpile.com/b/nojX1q/naicS" TargetMode="External"/><Relationship Id="rId175" Type="http://schemas.openxmlformats.org/officeDocument/2006/relationships/hyperlink" Target="http://paperpile.com/b/nojX1q/aVNn" TargetMode="External"/><Relationship Id="rId196" Type="http://schemas.openxmlformats.org/officeDocument/2006/relationships/hyperlink" Target="http://paperpile.com/b/nojX1q/YZZi" TargetMode="External"/><Relationship Id="rId200" Type="http://schemas.openxmlformats.org/officeDocument/2006/relationships/hyperlink" Target="http://paperpile.com/b/nojX1q/NK0D" TargetMode="External"/><Relationship Id="rId16" Type="http://schemas.openxmlformats.org/officeDocument/2006/relationships/hyperlink" Target="https://paperpile.com/c/nojX1q/LO7Vs" TargetMode="External"/><Relationship Id="rId221" Type="http://schemas.openxmlformats.org/officeDocument/2006/relationships/hyperlink" Target="http://paperpile.com/b/nojX1q/xy8f" TargetMode="External"/><Relationship Id="rId242" Type="http://schemas.openxmlformats.org/officeDocument/2006/relationships/hyperlink" Target="http://paperpile.com/b/nojX1q/51xI" TargetMode="External"/><Relationship Id="rId37" Type="http://schemas.openxmlformats.org/officeDocument/2006/relationships/hyperlink" Target="https://paperpile.com/c/nojX1q/N4W8" TargetMode="External"/><Relationship Id="rId58" Type="http://schemas.openxmlformats.org/officeDocument/2006/relationships/hyperlink" Target="https://paperpile.com/c/nojX1q/H8tB" TargetMode="External"/><Relationship Id="rId79" Type="http://schemas.openxmlformats.org/officeDocument/2006/relationships/hyperlink" Target="https://paperpile.com/c/nojX1q/5zhGN" TargetMode="External"/><Relationship Id="rId102" Type="http://schemas.openxmlformats.org/officeDocument/2006/relationships/hyperlink" Target="http://paperpile.com/b/nojX1q/qfKC1" TargetMode="External"/><Relationship Id="rId123" Type="http://schemas.openxmlformats.org/officeDocument/2006/relationships/hyperlink" Target="http://paperpile.com/b/nojX1q/kHGG" TargetMode="External"/><Relationship Id="rId144" Type="http://schemas.openxmlformats.org/officeDocument/2006/relationships/hyperlink" Target="http://paperpile.com/b/nojX1q/bVKDL" TargetMode="External"/><Relationship Id="rId90" Type="http://schemas.openxmlformats.org/officeDocument/2006/relationships/hyperlink" Target="http://paperpile.com/b/nojX1q/WvgH" TargetMode="External"/><Relationship Id="rId165" Type="http://schemas.openxmlformats.org/officeDocument/2006/relationships/hyperlink" Target="http://paperpile.com/b/nojX1q/aGHhl" TargetMode="External"/><Relationship Id="rId186" Type="http://schemas.openxmlformats.org/officeDocument/2006/relationships/hyperlink" Target="http://paperpile.com/b/nojX1q/tYJmr" TargetMode="External"/><Relationship Id="rId211" Type="http://schemas.openxmlformats.org/officeDocument/2006/relationships/hyperlink" Target="http://paperpile.com/b/nojX1q/VSF2" TargetMode="External"/><Relationship Id="rId232" Type="http://schemas.openxmlformats.org/officeDocument/2006/relationships/hyperlink" Target="http://paperpile.com/b/nojX1q/H8tB" TargetMode="External"/><Relationship Id="rId27" Type="http://schemas.openxmlformats.org/officeDocument/2006/relationships/hyperlink" Target="https://paperpile.com/c/nojX1q/YZZi+yMjt" TargetMode="External"/><Relationship Id="rId48" Type="http://schemas.openxmlformats.org/officeDocument/2006/relationships/image" Target="media/image3.png"/><Relationship Id="rId69" Type="http://schemas.openxmlformats.org/officeDocument/2006/relationships/hyperlink" Target="https://paperpile.com/c/nojX1q/2Gum" TargetMode="External"/><Relationship Id="rId113" Type="http://schemas.openxmlformats.org/officeDocument/2006/relationships/hyperlink" Target="http://paperpile.com/b/nojX1q/zOgn" TargetMode="External"/><Relationship Id="rId134" Type="http://schemas.openxmlformats.org/officeDocument/2006/relationships/hyperlink" Target="http://paperpile.com/b/nojX1q/fa9M" TargetMode="External"/><Relationship Id="rId80" Type="http://schemas.openxmlformats.org/officeDocument/2006/relationships/hyperlink" Target="https://paperpile.com/c/nojX1q/XTGa" TargetMode="External"/><Relationship Id="rId155" Type="http://schemas.openxmlformats.org/officeDocument/2006/relationships/hyperlink" Target="http://paperpile.com/b/nojX1q/naicS" TargetMode="External"/><Relationship Id="rId176" Type="http://schemas.openxmlformats.org/officeDocument/2006/relationships/hyperlink" Target="http://paperpile.com/b/nojX1q/aVNn" TargetMode="External"/><Relationship Id="rId197" Type="http://schemas.openxmlformats.org/officeDocument/2006/relationships/hyperlink" Target="http://paperpile.com/b/nojX1q/YZZi" TargetMode="External"/><Relationship Id="rId201" Type="http://schemas.openxmlformats.org/officeDocument/2006/relationships/hyperlink" Target="http://paperpile.com/b/nojX1q/NK0D" TargetMode="External"/><Relationship Id="rId222" Type="http://schemas.openxmlformats.org/officeDocument/2006/relationships/hyperlink" Target="http://paperpile.com/b/nojX1q/xy8f" TargetMode="External"/><Relationship Id="rId243" Type="http://schemas.openxmlformats.org/officeDocument/2006/relationships/hyperlink" Target="http://paperpile.com/b/nojX1q/al6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9484</Words>
  <Characters>54060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Rayner, Christopher</dc:creator>
  <cp:lastModifiedBy>Rayner, Christopher</cp:lastModifiedBy>
  <cp:revision>4</cp:revision>
  <dcterms:created xsi:type="dcterms:W3CDTF">2018-12-03T15:02:00Z</dcterms:created>
  <dcterms:modified xsi:type="dcterms:W3CDTF">2018-12-03T16:23:00Z</dcterms:modified>
</cp:coreProperties>
</file>