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B8E13" w14:textId="2DFAC86A" w:rsidR="00C352A2" w:rsidRPr="00C3521D" w:rsidRDefault="00587EDC" w:rsidP="00335D87">
      <w:pPr>
        <w:pStyle w:val="Heading1"/>
        <w:spacing w:after="120" w:line="240" w:lineRule="auto"/>
        <w:rPr>
          <w:rFonts w:cs="Times New Roman"/>
        </w:rPr>
      </w:pPr>
      <w:r w:rsidRPr="00C3521D">
        <w:rPr>
          <w:rFonts w:cs="Times New Roman"/>
        </w:rPr>
        <w:t xml:space="preserve">Brief </w:t>
      </w:r>
      <w:r w:rsidR="007D40C5" w:rsidRPr="00C3521D">
        <w:rPr>
          <w:rFonts w:cs="Times New Roman"/>
        </w:rPr>
        <w:t xml:space="preserve">title: </w:t>
      </w:r>
      <w:r w:rsidRPr="00C3521D">
        <w:rPr>
          <w:rFonts w:cs="Times New Roman"/>
        </w:rPr>
        <w:t xml:space="preserve">Pre-hospital </w:t>
      </w:r>
      <w:r w:rsidR="004C16ED" w:rsidRPr="00C3521D">
        <w:rPr>
          <w:rFonts w:cs="Times New Roman"/>
        </w:rPr>
        <w:t xml:space="preserve">diagnosis </w:t>
      </w:r>
      <w:r w:rsidR="00364ECC" w:rsidRPr="00C3521D">
        <w:rPr>
          <w:rFonts w:cs="Times New Roman"/>
        </w:rPr>
        <w:t xml:space="preserve">of AMI with </w:t>
      </w:r>
      <w:r w:rsidR="007D40C5" w:rsidRPr="00C3521D">
        <w:rPr>
          <w:rFonts w:cs="Times New Roman"/>
        </w:rPr>
        <w:t>cMyC</w:t>
      </w:r>
    </w:p>
    <w:p w14:paraId="20A63590" w14:textId="6655E53C" w:rsidR="00C352A2" w:rsidRPr="00575147" w:rsidRDefault="00C352A2" w:rsidP="008E646C">
      <w:pPr>
        <w:pStyle w:val="Title"/>
        <w:spacing w:after="120" w:afterAutospacing="0"/>
        <w:rPr>
          <w:rFonts w:cs="Times New Roman"/>
          <w:strike/>
        </w:rPr>
      </w:pPr>
      <w:r w:rsidRPr="00C3521D">
        <w:rPr>
          <w:rFonts w:cs="Times New Roman"/>
        </w:rPr>
        <w:t xml:space="preserve">Cardiac Myosin-Binding Protein C </w:t>
      </w:r>
      <w:r w:rsidR="00313F3E">
        <w:rPr>
          <w:rFonts w:cs="Times New Roman"/>
        </w:rPr>
        <w:t xml:space="preserve">to diagnose </w:t>
      </w:r>
      <w:r w:rsidR="00876D99">
        <w:rPr>
          <w:rFonts w:cs="Times New Roman"/>
        </w:rPr>
        <w:t xml:space="preserve">Acute Myocardial Infarction </w:t>
      </w:r>
      <w:r w:rsidRPr="00C3521D">
        <w:rPr>
          <w:rFonts w:cs="Times New Roman"/>
        </w:rPr>
        <w:t>in the pre-hospital setting</w:t>
      </w:r>
    </w:p>
    <w:p w14:paraId="236193CE" w14:textId="1723C6C5" w:rsidR="001A0561" w:rsidRPr="00C3521D" w:rsidRDefault="001A0561" w:rsidP="008E646C">
      <w:pPr>
        <w:spacing w:after="120"/>
        <w:rPr>
          <w:rFonts w:cs="Times New Roman"/>
        </w:rPr>
      </w:pPr>
      <w:r w:rsidRPr="00C3521D">
        <w:rPr>
          <w:rFonts w:cs="Times New Roman"/>
        </w:rPr>
        <w:t>*</w:t>
      </w:r>
      <w:r w:rsidR="00020DC8" w:rsidRPr="00C3521D">
        <w:rPr>
          <w:rFonts w:cs="Times New Roman"/>
        </w:rPr>
        <w:t>Thomas E Ka</w:t>
      </w:r>
      <w:r w:rsidR="0075538A" w:rsidRPr="00C3521D">
        <w:rPr>
          <w:rFonts w:cs="Times New Roman"/>
        </w:rPr>
        <w:t>ier</w:t>
      </w:r>
      <w:r w:rsidR="00020DC8" w:rsidRPr="00C3521D">
        <w:rPr>
          <w:rFonts w:cs="Times New Roman"/>
        </w:rPr>
        <w:t xml:space="preserve"> MD, </w:t>
      </w:r>
      <w:r w:rsidR="008B62DA" w:rsidRPr="00C3521D">
        <w:rPr>
          <w:rFonts w:cs="Times New Roman"/>
        </w:rPr>
        <w:t>MBA</w:t>
      </w:r>
      <w:r w:rsidR="006C0AE3">
        <w:rPr>
          <w:rFonts w:cs="Times New Roman"/>
        </w:rPr>
        <w:t xml:space="preserve">, </w:t>
      </w:r>
      <w:proofErr w:type="spellStart"/>
      <w:r w:rsidR="006C0AE3">
        <w:rPr>
          <w:rFonts w:cs="Times New Roman"/>
        </w:rPr>
        <w:t>PhD</w:t>
      </w:r>
      <w:r w:rsidR="008B62DA" w:rsidRPr="00C3521D">
        <w:rPr>
          <w:rFonts w:cs="Times New Roman"/>
          <w:vertAlign w:val="superscript"/>
        </w:rPr>
        <w:t>a</w:t>
      </w:r>
      <w:proofErr w:type="spellEnd"/>
      <w:r w:rsidR="00020DC8" w:rsidRPr="00C3521D">
        <w:rPr>
          <w:rFonts w:cs="Times New Roman"/>
        </w:rPr>
        <w:t xml:space="preserve">; </w:t>
      </w:r>
      <w:r w:rsidRPr="00C3521D">
        <w:rPr>
          <w:rFonts w:cs="Times New Roman"/>
        </w:rPr>
        <w:t>*</w:t>
      </w:r>
      <w:r w:rsidR="00020DC8" w:rsidRPr="00C3521D">
        <w:rPr>
          <w:rFonts w:cs="Times New Roman"/>
        </w:rPr>
        <w:t xml:space="preserve">Carsten Stengaard </w:t>
      </w:r>
      <w:proofErr w:type="spellStart"/>
      <w:r w:rsidR="008B62DA" w:rsidRPr="00C3521D">
        <w:rPr>
          <w:rFonts w:cs="Times New Roman"/>
        </w:rPr>
        <w:t>MD</w:t>
      </w:r>
      <w:r w:rsidR="008B62DA" w:rsidRPr="00C3521D">
        <w:rPr>
          <w:rFonts w:cs="Times New Roman"/>
          <w:vertAlign w:val="superscript"/>
        </w:rPr>
        <w:t>b</w:t>
      </w:r>
      <w:proofErr w:type="spellEnd"/>
      <w:r w:rsidR="0075538A" w:rsidRPr="00C3521D">
        <w:rPr>
          <w:rFonts w:cs="Times New Roman"/>
        </w:rPr>
        <w:t xml:space="preserve">; </w:t>
      </w:r>
      <w:r w:rsidR="00A54016" w:rsidRPr="00C3521D">
        <w:rPr>
          <w:rFonts w:eastAsia="Calibri" w:cs="Times New Roman"/>
        </w:rPr>
        <w:t xml:space="preserve">Jack Marjot MBBS </w:t>
      </w:r>
      <w:proofErr w:type="spellStart"/>
      <w:r w:rsidR="00A54016" w:rsidRPr="00C3521D">
        <w:rPr>
          <w:rFonts w:eastAsia="Calibri" w:cs="Times New Roman"/>
        </w:rPr>
        <w:t>BSc</w:t>
      </w:r>
      <w:r w:rsidR="008B62DA" w:rsidRPr="00C3521D">
        <w:rPr>
          <w:rFonts w:eastAsia="Calibri" w:cs="Times New Roman"/>
          <w:vertAlign w:val="superscript"/>
        </w:rPr>
        <w:t>a</w:t>
      </w:r>
      <w:proofErr w:type="spellEnd"/>
      <w:r w:rsidR="00A54016" w:rsidRPr="00C3521D">
        <w:rPr>
          <w:rFonts w:eastAsia="Calibri" w:cs="Times New Roman"/>
        </w:rPr>
        <w:t>;</w:t>
      </w:r>
      <w:r w:rsidR="00A54016" w:rsidRPr="00C3521D">
        <w:rPr>
          <w:rFonts w:cs="Times New Roman"/>
        </w:rPr>
        <w:t xml:space="preserve"> </w:t>
      </w:r>
      <w:r w:rsidR="0075538A" w:rsidRPr="00C3521D">
        <w:rPr>
          <w:rFonts w:cs="Times New Roman"/>
        </w:rPr>
        <w:t xml:space="preserve">Jacob Thorsted Sørensen </w:t>
      </w:r>
      <w:r w:rsidR="00020DC8" w:rsidRPr="00C3521D">
        <w:rPr>
          <w:rFonts w:cs="Times New Roman"/>
        </w:rPr>
        <w:t xml:space="preserve">MD, </w:t>
      </w:r>
      <w:proofErr w:type="spellStart"/>
      <w:r w:rsidR="008B62DA" w:rsidRPr="00C3521D">
        <w:rPr>
          <w:rFonts w:cs="Times New Roman"/>
        </w:rPr>
        <w:t>PhD</w:t>
      </w:r>
      <w:r w:rsidR="008B62DA" w:rsidRPr="00C3521D">
        <w:rPr>
          <w:rFonts w:cs="Times New Roman"/>
          <w:vertAlign w:val="superscript"/>
        </w:rPr>
        <w:t>b</w:t>
      </w:r>
      <w:proofErr w:type="spellEnd"/>
      <w:r w:rsidR="0075538A" w:rsidRPr="00C3521D">
        <w:rPr>
          <w:rFonts w:cs="Times New Roman"/>
        </w:rPr>
        <w:t>;</w:t>
      </w:r>
      <w:r w:rsidR="00B80FCB" w:rsidRPr="00C3521D">
        <w:rPr>
          <w:rFonts w:cs="Times New Roman"/>
        </w:rPr>
        <w:t xml:space="preserve"> </w:t>
      </w:r>
      <w:r w:rsidR="00313F3E">
        <w:rPr>
          <w:rFonts w:cs="Times New Roman"/>
        </w:rPr>
        <w:t>Bashir Alaour</w:t>
      </w:r>
      <w:r w:rsidR="00C2084F">
        <w:rPr>
          <w:rFonts w:cs="Times New Roman"/>
        </w:rPr>
        <w:t xml:space="preserve"> </w:t>
      </w:r>
      <w:proofErr w:type="spellStart"/>
      <w:r w:rsidR="00C2084F">
        <w:rPr>
          <w:rFonts w:cs="Times New Roman"/>
        </w:rPr>
        <w:t>MD</w:t>
      </w:r>
      <w:r w:rsidR="00313F3E" w:rsidRPr="00C3521D">
        <w:rPr>
          <w:rFonts w:cs="Times New Roman"/>
          <w:vertAlign w:val="superscript"/>
        </w:rPr>
        <w:t>a</w:t>
      </w:r>
      <w:proofErr w:type="spellEnd"/>
      <w:r w:rsidR="00313F3E">
        <w:rPr>
          <w:rFonts w:cs="Times New Roman"/>
        </w:rPr>
        <w:t xml:space="preserve">, </w:t>
      </w:r>
      <w:proofErr w:type="spellStart"/>
      <w:r w:rsidR="001B343C" w:rsidRPr="00C3521D">
        <w:rPr>
          <w:rFonts w:cs="Times New Roman"/>
        </w:rPr>
        <w:t>Stavrou</w:t>
      </w:r>
      <w:r w:rsidR="00CF314B" w:rsidRPr="00C3521D">
        <w:rPr>
          <w:rFonts w:cs="Times New Roman"/>
        </w:rPr>
        <w:t>la</w:t>
      </w:r>
      <w:proofErr w:type="spellEnd"/>
      <w:r w:rsidR="00CF314B" w:rsidRPr="00C3521D">
        <w:rPr>
          <w:rFonts w:cs="Times New Roman"/>
        </w:rPr>
        <w:t xml:space="preserve"> </w:t>
      </w:r>
      <w:proofErr w:type="spellStart"/>
      <w:r w:rsidR="00CF314B" w:rsidRPr="00C3521D">
        <w:rPr>
          <w:rFonts w:cs="Times New Roman"/>
        </w:rPr>
        <w:t>Stavropoulou-Tatla</w:t>
      </w:r>
      <w:proofErr w:type="spellEnd"/>
      <w:r w:rsidR="00584058">
        <w:rPr>
          <w:rFonts w:cs="Times New Roman"/>
        </w:rPr>
        <w:t xml:space="preserve"> </w:t>
      </w:r>
      <w:proofErr w:type="spellStart"/>
      <w:r w:rsidR="00584058">
        <w:rPr>
          <w:rFonts w:cs="Times New Roman"/>
        </w:rPr>
        <w:t>BSc</w:t>
      </w:r>
      <w:r w:rsidR="008B62DA" w:rsidRPr="00C3521D">
        <w:rPr>
          <w:rFonts w:cs="Times New Roman"/>
          <w:vertAlign w:val="superscript"/>
        </w:rPr>
        <w:t>a</w:t>
      </w:r>
      <w:proofErr w:type="spellEnd"/>
      <w:r w:rsidR="0075538A" w:rsidRPr="00C3521D">
        <w:rPr>
          <w:rFonts w:cs="Times New Roman"/>
        </w:rPr>
        <w:t>;</w:t>
      </w:r>
      <w:r w:rsidR="00020DC8" w:rsidRPr="00C3521D">
        <w:rPr>
          <w:rFonts w:cs="Times New Roman"/>
        </w:rPr>
        <w:t xml:space="preserve"> Christian </w:t>
      </w:r>
      <w:r w:rsidR="0075538A" w:rsidRPr="00C3521D">
        <w:rPr>
          <w:rFonts w:cs="Times New Roman"/>
        </w:rPr>
        <w:t xml:space="preserve">Juhl Terkelsen </w:t>
      </w:r>
      <w:r w:rsidR="00020DC8" w:rsidRPr="00C3521D">
        <w:rPr>
          <w:rFonts w:cs="Times New Roman"/>
        </w:rPr>
        <w:t xml:space="preserve">MD, </w:t>
      </w:r>
      <w:proofErr w:type="spellStart"/>
      <w:r w:rsidR="008B62DA" w:rsidRPr="00C3521D">
        <w:rPr>
          <w:rFonts w:cs="Times New Roman"/>
        </w:rPr>
        <w:t>DrMSc</w:t>
      </w:r>
      <w:r w:rsidR="008B62DA" w:rsidRPr="00C3521D">
        <w:rPr>
          <w:rFonts w:cs="Times New Roman"/>
          <w:vertAlign w:val="superscript"/>
        </w:rPr>
        <w:t>b</w:t>
      </w:r>
      <w:proofErr w:type="spellEnd"/>
      <w:r w:rsidRPr="00C3521D">
        <w:rPr>
          <w:rFonts w:cs="Times New Roman"/>
        </w:rPr>
        <w:t>;</w:t>
      </w:r>
      <w:r w:rsidR="00020DC8" w:rsidRPr="00C3521D">
        <w:rPr>
          <w:rFonts w:cs="Times New Roman"/>
        </w:rPr>
        <w:t xml:space="preserve"> </w:t>
      </w:r>
      <w:r w:rsidR="00A54016" w:rsidRPr="00C3521D">
        <w:rPr>
          <w:rFonts w:eastAsia="Calibri" w:cs="Times New Roman"/>
        </w:rPr>
        <w:t>Luke Williams MBBS</w:t>
      </w:r>
      <w:r w:rsidR="001F7C65" w:rsidRPr="00C3521D">
        <w:rPr>
          <w:rFonts w:eastAsia="Calibri" w:cs="Times New Roman"/>
        </w:rPr>
        <w:t xml:space="preserve"> </w:t>
      </w:r>
      <w:proofErr w:type="spellStart"/>
      <w:r w:rsidR="001F7C65" w:rsidRPr="00C3521D">
        <w:rPr>
          <w:rFonts w:eastAsia="Calibri" w:cs="Times New Roman"/>
        </w:rPr>
        <w:t>BSc</w:t>
      </w:r>
      <w:r w:rsidR="008B62DA" w:rsidRPr="00C3521D">
        <w:rPr>
          <w:rFonts w:eastAsia="Calibri" w:cs="Times New Roman"/>
          <w:vertAlign w:val="superscript"/>
        </w:rPr>
        <w:t>a</w:t>
      </w:r>
      <w:proofErr w:type="spellEnd"/>
      <w:r w:rsidR="00A54016" w:rsidRPr="00C3521D">
        <w:rPr>
          <w:rFonts w:eastAsia="Calibri" w:cs="Times New Roman"/>
        </w:rPr>
        <w:t>;</w:t>
      </w:r>
      <w:r w:rsidR="00A54016" w:rsidRPr="00C3521D">
        <w:rPr>
          <w:rFonts w:cs="Times New Roman"/>
        </w:rPr>
        <w:t xml:space="preserve"> </w:t>
      </w:r>
      <w:r w:rsidR="0075538A" w:rsidRPr="00C3521D">
        <w:rPr>
          <w:rFonts w:cs="Times New Roman"/>
        </w:rPr>
        <w:t>Kristian Thygesen</w:t>
      </w:r>
      <w:r w:rsidR="00020DC8" w:rsidRPr="00C3521D">
        <w:rPr>
          <w:rFonts w:cs="Times New Roman"/>
        </w:rPr>
        <w:t xml:space="preserve"> MD, </w:t>
      </w:r>
      <w:proofErr w:type="spellStart"/>
      <w:r w:rsidR="008B62DA" w:rsidRPr="00C3521D">
        <w:rPr>
          <w:rFonts w:cs="Times New Roman"/>
        </w:rPr>
        <w:t>DrMSc</w:t>
      </w:r>
      <w:r w:rsidR="008B62DA" w:rsidRPr="00C3521D">
        <w:rPr>
          <w:rFonts w:cs="Times New Roman"/>
          <w:vertAlign w:val="superscript"/>
        </w:rPr>
        <w:t>b</w:t>
      </w:r>
      <w:proofErr w:type="spellEnd"/>
      <w:r w:rsidRPr="00C3521D">
        <w:rPr>
          <w:rFonts w:cs="Times New Roman"/>
        </w:rPr>
        <w:t>;</w:t>
      </w:r>
      <w:r w:rsidR="00020DC8" w:rsidRPr="00C3521D">
        <w:rPr>
          <w:rFonts w:cs="Times New Roman"/>
        </w:rPr>
        <w:t xml:space="preserve"> </w:t>
      </w:r>
      <w:r w:rsidR="00782124">
        <w:rPr>
          <w:lang w:val="en-US"/>
        </w:rPr>
        <w:t>Ekkehard Weber</w:t>
      </w:r>
      <w:r w:rsidR="00782124" w:rsidRPr="001B5270">
        <w:rPr>
          <w:lang w:val="en-US"/>
        </w:rPr>
        <w:t xml:space="preserve"> </w:t>
      </w:r>
      <w:proofErr w:type="spellStart"/>
      <w:r w:rsidR="00782124" w:rsidRPr="001B5270">
        <w:rPr>
          <w:lang w:val="en-US"/>
        </w:rPr>
        <w:t>PhD</w:t>
      </w:r>
      <w:r w:rsidR="00782124" w:rsidRPr="00782124">
        <w:rPr>
          <w:vertAlign w:val="superscript"/>
          <w:lang w:val="en-US"/>
        </w:rPr>
        <w:t>c</w:t>
      </w:r>
      <w:proofErr w:type="spellEnd"/>
      <w:r w:rsidR="00782124">
        <w:rPr>
          <w:rFonts w:eastAsia="Calibri" w:cs="Times New Roman"/>
        </w:rPr>
        <w:t xml:space="preserve">; </w:t>
      </w:r>
      <w:r w:rsidR="00020DC8" w:rsidRPr="00C3521D">
        <w:rPr>
          <w:rFonts w:eastAsia="Calibri" w:cs="Times New Roman"/>
        </w:rPr>
        <w:t>Michael</w:t>
      </w:r>
      <w:r w:rsidR="00020DC8" w:rsidRPr="00C3521D">
        <w:rPr>
          <w:rFonts w:cs="Times New Roman"/>
        </w:rPr>
        <w:t xml:space="preserve"> </w:t>
      </w:r>
      <w:r w:rsidR="00020DC8" w:rsidRPr="00C3521D">
        <w:rPr>
          <w:rFonts w:eastAsia="Calibri" w:cs="Times New Roman"/>
        </w:rPr>
        <w:t>Marber</w:t>
      </w:r>
      <w:r w:rsidR="000E70AD" w:rsidRPr="00C3521D">
        <w:rPr>
          <w:rFonts w:eastAsia="Calibri" w:cs="Times New Roman"/>
        </w:rPr>
        <w:t xml:space="preserve"> MBB</w:t>
      </w:r>
      <w:r w:rsidR="0075538A" w:rsidRPr="00C3521D">
        <w:rPr>
          <w:rFonts w:eastAsia="Calibri" w:cs="Times New Roman"/>
        </w:rPr>
        <w:t xml:space="preserve">S, </w:t>
      </w:r>
      <w:proofErr w:type="spellStart"/>
      <w:r w:rsidR="008B62DA" w:rsidRPr="00C3521D">
        <w:rPr>
          <w:rFonts w:eastAsia="Calibri" w:cs="Times New Roman"/>
        </w:rPr>
        <w:t>PhD</w:t>
      </w:r>
      <w:r w:rsidR="008B62DA" w:rsidRPr="00C3521D">
        <w:rPr>
          <w:rFonts w:eastAsia="Calibri" w:cs="Times New Roman"/>
          <w:vertAlign w:val="superscript"/>
        </w:rPr>
        <w:t>a</w:t>
      </w:r>
      <w:proofErr w:type="spellEnd"/>
      <w:r w:rsidR="0075538A" w:rsidRPr="00C3521D">
        <w:rPr>
          <w:rFonts w:eastAsia="Calibri" w:cs="Times New Roman"/>
          <w:vertAlign w:val="superscript"/>
        </w:rPr>
        <w:t>#</w:t>
      </w:r>
      <w:r w:rsidRPr="00C3521D">
        <w:rPr>
          <w:rFonts w:cs="Times New Roman"/>
        </w:rPr>
        <w:t>;</w:t>
      </w:r>
      <w:r w:rsidR="00020DC8" w:rsidRPr="00C3521D">
        <w:rPr>
          <w:rFonts w:cs="Times New Roman"/>
        </w:rPr>
        <w:t xml:space="preserve"> Hans</w:t>
      </w:r>
      <w:r w:rsidR="004C16ED" w:rsidRPr="00C3521D">
        <w:rPr>
          <w:rFonts w:cs="Times New Roman"/>
        </w:rPr>
        <w:t xml:space="preserve"> </w:t>
      </w:r>
      <w:r w:rsidR="00020DC8" w:rsidRPr="00C3521D">
        <w:rPr>
          <w:rFonts w:cs="Times New Roman"/>
        </w:rPr>
        <w:t>Erik Bøtker</w:t>
      </w:r>
      <w:r w:rsidR="0075538A" w:rsidRPr="00C3521D">
        <w:rPr>
          <w:rFonts w:cs="Times New Roman"/>
        </w:rPr>
        <w:t xml:space="preserve"> MD,</w:t>
      </w:r>
      <w:r w:rsidR="00020DC8" w:rsidRPr="00C3521D">
        <w:rPr>
          <w:rFonts w:cs="Times New Roman"/>
        </w:rPr>
        <w:t xml:space="preserve"> </w:t>
      </w:r>
      <w:proofErr w:type="spellStart"/>
      <w:r w:rsidR="008B62DA" w:rsidRPr="00C3521D">
        <w:rPr>
          <w:rFonts w:cs="Times New Roman"/>
        </w:rPr>
        <w:t>PhD</w:t>
      </w:r>
      <w:r w:rsidR="008B62DA" w:rsidRPr="00C3521D">
        <w:rPr>
          <w:rFonts w:cs="Times New Roman"/>
          <w:vertAlign w:val="superscript"/>
        </w:rPr>
        <w:t>b</w:t>
      </w:r>
      <w:proofErr w:type="spellEnd"/>
      <w:r w:rsidR="0075538A" w:rsidRPr="00C3521D">
        <w:rPr>
          <w:rFonts w:cs="Times New Roman"/>
          <w:vertAlign w:val="superscript"/>
        </w:rPr>
        <w:t>#</w:t>
      </w:r>
      <w:r w:rsidRPr="00C3521D">
        <w:rPr>
          <w:rFonts w:cs="Times New Roman"/>
        </w:rPr>
        <w:t>;</w:t>
      </w:r>
    </w:p>
    <w:p w14:paraId="71700C0B" w14:textId="77777777" w:rsidR="001A0561" w:rsidRPr="00C3521D" w:rsidRDefault="001A0561" w:rsidP="008E646C">
      <w:pPr>
        <w:spacing w:after="120"/>
        <w:rPr>
          <w:rFonts w:cs="Times New Roman"/>
          <w:bCs/>
          <w:sz w:val="20"/>
          <w:szCs w:val="20"/>
        </w:rPr>
      </w:pPr>
      <w:r w:rsidRPr="00C3521D">
        <w:rPr>
          <w:rFonts w:cs="Times New Roman"/>
          <w:sz w:val="20"/>
          <w:szCs w:val="20"/>
        </w:rPr>
        <w:t xml:space="preserve">* </w:t>
      </w:r>
      <w:r w:rsidRPr="00C3521D">
        <w:rPr>
          <w:rFonts w:cs="Times New Roman"/>
          <w:bCs/>
          <w:sz w:val="20"/>
          <w:szCs w:val="20"/>
        </w:rPr>
        <w:t>Both authors have contributed equally and should be considered first author</w:t>
      </w:r>
      <w:r w:rsidR="0075538A" w:rsidRPr="00C3521D">
        <w:rPr>
          <w:rFonts w:cs="Times New Roman"/>
          <w:bCs/>
          <w:sz w:val="20"/>
          <w:szCs w:val="20"/>
        </w:rPr>
        <w:t xml:space="preserve">; </w:t>
      </w:r>
      <w:r w:rsidR="0075538A" w:rsidRPr="00C3521D">
        <w:rPr>
          <w:rFonts w:cs="Times New Roman"/>
          <w:bCs/>
          <w:sz w:val="20"/>
          <w:szCs w:val="20"/>
          <w:vertAlign w:val="superscript"/>
        </w:rPr>
        <w:t xml:space="preserve"># </w:t>
      </w:r>
      <w:r w:rsidR="0075538A" w:rsidRPr="00C3521D">
        <w:rPr>
          <w:rFonts w:cs="Times New Roman"/>
          <w:bCs/>
          <w:sz w:val="20"/>
          <w:szCs w:val="20"/>
        </w:rPr>
        <w:t>Both research groups have contributed equally</w:t>
      </w:r>
    </w:p>
    <w:p w14:paraId="728AE366" w14:textId="3D3D7040" w:rsidR="001A0561" w:rsidRPr="00C3521D" w:rsidRDefault="00335D87" w:rsidP="00782124">
      <w:r w:rsidRPr="00C3521D">
        <w:rPr>
          <w:vertAlign w:val="superscript"/>
        </w:rPr>
        <w:t>a</w:t>
      </w:r>
      <w:r w:rsidR="0075538A" w:rsidRPr="00C3521D">
        <w:t xml:space="preserve"> </w:t>
      </w:r>
      <w:r w:rsidR="001A0561" w:rsidRPr="00C3521D">
        <w:t xml:space="preserve">King’s College London BHF Centre, The Rayne Institute, </w:t>
      </w:r>
      <w:r w:rsidR="00467481" w:rsidRPr="00C3521D">
        <w:t>St Thomas’ Hospital, London, UK</w:t>
      </w:r>
    </w:p>
    <w:p w14:paraId="5542C55A" w14:textId="23D8BADF" w:rsidR="001A0561" w:rsidRPr="00782124" w:rsidRDefault="00335D87" w:rsidP="00782124">
      <w:pPr>
        <w:rPr>
          <w:rFonts w:eastAsia="MS Mincho"/>
        </w:rPr>
      </w:pPr>
      <w:r w:rsidRPr="00782124">
        <w:rPr>
          <w:vertAlign w:val="superscript"/>
        </w:rPr>
        <w:t>b</w:t>
      </w:r>
      <w:r w:rsidR="0075538A" w:rsidRPr="00782124">
        <w:t xml:space="preserve"> Department of Cardiology, Aarhus University Hospital, </w:t>
      </w:r>
      <w:r w:rsidR="0020150D" w:rsidRPr="00782124">
        <w:t>Aarhus</w:t>
      </w:r>
      <w:r w:rsidR="0075538A" w:rsidRPr="00782124">
        <w:t>, Denmark</w:t>
      </w:r>
      <w:r w:rsidR="0075538A" w:rsidRPr="00782124">
        <w:rPr>
          <w:rFonts w:ascii="MS Mincho" w:eastAsia="MS Mincho" w:hAnsi="MS Mincho" w:cs="MS Mincho" w:hint="eastAsia"/>
        </w:rPr>
        <w:t> </w:t>
      </w:r>
    </w:p>
    <w:p w14:paraId="4C85D56D" w14:textId="692DE420" w:rsidR="00782124" w:rsidRDefault="00782124" w:rsidP="00782124">
      <w:pPr>
        <w:rPr>
          <w:lang w:val="en-US"/>
        </w:rPr>
      </w:pPr>
      <w:r w:rsidRPr="00782124">
        <w:rPr>
          <w:rFonts w:eastAsia="MS Mincho"/>
          <w:vertAlign w:val="superscript"/>
        </w:rPr>
        <w:t>c</w:t>
      </w:r>
      <w:r w:rsidRPr="00782124">
        <w:rPr>
          <w:rFonts w:eastAsia="MS Mincho"/>
        </w:rPr>
        <w:t xml:space="preserve"> </w:t>
      </w:r>
      <w:r w:rsidRPr="00211C08">
        <w:rPr>
          <w:lang w:val="en-US"/>
        </w:rPr>
        <w:t>Institute of Physiological Chemistry, Martin Luther University Halle-Wittenberg, Halle, German</w:t>
      </w:r>
      <w:r>
        <w:rPr>
          <w:lang w:val="en-US"/>
        </w:rPr>
        <w:t>y</w:t>
      </w:r>
    </w:p>
    <w:p w14:paraId="391A97D8" w14:textId="2E3898C3" w:rsidR="005C31E7" w:rsidRPr="00C3521D" w:rsidRDefault="005C31E7" w:rsidP="00782124">
      <w:r w:rsidRPr="00C3521D">
        <w:rPr>
          <w:b/>
        </w:rPr>
        <w:t>Word count:</w:t>
      </w:r>
      <w:r w:rsidRPr="00C3521D">
        <w:t xml:space="preserve">  </w:t>
      </w:r>
      <w:r w:rsidR="00170F06">
        <w:t>5,859</w:t>
      </w:r>
      <w:r w:rsidR="00002273">
        <w:t xml:space="preserve"> </w:t>
      </w:r>
      <w:r w:rsidRPr="00C3521D">
        <w:t>(</w:t>
      </w:r>
      <w:r w:rsidR="00754C65" w:rsidRPr="00754C65">
        <w:t xml:space="preserve">including </w:t>
      </w:r>
      <w:r w:rsidR="00170F06">
        <w:t xml:space="preserve">title page, </w:t>
      </w:r>
      <w:r w:rsidR="00754C65" w:rsidRPr="00754C65">
        <w:t xml:space="preserve">abstract, </w:t>
      </w:r>
      <w:r w:rsidR="00170F06">
        <w:t xml:space="preserve">text, references, </w:t>
      </w:r>
      <w:r w:rsidR="00754C65" w:rsidRPr="00754C65">
        <w:t xml:space="preserve">tables, figures, </w:t>
      </w:r>
      <w:r w:rsidR="00170F06">
        <w:t xml:space="preserve">and </w:t>
      </w:r>
      <w:r w:rsidR="00754C65" w:rsidRPr="00754C65">
        <w:t>acknowledgments</w:t>
      </w:r>
      <w:r w:rsidRPr="00C3521D">
        <w:t>)</w:t>
      </w:r>
    </w:p>
    <w:p w14:paraId="7D99ECED" w14:textId="77777777" w:rsidR="001A0561" w:rsidRPr="00C3521D" w:rsidRDefault="001A0561" w:rsidP="008E646C">
      <w:pPr>
        <w:pStyle w:val="Heading3"/>
        <w:rPr>
          <w:rFonts w:cs="Times New Roman"/>
        </w:rPr>
      </w:pPr>
      <w:r w:rsidRPr="00C3521D">
        <w:rPr>
          <w:rFonts w:cs="Times New Roman"/>
        </w:rPr>
        <w:t xml:space="preserve">Corresponding author: </w:t>
      </w:r>
    </w:p>
    <w:p w14:paraId="15233B22" w14:textId="206ADD22" w:rsidR="001A0561" w:rsidRPr="00C3521D" w:rsidRDefault="001A0561" w:rsidP="008E646C">
      <w:pPr>
        <w:spacing w:after="120"/>
        <w:rPr>
          <w:rStyle w:val="Hyperlink"/>
          <w:rFonts w:cs="Times New Roman"/>
          <w:bCs/>
        </w:rPr>
      </w:pPr>
      <w:r w:rsidRPr="00C3521D">
        <w:rPr>
          <w:rFonts w:cs="Times New Roman"/>
        </w:rPr>
        <w:t xml:space="preserve">Professor Michael Marber, The Rayne Institute, 4th Floor Lambeth Wing, St Thomas’ Hospital, Westminster Bridge Road, London SE1 7EH, UK; Tel: +44-(0)20-7188 1008, Fax: +44-(0)20-7188 0970. email: </w:t>
      </w:r>
      <w:hyperlink r:id="rId8" w:history="1">
        <w:r w:rsidRPr="00C3521D">
          <w:rPr>
            <w:rStyle w:val="Hyperlink"/>
            <w:rFonts w:cs="Times New Roman"/>
            <w:bCs/>
          </w:rPr>
          <w:t>mike.marber@kcl.ac.uk</w:t>
        </w:r>
      </w:hyperlink>
    </w:p>
    <w:p w14:paraId="2792D949" w14:textId="77777777" w:rsidR="005344E9" w:rsidRDefault="005344E9">
      <w:pPr>
        <w:widowControl/>
        <w:autoSpaceDE/>
        <w:autoSpaceDN/>
        <w:adjustRightInd/>
        <w:spacing w:line="240" w:lineRule="auto"/>
        <w:jc w:val="left"/>
        <w:rPr>
          <w:b/>
          <w:sz w:val="28"/>
          <w:szCs w:val="28"/>
        </w:rPr>
      </w:pPr>
      <w:r>
        <w:br w:type="page"/>
      </w:r>
    </w:p>
    <w:p w14:paraId="1D3EAE7C" w14:textId="27A8C23E" w:rsidR="006000EA" w:rsidRPr="00C3521D" w:rsidRDefault="00AE6031" w:rsidP="008E646C">
      <w:pPr>
        <w:pStyle w:val="Heading2"/>
      </w:pPr>
      <w:r>
        <w:lastRenderedPageBreak/>
        <w:t>Abstract</w:t>
      </w:r>
      <w:r w:rsidR="00AA4577">
        <w:t xml:space="preserve"> (350 words max)</w:t>
      </w:r>
    </w:p>
    <w:p w14:paraId="4A94658E" w14:textId="61FE71AD" w:rsidR="00EA3EAD" w:rsidRDefault="00282B4E" w:rsidP="00EA3EAD">
      <w:r>
        <w:rPr>
          <w:rStyle w:val="Heading3Char"/>
        </w:rPr>
        <w:t>Background</w:t>
      </w:r>
      <w:r w:rsidR="00EA3EAD">
        <w:t xml:space="preserve">: </w:t>
      </w:r>
      <w:r w:rsidR="00670BE5" w:rsidRPr="00C3521D">
        <w:t>Early triage is essential to improve outcome in patients with suspected Acute Myocardial Infarction (AMI).</w:t>
      </w:r>
      <w:r>
        <w:t xml:space="preserve"> </w:t>
      </w:r>
      <w:r w:rsidR="00670BE5" w:rsidRPr="00C3521D">
        <w:t>This study investigated whether cardiac myosin-binding protein C (cMyC), a novel biomarker of myocardial necrosis, can aid early diagnosis of AMI and risk stratification.</w:t>
      </w:r>
    </w:p>
    <w:p w14:paraId="45131818" w14:textId="435EE9BA" w:rsidR="00EA3EAD" w:rsidRDefault="00282B4E" w:rsidP="00282B4E">
      <w:r>
        <w:rPr>
          <w:rStyle w:val="Heading3Char"/>
        </w:rPr>
        <w:t>Methods</w:t>
      </w:r>
      <w:r w:rsidR="006C0AE3">
        <w:rPr>
          <w:rStyle w:val="Heading3Char"/>
        </w:rPr>
        <w:t xml:space="preserve"> and Results</w:t>
      </w:r>
      <w:r w:rsidR="00EA3EAD">
        <w:t xml:space="preserve">: </w:t>
      </w:r>
      <w:r w:rsidR="00670BE5">
        <w:t xml:space="preserve">cMyC </w:t>
      </w:r>
      <w:r w:rsidR="004658A1">
        <w:t xml:space="preserve">and hs-cTnT </w:t>
      </w:r>
      <w:r w:rsidR="00670BE5">
        <w:t xml:space="preserve">were </w:t>
      </w:r>
      <w:r w:rsidR="004658A1">
        <w:t xml:space="preserve">retrospectively </w:t>
      </w:r>
      <w:r w:rsidR="00670BE5">
        <w:t>quantified in blood samples obtained by ambulance-based paramedics in a prospective, diagnostic cohort study.</w:t>
      </w:r>
      <w:r>
        <w:t xml:space="preserve"> </w:t>
      </w:r>
      <w:r w:rsidR="00B833E9">
        <w:t>Patients with ongoing or prolonged periods of chest discomfort, acute dyspnoea in the absence of known pulmonary disease</w:t>
      </w:r>
      <w:r w:rsidR="00AE6031">
        <w:t>, or clinical suspicion of AMI</w:t>
      </w:r>
      <w:r>
        <w:t xml:space="preserve"> were recruited</w:t>
      </w:r>
      <w:r w:rsidR="004658A1">
        <w:t>. D</w:t>
      </w:r>
      <w:r w:rsidR="00C150FF">
        <w:t>iscrimination</w:t>
      </w:r>
      <w:r w:rsidR="00D019C0">
        <w:t xml:space="preserve"> </w:t>
      </w:r>
      <w:r w:rsidR="00C150FF">
        <w:t>power</w:t>
      </w:r>
      <w:r w:rsidR="00D019C0">
        <w:t xml:space="preserve"> was evaluated by calculating the Area under the Receiver-operating characteristics curve; diagnostic performance was assessed </w:t>
      </w:r>
      <w:r>
        <w:t>at</w:t>
      </w:r>
      <w:r w:rsidR="00D019C0">
        <w:t xml:space="preserve"> pre-defined thresholds</w:t>
      </w:r>
      <w:r>
        <w:t>. Diagnostic nomograms were derived &amp; validated using bootstrap resampling in logistic regression model</w:t>
      </w:r>
      <w:r w:rsidR="004658A1">
        <w:t>s</w:t>
      </w:r>
      <w:r>
        <w:t>.</w:t>
      </w:r>
    </w:p>
    <w:p w14:paraId="1FC8AA16" w14:textId="5F8631EB" w:rsidR="00EA3EAD" w:rsidRDefault="00D019C0" w:rsidP="00EA3EAD">
      <w:r>
        <w:t>776 patients</w:t>
      </w:r>
      <w:r w:rsidR="00AE6031">
        <w:t xml:space="preserve"> with median age 68 [58;78]</w:t>
      </w:r>
      <w:r w:rsidR="004658A1">
        <w:t xml:space="preserve"> </w:t>
      </w:r>
      <w:r w:rsidR="00AE6031">
        <w:t xml:space="preserve">were recruited. AMI was the </w:t>
      </w:r>
      <w:r w:rsidR="002820B0">
        <w:t xml:space="preserve">final </w:t>
      </w:r>
      <w:r w:rsidR="00AE6031">
        <w:t xml:space="preserve">adjudicated diagnosis in 22%. </w:t>
      </w:r>
      <w:r w:rsidRPr="00C3521D">
        <w:t xml:space="preserve">Median </w:t>
      </w:r>
      <w:r w:rsidR="004658A1">
        <w:t xml:space="preserve">symptom to sampling </w:t>
      </w:r>
      <w:r w:rsidRPr="00C3521D">
        <w:t>time was 70 minutes. cMyC concentration in patients with AMI was significantly higher than with other diagnoses: 98 [43;855] vs 17 [9;42] ng/L. Discrimination power</w:t>
      </w:r>
      <w:r>
        <w:t xml:space="preserve"> for AMI was better with</w:t>
      </w:r>
      <w:r w:rsidRPr="00C3521D">
        <w:t xml:space="preserve"> cMyC </w:t>
      </w:r>
      <w:r>
        <w:t>than with hs-cTnT: AUC 0.839</w:t>
      </w:r>
      <w:r w:rsidRPr="00C3521D">
        <w:t xml:space="preserve"> vs 0.8</w:t>
      </w:r>
      <w:r>
        <w:t>13</w:t>
      </w:r>
      <w:r w:rsidRPr="00C3521D">
        <w:t xml:space="preserve"> </w:t>
      </w:r>
      <w:r w:rsidRPr="00C3521D">
        <w:rPr>
          <w:rFonts w:cs="Times New Roman"/>
        </w:rPr>
        <w:t>(p</w:t>
      </w:r>
      <w:r>
        <w:rPr>
          <w:rFonts w:cs="Times New Roman"/>
        </w:rPr>
        <w:t>=</w:t>
      </w:r>
      <w:r w:rsidRPr="00C3521D">
        <w:rPr>
          <w:rFonts w:cs="Times New Roman"/>
        </w:rPr>
        <w:t>0.00</w:t>
      </w:r>
      <w:r>
        <w:rPr>
          <w:rFonts w:cs="Times New Roman"/>
        </w:rPr>
        <w:t xml:space="preserve">5). At </w:t>
      </w:r>
      <w:r w:rsidR="00AE6031">
        <w:rPr>
          <w:rFonts w:cs="Times New Roman"/>
        </w:rPr>
        <w:t>a</w:t>
      </w:r>
      <w:r>
        <w:rPr>
          <w:rFonts w:cs="Times New Roman"/>
        </w:rPr>
        <w:t xml:space="preserve"> previously published rule-out threshold (10 ng/L), cMyC reaches 100% sensitivity and NPV in patients after 2 hours of symptoms. </w:t>
      </w:r>
      <w:r w:rsidR="00282B4E">
        <w:rPr>
          <w:rFonts w:cs="Times New Roman"/>
        </w:rPr>
        <w:t xml:space="preserve">In logistic regression analysis, cMyC </w:t>
      </w:r>
      <w:r w:rsidR="004658A1">
        <w:rPr>
          <w:rFonts w:cs="Times New Roman"/>
        </w:rPr>
        <w:t>is superior to hs-cTnT</w:t>
      </w:r>
      <w:r w:rsidR="00282B4E">
        <w:rPr>
          <w:rFonts w:cs="Times New Roman"/>
        </w:rPr>
        <w:t xml:space="preserve"> and was used to derive diagnostic and prognostic nomograms to evaluate risk of AMI and death.</w:t>
      </w:r>
    </w:p>
    <w:p w14:paraId="170D2112" w14:textId="4C4940CA" w:rsidR="006000EA" w:rsidRPr="00C3521D" w:rsidRDefault="00EA3EAD" w:rsidP="008E646C">
      <w:r w:rsidRPr="00670BE5">
        <w:rPr>
          <w:rStyle w:val="Heading3Char"/>
        </w:rPr>
        <w:t>Conclusions</w:t>
      </w:r>
      <w:r>
        <w:t xml:space="preserve">: </w:t>
      </w:r>
      <w:r w:rsidR="003B7F2E">
        <w:t xml:space="preserve">In </w:t>
      </w:r>
      <w:r w:rsidR="00AA4577">
        <w:t>patients undergoing blood draws very early after symptom onset,</w:t>
      </w:r>
      <w:r w:rsidR="003B7F2E">
        <w:t xml:space="preserve"> </w:t>
      </w:r>
      <w:r w:rsidR="00AE6031" w:rsidRPr="00C3521D">
        <w:t xml:space="preserve">cMyC </w:t>
      </w:r>
      <w:r w:rsidR="00AE6031">
        <w:t xml:space="preserve">demonstrates improved diagnostic discrimination </w:t>
      </w:r>
      <w:r w:rsidR="003B7F2E">
        <w:t>of AMI and</w:t>
      </w:r>
      <w:r w:rsidR="00AE6031" w:rsidRPr="00C3521D">
        <w:t xml:space="preserve"> could significantly improve the early triage of patients with suspected AMI.</w:t>
      </w:r>
    </w:p>
    <w:p w14:paraId="3F5D9B0C" w14:textId="77777777" w:rsidR="004C3D24" w:rsidRDefault="004C3D24">
      <w:pPr>
        <w:widowControl/>
        <w:autoSpaceDE/>
        <w:autoSpaceDN/>
        <w:adjustRightInd/>
        <w:spacing w:line="240" w:lineRule="auto"/>
        <w:jc w:val="left"/>
        <w:rPr>
          <w:b/>
        </w:rPr>
      </w:pPr>
      <w:r>
        <w:rPr>
          <w:b/>
        </w:rPr>
        <w:br w:type="page"/>
      </w:r>
    </w:p>
    <w:p w14:paraId="5EF12DE3" w14:textId="43C388A3" w:rsidR="005344E9" w:rsidRPr="00C61533" w:rsidRDefault="005C31E7" w:rsidP="00C61533">
      <w:r w:rsidRPr="00C3521D">
        <w:rPr>
          <w:b/>
        </w:rPr>
        <w:lastRenderedPageBreak/>
        <w:t>Keywords:</w:t>
      </w:r>
      <w:bookmarkStart w:id="0" w:name="OLE_LINK3"/>
      <w:bookmarkStart w:id="1" w:name="OLE_LINK4"/>
      <w:r w:rsidRPr="00C3521D">
        <w:t xml:space="preserve"> Cardiac myosin-binding protein C</w:t>
      </w:r>
      <w:bookmarkEnd w:id="0"/>
      <w:bookmarkEnd w:id="1"/>
      <w:r w:rsidR="002C336E">
        <w:t>;</w:t>
      </w:r>
      <w:r w:rsidRPr="00C3521D">
        <w:t xml:space="preserve"> </w:t>
      </w:r>
      <w:bookmarkStart w:id="2" w:name="OLE_LINK13"/>
      <w:bookmarkStart w:id="3" w:name="OLE_LINK14"/>
      <w:r w:rsidRPr="00C3521D">
        <w:t>cMyC</w:t>
      </w:r>
      <w:bookmarkEnd w:id="2"/>
      <w:bookmarkEnd w:id="3"/>
      <w:r w:rsidR="002C336E">
        <w:t>; Troponin T;</w:t>
      </w:r>
      <w:r w:rsidRPr="00C3521D">
        <w:t xml:space="preserve"> </w:t>
      </w:r>
      <w:bookmarkStart w:id="4" w:name="OLE_LINK23"/>
      <w:bookmarkStart w:id="5" w:name="OLE_LINK24"/>
      <w:r w:rsidRPr="00C3521D">
        <w:t>myocardial infarction</w:t>
      </w:r>
      <w:bookmarkEnd w:id="4"/>
      <w:bookmarkEnd w:id="5"/>
      <w:r w:rsidR="002C336E">
        <w:t>;</w:t>
      </w:r>
      <w:r w:rsidRPr="00C3521D">
        <w:t xml:space="preserve"> pre-hospital triage</w:t>
      </w:r>
    </w:p>
    <w:p w14:paraId="552CD445" w14:textId="77777777" w:rsidR="00BB2921" w:rsidRDefault="00BB2921">
      <w:pPr>
        <w:widowControl/>
        <w:autoSpaceDE/>
        <w:autoSpaceDN/>
        <w:adjustRightInd/>
        <w:spacing w:line="240" w:lineRule="auto"/>
        <w:jc w:val="left"/>
        <w:rPr>
          <w:rFonts w:cs="Times New Roman"/>
        </w:rPr>
      </w:pPr>
    </w:p>
    <w:p w14:paraId="70AAB0B4" w14:textId="77777777" w:rsidR="00BB2921" w:rsidRDefault="00BB2921" w:rsidP="00BB2921">
      <w:pPr>
        <w:pStyle w:val="Heading2"/>
      </w:pPr>
      <w:r>
        <w:t>Clinical Perspective</w:t>
      </w:r>
    </w:p>
    <w:p w14:paraId="5F49E638" w14:textId="77777777" w:rsidR="00BB2921" w:rsidRPr="007D2961" w:rsidRDefault="00BB2921" w:rsidP="00BB2921">
      <w:pPr>
        <w:rPr>
          <w:b/>
          <w:bCs/>
        </w:rPr>
      </w:pPr>
      <w:r w:rsidRPr="007D2961">
        <w:rPr>
          <w:b/>
          <w:bCs/>
        </w:rPr>
        <w:t>What is new?</w:t>
      </w:r>
    </w:p>
    <w:p w14:paraId="478EDC6F" w14:textId="77777777" w:rsidR="00BB2921" w:rsidRDefault="00BB2921" w:rsidP="00BB2921">
      <w:pPr>
        <w:pStyle w:val="ListParagraph"/>
        <w:numPr>
          <w:ilvl w:val="0"/>
          <w:numId w:val="8"/>
        </w:numPr>
      </w:pPr>
      <w:r>
        <w:t xml:space="preserve">In an observational, prospective diagnostic cohort study that included 776 individuals presenting with chest pain and suspected AMI, cMyC concentrations in blood draws obtained in the ambulance were significantly higher in patients with AMI than with other diagnoses. </w:t>
      </w:r>
    </w:p>
    <w:p w14:paraId="3111E3DD" w14:textId="4F3B8DCC" w:rsidR="00BB2921" w:rsidRDefault="00BB2921" w:rsidP="008D3278">
      <w:pPr>
        <w:pStyle w:val="ListParagraph"/>
        <w:numPr>
          <w:ilvl w:val="0"/>
          <w:numId w:val="8"/>
        </w:numPr>
      </w:pPr>
      <w:r>
        <w:t xml:space="preserve">Discrimination power was significantly better for cMyC than for hs-cTnT, and cMyC </w:t>
      </w:r>
      <w:r w:rsidR="004140BF">
        <w:t xml:space="preserve">at the previously published threshold of 10 ng/L for rule-out of AMI </w:t>
      </w:r>
      <w:r>
        <w:t xml:space="preserve">reached 100% sensitivity and NPV in patients with only 2 hours of symptoms. </w:t>
      </w:r>
    </w:p>
    <w:p w14:paraId="165F4FE2" w14:textId="77777777" w:rsidR="00BB2921" w:rsidRPr="007D2961" w:rsidRDefault="00BB2921" w:rsidP="00BB2921">
      <w:pPr>
        <w:rPr>
          <w:b/>
          <w:bCs/>
        </w:rPr>
      </w:pPr>
      <w:r w:rsidRPr="007D2961">
        <w:rPr>
          <w:b/>
          <w:bCs/>
        </w:rPr>
        <w:t>What are the clinical implications?</w:t>
      </w:r>
    </w:p>
    <w:p w14:paraId="21F2A310" w14:textId="77777777" w:rsidR="00BB2921" w:rsidRDefault="00BB2921" w:rsidP="00BB2921">
      <w:pPr>
        <w:pStyle w:val="ListParagraph"/>
        <w:numPr>
          <w:ilvl w:val="0"/>
          <w:numId w:val="9"/>
        </w:numPr>
      </w:pPr>
      <w:r>
        <w:t>cMyC could significantly improve the early triage of patients with suspected AMI.</w:t>
      </w:r>
    </w:p>
    <w:p w14:paraId="43FAF098" w14:textId="546AD823" w:rsidR="00BB2921" w:rsidRPr="00C9155B" w:rsidRDefault="00BB2921" w:rsidP="008D3278">
      <w:pPr>
        <w:pStyle w:val="ListParagraph"/>
        <w:numPr>
          <w:ilvl w:val="0"/>
          <w:numId w:val="9"/>
        </w:numPr>
      </w:pPr>
      <w:r>
        <w:t xml:space="preserve">We have developed a diagnostic nomogram, translating the combination of clinical risk factors and cMyC concentration into a personalised probability of AMI. </w:t>
      </w:r>
    </w:p>
    <w:p w14:paraId="12BDC025" w14:textId="611A9E03" w:rsidR="004C3D24" w:rsidRDefault="004C3D24">
      <w:pPr>
        <w:widowControl/>
        <w:autoSpaceDE/>
        <w:autoSpaceDN/>
        <w:adjustRightInd/>
        <w:spacing w:line="240" w:lineRule="auto"/>
        <w:jc w:val="left"/>
        <w:rPr>
          <w:rFonts w:cs="Times New Roman"/>
          <w:b/>
          <w:sz w:val="28"/>
          <w:szCs w:val="28"/>
        </w:rPr>
      </w:pPr>
      <w:r>
        <w:rPr>
          <w:rFonts w:cs="Times New Roman"/>
        </w:rPr>
        <w:br w:type="page"/>
      </w:r>
    </w:p>
    <w:p w14:paraId="218C8C9A" w14:textId="6C8DB09F" w:rsidR="00C352A2" w:rsidRPr="00C3521D" w:rsidRDefault="00C352A2" w:rsidP="00C352A2">
      <w:pPr>
        <w:pStyle w:val="Heading2"/>
        <w:rPr>
          <w:rFonts w:cs="Times New Roman"/>
        </w:rPr>
      </w:pPr>
      <w:r w:rsidRPr="00C3521D">
        <w:rPr>
          <w:rFonts w:cs="Times New Roman"/>
        </w:rPr>
        <w:lastRenderedPageBreak/>
        <w:t>Introduction</w:t>
      </w:r>
    </w:p>
    <w:p w14:paraId="05D0B0B0" w14:textId="2438DD21" w:rsidR="001A6F3A" w:rsidRDefault="00C352A2" w:rsidP="00C352A2">
      <w:pPr>
        <w:rPr>
          <w:rFonts w:cs="Times New Roman"/>
        </w:rPr>
      </w:pPr>
      <w:r w:rsidRPr="00C3521D">
        <w:rPr>
          <w:rFonts w:cs="Times New Roman"/>
        </w:rPr>
        <w:t xml:space="preserve">Rapid triage </w:t>
      </w:r>
      <w:r w:rsidR="000F32C2" w:rsidRPr="00C3521D">
        <w:rPr>
          <w:rFonts w:cs="Times New Roman"/>
        </w:rPr>
        <w:t xml:space="preserve">to </w:t>
      </w:r>
      <w:r w:rsidR="00A26AC5" w:rsidRPr="00C3521D">
        <w:rPr>
          <w:rFonts w:cs="Times New Roman"/>
        </w:rPr>
        <w:t xml:space="preserve">the </w:t>
      </w:r>
      <w:r w:rsidR="000F32C2" w:rsidRPr="00C3521D">
        <w:rPr>
          <w:rFonts w:cs="Times New Roman"/>
        </w:rPr>
        <w:t xml:space="preserve">appropriate </w:t>
      </w:r>
      <w:r w:rsidRPr="00C3521D">
        <w:rPr>
          <w:rFonts w:cs="Times New Roman"/>
        </w:rPr>
        <w:t xml:space="preserve">treatment </w:t>
      </w:r>
      <w:r w:rsidR="000F32C2" w:rsidRPr="00C3521D">
        <w:rPr>
          <w:rFonts w:cs="Times New Roman"/>
        </w:rPr>
        <w:t xml:space="preserve">is </w:t>
      </w:r>
      <w:r w:rsidRPr="00C3521D">
        <w:rPr>
          <w:rFonts w:cs="Times New Roman"/>
        </w:rPr>
        <w:t xml:space="preserve">the cornerstone </w:t>
      </w:r>
      <w:r w:rsidR="00EE5CCB" w:rsidRPr="00C3521D">
        <w:rPr>
          <w:rFonts w:cs="Times New Roman"/>
        </w:rPr>
        <w:t>of</w:t>
      </w:r>
      <w:r w:rsidR="000F32C2" w:rsidRPr="00C3521D">
        <w:rPr>
          <w:rFonts w:cs="Times New Roman"/>
        </w:rPr>
        <w:t xml:space="preserve"> </w:t>
      </w:r>
      <w:r w:rsidRPr="00C3521D">
        <w:rPr>
          <w:rFonts w:cs="Times New Roman"/>
        </w:rPr>
        <w:t xml:space="preserve">improving </w:t>
      </w:r>
      <w:r w:rsidR="002222C3" w:rsidRPr="00C3521D">
        <w:rPr>
          <w:rFonts w:cs="Times New Roman"/>
        </w:rPr>
        <w:t>outcome</w:t>
      </w:r>
      <w:r w:rsidRPr="00C3521D">
        <w:rPr>
          <w:rFonts w:cs="Times New Roman"/>
        </w:rPr>
        <w:t xml:space="preserve"> for patients presenting with suspected Acute Myocardial Infarction (AMI)</w:t>
      </w:r>
      <w:r w:rsidR="006C1420">
        <w:rPr>
          <w:rFonts w:cs="Times New Roman"/>
        </w:rPr>
        <w:t>.</w:t>
      </w:r>
      <w:r w:rsidR="00672DCD">
        <w:rPr>
          <w:rFonts w:cs="Times New Roman"/>
        </w:rPr>
        <w:fldChar w:fldCharType="begin" w:fldLock="1"/>
      </w:r>
      <w:r w:rsidR="00C57B6C">
        <w:rPr>
          <w:rFonts w:cs="Times New Roman"/>
        </w:rPr>
        <w:instrText>ADDIN CSL_CITATION {"citationItems":[{"id":"ITEM-1","itemData":{"DOI":"10.1093/eurheartj/ehv320","ISBN":"1522-9645 (Electronic)\\r0195-668X (Linking)","ISSN":"0195-668X","PMID":"26320110","abstract":"ACC\\n: American College of Cardiology\\nACCOAST\\n: Comparison of Prasugrel at the Time of Percutaneous Coronary Intervention or as Pretreatment at the Time of Diagnosis in Patients with Non-ST Elevation Myocardial Infarction\\nACE\\n: angiotensin-converting enzyme\\nACS\\n: acute coronary syndromes\\nACT\\n: activated clotting time\\nACTION\\n: Acute Coronary Treatment and Intervention Outcomes Network\\nACUITY\\n: Acute Catheterization and Urgent Intervention Triage strategY\\nADAPT-DES\\n: Assessment of Dual AntiPlatelet Therapy with Drug-Eluting Stents\\nADP\\n: adenosine diphosphate\\nAHA\\n: American Heart Association\\nAPPRAISE\\n: Apixaban for Prevention of Acute Ischaemic Events\\naPTT\\n: activated partial thromboplastin time\\nARB\\n: angiotensin receptor blocker\\nATLAS ACS 2-TIMI 51\\n: Anti-Xa Therapy to Lower Cardiovascular Events in Addition to Aspirin With or Without Thienopyridine Therapy in Subjects with Acute Coronary Syndrome–Thrombolysis in Myocardial Infarction 51\\nATP\\n: adenosine triphosphate\\nBARC\\n: Bleeding Academic Research Consortium\\nBMS\\n: bare-metal stent\\nCABG\\n: coronary artery bypass graft\\nCAD\\n: coronary artery disease\\nCHA2DS2-VASc\\n: Cardiac failure, Hypertension, Age ≥75 (2 points), Diabetes, Stroke (2 points)– Vascular disease, Age 65–74, Sex category\\nCHAMPION\\n: Cangrelor versus Standard Therapy to Achieve Optimal Management of Platelet Inhibition\\nCI\\n: confidence interval\\nCK\\n: creatine kinase\\nCKD\\n: chronic kidney disease\\nCK-MB\\n: creatine kinase myocardial band\\nCOX\\n: cyclooxygenase\\nCMR\\n: cardiac magnetic resonance\\nCPG\\n: Committee for Practice Guidelines\\nCREDO\\n: Clopidogrel for the Reduction of Events During Observation\\nCRUSADE\\n: Can Rapid risk stratification of Unstable angina patients Suppress ADverse outcomes with Early implementation of the ACC/AHA guidelines\\nCT\\n: computed tomography\\nCURE\\n: Clopidogrel in Unstable Angina to Prevent Recurrent Events\\nCURRENT-OASIS 7\\n: Clopidogrel and Aspirin Optimal Dose Usage to Reduce Recurrent Events–Seventh Organization to Assess Strategies in Ischaemic Syndromes\\nCV\\n: cardiovascular\\nCYP\\n: cytochrome P450\\nDAPT\\n: dual(oral) antiplatelet therapy\\nDES\\n: drug-eluting stent\\nEARLY-ACS\\n: Early Glycoprotein IIb/IIIa Inhibition in Non-ST-Segment Elevation Acute Coronary Syndrome\\nECG\\n: electrocardiogram\\neGFR\\n: estimated glomerular filtration rate\\nEMA\\n: European Medicines Agency\\nESC\\n: European Society of Cardiology\\nFDA\\n: Food and Drug Administration\\nFFR\\n: fractional…","author":[{"dropping-particle":"","family":"Roffi","given":"Marco","non-dropping-particle":"","parse-names":false,"suffix":""},{"dropping-particle":"","family":"Patrono","given":"Carlo","non-dropping-particle":"","parse-names":false,"suffix":""},{"dropping-particle":"","family":"Collet","given":"Jean-Philippe","non-dropping-particle":"","parse-names":false,"suffix":""},{"dropping-particle":"","family":"Mueller","given":"Christian","non-dropping-particle":"","parse-names":false,"suffix":""},{"dropping-particle":"","family":"Valgimigli","given":"Marco","non-dropping-particle":"","parse-names":false,"suffix":""},{"dropping-particle":"","family":"Andreotti","given":"Felicita","non-dropping-particle":"","parse-names":false,"suffix":""},{"dropping-particle":"","family":"Bax","given":"Jeroen J.","non-dropping-particle":"","parse-names":false,"suffix":""},{"dropping-particle":"","family":"Borger","given":"Michael A.","non-dropping-particle":"","parse-names":false,"suffix":""},{"dropping-particle":"","family":"Brotons","given":"Carlos","non-dropping-particle":"","parse-names":false,"suffix":""},{"dropping-particle":"","family":"Chew","given":"Derek P.","non-dropping-particle":"","parse-names":false,"suffix":""},{"dropping-particle":"","family":"Gencer","given":"Baris","non-dropping-particle":"","parse-names":false,"suffix":""},{"dropping-particle":"","family":"Hasenfuss","given":"Gerd","non-dropping-particle":"","parse-names":false,"suffix":""},{"dropping-particle":"","family":"Kjeldsen","given":"Keld","non-dropping-particle":"","parse-names":false,"suffix":""},{"dropping-particle":"","family":"Lancellotti","given":"Patrizio","non-dropping-particle":"","parse-names":false,"suffix":""},{"dropping-particle":"","family":"Landmesser","given":"Ulf","non-dropping-particle":"","parse-names":false,"suffix":""},{"dropping-particle":"","family":"Mehilli","given":"Julinda","non-dropping-particle":"","parse-names":false,"suffix":""},{"dropping-particle":"","family":"Mukherjee","given":"Debabrata","non-dropping-particle":"","parse-names":false,"suffix":""},{"dropping-particle":"","family":"Storey","given":"Robert F.","non-dropping-particle":"","parse-names":false,"suffix":""},{"dropping-particle":"","family":"Windecker","given":"Stephan","non-dropping-particle":"","parse-names":false,"suffix":""}],"container-title":"European Heart Journal","id":"ITEM-1","issue":"3","issued":{"date-parts":[["2016","1","14"]]},"page":"267-315","publisher-place":"Marco.Roffi@hcuge.ch.","title":"2015 ESC Guidelines for the management of acute coronary syndromes in patients presenting without persistent ST-segment elevation","type":"article-journal","volume":"37"},"uris":["http://www.mendeley.com/documents/?uuid=51cbc22c-b48f-4f12-8fd8-09a7b83db086"]},{"id":"ITEM-2","itemData":{"DOI":"10.1161/CIR.0b013e31826e1058","ISBN":"1524-4539 (Electronic)\\n0009-7322 (Linking)","ISSN":"0009-7322","PMID":"22923432","abstract":"Given the considerable advances in recent years in myocardial infarction diagnosis and management, the European Society of Cardiology (ESC), the American College of Cardiology (ACC), the American Heart Association (AHA), together with the World Heart Federation WHF recently published an expert consensus document to establish a universal definition for myocardial infarction. The consensus document recognizes five separate myocardial infarction categories based on the differences in pathophysiology, and whether percutaneous coronary intervention (PCI) or coronary artery bypass graft (CABG) surgery is involved. The new consensus document expands the criteria for defining myocardial infarction by adding new ECG criteria and imaging modalities, and also includes patients who present with sudden death. The Israel Heart Society has adopted the new universal definition and recommends its use by clinicians, researchers and epidemiologists. .","author":[{"dropping-particle":"","family":"Thygesen","given":"Kristian","non-dropping-particle":"","parse-names":false,"suffix":""},{"dropping-particle":"","family":"Alpert","given":"Joseph S.","non-dropping-particle":"","parse-names":false,"suffix":""},{"dropping-particle":"","family":"Jaffe","given":"Allan S.","non-dropping-particle":"","parse-names":false,"suffix":""},{"dropping-particle":"","family":"Simoons","given":"Maarten L.","non-dropping-particle":"","parse-names":false,"suffix":""},{"dropping-particle":"","family":"Chaitman","given":"Bernard R.","non-dropping-particle":"","parse-names":false,"suffix":""},{"dropping-particle":"","family":"White","given":"Harvey D.","non-dropping-particle":"","parse-names":false,"suffix":""},{"dropping-particle":"","family":"Katus","given":"Hugo A.","non-dropping-particle":"","parse-names":false,"suffix":""},{"dropping-particle":"","family":"Apple","given":"Fred S.","non-dropping-particle":"","parse-names":false,"suffix":""},{"dropping-particle":"","family":"Lindahl","given":"Bertil","non-dropping-particle":"","parse-names":false,"suffix":""},{"dropping-particle":"","family":"Morrow","given":"David A.","non-dropping-particle":"","parse-names":false,"suffix":""},{"dropping-particle":"","family":"Clemmensen","given":"Peter M.","non-dropping-particle":"","parse-names":false,"suffix":""},{"dropping-particle":"","family":"Johanson","given":"Per","non-dropping-particle":"","parse-names":false,"suffix":""},{"dropping-particle":"","family":"Hod","given":"Hanoch","non-dropping-particle":"","parse-names":false,"suffix":""},{"dropping-particle":"","family":"Underwood","given":"Richard","non-dropping-particle":"","parse-names":false,"suffix":""},{"dropping-particle":"","family":"Bax","given":"Jeroen J.","non-dropping-particle":"","parse-names":false,"suffix":""},{"dropping-particle":"","family":"Bonow","given":"Robert O.","non-dropping-particle":"","parse-names":false,"suffix":""},{"dropping-particle":"","family":"Pinto","given":"Fausto","non-dropping-particle":"","parse-names":false,"suffix":""},{"dropping-particle":"","family":"Gibbons","given":"Raymond J.","non-dropping-particle":"","parse-names":false,"suffix":""},{"dropping-particle":"","family":"Fox","given":"Keith A.","non-dropping-particle":"","parse-names":false,"suffix":""},{"dropping-particle":"","family":"Atar","given":"Dan","non-dropping-particle":"","parse-names":false,"suffix":""},{"dropping-particle":"","family":"Newby","given":"L. Kristin","non-dropping-particle":"","parse-names":false,"suffix":""},{"dropping-particle":"","family":"Galvani","given":"Marcello","non-dropping-particle":"","parse-names":false,"suffix":""},{"dropping-particle":"","family":"Hamm","given":"Christian W.","non-dropping-particle":"","parse-names":false,"suffix":""},{"dropping-particle":"","family":"Uretsky","given":"Barry F.","non-dropping-particle":"","parse-names":false,"suffix":""},{"dropping-particle":"","family":"Steg","given":"Ph Gabriel","non-dropping-particle":"","parse-names":false,"suffix":""},{"dropping-particle":"","family":"Wijns","given":"William","non-dropping-particle":"","parse-names":false,"suffix":""},{"dropping-particle":"","family":"Bassand","given":"Jean Pierre","non-dropping-particle":"","parse-names":false,"suffix":""},{"dropping-particle":"","family":"Menasché","given":"Phillippe","non-dropping-particle":"","parse-names":false,"suffix":""},{"dropping-particle":"","family":"Ravkilde","given":"Jan","non-dropping-particle":"","parse-names":false,"suffix":""},{"dropping-particle":"","family":"Ohman","given":"E. Magnus","non-dropping-particle":"","parse-names":false,"suffix":""},{"dropping-particle":"","family":"Antman","given":"Elliott M.","non-dropping-particle":"","parse-names":false,"suffix":""},{"dropping-particle":"","family":"Wallentin","given":"Lars C.","non-dropping-particle":"","parse-names":false,"suffix":""},{"dropping-particle":"","family":"Armstrong","given":"Paul W.","non-dropping-particle":"","parse-names":false,"suffix":""},{"dropping-particle":"","family":"Simoon","given":"Maarten L.","non-dropping-particle":"","parse-names":false,"suffix":""},{"dropping-particle":"","family":"Januzzi","given":"James L.","non-dropping-particle":"","parse-names":false,"suffix":""},{"dropping-particle":"","family":"Nieminen","given":"Markku S.","non-dropping-particle":"","parse-names":false,"suffix":""},{"dropping-particle":"","family":"Gheorghiade","given":"Mihai","non-dropping-particle":"","parse-names":false,"suffix":""},{"dropping-particle":"","family":"Filippatos","given":"Gerasimos","non-dropping-particle":"","parse-names":false,"suffix":""},{"dropping-particle":"V.","family":"Luepker","given":"Russell","non-dropping-particle":"","parse-names":false,"suffix":""},{"dropping-particle":"","family":"Fortmann","given":"Stephen P.","non-dropping-particle":"","parse-names":false,"suffix":""},{"dropping-particle":"","family":"Rosamond","given":"Wayne D.","non-dropping-particle":"","parse-names":false,"suffix":""},{"dropping-particle":"","family":"Levy","given":"Dan","non-dropping-particle":"","parse-names":false,"suffix":""},{"dropping-particle":"","family":"Wood","given":"David","non-dropping-particle":"","parse-names":false,"suffix":""},{"dropping-particle":"","family":"Smith","given":"Sidney C.","non-dropping-particle":"","parse-names":false,"suffix":""},{"dropping-particle":"","family":"Hu","given":"Dayi","non-dropping-particle":"","parse-names":false,"suffix":""},{"dropping-particle":"","family":"Lopez-Sendon","given":"José Luis","non-dropping-particle":"","parse-names":false,"suffix":""},{"dropping-particle":"","family":"Robertson","given":"Rose Marie","non-dropping-particle":"","parse-names":false,"suffix":""},{"dropping-particle":"","family":"Weaver","given":"Douglas","non-dropping-particle":"","parse-names":false,"suffix":""},{"dropping-particle":"","family":"Tendera","given":"Michal","non-dropping-particle":"","parse-names":false,"suffix":""},{"dropping-particle":"","family":"Bove","given":"Alfred A.","non-dropping-particle":"","parse-names":false,"suffix":""},{"dropping-particle":"","family":"Parkhomenko","given":"Alexander N.","non-dropping-particle":"","parse-names":false,"suffix":""},{"dropping-particle":"","family":"Vasilieva","given":"Elena J.","non-dropping-particle":"","parse-names":false,"suffix":""},{"dropping-particle":"","family":"Mendis","given":"Shanti","non-dropping-particle":"","parse-names":false,"suffix":""},{"dropping-particle":"","family":"Baumgartner","given":"Helmut","non-dropping-particle":"","parse-names":false,"suffix":""},{"dropping-particle":"","family":"Ceconi","given":"Claudio","non-dropping-particle":"","parse-names":false,"suffix":""},{"dropping-particle":"","family":"Dean","given":"Veronica","non-dropping-particle":"","parse-names":false,"suffix":""},{"dropping-particle":"","family":"Deaton","given":"Christi","non-dropping-particle":"","parse-names":false,"suffix":""},{"dropping-particle":"","family":"Fagard","given":"Robert","non-dropping-particle":"","parse-names":false,"suffix":""},{"dropping-particle":"","family":"Funck-Brentano","given":"Christian","non-dropping-particle":"","parse-names":false,"suffix":""},{"dropping-particle":"","family":"Hasdai","given":"David","non-dropping-particle":"","parse-names":false,"suffix":""},{"dropping-particle":"","family":"Hoes","given":"Arno","non-dropping-particle":"","parse-names":false,"suffix":""},{"dropping-particle":"","family":"Kirchhof","given":"Paulus","non-dropping-particle":"","parse-names":false,"suffix":""},{"dropping-particle":"","family":"Knuuti","given":"Juhani","non-dropping-particle":"","parse-names":false,"suffix":""},{"dropping-particle":"","family":"Kolh","given":"Philippe","non-dropping-particle":"","parse-names":false,"suffix":""},{"dropping-particle":"","family":"McDonagh","given":"Theresa","non-dropping-particle":"","parse-names":false,"suffix":""},{"dropping-particle":"","family":"Moulin","given":"Cyril","non-dropping-particle":"","parse-names":false,"suffix":""},{"dropping-particle":"","family":"Popescu","given":"Bogdan A.","non-dropping-particle":"","parse-names":false,"suffix":""},{"dropping-particle":"","family":"Reiner","given":"Željko","non-dropping-particle":"","parse-names":false,"suffix":""},{"dropping-particle":"","family":"Sechtem","given":"Udo","non-dropping-particle":"","parse-names":false,"suffix":""},{"dropping-particle":"","family":"Sirnes","given":"Per Anton","non-dropping-particle":"","parse-names":false,"suffix":""},{"dropping-particle":"","family":"Torbicki","given":"Adam","non-dropping-particle":"","parse-names":false,"suffix":""},{"dropping-particle":"","family":"Vahanian","given":"Alec","non-dropping-particle":"","parse-names":false,"suffix":""},{"dropping-particle":"","family":"Windecker","given":"Stephan","non-dropping-particle":"","parse-names":false,"suffix":""},{"dropping-particle":"","family":"Morais","given":"Joao","non-dropping-particle":"","parse-names":false,"suffix":""},{"dropping-particle":"","family":"Aguiar","given":"Carlos","non-dropping-particle":"","parse-names":false,"suffix":""},{"dropping-particle":"","family":"Almahmeed","given":"Wael","non-dropping-particle":"","parse-names":false,"suffix":""},{"dropping-particle":"","family":"Arnar","given":"David O.","non-dropping-particle":"","parse-names":false,"suffix":""},{"dropping-particle":"","family":"Barili","given":"Fabio","non-dropping-particle":"","parse-names":false,"suffix":""},{"dropping-particle":"","family":"Bloch","given":"Kenneth D.","non-dropping-particle":"","parse-names":false,"suffix":""},{"dropping-particle":"","family":"Bolger","given":"Ann F.","non-dropping-particle":"","parse-names":false,"suffix":""},{"dropping-particle":"","family":"Bøtker","given":"Hans Erik","non-dropping-particle":"","parse-names":false,"suffix":""},{"dropping-particle":"","family":"Bozkurt","given":"Biykem","non-dropping-particle":"","parse-names":false,"suffix":""},{"dropping-particle":"","family":"Bugiardini","given":"Raffaele","non-dropping-particle":"","parse-names":false,"suffix":""},{"dropping-particle":"","family":"Cannon","given":"Christopher","non-dropping-particle":"","parse-names":false,"suffix":""},{"dropping-particle":"","family":"Lemos","given":"James","non-dropping-particle":"De","parse-names":false,"suffix":""},{"dropping-particle":"","family":"Eberli","given":"Franz R.","non-dropping-particle":"","parse-names":false,"suffix":""},{"dropping-particle":"","family":"Escobar","given":"Edgardo","non-dropping-particle":"","parse-names":false,"suffix":""},{"dropping-particle":"","family":"Hlatky","given":"Mark","non-dropping-particle":"","parse-names":false,"suffix":""},{"dropping-particle":"","family":"James","given":"Stefan","non-dropping-particle":"","parse-names":false,"suffix":""},{"dropping-particle":"","family":"Kern","given":"Karl B.","non-dropping-particle":"","parse-names":false,"suffix":""},{"dropping-particle":"","family":"Moliterno","given":"David J.","non-dropping-particle":"","parse-names":false,"suffix":""},{"dropping-particle":"","family":"Mueller","given":"Christian","non-dropping-particle":"","parse-names":false,"suffix":""},{"dropping-particle":"","family":"Neskovic","given":"Aleksandar N.","non-dropping-particle":"","parse-names":false,"suffix":""},{"dropping-particle":"","family":"Pieske","given":"Burkert Mathias","non-dropping-particle":"","parse-names":false,"suffix":""},{"dropping-particle":"","family":"Schulman","given":"Steven P.","non-dropping-particle":"","parse-names":false,"suffix":""},{"dropping-particle":"","family":"Storey","given":"Robert F.","non-dropping-particle":"","parse-names":false,"suffix":""},{"dropping-particle":"","family":"Taubert","given":"Kathryn A.","non-dropping-particle":"","parse-names":false,"suffix":""},{"dropping-particle":"","family":"Vranckx","given":"Pascal","non-dropping-particle":"","parse-names":false,"suffix":""},{"dropping-particle":"","family":"Wagner","given":"Daniel R.","non-dropping-particle":"","parse-names":false,"suffix":""}],"container-title":"Circulation","id":"ITEM-2","issue":"16","issued":{"date-parts":[["2012","10","16"]]},"page":"2020-2035","publisher-place":"Department of Cardiology, Aarhus University Hospital, Tage-Hansens Gade 2, DK-8000 Aarhus C, Denmark. kristhyg@rm.dk","title":"Third Universal Definition of Myocardial Infarction","type":"article-journal","volume":"126"},"uris":["http://www.mendeley.com/documents/?uuid=3912e8be-49fb-40c8-8c33-b5f9e5d73dd2"]},{"id":"ITEM-3","itemData":{"DOI":"10.1161/CIR.0000000000000134","ISSN":"0009-7322","author":[{"dropping-particle":"","family":"Amsterdam","given":"Ezra A","non-dropping-particle":"","parse-names":false,"suffix":""},{"dropping-particle":"","family":"Wenger","given":"Nanette K","non-dropping-particle":"","parse-names":false,"suffix":""},{"dropping-particle":"","family":"Brindis","given":"Ralph G","non-dropping-particle":"","parse-names":false,"suffix":""},{"dropping-particle":"","family":"Casey","given":"Donald E","non-dropping-particle":"","parse-names":false,"suffix":""},{"dropping-particle":"","family":"Ganiats","given":"Theodore G","non-dropping-particle":"","parse-names":false,"suffix":""},{"dropping-particle":"","family":"Holmes","given":"David R","non-dropping-particle":"","parse-names":false,"suffix":""},{"dropping-particle":"","family":"Jaffe","given":"Allan S","non-dropping-particle":"","parse-names":false,"suffix":""},{"dropping-particle":"","family":"Jneid","given":"Hani","non-dropping-particle":"","parse-names":false,"suffix":""},{"dropping-particle":"","family":"Kelly","given":"Rosemary F","non-dropping-particle":"","parse-names":false,"suffix":""},{"dropping-particle":"","family":"Kontos","given":"Michael C","non-dropping-particle":"","parse-names":false,"suffix":""},{"dropping-particle":"","family":"Levine","given":"Glenn N","non-dropping-particle":"","parse-names":false,"suffix":""},{"dropping-particle":"","family":"Liebson","given":"Philip R","non-dropping-particle":"","parse-names":false,"suffix":""},{"dropping-particle":"","family":"Mukherjee","given":"Debabrata","non-dropping-particle":"","parse-names":false,"suffix":""},{"dropping-particle":"","family":"Peterson","given":"Eric D","non-dropping-particle":"","parse-names":false,"suffix":""},{"dropping-particle":"","family":"Sabatine","given":"Marc S","non-dropping-particle":"","parse-names":false,"suffix":""},{"dropping-particle":"","family":"Smalling","given":"Richard W","non-dropping-particle":"","parse-names":false,"suffix":""},{"dropping-particle":"","family":"Zieman","given":"Susan J","non-dropping-particle":"","parse-names":false,"suffix":""}],"container-title":"Circulation","id":"ITEM-3","issue":"25","issued":{"date-parts":[["2014","12","23"]]},"page":"e139-228","publisher":"American College of Cardiology Foundation","title":"2014 AHA/ACC Guideline for the Management of Patients With Non–ST-Elevation Acute Coronary Syndromes","type":"article-journal","volume":"130"},"uris":["http://www.mendeley.com/documents/?uuid=60015b7d-b8ca-460d-bf36-f5ced4734a50"]}],"mendeley":{"formattedCitation":"&lt;sup&gt;1–3&lt;/sup&gt;","plainTextFormattedCitation":"1–3","previouslyFormattedCitation":"&lt;sup&gt;1–3&lt;/sup&gt;"},"properties":{"noteIndex":0},"schema":"https://github.com/citation-style-language/schema/raw/master/csl-citation.json"}</w:instrText>
      </w:r>
      <w:r w:rsidR="00672DCD">
        <w:rPr>
          <w:rFonts w:cs="Times New Roman"/>
        </w:rPr>
        <w:fldChar w:fldCharType="separate"/>
      </w:r>
      <w:r w:rsidR="00672DCD" w:rsidRPr="00672DCD">
        <w:rPr>
          <w:rFonts w:cs="Times New Roman"/>
          <w:noProof/>
          <w:vertAlign w:val="superscript"/>
        </w:rPr>
        <w:t>1–3</w:t>
      </w:r>
      <w:r w:rsidR="00672DCD">
        <w:rPr>
          <w:rFonts w:cs="Times New Roman"/>
        </w:rPr>
        <w:fldChar w:fldCharType="end"/>
      </w:r>
      <w:r w:rsidRPr="00C3521D">
        <w:rPr>
          <w:rFonts w:cs="Times New Roman"/>
        </w:rPr>
        <w:t xml:space="preserve"> </w:t>
      </w:r>
      <w:r w:rsidR="00DC4723">
        <w:rPr>
          <w:rFonts w:cs="Times New Roman"/>
        </w:rPr>
        <w:t xml:space="preserve">Pre- and early hospital triage is, however, fraught with difficulties: the former relies heavily on the recording of electrocardiograms and point-of-care measurement of biomarkers on devices that lack either cardiac specificity, or the sensitivity of laboratory platforms. Early hospital triage is restrained by the biology of cardiac Troponin, reflected in guidelines enabling direct rule-out of myocardial infarction </w:t>
      </w:r>
      <w:r w:rsidR="005C5906">
        <w:rPr>
          <w:rFonts w:cs="Times New Roman"/>
        </w:rPr>
        <w:t>only from</w:t>
      </w:r>
      <w:r w:rsidR="00DC4723">
        <w:rPr>
          <w:rFonts w:cs="Times New Roman"/>
        </w:rPr>
        <w:t xml:space="preserve"> at least 3 hours </w:t>
      </w:r>
      <w:r w:rsidR="005C5906">
        <w:rPr>
          <w:rFonts w:cs="Times New Roman"/>
        </w:rPr>
        <w:t>after</w:t>
      </w:r>
      <w:r w:rsidR="00DC4723">
        <w:rPr>
          <w:rFonts w:cs="Times New Roman"/>
        </w:rPr>
        <w:t xml:space="preserve"> symptom onset.</w:t>
      </w:r>
      <w:r w:rsidR="00DC4723">
        <w:rPr>
          <w:rFonts w:cs="Times New Roman"/>
        </w:rPr>
        <w:fldChar w:fldCharType="begin" w:fldLock="1"/>
      </w:r>
      <w:r w:rsidR="005C5906">
        <w:rPr>
          <w:rFonts w:cs="Times New Roman"/>
        </w:rPr>
        <w:instrText>ADDIN CSL_CITATION {"citationItems":[{"id":"ITEM-1","itemData":{"DOI":"10.1093/eurheartj/ehv320","ISBN":"1522-9645 (Electronic)\\r0195-668X (Linking)","ISSN":"0195-668X","PMID":"26320110","abstract":"ACC\\n: American College of Cardiology\\nACCOAST\\n: Comparison of Prasugrel at the Time of Percutaneous Coronary Intervention or as Pretreatment at the Time of Diagnosis in Patients with Non-ST Elevation Myocardial Infarction\\nACE\\n: angiotensin-converting enzyme\\nACS\\n: acute coronary syndromes\\nACT\\n: activated clotting time\\nACTION\\n: Acute Coronary Treatment and Intervention Outcomes Network\\nACUITY\\n: Acute Catheterization and Urgent Intervention Triage strategY\\nADAPT-DES\\n: Assessment of Dual AntiPlatelet Therapy with Drug-Eluting Stents\\nADP\\n: adenosine diphosphate\\nAHA\\n: American Heart Association\\nAPPRAISE\\n: Apixaban for Prevention of Acute Ischaemic Events\\naPTT\\n: activated partial thromboplastin time\\nARB\\n: angiotensin receptor blocker\\nATLAS ACS 2-TIMI 51\\n: Anti-Xa Therapy to Lower Cardiovascular Events in Addition to Aspirin With or Without Thienopyridine Therapy in Subjects with Acute Coronary Syndrome–Thrombolysis in Myocardial Infarction 51\\nATP\\n: adenosine triphosphate\\nBARC\\n: Bleeding Academic Research Consortium\\nBMS\\n: bare-metal stent\\nCABG\\n: coronary artery bypass graft\\nCAD\\n: coronary artery disease\\nCHA2DS2-VASc\\n: Cardiac failure, Hypertension, Age ≥75 (2 points), Diabetes, Stroke (2 points)– Vascular disease, Age 65–74, Sex category\\nCHAMPION\\n: Cangrelor versus Standard Therapy to Achieve Optimal Management of Platelet Inhibition\\nCI\\n: confidence interval\\nCK\\n: creatine kinase\\nCKD\\n: chronic kidney disease\\nCK-MB\\n: creatine kinase myocardial band\\nCOX\\n: cyclooxygenase\\nCMR\\n: cardiac magnetic resonance\\nCPG\\n: Committee for Practice Guidelines\\nCREDO\\n: Clopidogrel for the Reduction of Events During Observation\\nCRUSADE\\n: Can Rapid risk stratification of Unstable angina patients Suppress ADverse outcomes with Early implementation of the ACC/AHA guidelines\\nCT\\n: computed tomography\\nCURE\\n: Clopidogrel in Unstable Angina to Prevent Recurrent Events\\nCURRENT-OASIS 7\\n: Clopidogrel and Aspirin Optimal Dose Usage to Reduce Recurrent Events–Seventh Organization to Assess Strategies in Ischaemic Syndromes\\nCV\\n: cardiovascular\\nCYP\\n: cytochrome P450\\nDAPT\\n: dual(oral) antiplatelet therapy\\nDES\\n: drug-eluting stent\\nEARLY-ACS\\n: Early Glycoprotein IIb/IIIa Inhibition in Non-ST-Segment Elevation Acute Coronary Syndrome\\nECG\\n: electrocardiogram\\neGFR\\n: estimated glomerular filtration rate\\nEMA\\n: European Medicines Agency\\nESC\\n: European Society of Cardiology\\nFDA\\n: Food and Drug Administration\\nFFR\\n: fractional…","author":[{"dropping-particle":"","family":"Roffi","given":"Marco","non-dropping-particle":"","parse-names":false,"suffix":""},{"dropping-particle":"","family":"Patrono","given":"Carlo","non-dropping-particle":"","parse-names":false,"suffix":""},{"dropping-particle":"","family":"Collet","given":"Jean-Philippe","non-dropping-particle":"","parse-names":false,"suffix":""},{"dropping-particle":"","family":"Mueller","given":"Christian","non-dropping-particle":"","parse-names":false,"suffix":""},{"dropping-particle":"","family":"Valgimigli","given":"Marco","non-dropping-particle":"","parse-names":false,"suffix":""},{"dropping-particle":"","family":"Andreotti","given":"Felicita","non-dropping-particle":"","parse-names":false,"suffix":""},{"dropping-particle":"","family":"Bax","given":"Jeroen J.","non-dropping-particle":"","parse-names":false,"suffix":""},{"dropping-particle":"","family":"Borger","given":"Michael A.","non-dropping-particle":"","parse-names":false,"suffix":""},{"dropping-particle":"","family":"Brotons","given":"Carlos","non-dropping-particle":"","parse-names":false,"suffix":""},{"dropping-particle":"","family":"Chew","given":"Derek P.","non-dropping-particle":"","parse-names":false,"suffix":""},{"dropping-particle":"","family":"Gencer","given":"Baris","non-dropping-particle":"","parse-names":false,"suffix":""},{"dropping-particle":"","family":"Hasenfuss","given":"Gerd","non-dropping-particle":"","parse-names":false,"suffix":""},{"dropping-particle":"","family":"Kjeldsen","given":"Keld","non-dropping-particle":"","parse-names":false,"suffix":""},{"dropping-particle":"","family":"Lancellotti","given":"Patrizio","non-dropping-particle":"","parse-names":false,"suffix":""},{"dropping-particle":"","family":"Landmesser","given":"Ulf","non-dropping-particle":"","parse-names":false,"suffix":""},{"dropping-particle":"","family":"Mehilli","given":"Julinda","non-dropping-particle":"","parse-names":false,"suffix":""},{"dropping-particle":"","family":"Mukherjee","given":"Debabrata","non-dropping-particle":"","parse-names":false,"suffix":""},{"dropping-particle":"","family":"Storey","given":"Robert F.","non-dropping-particle":"","parse-names":false,"suffix":""},{"dropping-particle":"","family":"Windecker","given":"Stephan","non-dropping-particle":"","parse-names":false,"suffix":""}],"container-title":"European Heart Journal","id":"ITEM-1","issue":"3","issued":{"date-parts":[["2016","1","14"]]},"page":"267-315","publisher-place":"Marco.Roffi@hcuge.ch.","title":"2015 ESC Guidelines for the management of acute coronary syndromes in patients presenting without persistent ST-segment elevation","type":"article-journal","volume":"37"},"uris":["http://www.mendeley.com/documents/?uuid=51cbc22c-b48f-4f12-8fd8-09a7b83db086"]}],"mendeley":{"formattedCitation":"&lt;sup&gt;1&lt;/sup&gt;","plainTextFormattedCitation":"1","previouslyFormattedCitation":"&lt;sup&gt;1&lt;/sup&gt;"},"properties":{"noteIndex":0},"schema":"https://github.com/citation-style-language/schema/raw/master/csl-citation.json"}</w:instrText>
      </w:r>
      <w:r w:rsidR="00DC4723">
        <w:rPr>
          <w:rFonts w:cs="Times New Roman"/>
        </w:rPr>
        <w:fldChar w:fldCharType="separate"/>
      </w:r>
      <w:r w:rsidR="00DC4723" w:rsidRPr="00DC4723">
        <w:rPr>
          <w:rFonts w:cs="Times New Roman"/>
          <w:noProof/>
          <w:vertAlign w:val="superscript"/>
        </w:rPr>
        <w:t>1</w:t>
      </w:r>
      <w:r w:rsidR="00DC4723">
        <w:rPr>
          <w:rFonts w:cs="Times New Roman"/>
        </w:rPr>
        <w:fldChar w:fldCharType="end"/>
      </w:r>
      <w:r w:rsidR="005C5906">
        <w:rPr>
          <w:rFonts w:cs="Times New Roman"/>
        </w:rPr>
        <w:t xml:space="preserve"> To streamline acute cardiac care, p</w:t>
      </w:r>
      <w:r w:rsidRPr="00C3521D">
        <w:rPr>
          <w:rFonts w:cs="Times New Roman"/>
        </w:rPr>
        <w:t xml:space="preserve">hysicians at </w:t>
      </w:r>
      <w:r w:rsidR="00D4005A" w:rsidRPr="00C3521D">
        <w:rPr>
          <w:rFonts w:cs="Times New Roman"/>
        </w:rPr>
        <w:t>Aarhus</w:t>
      </w:r>
      <w:r w:rsidRPr="00C3521D">
        <w:rPr>
          <w:rFonts w:cs="Times New Roman"/>
        </w:rPr>
        <w:t xml:space="preserve"> University Hospital</w:t>
      </w:r>
      <w:r w:rsidR="005C5906">
        <w:rPr>
          <w:rFonts w:cs="Times New Roman"/>
        </w:rPr>
        <w:t xml:space="preserve"> (Denmark)</w:t>
      </w:r>
      <w:r w:rsidRPr="00C3521D">
        <w:rPr>
          <w:rFonts w:cs="Times New Roman"/>
        </w:rPr>
        <w:t xml:space="preserve"> evaluate over 6,000 pre-hospital electrocardiograms (ECG) per year: transmitted from paramedics in the field</w:t>
      </w:r>
      <w:r w:rsidR="002222C3" w:rsidRPr="00C3521D">
        <w:rPr>
          <w:rFonts w:cs="Times New Roman"/>
        </w:rPr>
        <w:t>.</w:t>
      </w:r>
      <w:r w:rsidRPr="00C3521D">
        <w:rPr>
          <w:rFonts w:cs="Times New Roman"/>
        </w:rPr>
        <w:t xml:space="preserve"> </w:t>
      </w:r>
      <w:r w:rsidR="002222C3" w:rsidRPr="00C3521D">
        <w:rPr>
          <w:rFonts w:cs="Times New Roman"/>
        </w:rPr>
        <w:t>T</w:t>
      </w:r>
      <w:r w:rsidRPr="00C3521D">
        <w:rPr>
          <w:rFonts w:cs="Times New Roman"/>
        </w:rPr>
        <w:t xml:space="preserve">his system allows the team in the regional </w:t>
      </w:r>
      <w:r w:rsidR="000F32C2" w:rsidRPr="00C3521D">
        <w:rPr>
          <w:rFonts w:cs="Times New Roman"/>
        </w:rPr>
        <w:t xml:space="preserve">tertiary-care </w:t>
      </w:r>
      <w:r w:rsidR="00335D87" w:rsidRPr="00C3521D">
        <w:rPr>
          <w:rFonts w:cs="Times New Roman"/>
        </w:rPr>
        <w:t xml:space="preserve">interventional </w:t>
      </w:r>
      <w:r w:rsidR="00F354EC" w:rsidRPr="00C3521D">
        <w:rPr>
          <w:rFonts w:cs="Times New Roman"/>
        </w:rPr>
        <w:t>centre</w:t>
      </w:r>
      <w:r w:rsidRPr="00C3521D">
        <w:rPr>
          <w:rFonts w:cs="Times New Roman"/>
        </w:rPr>
        <w:t xml:space="preserve"> to select the cases </w:t>
      </w:r>
      <w:r w:rsidR="000F32C2" w:rsidRPr="00C3521D">
        <w:rPr>
          <w:rFonts w:cs="Times New Roman"/>
        </w:rPr>
        <w:t>for</w:t>
      </w:r>
      <w:r w:rsidRPr="00C3521D">
        <w:rPr>
          <w:rFonts w:cs="Times New Roman"/>
        </w:rPr>
        <w:t xml:space="preserve"> priority transfer</w:t>
      </w:r>
      <w:r w:rsidR="006863A4" w:rsidRPr="00C3521D">
        <w:rPr>
          <w:rFonts w:cs="Times New Roman"/>
        </w:rPr>
        <w:t>;</w:t>
      </w:r>
      <w:r w:rsidRPr="00C3521D">
        <w:rPr>
          <w:rFonts w:cs="Times New Roman"/>
        </w:rPr>
        <w:t xml:space="preserve"> </w:t>
      </w:r>
      <w:r w:rsidR="006863A4" w:rsidRPr="00C3521D">
        <w:rPr>
          <w:rFonts w:cs="Times New Roman"/>
        </w:rPr>
        <w:t>bypassing</w:t>
      </w:r>
      <w:r w:rsidRPr="00C3521D">
        <w:rPr>
          <w:rFonts w:cs="Times New Roman"/>
        </w:rPr>
        <w:t xml:space="preserve"> </w:t>
      </w:r>
      <w:r w:rsidR="000F32C2" w:rsidRPr="00C3521D">
        <w:rPr>
          <w:rFonts w:cs="Times New Roman"/>
        </w:rPr>
        <w:t>the nearest secondary-care facility</w:t>
      </w:r>
      <w:r w:rsidR="006C1420">
        <w:rPr>
          <w:rFonts w:cs="Times New Roman"/>
        </w:rPr>
        <w:t>.</w:t>
      </w:r>
      <w:r w:rsidR="00672DCD">
        <w:rPr>
          <w:rFonts w:cs="Times New Roman"/>
        </w:rPr>
        <w:fldChar w:fldCharType="begin" w:fldLock="1"/>
      </w:r>
      <w:r w:rsidR="00672DCD">
        <w:rPr>
          <w:rFonts w:cs="Times New Roman"/>
        </w:rPr>
        <w:instrText>ADDIN CSL_CITATION {"citationItems":[{"id":"ITEM-1","itemData":{"abstract":"BACKGROUND:In Denmark, primary percutaneous coronary intervention (PPCI) was chosen as a national reperfusion strategy for patients with ST-segment elevation myocardial infarction in 2003. This study describes the temporal implementation of PPCI in Western Denmark, the gradual introduction of field triage for PPCI (patients rerouted from the scene of the event directly to the invasive center), and the associated outcome.\n\nMETHODS AND RESULTS:The study population comprised 9514 patients treated with PPCI from 1999 to 2009 with symptom duration ≤12 hours and either a delay from the emergency medical service (EMS) call to PPCI (healthcare system delay) of ≤6 hours or as self-presenters. The median follow-up time was 3.7 years. The number of patients treated with PPCI increased from 190 in 1999 to 1212 in 2009. Among patients transported by the EMS from the scene of the event, the proportion who were field triaged directly to a PCI center increased from 33% (34/103) to 72% (616/851, P&lt;0.001). Patients who were field triaged had lower long-term mortality, with adjusted hazard ratios (95% CI) of 1.26 (1.12-1.43) among patients transported by the EMS to a local hospital and then transferred, 1.28 (1.10-1.49) among patients self-presenting at a local hospital and then transferred, and 1.37 (1.18-1.58) among patients self-presenting at a PCI center.\n\nCONCLUSIONS:A reperfusion strategy with PPCI only for patients with ST-segment elevation myocardial infarction was successfully implemented in Western Denmark, and the majority of patients transported by the EMS are now triaged directly to the PPCI centers. This strategy is associated with lower mortality.","author":[{"dropping-particle":"","family":"Terkelsen","given":"Christian J","non-dropping-particle":"","parse-names":false,"suffix":""},{"dropping-particle":"","family":"Jensen","given":"Lisette O","non-dropping-particle":"","parse-names":false,"suffix":""},{"dropping-particle":"","family":"Tilsted","given":"Hans H","non-dropping-particle":"","parse-names":false,"suffix":""},{"dropping-particle":"","family":"Thaysen","given":"Per","non-dropping-particle":"","parse-names":false,"suffix":""},{"dropping-particle":"","family":"Ravkilde","given":"Jan","non-dropping-particle":"","parse-names":false,"suffix":""},{"dropping-particle":"","family":"Johnsen","given":"Søren P","non-dropping-particle":"","parse-names":false,"suffix":""},{"dropping-particle":"","family":"Trautner","given":"Sven","non-dropping-particle":"","parse-names":false,"suffix":""},{"dropping-particle":"","family":"Andersen","given":"Henning R","non-dropping-particle":"","parse-names":false,"suffix":""},{"dropping-particle":"","family":"Thuesen","given":"Leif","non-dropping-particle":"","parse-names":false,"suffix":""},{"dropping-particle":"","family":"Lassen","given":"Jens F","non-dropping-particle":"","parse-names":false,"suffix":""}],"container-title":"Circulation: Cardiovascular Interventions","id":"ITEM-1","issue":"6","issued":{"date-parts":[["2011","12","1"]]},"page":"570-576","publisher-place":"Department of Cardiology, Aarhus University Hospital, Aarhus, Denmark. Christian_Juhl_Terkelsen@hotmail.com","title":"Primary percutaneous coronary intervention as a national reperfusion strategy in patients with ST-segment elevation myocardial infarction.","type":"article-journal","volume":"4"},"uris":["http://www.mendeley.com/documents/?uuid=e707354d-e715-4eab-8b8b-e9614659feec"]}],"mendeley":{"formattedCitation":"&lt;sup&gt;4&lt;/sup&gt;","plainTextFormattedCitation":"4","previouslyFormattedCitation":"&lt;sup&gt;4&lt;/sup&gt;"},"properties":{"noteIndex":0},"schema":"https://github.com/citation-style-language/schema/raw/master/csl-citation.json"}</w:instrText>
      </w:r>
      <w:r w:rsidR="00672DCD">
        <w:rPr>
          <w:rFonts w:cs="Times New Roman"/>
        </w:rPr>
        <w:fldChar w:fldCharType="separate"/>
      </w:r>
      <w:r w:rsidR="00672DCD" w:rsidRPr="00672DCD">
        <w:rPr>
          <w:rFonts w:cs="Times New Roman"/>
          <w:noProof/>
          <w:vertAlign w:val="superscript"/>
        </w:rPr>
        <w:t>4</w:t>
      </w:r>
      <w:r w:rsidR="00672DCD">
        <w:rPr>
          <w:rFonts w:cs="Times New Roman"/>
        </w:rPr>
        <w:fldChar w:fldCharType="end"/>
      </w:r>
      <w:r w:rsidRPr="00C3521D">
        <w:rPr>
          <w:rFonts w:cs="Times New Roman"/>
        </w:rPr>
        <w:t xml:space="preserve"> </w:t>
      </w:r>
      <w:r w:rsidR="005C5906">
        <w:rPr>
          <w:rFonts w:cs="Times New Roman"/>
        </w:rPr>
        <w:t xml:space="preserve">However, </w:t>
      </w:r>
      <w:r w:rsidR="002222C3" w:rsidRPr="00C3521D">
        <w:rPr>
          <w:rFonts w:cs="Times New Roman"/>
        </w:rPr>
        <w:t xml:space="preserve">ECG </w:t>
      </w:r>
      <w:r w:rsidRPr="00C3521D">
        <w:rPr>
          <w:rFonts w:cs="Times New Roman"/>
        </w:rPr>
        <w:t>abnormalities identif</w:t>
      </w:r>
      <w:r w:rsidR="002222C3" w:rsidRPr="00C3521D">
        <w:rPr>
          <w:rFonts w:cs="Times New Roman"/>
        </w:rPr>
        <w:t>y</w:t>
      </w:r>
      <w:r w:rsidRPr="00C3521D">
        <w:rPr>
          <w:rFonts w:cs="Times New Roman"/>
        </w:rPr>
        <w:t xml:space="preserve"> only a minority of cases</w:t>
      </w:r>
      <w:r w:rsidR="007D40C5" w:rsidRPr="00C3521D">
        <w:rPr>
          <w:rFonts w:cs="Times New Roman"/>
        </w:rPr>
        <w:t xml:space="preserve"> of AMI</w:t>
      </w:r>
      <w:r w:rsidR="005A2751">
        <w:rPr>
          <w:rFonts w:cs="Times New Roman"/>
        </w:rPr>
        <w:t xml:space="preserve">, </w:t>
      </w:r>
      <w:r w:rsidR="00290285" w:rsidRPr="00C3521D">
        <w:rPr>
          <w:rFonts w:cs="Times New Roman"/>
        </w:rPr>
        <w:t>do</w:t>
      </w:r>
      <w:r w:rsidR="005C5906">
        <w:rPr>
          <w:rFonts w:cs="Times New Roman"/>
        </w:rPr>
        <w:t xml:space="preserve"> </w:t>
      </w:r>
      <w:r w:rsidR="00290285" w:rsidRPr="00C3521D">
        <w:rPr>
          <w:rFonts w:cs="Times New Roman"/>
        </w:rPr>
        <w:t>not allow</w:t>
      </w:r>
      <w:r w:rsidR="007D40C5" w:rsidRPr="00C3521D">
        <w:rPr>
          <w:rFonts w:cs="Times New Roman"/>
        </w:rPr>
        <w:t xml:space="preserve"> risk-</w:t>
      </w:r>
      <w:r w:rsidR="00290285" w:rsidRPr="00C3521D">
        <w:rPr>
          <w:rFonts w:cs="Times New Roman"/>
        </w:rPr>
        <w:t>stratification</w:t>
      </w:r>
      <w:r w:rsidR="00672DCD">
        <w:rPr>
          <w:rFonts w:cs="Times New Roman"/>
        </w:rPr>
        <w:fldChar w:fldCharType="begin" w:fldLock="1"/>
      </w:r>
      <w:r w:rsidR="00672DCD">
        <w:rPr>
          <w:rFonts w:cs="Times New Roman"/>
        </w:rPr>
        <w:instrText>ADDIN CSL_CITATION {"citationItems":[{"id":"ITEM-1","itemData":{"author":[{"dropping-particle":"","family":"McManus","given":"David D","non-dropping-particle":"","parse-names":false,"suffix":""},{"dropping-particle":"","family":"Gore","given":"Joel","non-dropping-particle":"","parse-names":false,"suffix":""},{"dropping-particle":"","family":"Yarzebski","given":"Jorge","non-dropping-particle":"","parse-names":false,"suffix":""},{"dropping-particle":"","family":"Spencer","given":"Frederick","non-dropping-particle":"","parse-names":false,"suffix":""},{"dropping-particle":"","family":"Lessard","given":"Darleen","non-dropping-particle":"","parse-names":false,"suffix":""},{"dropping-particle":"","family":"Goldberg","given":"Robert J","non-dropping-particle":"","parse-names":false,"suffix":""}],"container-title":"The American Journal of Medicine","id":"ITEM-1","issue":"1","issued":{"date-parts":[["2011","1","1"]]},"page":"40-47","title":"Recent Trends in the Incidence, Treatment, and Outcomes of Patients with STEMI and NSTEMI","type":"article-journal","volume":"124"},"uris":["http://www.mendeley.com/documents/?uuid=352cb67a-4128-48c6-84fa-6bb03d46a4f8"]}],"mendeley":{"formattedCitation":"&lt;sup&gt;5&lt;/sup&gt;","plainTextFormattedCitation":"5","previouslyFormattedCitation":"&lt;sup&gt;5&lt;/sup&gt;"},"properties":{"noteIndex":0},"schema":"https://github.com/citation-style-language/schema/raw/master/csl-citation.json"}</w:instrText>
      </w:r>
      <w:r w:rsidR="00672DCD">
        <w:rPr>
          <w:rFonts w:cs="Times New Roman"/>
        </w:rPr>
        <w:fldChar w:fldCharType="separate"/>
      </w:r>
      <w:r w:rsidR="00672DCD" w:rsidRPr="00672DCD">
        <w:rPr>
          <w:rFonts w:cs="Times New Roman"/>
          <w:noProof/>
          <w:vertAlign w:val="superscript"/>
        </w:rPr>
        <w:t>5</w:t>
      </w:r>
      <w:r w:rsidR="00672DCD">
        <w:rPr>
          <w:rFonts w:cs="Times New Roman"/>
        </w:rPr>
        <w:fldChar w:fldCharType="end"/>
      </w:r>
      <w:r w:rsidR="005A2751">
        <w:rPr>
          <w:rFonts w:cs="Times New Roman"/>
        </w:rPr>
        <w:t xml:space="preserve"> and </w:t>
      </w:r>
      <w:r w:rsidR="005C5906">
        <w:rPr>
          <w:rFonts w:cs="Times New Roman"/>
        </w:rPr>
        <w:t xml:space="preserve">the interpretation is </w:t>
      </w:r>
      <w:r w:rsidR="005A2751">
        <w:rPr>
          <w:rFonts w:cs="Times New Roman"/>
        </w:rPr>
        <w:t xml:space="preserve">compounded </w:t>
      </w:r>
      <w:r w:rsidR="00B14498">
        <w:rPr>
          <w:rFonts w:cs="Times New Roman"/>
        </w:rPr>
        <w:t>by</w:t>
      </w:r>
      <w:r w:rsidR="005A2751">
        <w:rPr>
          <w:rFonts w:cs="Times New Roman"/>
        </w:rPr>
        <w:t xml:space="preserve"> bundle branch block (BBB) </w:t>
      </w:r>
      <w:r w:rsidR="00B14498">
        <w:rPr>
          <w:rFonts w:cs="Times New Roman"/>
        </w:rPr>
        <w:t>and other longstanding abnormalities</w:t>
      </w:r>
      <w:r w:rsidR="00FF157C" w:rsidRPr="00C3521D">
        <w:rPr>
          <w:rFonts w:cs="Times New Roman"/>
        </w:rPr>
        <w:t>.</w:t>
      </w:r>
      <w:r w:rsidR="005C5906">
        <w:rPr>
          <w:rFonts w:cs="Times New Roman"/>
        </w:rPr>
        <w:fldChar w:fldCharType="begin" w:fldLock="1"/>
      </w:r>
      <w:r w:rsidR="005C5906">
        <w:rPr>
          <w:rFonts w:cs="Times New Roman"/>
        </w:rPr>
        <w:instrText>ADDIN CSL_CITATION {"citationItems":[{"id":"ITEM-1","itemData":{"abstract":"BACKGROUND:In Denmark, primary percutaneous coronary intervention (PPCI) was chosen as a national reperfusion strategy for patients with ST-segment elevation myocardial infarction in 2003. This study describes the temporal implementation of PPCI in Western Denmark, the gradual introduction of field triage for PPCI (patients rerouted from the scene of the event directly to the invasive center), and the associated outcome.\n\nMETHODS AND RESULTS:The study population comprised 9514 patients treated with PPCI from 1999 to 2009 with symptom duration ≤12 hours and either a delay from the emergency medical service (EMS) call to PPCI (healthcare system delay) of ≤6 hours or as self-presenters. The median follow-up time was 3.7 years. The number of patients treated with PPCI increased from 190 in 1999 to 1212 in 2009. Among patients transported by the EMS from the scene of the event, the proportion who were field triaged directly to a PCI center increased from 33% (34/103) to 72% (616/851, P&lt;0.001). Patients who were field triaged had lower long-term mortality, with adjusted hazard ratios (95% CI) of 1.26 (1.12-1.43) among patients transported by the EMS to a local hospital and then transferred, 1.28 (1.10-1.49) among patients self-presenting at a local hospital and then transferred, and 1.37 (1.18-1.58) among patients self-presenting at a PCI center.\n\nCONCLUSIONS:A reperfusion strategy with PPCI only for patients with ST-segment elevation myocardial infarction was successfully implemented in Western Denmark, and the majority of patients transported by the EMS are now triaged directly to the PPCI centers. This strategy is associated with lower mortality.","author":[{"dropping-particle":"","family":"Terkelsen","given":"Christian J","non-dropping-particle":"","parse-names":false,"suffix":""},{"dropping-particle":"","family":"Jensen","given":"Lisette O","non-dropping-particle":"","parse-names":false,"suffix":""},{"dropping-particle":"","family":"Tilsted","given":"Hans H","non-dropping-particle":"","parse-names":false,"suffix":""},{"dropping-particle":"","family":"Thaysen","given":"Per","non-dropping-particle":"","parse-names":false,"suffix":""},{"dropping-particle":"","family":"Ravkilde","given":"Jan","non-dropping-particle":"","parse-names":false,"suffix":""},{"dropping-particle":"","family":"Johnsen","given":"Søren P","non-dropping-particle":"","parse-names":false,"suffix":""},{"dropping-particle":"","family":"Trautner","given":"Sven","non-dropping-particle":"","parse-names":false,"suffix":""},{"dropping-particle":"","family":"Andersen","given":"Henning R","non-dropping-particle":"","parse-names":false,"suffix":""},{"dropping-particle":"","family":"Thuesen","given":"Leif","non-dropping-particle":"","parse-names":false,"suffix":""},{"dropping-particle":"","family":"Lassen","given":"Jens F","non-dropping-particle":"","parse-names":false,"suffix":""}],"container-title":"Circulation: Cardiovascular Interventions","id":"ITEM-1","issue":"6","issued":{"date-parts":[["2011","12","1"]]},"page":"570-576","publisher-place":"Department of Cardiology, Aarhus University Hospital, Aarhus, Denmark. Christian_Juhl_Terkelsen@hotmail.com","title":"Primary percutaneous coronary intervention as a national reperfusion strategy in patients with ST-segment elevation myocardial infarction.","type":"article-journal","volume":"4"},"uris":["http://www.mendeley.com/documents/?uuid=e707354d-e715-4eab-8b8b-e9614659feec"]}],"mendeley":{"formattedCitation":"&lt;sup&gt;4&lt;/sup&gt;","plainTextFormattedCitation":"4","previouslyFormattedCitation":"&lt;sup&gt;4&lt;/sup&gt;"},"properties":{"noteIndex":0},"schema":"https://github.com/citation-style-language/schema/raw/master/csl-citation.json"}</w:instrText>
      </w:r>
      <w:r w:rsidR="005C5906">
        <w:rPr>
          <w:rFonts w:cs="Times New Roman"/>
        </w:rPr>
        <w:fldChar w:fldCharType="separate"/>
      </w:r>
      <w:r w:rsidR="005C5906" w:rsidRPr="00672DCD">
        <w:rPr>
          <w:rFonts w:cs="Times New Roman"/>
          <w:noProof/>
          <w:vertAlign w:val="superscript"/>
        </w:rPr>
        <w:t>4</w:t>
      </w:r>
      <w:r w:rsidR="005C5906">
        <w:rPr>
          <w:rFonts w:cs="Times New Roman"/>
        </w:rPr>
        <w:fldChar w:fldCharType="end"/>
      </w:r>
      <w:r w:rsidRPr="00C3521D">
        <w:rPr>
          <w:rFonts w:cs="Times New Roman"/>
        </w:rPr>
        <w:t xml:space="preserve"> A recent study investigating the precision with which emergency staff interpret ECGs (including ST-elevation) has demonstrated a mean accuracy of 81% across all study groups (such as paramedics, residents and cardiologists)</w:t>
      </w:r>
      <w:r w:rsidR="006C1420">
        <w:rPr>
          <w:rFonts w:cs="Times New Roman"/>
        </w:rPr>
        <w:t>.</w:t>
      </w:r>
      <w:r w:rsidR="00672DCD">
        <w:rPr>
          <w:rFonts w:cs="Times New Roman"/>
        </w:rPr>
        <w:fldChar w:fldCharType="begin" w:fldLock="1"/>
      </w:r>
      <w:r w:rsidR="00672DCD">
        <w:rPr>
          <w:rFonts w:cs="Times New Roman"/>
        </w:rPr>
        <w:instrText>ADDIN CSL_CITATION {"citationItems":[{"id":"ITEM-1","itemData":{"abstract":"BACKGROUND:This study aimed to compare the accuracy of ECG interpretation for diagnosis of STEMI by different groups of healthcare professionals involved in the STEMI program at our institution.\n\nMETHODS:We selected 21 ECGs from patients with typical symptoms of MI that were diagnosed with STEMI, and 10 ECGs of STEMI mimics. STEMI mimic ECGs were repeated in the package with a story of typical and atypical chest pain. ECGs were interpreted to diagnose STEMI and identify need for initiation of the cardiac catheterization lab (CCL). Participants identified confidence in STEMI recognition, and average number of ECGs read per week.\n\nRESULTS:A total of 64 participants completed the study package. Cardiologists were more likely to provide correct interpretation compared to other groups. False positive diagnoses were more likely made by paramedics when compared to cardiologists (p &lt; 0.01). There was a positive correlation between increased exposure to ECGs and accurate STEMI diagnosis (r = 0.482, p &lt; 0.001). A threshold of ≥ 20 ECGs read per week showed a statistically significant improvement in accuracy (p &lt; 0.001). Self-reported confidence correlated positively with accuracy (r = 0.402, p =&lt; 0.001). Changing the ECG narrative of the STEMI mimic ECGs had a significant effect on interpretation between groups (p = 0.043).\n\nCONCLUSIONS:Our study showed that healthcare profession and number of ECGs reviewed per week are predictive of the accuracy of ECG interpretation of STEMI. Cardiologists are the most accurate diagnosticians, and are the least likely to falsely activate the CCL. Weekly exposure of ≥ 20 ECGs may improve diagnostic accuracy regardless of underlying experience.","author":[{"dropping-particle":"","family":"Huitema","given":"Ashlay A","non-dropping-particle":"","parse-names":false,"suffix":""},{"dropping-particle":"","family":"Zhu","given":"Tina","non-dropping-particle":"","parse-names":false,"suffix":""},{"dropping-particle":"","family":"Alemayehu","given":"Mistre","non-dropping-particle":"","parse-names":false,"suffix":""},{"dropping-particle":"","family":"Lavi","given":"Shahar","non-dropping-particle":"","parse-names":false,"suffix":""}],"container-title":"International journal of cardiology","id":"ITEM-1","issue":"3","issued":{"date-parts":[["2014","12","20"]]},"page":"825-829","publisher":"Elsevier Ireland Ltd","publisher-place":"Western University, London, Ontario, Canada; London Health Sciences Centre, London, Ontario, Canada.","title":"Diagnostic accuracy of ST-segment elevation myocardial infarction by various healthcare providers.","type":"article-journal","volume":"177"},"uris":["http://www.mendeley.com/documents/?uuid=e9ca5680-646b-4177-9564-8a87e4b6bd28"]}],"mendeley":{"formattedCitation":"&lt;sup&gt;6&lt;/sup&gt;","plainTextFormattedCitation":"6","previouslyFormattedCitation":"&lt;sup&gt;6&lt;/sup&gt;"},"properties":{"noteIndex":0},"schema":"https://github.com/citation-style-language/schema/raw/master/csl-citation.json"}</w:instrText>
      </w:r>
      <w:r w:rsidR="00672DCD">
        <w:rPr>
          <w:rFonts w:cs="Times New Roman"/>
        </w:rPr>
        <w:fldChar w:fldCharType="separate"/>
      </w:r>
      <w:r w:rsidR="00672DCD" w:rsidRPr="00672DCD">
        <w:rPr>
          <w:rFonts w:cs="Times New Roman"/>
          <w:noProof/>
          <w:vertAlign w:val="superscript"/>
        </w:rPr>
        <w:t>6</w:t>
      </w:r>
      <w:r w:rsidR="00672DCD">
        <w:rPr>
          <w:rFonts w:cs="Times New Roman"/>
        </w:rPr>
        <w:fldChar w:fldCharType="end"/>
      </w:r>
      <w:r w:rsidRPr="00C3521D">
        <w:rPr>
          <w:rFonts w:cs="Times New Roman"/>
        </w:rPr>
        <w:t xml:space="preserve"> </w:t>
      </w:r>
      <w:r w:rsidR="009A28C7" w:rsidRPr="00C3521D">
        <w:rPr>
          <w:rFonts w:cs="Times New Roman"/>
        </w:rPr>
        <w:t xml:space="preserve">For patients with high-risk non ST-elevation </w:t>
      </w:r>
      <w:r w:rsidR="0085053D" w:rsidRPr="00C3521D">
        <w:rPr>
          <w:rFonts w:cs="Times New Roman"/>
        </w:rPr>
        <w:t>MI</w:t>
      </w:r>
      <w:r w:rsidR="009A28C7" w:rsidRPr="00C3521D">
        <w:rPr>
          <w:rFonts w:cs="Times New Roman"/>
        </w:rPr>
        <w:t xml:space="preserve"> (NSTEMI)</w:t>
      </w:r>
      <w:r w:rsidR="0085053D" w:rsidRPr="00C3521D">
        <w:rPr>
          <w:rFonts w:cs="Times New Roman"/>
        </w:rPr>
        <w:t>,</w:t>
      </w:r>
      <w:r w:rsidR="009A28C7" w:rsidRPr="00C3521D">
        <w:rPr>
          <w:rFonts w:cs="Times New Roman"/>
        </w:rPr>
        <w:t xml:space="preserve"> </w:t>
      </w:r>
      <w:r w:rsidR="0085053D" w:rsidRPr="00C3521D">
        <w:rPr>
          <w:rFonts w:cs="Times New Roman"/>
        </w:rPr>
        <w:t>the</w:t>
      </w:r>
      <w:r w:rsidR="00AE4BEF" w:rsidRPr="00C3521D">
        <w:rPr>
          <w:rFonts w:cs="Times New Roman"/>
        </w:rPr>
        <w:t xml:space="preserve"> inherent diagnostic </w:t>
      </w:r>
      <w:r w:rsidR="00292DB5" w:rsidRPr="00C3521D">
        <w:rPr>
          <w:rFonts w:cs="Times New Roman"/>
        </w:rPr>
        <w:t xml:space="preserve">challenges lead to delayed </w:t>
      </w:r>
      <w:r w:rsidR="009A28C7" w:rsidRPr="00C3521D">
        <w:rPr>
          <w:rFonts w:cs="Times New Roman"/>
        </w:rPr>
        <w:t>appropriate treatment and may be associated with worse outcome</w:t>
      </w:r>
      <w:r w:rsidR="00FF157C" w:rsidRPr="00C3521D">
        <w:rPr>
          <w:rFonts w:cs="Times New Roman"/>
        </w:rPr>
        <w:t>s</w:t>
      </w:r>
      <w:r w:rsidR="006C1420">
        <w:rPr>
          <w:rFonts w:cs="Times New Roman"/>
        </w:rPr>
        <w:t>.</w:t>
      </w:r>
      <w:r w:rsidR="00672DCD">
        <w:rPr>
          <w:rFonts w:cs="Times New Roman"/>
        </w:rPr>
        <w:fldChar w:fldCharType="begin" w:fldLock="1"/>
      </w:r>
      <w:r w:rsidR="00672DCD">
        <w:rPr>
          <w:rFonts w:cs="Times New Roman"/>
        </w:rPr>
        <w:instrText>ADDIN CSL_CITATION {"citationItems":[{"id":"ITEM-1","itemData":{"DOI":"10.1177/2048872616648468","ISBN":"2048-8734 (Electronic) 2048-8726 (Linking)","ISSN":"2048-8734","PMID":"27154526","abstract":"BACKGROUND The 2015 European Society of Cardiology non-ST-elevation myocardial infarction (NSTEMI) guidelines recommend angiography within 24 h in high-risk patients with NSTEMI. An organized STEMI-like approach with pre-hospital or immediate in-hospital triage for acute coronary angiography (CAG) may be of therapeutic benefit but it remains unknown whether the patients can be properly diagnosed in the pre-hospital setting. We aim to evaluate whether it is feasible to diagnose patients with NSTEMI in the pre-hospital phase or immediately upon admission. METHODS AND RESULTS We randomized 250 patients to either acute or subacute CAG (i.e. &lt;72 h of admission). Pre-hospital electrocardiogram acquisition and point-of-care troponin-T measurement ensured that 148 (59%) patients were identified already in the ambulance, whereas the remaining 102 (41%) patients were identified immediately after hospital admission. An acute coronary syndrome was verified in 215 (86%) and NSTEMI in 159 (64%) patients. The CAG rate was significantly higher in the acute CAG group (98% vs. 87%, p&lt;0.001). A culprit lesion was identified in 74% and 64% of the patients underwent coronary revascularization: acute CAG group: 53% percutaneous coronary intervention, 5% hybrid, 7% coronary artery bypass grafting; conventional treatment: 48% percutaneous coronary intervention, 2% hybrid, 14% coronary artery bypass grafting, p=0.32. In patients randomized to acute CAG, time from randomization to CAG was 1.1 h; in patients randomized to subacute CAG it was two days. Time from randomization to initial revascularization was 1.3 h versus 2.4 days, and the median hospital stay was 4.0 days versus 4.5 days. Among patients randomized to subacute CAG, 17% crossed over to acute CAG and 5% developed STEMI before catheterization. CONCLUSION Diagnosing NSTEMI patients in the pre-hospital phase or immediately upon hospital admission is feasible. Acute CAG may impact the mode of revascularization and is associated with earlier revascularization and shorter hospital stay. The clinical benefit of acute CAG in NSTEMI patients remains to be clarified.","author":[{"dropping-particle":"","family":"Stengaard","given":"Carsten","non-dropping-particle":"","parse-names":false,"suffix":""},{"dropping-particle":"","family":"Sørensen","given":"Jacob T","non-dropping-particle":"","parse-names":false,"suffix":""},{"dropping-particle":"","family":"Rasmussen","given":"Martin B","non-dropping-particle":"","parse-names":false,"suffix":""},{"dropping-particle":"","family":"Søndergaard","given":"Hanne M","non-dropping-particle":"","parse-names":false,"suffix":""},{"dropping-particle":"","family":"Dodt","given":"Karen K.","non-dropping-particle":"","parse-names":false,"suffix":""},{"dropping-particle":"","family":"Niemann","given":"Troels","non-dropping-particle":"","parse-names":false,"suffix":""},{"dropping-particle":"","family":"Frost","given":"Lars","non-dropping-particle":"","parse-names":false,"suffix":""},{"dropping-particle":"","family":"Jensen","given":"Tage","non-dropping-particle":"","parse-names":false,"suffix":""},{"dropping-particle":"","family":"Hansen","given":"Troels M.","non-dropping-particle":"","parse-names":false,"suffix":""},{"dropping-particle":"","family":"Riddervold","given":"Ingunn Skogstad","non-dropping-particle":"","parse-names":false,"suffix":""},{"dropping-particle":"","family":"Rasmussen","given":"Claus-Henrik","non-dropping-particle":"","parse-names":false,"suffix":""},{"dropping-particle":"","family":"Giebner","given":"Mathias","non-dropping-particle":"","parse-names":false,"suffix":""},{"dropping-particle":"","family":"Aarøe","given":"Jens","non-dropping-particle":"","parse-names":false,"suffix":""},{"dropping-particle":"","family":"Maeng","given":"Michael","non-dropping-particle":"","parse-names":false,"suffix":""},{"dropping-particle":"","family":"Christiansen","given":"Evald H.","non-dropping-particle":"","parse-names":false,"suffix":""},{"dropping-particle":"","family":"Kristensen","given":"Steen D.","non-dropping-particle":"","parse-names":false,"suffix":""},{"dropping-particle":"","family":"Bøtker","given":"Hans E","non-dropping-particle":"","parse-names":false,"suffix":""},{"dropping-particle":"","family":"Terkelsen","given":"Christian J.","non-dropping-particle":"","parse-names":false,"suffix":""}],"container-title":"European heart journal. Acute cardiovascular care","id":"ITEM-1","issue":"6","issued":{"date-parts":[["2017","9","6"]]},"page":"490-499","publisher-place":"1 Department of Cardiology, Aarhus University Hospital, Denmark.","title":"Acute versus subacute angiography in patients with non-ST-elevation myocardial infarction - the NONSTEMI trial phase I.","type":"article-journal","volume":"6"},"uris":["http://www.mendeley.com/documents/?uuid=4877775c-8132-46a6-b63c-0271fce44b88"]}],"mendeley":{"formattedCitation":"&lt;sup&gt;7&lt;/sup&gt;","plainTextFormattedCitation":"7","previouslyFormattedCitation":"&lt;sup&gt;7&lt;/sup&gt;"},"properties":{"noteIndex":0},"schema":"https://github.com/citation-style-language/schema/raw/master/csl-citation.json"}</w:instrText>
      </w:r>
      <w:r w:rsidR="00672DCD">
        <w:rPr>
          <w:rFonts w:cs="Times New Roman"/>
        </w:rPr>
        <w:fldChar w:fldCharType="separate"/>
      </w:r>
      <w:r w:rsidR="00672DCD" w:rsidRPr="00672DCD">
        <w:rPr>
          <w:rFonts w:cs="Times New Roman"/>
          <w:noProof/>
          <w:vertAlign w:val="superscript"/>
        </w:rPr>
        <w:t>7</w:t>
      </w:r>
      <w:r w:rsidR="00672DCD">
        <w:rPr>
          <w:rFonts w:cs="Times New Roman"/>
        </w:rPr>
        <w:fldChar w:fldCharType="end"/>
      </w:r>
      <w:r w:rsidR="001A6F3A">
        <w:rPr>
          <w:rFonts w:cs="Times New Roman"/>
        </w:rPr>
        <w:t xml:space="preserve"> In a recent study, the endpoint committee </w:t>
      </w:r>
      <w:r w:rsidR="0084369E">
        <w:rPr>
          <w:rFonts w:cs="Times New Roman"/>
        </w:rPr>
        <w:t>re-</w:t>
      </w:r>
      <w:r w:rsidR="001A6F3A">
        <w:rPr>
          <w:rFonts w:cs="Times New Roman"/>
        </w:rPr>
        <w:t xml:space="preserve">adjudicated 9-14% of </w:t>
      </w:r>
      <w:r w:rsidR="0084369E">
        <w:rPr>
          <w:rFonts w:cs="Times New Roman"/>
        </w:rPr>
        <w:t>NSTEMI</w:t>
      </w:r>
      <w:r w:rsidR="001A6F3A">
        <w:rPr>
          <w:rFonts w:cs="Times New Roman"/>
        </w:rPr>
        <w:t xml:space="preserve"> patients as STEMI, challenging the perception that ECG-based triage by a hospital physician is sufficient to i</w:t>
      </w:r>
      <w:r w:rsidR="0084369E">
        <w:rPr>
          <w:rFonts w:cs="Times New Roman"/>
        </w:rPr>
        <w:t>dentify all patients</w:t>
      </w:r>
      <w:r w:rsidR="00CA62AC">
        <w:rPr>
          <w:rFonts w:cs="Times New Roman"/>
        </w:rPr>
        <w:t xml:space="preserve"> benefiting from urgent revascularisation</w:t>
      </w:r>
      <w:r w:rsidR="0084369E">
        <w:rPr>
          <w:rFonts w:cs="Times New Roman"/>
        </w:rPr>
        <w:t>.</w:t>
      </w:r>
      <w:r w:rsidR="00672DCD">
        <w:rPr>
          <w:rFonts w:cs="Times New Roman"/>
        </w:rPr>
        <w:fldChar w:fldCharType="begin" w:fldLock="1"/>
      </w:r>
      <w:r w:rsidR="00672DCD">
        <w:rPr>
          <w:rFonts w:cs="Times New Roman"/>
        </w:rPr>
        <w:instrText>ADDIN CSL_CITATION {"citationItems":[{"id":"ITEM-1","itemData":{"DOI":"10.1177/2048872616648468","ISBN":"2048-8734 (Electronic) 2048-8726 (Linking)","ISSN":"2048-8734","PMID":"27154526","abstract":"BACKGROUND The 2015 European Society of Cardiology non-ST-elevation myocardial infarction (NSTEMI) guidelines recommend angiography within 24 h in high-risk patients with NSTEMI. An organized STEMI-like approach with pre-hospital or immediate in-hospital triage for acute coronary angiography (CAG) may be of therapeutic benefit but it remains unknown whether the patients can be properly diagnosed in the pre-hospital setting. We aim to evaluate whether it is feasible to diagnose patients with NSTEMI in the pre-hospital phase or immediately upon admission. METHODS AND RESULTS We randomized 250 patients to either acute or subacute CAG (i.e. &lt;72 h of admission). Pre-hospital electrocardiogram acquisition and point-of-care troponin-T measurement ensured that 148 (59%) patients were identified already in the ambulance, whereas the remaining 102 (41%) patients were identified immediately after hospital admission. An acute coronary syndrome was verified in 215 (86%) and NSTEMI in 159 (64%) patients. The CAG rate was significantly higher in the acute CAG group (98% vs. 87%, p&lt;0.001). A culprit lesion was identified in 74% and 64% of the patients underwent coronary revascularization: acute CAG group: 53% percutaneous coronary intervention, 5% hybrid, 7% coronary artery bypass grafting; conventional treatment: 48% percutaneous coronary intervention, 2% hybrid, 14% coronary artery bypass grafting, p=0.32. In patients randomized to acute CAG, time from randomization to CAG was 1.1 h; in patients randomized to subacute CAG it was two days. Time from randomization to initial revascularization was 1.3 h versus 2.4 days, and the median hospital stay was 4.0 days versus 4.5 days. Among patients randomized to subacute CAG, 17% crossed over to acute CAG and 5% developed STEMI before catheterization. CONCLUSION Diagnosing NSTEMI patients in the pre-hospital phase or immediately upon hospital admission is feasible. Acute CAG may impact the mode of revascularization and is associated with earlier revascularization and shorter hospital stay. The clinical benefit of acute CAG in NSTEMI patients remains to be clarified.","author":[{"dropping-particle":"","family":"Stengaard","given":"Carsten","non-dropping-particle":"","parse-names":false,"suffix":""},{"dropping-particle":"","family":"Sørensen","given":"Jacob T","non-dropping-particle":"","parse-names":false,"suffix":""},{"dropping-particle":"","family":"Rasmussen","given":"Martin B","non-dropping-particle":"","parse-names":false,"suffix":""},{"dropping-particle":"","family":"Søndergaard","given":"Hanne M","non-dropping-particle":"","parse-names":false,"suffix":""},{"dropping-particle":"","family":"Dodt","given":"Karen K.","non-dropping-particle":"","parse-names":false,"suffix":""},{"dropping-particle":"","family":"Niemann","given":"Troels","non-dropping-particle":"","parse-names":false,"suffix":""},{"dropping-particle":"","family":"Frost","given":"Lars","non-dropping-particle":"","parse-names":false,"suffix":""},{"dropping-particle":"","family":"Jensen","given":"Tage","non-dropping-particle":"","parse-names":false,"suffix":""},{"dropping-particle":"","family":"Hansen","given":"Troels M.","non-dropping-particle":"","parse-names":false,"suffix":""},{"dropping-particle":"","family":"Riddervold","given":"Ingunn Skogstad","non-dropping-particle":"","parse-names":false,"suffix":""},{"dropping-particle":"","family":"Rasmussen","given":"Claus-Henrik","non-dropping-particle":"","parse-names":false,"suffix":""},{"dropping-particle":"","family":"Giebner","given":"Mathias","non-dropping-particle":"","parse-names":false,"suffix":""},{"dropping-particle":"","family":"Aarøe","given":"Jens","non-dropping-particle":"","parse-names":false,"suffix":""},{"dropping-particle":"","family":"Maeng","given":"Michael","non-dropping-particle":"","parse-names":false,"suffix":""},{"dropping-particle":"","family":"Christiansen","given":"Evald H.","non-dropping-particle":"","parse-names":false,"suffix":""},{"dropping-particle":"","family":"Kristensen","given":"Steen D.","non-dropping-particle":"","parse-names":false,"suffix":""},{"dropping-particle":"","family":"Bøtker","given":"Hans E","non-dropping-particle":"","parse-names":false,"suffix":""},{"dropping-particle":"","family":"Terkelsen","given":"Christian J.","non-dropping-particle":"","parse-names":false,"suffix":""}],"container-title":"European heart journal. Acute cardiovascular care","id":"ITEM-1","issue":"6","issued":{"date-parts":[["2017","9","6"]]},"page":"490-499","publisher-place":"1 Department of Cardiology, Aarhus University Hospital, Denmark.","title":"Acute versus subacute angiography in patients with non-ST-elevation myocardial infarction - the NONSTEMI trial phase I.","type":"article-journal","volume":"6"},"uris":["http://www.mendeley.com/documents/?uuid=4877775c-8132-46a6-b63c-0271fce44b88"]}],"mendeley":{"formattedCitation":"&lt;sup&gt;7&lt;/sup&gt;","plainTextFormattedCitation":"7","previouslyFormattedCitation":"&lt;sup&gt;7&lt;/sup&gt;"},"properties":{"noteIndex":0},"schema":"https://github.com/citation-style-language/schema/raw/master/csl-citation.json"}</w:instrText>
      </w:r>
      <w:r w:rsidR="00672DCD">
        <w:rPr>
          <w:rFonts w:cs="Times New Roman"/>
        </w:rPr>
        <w:fldChar w:fldCharType="separate"/>
      </w:r>
      <w:r w:rsidR="00672DCD" w:rsidRPr="00672DCD">
        <w:rPr>
          <w:rFonts w:cs="Times New Roman"/>
          <w:noProof/>
          <w:vertAlign w:val="superscript"/>
        </w:rPr>
        <w:t>7</w:t>
      </w:r>
      <w:r w:rsidR="00672DCD">
        <w:rPr>
          <w:rFonts w:cs="Times New Roman"/>
        </w:rPr>
        <w:fldChar w:fldCharType="end"/>
      </w:r>
    </w:p>
    <w:p w14:paraId="5955CA20" w14:textId="4642F8B5" w:rsidR="00C352A2" w:rsidRPr="00C3521D" w:rsidRDefault="00D06F8B" w:rsidP="00C352A2">
      <w:pPr>
        <w:rPr>
          <w:rFonts w:cs="Times New Roman"/>
        </w:rPr>
      </w:pPr>
      <w:r w:rsidRPr="00C3521D">
        <w:rPr>
          <w:rFonts w:cs="Times New Roman"/>
        </w:rPr>
        <w:t>We</w:t>
      </w:r>
      <w:r w:rsidR="00C352A2" w:rsidRPr="00C3521D">
        <w:rPr>
          <w:rFonts w:cs="Times New Roman"/>
        </w:rPr>
        <w:t xml:space="preserve"> have previously studied the performance of </w:t>
      </w:r>
      <w:r w:rsidR="00891005">
        <w:rPr>
          <w:rFonts w:cs="Times New Roman"/>
        </w:rPr>
        <w:t>cardiac Troponin T (</w:t>
      </w:r>
      <w:r w:rsidR="00C352A2" w:rsidRPr="00C3521D">
        <w:rPr>
          <w:rFonts w:cs="Times New Roman"/>
        </w:rPr>
        <w:t>cTnT</w:t>
      </w:r>
      <w:r w:rsidR="00891005">
        <w:rPr>
          <w:rFonts w:cs="Times New Roman"/>
        </w:rPr>
        <w:t>)</w:t>
      </w:r>
      <w:r w:rsidR="00C352A2" w:rsidRPr="00C3521D">
        <w:rPr>
          <w:rFonts w:cs="Times New Roman"/>
        </w:rPr>
        <w:t xml:space="preserve"> and Copeptin </w:t>
      </w:r>
      <w:r w:rsidR="000F32C2" w:rsidRPr="00C3521D">
        <w:rPr>
          <w:rFonts w:cs="Times New Roman"/>
        </w:rPr>
        <w:t xml:space="preserve">point-of-care </w:t>
      </w:r>
      <w:r w:rsidR="00DB0FBB" w:rsidRPr="00C3521D">
        <w:rPr>
          <w:rFonts w:cs="Times New Roman"/>
        </w:rPr>
        <w:t xml:space="preserve">testing </w:t>
      </w:r>
      <w:r w:rsidR="000F32C2" w:rsidRPr="00C3521D">
        <w:rPr>
          <w:rFonts w:cs="Times New Roman"/>
        </w:rPr>
        <w:t>(</w:t>
      </w:r>
      <w:r w:rsidR="00C352A2" w:rsidRPr="00C3521D">
        <w:rPr>
          <w:rFonts w:cs="Times New Roman"/>
        </w:rPr>
        <w:t>POC</w:t>
      </w:r>
      <w:r w:rsidR="008E6A34" w:rsidRPr="00C3521D">
        <w:rPr>
          <w:rFonts w:cs="Times New Roman"/>
        </w:rPr>
        <w:t>T</w:t>
      </w:r>
      <w:r w:rsidR="000F32C2" w:rsidRPr="00C3521D">
        <w:rPr>
          <w:rFonts w:cs="Times New Roman"/>
        </w:rPr>
        <w:t>)</w:t>
      </w:r>
      <w:r w:rsidR="00C352A2" w:rsidRPr="00C3521D">
        <w:rPr>
          <w:rFonts w:cs="Times New Roman"/>
        </w:rPr>
        <w:t xml:space="preserve"> devices </w:t>
      </w:r>
      <w:r w:rsidRPr="00C3521D">
        <w:rPr>
          <w:rFonts w:cs="Times New Roman"/>
        </w:rPr>
        <w:t xml:space="preserve">to aid triage </w:t>
      </w:r>
      <w:r w:rsidR="00C352A2" w:rsidRPr="00C3521D">
        <w:rPr>
          <w:rFonts w:cs="Times New Roman"/>
        </w:rPr>
        <w:t xml:space="preserve">in the pre-hospital setting. </w:t>
      </w:r>
      <w:r w:rsidR="008E6A34" w:rsidRPr="00C3521D">
        <w:rPr>
          <w:rFonts w:cs="Times New Roman"/>
        </w:rPr>
        <w:t>W</w:t>
      </w:r>
      <w:r w:rsidR="00C352A2" w:rsidRPr="00C3521D">
        <w:rPr>
          <w:rFonts w:cs="Times New Roman"/>
        </w:rPr>
        <w:t>hil</w:t>
      </w:r>
      <w:r w:rsidR="008E6A34" w:rsidRPr="00C3521D">
        <w:rPr>
          <w:rFonts w:cs="Times New Roman"/>
        </w:rPr>
        <w:t>st</w:t>
      </w:r>
      <w:r w:rsidR="00C352A2" w:rsidRPr="00C3521D">
        <w:rPr>
          <w:rFonts w:cs="Times New Roman"/>
        </w:rPr>
        <w:t xml:space="preserve"> cardiac-specific</w:t>
      </w:r>
      <w:r w:rsidR="00672DCD">
        <w:rPr>
          <w:rFonts w:cs="Times New Roman"/>
        </w:rPr>
        <w:fldChar w:fldCharType="begin" w:fldLock="1"/>
      </w:r>
      <w:r w:rsidR="00672DCD">
        <w:rPr>
          <w:rFonts w:cs="Times New Roman"/>
        </w:rPr>
        <w:instrText>ADDIN CSL_CITATION {"citationItems":[{"id":"ITEM-1","itemData":{"DOI":"10.1093/eurheartj/ehs154","ISBN":"0195-668X","ISSN":"0195668X","PMID":"22723599","abstract":"Recommendations for the use of cardiac troponin (cTn) measurement in acute cardiac care have recently been published.1 Subsequently, a high-sensitivity (hs) cTn T assay was introduced into routine clinical practice.2 This assay, as others, called highly sensitive, permits measurement of cTn concentrations in significant numbers of apparently illness-free individuals. These assays can measure cTn in the single digit range of nanograms per litre (=picograms per millilitre) and some research assays even allow detection of concentrations &lt;1 ng/L.2–4 Thus, they provide a more precise calculation of the 99th percentile of cTn concentration in reference subjects (the recommended upper reference limit [URL]). These assays measure the URL with a coefficient of variation (CV) &lt;10%.2–4 The high precision of hs-cTn assays increases their ability to determine small differences in cTn over time. Many assays currently in use have a CV &gt;10% at the 99th percentile URL limiting that ability.5–7 However, the less precise cTn assays do not cause clinically relevant false-positive diagnosis of acute myocardial infarction (AMI) and a CV &lt;20% at the 99th percentile URL is still considered acceptable.8 We believe that hs-cTn assays, if used appropriately, will improve clinical care. We propose criteria for the clinical interpretation of test results based on the limited evidence available at this time. ‘Sensitive’ and ‘high-sensitive’ are terms often used by manufacturers to describe their assays for marketing purposes. In some cases, it reflects higher sensitivity than former assays developed by the same company, and in other situations it reflects a higher sensitivity than most assays on the market. Although there is still no consensus regarding when the terms ‘sensitive’ and ‘high-sensitive’ should be applied, we advocate that cTn assays should be labelled ‘high-sensitive’ only if they fulfil the analytical criteria suggested by …","author":[{"dropping-particle":"","family":"Thygesen","given":"Kristian","non-dropping-particle":"","parse-names":false,"suffix":""},{"dropping-particle":"","family":"Mair","given":"Johannes","non-dropping-particle":"","parse-names":false,"suffix":""},{"dropping-particle":"","family":"Giannitsis","given":"Evangelos","non-dropping-particle":"","parse-names":false,"suffix":""},{"dropping-particle":"","family":"Mueller","given":"Christian","non-dropping-particle":"","parse-names":false,"suffix":""},{"dropping-particle":"","family":"Lindahl","given":"Bertil","non-dropping-particle":"","parse-names":false,"suffix":""},{"dropping-particle":"","family":"Blankenberg","given":"Stefan","non-dropping-particle":"","parse-names":false,"suffix":""},{"dropping-particle":"","family":"Huber","given":"Kurt","non-dropping-particle":"","parse-names":false,"suffix":""},{"dropping-particle":"","family":"Plebani","given":"Mario","non-dropping-particle":"","parse-names":false,"suffix":""},{"dropping-particle":"","family":"Biasucci","given":"Luigi M.","non-dropping-particle":"","parse-names":false,"suffix":""},{"dropping-particle":"","family":"Tubaro","given":"Marco","non-dropping-particle":"","parse-names":false,"suffix":""},{"dropping-particle":"","family":"Collinson","given":"Paul","non-dropping-particle":"","parse-names":false,"suffix":""},{"dropping-particle":"","family":"Venge","given":"Per","non-dropping-particle":"","parse-names":false,"suffix":""},{"dropping-particle":"","family":"Hasin","given":"Yonathan","non-dropping-particle":"","parse-names":false,"suffix":""},{"dropping-particle":"","family":"Galvani","given":"Marcello","non-dropping-particle":"","parse-names":false,"suffix":""},{"dropping-particle":"","family":"Koenig","given":"Wolfgang","non-dropping-particle":"","parse-names":false,"suffix":""},{"dropping-particle":"","family":"Hamm","given":"Christian","non-dropping-particle":"","parse-names":false,"suffix":""},{"dropping-particle":"","family":"Alpert","given":"Joseph S.","non-dropping-particle":"","parse-names":false,"suffix":""},{"dropping-particle":"","family":"Katus","given":"Hugo","non-dropping-particle":"","parse-names":false,"suffix":""},{"dropping-particle":"","family":"Jaffe","given":"Allan S.","non-dropping-particle":"","parse-names":false,"suffix":""},{"dropping-particle":"","family":"Care","given":"Study Group on Biomarkers in Cardiology of E S C Working Group on Acute Cardiac","non-dropping-particle":"","parse-names":false,"suffix":""}],"container-title":"European Heart Journal","id":"ITEM-1","issue":"18","issued":{"date-parts":[["2012","9","1"]]},"page":"2252-2257","publisher-place":"Department of Cardiology, Aarhus University Hospital, Tage-Hansens Gade 2, DK-8000 Aarhus C, Denmark. kristhyg@rm.dk","title":"How to use high-sensitivity cardiac troponins in acute cardiac care","type":"article-journal","volume":"33"},"uris":["http://www.mendeley.com/documents/?uuid=fa2d34be-aa8e-487f-8fa0-6449c2a25654"]}],"mendeley":{"formattedCitation":"&lt;sup&gt;8&lt;/sup&gt;","plainTextFormattedCitation":"8","previouslyFormattedCitation":"&lt;sup&gt;8&lt;/sup&gt;"},"properties":{"noteIndex":0},"schema":"https://github.com/citation-style-language/schema/raw/master/csl-citation.json"}</w:instrText>
      </w:r>
      <w:r w:rsidR="00672DCD">
        <w:rPr>
          <w:rFonts w:cs="Times New Roman"/>
        </w:rPr>
        <w:fldChar w:fldCharType="separate"/>
      </w:r>
      <w:r w:rsidR="00672DCD" w:rsidRPr="00672DCD">
        <w:rPr>
          <w:rFonts w:cs="Times New Roman"/>
          <w:noProof/>
          <w:vertAlign w:val="superscript"/>
        </w:rPr>
        <w:t>8</w:t>
      </w:r>
      <w:r w:rsidR="00672DCD">
        <w:rPr>
          <w:rFonts w:cs="Times New Roman"/>
        </w:rPr>
        <w:fldChar w:fldCharType="end"/>
      </w:r>
      <w:r w:rsidR="00672DCD">
        <w:rPr>
          <w:rFonts w:cs="Times New Roman"/>
        </w:rPr>
        <w:t>,</w:t>
      </w:r>
      <w:r w:rsidR="006863A4" w:rsidRPr="00C3521D">
        <w:rPr>
          <w:rFonts w:cs="Times New Roman"/>
        </w:rPr>
        <w:t xml:space="preserve"> </w:t>
      </w:r>
      <w:r w:rsidR="00C352A2" w:rsidRPr="00C3521D">
        <w:rPr>
          <w:rFonts w:cs="Times New Roman"/>
        </w:rPr>
        <w:t>the cTnT POCT assay has a Limit of Quantification (LoQ) of 50 ng/L</w:t>
      </w:r>
      <w:r w:rsidRPr="00C3521D">
        <w:rPr>
          <w:rFonts w:cs="Times New Roman"/>
        </w:rPr>
        <w:t>, w</w:t>
      </w:r>
      <w:r w:rsidR="00CC2EC2" w:rsidRPr="00C3521D">
        <w:rPr>
          <w:rFonts w:cs="Times New Roman"/>
        </w:rPr>
        <w:t>ith a</w:t>
      </w:r>
      <w:r w:rsidRPr="00C3521D">
        <w:rPr>
          <w:rFonts w:cs="Times New Roman"/>
        </w:rPr>
        <w:t xml:space="preserve"> </w:t>
      </w:r>
      <w:r w:rsidR="00C352A2" w:rsidRPr="00C3521D">
        <w:rPr>
          <w:rFonts w:cs="Times New Roman"/>
        </w:rPr>
        <w:t>99</w:t>
      </w:r>
      <w:r w:rsidR="00C352A2" w:rsidRPr="00C3521D">
        <w:rPr>
          <w:rFonts w:cs="Times New Roman"/>
          <w:vertAlign w:val="superscript"/>
        </w:rPr>
        <w:t>th</w:t>
      </w:r>
      <w:r w:rsidR="00C352A2" w:rsidRPr="00C3521D">
        <w:rPr>
          <w:rFonts w:cs="Times New Roman"/>
        </w:rPr>
        <w:t xml:space="preserve"> centile</w:t>
      </w:r>
      <w:r w:rsidRPr="00C3521D">
        <w:rPr>
          <w:rFonts w:cs="Times New Roman"/>
        </w:rPr>
        <w:t>, defined by laboratory platform</w:t>
      </w:r>
      <w:r w:rsidR="00CC2EC2" w:rsidRPr="00C3521D">
        <w:rPr>
          <w:rFonts w:cs="Times New Roman"/>
        </w:rPr>
        <w:t>s, of</w:t>
      </w:r>
      <w:r w:rsidR="00C352A2" w:rsidRPr="00C3521D">
        <w:rPr>
          <w:rFonts w:cs="Times New Roman"/>
        </w:rPr>
        <w:t xml:space="preserve"> 14 ng/L. Copeptin, on the other hand, is released early after </w:t>
      </w:r>
      <w:r w:rsidR="00CC2EC2" w:rsidRPr="00C3521D">
        <w:rPr>
          <w:rFonts w:cs="Times New Roman"/>
        </w:rPr>
        <w:lastRenderedPageBreak/>
        <w:t>acute illness</w:t>
      </w:r>
      <w:r w:rsidR="00C352A2" w:rsidRPr="00C3521D">
        <w:rPr>
          <w:rFonts w:cs="Times New Roman"/>
        </w:rPr>
        <w:t xml:space="preserve">, </w:t>
      </w:r>
      <w:r w:rsidR="00CC2EC2" w:rsidRPr="00C3521D">
        <w:rPr>
          <w:rFonts w:cs="Times New Roman"/>
        </w:rPr>
        <w:t xml:space="preserve">but </w:t>
      </w:r>
      <w:r w:rsidR="00292DB5" w:rsidRPr="00C3521D">
        <w:rPr>
          <w:rFonts w:cs="Times New Roman"/>
        </w:rPr>
        <w:t xml:space="preserve">low </w:t>
      </w:r>
      <w:r w:rsidR="00CC2EC2" w:rsidRPr="00C3521D">
        <w:rPr>
          <w:rFonts w:cs="Times New Roman"/>
        </w:rPr>
        <w:t>specificity</w:t>
      </w:r>
      <w:r w:rsidR="00C352A2" w:rsidRPr="00C3521D">
        <w:rPr>
          <w:rFonts w:cs="Times New Roman"/>
        </w:rPr>
        <w:t xml:space="preserve"> limit</w:t>
      </w:r>
      <w:r w:rsidR="00CC2EC2" w:rsidRPr="00C3521D">
        <w:rPr>
          <w:rFonts w:cs="Times New Roman"/>
        </w:rPr>
        <w:t xml:space="preserve">s its use in guiding patients towards regional interventional cardiology </w:t>
      </w:r>
      <w:r w:rsidR="005A2751" w:rsidRPr="00C3521D">
        <w:rPr>
          <w:rFonts w:cs="Times New Roman"/>
        </w:rPr>
        <w:t>centres</w:t>
      </w:r>
      <w:r w:rsidR="006C1420">
        <w:rPr>
          <w:rFonts w:cs="Times New Roman"/>
        </w:rPr>
        <w:t>.</w:t>
      </w:r>
      <w:r w:rsidR="00672DCD">
        <w:rPr>
          <w:rFonts w:cs="Times New Roman"/>
        </w:rPr>
        <w:fldChar w:fldCharType="begin" w:fldLock="1"/>
      </w:r>
      <w:r w:rsidR="00672DCD">
        <w:rPr>
          <w:rFonts w:cs="Times New Roman"/>
        </w:rPr>
        <w:instrText>ADDIN CSL_CITATION {"citationItems":[{"id":"ITEM-1","itemData":{"abstract":"PURPOSE:In patients with a suspected acute myocardial infarction (AMI), to evaluate the potential for early triage based on measurement of high-sensitivity cardiac troponin T (hs-cTnT) and copeptin in blood samples collected in the prehospital phase.\n\nMATERIALS AND METHODS:In this retrospective study, we measured hs-cTnT and copeptin in blood samples collected in the ambulance form 962 patients with suspected AMI. The diagnostic accuracy was estimated by receiver-operating characteristic (ROC) curve area under the curve (AUC) for both biomarkers and a combined model. Multivariable Cox regression modelling was used to estimate the predictive value of both biomarkers.\n\nRESULTS:In total, 178 (19%) cases had AMI. The AUC for hs-cTnT was 0.81. Adding copeptin increased the AUC to 0.85 (p = 0.004) and the combined model allowed a prehospital rule-out of 45% of cases without AMI (negative predictive value, NPV 98%). Both biomarkers are highly predictive of outcome.\n\nCONCLUSIONS:A future application of hs-cTnT and copeptin measurement, performed already in the prehospital phase, could potentially improve the prehospital diagnostic and prognostic classification of patients with a suspected AMI.","author":[{"dropping-particle":"","family":"Stengaard","given":"Carsten","non-dropping-particle":"","parse-names":false,"suffix":""},{"dropping-particle":"","family":"Sørensen","given":"Jacob T","non-dropping-particle":"","parse-names":false,"suffix":""},{"dropping-particle":"","family":"Ladefoged","given":"Søren A","non-dropping-particle":"","parse-names":false,"suffix":""},{"dropping-particle":"","family":"Lassen","given":"Jens F","non-dropping-particle":"","parse-names":false,"suffix":""},{"dropping-particle":"","family":"Rasmussen","given":"Martin B","non-dropping-particle":"","parse-names":false,"suffix":""},{"dropping-particle":"","family":"Pedersen","given":"Claus Kjær","non-dropping-particle":"","parse-names":false,"suffix":""},{"dropping-particle":"","family":"Ayer","given":"Antoine","non-dropping-particle":"","parse-names":false,"suffix":""},{"dropping-particle":"","family":"Bøtker","given":"Hans Erik","non-dropping-particle":"","parse-names":false,"suffix":""},{"dropping-particle":"","family":"Terkelsen","given":"Christian J","non-dropping-particle":"","parse-names":false,"suffix":""},{"dropping-particle":"","family":"Thygesen","given":"Kristian","non-dropping-particle":"","parse-names":false,"suffix":""}],"container-title":"Biomarkers : biochemical indicators of exposure, response, and susceptibility to chemicals","id":"ITEM-1","issue":"3","issued":{"date-parts":[["2016","12","12"]]},"page":"1-13","publisher":"Informa UK Ltd.","publisher-place":"a Department of Cardiology , Aarhus University Hospital , Aarhus , Denmark.","title":"The potential of optimizing prehospital triage of patients with suspected acute myocardial infarction using high-sensitivity cardiac troponin T and copeptin.","type":"article-journal","volume":"37"},"uris":["http://www.mendeley.com/documents/?uuid=9f926f78-2465-4407-9ba6-04a541a9eddf"]}],"mendeley":{"formattedCitation":"&lt;sup&gt;9&lt;/sup&gt;","plainTextFormattedCitation":"9","previouslyFormattedCitation":"&lt;sup&gt;9&lt;/sup&gt;"},"properties":{"noteIndex":0},"schema":"https://github.com/citation-style-language/schema/raw/master/csl-citation.json"}</w:instrText>
      </w:r>
      <w:r w:rsidR="00672DCD">
        <w:rPr>
          <w:rFonts w:cs="Times New Roman"/>
        </w:rPr>
        <w:fldChar w:fldCharType="separate"/>
      </w:r>
      <w:r w:rsidR="00672DCD" w:rsidRPr="00672DCD">
        <w:rPr>
          <w:rFonts w:cs="Times New Roman"/>
          <w:noProof/>
          <w:vertAlign w:val="superscript"/>
        </w:rPr>
        <w:t>9</w:t>
      </w:r>
      <w:r w:rsidR="00672DCD">
        <w:rPr>
          <w:rFonts w:cs="Times New Roman"/>
        </w:rPr>
        <w:fldChar w:fldCharType="end"/>
      </w:r>
    </w:p>
    <w:p w14:paraId="4B3805F7" w14:textId="3612D4AC" w:rsidR="00C352A2" w:rsidRPr="00C3521D" w:rsidRDefault="00790F9B" w:rsidP="00C352A2">
      <w:pPr>
        <w:rPr>
          <w:rFonts w:cs="Times New Roman"/>
        </w:rPr>
      </w:pPr>
      <w:r>
        <w:rPr>
          <w:rFonts w:cs="Times New Roman"/>
        </w:rPr>
        <w:t>We previously described cardiac myosin-binding protein C (</w:t>
      </w:r>
      <w:r w:rsidR="00AC5E0B" w:rsidRPr="00C3521D">
        <w:rPr>
          <w:rFonts w:cs="Times New Roman"/>
        </w:rPr>
        <w:t>cMyC</w:t>
      </w:r>
      <w:r>
        <w:rPr>
          <w:rFonts w:cs="Times New Roman"/>
        </w:rPr>
        <w:t xml:space="preserve">) – </w:t>
      </w:r>
      <w:r w:rsidRPr="00C3521D">
        <w:rPr>
          <w:rFonts w:cs="Times New Roman"/>
        </w:rPr>
        <w:t>a novel biomarker of myocardial necrosis</w:t>
      </w:r>
      <w:r>
        <w:rPr>
          <w:rFonts w:cs="Times New Roman"/>
        </w:rPr>
        <w:t xml:space="preserve"> and </w:t>
      </w:r>
      <w:r w:rsidR="00AC5E0B" w:rsidRPr="00C3521D">
        <w:rPr>
          <w:rFonts w:cs="Times New Roman"/>
        </w:rPr>
        <w:t>a more abundant analyte than cardiac Troponins (cTn)</w:t>
      </w:r>
      <w:r>
        <w:rPr>
          <w:rFonts w:cs="Times New Roman"/>
        </w:rPr>
        <w:t>.</w:t>
      </w:r>
      <w:r w:rsidR="00AC5E0B">
        <w:rPr>
          <w:rFonts w:cs="Times New Roman"/>
        </w:rPr>
        <w:fldChar w:fldCharType="begin" w:fldLock="1"/>
      </w:r>
      <w:r w:rsidR="0041496F">
        <w:rPr>
          <w:rFonts w:cs="Times New Roman"/>
        </w:rPr>
        <w:instrText>ADDIN CSL_CITATION {"citationItems":[{"id":"ITEM-1","itemData":{"DOI":"10.1373/clinchem.2016.264648","ISSN":"15308561","PMID":"28377413","abstract":"BACKGROUND:Myocardial infarction is diagnosed when biomarkers of cardiac necrosis exceed the 99th centile, although guidelines advocate even lower concentrations for early rule-out. We examined how many myocytes and how much myocardium these concentrations represent. We also examined if dietary troponin can confound the rule-out algorithm. METHODS:Individual rat cardiac myocytes, rat myocardium, ovine myocardium, or human myocardium were spiked into 400-μL aliquots of human serum. Blood was drawn from a volunteer after ingestion of ovine myocardium. High-sensitivity assays were used to measure cardiac troponin T (cTnT; Roche, Elecsys), cTnI (Abbott, Architect), and cardiac myosin-binding protein C (cMyC; EMD Millipore, Erenna(®)). RESULTS:The cMyC assay could only detect the human protein. For each rat cardiac myocyte added to 400 μL of human serum, cTnT and cTnI increased by 19.0 ng/L (95% CI, 16.8-21.2) and 18.9 ng/L (95% CI, 14.7-23.1), respectively. Under identical conditions cTnT, cTnI, and cMyC increased by 3.9 ng/L (95% CI, 3.6-4.3), 4.3 ng/L (95% CI, 3.8-4.7), and 41.0 ng/L (95% CI, 38.0-44.0) per μg of human myocardium. There was no detectable change in cTnI or cTnT concentration after ingestion of sufficient ovine myocardium to increase cTnT and cTnI to approximately 1 × 10(8) times their lower limits of quantification. CONCLUSIONS:Based on pragmatic assumptions regarding cTn and cMyC release efficiency, circulating species, and volume of distribution, 99th centile concentrations may be exceeded by necrosis of 40 mg of myocardium. This volume is much too small to detect by noninvasive imaging.","author":[{"dropping-particle":"","family":"Marjot","given":"Jack","non-dropping-particle":"","parse-names":false,"suffix":""},{"dropping-particle":"","family":"Kaier","given":"Thomas E.","non-dropping-particle":"","parse-names":false,"suffix":""},{"dropping-particle":"","family":"Martin","given":"Eva D.","non-dropping-particle":"","parse-names":false,"suffix":""},{"dropping-particle":"","family":"Reji","given":"Shiney S.","non-dropping-particle":"","parse-names":false,"suffix":""},{"dropping-particle":"","family":"Copeland","given":"O'Neal","non-dropping-particle":"","parse-names":false,"suffix":""},{"dropping-particle":"","family":"Iqbal","given":"Mohammed","non-dropping-particle":"","parse-names":false,"suffix":""},{"dropping-particle":"","family":"Goodson","given":"Bob","non-dropping-particle":"","parse-names":false,"suffix":""},{"dropping-particle":"","family":"Hamren","given":"Sarah","non-dropping-particle":"","parse-names":false,"suffix":""},{"dropping-particle":"","family":"Harding","given":"Sian E.","non-dropping-particle":"","parse-names":false,"suffix":""},{"dropping-particle":"","family":"Marber","given":"Michael S.","non-dropping-particle":"","parse-names":false,"suffix":""}],"container-title":"Clinical Chemistry","id":"ITEM-1","issue":"5","issued":{"date-parts":[["2017","5","1"]]},"page":"990-996","publisher-place":"King's College London BHF Centre, The Rayne Institute, St Thomas' Hospital, London, UK.","title":"Quantifying the Release of Biomarkers of Myocardial Necrosis from Cardiac Myocytes and Intact Myocardium.","type":"article-journal","volume":"63"},"uris":["http://www.mendeley.com/documents/?uuid=2e82ac7a-10d1-44f9-8ea0-e7eec6cf4129"]},{"id":"ITEM-2","itemData":{"abstract":"Basic Research in Cardiology, doi:10.1007/s00395-015-0478-5","author":[{"dropping-particle":"","family":"Baker","given":"James O","non-dropping-particle":"","parse-names":false,"suffix":""},{"dropping-particle":"","family":"Tyther","given":"Raymond","non-dropping-particle":"","parse-names":false,"suffix":""},{"dropping-particle":"","family":"Liebetrau","given":"Christoph","non-dropping-particle":"","parse-names":false,"suffix":""},{"dropping-particle":"","family":"Clark","given":"James","non-dropping-particle":"","parse-names":false,"suffix":""},{"dropping-particle":"","family":"Howarth","given":"Robert","non-dropping-particle":"","parse-names":false,"suffix":""},{"dropping-particle":"","family":"Patterson","given":"Tiffany","non-dropping-particle":"","parse-names":false,"suffix":""},{"dropping-particle":"","family":"Möllmann","given":"Helge","non-dropping-particle":"","parse-names":false,"suffix":""},{"dropping-particle":"","family":"Nef","given":"Holger","non-dropping-particle":"","parse-names":false,"suffix":""},{"dropping-particle":"","family":"Sicard","given":"Pierre","non-dropping-particle":"","parse-names":false,"suffix":""},{"dropping-particle":"","family":"Kailey","given":"Balrik","non-dropping-particle":"","parse-names":false,"suffix":""},{"dropping-particle":"","family":"Devaraj","given":"Renuka","non-dropping-particle":"","parse-names":false,"suffix":""},{"dropping-particle":"","family":"Redwood","given":"Simon R","non-dropping-particle":"","parse-names":false,"suffix":""},{"dropping-particle":"","family":"Kunst","given":"Gudrun","non-dropping-particle":"","parse-names":false,"suffix":""},{"dropping-particle":"","family":"Weber","given":"Ekkehard","non-dropping-particle":"","parse-names":false,"suffix":""},{"dropping-particle":"","family":"Marber","given":"Michael S","non-dropping-particle":"","parse-names":false,"suffix":""}],"container-title":"Basic Research in Cardiology","id":"ITEM-2","issued":{"date-parts":[["2015","4","13"]]},"page":"1-14","publisher":"Springer Berlin Heidelberg","title":"Cardiac myosin-binding protein C: a potential early biomarker of myocardial injury","type":"article-journal"},"uris":["http://www.mendeley.com/documents/?uuid=c2635800-68ec-4632-876f-a8c0bfe88e39"]}],"mendeley":{"formattedCitation":"&lt;sup&gt;10,11&lt;/sup&gt;","plainTextFormattedCitation":"10,11","previouslyFormattedCitation":"&lt;sup&gt;10,11&lt;/sup&gt;"},"properties":{"noteIndex":0},"schema":"https://github.com/citation-style-language/schema/raw/master/csl-citation.json"}</w:instrText>
      </w:r>
      <w:r w:rsidR="00AC5E0B">
        <w:rPr>
          <w:rFonts w:cs="Times New Roman"/>
        </w:rPr>
        <w:fldChar w:fldCharType="separate"/>
      </w:r>
      <w:r w:rsidR="005C5906" w:rsidRPr="005C5906">
        <w:rPr>
          <w:rFonts w:cs="Times New Roman"/>
          <w:noProof/>
          <w:vertAlign w:val="superscript"/>
        </w:rPr>
        <w:t>10,11</w:t>
      </w:r>
      <w:r w:rsidR="00AC5E0B">
        <w:rPr>
          <w:rFonts w:cs="Times New Roman"/>
        </w:rPr>
        <w:fldChar w:fldCharType="end"/>
      </w:r>
      <w:r>
        <w:rPr>
          <w:rFonts w:cs="Times New Roman"/>
        </w:rPr>
        <w:t xml:space="preserve"> </w:t>
      </w:r>
      <w:r w:rsidRPr="00C3521D">
        <w:rPr>
          <w:rFonts w:cs="Times New Roman"/>
        </w:rPr>
        <w:t xml:space="preserve">In smaller studies investigating patients early after chest pain onset or timed cardiac injury, cMyC rises more rapidly than </w:t>
      </w:r>
      <w:r>
        <w:rPr>
          <w:rFonts w:cs="Times New Roman"/>
        </w:rPr>
        <w:t>cardiac Troponin I (</w:t>
      </w:r>
      <w:r w:rsidRPr="00C3521D">
        <w:rPr>
          <w:rFonts w:cs="Times New Roman"/>
        </w:rPr>
        <w:t>cTnI</w:t>
      </w:r>
      <w:r>
        <w:rPr>
          <w:rFonts w:cs="Times New Roman"/>
        </w:rPr>
        <w:t>)</w:t>
      </w:r>
      <w:r>
        <w:rPr>
          <w:rFonts w:cs="Times New Roman"/>
        </w:rPr>
        <w:fldChar w:fldCharType="begin" w:fldLock="1"/>
      </w:r>
      <w:r w:rsidR="00040B16">
        <w:rPr>
          <w:rFonts w:cs="Times New Roman"/>
        </w:rPr>
        <w:instrText>ADDIN CSL_CITATION {"citationItems":[{"id":"ITEM-1","itemData":{"author":[{"dropping-particle":"","family":"Kaier","given":"Thomas E","non-dropping-particle":"","parse-names":false,"suffix":""},{"dropping-particle":"","family":"Anand","given":"Atul","non-dropping-particle":"","parse-names":false,"suffix":""},{"dropping-particle":"V","family":"Shah","given":"Anoop S","non-dropping-particle":"","parse-names":false,"suffix":""},{"dropping-particle":"","family":"Mills","given":"Nicholas L","non-dropping-particle":"","parse-names":false,"suffix":""},{"dropping-particle":"","family":"Marber","given":"Michael","non-dropping-particle":"","parse-names":false,"suffix":""}],"container-title":"Clinical Chemistry","id":"ITEM-1","issue":"8","issued":{"date-parts":[["2016","8","1"]]},"page":"1153-1155","publisher-place":"King's College London BHF Centre The Rayne Institute, St Thomas' Hospital London, UK.","title":"Temporal Relationship between Cardiac Myosin-Binding Protein C and Cardiac Troponin I in Type 1 Myocardial Infarction.","type":"article-journal","volume":"62"},"uris":["http://www.mendeley.com/documents/?uuid=c1f17ef3-8016-4092-8d9c-13f54fbc5d77"]},{"id":"ITEM-2","itemData":{"abstract":"Basic Research in Cardiology, doi:10.1007/s00395-015-0478-5","author":[{"dropping-particle":"","family":"Baker","given":"James O","non-dropping-particle":"","parse-names":false,"suffix":""},{"dropping-particle":"","family":"Tyther","given":"Raymond","non-dropping-particle":"","parse-names":false,"suffix":""},{"dropping-particle":"","family":"Liebetrau","given":"Christoph","non-dropping-particle":"","parse-names":false,"suffix":""},{"dropping-particle":"","family":"Clark","given":"James","non-dropping-particle":"","parse-names":false,"suffix":""},{"dropping-particle":"","family":"Howarth","given":"Robert","non-dropping-particle":"","parse-names":false,"suffix":""},{"dropping-particle":"","family":"Patterson","given":"Tiffany","non-dropping-particle":"","parse-names":false,"suffix":""},{"dropping-particle":"","family":"Möllmann","given":"Helge","non-dropping-particle":"","parse-names":false,"suffix":""},{"dropping-particle":"","family":"Nef","given":"Holger","non-dropping-particle":"","parse-names":false,"suffix":""},{"dropping-particle":"","family":"Sicard","given":"Pierre","non-dropping-particle":"","parse-names":false,"suffix":""},{"dropping-particle":"","family":"Kailey","given":"Balrik","non-dropping-particle":"","parse-names":false,"suffix":""},{"dropping-particle":"","family":"Devaraj","given":"Renuka","non-dropping-particle":"","parse-names":false,"suffix":""},{"dropping-particle":"","family":"Redwood","given":"Simon R","non-dropping-particle":"","parse-names":false,"suffix":""},{"dropping-particle":"","family":"Kunst","given":"Gudrun","non-dropping-particle":"","parse-names":false,"suffix":""},{"dropping-particle":"","family":"Weber","given":"Ekkehard","non-dropping-particle":"","parse-names":false,"suffix":""},{"dropping-particle":"","family":"Marber","given":"Michael S","non-dropping-particle":"","parse-names":false,"suffix":""}],"container-title":"Basic Research in Cardiology","id":"ITEM-2","issued":{"date-parts":[["2015","4","13"]]},"page":"1-14","publisher":"Springer Berlin Heidelberg","title":"Cardiac myosin-binding protein C: a potential early biomarker of myocardial injury","type":"article-journal"},"uris":["http://www.mendeley.com/documents/?uuid=c2635800-68ec-4632-876f-a8c0bfe88e39"]}],"mendeley":{"formattedCitation":"&lt;sup&gt;11,12&lt;/sup&gt;","plainTextFormattedCitation":"11,12","previouslyFormattedCitation":"&lt;sup&gt;11,12&lt;/sup&gt;"},"properties":{"noteIndex":0},"schema":"https://github.com/citation-style-language/schema/raw/master/csl-citation.json"}</w:instrText>
      </w:r>
      <w:r>
        <w:rPr>
          <w:rFonts w:cs="Times New Roman"/>
        </w:rPr>
        <w:fldChar w:fldCharType="separate"/>
      </w:r>
      <w:r w:rsidR="0041496F" w:rsidRPr="0041496F">
        <w:rPr>
          <w:rFonts w:cs="Times New Roman"/>
          <w:noProof/>
          <w:vertAlign w:val="superscript"/>
        </w:rPr>
        <w:t>11,12</w:t>
      </w:r>
      <w:r>
        <w:rPr>
          <w:rFonts w:cs="Times New Roman"/>
        </w:rPr>
        <w:fldChar w:fldCharType="end"/>
      </w:r>
      <w:r>
        <w:rPr>
          <w:rFonts w:cs="Times New Roman"/>
        </w:rPr>
        <w:t xml:space="preserve"> – at equal, absolute tissue-specificity</w:t>
      </w:r>
      <w:r w:rsidRPr="00C3521D">
        <w:rPr>
          <w:rFonts w:cs="Times New Roman"/>
        </w:rPr>
        <w:t>.</w:t>
      </w:r>
      <w:r w:rsidR="00AC5E0B" w:rsidRPr="00C3521D">
        <w:rPr>
          <w:rFonts w:cs="Times New Roman"/>
        </w:rPr>
        <w:t xml:space="preserve"> </w:t>
      </w:r>
      <w:r>
        <w:rPr>
          <w:rFonts w:cs="Times New Roman"/>
        </w:rPr>
        <w:t>I</w:t>
      </w:r>
      <w:r w:rsidR="005C5906">
        <w:rPr>
          <w:rFonts w:cs="Times New Roman"/>
        </w:rPr>
        <w:t>n a recently published study</w:t>
      </w:r>
      <w:r w:rsidR="005C5906">
        <w:rPr>
          <w:rFonts w:cs="Times New Roman"/>
        </w:rPr>
        <w:fldChar w:fldCharType="begin" w:fldLock="1"/>
      </w:r>
      <w:r w:rsidR="00040B16">
        <w:rPr>
          <w:rFonts w:cs="Times New Roman"/>
        </w:rPr>
        <w:instrText>ADDIN CSL_CITATION {"citationItems":[{"id":"ITEM-1","itemData":{"abstract":"BACKGROUND:Cardiac myosin-binding protein C (cMyC) is a cardiac-restricted protein that is more abundant than cardiac troponins (cTn) and is released more rapidly after acute myocardial infarction (AMI). We evaluated cMyC as an adjunct or alternative to cTn in the early diagnosis of AMI. METHODS:Unselected patients (N=1954) presenting to the emergency department with symptoms suggestive of AMI, concentrations of cMyC, and high-sensitivity (hs) and standard-sensitivity cTn were measured at presentation. The final diagnosis of AMI was independently adjudicated using all available clinical and biochemical information without knowledge of cMyC. The prognostic end point was long-term mortality. RESULTS:Final diagnosis was AMI in 340 patients (17%). Concentrations of cMyC at presentation were significantly higher in those with versus without AMI (median, 237 ng/L versus 13 ng/L, P&lt;0.001). Discriminatory power for AMI, as quantified by the area under the receiver-operating characteristic curve (AUC), was comparable for cMyC (AUC, 0.924), hs-cTnT (AUC, 0.927), and hs-cTnI (AUC, 0.922) and superior to cTnI measured by a contemporary sensitivity assay (AUC, 0.909). The combination of cMyC with hs-cTnT or standard-sensitivity cTnI (but not hs-cTnI) led to an increase in AUC to 0.931 (P&lt;0.0001) and 0.926 (P=0.003), respectively. Use of cMyC more accurately classified patients with a single blood test into rule-out or rule-in categories: Net Reclassification Improvement +0.149 versus hs-cTnT, +0.235 versus hs-cTnI (P&lt;0.001). In early presenters (chest pain &lt;3 h), the improvement in rule-in/rule-out classification with cMyC was larger compared with hs-cTnT (Net Reclassification Improvement +0.256) and hs-cTnI (Net Reclassification Improvement +0.308; both P&lt;0.001). Comparing the C statistics, cMyC was superior to hs-cTnI and standard sensitivity cTnI (P&lt;0.05 for both) and similar to hs-cTnT at predicting death at 3 years. CONCLUSIONS:cMyC at presentation provides discriminatory power comparable to hs-cTnT and hs-cTnI in the diagnosis of AMI and may perform favorably in patients presenting early after symptom onset. CLINICAL TRIAL REGISTRATION:URL: https://www.clinicaltrials.gov. Unique identifier: NCT00470587.","author":[{"dropping-particle":"","family":"Kaier","given":"Thomas E","non-dropping-particle":"","parse-names":false,"suffix":""},{"dropping-particle":"","family":"Twerenbold","given":"Raphael","non-dropping-particle":"","parse-names":false,"suffix":""},{"dropping-particle":"","family":"Puelacher","given":"Christian","non-dropping-particle":"","parse-names":false,"suffix":""},{"dropping-particle":"","family":"Marjot","given":"Jack","non-dropping-particle":"","parse-names":false,"suffix":""},{"dropping-particle":"","family":"Imambaccus","given":"Nazia","non-dropping-particle":"","parse-names":false,"suffix":""},{"dropping-particle":"","family":"Boeddinghaus","given":"Jasper","non-dropping-particle":"","parse-names":false,"suffix":""},{"dropping-particle":"","family":"Nestelberger","given":"Thomas","non-dropping-particle":"","parse-names":false,"suffix":""},{"dropping-particle":"","family":"Badertscher","given":"Patrick","non-dropping-particle":"","parse-names":false,"suffix":""},{"dropping-particle":"","family":"Sabti","given":"Zaid","non-dropping-particle":"","parse-names":false,"suffix":""},{"dropping-particle":"","family":"Gimenez","given":"Maria Rubini","non-dropping-particle":"","parse-names":false,"suffix":""},{"dropping-particle":"","family":"Wildi","given":"Karin","non-dropping-particle":"","parse-names":false,"suffix":""},{"dropping-particle":"","family":"Hillinger","given":"Petra","non-dropping-particle":"","parse-names":false,"suffix":""},{"dropping-particle":"","family":"Grimm","given":"Karin","non-dropping-particle":"","parse-names":false,"suffix":""},{"dropping-particle":"","family":"Loeffel","given":"Sarah","non-dropping-particle":"","parse-names":false,"suffix":""},{"dropping-particle":"","family":"Shrestha","given":"Samyut","non-dropping-particle":"","parse-names":false,"suffix":""},{"dropping-particle":"","family":"Widmer","given":"Dayana Flores","non-dropping-particle":"","parse-names":false,"suffix":""},{"dropping-particle":"","family":"Cupa","given":"Janosch","non-dropping-particle":"","parse-names":false,"suffix":""},{"dropping-particle":"","family":"Kozhuharov","given":"Nikola","non-dropping-particle":"","parse-names":false,"suffix":""},{"dropping-particle":"","family":"Miró","given":"Òscar","non-dropping-particle":"","parse-names":false,"suffix":""},{"dropping-particle":"","family":"Martin-Sanchez","given":"F Javier","non-dropping-particle":"","parse-names":false,"suffix":""},{"dropping-particle":"","family":"Morawiec","given":"Beata","non-dropping-particle":"","parse-names":false,"suffix":""},{"dropping-particle":"","family":"Rentsch","given":"Katharina","non-dropping-particle":"","parse-names":false,"suffix":""},{"dropping-particle":"","family":"Lohrmann","given":"Jens","non-dropping-particle":"","parse-names":false,"suffix":""},{"dropping-particle":"","family":"Kloos","given":"Wanda","non-dropping-particle":"","parse-names":false,"suffix":""},{"dropping-particle":"","family":"Osswald","given":"Stefan","non-dropping-particle":"","parse-names":false,"suffix":""},{"dropping-particle":"","family":"Reichlin","given":"Tobias","non-dropping-particle":"","parse-names":false,"suffix":""},{"dropping-particle":"","family":"Weber","given":"Ekkehard","non-dropping-particle":"","parse-names":false,"suffix":""},{"dropping-particle":"","family":"Marber","given":"Michael","non-dropping-particle":"","parse-names":false,"suffix":""},{"dropping-particle":"","family":"Mueller","given":"Christian","non-dropping-particle":"","parse-names":false,"suffix":""}],"container-title":"Circulation","id":"ITEM-1","issue":"16","issued":{"date-parts":[["2017","10","17"]]},"page":"1495-1508","publisher":"Lippincott Williams &amp; Wilkins","publisher-place":"From King's College London BHF Centre, Rayne Institute, St Thomas' Hospital, London, UK (T.K., J.M., N.I., M.M.); Department of Cardiology and Cardiovascular Research Institute Basel, University Hospital Basel, Switzerland (R.T., C.P., J.B., T.N., P.B., Z","title":"Direct Comparison of Cardiac Myosin-Binding Protein C With Cardiac Troponins for the Early Diagnosis of Acute Myocardial Infarction.","type":"article-journal","volume":"136"},"uris":["http://www.mendeley.com/documents/?uuid=84746d0c-aa2d-4e2f-a7ad-449f9bfe8cf9"]}],"mendeley":{"formattedCitation":"&lt;sup&gt;13&lt;/sup&gt;","plainTextFormattedCitation":"13","previouslyFormattedCitation":"&lt;sup&gt;13&lt;/sup&gt;"},"properties":{"noteIndex":0},"schema":"https://github.com/citation-style-language/schema/raw/master/csl-citation.json"}</w:instrText>
      </w:r>
      <w:r w:rsidR="005C5906">
        <w:rPr>
          <w:rFonts w:cs="Times New Roman"/>
        </w:rPr>
        <w:fldChar w:fldCharType="separate"/>
      </w:r>
      <w:r w:rsidR="0041496F" w:rsidRPr="0041496F">
        <w:rPr>
          <w:rFonts w:cs="Times New Roman"/>
          <w:noProof/>
          <w:vertAlign w:val="superscript"/>
        </w:rPr>
        <w:t>13</w:t>
      </w:r>
      <w:r w:rsidR="005C5906">
        <w:rPr>
          <w:rFonts w:cs="Times New Roman"/>
        </w:rPr>
        <w:fldChar w:fldCharType="end"/>
      </w:r>
      <w:r>
        <w:rPr>
          <w:rFonts w:cs="Times New Roman"/>
        </w:rPr>
        <w:t>, cMyC</w:t>
      </w:r>
      <w:r w:rsidR="005C5906">
        <w:rPr>
          <w:rFonts w:cs="Times New Roman"/>
        </w:rPr>
        <w:t xml:space="preserve"> demonstrated favourable classification into rule-out and rule-in categories when compared to hs-cTn. Specifically, </w:t>
      </w:r>
      <w:r>
        <w:rPr>
          <w:rFonts w:cs="Times New Roman"/>
        </w:rPr>
        <w:t>the reclassification improvement was more pronounced in patients presenting early after chest pain onset (≤3 hours).</w:t>
      </w:r>
      <w:r w:rsidR="00D61242" w:rsidRPr="00C3521D">
        <w:rPr>
          <w:rFonts w:cs="Times New Roman"/>
        </w:rPr>
        <w:t xml:space="preserve"> </w:t>
      </w:r>
      <w:r w:rsidR="00AC5E0B" w:rsidRPr="00C3521D">
        <w:rPr>
          <w:rFonts w:cs="Times New Roman"/>
        </w:rPr>
        <w:t>In combination, these features make cMyC an attractive biomarker for POCT.</w:t>
      </w:r>
      <w:r w:rsidR="00AC5E0B">
        <w:rPr>
          <w:rFonts w:cs="Times New Roman"/>
        </w:rPr>
        <w:t xml:space="preserve"> Recent correspondence demonstrated interest in the biomarker’s discrimination power in very early presenters, irrespective of ECG findings.</w:t>
      </w:r>
      <w:r w:rsidR="00AC5E0B">
        <w:rPr>
          <w:rFonts w:cs="Times New Roman"/>
        </w:rPr>
        <w:fldChar w:fldCharType="begin" w:fldLock="1"/>
      </w:r>
      <w:r w:rsidR="00C57B6C">
        <w:rPr>
          <w:rFonts w:cs="Times New Roman"/>
        </w:rPr>
        <w:instrText>ADDIN CSL_CITATION {"citationItems":[{"id":"ITEM-1","itemData":{"DOI":"10.1161/CIRCULATIONAHA.117.032597","ISSN":"0009-7322","author":[{"dropping-particle":"","family":"Jiang","given":"Xiaowei","non-dropping-particle":"","parse-names":false,"suffix":""},{"dropping-particle":"","family":"Tian","given":"Hongwei","non-dropping-particle":"","parse-names":false,"suffix":""},{"dropping-particle":"","family":"Qiao","given":"Shubin","non-dropping-particle":"","parse-names":false,"suffix":""}],"container-title":"Circulation","id":"ITEM-1","issue":"5","issued":{"date-parts":[["2018","7","31"]]},"page":"543-543","title":"Letter by Jiang et al Regarding Article, “Direct Comparison of Cardiac Myosin-Binding Protein C With Cardiac Troponins for the Early Diagnosis of Acute Myocardial Infarction”","type":"article-journal","volume":"138"},"uris":["http://www.mendeley.com/documents/?uuid=a6d21eb4-4100-4c61-a0d7-be496eefd40d"]},{"id":"ITEM-2","itemData":{"DOI":"10.1161/CIRCULATIONAHA.118.035880","ISBN":"0009-7322","ISSN":"15244539","author":[{"dropping-particle":"","family":"Kaier","given":"Thomas E","non-dropping-particle":"","parse-names":false,"suffix":""},{"dropping-particle":"","family":"Twerenbold","given":"Raphael","non-dropping-particle":"","parse-names":false,"suffix":""},{"dropping-particle":"","family":"Puelacher","given":"Christian","non-dropping-particle":"","parse-names":false,"suffix":""},{"dropping-particle":"","family":"Marjot","given":"Jack","non-dropping-particle":"","parse-names":false,"suffix":""},{"dropping-particle":"","family":"Imambaccus","given":"Nazia","non-dropping-particle":"","parse-names":false,"suffix":""},{"dropping-particle":"","family":"Boeddinghaus","given":"Jasper","non-dropping-particle":"","parse-names":false,"suffix":""},{"dropping-particle":"","family":"Nestelberger","given":"Thomas","non-dropping-particle":"","parse-names":false,"suffix":""},{"dropping-particle":"","family":"Badertscher","given":"Patrick","non-dropping-particle":"","parse-names":false,"suffix":""},{"dropping-particle":"","family":"Sabti","given":"Zaid","non-dropping-particle":"","parse-names":false,"suffix":""},{"dropping-particle":"","family":"Giménez","given":"Maria Rubini","non-dropping-particle":"","parse-names":false,"suffix":""},{"dropping-particle":"","family":"Wildi","given":"Karin","non-dropping-particle":"","parse-names":false,"suffix":""},{"dropping-particle":"","family":"Hillinger","given":"Petra","non-dropping-particle":"","parse-names":false,"suffix":""},{"dropping-particle":"","family":"Grimm","given":"Karin","non-dropping-particle":"","parse-names":false,"suffix":""},{"dropping-particle":"","family":"Loeffel","given":"Sarah","non-dropping-particle":"","parse-names":false,"suffix":""},{"dropping-particle":"","family":"Shrestha","given":"Samyut","non-dropping-particle":"","parse-names":false,"suffix":""},{"dropping-particle":"","family":"Widmer","given":"Dayana Flores","non-dropping-particle":"","parse-names":false,"suffix":""},{"dropping-particle":"","family":"Cupa","given":"Janosch","non-dropping-particle":"","parse-names":false,"suffix":""},{"dropping-particle":"","family":"Kozhuharov","given":"Nikola","non-dropping-particle":"","parse-names":false,"suffix":""},{"dropping-particle":"","family":"Miró","given":"Òscar","non-dropping-particle":"","parse-names":false,"suffix":""},{"dropping-particle":"","family":"Martín-Sánchez","given":"F. Javier","non-dropping-particle":"","parse-names":false,"suffix":""},{"dropping-particle":"","family":"Morawiec","given":"Beata","non-dropping-particle":"","parse-names":false,"suffix":""},{"dropping-particle":"","family":"Rentsch","given":"Katharina","non-dropping-particle":"","parse-names":false,"suffix":""},{"dropping-particle":"","family":"Lohrmann","given":"Jens","non-dropping-particle":"","parse-names":false,"suffix":""},{"dropping-particle":"","family":"Kloos","given":"Wanda","non-dropping-particle":"","parse-names":false,"suffix":""},{"dropping-particle":"","family":"Osswald","given":"Stefan","non-dropping-particle":"","parse-names":false,"suffix":""},{"dropping-particle":"","family":"Reichlin","given":"Tobias","non-dropping-particle":"","parse-names":false,"suffix":""},{"dropping-particle":"","family":"Weber","given":"Ekkehard","non-dropping-particle":"","parse-names":false,"suffix":""},{"dropping-particle":"","family":"Marber","given":"Michael","non-dropping-particle":"","parse-names":false,"suffix":""},{"dropping-particle":"","family":"Mueller","given":"Christian","non-dropping-particle":"","parse-names":false,"suffix":""}],"container-title":"Circulation","id":"ITEM-2","issued":{"date-parts":[["2018"]]},"page":"544-545","title":"Response by Kaier et al to Letter Regarding Article, “Direct Comparison of Cardiac Myosin-Binding Protein C With Cardiac Troponins for the Early Diagnosis of Acute Myocardial Infarction”","type":"article-journal","volume":"138"},"uris":["http://www.mendeley.com/documents/?uuid=2fac2d0e-7f11-4465-ad72-7754bb87e268"]}],"mendeley":{"formattedCitation":"&lt;sup&gt;14,15&lt;/sup&gt;","plainTextFormattedCitation":"14,15","previouslyFormattedCitation":"&lt;sup&gt;14,15&lt;/sup&gt;"},"properties":{"noteIndex":0},"schema":"https://github.com/citation-style-language/schema/raw/master/csl-citation.json"}</w:instrText>
      </w:r>
      <w:r w:rsidR="00AC5E0B">
        <w:rPr>
          <w:rFonts w:cs="Times New Roman"/>
        </w:rPr>
        <w:fldChar w:fldCharType="separate"/>
      </w:r>
      <w:r w:rsidR="00AC5E0B" w:rsidRPr="00AC5E0B">
        <w:rPr>
          <w:rFonts w:cs="Times New Roman"/>
          <w:noProof/>
          <w:vertAlign w:val="superscript"/>
        </w:rPr>
        <w:t>14,15</w:t>
      </w:r>
      <w:r w:rsidR="00AC5E0B">
        <w:rPr>
          <w:rFonts w:cs="Times New Roman"/>
        </w:rPr>
        <w:fldChar w:fldCharType="end"/>
      </w:r>
      <w:r w:rsidR="008E6A34" w:rsidRPr="00C3521D">
        <w:rPr>
          <w:rFonts w:cs="Times New Roman"/>
        </w:rPr>
        <w:t xml:space="preserve"> </w:t>
      </w:r>
      <w:r w:rsidR="00BD1009">
        <w:rPr>
          <w:rFonts w:cs="Times New Roman"/>
        </w:rPr>
        <w:t>Using conventional performance metrics as well as the development of diagnostic and prognostic nomograms</w:t>
      </w:r>
      <w:r>
        <w:rPr>
          <w:rFonts w:cs="Times New Roman"/>
        </w:rPr>
        <w:t xml:space="preserve">, this </w:t>
      </w:r>
      <w:r w:rsidRPr="00C3521D">
        <w:rPr>
          <w:rFonts w:cs="Times New Roman"/>
        </w:rPr>
        <w:t>study investigated whether cMyC</w:t>
      </w:r>
      <w:r>
        <w:rPr>
          <w:rFonts w:cs="Times New Roman"/>
        </w:rPr>
        <w:t xml:space="preserve"> </w:t>
      </w:r>
      <w:r w:rsidR="00BD1009">
        <w:rPr>
          <w:rFonts w:cs="Times New Roman"/>
        </w:rPr>
        <w:t xml:space="preserve">– tested in a cohort of patients undergoing </w:t>
      </w:r>
      <w:r w:rsidR="00E048CD">
        <w:rPr>
          <w:rFonts w:cs="Times New Roman"/>
        </w:rPr>
        <w:t xml:space="preserve">in </w:t>
      </w:r>
      <w:r w:rsidR="00BD1009">
        <w:rPr>
          <w:rFonts w:cs="Times New Roman"/>
        </w:rPr>
        <w:t>ambulance blood-draws – </w:t>
      </w:r>
      <w:r>
        <w:rPr>
          <w:rFonts w:cs="Times New Roman"/>
        </w:rPr>
        <w:t>could</w:t>
      </w:r>
      <w:r w:rsidRPr="00C3521D">
        <w:rPr>
          <w:rFonts w:cs="Times New Roman"/>
        </w:rPr>
        <w:t xml:space="preserve"> aid the early diagnosis of AMI</w:t>
      </w:r>
      <w:r w:rsidR="00BD1009">
        <w:rPr>
          <w:rFonts w:cs="Times New Roman"/>
        </w:rPr>
        <w:t>.</w:t>
      </w:r>
    </w:p>
    <w:p w14:paraId="3F49B47D" w14:textId="77777777" w:rsidR="00C352A2" w:rsidRPr="00C3521D" w:rsidRDefault="00C352A2" w:rsidP="00C352A2">
      <w:pPr>
        <w:pStyle w:val="Heading2"/>
        <w:rPr>
          <w:rFonts w:cs="Times New Roman"/>
        </w:rPr>
      </w:pPr>
      <w:r w:rsidRPr="00C3521D">
        <w:rPr>
          <w:rFonts w:cs="Times New Roman"/>
        </w:rPr>
        <w:t>Methods</w:t>
      </w:r>
    </w:p>
    <w:p w14:paraId="099DFE7F" w14:textId="77777777" w:rsidR="00C352A2" w:rsidRPr="00C3521D" w:rsidRDefault="00C352A2" w:rsidP="00C352A2">
      <w:pPr>
        <w:pStyle w:val="Heading3"/>
        <w:rPr>
          <w:rFonts w:cs="Times New Roman"/>
        </w:rPr>
      </w:pPr>
      <w:r w:rsidRPr="00C3521D">
        <w:rPr>
          <w:rFonts w:cs="Times New Roman"/>
        </w:rPr>
        <w:t>Study design and population</w:t>
      </w:r>
    </w:p>
    <w:p w14:paraId="5DCB0EE8" w14:textId="546533CA" w:rsidR="00CB3054" w:rsidRDefault="00C352A2" w:rsidP="00C352A2">
      <w:pPr>
        <w:rPr>
          <w:rFonts w:cs="Times New Roman"/>
        </w:rPr>
      </w:pPr>
      <w:r w:rsidRPr="00C3521D">
        <w:rPr>
          <w:rFonts w:cs="Times New Roman"/>
        </w:rPr>
        <w:t>In an observational, prospective, quality-control study, paramedics routinely performed point-of-care cTnT measurements in patients with suspected AMI</w:t>
      </w:r>
      <w:r w:rsidR="00A37B79">
        <w:rPr>
          <w:rFonts w:cs="Times New Roman"/>
        </w:rPr>
        <w:t>.</w:t>
      </w:r>
      <w:r w:rsidR="00672DCD">
        <w:rPr>
          <w:rFonts w:cs="Times New Roman"/>
        </w:rPr>
        <w:fldChar w:fldCharType="begin" w:fldLock="1"/>
      </w:r>
      <w:r w:rsidR="00DC4723">
        <w:rPr>
          <w:rFonts w:cs="Times New Roman"/>
        </w:rPr>
        <w:instrText>ADDIN CSL_CITATION {"citationItems":[{"id":"ITEM-1","itemData":{"abstract":"Improvement of prehospital triage is essential to ensure rapid management of patients with acute myocardial infarction (AMI). This study evaluates the feasibility of prehospital quantitative point-of-care cardiac troponin T (POC-cTnT) analysis, its ability to identify patients with AMI, and its capacity to predict mortality. The study was performed in the Central Denmark Region from May 2010 to May 2011. As a supplement to electrocardiography, a prehospital POC-cTnT measurement was performed by a paramedic in patients with suspected AMI. AMI was diagnosed according to the universal definition of myocardial infarction using the ninety-ninth percentile upper reference level as diagnostic cut point. The paramedics performed POC-cTnT measurements in 985 subjects with a symptom duration of 70 minutes (95% CI, 35 to 180); of whom, 200 (20%) had an AMI. The prehospital sample was obtained 88 minutes (range, 58 to 131) before the sample made on admission to the hospital. The sensitivity for detection of patients with an AMI was 39% (95% CI, 32% to 46%) and the diagnostic accuracy of the POC-cTnT values was 0.67 (95% CI, 0.64 to 0.71). Adjusted survival analysis showed a strong significant association between elevated prehospital POC-cTnT level above the detection level of 50 ng/L and mortality in patients with a suspected AMI irrespective of whether an AMI was diagnosed. In conclusion, large-scale quantitative prehospital POC-cTnT testing by paramedics is feasible. An elevated prehospital POC-cTnT value contains diagnostic information and is highly predictive of mortality in patients with a suspected AMI.","author":[{"dropping-particle":"","family":"Stengaard","given":"Carsten","non-dropping-particle":"","parse-names":false,"suffix":""},{"dropping-particle":"","family":"Sørensen","given":"Jacob Thorsted","non-dropping-particle":"","parse-names":false,"suffix":""},{"dropping-particle":"","family":"Ladefoged","given":"Søren Andreas","non-dropping-particle":"","parse-names":false,"suffix":""},{"dropping-particle":"","family":"Christensen","given":"Erika Frischknecht","non-dropping-particle":"","parse-names":false,"suffix":""},{"dropping-particle":"","family":"Lassen","given":"Jens Flensted","non-dropping-particle":"","parse-names":false,"suffix":""},{"dropping-particle":"","family":"Bøtker","given":"Hans Erik","non-dropping-particle":"","parse-names":false,"suffix":""},{"dropping-particle":"","family":"Terkelsen","given":"Christian Juhl","non-dropping-particle":"","parse-names":false,"suffix":""},{"dropping-particle":"","family":"Thygesen","given":"Kristian","non-dropping-particle":"","parse-names":false,"suffix":""}],"container-title":"The American journal of cardiology","id":"ITEM-1","issue":"9","issued":{"date-parts":[["2013","11","1"]]},"page":"1361-1366","publisher-place":"Department of Cardiology, Aarhus University Hospital, Aarhus, Central Denmark Region, Denmark. Electronic address: carstengaard@hotmail.com.","title":"Quantitative point-of-care troponin T measurement for diagnosis and prognosis in patients with a suspected acute myocardial infarction.","type":"article-journal","volume":"112"},"uris":["http://www.mendeley.com/documents/?uuid=5535af29-2175-4d44-9945-6929cbab1563"]}],"mendeley":{"formattedCitation":"&lt;sup&gt;16&lt;/sup&gt;","plainTextFormattedCitation":"16","previouslyFormattedCitation":"&lt;sup&gt;16&lt;/sup&gt;"},"properties":{"noteIndex":0},"schema":"https://github.com/citation-style-language/schema/raw/master/csl-citation.json"}</w:instrText>
      </w:r>
      <w:r w:rsidR="00672DCD">
        <w:rPr>
          <w:rFonts w:cs="Times New Roman"/>
        </w:rPr>
        <w:fldChar w:fldCharType="separate"/>
      </w:r>
      <w:r w:rsidR="00AC5E0B" w:rsidRPr="00AC5E0B">
        <w:rPr>
          <w:rFonts w:cs="Times New Roman"/>
          <w:noProof/>
          <w:vertAlign w:val="superscript"/>
        </w:rPr>
        <w:t>16</w:t>
      </w:r>
      <w:r w:rsidR="00672DCD">
        <w:rPr>
          <w:rFonts w:cs="Times New Roman"/>
        </w:rPr>
        <w:fldChar w:fldCharType="end"/>
      </w:r>
      <w:r w:rsidRPr="00C3521D">
        <w:rPr>
          <w:rFonts w:cs="Times New Roman"/>
        </w:rPr>
        <w:t xml:space="preserve"> The point-of-care cTnT measurements were performed in 25 ambulances in the eastern part of the Central Denmark Region with a population of approximately 600,000 inhabitants from 26 May 2010 to 16 May 2011. Each patient in whom the standard operating procedure (SOP) instructed the recording of a prehospital ECG qualified for blood testing. The SOP criteria included ongoing or prolonged periods of chest discomfort within the past 12 hours, acute </w:t>
      </w:r>
      <w:r w:rsidR="005A2751" w:rsidRPr="00C3521D">
        <w:rPr>
          <w:rFonts w:cs="Times New Roman"/>
        </w:rPr>
        <w:t>dyspnoea</w:t>
      </w:r>
      <w:r w:rsidRPr="00C3521D">
        <w:rPr>
          <w:rFonts w:cs="Times New Roman"/>
        </w:rPr>
        <w:t xml:space="preserve"> in the absence </w:t>
      </w:r>
      <w:r w:rsidRPr="00C3521D">
        <w:rPr>
          <w:rFonts w:cs="Times New Roman"/>
        </w:rPr>
        <w:lastRenderedPageBreak/>
        <w:t xml:space="preserve">of known pulmonary disease, or clinical suspicion of AMI. </w:t>
      </w:r>
      <w:r w:rsidR="00C57B6C" w:rsidRPr="00CD54DC">
        <w:t>The study was reviewed by the Regional Ethical Committee and accepted as a quality control study. Oral informed consent for participation in the study was obtained in the ambulance. The study was approved by the Danish Data Protection Agency and the Danish National Board of Health.</w:t>
      </w:r>
      <w:r w:rsidR="00C57B6C">
        <w:t xml:space="preserve"> </w:t>
      </w:r>
      <w:r w:rsidR="00C57B6C" w:rsidRPr="00C57B6C">
        <w:t xml:space="preserve">The </w:t>
      </w:r>
      <w:r w:rsidR="00BB2921">
        <w:t xml:space="preserve">methods used in this analysis </w:t>
      </w:r>
      <w:r w:rsidR="00C57B6C" w:rsidRPr="00C57B6C">
        <w:t>are available from the corresponding author</w:t>
      </w:r>
      <w:r w:rsidR="00BB2921">
        <w:t>.</w:t>
      </w:r>
    </w:p>
    <w:p w14:paraId="14D0B93C" w14:textId="77777777" w:rsidR="00CB3054" w:rsidRPr="00CB3054" w:rsidRDefault="00CB3054" w:rsidP="0054134F">
      <w:pPr>
        <w:pStyle w:val="Heading3"/>
      </w:pPr>
      <w:r w:rsidRPr="00CB3054">
        <w:t>Telemedicine Triage</w:t>
      </w:r>
    </w:p>
    <w:p w14:paraId="0D3914DF" w14:textId="524AA60A" w:rsidR="00C352A2" w:rsidRPr="00C3521D" w:rsidRDefault="00C352A2" w:rsidP="00C352A2">
      <w:pPr>
        <w:rPr>
          <w:rFonts w:cs="Times New Roman"/>
        </w:rPr>
      </w:pPr>
      <w:r w:rsidRPr="00C3521D">
        <w:rPr>
          <w:rFonts w:cs="Times New Roman"/>
        </w:rPr>
        <w:t xml:space="preserve">The ECG was transmitted to the invasive cardiology </w:t>
      </w:r>
      <w:r w:rsidR="005A2751" w:rsidRPr="00C3521D">
        <w:rPr>
          <w:rFonts w:cs="Times New Roman"/>
        </w:rPr>
        <w:t>centre</w:t>
      </w:r>
      <w:r w:rsidRPr="00C3521D">
        <w:rPr>
          <w:rFonts w:cs="Times New Roman"/>
        </w:rPr>
        <w:t xml:space="preserve"> at Aarhus University Hospital, Denmark, and interpreted by the cardiologist on call. Subsequently, a telephone interview was conducted with the patient. Thereafter, a tentative cardiac or a non-cardiac diagnosis was established and the patient underwent triage to either the PCI </w:t>
      </w:r>
      <w:r w:rsidR="005A2751" w:rsidRPr="00C3521D">
        <w:rPr>
          <w:rFonts w:cs="Times New Roman"/>
        </w:rPr>
        <w:t>centre</w:t>
      </w:r>
      <w:r w:rsidRPr="00C3521D">
        <w:rPr>
          <w:rFonts w:cs="Times New Roman"/>
        </w:rPr>
        <w:t xml:space="preserve"> or a local hospital for further assessment</w:t>
      </w:r>
      <w:r w:rsidR="00A37B79">
        <w:rPr>
          <w:rFonts w:cs="Times New Roman"/>
        </w:rPr>
        <w:t>.</w:t>
      </w:r>
      <w:r w:rsidR="00672DCD">
        <w:rPr>
          <w:rFonts w:cs="Times New Roman"/>
        </w:rPr>
        <w:fldChar w:fldCharType="begin" w:fldLock="1"/>
      </w:r>
      <w:r w:rsidR="00672DCD">
        <w:rPr>
          <w:rFonts w:cs="Times New Roman"/>
        </w:rPr>
        <w:instrText>ADDIN CSL_CITATION {"citationItems":[{"id":"ITEM-1","itemData":{"abstract":"BACKGROUND:In Denmark, primary percutaneous coronary intervention (PPCI) was chosen as a national reperfusion strategy for patients with ST-segment elevation myocardial infarction in 2003. This study describes the temporal implementation of PPCI in Western Denmark, the gradual introduction of field triage for PPCI (patients rerouted from the scene of the event directly to the invasive center), and the associated outcome.\n\nMETHODS AND RESULTS:The study population comprised 9514 patients treated with PPCI from 1999 to 2009 with symptom duration ≤12 hours and either a delay from the emergency medical service (EMS) call to PPCI (healthcare system delay) of ≤6 hours or as self-presenters. The median follow-up time was 3.7 years. The number of patients treated with PPCI increased from 190 in 1999 to 1212 in 2009. Among patients transported by the EMS from the scene of the event, the proportion who were field triaged directly to a PCI center increased from 33% (34/103) to 72% (616/851, P&lt;0.001). Patients who were field triaged had lower long-term mortality, with adjusted hazard ratios (95% CI) of 1.26 (1.12-1.43) among patients transported by the EMS to a local hospital and then transferred, 1.28 (1.10-1.49) among patients self-presenting at a local hospital and then transferred, and 1.37 (1.18-1.58) among patients self-presenting at a PCI center.\n\nCONCLUSIONS:A reperfusion strategy with PPCI only for patients with ST-segment elevation myocardial infarction was successfully implemented in Western Denmark, and the majority of patients transported by the EMS are now triaged directly to the PPCI centers. This strategy is associated with lower mortality.","author":[{"dropping-particle":"","family":"Terkelsen","given":"Christian J","non-dropping-particle":"","parse-names":false,"suffix":""},{"dropping-particle":"","family":"Jensen","given":"Lisette O","non-dropping-particle":"","parse-names":false,"suffix":""},{"dropping-particle":"","family":"Tilsted","given":"Hans H","non-dropping-particle":"","parse-names":false,"suffix":""},{"dropping-particle":"","family":"Thaysen","given":"Per","non-dropping-particle":"","parse-names":false,"suffix":""},{"dropping-particle":"","family":"Ravkilde","given":"Jan","non-dropping-particle":"","parse-names":false,"suffix":""},{"dropping-particle":"","family":"Johnsen","given":"Søren P","non-dropping-particle":"","parse-names":false,"suffix":""},{"dropping-particle":"","family":"Trautner","given":"Sven","non-dropping-particle":"","parse-names":false,"suffix":""},{"dropping-particle":"","family":"Andersen","given":"Henning R","non-dropping-particle":"","parse-names":false,"suffix":""},{"dropping-particle":"","family":"Thuesen","given":"Leif","non-dropping-particle":"","parse-names":false,"suffix":""},{"dropping-particle":"","family":"Lassen","given":"Jens F","non-dropping-particle":"","parse-names":false,"suffix":""}],"container-title":"Circulation: Cardiovascular Interventions","id":"ITEM-1","issue":"6","issued":{"date-parts":[["2011","12","1"]]},"page":"570-576","publisher-place":"Department of Cardiology, Aarhus University Hospital, Aarhus, Denmark. Christian_Juhl_Terkelsen@hotmail.com","title":"Primary percutaneous coronary intervention as a national reperfusion strategy in patients with ST-segment elevation myocardial infarction.","type":"article-journal","volume":"4"},"uris":["http://www.mendeley.com/documents/?uuid=e707354d-e715-4eab-8b8b-e9614659feec"]}],"mendeley":{"formattedCitation":"&lt;sup&gt;4&lt;/sup&gt;","plainTextFormattedCitation":"4","previouslyFormattedCitation":"&lt;sup&gt;4&lt;/sup&gt;"},"properties":{"noteIndex":0},"schema":"https://github.com/citation-style-language/schema/raw/master/csl-citation.json"}</w:instrText>
      </w:r>
      <w:r w:rsidR="00672DCD">
        <w:rPr>
          <w:rFonts w:cs="Times New Roman"/>
        </w:rPr>
        <w:fldChar w:fldCharType="separate"/>
      </w:r>
      <w:r w:rsidR="00672DCD" w:rsidRPr="00672DCD">
        <w:rPr>
          <w:rFonts w:cs="Times New Roman"/>
          <w:noProof/>
          <w:vertAlign w:val="superscript"/>
        </w:rPr>
        <w:t>4</w:t>
      </w:r>
      <w:r w:rsidR="00672DCD">
        <w:rPr>
          <w:rFonts w:cs="Times New Roman"/>
        </w:rPr>
        <w:fldChar w:fldCharType="end"/>
      </w:r>
      <w:r w:rsidRPr="00C3521D">
        <w:rPr>
          <w:rFonts w:cs="Times New Roman"/>
        </w:rPr>
        <w:t xml:space="preserve"> </w:t>
      </w:r>
    </w:p>
    <w:p w14:paraId="21906FC8" w14:textId="02FB4C68" w:rsidR="00C352A2" w:rsidRDefault="00C352A2" w:rsidP="00C352A2">
      <w:pPr>
        <w:rPr>
          <w:rFonts w:cs="Times New Roman"/>
        </w:rPr>
      </w:pPr>
      <w:r w:rsidRPr="00C3521D">
        <w:rPr>
          <w:rFonts w:cs="Times New Roman"/>
        </w:rPr>
        <w:t xml:space="preserve">Following point-of-care cTnT analysis, the paramedics saved the remaining blood sample obtained in the ambulance. </w:t>
      </w:r>
      <w:r w:rsidR="005344E9">
        <w:rPr>
          <w:rFonts w:cs="Times New Roman"/>
        </w:rPr>
        <w:t xml:space="preserve">For details on sample storage &amp; analysis, as well as data sources, please see </w:t>
      </w:r>
      <w:r w:rsidR="0041067F">
        <w:rPr>
          <w:rFonts w:cs="Times New Roman"/>
        </w:rPr>
        <w:t>supplement</w:t>
      </w:r>
      <w:r w:rsidR="005344E9">
        <w:rPr>
          <w:rFonts w:cs="Times New Roman"/>
        </w:rPr>
        <w:t>.</w:t>
      </w:r>
    </w:p>
    <w:p w14:paraId="1B746B67" w14:textId="0E0E7679" w:rsidR="0051745F" w:rsidRDefault="001F3E62" w:rsidP="00263079">
      <w:pPr>
        <w:pStyle w:val="Heading3"/>
      </w:pPr>
      <w:r>
        <w:t xml:space="preserve">Cardiac biomarker </w:t>
      </w:r>
      <w:r w:rsidR="0051745F">
        <w:t>analysis</w:t>
      </w:r>
    </w:p>
    <w:p w14:paraId="7A487ADC" w14:textId="7A26A8AB" w:rsidR="0051745F" w:rsidRDefault="0051745F" w:rsidP="00C352A2">
      <w:pPr>
        <w:rPr>
          <w:rFonts w:cs="Times New Roman"/>
        </w:rPr>
      </w:pPr>
      <w:r w:rsidRPr="00C3521D">
        <w:rPr>
          <w:rFonts w:cs="Times New Roman"/>
        </w:rPr>
        <w:t>cMyC was measured using the previously established high-sensitivity assay on the Erenna platform and was performed by Millipore Sigma (Hayward, California)</w:t>
      </w:r>
      <w:r>
        <w:rPr>
          <w:rFonts w:cs="Times New Roman"/>
        </w:rPr>
        <w:t>.</w:t>
      </w:r>
      <w:r>
        <w:rPr>
          <w:rFonts w:cs="Times New Roman"/>
        </w:rPr>
        <w:fldChar w:fldCharType="begin" w:fldLock="1"/>
      </w:r>
      <w:r w:rsidR="00040B16">
        <w:rPr>
          <w:rFonts w:cs="Times New Roman"/>
        </w:rPr>
        <w:instrText>ADDIN CSL_CITATION {"citationItems":[{"id":"ITEM-1","itemData":{"abstract":"Cardiac troponins (cTns) are released and cleared slowly after myocardial injury. Cardiac myosin-binding protein C (cMyC) is a similar cardiac-restricted protein that has more rapid release and clearance kinetics. Direct comparisons are hampered by the lack of an assay for cMyC that matches the sensitivity of the contemporary assays for cTnI and cTnT. Using a novel pair of monoclonal antibodies, we generated a sensitive assay for MyC on the Erenna platform (Singulex) and compared serum concentrations with those of cTnI (Abbott) and cTnT (Roche) in stable ambulatory cardiac patients without evidence of acute cardiac injury or significant coronary artery stenoses. The assay for cMyC had a lower limit of detection of 0.4 ng/L, a lower limit of quantification (LLoQ) of 1.2 ng/L (LLoQ at 20% coefficient of variation [CV]) and reasonable recovery (107.1 ± 3.7%; mean ± standard deviation), dilutional linearity (101.0 ± 7.7%), and intraseries precision (CV, 11 ± 3%) and interseries precision (CV, 13 ± 3%). In 360 stable patients, cMyC was quantifiable in 359 patients and compared with cTnT and cTnI measured using contemporary high-sensitivity assays. cMyC concentration (median, 12.2 ng/L; interquartile range [IQR], 7.9-21.2 ng/L) was linearly correlated with those for cTnT (median, &lt;3.0 ng/L; IQR, &lt;3.0-4.9 ng/L; R = 0.56, P &lt; 0.01) and cTnI (median, 2.10 ng/L; IQR, 1.3-4.2 ng/L; R = 0.77, P &lt; 0.01) and showed similar dependencies on age, renal function, and left ventricular function. We have developed a high-sensitivity assay for cMyC. Concentrations of cMyC in clinically stable patients are highly correlated with those of cTnT and cTnI. This high correlation may enable ratiometric comparisons between biomarkers to distinguish clinical instability.","author":[{"dropping-particle":"","family":"Marjot","given":"Jack","non-dropping-particle":"","parse-names":false,"suffix":""},{"dropping-particle":"","family":"Liebetrau","given":"Christoph","non-dropping-particle":"","parse-names":false,"suffix":""},{"dropping-particle":"","family":"Goodson","given":"Robert J","non-dropping-particle":"","parse-names":false,"suffix":""},{"dropping-particle":"","family":"Kaier","given":"Thomas","non-dropping-particle":"","parse-names":false,"suffix":""},{"dropping-particle":"","family":"Weber","given":"Ekkehard","non-dropping-particle":"","parse-names":false,"suffix":""},{"dropping-particle":"","family":"Heseltine","given":"Peter","non-dropping-particle":"","parse-names":false,"suffix":""},{"dropping-particle":"","family":"Marber","given":"Michael S","non-dropping-particle":"","parse-names":false,"suffix":""}],"container-title":"Translational research : the journal of laboratory and clinical medicine","id":"ITEM-1","issued":{"date-parts":[["2016","4","1"]]},"page":"17-25","publisher-place":"King's College London BHF Centre, The Rayne Institute, St Thomas' Hospital, London, UK.","title":"The development and application of a high-sensitivity immunoassay for cardiac myosin-binding protein C.","type":"article-journal","volume":"170"},"uris":["http://www.mendeley.com/documents/?uuid=44f1ca1c-6251-44db-8bc9-a65980f0402b"]}],"mendeley":{"formattedCitation":"&lt;sup&gt;17&lt;/sup&gt;","plainTextFormattedCitation":"17","previouslyFormattedCitation":"&lt;sup&gt;17&lt;/sup&gt;"},"properties":{"noteIndex":0},"schema":"https://github.com/citation-style-language/schema/raw/master/csl-citation.json"}</w:instrText>
      </w:r>
      <w:r>
        <w:rPr>
          <w:rFonts w:cs="Times New Roman"/>
        </w:rPr>
        <w:fldChar w:fldCharType="separate"/>
      </w:r>
      <w:r w:rsidR="0041496F" w:rsidRPr="0041496F">
        <w:rPr>
          <w:rFonts w:cs="Times New Roman"/>
          <w:noProof/>
          <w:vertAlign w:val="superscript"/>
        </w:rPr>
        <w:t>17</w:t>
      </w:r>
      <w:r>
        <w:rPr>
          <w:rFonts w:cs="Times New Roman"/>
        </w:rPr>
        <w:fldChar w:fldCharType="end"/>
      </w:r>
      <w:r w:rsidRPr="00C3521D">
        <w:rPr>
          <w:rFonts w:cs="Times New Roman"/>
        </w:rPr>
        <w:t xml:space="preserve"> The assay has a lower Limit of Detection (LoD) of 0.4 ng/L and a lower Limit of Quantification (LoQ) of 1.2 ng/L with a </w:t>
      </w:r>
      <w:r>
        <w:rPr>
          <w:rFonts w:cs="Times New Roman"/>
        </w:rPr>
        <w:t>≤</w:t>
      </w:r>
      <w:r w:rsidRPr="00C3521D">
        <w:rPr>
          <w:rFonts w:cs="Times New Roman"/>
        </w:rPr>
        <w:t>20% coefficient of variation at LoQ, and ≤10% CV at 99</w:t>
      </w:r>
      <w:r w:rsidRPr="00C3521D">
        <w:rPr>
          <w:rFonts w:cs="Times New Roman"/>
          <w:vertAlign w:val="superscript"/>
        </w:rPr>
        <w:t>th</w:t>
      </w:r>
      <w:r w:rsidRPr="00C3521D">
        <w:rPr>
          <w:rFonts w:cs="Times New Roman"/>
        </w:rPr>
        <w:t xml:space="preserve"> centile.</w:t>
      </w:r>
      <w:r>
        <w:rPr>
          <w:rFonts w:cs="Times New Roman"/>
        </w:rPr>
        <w:t xml:space="preserve"> Assay precision is not affected by freeze/thaw cycles, and results are closely correlated across different matrices (serum, lithium heparin, K2 EDTA).</w:t>
      </w:r>
      <w:r w:rsidR="00AD747D">
        <w:rPr>
          <w:rFonts w:cs="Times New Roman"/>
        </w:rPr>
        <w:fldChar w:fldCharType="begin" w:fldLock="1"/>
      </w:r>
      <w:r w:rsidR="00F30B03">
        <w:rPr>
          <w:rFonts w:cs="Times New Roman"/>
        </w:rPr>
        <w:instrText>ADDIN CSL_CITATION {"citationItems":[{"id":"ITEM-1","itemData":{"abstract":"Cardiac troponins (cTns) are released and cleared slowly after myocardial injury. Cardiac myosin-binding protein C (cMyC) is a similar cardiac-restricted protein that has more rapid release and clearance kinetics. Direct comparisons are hampered by the lack of an assay for cMyC that matches the sensitivity of the contemporary assays for cTnI and cTnT. Using a novel pair of monoclonal antibodies, we generated a sensitive assay for MyC on the Erenna platform (Singulex) and compared serum concentrations with those of cTnI (Abbott) and cTnT (Roche) in stable ambulatory cardiac patients without evidence of acute cardiac injury or significant coronary artery stenoses. The assay for cMyC had a lower limit of detection of 0.4 ng/L, a lower limit of quantification (LLoQ) of 1.2 ng/L (LLoQ at 20% coefficient of variation [CV]) and reasonable recovery (107.1 ± 3.7%; mean ± standard deviation), dilutional linearity (101.0 ± 7.7%), and intraseries precision (CV, 11 ± 3%) and interseries precision (CV, 13 ± 3%). In 360 stable patients, cMyC was quantifiable in 359 patients and compared with cTnT and cTnI measured using contemporary high-sensitivity assays. cMyC concentration (median, 12.2 ng/L; interquartile range [IQR], 7.9-21.2 ng/L) was linearly correlated with those for cTnT (median, &lt;3.0 ng/L; IQR, &lt;3.0-4.9 ng/L; R = 0.56, P &lt; 0.01) and cTnI (median, 2.10 ng/L; IQR, 1.3-4.2 ng/L; R = 0.77, P &lt; 0.01) and showed similar dependencies on age, renal function, and left ventricular function. We have developed a high-sensitivity assay for cMyC. Concentrations of cMyC in clinically stable patients are highly correlated with those of cTnT and cTnI. This high correlation may enable ratiometric comparisons between biomarkers to distinguish clinical instability.","author":[{"dropping-particle":"","family":"Marjot","given":"Jack","non-dropping-particle":"","parse-names":false,"suffix":""},{"dropping-particle":"","family":"Liebetrau","given":"Christoph","non-dropping-particle":"","parse-names":false,"suffix":""},{"dropping-particle":"","family":"Goodson","given":"Robert J","non-dropping-particle":"","parse-names":false,"suffix":""},{"dropping-particle":"","family":"Kaier","given":"Thomas","non-dropping-particle":"","parse-names":false,"suffix":""},{"dropping-particle":"","family":"Weber","given":"Ekkehard","non-dropping-particle":"","parse-names":false,"suffix":""},{"dropping-particle":"","family":"Heseltine","given":"Peter","non-dropping-particle":"","parse-names":false,"suffix":""},{"dropping-particle":"","family":"Marber","given":"Michael S","non-dropping-particle":"","parse-names":false,"suffix":""}],"container-title":"Translational research : the journal of laboratory and clinical medicine","id":"ITEM-1","issued":{"date-parts":[["2016","4","1"]]},"page":"17-25","publisher-place":"King's College London BHF Centre, The Rayne Institute, St Thomas' Hospital, London, UK.","title":"The development and application of a high-sensitivity immunoassay for cardiac myosin-binding protein C.","type":"article-journal","volume":"170"},"uris":["http://www.mendeley.com/documents/?uuid=44f1ca1c-6251-44db-8bc9-a65980f0402b"]}],"mendeley":{"formattedCitation":"&lt;sup&gt;17&lt;/sup&gt;","plainTextFormattedCitation":"17","previouslyFormattedCitation":"&lt;sup&gt;17&lt;/sup&gt;"},"properties":{"noteIndex":0},"schema":"https://github.com/citation-style-language/schema/raw/master/csl-citation.json"}</w:instrText>
      </w:r>
      <w:r w:rsidR="00AD747D">
        <w:rPr>
          <w:rFonts w:cs="Times New Roman"/>
        </w:rPr>
        <w:fldChar w:fldCharType="separate"/>
      </w:r>
      <w:r w:rsidR="00AD747D" w:rsidRPr="00AD747D">
        <w:rPr>
          <w:rFonts w:cs="Times New Roman"/>
          <w:noProof/>
          <w:vertAlign w:val="superscript"/>
        </w:rPr>
        <w:t>17</w:t>
      </w:r>
      <w:r w:rsidR="00AD747D">
        <w:rPr>
          <w:rFonts w:cs="Times New Roman"/>
        </w:rPr>
        <w:fldChar w:fldCharType="end"/>
      </w:r>
      <w:r>
        <w:rPr>
          <w:rFonts w:cs="Times New Roman"/>
        </w:rPr>
        <w:t xml:space="preserve"> </w:t>
      </w:r>
      <w:r w:rsidRPr="00C3521D">
        <w:rPr>
          <w:rFonts w:cs="Times New Roman"/>
        </w:rPr>
        <w:t>The estimated 99</w:t>
      </w:r>
      <w:r w:rsidRPr="00C3521D">
        <w:rPr>
          <w:rFonts w:cs="Times New Roman"/>
          <w:vertAlign w:val="superscript"/>
        </w:rPr>
        <w:t>th</w:t>
      </w:r>
      <w:r w:rsidRPr="00C3521D">
        <w:rPr>
          <w:rFonts w:cs="Times New Roman"/>
        </w:rPr>
        <w:t xml:space="preserve"> percentile cut-off point (URL) determined previously is 87 ng/L</w:t>
      </w:r>
      <w:r>
        <w:rPr>
          <w:rFonts w:cs="Times New Roman"/>
        </w:rPr>
        <w:t>.</w:t>
      </w:r>
      <w:r>
        <w:rPr>
          <w:rFonts w:cs="Times New Roman"/>
        </w:rPr>
        <w:fldChar w:fldCharType="begin" w:fldLock="1"/>
      </w:r>
      <w:r w:rsidR="00040B16">
        <w:rPr>
          <w:rFonts w:cs="Times New Roman"/>
        </w:rPr>
        <w:instrText>ADDIN CSL_CITATION {"citationItems":[{"id":"ITEM-1","itemData":{"abstract":"Cardiac troponins (cTns) are released and cleared slowly after myocardial injury. Cardiac myosin-binding protein C (cMyC) is a similar cardiac-restricted protein that has more rapid release and clearance kinetics. Direct comparisons are hampered by the lack of an assay for cMyC that matches the sensitivity of the contemporary assays for cTnI and cTnT. Using a novel pair of monoclonal antibodies, we generated a sensitive assay for MyC on the Erenna platform (Singulex) and compared serum concentrations with those of cTnI (Abbott) and cTnT (Roche) in stable ambulatory cardiac patients without evidence of acute cardiac injury or significant coronary artery stenoses. The assay for cMyC had a lower limit of detection of 0.4 ng/L, a lower limit of quantification (LLoQ) of 1.2 ng/L (LLoQ at 20% coefficient of variation [CV]) and reasonable recovery (107.1 ± 3.7%; mean ± standard deviation), dilutional linearity (101.0 ± 7.7%), and intraseries precision (CV, 11 ± 3%) and interseries precision (CV, 13 ± 3%). In 360 stable patients, cMyC was quantifiable in 359 patients and compared with cTnT and cTnI measured using contemporary high-sensitivity assays. cMyC concentration (median, 12.2 ng/L; interquartile range [IQR], 7.9-21.2 ng/L) was linearly correlated with those for cTnT (median, &lt;3.0 ng/L; IQR, &lt;3.0-4.9 ng/L; R = 0.56, P &lt; 0.01) and cTnI (median, 2.10 ng/L; IQR, 1.3-4.2 ng/L; R = 0.77, P &lt; 0.01) and showed similar dependencies on age, renal function, and left ventricular function. We have developed a high-sensitivity assay for cMyC. Concentrations of cMyC in clinically stable patients are highly correlated with those of cTnT and cTnI. This high correlation may enable ratiometric comparisons between biomarkers to distinguish clinical instability.","author":[{"dropping-particle":"","family":"Marjot","given":"Jack","non-dropping-particle":"","parse-names":false,"suffix":""},{"dropping-particle":"","family":"Liebetrau","given":"Christoph","non-dropping-particle":"","parse-names":false,"suffix":""},{"dropping-particle":"","family":"Goodson","given":"Robert J","non-dropping-particle":"","parse-names":false,"suffix":""},{"dropping-particle":"","family":"Kaier","given":"Thomas","non-dropping-particle":"","parse-names":false,"suffix":""},{"dropping-particle":"","family":"Weber","given":"Ekkehard","non-dropping-particle":"","parse-names":false,"suffix":""},{"dropping-particle":"","family":"Heseltine","given":"Peter","non-dropping-particle":"","parse-names":false,"suffix":""},{"dropping-particle":"","family":"Marber","given":"Michael S","non-dropping-particle":"","parse-names":false,"suffix":""}],"container-title":"Translational research : the journal of laboratory and clinical medicine","id":"ITEM-1","issued":{"date-parts":[["2016","4","1"]]},"page":"17-25","publisher-place":"King's College London BHF Centre, The Rayne Institute, St Thomas' Hospital, London, UK.","title":"The development and application of a high-sensitivity immunoassay for cardiac myosin-binding protein C.","type":"article-journal","volume":"170"},"uris":["http://www.mendeley.com/documents/?uuid=44f1ca1c-6251-44db-8bc9-a65980f0402b"]}],"mendeley":{"formattedCitation":"&lt;sup&gt;17&lt;/sup&gt;","plainTextFormattedCitation":"17","previouslyFormattedCitation":"&lt;sup&gt;17&lt;/sup&gt;"},"properties":{"noteIndex":0},"schema":"https://github.com/citation-style-language/schema/raw/master/csl-citation.json"}</w:instrText>
      </w:r>
      <w:r>
        <w:rPr>
          <w:rFonts w:cs="Times New Roman"/>
        </w:rPr>
        <w:fldChar w:fldCharType="separate"/>
      </w:r>
      <w:r w:rsidR="0041496F" w:rsidRPr="0041496F">
        <w:rPr>
          <w:rFonts w:cs="Times New Roman"/>
          <w:noProof/>
          <w:vertAlign w:val="superscript"/>
        </w:rPr>
        <w:t>17</w:t>
      </w:r>
      <w:r>
        <w:rPr>
          <w:rFonts w:cs="Times New Roman"/>
        </w:rPr>
        <w:fldChar w:fldCharType="end"/>
      </w:r>
      <w:r>
        <w:rPr>
          <w:rFonts w:cs="Times New Roman"/>
        </w:rPr>
        <w:t xml:space="preserve"> The precision profile is displayed in the supplement (figure S1, table S1) and remains ≤10% above 4.6 ng/L.</w:t>
      </w:r>
      <w:r w:rsidRPr="00C3521D">
        <w:rPr>
          <w:rFonts w:cs="Times New Roman"/>
        </w:rPr>
        <w:t xml:space="preserve"> We have recently contracted a POCT diagnostics device manufacturer to migrate cMyC onto their platform. As demonstrated in </w:t>
      </w:r>
      <w:r w:rsidRPr="00C3521D">
        <w:rPr>
          <w:rFonts w:cs="Times New Roman"/>
        </w:rPr>
        <w:lastRenderedPageBreak/>
        <w:t>supplemental figure S</w:t>
      </w:r>
      <w:r>
        <w:rPr>
          <w:rFonts w:cs="Times New Roman"/>
        </w:rPr>
        <w:t>2</w:t>
      </w:r>
      <w:r w:rsidRPr="00C3521D">
        <w:rPr>
          <w:rFonts w:cs="Times New Roman"/>
        </w:rPr>
        <w:t xml:space="preserve">, our proposed threshold of 10 ng/L is </w:t>
      </w:r>
      <w:r w:rsidR="00BE24F9">
        <w:rPr>
          <w:rFonts w:cs="Times New Roman"/>
        </w:rPr>
        <w:t>attainable</w:t>
      </w:r>
      <w:r w:rsidRPr="00C3521D">
        <w:rPr>
          <w:rFonts w:cs="Times New Roman"/>
        </w:rPr>
        <w:t xml:space="preserve"> with a CV ≤10%</w:t>
      </w:r>
      <w:r w:rsidR="005C7197">
        <w:rPr>
          <w:rFonts w:cs="Times New Roman"/>
        </w:rPr>
        <w:t xml:space="preserve"> on a pre-commercial device</w:t>
      </w:r>
      <w:r w:rsidRPr="00C3521D">
        <w:rPr>
          <w:rFonts w:cs="Times New Roman"/>
        </w:rPr>
        <w:t>.</w:t>
      </w:r>
      <w:r w:rsidR="00791F99">
        <w:rPr>
          <w:rFonts w:cs="Times New Roman"/>
        </w:rPr>
        <w:fldChar w:fldCharType="begin" w:fldLock="1"/>
      </w:r>
      <w:r w:rsidR="008477B1">
        <w:rPr>
          <w:rFonts w:cs="Times New Roman"/>
        </w:rPr>
        <w:instrText>ADDIN CSL_CITATION {"citationItems":[{"id":"ITEM-1","itemData":{"abstract":"BACKGROUND:Cardiac myosin-binding protein C (cMyC) is a cardiac-restricted protein that is more abundant than cardiac troponins (cTn) and is released more rapidly after acute myocardial infarction (AMI). We evaluated cMyC as an adjunct or alternative to cTn in the early diagnosis of AMI. METHODS:Unselected patients (N=1954) presenting to the emergency department with symptoms suggestive of AMI, concentrations of cMyC, and high-sensitivity (hs) and standard-sensitivity cTn were measured at presentation. The final diagnosis of AMI was independently adjudicated using all available clinical and biochemical information without knowledge of cMyC. The prognostic end point was long-term mortality. RESULTS:Final diagnosis was AMI in 340 patients (17%). Concentrations of cMyC at presentation were significantly higher in those with versus without AMI (median, 237 ng/L versus 13 ng/L, P&lt;0.001). Discriminatory power for AMI, as quantified by the area under the receiver-operating characteristic curve (AUC), was comparable for cMyC (AUC, 0.924), hs-cTnT (AUC, 0.927), and hs-cTnI (AUC, 0.922) and superior to cTnI measured by a contemporary sensitivity assay (AUC, 0.909). The combination of cMyC with hs-cTnT or standard-sensitivity cTnI (but not hs-cTnI) led to an increase in AUC to 0.931 (P&lt;0.0001) and 0.926 (P=0.003), respectively. Use of cMyC more accurately classified patients with a single blood test into rule-out or rule-in categories: Net Reclassification Improvement +0.149 versus hs-cTnT, +0.235 versus hs-cTnI (P&lt;0.001). In early presenters (chest pain &lt;3 h), the improvement in rule-in/rule-out classification with cMyC was larger compared with hs-cTnT (Net Reclassification Improvement +0.256) and hs-cTnI (Net Reclassification Improvement +0.308; both P&lt;0.001). Comparing the C statistics, cMyC was superior to hs-cTnI and standard sensitivity cTnI (P&lt;0.05 for both) and similar to hs-cTnT at predicting death at 3 years. CONCLUSIONS:cMyC at presentation provides discriminatory power comparable to hs-cTnT and hs-cTnI in the diagnosis of AMI and may perform favorably in patients presenting early after symptom onset. CLINICAL TRIAL REGISTRATION:URL: https://www.clinicaltrials.gov. Unique identifier: NCT00470587.","author":[{"dropping-particle":"","family":"Kaier","given":"Thomas E","non-dropping-particle":"","parse-names":false,"suffix":""},{"dropping-particle":"","family":"Twerenbold","given":"Raphael","non-dropping-particle":"","parse-names":false,"suffix":""},{"dropping-particle":"","family":"Puelacher","given":"Christian","non-dropping-particle":"","parse-names":false,"suffix":""},{"dropping-particle":"","family":"Marjot","given":"Jack","non-dropping-particle":"","parse-names":false,"suffix":""},{"dropping-particle":"","family":"Imambaccus","given":"Nazia","non-dropping-particle":"","parse-names":false,"suffix":""},{"dropping-particle":"","family":"Boeddinghaus","given":"Jasper","non-dropping-particle":"","parse-names":false,"suffix":""},{"dropping-particle":"","family":"Nestelberger","given":"Thomas","non-dropping-particle":"","parse-names":false,"suffix":""},{"dropping-particle":"","family":"Badertscher","given":"Patrick","non-dropping-particle":"","parse-names":false,"suffix":""},{"dropping-particle":"","family":"Sabti","given":"Zaid","non-dropping-particle":"","parse-names":false,"suffix":""},{"dropping-particle":"","family":"Gimenez","given":"Maria Rubini","non-dropping-particle":"","parse-names":false,"suffix":""},{"dropping-particle":"","family":"Wildi","given":"Karin","non-dropping-particle":"","parse-names":false,"suffix":""},{"dropping-particle":"","family":"Hillinger","given":"Petra","non-dropping-particle":"","parse-names":false,"suffix":""},{"dropping-particle":"","family":"Grimm","given":"Karin","non-dropping-particle":"","parse-names":false,"suffix":""},{"dropping-particle":"","family":"Loeffel","given":"Sarah","non-dropping-particle":"","parse-names":false,"suffix":""},{"dropping-particle":"","family":"Shrestha","given":"Samyut","non-dropping-particle":"","parse-names":false,"suffix":""},{"dropping-particle":"","family":"Widmer","given":"Dayana Flores","non-dropping-particle":"","parse-names":false,"suffix":""},{"dropping-particle":"","family":"Cupa","given":"Janosch","non-dropping-particle":"","parse-names":false,"suffix":""},{"dropping-particle":"","family":"Kozhuharov","given":"Nikola","non-dropping-particle":"","parse-names":false,"suffix":""},{"dropping-particle":"","family":"Miró","given":"Òscar","non-dropping-particle":"","parse-names":false,"suffix":""},{"dropping-particle":"","family":"Martin-Sanchez","given":"F Javier","non-dropping-particle":"","parse-names":false,"suffix":""},{"dropping-particle":"","family":"Morawiec","given":"Beata","non-dropping-particle":"","parse-names":false,"suffix":""},{"dropping-particle":"","family":"Rentsch","given":"Katharina","non-dropping-particle":"","parse-names":false,"suffix":""},{"dropping-particle":"","family":"Lohrmann","given":"Jens","non-dropping-particle":"","parse-names":false,"suffix":""},{"dropping-particle":"","family":"Kloos","given":"Wanda","non-dropping-particle":"","parse-names":false,"suffix":""},{"dropping-particle":"","family":"Osswald","given":"Stefan","non-dropping-particle":"","parse-names":false,"suffix":""},{"dropping-particle":"","family":"Reichlin","given":"Tobias","non-dropping-particle":"","parse-names":false,"suffix":""},{"dropping-particle":"","family":"Weber","given":"Ekkehard","non-dropping-particle":"","parse-names":false,"suffix":""},{"dropping-particle":"","family":"Marber","given":"Michael","non-dropping-particle":"","parse-names":false,"suffix":""},{"dropping-particle":"","family":"Mueller","given":"Christian","non-dropping-particle":"","parse-names":false,"suffix":""}],"container-title":"Circulation","id":"ITEM-1","issue":"16","issued":{"date-parts":[["2017","10","17"]]},"page":"1495-1508","publisher":"Lippincott Williams &amp; Wilkins","publisher-place":"From King's College London BHF Centre, Rayne Institute, St Thomas' Hospital, London, UK (T.K., J.M., N.I., M.M.); Department of Cardiology and Cardiovascular Research Institute Basel, University Hospital Basel, Switzerland (R.T., C.P., J.B., T.N., P.B., Z","title":"Direct Comparison of Cardiac Myosin-Binding Protein C With Cardiac Troponins for the Early Diagnosis of Acute Myocardial Infarction.","type":"article-journal","volume":"136"},"uris":["http://www.mendeley.com/documents/?uuid=84746d0c-aa2d-4e2f-a7ad-449f9bfe8cf9"]}],"mendeley":{"formattedCitation":"&lt;sup&gt;13&lt;/sup&gt;","plainTextFormattedCitation":"13","previouslyFormattedCitation":"&lt;sup&gt;13&lt;/sup&gt;"},"properties":{"noteIndex":0},"schema":"https://github.com/citation-style-language/schema/raw/master/csl-citation.json"}</w:instrText>
      </w:r>
      <w:r w:rsidR="00791F99">
        <w:rPr>
          <w:rFonts w:cs="Times New Roman"/>
        </w:rPr>
        <w:fldChar w:fldCharType="separate"/>
      </w:r>
      <w:r w:rsidR="00791F99" w:rsidRPr="00791F99">
        <w:rPr>
          <w:rFonts w:cs="Times New Roman"/>
          <w:noProof/>
          <w:vertAlign w:val="superscript"/>
        </w:rPr>
        <w:t>13</w:t>
      </w:r>
      <w:r w:rsidR="00791F99">
        <w:rPr>
          <w:rFonts w:cs="Times New Roman"/>
        </w:rPr>
        <w:fldChar w:fldCharType="end"/>
      </w:r>
      <w:r w:rsidRPr="00C3521D">
        <w:rPr>
          <w:rFonts w:cs="Times New Roman"/>
        </w:rPr>
        <w:t xml:space="preserve"> </w:t>
      </w:r>
    </w:p>
    <w:p w14:paraId="70307E4B" w14:textId="5EAD7637" w:rsidR="001F3E62" w:rsidRPr="001F3E62" w:rsidRDefault="001F3E62" w:rsidP="00C352A2">
      <w:r w:rsidRPr="00C3521D">
        <w:t xml:space="preserve">For hs-cTnT, the samples were thawed and analysed as one batch in a "thaw-freeze" cycle at the central laboratory of Aarhus University Hospital, using the high-sensitivity cardiac Troponin T assay (Roche Diagnostics GmbH, Mannheim, Germany). The assay has a LoD of 5 ng/L, </w:t>
      </w:r>
      <w:r>
        <w:t>with a CV ≤10% at 13 ng/L and the 99</w:t>
      </w:r>
      <w:r w:rsidRPr="0054134F">
        <w:rPr>
          <w:vertAlign w:val="superscript"/>
        </w:rPr>
        <w:t>th</w:t>
      </w:r>
      <w:r>
        <w:t xml:space="preserve"> centile at 14 ng/L.</w:t>
      </w:r>
      <w:r>
        <w:fldChar w:fldCharType="begin" w:fldLock="1"/>
      </w:r>
      <w:r w:rsidR="00F30B03">
        <w:instrText>ADDIN CSL_CITATION {"citationItems":[{"id":"ITEM-1","itemData":{"abstract":"BACKGROUND:We report the development of a novel high-sensitivity cardiac troponin T (hs-cTnT) assay, a modification of the Roche fourth-generation cTnT assay, and validation of the analytical performance of this assay.\n\nMETHODS:Validation included testing of analytical sensitivity, specificity, interferences, and precision. We established the 99th percentile cutoff from healthy reference populations (n = 616). In addition, we studied differences in time to a positive result when using serial measurements of hs-cTnT vs cTnT in patients with a confirmed diagnosis of non-ST elevation myocardial infarction (non-STEMI).\n\nRESULTS:The hs-cTnT assay had an analytical range from 3 to 10 000 ng/L. At the 99th percentile value of 13.5 ng/L, the CV was 9% using the Elecsys 2010 analyzer. The assay was specific for cTnT without interferences from human cTnI or cTnC, skeletal muscle TnT, or hemoglobin concentrations up to 1000 mg/L, above which falsely lower values would be expected. When the assay was evaluated clinically, a hs-cTnT higher than the 99th percentile concentration identified a significantly higher number of patients with non-STEMI on presentation (45 vs 20 patients, P = 0.0004) compared with cTnT, and a final diagnosis of non-STEMI was made in 9 additional patients (55 vs 46 patients, P = 0.23) after serial sampling. Time to diagnosis was significantly shorter using hs-cTnT compared with cTnT [mean 71.5 (SD 108.7) min vs 246.9 (82.0) min, respectively; P &lt; 0.01].\n\nCONCLUSIONS:The analytical performance of hs-cTnT complies with the ESC-ACCF-AHA-WHF Global Task Force recommendations for use in the diagnosis of MI.","author":[{"dropping-particle":"","family":"Giannitsis","given":"Evangelos","non-dropping-particle":"","parse-names":false,"suffix":""},{"dropping-particle":"","family":"Kurz","given":"Kerstin","non-dropping-particle":"","parse-names":false,"suffix":""},{"dropping-particle":"","family":"Hallermayer","given":"Klaus","non-dropping-particle":"","parse-names":false,"suffix":""},{"dropping-particle":"","family":"Jarausch","given":"Jochen","non-dropping-particle":"","parse-names":false,"suffix":""},{"dropping-particle":"","family":"Jaffe","given":"Allan S","non-dropping-particle":"","parse-names":false,"suffix":""},{"dropping-particle":"","family":"Katus","given":"Hugo A","non-dropping-particle":"","parse-names":false,"suffix":""}],"container-title":"Clinical Chemistry","id":"ITEM-1","issue":"2","issued":{"date-parts":[["2010","2","1"]]},"page":"254-261","publisher-place":"Medizinische Klinik, Abteilung für Innere Medizin III, Universitätsklinikum Heidelberg, Germany. evangelos_giannitsis@med.uni-heidelberg.de","title":"Analytical validation of a high-sensitivity cardiac troponin T assay.","type":"article-journal","volume":"56"},"uris":["http://www.mendeley.com/documents/?uuid=948a3277-506c-4e6a-9561-06fa3abc9875"]}],"mendeley":{"formattedCitation":"&lt;sup&gt;18&lt;/sup&gt;","plainTextFormattedCitation":"18","previouslyFormattedCitation":"&lt;sup&gt;18&lt;/sup&gt;"},"properties":{"noteIndex":0},"schema":"https://github.com/citation-style-language/schema/raw/master/csl-citation.json"}</w:instrText>
      </w:r>
      <w:r>
        <w:fldChar w:fldCharType="separate"/>
      </w:r>
      <w:r w:rsidR="00AD747D" w:rsidRPr="00AD747D">
        <w:rPr>
          <w:noProof/>
          <w:vertAlign w:val="superscript"/>
        </w:rPr>
        <w:t>18</w:t>
      </w:r>
      <w:r>
        <w:fldChar w:fldCharType="end"/>
      </w:r>
      <w:r w:rsidRPr="00C3521D">
        <w:t xml:space="preserve"> Roche Diagnostics has previously released a technical bulletin regarding a calibration issue affecting all lots used in this study and for routine hs-cTnT measurements made during hospital admission</w:t>
      </w:r>
      <w:r>
        <w:t>.</w:t>
      </w:r>
      <w:r>
        <w:fldChar w:fldCharType="begin" w:fldLock="1"/>
      </w:r>
      <w:r w:rsidR="00F30B03">
        <w:instrText>ADDIN CSL_CITATION {"citationItems":[{"id":"ITEM-1","itemData":{"author":[{"dropping-particle":"","family":"Kuster","given":"Nils","non-dropping-particle":"","parse-names":false,"suffix":""},{"dropping-particle":"","family":"Dupuy","given":"Anne-Marie","non-dropping-particle":"","parse-names":false,"suffix":""},{"dropping-particle":"","family":"Monnier","given":"Karine","non-dropping-particle":"","parse-names":false,"suffix":""},{"dropping-particle":"","family":"Baptista","given":"Gregory","non-dropping-particle":"","parse-names":false,"suffix":""},{"dropping-particle":"","family":"Bargnoux","given":"Anne-Sophie","non-dropping-particle":"","parse-names":false,"suffix":""},{"dropping-particle":"","family":"Badiou","given":"Stéphanie","non-dropping-particle":"","parse-names":false,"suffix":""},{"dropping-particle":"","family":"Jeandel","given":"Claude","non-dropping-particle":"","parse-names":false,"suffix":""},{"dropping-particle":"","family":"Cristol","given":"Jean-Paul","non-dropping-particle":"","parse-names":false,"suffix":""},{"dropping-particle":"","family":"Kavsak","given":"Peter A","non-dropping-particle":"","parse-names":false,"suffix":""},{"dropping-particle":"","family":"Hill","given":"Stephen A","non-dropping-particle":"","parse-names":false,"suffix":""},{"dropping-particle":"","family":"McQueen","given":"Matthew J","non-dropping-particle":"","parse-names":false,"suffix":""},{"dropping-particle":"","family":"Devereaux","given":"P J","non-dropping-particle":"","parse-names":false,"suffix":""},{"dropping-particle":"","family":"Hallermayer","given":"Klaus","non-dropping-particle":"","parse-names":false,"suffix":""},{"dropping-particle":"","family":"Jarausch","given":"Jochen","non-dropping-particle":"","parse-names":false,"suffix":""},{"dropping-particle":"","family":"Menassanch-Volker","given":"Sylvie","non-dropping-particle":"","parse-names":false,"suffix":""},{"dropping-particle":"","family":"Zaugg","given":"Christian","non-dropping-particle":"","parse-names":false,"suffix":""},{"dropping-particle":"","family":"Ziegler","given":"André","non-dropping-particle":"","parse-names":false,"suffix":""},{"dropping-particle":"","family":"Kavsak","given":"Peter A","non-dropping-particle":"","parse-names":false,"suffix":""},{"dropping-particle":"","family":"Hill","given":"Stephen A","non-dropping-particle":"","parse-names":false,"suffix":""},{"dropping-particle":"","family":"McQueen","given":"Matthew J","non-dropping-particle":"","parse-names":false,"suffix":""},{"dropping-particle":"","family":"Devereaux","given":"P J","non-dropping-particle":"","parse-names":false,"suffix":""}],"container-title":"Clinical Chemistry","id":"ITEM-1","issue":"3","issued":{"date-parts":[["2013","3","1"]]},"page":"572-574","title":"Implications of adjustment of high-sensitivity cardiac troponin T assay.","type":"article-journal","volume":"59"},"uris":["http://www.mendeley.com/documents/?uuid=b5c874d6-edba-447b-8a79-9ba066315506"]},{"id":"ITEM-2","itemData":{"author":[{"dropping-particle":"","family":"Apple","given":"Fred S","non-dropping-particle":"","parse-names":false,"suffix":""},{"dropping-particle":"","family":"Jaffe","given":"Allan S","non-dropping-particle":"","parse-names":false,"suffix":""}],"container-title":"Clinical Chemistry","id":"ITEM-2","issue":"11","issued":{"date-parts":[["2012","11","1"]]},"page":"1599-1600","title":"Clinical implications of a recent adjustment to the high-sensitivity cardiac troponin T assay: user beware.","type":"article-journal","volume":"58"},"uris":["http://www.mendeley.com/documents/?uuid=0156ef48-9bf8-4ed4-90ca-b925128f7df3"]}],"mendeley":{"formattedCitation":"&lt;sup&gt;19,20&lt;/sup&gt;","plainTextFormattedCitation":"19,20","previouslyFormattedCitation":"&lt;sup&gt;19,20&lt;/sup&gt;"},"properties":{"noteIndex":0},"schema":"https://github.com/citation-style-language/schema/raw/master/csl-citation.json"}</w:instrText>
      </w:r>
      <w:r>
        <w:fldChar w:fldCharType="separate"/>
      </w:r>
      <w:r w:rsidR="00AD747D" w:rsidRPr="00AD747D">
        <w:rPr>
          <w:noProof/>
          <w:vertAlign w:val="superscript"/>
        </w:rPr>
        <w:t>19,20</w:t>
      </w:r>
      <w:r>
        <w:fldChar w:fldCharType="end"/>
      </w:r>
      <w:r w:rsidRPr="00C3521D">
        <w:t xml:space="preserve"> The manufacturer recommended a method for recalculating the reported values using combined calibration information, reagent lot number information and instrument details if the original signal data </w:t>
      </w:r>
      <w:r>
        <w:t>was</w:t>
      </w:r>
      <w:r w:rsidRPr="00C3521D">
        <w:t xml:space="preserve"> not available</w:t>
      </w:r>
      <w:r>
        <w:t>.</w:t>
      </w:r>
      <w:r>
        <w:fldChar w:fldCharType="begin" w:fldLock="1"/>
      </w:r>
      <w:r w:rsidR="00F30B03">
        <w:instrText>ADDIN CSL_CITATION {"citationItems":[{"id":"ITEM-1","itemData":{"abstract":"BACKGROUND:High-sensitivity cardiac troponin assays are being introduced clinically for earlier diagnosis of acute myocardial infarction (AMI). We evaluated the analytical performance of a high-sensitivity cardiac troponin T assay (hscTnT, Roche Diagnostics) in a multicenter, international trial.\n\nMETHODS:Three US and 5 European sites evaluated hscTnT on the Modular® Analytics E170, cobas® 6000, Elecsys 2010, and cobas® e 411. Precision, accuracy, reportable range, an inter-laboratory comparison trial, and the 99th percentile of a reference population were assessed.\n\nRESULTS:Total imprecision (CVs) were 4.6-36.8% between 3.4 and 10.3 ng/L hscTnT. Assay linearity was up to 10,000 ng/L and the limit of blank and detection were 3 and 5 ng/L, respectively. The 99th percentile reference limit was 14.2 ng/L (n=533). No significant differences between specimen types, assay incubation time, or reagent lots existed. A substantial positive bias (76%) exists between the 4th generation and hscTnT assays at the low end of the measuring range (&lt;50 ng/L). hscTnT serum pool concentrations were within 2SD limits of the mean of means in the comparison trial, indicating comparable results across multiple platforms and laboratories.\n\nCONCLUSION:The Roche hscTnT assay conforms to guideline precision requirements and will likely identify additional patients with myocardial injury suspicious for AMI.","author":[{"dropping-particle":"","family":"Saenger","given":"A K","non-dropping-particle":"","parse-names":false,"suffix":""},{"dropping-particle":"","family":"Beyrau","given":"R","non-dropping-particle":"","parse-names":false,"suffix":""},{"dropping-particle":"","family":"Braun","given":"S","non-dropping-particle":"","parse-names":false,"suffix":""},{"dropping-particle":"","family":"Cooray","given":"R","non-dropping-particle":"","parse-names":false,"suffix":""},{"dropping-particle":"","family":"Dolci","given":"A","non-dropping-particle":"","parse-names":false,"suffix":""},{"dropping-particle":"","family":"Freidank","given":"H","non-dropping-particle":"","parse-names":false,"suffix":""},{"dropping-particle":"","family":"Giannitsis","given":"E","non-dropping-particle":"","parse-names":false,"suffix":""},{"dropping-particle":"","family":"Gustafson","given":"S","non-dropping-particle":"","parse-names":false,"suffix":""},{"dropping-particle":"","family":"Handy","given":"B","non-dropping-particle":"","parse-names":false,"suffix":""},{"dropping-particle":"","family":"Katus","given":"H","non-dropping-particle":"","parse-names":false,"suffix":""},{"dropping-particle":"","family":"Melanson","given":"S E","non-dropping-particle":"","parse-names":false,"suffix":""},{"dropping-particle":"","family":"Panteghini","given":"M","non-dropping-particle":"","parse-names":false,"suffix":""},{"dropping-particle":"","family":"Venge","given":"P","non-dropping-particle":"","parse-names":false,"suffix":""},{"dropping-particle":"","family":"Zorn","given":"M","non-dropping-particle":"","parse-names":false,"suffix":""},{"dropping-particle":"","family":"Jarolim","given":"P","non-dropping-particle":"","parse-names":false,"suffix":""},{"dropping-particle":"","family":"Bruton","given":"D","non-dropping-particle":"","parse-names":false,"suffix":""},{"dropping-particle":"","family":"Jarausch","given":"J","non-dropping-particle":"","parse-names":false,"suffix":""},{"dropping-particle":"","family":"Jaffe","given":"A S","non-dropping-particle":"","parse-names":false,"suffix":""}],"container-title":"Clinica chimica acta; international journal of clinical chemistry","id":"ITEM-1","issue":"9-10","issued":{"date-parts":[["2011","4","11"]]},"page":"748-754","publisher-place":"Department of Laboratory Medicine and Pathology, Hilton 3, Mayo Clinic, 200 First St. SW, Rochester, MN 55905, USA. saenger.amy@mayo.edu","title":"Multicenter analytical evaluation of a high-sensitivity troponin T assay.","type":"article-journal","volume":"412"},"uris":["http://www.mendeley.com/documents/?uuid=6a422a42-73a1-446f-9112-302a35026bfd"]}],"mendeley":{"formattedCitation":"&lt;sup&gt;21&lt;/sup&gt;","plainTextFormattedCitation":"21","previouslyFormattedCitation":"&lt;sup&gt;21&lt;/sup&gt;"},"properties":{"noteIndex":0},"schema":"https://github.com/citation-style-language/schema/raw/master/csl-citation.json"}</w:instrText>
      </w:r>
      <w:r>
        <w:fldChar w:fldCharType="separate"/>
      </w:r>
      <w:r w:rsidR="00AD747D" w:rsidRPr="00AD747D">
        <w:rPr>
          <w:noProof/>
          <w:vertAlign w:val="superscript"/>
        </w:rPr>
        <w:t>21</w:t>
      </w:r>
      <w:r>
        <w:fldChar w:fldCharType="end"/>
      </w:r>
      <w:r w:rsidRPr="00C3521D">
        <w:t xml:space="preserve"> </w:t>
      </w:r>
      <w:r>
        <w:t>Where available, hs-cTnT samples below the 99</w:t>
      </w:r>
      <w:r w:rsidRPr="00C2084F">
        <w:rPr>
          <w:vertAlign w:val="superscript"/>
        </w:rPr>
        <w:t>th</w:t>
      </w:r>
      <w:r>
        <w:t xml:space="preserve"> centile were subsequently re-analysed using reagent lots unaffected by the calibration issue to avoid ambiguities due to recalculation (n=287). A number of samples (n=2</w:t>
      </w:r>
      <w:r w:rsidRPr="001F3E62">
        <w:t>02</w:t>
      </w:r>
      <w:r>
        <w:t>)</w:t>
      </w:r>
      <w:r w:rsidRPr="00C3521D">
        <w:t xml:space="preserve"> </w:t>
      </w:r>
      <w:r>
        <w:t xml:space="preserve">have recalculated </w:t>
      </w:r>
      <w:r w:rsidRPr="00C3521D">
        <w:t xml:space="preserve">hs-cTnT </w:t>
      </w:r>
      <w:r>
        <w:t>concentrations – most of which affects samples with hs-cTnT values above the 99</w:t>
      </w:r>
      <w:r w:rsidRPr="0054134F">
        <w:rPr>
          <w:vertAlign w:val="superscript"/>
        </w:rPr>
        <w:t>th</w:t>
      </w:r>
      <w:r>
        <w:t xml:space="preserve"> centile</w:t>
      </w:r>
      <w:r w:rsidRPr="00C3521D">
        <w:t>. The hs-cTnT recovery rate and the 99</w:t>
      </w:r>
      <w:r w:rsidRPr="00C3521D">
        <w:rPr>
          <w:vertAlign w:val="superscript"/>
        </w:rPr>
        <w:t>th</w:t>
      </w:r>
      <w:r w:rsidRPr="00C3521D">
        <w:t xml:space="preserve"> centile comply with those found in the original studies</w:t>
      </w:r>
      <w:r>
        <w:t>.</w:t>
      </w:r>
      <w:r>
        <w:fldChar w:fldCharType="begin" w:fldLock="1"/>
      </w:r>
      <w:r w:rsidR="00F30B03">
        <w:instrText>ADDIN CSL_CITATION {"citationItems":[{"id":"ITEM-1","itemData":{"abstract":"BACKGROUND:We report the development of a novel high-sensitivity cardiac troponin T (hs-cTnT) assay, a modification of the Roche fourth-generation cTnT assay, and validation of the analytical performance of this assay.\n\nMETHODS:Validation included testing of analytical sensitivity, specificity, interferences, and precision. We established the 99th percentile cutoff from healthy reference populations (n = 616). In addition, we studied differences in time to a positive result when using serial measurements of hs-cTnT vs cTnT in patients with a confirmed diagnosis of non-ST elevation myocardial infarction (non-STEMI).\n\nRESULTS:The hs-cTnT assay had an analytical range from 3 to 10 000 ng/L. At the 99th percentile value of 13.5 ng/L, the CV was 9% using the Elecsys 2010 analyzer. The assay was specific for cTnT without interferences from human cTnI or cTnC, skeletal muscle TnT, or hemoglobin concentrations up to 1000 mg/L, above which falsely lower values would be expected. When the assay was evaluated clinically, a hs-cTnT higher than the 99th percentile concentration identified a significantly higher number of patients with non-STEMI on presentation (45 vs 20 patients, P = 0.0004) compared with cTnT, and a final diagnosis of non-STEMI was made in 9 additional patients (55 vs 46 patients, P = 0.23) after serial sampling. Time to diagnosis was significantly shorter using hs-cTnT compared with cTnT [mean 71.5 (SD 108.7) min vs 246.9 (82.0) min, respectively; P &lt; 0.01].\n\nCONCLUSIONS:The analytical performance of hs-cTnT complies with the ESC-ACCF-AHA-WHF Global Task Force recommendations for use in the diagnosis of MI.","author":[{"dropping-particle":"","family":"Giannitsis","given":"Evangelos","non-dropping-particle":"","parse-names":false,"suffix":""},{"dropping-particle":"","family":"Kurz","given":"Kerstin","non-dropping-particle":"","parse-names":false,"suffix":""},{"dropping-particle":"","family":"Hallermayer","given":"Klaus","non-dropping-particle":"","parse-names":false,"suffix":""},{"dropping-particle":"","family":"Jarausch","given":"Jochen","non-dropping-particle":"","parse-names":false,"suffix":""},{"dropping-particle":"","family":"Jaffe","given":"Allan S","non-dropping-particle":"","parse-names":false,"suffix":""},{"dropping-particle":"","family":"Katus","given":"Hugo A","non-dropping-particle":"","parse-names":false,"suffix":""}],"container-title":"Clinical Chemistry","id":"ITEM-1","issue":"2","issued":{"date-parts":[["2010","2","1"]]},"page":"254-261","publisher-place":"Medizinische Klinik, Abteilung für Innere Medizin III, Universitätsklinikum Heidelberg, Germany. evangelos_giannitsis@med.uni-heidelberg.de","title":"Analytical validation of a high-sensitivity cardiac troponin T assay.","type":"article-journal","volume":"56"},"uris":["http://www.mendeley.com/documents/?uuid=948a3277-506c-4e6a-9561-06fa3abc9875"]},{"id":"ITEM-2","itemData":{"author":[{"dropping-particle":"","family":"Kuster","given":"Nils","non-dropping-particle":"","parse-names":false,"suffix":""},{"dropping-particle":"","family":"Dupuy","given":"Anne-Marie","non-dropping-particle":"","parse-names":false,"suffix":""},{"dropping-particle":"","family":"Monnier","given":"Karine","non-dropping-particle":"","parse-names":false,"suffix":""},{"dropping-particle":"","family":"Baptista","given":"Gregory","non-dropping-particle":"","parse-names":false,"suffix":""},{"dropping-particle":"","family":"Bargnoux","given":"Anne-Sophie","non-dropping-particle":"","parse-names":false,"suffix":""},{"dropping-particle":"","family":"Badiou","given":"Stéphanie","non-dropping-particle":"","parse-names":false,"suffix":""},{"dropping-particle":"","family":"Jeandel","given":"Claude","non-dropping-particle":"","parse-names":false,"suffix":""},{"dropping-particle":"","family":"Cristol","given":"Jean-Paul","non-dropping-particle":"","parse-names":false,"suffix":""},{"dropping-particle":"","family":"Kavsak","given":"Peter A","non-dropping-particle":"","parse-names":false,"suffix":""},{"dropping-particle":"","family":"Hill","given":"Stephen A","non-dropping-particle":"","parse-names":false,"suffix":""},{"dropping-particle":"","family":"McQueen","given":"Matthew J","non-dropping-particle":"","parse-names":false,"suffix":""},{"dropping-particle":"","family":"Devereaux","given":"P J","non-dropping-particle":"","parse-names":false,"suffix":""},{"dropping-particle":"","family":"Hallermayer","given":"Klaus","non-dropping-particle":"","parse-names":false,"suffix":""},{"dropping-particle":"","family":"Jarausch","given":"Jochen","non-dropping-particle":"","parse-names":false,"suffix":""},{"dropping-particle":"","family":"Menassanch-Volker","given":"Sylvie","non-dropping-particle":"","parse-names":false,"suffix":""},{"dropping-particle":"","family":"Zaugg","given":"Christian","non-dropping-particle":"","parse-names":false,"suffix":""},{"dropping-particle":"","family":"Ziegler","given":"André","non-dropping-particle":"","parse-names":false,"suffix":""},{"dropping-particle":"","family":"Kavsak","given":"Peter A","non-dropping-particle":"","parse-names":false,"suffix":""},{"dropping-particle":"","family":"Hill","given":"Stephen A","non-dropping-particle":"","parse-names":false,"suffix":""},{"dropping-particle":"","family":"McQueen","given":"Matthew J","non-dropping-particle":"","parse-names":false,"suffix":""},{"dropping-particle":"","family":"Devereaux","given":"P J","non-dropping-particle":"","parse-names":false,"suffix":""}],"container-title":"Clinical Chemistry","id":"ITEM-2","issue":"3","issued":{"date-parts":[["2013","3","1"]]},"page":"572-574","title":"Implications of adjustment of high-sensitivity cardiac troponin T assay.","type":"article-journal","volume":"59"},"uris":["http://www.mendeley.com/documents/?uuid=b5c874d6-edba-447b-8a79-9ba066315506"]},{"id":"ITEM-3","itemData":{"abstract":"BACKGROUND:High-sensitivity cardiac troponin assays are being introduced clinically for earlier diagnosis of acute myocardial infarction (AMI). We evaluated the analytical performance of a high-sensitivity cardiac troponin T assay (hscTnT, Roche Diagnostics) in a multicenter, international trial.\n\nMETHODS:Three US and 5 European sites evaluated hscTnT on the Modular® Analytics E170, cobas® 6000, Elecsys 2010, and cobas® e 411. Precision, accuracy, reportable range, an inter-laboratory comparison trial, and the 99th percentile of a reference population were assessed.\n\nRESULTS:Total imprecision (CVs) were 4.6-36.8% between 3.4 and 10.3 ng/L hscTnT. Assay linearity was up to 10,000 ng/L and the limit of blank and detection were 3 and 5 ng/L, respectively. The 99th percentile reference limit was 14.2 ng/L (n=533). No significant differences between specimen types, assay incubation time, or reagent lots existed. A substantial positive bias (76%) exists between the 4th generation and hscTnT assays at the low end of the measuring range (&lt;50 ng/L). hscTnT serum pool concentrations were within 2SD limits of the mean of means in the comparison trial, indicating comparable results across multiple platforms and laboratories.\n\nCONCLUSION:The Roche hscTnT assay conforms to guideline precision requirements and will likely identify additional patients with myocardial injury suspicious for AMI.","author":[{"dropping-particle":"","family":"Saenger","given":"A K","non-dropping-particle":"","parse-names":false,"suffix":""},{"dropping-particle":"","family":"Beyrau","given":"R","non-dropping-particle":"","parse-names":false,"suffix":""},{"dropping-particle":"","family":"Braun","given":"S","non-dropping-particle":"","parse-names":false,"suffix":""},{"dropping-particle":"","family":"Cooray","given":"R","non-dropping-particle":"","parse-names":false,"suffix":""},{"dropping-particle":"","family":"Dolci","given":"A","non-dropping-particle":"","parse-names":false,"suffix":""},{"dropping-particle":"","family":"Freidank","given":"H","non-dropping-particle":"","parse-names":false,"suffix":""},{"dropping-particle":"","family":"Giannitsis","given":"E","non-dropping-particle":"","parse-names":false,"suffix":""},{"dropping-particle":"","family":"Gustafson","given":"S","non-dropping-particle":"","parse-names":false,"suffix":""},{"dropping-particle":"","family":"Handy","given":"B","non-dropping-particle":"","parse-names":false,"suffix":""},{"dropping-particle":"","family":"Katus","given":"H","non-dropping-particle":"","parse-names":false,"suffix":""},{"dropping-particle":"","family":"Melanson","given":"S E","non-dropping-particle":"","parse-names":false,"suffix":""},{"dropping-particle":"","family":"Panteghini","given":"M","non-dropping-particle":"","parse-names":false,"suffix":""},{"dropping-particle":"","family":"Venge","given":"P","non-dropping-particle":"","parse-names":false,"suffix":""},{"dropping-particle":"","family":"Zorn","given":"M","non-dropping-particle":"","parse-names":false,"suffix":""},{"dropping-particle":"","family":"Jarolim","given":"P","non-dropping-particle":"","parse-names":false,"suffix":""},{"dropping-particle":"","family":"Bruton","given":"D","non-dropping-particle":"","parse-names":false,"suffix":""},{"dropping-particle":"","family":"Jarausch","given":"J","non-dropping-particle":"","parse-names":false,"suffix":""},{"dropping-particle":"","family":"Jaffe","given":"A S","non-dropping-particle":"","parse-names":false,"suffix":""}],"container-title":"Clinica chimica acta; international journal of clinical chemistry","id":"ITEM-3","issue":"9-10","issued":{"date-parts":[["2011","4","11"]]},"page":"748-754","publisher-place":"Department of Laboratory Medicine and Pathology, Hilton 3, Mayo Clinic, 200 First St. SW, Rochester, MN 55905, USA. saenger.amy@mayo.edu","title":"Multicenter analytical evaluation of a high-sensitivity troponin T assay.","type":"article-journal","volume":"412"},"uris":["http://www.mendeley.com/documents/?uuid=6a422a42-73a1-446f-9112-302a35026bfd"]}],"mendeley":{"formattedCitation":"&lt;sup&gt;18,19,21&lt;/sup&gt;","plainTextFormattedCitation":"18,19,21","previouslyFormattedCitation":"&lt;sup&gt;18,19,21&lt;/sup&gt;"},"properties":{"noteIndex":0},"schema":"https://github.com/citation-style-language/schema/raw/master/csl-citation.json"}</w:instrText>
      </w:r>
      <w:r>
        <w:fldChar w:fldCharType="separate"/>
      </w:r>
      <w:r w:rsidR="00AD747D" w:rsidRPr="00AD747D">
        <w:rPr>
          <w:noProof/>
          <w:vertAlign w:val="superscript"/>
        </w:rPr>
        <w:t>18,19,21</w:t>
      </w:r>
      <w:r>
        <w:fldChar w:fldCharType="end"/>
      </w:r>
    </w:p>
    <w:p w14:paraId="4A19A846" w14:textId="77777777" w:rsidR="00C352A2" w:rsidRPr="00C3521D" w:rsidRDefault="00C352A2" w:rsidP="00C352A2">
      <w:pPr>
        <w:pStyle w:val="Heading3"/>
        <w:rPr>
          <w:rFonts w:cs="Times New Roman"/>
        </w:rPr>
      </w:pPr>
      <w:r w:rsidRPr="00C3521D">
        <w:rPr>
          <w:rFonts w:cs="Times New Roman"/>
        </w:rPr>
        <w:t>Adjudicated final diagnosis</w:t>
      </w:r>
    </w:p>
    <w:p w14:paraId="55595B85" w14:textId="2CCEECC5" w:rsidR="00C352A2" w:rsidRDefault="00C352A2" w:rsidP="00C352A2">
      <w:pPr>
        <w:rPr>
          <w:rFonts w:cs="Times New Roman"/>
        </w:rPr>
      </w:pPr>
      <w:r w:rsidRPr="00C3521D">
        <w:rPr>
          <w:rFonts w:cs="Times New Roman"/>
        </w:rPr>
        <w:t>As previously described, all admissions were reviewed by an endpoint committee for adjudication of the final diagnosis</w:t>
      </w:r>
      <w:r w:rsidR="00A37B79">
        <w:rPr>
          <w:rFonts w:cs="Times New Roman"/>
        </w:rPr>
        <w:t>.</w:t>
      </w:r>
      <w:r w:rsidR="00672DCD">
        <w:rPr>
          <w:rFonts w:cs="Times New Roman"/>
        </w:rPr>
        <w:fldChar w:fldCharType="begin" w:fldLock="1"/>
      </w:r>
      <w:r w:rsidR="00DC4723">
        <w:rPr>
          <w:rFonts w:cs="Times New Roman"/>
        </w:rPr>
        <w:instrText>ADDIN CSL_CITATION {"citationItems":[{"id":"ITEM-1","itemData":{"abstract":"Improvement of prehospital triage is essential to ensure rapid management of patients with acute myocardial infarction (AMI). This study evaluates the feasibility of prehospital quantitative point-of-care cardiac troponin T (POC-cTnT) analysis, its ability to identify patients with AMI, and its capacity to predict mortality. The study was performed in the Central Denmark Region from May 2010 to May 2011. As a supplement to electrocardiography, a prehospital POC-cTnT measurement was performed by a paramedic in patients with suspected AMI. AMI was diagnosed according to the universal definition of myocardial infarction using the ninety-ninth percentile upper reference level as diagnostic cut point. The paramedics performed POC-cTnT measurements in 985 subjects with a symptom duration of 70 minutes (95% CI, 35 to 180); of whom, 200 (20%) had an AMI. The prehospital sample was obtained 88 minutes (range, 58 to 131) before the sample made on admission to the hospital. The sensitivity for detection of patients with an AMI was 39% (95% CI, 32% to 46%) and the diagnostic accuracy of the POC-cTnT values was 0.67 (95% CI, 0.64 to 0.71). Adjusted survival analysis showed a strong significant association between elevated prehospital POC-cTnT level above the detection level of 50 ng/L and mortality in patients with a suspected AMI irrespective of whether an AMI was diagnosed. In conclusion, large-scale quantitative prehospital POC-cTnT testing by paramedics is feasible. An elevated prehospital POC-cTnT value contains diagnostic information and is highly predictive of mortality in patients with a suspected AMI.","author":[{"dropping-particle":"","family":"Stengaard","given":"Carsten","non-dropping-particle":"","parse-names":false,"suffix":""},{"dropping-particle":"","family":"Sørensen","given":"Jacob Thorsted","non-dropping-particle":"","parse-names":false,"suffix":""},{"dropping-particle":"","family":"Ladefoged","given":"Søren Andreas","non-dropping-particle":"","parse-names":false,"suffix":""},{"dropping-particle":"","family":"Christensen","given":"Erika Frischknecht","non-dropping-particle":"","parse-names":false,"suffix":""},{"dropping-particle":"","family":"Lassen","given":"Jens Flensted","non-dropping-particle":"","parse-names":false,"suffix":""},{"dropping-particle":"","family":"Bøtker","given":"Hans Erik","non-dropping-particle":"","parse-names":false,"suffix":""},{"dropping-particle":"","family":"Terkelsen","given":"Christian Juhl","non-dropping-particle":"","parse-names":false,"suffix":""},{"dropping-particle":"","family":"Thygesen","given":"Kristian","non-dropping-particle":"","parse-names":false,"suffix":""}],"container-title":"The American journal of cardiology","id":"ITEM-1","issue":"9","issued":{"date-parts":[["2013","11","1"]]},"page":"1361-1366","publisher-place":"Department of Cardiology, Aarhus University Hospital, Aarhus, Central Denmark Region, Denmark. Electronic address: carstengaard@hotmail.com.","title":"Quantitative point-of-care troponin T measurement for diagnosis and prognosis in patients with a suspected acute myocardial infarction.","type":"article-journal","volume":"112"},"uris":["http://www.mendeley.com/documents/?uuid=5535af29-2175-4d44-9945-6929cbab1563"]}],"mendeley":{"formattedCitation":"&lt;sup&gt;16&lt;/sup&gt;","plainTextFormattedCitation":"16","previouslyFormattedCitation":"&lt;sup&gt;16&lt;/sup&gt;"},"properties":{"noteIndex":0},"schema":"https://github.com/citation-style-language/schema/raw/master/csl-citation.json"}</w:instrText>
      </w:r>
      <w:r w:rsidR="00672DCD">
        <w:rPr>
          <w:rFonts w:cs="Times New Roman"/>
        </w:rPr>
        <w:fldChar w:fldCharType="separate"/>
      </w:r>
      <w:r w:rsidR="00AC5E0B" w:rsidRPr="00AC5E0B">
        <w:rPr>
          <w:rFonts w:cs="Times New Roman"/>
          <w:noProof/>
          <w:vertAlign w:val="superscript"/>
        </w:rPr>
        <w:t>16</w:t>
      </w:r>
      <w:r w:rsidR="00672DCD">
        <w:rPr>
          <w:rFonts w:cs="Times New Roman"/>
        </w:rPr>
        <w:fldChar w:fldCharType="end"/>
      </w:r>
      <w:r w:rsidRPr="00C3521D">
        <w:rPr>
          <w:rFonts w:cs="Times New Roman"/>
        </w:rPr>
        <w:t xml:space="preserve"> This was performed according to the Universal Definition of MI</w:t>
      </w:r>
      <w:r w:rsidR="00A37B79">
        <w:rPr>
          <w:rFonts w:cs="Times New Roman"/>
        </w:rPr>
        <w:t>.</w:t>
      </w:r>
      <w:r w:rsidR="00672DCD">
        <w:rPr>
          <w:rFonts w:cs="Times New Roman"/>
        </w:rPr>
        <w:fldChar w:fldCharType="begin" w:fldLock="1"/>
      </w:r>
      <w:r w:rsidR="00320661">
        <w:rPr>
          <w:rFonts w:cs="Times New Roman"/>
        </w:rPr>
        <w:instrText>ADDIN CSL_CITATION {"citationItems":[{"id":"ITEM-1","itemData":{"author":[{"dropping-particle":"","family":"Thygesen","given":"Kristian","non-dropping-particle":"","parse-names":false,"suffix":""},{"dropping-particle":"","family":"Alpert","given":"Joseph S","non-dropping-particle":"","parse-names":false,"suffix":""},{"dropping-particle":"","family":"White","given":"Harvey D","non-dropping-particle":"","parse-names":false,"suffix":""},{"dropping-particle":"","family":"Infarction","given":"Joint ESC/ACCF/AHA/WHF Task Force for the Redefinition of Myocardial","non-dropping-particle":"","parse-names":false,"suffix":""}],"container-title":"European heart journal","id":"ITEM-1","issue":"20","issued":{"date-parts":[["2007","10","1"]]},"page":"2525-2538","publisher-place":"Department of Medicine and Cardiology, Aarhus University Hospital, Tage Hansens, Aarhus C, Denmark. Kristian.Thygesen@as.aaa.dk","title":"Universal definition of myocardial infarction.","type":"article-journal","volume":"28"},"uris":["http://www.mendeley.com/documents/?uuid=3d99bdb1-0aac-4729-8ed6-9c122baac96e"]}],"mendeley":{"formattedCitation":"&lt;sup&gt;22&lt;/sup&gt;","plainTextFormattedCitation":"22","previouslyFormattedCitation":"&lt;sup&gt;22&lt;/sup&gt;"},"properties":{"noteIndex":0},"schema":"https://github.com/citation-style-language/schema/raw/master/csl-citation.json"}</w:instrText>
      </w:r>
      <w:r w:rsidR="00672DCD">
        <w:rPr>
          <w:rFonts w:cs="Times New Roman"/>
        </w:rPr>
        <w:fldChar w:fldCharType="separate"/>
      </w:r>
      <w:r w:rsidR="00AD747D" w:rsidRPr="00AD747D">
        <w:rPr>
          <w:rFonts w:cs="Times New Roman"/>
          <w:noProof/>
          <w:vertAlign w:val="superscript"/>
        </w:rPr>
        <w:t>22</w:t>
      </w:r>
      <w:r w:rsidR="00672DCD">
        <w:rPr>
          <w:rFonts w:cs="Times New Roman"/>
        </w:rPr>
        <w:fldChar w:fldCharType="end"/>
      </w:r>
      <w:r w:rsidRPr="00C3521D">
        <w:rPr>
          <w:rFonts w:cs="Times New Roman"/>
        </w:rPr>
        <w:t xml:space="preserve"> For the diagnosis of myocardial </w:t>
      </w:r>
      <w:r w:rsidR="0049013E">
        <w:rPr>
          <w:rFonts w:cs="Times New Roman"/>
        </w:rPr>
        <w:t>injury</w:t>
      </w:r>
      <w:r w:rsidRPr="00C3521D">
        <w:rPr>
          <w:rFonts w:cs="Times New Roman"/>
        </w:rPr>
        <w:t>, the hs-cTnT URL was used. hs-cTnT values obtained from prehospital samples were not disclosed or used in clinical decision making</w:t>
      </w:r>
      <w:r w:rsidR="008C572D" w:rsidRPr="00C3521D">
        <w:rPr>
          <w:rFonts w:cs="Times New Roman"/>
        </w:rPr>
        <w:t xml:space="preserve">. The endpoint committee had access to all patient file material including the discharge file, </w:t>
      </w:r>
      <w:r w:rsidR="00EF3F80" w:rsidRPr="00C3521D">
        <w:rPr>
          <w:rFonts w:cs="Times New Roman"/>
        </w:rPr>
        <w:t>with</w:t>
      </w:r>
      <w:r w:rsidR="008C572D" w:rsidRPr="00C3521D">
        <w:rPr>
          <w:rFonts w:cs="Times New Roman"/>
        </w:rPr>
        <w:t xml:space="preserve"> the diagnoses determined by the clinicians. </w:t>
      </w:r>
      <w:r w:rsidRPr="00C3521D">
        <w:rPr>
          <w:rFonts w:cs="Times New Roman"/>
        </w:rPr>
        <w:t xml:space="preserve">AMI patients were classified as ST-elevation Myocardial Infarction (STEMI) or Non-ST-elevation Myocardial Infarction (NSTEMI); unstable angina (UA) was diagnosed in patients with a significant episode of chest pain thought </w:t>
      </w:r>
      <w:r w:rsidRPr="00C3521D">
        <w:rPr>
          <w:rFonts w:cs="Times New Roman"/>
        </w:rPr>
        <w:lastRenderedPageBreak/>
        <w:t xml:space="preserve">to be of </w:t>
      </w:r>
      <w:r w:rsidR="00335D87" w:rsidRPr="00C3521D">
        <w:rPr>
          <w:rFonts w:cs="Times New Roman"/>
        </w:rPr>
        <w:t>ischemic</w:t>
      </w:r>
      <w:r w:rsidRPr="00C3521D">
        <w:rPr>
          <w:rFonts w:cs="Times New Roman"/>
        </w:rPr>
        <w:t xml:space="preserve"> origin who did not fulfil AMI criteria.</w:t>
      </w:r>
      <w:r w:rsidR="001F3E62">
        <w:rPr>
          <w:rFonts w:cs="Times New Roman"/>
        </w:rPr>
        <w:t xml:space="preserve"> </w:t>
      </w:r>
    </w:p>
    <w:p w14:paraId="78C5DEAA" w14:textId="309EE941" w:rsidR="001F3E62" w:rsidRPr="00C3521D" w:rsidRDefault="001F3E62" w:rsidP="00C352A2">
      <w:pPr>
        <w:rPr>
          <w:rFonts w:cs="Times New Roman"/>
        </w:rPr>
      </w:pPr>
      <w:r w:rsidRPr="001F3E62">
        <w:rPr>
          <w:rFonts w:ascii="Calibri" w:hAnsi="Calibri" w:cs="Calibri"/>
        </w:rPr>
        <w:t>﻿</w:t>
      </w:r>
      <w:r w:rsidRPr="001F3E62">
        <w:rPr>
          <w:rFonts w:cs="Times New Roman"/>
        </w:rPr>
        <w:t xml:space="preserve">The cardiologist on call recorded clinical and baseline data as well as the triage decision using a web- based telemedicine database. Prehospital data were obtained from the Central Denmark Region’s Prehospital Emergency Medical Services. </w:t>
      </w:r>
      <w:r w:rsidR="00320661" w:rsidRPr="00320661">
        <w:rPr>
          <w:rFonts w:ascii="Calibri" w:hAnsi="Calibri" w:cs="Calibri"/>
        </w:rPr>
        <w:t>﻿</w:t>
      </w:r>
      <w:r w:rsidR="00320661" w:rsidRPr="00320661">
        <w:rPr>
          <w:rFonts w:cs="Times New Roman"/>
        </w:rPr>
        <w:t>Clinical details and baseline data were acquired from patient files in hard copies from the hospitals, and from The National Patient Registry.</w:t>
      </w:r>
      <w:r w:rsidRPr="001F3E62">
        <w:rPr>
          <w:rFonts w:cs="Times New Roman"/>
        </w:rPr>
        <w:t xml:space="preserve"> Survival data were obtained from The Danish Civil Registration System. Baseline health information was obtained from The National Patient Registry.</w:t>
      </w:r>
      <w:r w:rsidR="00AD747D">
        <w:rPr>
          <w:rFonts w:cs="Times New Roman"/>
        </w:rPr>
        <w:t xml:space="preserve"> At 30 days, 2 independent adjudicators evaluated all pre-, in-hospital and survival data. AMIs without cardiac death during 30-day follow-up was classified a non-fatal AMI.</w:t>
      </w:r>
    </w:p>
    <w:p w14:paraId="6018F234" w14:textId="437FDF7B" w:rsidR="00C352A2" w:rsidRPr="00C3521D" w:rsidRDefault="00C352A2" w:rsidP="00C352A2">
      <w:pPr>
        <w:pStyle w:val="Heading3"/>
        <w:rPr>
          <w:rFonts w:cs="Times New Roman"/>
        </w:rPr>
      </w:pPr>
      <w:r w:rsidRPr="00C3521D">
        <w:rPr>
          <w:rFonts w:cs="Times New Roman"/>
        </w:rPr>
        <w:t>Diagnostic proportions of hs-cTnT and cMyC</w:t>
      </w:r>
    </w:p>
    <w:p w14:paraId="03FABA04" w14:textId="6CC779C8" w:rsidR="00E13699" w:rsidRDefault="00C352A2" w:rsidP="00C352A2">
      <w:pPr>
        <w:rPr>
          <w:rFonts w:cs="Times New Roman"/>
        </w:rPr>
      </w:pPr>
      <w:r w:rsidRPr="00C3521D">
        <w:rPr>
          <w:rFonts w:cs="Times New Roman"/>
        </w:rPr>
        <w:t>Classification power of both biomarkers was assessed by calculating sensitivity, negative predictive value (NPV), specificity and positive predictive value (PPV) for each cut-off threshold. The 99</w:t>
      </w:r>
      <w:r w:rsidRPr="00C3521D">
        <w:rPr>
          <w:rFonts w:cs="Times New Roman"/>
          <w:vertAlign w:val="superscript"/>
        </w:rPr>
        <w:t>th</w:t>
      </w:r>
      <w:r w:rsidRPr="00C3521D">
        <w:rPr>
          <w:rFonts w:cs="Times New Roman"/>
        </w:rPr>
        <w:t xml:space="preserve"> centile of hs-cTnT is 14 ng/L, and the currently available POCT platform (Roche Cobas</w:t>
      </w:r>
      <w:r w:rsidR="002E2889" w:rsidRPr="00C3521D">
        <w:rPr>
          <w:rFonts w:cs="Times New Roman"/>
        </w:rPr>
        <w:t xml:space="preserve"> h323 handheld </w:t>
      </w:r>
      <w:r w:rsidR="00422537" w:rsidRPr="00C3521D">
        <w:rPr>
          <w:rFonts w:cs="Times New Roman"/>
        </w:rPr>
        <w:t>instrument</w:t>
      </w:r>
      <w:r w:rsidRPr="00C3521D">
        <w:rPr>
          <w:rFonts w:cs="Times New Roman"/>
        </w:rPr>
        <w:t xml:space="preserve">) can detect a laboratory-equivalent value of </w:t>
      </w:r>
      <w:r w:rsidR="008C572D" w:rsidRPr="00C3521D">
        <w:rPr>
          <w:rFonts w:cs="Times New Roman"/>
        </w:rPr>
        <w:t>50</w:t>
      </w:r>
      <w:r w:rsidR="00422537" w:rsidRPr="00C3521D">
        <w:rPr>
          <w:rFonts w:cs="Times New Roman"/>
        </w:rPr>
        <w:t xml:space="preserve"> </w:t>
      </w:r>
      <w:r w:rsidRPr="00C3521D">
        <w:rPr>
          <w:rFonts w:cs="Times New Roman"/>
        </w:rPr>
        <w:t>ng/L (POCT LoD</w:t>
      </w:r>
      <w:r w:rsidR="008C572D" w:rsidRPr="00C3521D">
        <w:rPr>
          <w:rFonts w:cs="Times New Roman"/>
        </w:rPr>
        <w:t>, correct at date of submission</w:t>
      </w:r>
      <w:r w:rsidRPr="00C3521D">
        <w:rPr>
          <w:rFonts w:cs="Times New Roman"/>
        </w:rPr>
        <w:t xml:space="preserve">) – about 3-fold the LoQ or 10-fold </w:t>
      </w:r>
      <w:r w:rsidR="00FF157C" w:rsidRPr="00C3521D">
        <w:rPr>
          <w:rFonts w:cs="Times New Roman"/>
        </w:rPr>
        <w:t>the LoD of the laboratory assay</w:t>
      </w:r>
      <w:r w:rsidR="00672DCD">
        <w:rPr>
          <w:rFonts w:cs="Times New Roman"/>
        </w:rPr>
        <w:t>.</w:t>
      </w:r>
      <w:r w:rsidR="00672DCD">
        <w:rPr>
          <w:rFonts w:cs="Times New Roman"/>
        </w:rPr>
        <w:fldChar w:fldCharType="begin" w:fldLock="1"/>
      </w:r>
      <w:r w:rsidR="00F30B03">
        <w:rPr>
          <w:rFonts w:cs="Times New Roman"/>
        </w:rPr>
        <w:instrText>ADDIN CSL_CITATION {"citationItems":[{"id":"ITEM-1","itemData":{"abstract":"BACKGROUND:The cobas h 232 point-of-care analyzer by Roche is the instrument successor of the Cardiac reader allowing the quantitative determination of troponin T, creatine kinase MB, myoglobin, NT-proBNP and D-dimer.\n\nMETHODS:In this study 1329 patients with acute coronary syndromes, heart failure, thromboembolic or other diseases and 945 healthy donors were assessed. Comparisons versus central laboratory methods were carried out with 2379 samples from these individuals; out of these, 1591 samples gave quantitative results within the measuring range and were included in the evaluation.\n\nRESULTS:The point-of-care assays for creatine kinase MB, myoglobin, NT-proBNP and D-dimer were within a relative bias range of -5.9 to +6.9% compared to the laboratory assay. The troponin T assay showed a bias of -11.0% and after change of the calibration procedure of +1.9%. None of the five point-of-care assays had a relative difference between the new system and the precursor device that was higher than +5.0%. Within-series coefficients of variation of patient samples were found in a range from 4.8 to 14.8%. No significant interference was observed with lipemic, hemolytic and icteric blood or at different hematocrit values.\n\nCONCLUSIONS:Due to its good analytical agreement with the laboratory methods and with its precursor device, the cobas h 232 system can be reliably used to support on-site decision making for cardiovascular patients in acute and non-acute settings.","author":[{"dropping-particle":"","family":"Bertsch","given":"Thomas","non-dropping-particle":"","parse-names":false,"suffix":""},{"dropping-particle":"","family":"Chapelle","given":"Jean-Paul","non-dropping-particle":"","parse-names":false,"suffix":""},{"dropping-particle":"","family":"Dempfle","given":"Carl-Erik","non-dropping-particle":"","parse-names":false,"suffix":""},{"dropping-particle":"","family":"Giannitsis","given":"Evangelos","non-dropping-particle":"","parse-names":false,"suffix":""},{"dropping-particle":"","family":"Schwabs","given":"Michael","non-dropping-particle":"","parse-names":false,"suffix":""},{"dropping-particle":"","family":"Zerback","given":"Rainer","non-dropping-particle":"","parse-names":false,"suffix":""}],"container-title":"Clinical laboratory","id":"ITEM-1","issue":"1-2","issued":{"date-parts":[["2010","1","1"]]},"page":"37-49","publisher-place":"Institut für Klinische Chemie, Laboratoriumsmedizin und Transfusionsmedizin, Klinikum Nürnberg, Nürnberg, Germany.","title":"Multicentre analytical evaluation of a new point-of-care system for the determination of cardiac and thromboembolic markers.","type":"article-journal","volume":"56"},"uris":["http://www.mendeley.com/documents/?uuid=11e703a9-53d3-43bd-94b5-0d047fa41ace"]}],"mendeley":{"formattedCitation":"&lt;sup&gt;23&lt;/sup&gt;","plainTextFormattedCitation":"23","previouslyFormattedCitation":"&lt;sup&gt;23&lt;/sup&gt;"},"properties":{"noteIndex":0},"schema":"https://github.com/citation-style-language/schema/raw/master/csl-citation.json"}</w:instrText>
      </w:r>
      <w:r w:rsidR="00672DCD">
        <w:rPr>
          <w:rFonts w:cs="Times New Roman"/>
        </w:rPr>
        <w:fldChar w:fldCharType="separate"/>
      </w:r>
      <w:r w:rsidR="00AD747D" w:rsidRPr="00AD747D">
        <w:rPr>
          <w:rFonts w:cs="Times New Roman"/>
          <w:noProof/>
          <w:vertAlign w:val="superscript"/>
        </w:rPr>
        <w:t>23</w:t>
      </w:r>
      <w:r w:rsidR="00672DCD">
        <w:rPr>
          <w:rFonts w:cs="Times New Roman"/>
        </w:rPr>
        <w:fldChar w:fldCharType="end"/>
      </w:r>
      <w:r w:rsidR="00672DCD">
        <w:rPr>
          <w:rFonts w:cs="Times New Roman"/>
        </w:rPr>
        <w:t xml:space="preserve"> </w:t>
      </w:r>
      <w:r w:rsidR="00E56D67" w:rsidRPr="00C3521D">
        <w:rPr>
          <w:rFonts w:cs="Times New Roman"/>
        </w:rPr>
        <w:t>The result is reported as ‘negative’ &lt;50 ng/L, ‘positive’ at 50-100 ng/L, and quantitatively positive with a numerical value &gt;100 ng/L.</w:t>
      </w:r>
      <w:r w:rsidRPr="00C3521D">
        <w:rPr>
          <w:rFonts w:cs="Times New Roman"/>
        </w:rPr>
        <w:t xml:space="preserve"> </w:t>
      </w:r>
    </w:p>
    <w:p w14:paraId="1B99A464" w14:textId="5E012601" w:rsidR="00B40472" w:rsidRPr="00C3521D" w:rsidRDefault="009E54D7" w:rsidP="00C352A2">
      <w:pPr>
        <w:rPr>
          <w:rFonts w:cs="Times New Roman"/>
        </w:rPr>
      </w:pPr>
      <w:r>
        <w:rPr>
          <w:rFonts w:cs="Times New Roman"/>
        </w:rPr>
        <w:t xml:space="preserve">In line with results from a first foray into detection of cMyC </w:t>
      </w:r>
      <w:r w:rsidR="00B50D44">
        <w:rPr>
          <w:rFonts w:cs="Times New Roman"/>
        </w:rPr>
        <w:t xml:space="preserve">concentrations </w:t>
      </w:r>
      <w:r w:rsidR="00D61C0A">
        <w:rPr>
          <w:rFonts w:cs="Times New Roman"/>
        </w:rPr>
        <w:t>on a POCT platform (see supplemental results and figure S1), 10 ng/L (the previously published threshold for rule-out of AMI</w:t>
      </w:r>
      <w:r w:rsidR="00D61C0A">
        <w:rPr>
          <w:rFonts w:cs="Times New Roman"/>
        </w:rPr>
        <w:fldChar w:fldCharType="begin" w:fldLock="1"/>
      </w:r>
      <w:r w:rsidR="00040B16">
        <w:rPr>
          <w:rFonts w:cs="Times New Roman"/>
        </w:rPr>
        <w:instrText>ADDIN CSL_CITATION {"citationItems":[{"id":"ITEM-1","itemData":{"abstract":"BACKGROUND:Cardiac myosin-binding protein C (cMyC) is a cardiac-restricted protein that is more abundant than cardiac troponins (cTn) and is released more rapidly after acute myocardial infarction (AMI). We evaluated cMyC as an adjunct or alternative to cTn in the early diagnosis of AMI. METHODS:Unselected patients (N=1954) presenting to the emergency department with symptoms suggestive of AMI, concentrations of cMyC, and high-sensitivity (hs) and standard-sensitivity cTn were measured at presentation. The final diagnosis of AMI was independently adjudicated using all available clinical and biochemical information without knowledge of cMyC. The prognostic end point was long-term mortality. RESULTS:Final diagnosis was AMI in 340 patients (17%). Concentrations of cMyC at presentation were significantly higher in those with versus without AMI (median, 237 ng/L versus 13 ng/L, P&lt;0.001). Discriminatory power for AMI, as quantified by the area under the receiver-operating characteristic curve (AUC), was comparable for cMyC (AUC, 0.924), hs-cTnT (AUC, 0.927), and hs-cTnI (AUC, 0.922) and superior to cTnI measured by a contemporary sensitivity assay (AUC, 0.909). The combination of cMyC with hs-cTnT or standard-sensitivity cTnI (but not hs-cTnI) led to an increase in AUC to 0.931 (P&lt;0.0001) and 0.926 (P=0.003), respectively. Use of cMyC more accurately classified patients with a single blood test into rule-out or rule-in categories: Net Reclassification Improvement +0.149 versus hs-cTnT, +0.235 versus hs-cTnI (P&lt;0.001). In early presenters (chest pain &lt;3 h), the improvement in rule-in/rule-out classification with cMyC was larger compared with hs-cTnT (Net Reclassification Improvement +0.256) and hs-cTnI (Net Reclassification Improvement +0.308; both P&lt;0.001). Comparing the C statistics, cMyC was superior to hs-cTnI and standard sensitivity cTnI (P&lt;0.05 for both) and similar to hs-cTnT at predicting death at 3 years. CONCLUSIONS:cMyC at presentation provides discriminatory power comparable to hs-cTnT and hs-cTnI in the diagnosis of AMI and may perform favorably in patients presenting early after symptom onset. CLINICAL TRIAL REGISTRATION:URL: https://www.clinicaltrials.gov. Unique identifier: NCT00470587.","author":[{"dropping-particle":"","family":"Kaier","given":"Thomas E","non-dropping-particle":"","parse-names":false,"suffix":""},{"dropping-particle":"","family":"Twerenbold","given":"Raphael","non-dropping-particle":"","parse-names":false,"suffix":""},{"dropping-particle":"","family":"Puelacher","given":"Christian","non-dropping-particle":"","parse-names":false,"suffix":""},{"dropping-particle":"","family":"Marjot","given":"Jack","non-dropping-particle":"","parse-names":false,"suffix":""},{"dropping-particle":"","family":"Imambaccus","given":"Nazia","non-dropping-particle":"","parse-names":false,"suffix":""},{"dropping-particle":"","family":"Boeddinghaus","given":"Jasper","non-dropping-particle":"","parse-names":false,"suffix":""},{"dropping-particle":"","family":"Nestelberger","given":"Thomas","non-dropping-particle":"","parse-names":false,"suffix":""},{"dropping-particle":"","family":"Badertscher","given":"Patrick","non-dropping-particle":"","parse-names":false,"suffix":""},{"dropping-particle":"","family":"Sabti","given":"Zaid","non-dropping-particle":"","parse-names":false,"suffix":""},{"dropping-particle":"","family":"Gimenez","given":"Maria Rubini","non-dropping-particle":"","parse-names":false,"suffix":""},{"dropping-particle":"","family":"Wildi","given":"Karin","non-dropping-particle":"","parse-names":false,"suffix":""},{"dropping-particle":"","family":"Hillinger","given":"Petra","non-dropping-particle":"","parse-names":false,"suffix":""},{"dropping-particle":"","family":"Grimm","given":"Karin","non-dropping-particle":"","parse-names":false,"suffix":""},{"dropping-particle":"","family":"Loeffel","given":"Sarah","non-dropping-particle":"","parse-names":false,"suffix":""},{"dropping-particle":"","family":"Shrestha","given":"Samyut","non-dropping-particle":"","parse-names":false,"suffix":""},{"dropping-particle":"","family":"Widmer","given":"Dayana Flores","non-dropping-particle":"","parse-names":false,"suffix":""},{"dropping-particle":"","family":"Cupa","given":"Janosch","non-dropping-particle":"","parse-names":false,"suffix":""},{"dropping-particle":"","family":"Kozhuharov","given":"Nikola","non-dropping-particle":"","parse-names":false,"suffix":""},{"dropping-particle":"","family":"Miró","given":"Òscar","non-dropping-particle":"","parse-names":false,"suffix":""},{"dropping-particle":"","family":"Martin-Sanchez","given":"F Javier","non-dropping-particle":"","parse-names":false,"suffix":""},{"dropping-particle":"","family":"Morawiec","given":"Beata","non-dropping-particle":"","parse-names":false,"suffix":""},{"dropping-particle":"","family":"Rentsch","given":"Katharina","non-dropping-particle":"","parse-names":false,"suffix":""},{"dropping-particle":"","family":"Lohrmann","given":"Jens","non-dropping-particle":"","parse-names":false,"suffix":""},{"dropping-particle":"","family":"Kloos","given":"Wanda","non-dropping-particle":"","parse-names":false,"suffix":""},{"dropping-particle":"","family":"Osswald","given":"Stefan","non-dropping-particle":"","parse-names":false,"suffix":""},{"dropping-particle":"","family":"Reichlin","given":"Tobias","non-dropping-particle":"","parse-names":false,"suffix":""},{"dropping-particle":"","family":"Weber","given":"Ekkehard","non-dropping-particle":"","parse-names":false,"suffix":""},{"dropping-particle":"","family":"Marber","given":"Michael","non-dropping-particle":"","parse-names":false,"suffix":""},{"dropping-particle":"","family":"Mueller","given":"Christian","non-dropping-particle":"","parse-names":false,"suffix":""}],"container-title":"Circulation","id":"ITEM-1","issue":"16","issued":{"date-parts":[["2017","10","17"]]},"page":"1495-1508","publisher":"Lippincott Williams &amp; Wilkins","publisher-place":"From King's College London BHF Centre, Rayne Institute, St Thomas' Hospital, London, UK (T.K., J.M., N.I., M.M.); Department of Cardiology and Cardiovascular Research Institute Basel, University Hospital Basel, Switzerland (R.T., C.P., J.B., T.N., P.B., Z","title":"Direct Comparison of Cardiac Myosin-Binding Protein C With Cardiac Troponins for the Early Diagnosis of Acute Myocardial Infarction.","type":"article-journal","volume":"136"},"uris":["http://www.mendeley.com/documents/?uuid=84746d0c-aa2d-4e2f-a7ad-449f9bfe8cf9"]}],"mendeley":{"formattedCitation":"&lt;sup&gt;13&lt;/sup&gt;","plainTextFormattedCitation":"13","previouslyFormattedCitation":"&lt;sup&gt;13&lt;/sup&gt;"},"properties":{"noteIndex":0},"schema":"https://github.com/citation-style-language/schema/raw/master/csl-citation.json"}</w:instrText>
      </w:r>
      <w:r w:rsidR="00D61C0A">
        <w:rPr>
          <w:rFonts w:cs="Times New Roman"/>
        </w:rPr>
        <w:fldChar w:fldCharType="separate"/>
      </w:r>
      <w:r w:rsidR="0041496F" w:rsidRPr="0041496F">
        <w:rPr>
          <w:rFonts w:cs="Times New Roman"/>
          <w:noProof/>
          <w:vertAlign w:val="superscript"/>
        </w:rPr>
        <w:t>13</w:t>
      </w:r>
      <w:r w:rsidR="00D61C0A">
        <w:rPr>
          <w:rFonts w:cs="Times New Roman"/>
        </w:rPr>
        <w:fldChar w:fldCharType="end"/>
      </w:r>
      <w:r w:rsidR="00D61C0A">
        <w:rPr>
          <w:rFonts w:cs="Times New Roman"/>
        </w:rPr>
        <w:t>) seems feasible. We</w:t>
      </w:r>
      <w:r w:rsidR="00C352A2" w:rsidRPr="00C3521D">
        <w:rPr>
          <w:rFonts w:cs="Times New Roman"/>
        </w:rPr>
        <w:t xml:space="preserve"> used 1,000 bootstrap replicates to determi</w:t>
      </w:r>
      <w:r w:rsidR="00D61C0A">
        <w:rPr>
          <w:rFonts w:cs="Times New Roman"/>
        </w:rPr>
        <w:t xml:space="preserve">ne the classification power of </w:t>
      </w:r>
      <w:r w:rsidR="00C352A2" w:rsidRPr="00C3521D">
        <w:rPr>
          <w:rFonts w:cs="Times New Roman"/>
        </w:rPr>
        <w:t xml:space="preserve">each biomarker with 95% confidence intervals (95% CI). </w:t>
      </w:r>
      <w:r w:rsidR="00763AF4">
        <w:rPr>
          <w:rFonts w:cs="Times New Roman"/>
        </w:rPr>
        <w:t xml:space="preserve">Net Reclassification Improvement and </w:t>
      </w:r>
      <w:r w:rsidR="00763AF4" w:rsidRPr="00763AF4">
        <w:rPr>
          <w:rFonts w:cs="Times New Roman"/>
        </w:rPr>
        <w:t>Integrated Discrimination Improvement</w:t>
      </w:r>
      <w:r w:rsidR="00763AF4">
        <w:rPr>
          <w:rFonts w:cs="Times New Roman"/>
        </w:rPr>
        <w:t xml:space="preserve"> were calculated in line with </w:t>
      </w:r>
      <w:proofErr w:type="spellStart"/>
      <w:r w:rsidR="00763AF4">
        <w:rPr>
          <w:rFonts w:cs="Times New Roman"/>
        </w:rPr>
        <w:t>Pencina’s</w:t>
      </w:r>
      <w:proofErr w:type="spellEnd"/>
      <w:r w:rsidR="00763AF4">
        <w:rPr>
          <w:rFonts w:cs="Times New Roman"/>
        </w:rPr>
        <w:t xml:space="preserve"> recommendations.</w:t>
      </w:r>
      <w:r w:rsidR="00763AF4">
        <w:rPr>
          <w:rFonts w:cs="Times New Roman"/>
        </w:rPr>
        <w:fldChar w:fldCharType="begin" w:fldLock="1"/>
      </w:r>
      <w:r w:rsidR="00763AF4">
        <w:rPr>
          <w:rFonts w:cs="Times New Roman"/>
        </w:rPr>
        <w:instrText>ADDIN CSL_CITATION {"citationItems":[{"id":"ITEM-1","itemData":{"abstract":"Appropriate quantification of added usefulness offered by new markers included in risk prediction algorithms is a problem of active research and debate. Standard methods, including statistical significance and c statistic are useful but not sufficient. Net reclassification improvement (NRI) offers a simple intuitive way of quantifying improvement offered by new markers and has been gaining popularity among researchers. However, several aspects of the NRI have not been studied in sufficient detail. In this paper we propose a prospective formulation for the NRI which offers immediate application to survival and competing risk data as well as allows for easy weighting with observed or perceived costs. We address the issue of the number and choice of categories and their impact on NRI. We contrast category-based NRI with one which is category-free and conclude that NRIs cannot be compared across studies unless they are defined in the same manner. We discuss the impact of differing event rates when models are applied to different samples or definitions of events and durations of follow-up vary between studies. We also show how NRI can be applied to case-control data. The concepts presented in the paper are illustrated in a Framingham Heart Study example. In conclusion, NRI can be readily calculated for survival, competing risk, and case-control data, is more objective and comparable across studies using the category-free version, and can include relative costs for classifications. We recommend that researchers clearly define and justify the choices they make when choosing NRI for their application.","author":[{"dropping-particle":"","family":"Pencina","given":"Michael J","non-dropping-particle":"","parse-names":false,"suffix":""},{"dropping-particle":"","family":"D'Agostino","given":"Ralph B","non-dropping-particle":"","parse-names":false,"suffix":""},{"dropping-particle":"","family":"Steyerberg","given":"Ewout W","non-dropping-particle":"","parse-names":false,"suffix":""}],"container-title":"Statistics in medicine","id":"ITEM-1","issue":"1","issued":{"date-parts":[["2011","1","15"]]},"page":"11-21","publisher":"John Wiley &amp; Sons, Ltd.","publisher-place":"Department of Biostatistics, Boston University, 801 Massachusetts Ave, Boston, MA 02118, USA. mpencina@bu.edu","title":"Extensions of net reclassification improvement calculations to measure usefulness of new biomarkers.","type":"article-journal","volume":"30"},"uris":["http://www.mendeley.com/documents/?uuid=6ece650f-02df-4289-b66d-a876fedd94db"]}],"mendeley":{"formattedCitation":"&lt;sup&gt;24&lt;/sup&gt;","plainTextFormattedCitation":"24","previouslyFormattedCitation":"&lt;sup&gt;24&lt;/sup&gt;"},"properties":{"noteIndex":0},"schema":"https://github.com/citation-style-language/schema/raw/master/csl-citation.json"}</w:instrText>
      </w:r>
      <w:r w:rsidR="00763AF4">
        <w:rPr>
          <w:rFonts w:cs="Times New Roman"/>
        </w:rPr>
        <w:fldChar w:fldCharType="separate"/>
      </w:r>
      <w:r w:rsidR="00763AF4" w:rsidRPr="00763AF4">
        <w:rPr>
          <w:rFonts w:cs="Times New Roman"/>
          <w:noProof/>
          <w:vertAlign w:val="superscript"/>
        </w:rPr>
        <w:t>24</w:t>
      </w:r>
      <w:r w:rsidR="00763AF4">
        <w:rPr>
          <w:rFonts w:cs="Times New Roman"/>
        </w:rPr>
        <w:fldChar w:fldCharType="end"/>
      </w:r>
      <w:r w:rsidR="00763AF4">
        <w:rPr>
          <w:rFonts w:cs="Times New Roman"/>
        </w:rPr>
        <w:t xml:space="preserve"> A positive NRI indicates an improvement of classification from the initial model: </w:t>
      </w:r>
      <w:r w:rsidR="00763AF4" w:rsidRPr="00763AF4">
        <w:rPr>
          <w:rFonts w:cs="Times New Roman"/>
        </w:rPr>
        <w:t xml:space="preserve">Categorical NRI equal to x% means that compared with individuals without outcome, individuals with outcome were almost x% more likely to move </w:t>
      </w:r>
      <w:r w:rsidR="00763AF4" w:rsidRPr="00763AF4">
        <w:rPr>
          <w:rFonts w:cs="Times New Roman"/>
        </w:rPr>
        <w:lastRenderedPageBreak/>
        <w:t>up a category than down. IDI equal to x% means that the difference in average predicted risks between the individuals with and without the outcome increased by x% in the updated model.</w:t>
      </w:r>
    </w:p>
    <w:p w14:paraId="705155CF" w14:textId="77777777" w:rsidR="00C352A2" w:rsidRPr="00C3521D" w:rsidRDefault="00C352A2" w:rsidP="00C352A2">
      <w:pPr>
        <w:pStyle w:val="Heading3"/>
        <w:rPr>
          <w:rFonts w:cs="Times New Roman"/>
        </w:rPr>
      </w:pPr>
      <w:r w:rsidRPr="00C3521D">
        <w:rPr>
          <w:rFonts w:cs="Times New Roman"/>
        </w:rPr>
        <w:t>Statistical analysis</w:t>
      </w:r>
    </w:p>
    <w:p w14:paraId="7B55C894" w14:textId="31D94EA6" w:rsidR="00C352A2" w:rsidRPr="00C3521D" w:rsidRDefault="00C352A2" w:rsidP="00C352A2">
      <w:pPr>
        <w:rPr>
          <w:rFonts w:cs="Times New Roman"/>
        </w:rPr>
      </w:pPr>
      <w:r w:rsidRPr="00C3521D">
        <w:rPr>
          <w:rFonts w:cs="Times New Roman"/>
        </w:rPr>
        <w:t>All data are expressed as medians [1</w:t>
      </w:r>
      <w:r w:rsidRPr="00C3521D">
        <w:rPr>
          <w:rFonts w:cs="Times New Roman"/>
          <w:vertAlign w:val="superscript"/>
        </w:rPr>
        <w:t>st</w:t>
      </w:r>
      <w:r w:rsidRPr="00C3521D">
        <w:rPr>
          <w:rFonts w:cs="Times New Roman"/>
        </w:rPr>
        <w:t xml:space="preserve"> quartile; 3</w:t>
      </w:r>
      <w:r w:rsidRPr="00C3521D">
        <w:rPr>
          <w:rFonts w:cs="Times New Roman"/>
          <w:vertAlign w:val="superscript"/>
        </w:rPr>
        <w:t>rd</w:t>
      </w:r>
      <w:r w:rsidRPr="00C3521D">
        <w:rPr>
          <w:rFonts w:cs="Times New Roman"/>
        </w:rPr>
        <w:t xml:space="preserve"> quartile] or means (standard deviation) for continuous variables (compared with t-test or ANOVA for continuous normal distributed variables, and Kruskal-Wallis test if continuous non-normal</w:t>
      </w:r>
      <w:r w:rsidR="00800AE1">
        <w:rPr>
          <w:rFonts w:cs="Times New Roman"/>
        </w:rPr>
        <w:t>ly</w:t>
      </w:r>
      <w:r w:rsidRPr="00C3521D">
        <w:rPr>
          <w:rFonts w:cs="Times New Roman"/>
        </w:rPr>
        <w:t xml:space="preserve"> distributed); categorical variables are expressed as absolute and relative frequencies (compared with Pearson chi-square). Hypothesis testing was two-tailed and p values &lt;0.05 were considered statistically significant. Where bootstrap techniques were used, the calculations were performed using 1,000 stratified replicates.</w:t>
      </w:r>
    </w:p>
    <w:p w14:paraId="54809667" w14:textId="77777777" w:rsidR="00800AE1" w:rsidRDefault="00C352A2" w:rsidP="00C352A2">
      <w:pPr>
        <w:rPr>
          <w:rFonts w:cs="Times New Roman"/>
        </w:rPr>
      </w:pPr>
      <w:r w:rsidRPr="00C3521D">
        <w:rPr>
          <w:rFonts w:cs="Times New Roman"/>
        </w:rPr>
        <w:t>Diagnostic accuracy was quantified by the area under the receiver-operating curve (AUC (95% confidence interval)) against adjudicated AMI. Bootstrapping was used to calculate Confidence Intervals (CI), compare the AUC between biomarkers and calculate the classification function.</w:t>
      </w:r>
      <w:r w:rsidR="00F30B03">
        <w:rPr>
          <w:rFonts w:cs="Times New Roman"/>
        </w:rPr>
        <w:t xml:space="preserve"> Youden’s Index was calculated to quote the concentration at which the sum of sensitivity and specificity is maximised.</w:t>
      </w:r>
      <w:r w:rsidR="00F30B03">
        <w:rPr>
          <w:rFonts w:cs="Times New Roman"/>
        </w:rPr>
        <w:fldChar w:fldCharType="begin" w:fldLock="1"/>
      </w:r>
      <w:r w:rsidR="00763AF4">
        <w:rPr>
          <w:rFonts w:cs="Times New Roman"/>
        </w:rPr>
        <w:instrText>ADDIN CSL_CITATION {"citationItems":[{"id":"ITEM-1","itemData":{"ISSN":"0008-543X","PMID":"15405679","author":[{"dropping-particle":"","family":"Youden","given":"W J","non-dropping-particle":"","parse-names":false,"suffix":""}],"container-title":"Cancer","id":"ITEM-1","issue":"1","issued":{"date-parts":[["1950","1"]]},"page":"32-5","title":"Index for rating diagnostic tests.","type":"article-journal","volume":"3"},"uris":["http://www.mendeley.com/documents/?uuid=d07e3a82-86c0-429e-b5d7-f008d6e6d41c"]}],"mendeley":{"formattedCitation":"&lt;sup&gt;25&lt;/sup&gt;","plainTextFormattedCitation":"25","previouslyFormattedCitation":"&lt;sup&gt;25&lt;/sup&gt;"},"properties":{"noteIndex":0},"schema":"https://github.com/citation-style-language/schema/raw/master/csl-citation.json"}</w:instrText>
      </w:r>
      <w:r w:rsidR="00F30B03">
        <w:rPr>
          <w:rFonts w:cs="Times New Roman"/>
        </w:rPr>
        <w:fldChar w:fldCharType="separate"/>
      </w:r>
      <w:r w:rsidR="00763AF4" w:rsidRPr="00763AF4">
        <w:rPr>
          <w:rFonts w:cs="Times New Roman"/>
          <w:noProof/>
          <w:vertAlign w:val="superscript"/>
        </w:rPr>
        <w:t>25</w:t>
      </w:r>
      <w:r w:rsidR="00F30B03">
        <w:rPr>
          <w:rFonts w:cs="Times New Roman"/>
        </w:rPr>
        <w:fldChar w:fldCharType="end"/>
      </w:r>
      <w:r w:rsidRPr="00C3521D">
        <w:rPr>
          <w:rFonts w:cs="Times New Roman"/>
        </w:rPr>
        <w:t xml:space="preserve"> Logistic regression was used to combine cMyC with hs-cTnT values for the assessment of an incremental value using </w:t>
      </w:r>
      <w:r w:rsidR="00143F77">
        <w:rPr>
          <w:rFonts w:cs="Times New Roman"/>
        </w:rPr>
        <w:t xml:space="preserve">the </w:t>
      </w:r>
      <w:r w:rsidRPr="00C3521D">
        <w:rPr>
          <w:rFonts w:cs="Times New Roman"/>
        </w:rPr>
        <w:t>two biomarker</w:t>
      </w:r>
      <w:r w:rsidR="00B113B9">
        <w:rPr>
          <w:rFonts w:cs="Times New Roman"/>
        </w:rPr>
        <w:t xml:space="preserve"> concentrations</w:t>
      </w:r>
      <w:r w:rsidRPr="00C3521D">
        <w:rPr>
          <w:rFonts w:cs="Times New Roman"/>
        </w:rPr>
        <w:t xml:space="preserve"> at presentation. Correlation was assessed with Spearman’s rho (r</w:t>
      </w:r>
      <w:r w:rsidRPr="00C3521D">
        <w:rPr>
          <w:rFonts w:cs="Times New Roman"/>
          <w:vertAlign w:val="subscript"/>
        </w:rPr>
        <w:t>s</w:t>
      </w:r>
      <w:r w:rsidRPr="00C3521D">
        <w:rPr>
          <w:rFonts w:cs="Times New Roman"/>
        </w:rPr>
        <w:t>) and adjusted R</w:t>
      </w:r>
      <w:r w:rsidRPr="00C3521D">
        <w:rPr>
          <w:rFonts w:cs="Times New Roman"/>
          <w:vertAlign w:val="superscript"/>
        </w:rPr>
        <w:t xml:space="preserve">2 </w:t>
      </w:r>
      <w:r w:rsidRPr="00C3521D">
        <w:rPr>
          <w:rFonts w:cs="Times New Roman"/>
        </w:rPr>
        <w:t xml:space="preserve">by fitting a linear regression model. </w:t>
      </w:r>
    </w:p>
    <w:p w14:paraId="310339E0" w14:textId="77777777" w:rsidR="00800AE1" w:rsidRPr="008D3278" w:rsidRDefault="00800AE1" w:rsidP="00800AE1">
      <w:pPr>
        <w:pStyle w:val="Heading3"/>
        <w:rPr>
          <w:b w:val="0"/>
          <w:bCs/>
          <w:u w:val="single"/>
        </w:rPr>
      </w:pPr>
      <w:r w:rsidRPr="008D3278">
        <w:rPr>
          <w:b w:val="0"/>
          <w:bCs/>
          <w:u w:val="single"/>
        </w:rPr>
        <w:t>Regression Models</w:t>
      </w:r>
    </w:p>
    <w:p w14:paraId="63D00B15" w14:textId="06AC991C" w:rsidR="00800AE1" w:rsidRDefault="00800AE1" w:rsidP="00800AE1">
      <w:pPr>
        <w:rPr>
          <w:rFonts w:cs="Times New Roman"/>
          <w:lang w:val="en-US"/>
        </w:rPr>
      </w:pPr>
      <w:r>
        <w:rPr>
          <w:rFonts w:cs="Times New Roman"/>
        </w:rPr>
        <w:t xml:space="preserve">Several regression models incorporating available biomarker concentrations (hs-cTnT and cMyC) and clinical variables (history of diabetes, hyperlipidaemia, hypertension, smoking, prior myocardial infarction; baseline variables </w:t>
      </w:r>
      <w:r w:rsidR="00F27C8A">
        <w:rPr>
          <w:rFonts w:cs="Times New Roman"/>
        </w:rPr>
        <w:t>sex</w:t>
      </w:r>
      <w:r>
        <w:rPr>
          <w:rFonts w:cs="Times New Roman"/>
        </w:rPr>
        <w:t xml:space="preserve">, age, creatinine) were evaluated – 1) logistic regression models for the adjudicated diagnosis of AMI upon index presentation and 2) cox proportional hazard models to predict probability of a) death and b) non-fatal AMI or death </w:t>
      </w:r>
      <w:r>
        <w:rPr>
          <w:rFonts w:cs="Times New Roman"/>
        </w:rPr>
        <w:lastRenderedPageBreak/>
        <w:t xml:space="preserve">during follow-up. </w:t>
      </w:r>
    </w:p>
    <w:p w14:paraId="3F46141F" w14:textId="77777777" w:rsidR="00800AE1" w:rsidRPr="00E10A42" w:rsidRDefault="00800AE1" w:rsidP="00800AE1">
      <w:pPr>
        <w:rPr>
          <w:rFonts w:cs="Times New Roman"/>
          <w:lang w:val="en-US"/>
        </w:rPr>
      </w:pPr>
      <w:r>
        <w:rPr>
          <w:rFonts w:cs="Times New Roman"/>
          <w:lang w:val="en-US"/>
        </w:rPr>
        <w:t xml:space="preserve">We used restricted cubic splines to model the distribution of cMyC, as the assay was able to detect a cMyC concentration in every enrolled participant tested and thus no individual was below the limit of detection (0.4 ng/L). For hs-cTnT, we modelled the distribution using linear splines – all concentrations below LoD (5 ng/L) were assigned the value 4.99 ng/L, and the knot locations were assigned at quantiles 5%, 25%, 50% and 75% above the LoD. </w:t>
      </w:r>
    </w:p>
    <w:p w14:paraId="7E7ECDE3" w14:textId="267A8BBC" w:rsidR="00800AE1" w:rsidRDefault="00800AE1" w:rsidP="00800AE1">
      <w:pPr>
        <w:rPr>
          <w:rFonts w:cs="Times New Roman"/>
          <w:lang w:val="en-US"/>
        </w:rPr>
      </w:pPr>
      <w:r>
        <w:rPr>
          <w:lang w:val="en-US"/>
        </w:rPr>
        <w:t xml:space="preserve">A short model for the probabilistic assessment of AMI likelihood was derived using a pragmatic approach informed by fast backward variable selection. To assess probability of AMI, this resulted in the inclusion of the following factors for the derivation of a nomogram displayed in an abbreviated model suitable to the development of a nomogram: cMyC, </w:t>
      </w:r>
      <w:r w:rsidR="00F27C8A">
        <w:rPr>
          <w:lang w:val="en-US"/>
        </w:rPr>
        <w:t>sex</w:t>
      </w:r>
      <w:r>
        <w:rPr>
          <w:lang w:val="en-US"/>
        </w:rPr>
        <w:t xml:space="preserve">, </w:t>
      </w:r>
      <w:proofErr w:type="spellStart"/>
      <w:r>
        <w:rPr>
          <w:lang w:val="en-US"/>
        </w:rPr>
        <w:t>hyperlipidaemia</w:t>
      </w:r>
      <w:proofErr w:type="spellEnd"/>
      <w:r>
        <w:rPr>
          <w:lang w:val="en-US"/>
        </w:rPr>
        <w:t xml:space="preserve"> and smoking history. </w:t>
      </w:r>
      <w:r>
        <w:rPr>
          <w:rFonts w:cs="Times New Roman"/>
          <w:lang w:val="en-US"/>
        </w:rPr>
        <w:t>Log likelihoods were used to quantify and compare the predictive information contained in each subset of predictors.</w:t>
      </w:r>
    </w:p>
    <w:p w14:paraId="77C1E1CB" w14:textId="0578333C" w:rsidR="00800AE1" w:rsidRPr="008D3278" w:rsidRDefault="00800AE1" w:rsidP="00800AE1">
      <w:pPr>
        <w:rPr>
          <w:rFonts w:cs="Times New Roman"/>
          <w:u w:val="single"/>
        </w:rPr>
      </w:pPr>
      <w:r>
        <w:rPr>
          <w:rFonts w:cs="Times New Roman"/>
          <w:u w:val="single"/>
          <w:lang w:val="en-US"/>
        </w:rPr>
        <w:t>Prognostic models</w:t>
      </w:r>
    </w:p>
    <w:p w14:paraId="24FCC2A3" w14:textId="31FE5767" w:rsidR="00C352A2" w:rsidRPr="00C3521D" w:rsidRDefault="00800AE1" w:rsidP="00C352A2">
      <w:pPr>
        <w:rPr>
          <w:rFonts w:cs="Times New Roman"/>
        </w:rPr>
      </w:pPr>
      <w:r>
        <w:rPr>
          <w:lang w:val="en-US"/>
        </w:rPr>
        <w:t xml:space="preserve">Follow-up was carried out for up to 2 years after enrolment to the study (recruitment period </w:t>
      </w:r>
      <w:r w:rsidRPr="00C3521D">
        <w:rPr>
          <w:rFonts w:cs="Times New Roman"/>
        </w:rPr>
        <w:t>26 May 2010 to 16 May 2011</w:t>
      </w:r>
      <w:r>
        <w:rPr>
          <w:rFonts w:cs="Times New Roman"/>
        </w:rPr>
        <w:t>).</w:t>
      </w:r>
      <w:r>
        <w:rPr>
          <w:lang w:val="en-US"/>
        </w:rPr>
        <w:t xml:space="preserve"> Cox regression models to predict probability of </w:t>
      </w:r>
      <w:proofErr w:type="spellStart"/>
      <w:r>
        <w:rPr>
          <w:lang w:val="en-US"/>
        </w:rPr>
        <w:t>i</w:t>
      </w:r>
      <w:proofErr w:type="spellEnd"/>
      <w:r>
        <w:rPr>
          <w:lang w:val="en-US"/>
        </w:rPr>
        <w:t xml:space="preserve">) death and ii) non-fatal AMI or death during follow-up were derived using fast backward variable selection from a model including all baseline variables. To assess probability of death during follow-up, this resulted in the inclusion of the following factors for the derivation of a nomogram: cMyC, creatinine, age, prior history of MI. </w:t>
      </w:r>
      <w:r w:rsidR="00C352A2" w:rsidRPr="00C3521D">
        <w:rPr>
          <w:rFonts w:cs="Times New Roman"/>
        </w:rPr>
        <w:t>The Cox models were tested for violation of the proportional hazards assumption by calculating correlation coefficients between transformed survival time</w:t>
      </w:r>
      <w:r w:rsidR="00E66902">
        <w:rPr>
          <w:rFonts w:cs="Times New Roman"/>
        </w:rPr>
        <w:t xml:space="preserve"> (rank)</w:t>
      </w:r>
      <w:r w:rsidR="00C352A2" w:rsidRPr="00C3521D">
        <w:rPr>
          <w:rFonts w:cs="Times New Roman"/>
        </w:rPr>
        <w:t xml:space="preserve"> and the scaled Schoenfeld residuals and testing the former with chi-square comparisons. All available variables were tested in a univariate regression model; significant variables (pre-defined as Wald test p&lt;0.1) were selected for the final Cox multivariate regression model. The biomarkers were entered log-transformed.</w:t>
      </w:r>
    </w:p>
    <w:p w14:paraId="0FC3BE36" w14:textId="7962D2CD" w:rsidR="00C352A2" w:rsidRPr="00C3521D" w:rsidRDefault="00C352A2" w:rsidP="00C352A2">
      <w:pPr>
        <w:spacing w:after="240"/>
        <w:rPr>
          <w:rFonts w:cs="Times New Roman"/>
        </w:rPr>
      </w:pPr>
      <w:r w:rsidRPr="00C3521D">
        <w:rPr>
          <w:rFonts w:cs="Times New Roman"/>
        </w:rPr>
        <w:t xml:space="preserve">All statistical analyses were performed using R, version 3.3.0 GUI 1.68 (The R Foundation for </w:t>
      </w:r>
      <w:r w:rsidRPr="00C3521D">
        <w:rPr>
          <w:rFonts w:cs="Times New Roman"/>
        </w:rPr>
        <w:lastRenderedPageBreak/>
        <w:t>Statistical Computing), including packages ggplot2, RMarkdown,</w:t>
      </w:r>
      <w:r w:rsidR="00C10D04">
        <w:rPr>
          <w:rFonts w:cs="Times New Roman"/>
        </w:rPr>
        <w:t xml:space="preserve"> the </w:t>
      </w:r>
      <w:proofErr w:type="spellStart"/>
      <w:r w:rsidR="00C10D04">
        <w:rPr>
          <w:rFonts w:cs="Times New Roman"/>
        </w:rPr>
        <w:t>tidyverse</w:t>
      </w:r>
      <w:proofErr w:type="spellEnd"/>
      <w:r w:rsidR="00C10D04">
        <w:rPr>
          <w:rFonts w:cs="Times New Roman"/>
        </w:rPr>
        <w:t>,</w:t>
      </w:r>
      <w:r w:rsidRPr="00C3521D">
        <w:rPr>
          <w:rFonts w:cs="Times New Roman"/>
        </w:rPr>
        <w:t xml:space="preserve"> survival, survminer and </w:t>
      </w:r>
      <w:r w:rsidR="00A37B79">
        <w:rPr>
          <w:rFonts w:cs="Times New Roman"/>
        </w:rPr>
        <w:t>pROC.</w:t>
      </w:r>
      <w:r w:rsidR="00672DCD" w:rsidRPr="00C3521D">
        <w:rPr>
          <w:rFonts w:cs="Times New Roman"/>
        </w:rPr>
        <w:t xml:space="preserve"> </w:t>
      </w:r>
      <w:r w:rsidRPr="00C3521D">
        <w:rPr>
          <w:rFonts w:cs="Times New Roman"/>
        </w:rPr>
        <w:br w:type="page"/>
      </w:r>
    </w:p>
    <w:p w14:paraId="6364CCAC" w14:textId="77777777" w:rsidR="00C352A2" w:rsidRPr="00C3521D" w:rsidRDefault="00C352A2" w:rsidP="00C352A2">
      <w:pPr>
        <w:pStyle w:val="Heading2"/>
        <w:rPr>
          <w:rFonts w:cs="Times New Roman"/>
        </w:rPr>
      </w:pPr>
      <w:r w:rsidRPr="00C3521D">
        <w:rPr>
          <w:rFonts w:cs="Times New Roman"/>
        </w:rPr>
        <w:lastRenderedPageBreak/>
        <w:t>Results</w:t>
      </w:r>
    </w:p>
    <w:p w14:paraId="2D0CBF06" w14:textId="77777777" w:rsidR="00C352A2" w:rsidRPr="00C3521D" w:rsidRDefault="00C352A2" w:rsidP="009E607A">
      <w:pPr>
        <w:pStyle w:val="Heading3"/>
        <w:rPr>
          <w:rFonts w:cs="Times New Roman"/>
        </w:rPr>
      </w:pPr>
      <w:r w:rsidRPr="00C3521D">
        <w:rPr>
          <w:rFonts w:cs="Times New Roman"/>
        </w:rPr>
        <w:t>Baseline characteristics</w:t>
      </w:r>
    </w:p>
    <w:p w14:paraId="3812FE0C" w14:textId="27B4C76B" w:rsidR="00C352A2" w:rsidRPr="00C3521D" w:rsidRDefault="0041067F" w:rsidP="00C352A2">
      <w:pPr>
        <w:rPr>
          <w:rFonts w:cs="Times New Roman"/>
        </w:rPr>
      </w:pPr>
      <w:r>
        <w:rPr>
          <w:rFonts w:cs="Times New Roman"/>
        </w:rPr>
        <w:t xml:space="preserve">Samples from a </w:t>
      </w:r>
      <w:r w:rsidR="00C352A2" w:rsidRPr="00C3521D">
        <w:rPr>
          <w:rFonts w:cs="Times New Roman"/>
        </w:rPr>
        <w:t xml:space="preserve">total of 776 patients were </w:t>
      </w:r>
      <w:r>
        <w:rPr>
          <w:rFonts w:cs="Times New Roman"/>
        </w:rPr>
        <w:t>available for retrospective analysis</w:t>
      </w:r>
      <w:r w:rsidR="00C352A2" w:rsidRPr="00C3521D">
        <w:rPr>
          <w:rFonts w:cs="Times New Roman"/>
        </w:rPr>
        <w:t>. Median age was 68 years</w:t>
      </w:r>
      <w:r w:rsidR="009C69C0">
        <w:rPr>
          <w:rFonts w:cs="Times New Roman"/>
        </w:rPr>
        <w:t xml:space="preserve"> </w:t>
      </w:r>
      <w:r w:rsidR="009C69C0" w:rsidRPr="009C69C0">
        <w:rPr>
          <w:rFonts w:cs="Times New Roman"/>
        </w:rPr>
        <w:t>[58;</w:t>
      </w:r>
      <w:r w:rsidR="009C69C0">
        <w:rPr>
          <w:rFonts w:cs="Times New Roman"/>
        </w:rPr>
        <w:t xml:space="preserve"> </w:t>
      </w:r>
      <w:r w:rsidR="009C69C0" w:rsidRPr="009C69C0">
        <w:rPr>
          <w:rFonts w:cs="Times New Roman"/>
        </w:rPr>
        <w:t>78]</w:t>
      </w:r>
      <w:r w:rsidR="00C352A2" w:rsidRPr="00C3521D">
        <w:rPr>
          <w:rFonts w:cs="Times New Roman"/>
        </w:rPr>
        <w:t xml:space="preserve">, </w:t>
      </w:r>
      <w:r w:rsidR="00987F5C">
        <w:rPr>
          <w:rFonts w:cs="Times New Roman"/>
        </w:rPr>
        <w:t>303 patients (</w:t>
      </w:r>
      <w:r w:rsidR="00C352A2" w:rsidRPr="00C3521D">
        <w:rPr>
          <w:rFonts w:cs="Times New Roman"/>
        </w:rPr>
        <w:t>39%</w:t>
      </w:r>
      <w:r w:rsidR="00987F5C">
        <w:rPr>
          <w:rFonts w:cs="Times New Roman"/>
        </w:rPr>
        <w:t>)</w:t>
      </w:r>
      <w:r w:rsidR="00C352A2" w:rsidRPr="00C3521D">
        <w:rPr>
          <w:rFonts w:cs="Times New Roman"/>
        </w:rPr>
        <w:t xml:space="preserve"> were women, and </w:t>
      </w:r>
      <w:r w:rsidR="00987F5C">
        <w:rPr>
          <w:rFonts w:cs="Times New Roman"/>
        </w:rPr>
        <w:t>232 (3</w:t>
      </w:r>
      <w:r w:rsidR="00C352A2" w:rsidRPr="00C3521D">
        <w:rPr>
          <w:rFonts w:cs="Times New Roman"/>
        </w:rPr>
        <w:t>0%</w:t>
      </w:r>
      <w:r w:rsidR="00987F5C">
        <w:rPr>
          <w:rFonts w:cs="Times New Roman"/>
        </w:rPr>
        <w:t>)</w:t>
      </w:r>
      <w:r w:rsidR="00C352A2" w:rsidRPr="00C3521D">
        <w:rPr>
          <w:rFonts w:cs="Times New Roman"/>
        </w:rPr>
        <w:t xml:space="preserve"> had a prior history of myocardial infarction (table 1</w:t>
      </w:r>
      <w:r w:rsidR="00406B46">
        <w:rPr>
          <w:rFonts w:cs="Times New Roman"/>
        </w:rPr>
        <w:t>, table S2</w:t>
      </w:r>
      <w:r w:rsidR="00C352A2" w:rsidRPr="00C3521D">
        <w:rPr>
          <w:rFonts w:cs="Times New Roman"/>
        </w:rPr>
        <w:t>).</w:t>
      </w:r>
      <w:r w:rsidR="00AE6031">
        <w:rPr>
          <w:rFonts w:cs="Times New Roman"/>
        </w:rPr>
        <w:t xml:space="preserve"> AMI was the adjudicated diagnosis in 173 patients (22%):</w:t>
      </w:r>
      <w:r w:rsidR="00C352A2" w:rsidRPr="00C3521D">
        <w:rPr>
          <w:rFonts w:cs="Times New Roman"/>
        </w:rPr>
        <w:t xml:space="preserve"> </w:t>
      </w:r>
      <w:r w:rsidR="00F13BBB">
        <w:rPr>
          <w:rFonts w:cs="Times New Roman"/>
        </w:rPr>
        <w:t>Sixty-six</w:t>
      </w:r>
      <w:r w:rsidR="00F13BBB" w:rsidRPr="00C3521D">
        <w:rPr>
          <w:rFonts w:cs="Times New Roman"/>
        </w:rPr>
        <w:t xml:space="preserve"> </w:t>
      </w:r>
      <w:r w:rsidR="00C352A2" w:rsidRPr="00C3521D">
        <w:rPr>
          <w:rFonts w:cs="Times New Roman"/>
        </w:rPr>
        <w:t>patients (9%) had a final diagnosis of STEMI, 107 (14%) NSTEMI</w:t>
      </w:r>
      <w:r w:rsidR="00F13BBB">
        <w:rPr>
          <w:rFonts w:cs="Times New Roman"/>
        </w:rPr>
        <w:t>.</w:t>
      </w:r>
      <w:r w:rsidR="00C352A2" w:rsidRPr="00C3521D">
        <w:rPr>
          <w:rFonts w:cs="Times New Roman"/>
        </w:rPr>
        <w:t xml:space="preserve"> Median time since onset of chest pain was 70 minutes [35;</w:t>
      </w:r>
      <w:r w:rsidR="00F87037" w:rsidRPr="00C3521D">
        <w:rPr>
          <w:rFonts w:cs="Times New Roman"/>
        </w:rPr>
        <w:t xml:space="preserve"> </w:t>
      </w:r>
      <w:r w:rsidR="00C352A2" w:rsidRPr="00C3521D">
        <w:rPr>
          <w:rFonts w:cs="Times New Roman"/>
        </w:rPr>
        <w:t xml:space="preserve">173]. </w:t>
      </w:r>
      <w:r w:rsidR="00637F57">
        <w:rPr>
          <w:rFonts w:cs="Times New Roman"/>
        </w:rPr>
        <w:t xml:space="preserve">In 99% of cases, a telephone consultation was undertaken. </w:t>
      </w:r>
      <w:r w:rsidR="00A05360">
        <w:rPr>
          <w:rFonts w:cs="Times New Roman"/>
        </w:rPr>
        <w:t xml:space="preserve">There was considerable </w:t>
      </w:r>
      <w:r w:rsidR="00242C9E">
        <w:rPr>
          <w:rFonts w:cs="Times New Roman"/>
        </w:rPr>
        <w:t xml:space="preserve">discrepancy between </w:t>
      </w:r>
      <w:r w:rsidR="00934139">
        <w:rPr>
          <w:rFonts w:cs="Times New Roman"/>
        </w:rPr>
        <w:t>telemedicine-triage</w:t>
      </w:r>
      <w:r w:rsidR="00242C9E">
        <w:rPr>
          <w:rFonts w:cs="Times New Roman"/>
        </w:rPr>
        <w:t xml:space="preserve"> and final diagnosis</w:t>
      </w:r>
      <w:r w:rsidR="00934139">
        <w:rPr>
          <w:rFonts w:cs="Times New Roman"/>
        </w:rPr>
        <w:t xml:space="preserve">: 107 patients (14%) presented with BBB on ECG; only </w:t>
      </w:r>
      <w:r w:rsidR="004E6EB6">
        <w:rPr>
          <w:rFonts w:cs="Times New Roman"/>
        </w:rPr>
        <w:t>59</w:t>
      </w:r>
      <w:r w:rsidR="00934139">
        <w:rPr>
          <w:rFonts w:cs="Times New Roman"/>
        </w:rPr>
        <w:t xml:space="preserve">% of patients with a final adjudicated diagnosis of STEMI had </w:t>
      </w:r>
      <w:r w:rsidR="004E6EB6">
        <w:rPr>
          <w:rFonts w:cs="Times New Roman"/>
        </w:rPr>
        <w:t xml:space="preserve">clear ST-elevation identified </w:t>
      </w:r>
      <w:r w:rsidR="00934139">
        <w:rPr>
          <w:rFonts w:cs="Times New Roman"/>
        </w:rPr>
        <w:t>during telemedicine assessment</w:t>
      </w:r>
      <w:r w:rsidR="00116C98">
        <w:rPr>
          <w:rFonts w:cs="Times New Roman"/>
        </w:rPr>
        <w:t xml:space="preserve">. </w:t>
      </w:r>
      <w:r w:rsidR="00A72097">
        <w:rPr>
          <w:rFonts w:cs="Times New Roman"/>
        </w:rPr>
        <w:t>Sensitivity for NSTEMI during telemedicine assessment was 33%.</w:t>
      </w:r>
    </w:p>
    <w:p w14:paraId="4BA8D412" w14:textId="77777777" w:rsidR="00C352A2" w:rsidRPr="00C3521D" w:rsidRDefault="00C352A2" w:rsidP="00C352A2">
      <w:pPr>
        <w:pStyle w:val="Heading3"/>
        <w:rPr>
          <w:rFonts w:cs="Times New Roman"/>
        </w:rPr>
      </w:pPr>
      <w:r w:rsidRPr="00C3521D">
        <w:rPr>
          <w:rFonts w:cs="Times New Roman"/>
        </w:rPr>
        <w:t>Distribution of biomarker concentrations</w:t>
      </w:r>
    </w:p>
    <w:p w14:paraId="0CE1CE42" w14:textId="464F667D" w:rsidR="0004058A" w:rsidRDefault="00F70929" w:rsidP="002C6931">
      <w:pPr>
        <w:rPr>
          <w:rFonts w:cs="Times New Roman"/>
        </w:rPr>
      </w:pPr>
      <w:r w:rsidRPr="00C3521D">
        <w:rPr>
          <w:rFonts w:cs="Times New Roman"/>
        </w:rPr>
        <w:t>All blood samples were obtained in the ambulance but measured in a laboratory</w:t>
      </w:r>
      <w:r w:rsidR="0041067F">
        <w:rPr>
          <w:rFonts w:cs="Times New Roman"/>
        </w:rPr>
        <w:t xml:space="preserve"> for hs-cTnT and cMyC</w:t>
      </w:r>
      <w:r w:rsidRPr="00C3521D">
        <w:rPr>
          <w:rFonts w:cs="Times New Roman"/>
        </w:rPr>
        <w:t xml:space="preserve">. </w:t>
      </w:r>
      <w:r w:rsidR="00D06FC7" w:rsidRPr="00C3521D">
        <w:rPr>
          <w:rFonts w:cs="Times New Roman"/>
        </w:rPr>
        <w:t>In</w:t>
      </w:r>
      <w:r w:rsidR="0041067F">
        <w:rPr>
          <w:rFonts w:cs="Times New Roman"/>
        </w:rPr>
        <w:t>-</w:t>
      </w:r>
      <w:r w:rsidR="00D06FC7" w:rsidRPr="00C3521D">
        <w:rPr>
          <w:rFonts w:cs="Times New Roman"/>
        </w:rPr>
        <w:t>ambulance c</w:t>
      </w:r>
      <w:r w:rsidR="00C352A2" w:rsidRPr="00C3521D">
        <w:rPr>
          <w:rFonts w:cs="Times New Roman"/>
        </w:rPr>
        <w:t xml:space="preserve">oncentrations of cMyC were significantly higher in patients with AMI (median 98 ng/L [43; 855]) </w:t>
      </w:r>
      <w:r w:rsidR="004547D3">
        <w:rPr>
          <w:rFonts w:cs="Times New Roman"/>
        </w:rPr>
        <w:t>than in</w:t>
      </w:r>
      <w:r w:rsidR="00C352A2" w:rsidRPr="00C3521D">
        <w:rPr>
          <w:rFonts w:cs="Times New Roman"/>
        </w:rPr>
        <w:t xml:space="preserve"> patients with other diagnoses (17</w:t>
      </w:r>
      <w:r w:rsidR="006000EA" w:rsidRPr="00C3521D">
        <w:rPr>
          <w:rFonts w:cs="Times New Roman"/>
        </w:rPr>
        <w:t xml:space="preserve"> </w:t>
      </w:r>
      <w:r w:rsidR="00C352A2" w:rsidRPr="00C3521D">
        <w:rPr>
          <w:rFonts w:cs="Times New Roman"/>
        </w:rPr>
        <w:t xml:space="preserve">ng/L [9; 42], p&lt;0.001). Median concentrations of cMyC were 88 ng/L [42; 253] for NSTEMI, 306 ng/L [49; 1706] for STEMI, 19 ng/L [11; 25] for </w:t>
      </w:r>
      <w:r w:rsidR="00CB60A4">
        <w:rPr>
          <w:rFonts w:cs="Times New Roman"/>
        </w:rPr>
        <w:t>unstable angina (UA)</w:t>
      </w:r>
      <w:r w:rsidR="00C352A2" w:rsidRPr="00C3521D">
        <w:rPr>
          <w:rFonts w:cs="Times New Roman"/>
        </w:rPr>
        <w:t xml:space="preserve">. </w:t>
      </w:r>
      <w:r w:rsidRPr="00C3521D">
        <w:rPr>
          <w:rFonts w:cs="Times New Roman"/>
        </w:rPr>
        <w:t>The corresponding concentrations for</w:t>
      </w:r>
      <w:r w:rsidR="00C352A2" w:rsidRPr="00C3521D">
        <w:rPr>
          <w:rFonts w:cs="Times New Roman"/>
        </w:rPr>
        <w:t xml:space="preserve"> hs-cTnT</w:t>
      </w:r>
      <w:r w:rsidRPr="00C3521D">
        <w:rPr>
          <w:rFonts w:cs="Times New Roman"/>
        </w:rPr>
        <w:t xml:space="preserve"> </w:t>
      </w:r>
      <w:r w:rsidR="00C352A2" w:rsidRPr="00C3521D">
        <w:rPr>
          <w:rFonts w:cs="Times New Roman"/>
        </w:rPr>
        <w:t xml:space="preserve">were 33 ng/L [18; 72], 58 ng/L [15; 295] and </w:t>
      </w:r>
      <w:r w:rsidR="00987F5C">
        <w:rPr>
          <w:rFonts w:cs="Times New Roman"/>
        </w:rPr>
        <w:t>9</w:t>
      </w:r>
      <w:r w:rsidR="00987F5C" w:rsidRPr="00C3521D">
        <w:rPr>
          <w:rFonts w:cs="Times New Roman"/>
        </w:rPr>
        <w:t xml:space="preserve"> </w:t>
      </w:r>
      <w:r w:rsidR="00C352A2" w:rsidRPr="00C3521D">
        <w:rPr>
          <w:rFonts w:cs="Times New Roman"/>
        </w:rPr>
        <w:t>ng/L [</w:t>
      </w:r>
      <w:r w:rsidR="00987F5C">
        <w:rPr>
          <w:rFonts w:cs="Times New Roman"/>
        </w:rPr>
        <w:t>7</w:t>
      </w:r>
      <w:r w:rsidR="00C352A2" w:rsidRPr="00C3521D">
        <w:rPr>
          <w:rFonts w:cs="Times New Roman"/>
        </w:rPr>
        <w:t>; 14], respectively (se</w:t>
      </w:r>
      <w:r w:rsidR="009D7440">
        <w:rPr>
          <w:rFonts w:cs="Times New Roman"/>
        </w:rPr>
        <w:t>e</w:t>
      </w:r>
      <w:r w:rsidR="007818D4">
        <w:rPr>
          <w:rFonts w:cs="Times New Roman"/>
        </w:rPr>
        <w:t xml:space="preserve"> Figure 1</w:t>
      </w:r>
      <w:r w:rsidR="00E957DD">
        <w:rPr>
          <w:rFonts w:cs="Times New Roman"/>
        </w:rPr>
        <w:t>; table S</w:t>
      </w:r>
      <w:r w:rsidR="00945009">
        <w:rPr>
          <w:rFonts w:cs="Times New Roman"/>
        </w:rPr>
        <w:t>3</w:t>
      </w:r>
      <w:r w:rsidR="00C352A2" w:rsidRPr="00C3521D">
        <w:rPr>
          <w:rFonts w:cs="Times New Roman"/>
        </w:rPr>
        <w:t>).</w:t>
      </w:r>
      <w:r w:rsidR="0004058A">
        <w:rPr>
          <w:rFonts w:cs="Times New Roman"/>
        </w:rPr>
        <w:t xml:space="preserve"> In this cohort, there was a slight </w:t>
      </w:r>
      <w:r w:rsidR="00F27C8A">
        <w:rPr>
          <w:rFonts w:cs="Times New Roman"/>
        </w:rPr>
        <w:t xml:space="preserve">sex </w:t>
      </w:r>
      <w:r w:rsidR="0004058A">
        <w:rPr>
          <w:rFonts w:cs="Times New Roman"/>
        </w:rPr>
        <w:t xml:space="preserve">difference in cMyC concentration in patients without AMI: </w:t>
      </w:r>
      <w:r w:rsidR="00C352A2" w:rsidRPr="00C3521D">
        <w:rPr>
          <w:rFonts w:cs="Times New Roman"/>
        </w:rPr>
        <w:t xml:space="preserve"> </w:t>
      </w:r>
      <w:r w:rsidR="0004058A">
        <w:rPr>
          <w:rFonts w:cs="Times New Roman"/>
        </w:rPr>
        <w:t xml:space="preserve">female </w:t>
      </w:r>
      <w:r w:rsidR="0004058A" w:rsidRPr="0004058A">
        <w:rPr>
          <w:rFonts w:cs="Times New Roman"/>
        </w:rPr>
        <w:t>15</w:t>
      </w:r>
      <w:r w:rsidR="0004058A">
        <w:rPr>
          <w:rFonts w:cs="Times New Roman"/>
        </w:rPr>
        <w:t xml:space="preserve"> ng/L</w:t>
      </w:r>
      <w:r w:rsidR="0004058A" w:rsidRPr="0004058A">
        <w:rPr>
          <w:rFonts w:cs="Times New Roman"/>
        </w:rPr>
        <w:t xml:space="preserve"> [8;</w:t>
      </w:r>
      <w:r w:rsidR="0004058A">
        <w:rPr>
          <w:rFonts w:cs="Times New Roman"/>
        </w:rPr>
        <w:t xml:space="preserve"> </w:t>
      </w:r>
      <w:r w:rsidR="0004058A" w:rsidRPr="0004058A">
        <w:rPr>
          <w:rFonts w:cs="Times New Roman"/>
        </w:rPr>
        <w:t>38]</w:t>
      </w:r>
      <w:r w:rsidR="0004058A">
        <w:rPr>
          <w:rFonts w:cs="Times New Roman"/>
        </w:rPr>
        <w:t xml:space="preserve"> vs male </w:t>
      </w:r>
      <w:r w:rsidR="0004058A" w:rsidRPr="0004058A">
        <w:rPr>
          <w:rFonts w:cs="Times New Roman"/>
        </w:rPr>
        <w:t>18</w:t>
      </w:r>
      <w:r w:rsidR="0004058A">
        <w:rPr>
          <w:rFonts w:cs="Times New Roman"/>
        </w:rPr>
        <w:t xml:space="preserve"> ng/L</w:t>
      </w:r>
      <w:r w:rsidR="0004058A" w:rsidRPr="0004058A">
        <w:rPr>
          <w:rFonts w:cs="Times New Roman"/>
        </w:rPr>
        <w:t xml:space="preserve"> [10;</w:t>
      </w:r>
      <w:r w:rsidR="0004058A">
        <w:rPr>
          <w:rFonts w:cs="Times New Roman"/>
        </w:rPr>
        <w:t xml:space="preserve"> </w:t>
      </w:r>
      <w:r w:rsidR="0004058A" w:rsidRPr="0004058A">
        <w:rPr>
          <w:rFonts w:cs="Times New Roman"/>
        </w:rPr>
        <w:t>44]</w:t>
      </w:r>
      <w:r w:rsidR="0004058A">
        <w:rPr>
          <w:rFonts w:cs="Times New Roman"/>
        </w:rPr>
        <w:t xml:space="preserve">, p=0.023; the difference does not reach significance in patients with AMI (female </w:t>
      </w:r>
      <w:r w:rsidR="0004058A" w:rsidRPr="0004058A">
        <w:rPr>
          <w:rFonts w:cs="Times New Roman"/>
        </w:rPr>
        <w:t xml:space="preserve">121 </w:t>
      </w:r>
      <w:r w:rsidR="0004058A">
        <w:rPr>
          <w:rFonts w:cs="Times New Roman"/>
        </w:rPr>
        <w:t xml:space="preserve"> ng/L </w:t>
      </w:r>
      <w:r w:rsidR="0004058A" w:rsidRPr="0004058A">
        <w:rPr>
          <w:rFonts w:cs="Times New Roman"/>
        </w:rPr>
        <w:t>[67;</w:t>
      </w:r>
      <w:r w:rsidR="0004058A">
        <w:rPr>
          <w:rFonts w:cs="Times New Roman"/>
        </w:rPr>
        <w:t xml:space="preserve"> </w:t>
      </w:r>
      <w:r w:rsidR="0004058A" w:rsidRPr="0004058A">
        <w:rPr>
          <w:rFonts w:cs="Times New Roman"/>
        </w:rPr>
        <w:t>1120]</w:t>
      </w:r>
      <w:r w:rsidR="0004058A">
        <w:rPr>
          <w:rFonts w:cs="Times New Roman"/>
        </w:rPr>
        <w:t xml:space="preserve"> vs male </w:t>
      </w:r>
      <w:r w:rsidR="0004058A" w:rsidRPr="0004058A">
        <w:rPr>
          <w:rFonts w:cs="Times New Roman"/>
        </w:rPr>
        <w:t>91</w:t>
      </w:r>
      <w:r w:rsidR="0004058A">
        <w:rPr>
          <w:rFonts w:cs="Times New Roman"/>
        </w:rPr>
        <w:t xml:space="preserve"> ng/L</w:t>
      </w:r>
      <w:r w:rsidR="0004058A" w:rsidRPr="0004058A">
        <w:rPr>
          <w:rFonts w:cs="Times New Roman"/>
        </w:rPr>
        <w:t xml:space="preserve"> [38;</w:t>
      </w:r>
      <w:r w:rsidR="0004058A">
        <w:rPr>
          <w:rFonts w:cs="Times New Roman"/>
        </w:rPr>
        <w:t xml:space="preserve"> </w:t>
      </w:r>
      <w:r w:rsidR="0004058A" w:rsidRPr="0004058A">
        <w:rPr>
          <w:rFonts w:cs="Times New Roman"/>
        </w:rPr>
        <w:t>739]</w:t>
      </w:r>
      <w:r w:rsidR="0004058A">
        <w:rPr>
          <w:rFonts w:cs="Times New Roman"/>
        </w:rPr>
        <w:t xml:space="preserve">, p=0.235). </w:t>
      </w:r>
      <w:r w:rsidR="009654B7">
        <w:rPr>
          <w:rFonts w:cs="Times New Roman"/>
        </w:rPr>
        <w:t xml:space="preserve">Correlation between hs-cTnT and cMyC is shown in the supplement (fig S3, table S4). </w:t>
      </w:r>
    </w:p>
    <w:p w14:paraId="43249F56" w14:textId="777E40D6" w:rsidR="009D7440" w:rsidRPr="002C6931" w:rsidRDefault="00C352A2" w:rsidP="002C6931">
      <w:pPr>
        <w:rPr>
          <w:rFonts w:cs="Times New Roman"/>
        </w:rPr>
      </w:pPr>
      <w:r w:rsidRPr="00C3521D">
        <w:rPr>
          <w:rFonts w:cs="Times New Roman"/>
        </w:rPr>
        <w:t xml:space="preserve">An overview of the distribution of </w:t>
      </w:r>
      <w:r w:rsidR="009654B7">
        <w:rPr>
          <w:rFonts w:cs="Times New Roman"/>
        </w:rPr>
        <w:t>cMyC</w:t>
      </w:r>
      <w:r w:rsidRPr="00C3521D">
        <w:rPr>
          <w:rFonts w:cs="Times New Roman"/>
        </w:rPr>
        <w:t xml:space="preserve"> is shown in </w:t>
      </w:r>
      <w:r w:rsidR="00945009">
        <w:rPr>
          <w:rFonts w:cs="Times New Roman"/>
        </w:rPr>
        <w:t>F</w:t>
      </w:r>
      <w:r w:rsidR="007818D4">
        <w:rPr>
          <w:rFonts w:cs="Times New Roman"/>
        </w:rPr>
        <w:t xml:space="preserve">igures 2 </w:t>
      </w:r>
      <w:r w:rsidR="009654B7">
        <w:rPr>
          <w:rFonts w:cs="Times New Roman"/>
        </w:rPr>
        <w:t xml:space="preserve">(fig </w:t>
      </w:r>
      <w:r w:rsidR="007818D4">
        <w:rPr>
          <w:rFonts w:cs="Times New Roman"/>
        </w:rPr>
        <w:t>S4</w:t>
      </w:r>
      <w:r w:rsidR="009654B7">
        <w:rPr>
          <w:rFonts w:cs="Times New Roman"/>
        </w:rPr>
        <w:t xml:space="preserve"> for hs-cTnT)</w:t>
      </w:r>
      <w:r w:rsidRPr="00C3521D">
        <w:rPr>
          <w:rFonts w:cs="Times New Roman"/>
        </w:rPr>
        <w:t xml:space="preserve">. Overall, </w:t>
      </w:r>
      <w:r w:rsidRPr="00C3521D">
        <w:rPr>
          <w:rFonts w:cs="Times New Roman"/>
        </w:rPr>
        <w:lastRenderedPageBreak/>
        <w:t xml:space="preserve">when comparing blood concentrations of biomarkers to assay-specifics (LoQ, LoD), cMyC </w:t>
      </w:r>
      <w:r w:rsidR="00B50D44">
        <w:rPr>
          <w:rFonts w:cs="Times New Roman"/>
        </w:rPr>
        <w:t>concentrations</w:t>
      </w:r>
      <w:r w:rsidR="00B50D44" w:rsidRPr="00C3521D">
        <w:rPr>
          <w:rFonts w:cs="Times New Roman"/>
        </w:rPr>
        <w:t xml:space="preserve"> </w:t>
      </w:r>
      <w:r w:rsidRPr="00C3521D">
        <w:rPr>
          <w:rFonts w:cs="Times New Roman"/>
        </w:rPr>
        <w:t>were higher than those of hs-cTnT in all diagnostic categories.</w:t>
      </w:r>
    </w:p>
    <w:p w14:paraId="684211CB" w14:textId="314A3759" w:rsidR="00C352A2" w:rsidRPr="00C3521D" w:rsidRDefault="0069212F" w:rsidP="00C352A2">
      <w:pPr>
        <w:pStyle w:val="Heading3"/>
        <w:rPr>
          <w:rFonts w:cs="Times New Roman"/>
        </w:rPr>
      </w:pPr>
      <w:r w:rsidRPr="00C3521D">
        <w:rPr>
          <w:rFonts w:cs="Times New Roman"/>
        </w:rPr>
        <w:t>Discrimination power</w:t>
      </w:r>
      <w:r w:rsidR="00AE5841">
        <w:rPr>
          <w:rFonts w:cs="Times New Roman"/>
        </w:rPr>
        <w:t xml:space="preserve"> for use of biomarkers alone</w:t>
      </w:r>
    </w:p>
    <w:p w14:paraId="49B19786" w14:textId="788D7360" w:rsidR="00C352A2" w:rsidRPr="00C3521D" w:rsidRDefault="00C352A2" w:rsidP="00C352A2">
      <w:pPr>
        <w:rPr>
          <w:rFonts w:cs="Times New Roman"/>
        </w:rPr>
      </w:pPr>
      <w:r w:rsidRPr="00C3521D">
        <w:rPr>
          <w:rFonts w:cs="Times New Roman"/>
        </w:rPr>
        <w:t xml:space="preserve">In blood draws performed </w:t>
      </w:r>
      <w:r w:rsidR="004D1892" w:rsidRPr="00C3521D">
        <w:rPr>
          <w:rFonts w:cs="Times New Roman"/>
        </w:rPr>
        <w:t xml:space="preserve">in </w:t>
      </w:r>
      <w:r w:rsidRPr="00C3521D">
        <w:rPr>
          <w:rFonts w:cs="Times New Roman"/>
        </w:rPr>
        <w:t xml:space="preserve">the </w:t>
      </w:r>
      <w:r w:rsidR="004D1892" w:rsidRPr="00C3521D">
        <w:rPr>
          <w:rFonts w:cs="Times New Roman"/>
        </w:rPr>
        <w:t>ambulance</w:t>
      </w:r>
      <w:r w:rsidRPr="00C3521D">
        <w:rPr>
          <w:rFonts w:cs="Times New Roman"/>
        </w:rPr>
        <w:t xml:space="preserve">, the </w:t>
      </w:r>
      <w:r w:rsidR="0069212F" w:rsidRPr="00C3521D">
        <w:rPr>
          <w:rFonts w:cs="Times New Roman"/>
        </w:rPr>
        <w:t>discrimination power</w:t>
      </w:r>
      <w:r w:rsidR="00987F5C">
        <w:rPr>
          <w:rFonts w:cs="Times New Roman"/>
        </w:rPr>
        <w:t xml:space="preserve"> </w:t>
      </w:r>
      <w:r w:rsidR="00A77467">
        <w:rPr>
          <w:rFonts w:cs="Times New Roman"/>
        </w:rPr>
        <w:t>against ultimate diagnosis (</w:t>
      </w:r>
      <w:r w:rsidR="00987F5C">
        <w:rPr>
          <w:rFonts w:cs="Times New Roman"/>
        </w:rPr>
        <w:t>AMI</w:t>
      </w:r>
      <w:r w:rsidR="00A77467">
        <w:rPr>
          <w:rFonts w:cs="Times New Roman"/>
        </w:rPr>
        <w:t>)</w:t>
      </w:r>
      <w:r w:rsidR="00987F5C">
        <w:rPr>
          <w:rFonts w:cs="Times New Roman"/>
        </w:rPr>
        <w:t xml:space="preserve"> as quantified by the AUC was higher for </w:t>
      </w:r>
      <w:r w:rsidRPr="00C3521D">
        <w:rPr>
          <w:rFonts w:cs="Times New Roman"/>
        </w:rPr>
        <w:t>cMyC</w:t>
      </w:r>
      <w:r w:rsidR="00987F5C">
        <w:rPr>
          <w:rFonts w:cs="Times New Roman"/>
        </w:rPr>
        <w:t xml:space="preserve"> than for hs-cTnT: </w:t>
      </w:r>
      <w:r w:rsidRPr="00C3521D">
        <w:rPr>
          <w:rFonts w:cs="Times New Roman"/>
        </w:rPr>
        <w:t xml:space="preserve">0.839 (95% CI, </w:t>
      </w:r>
      <w:r w:rsidR="00987F5C" w:rsidRPr="00987F5C">
        <w:rPr>
          <w:rFonts w:cs="Times New Roman"/>
        </w:rPr>
        <w:t>0.803-0.871</w:t>
      </w:r>
      <w:r w:rsidRPr="00C3521D">
        <w:rPr>
          <w:rFonts w:cs="Times New Roman"/>
        </w:rPr>
        <w:t>)</w:t>
      </w:r>
      <w:r w:rsidR="00987F5C">
        <w:rPr>
          <w:rFonts w:cs="Times New Roman"/>
        </w:rPr>
        <w:t xml:space="preserve"> vs</w:t>
      </w:r>
      <w:r w:rsidRPr="00C3521D">
        <w:rPr>
          <w:rFonts w:cs="Times New Roman"/>
        </w:rPr>
        <w:t xml:space="preserve"> 0.8</w:t>
      </w:r>
      <w:r w:rsidR="00987F5C">
        <w:rPr>
          <w:rFonts w:cs="Times New Roman"/>
        </w:rPr>
        <w:t>13</w:t>
      </w:r>
      <w:r w:rsidRPr="00C3521D">
        <w:rPr>
          <w:rFonts w:cs="Times New Roman"/>
        </w:rPr>
        <w:t xml:space="preserve"> (</w:t>
      </w:r>
      <w:r w:rsidR="00987F5C" w:rsidRPr="00987F5C">
        <w:rPr>
          <w:rFonts w:cs="Times New Roman"/>
        </w:rPr>
        <w:t>0.777-0.847</w:t>
      </w:r>
      <w:r w:rsidRPr="00C3521D">
        <w:rPr>
          <w:rFonts w:cs="Times New Roman"/>
        </w:rPr>
        <w:t>; p</w:t>
      </w:r>
      <w:r w:rsidR="00987F5C">
        <w:rPr>
          <w:rFonts w:cs="Times New Roman"/>
        </w:rPr>
        <w:t>=</w:t>
      </w:r>
      <w:r w:rsidRPr="00C3521D">
        <w:rPr>
          <w:rFonts w:cs="Times New Roman"/>
        </w:rPr>
        <w:t>0.00</w:t>
      </w:r>
      <w:r w:rsidR="00987F5C">
        <w:rPr>
          <w:rFonts w:cs="Times New Roman"/>
        </w:rPr>
        <w:t>5</w:t>
      </w:r>
      <w:r w:rsidRPr="00C3521D">
        <w:rPr>
          <w:rFonts w:cs="Times New Roman"/>
        </w:rPr>
        <w:t xml:space="preserve"> for direct comparison</w:t>
      </w:r>
      <w:r w:rsidR="007A00F9" w:rsidRPr="00C3521D">
        <w:rPr>
          <w:rFonts w:cs="Times New Roman"/>
        </w:rPr>
        <w:t>;</w:t>
      </w:r>
      <w:r w:rsidR="00B72A27">
        <w:rPr>
          <w:rFonts w:cs="Times New Roman"/>
        </w:rPr>
        <w:t xml:space="preserve"> figure 3; </w:t>
      </w:r>
      <w:r w:rsidR="00BA15E8">
        <w:rPr>
          <w:rFonts w:cs="Times New Roman"/>
        </w:rPr>
        <w:t xml:space="preserve">table </w:t>
      </w:r>
      <w:r w:rsidR="00E957DD">
        <w:rPr>
          <w:rFonts w:cs="Times New Roman"/>
        </w:rPr>
        <w:t>2</w:t>
      </w:r>
      <w:r w:rsidRPr="00C3521D">
        <w:rPr>
          <w:rFonts w:cs="Times New Roman"/>
        </w:rPr>
        <w:t>)</w:t>
      </w:r>
      <w:r w:rsidR="00987F5C">
        <w:rPr>
          <w:rFonts w:cs="Times New Roman"/>
        </w:rPr>
        <w:t xml:space="preserve">. </w:t>
      </w:r>
      <w:r w:rsidRPr="00C3521D">
        <w:rPr>
          <w:rFonts w:cs="Times New Roman"/>
        </w:rPr>
        <w:t xml:space="preserve">The </w:t>
      </w:r>
      <w:r w:rsidR="0069212F" w:rsidRPr="00C3521D">
        <w:rPr>
          <w:rFonts w:cs="Times New Roman"/>
        </w:rPr>
        <w:t>discrimination power</w:t>
      </w:r>
      <w:r w:rsidRPr="00C3521D">
        <w:rPr>
          <w:rFonts w:cs="Times New Roman"/>
        </w:rPr>
        <w:t xml:space="preserve"> </w:t>
      </w:r>
      <w:r w:rsidR="004D1892" w:rsidRPr="00C3521D">
        <w:rPr>
          <w:rFonts w:cs="Times New Roman"/>
        </w:rPr>
        <w:t xml:space="preserve">of </w:t>
      </w:r>
      <w:r w:rsidRPr="00C3521D">
        <w:rPr>
          <w:rFonts w:cs="Times New Roman"/>
        </w:rPr>
        <w:t xml:space="preserve">cMyC for </w:t>
      </w:r>
      <w:r w:rsidR="00C82CD1" w:rsidRPr="00C3521D">
        <w:rPr>
          <w:rFonts w:cs="Times New Roman"/>
        </w:rPr>
        <w:t xml:space="preserve">the individual </w:t>
      </w:r>
      <w:r w:rsidRPr="00C3521D">
        <w:rPr>
          <w:rFonts w:cs="Times New Roman"/>
        </w:rPr>
        <w:t>diagnoses was: AUC 0.816 (</w:t>
      </w:r>
      <w:r w:rsidR="00BA15E8" w:rsidRPr="00BA15E8">
        <w:rPr>
          <w:rFonts w:cs="Times New Roman"/>
        </w:rPr>
        <w:t>0.761-0.866</w:t>
      </w:r>
      <w:r w:rsidRPr="00C3521D">
        <w:rPr>
          <w:rFonts w:cs="Times New Roman"/>
        </w:rPr>
        <w:t>) for STEMI, AUC 0.</w:t>
      </w:r>
      <w:r w:rsidR="004D1892" w:rsidRPr="00C3521D">
        <w:rPr>
          <w:rFonts w:cs="Times New Roman"/>
        </w:rPr>
        <w:t xml:space="preserve">787 </w:t>
      </w:r>
      <w:r w:rsidRPr="00C3521D">
        <w:rPr>
          <w:rFonts w:cs="Times New Roman"/>
        </w:rPr>
        <w:t>(</w:t>
      </w:r>
      <w:r w:rsidR="00BA15E8" w:rsidRPr="00BA15E8">
        <w:rPr>
          <w:rFonts w:cs="Times New Roman"/>
        </w:rPr>
        <w:t>0.741-0.829</w:t>
      </w:r>
      <w:r w:rsidRPr="00C3521D">
        <w:rPr>
          <w:rFonts w:cs="Times New Roman"/>
        </w:rPr>
        <w:t>) for NSTEMI, AUC 0.</w:t>
      </w:r>
      <w:r w:rsidR="004D1892" w:rsidRPr="00C3521D">
        <w:rPr>
          <w:rFonts w:cs="Times New Roman"/>
        </w:rPr>
        <w:t xml:space="preserve">599 </w:t>
      </w:r>
      <w:r w:rsidRPr="00C3521D">
        <w:rPr>
          <w:rFonts w:cs="Times New Roman"/>
        </w:rPr>
        <w:t>(</w:t>
      </w:r>
      <w:r w:rsidR="00BA15E8" w:rsidRPr="00BA15E8">
        <w:rPr>
          <w:rFonts w:cs="Times New Roman"/>
        </w:rPr>
        <w:t>0.531-0.67</w:t>
      </w:r>
      <w:r w:rsidRPr="00C3521D">
        <w:rPr>
          <w:rFonts w:cs="Times New Roman"/>
        </w:rPr>
        <w:t>) for UA</w:t>
      </w:r>
      <w:r w:rsidR="00F30B03">
        <w:rPr>
          <w:rFonts w:cs="Times New Roman"/>
        </w:rPr>
        <w:t>; Youden’s index was calculated at 50 ng/L.</w:t>
      </w:r>
      <w:r w:rsidRPr="00C3521D">
        <w:rPr>
          <w:rFonts w:cs="Times New Roman"/>
        </w:rPr>
        <w:t xml:space="preserve"> </w:t>
      </w:r>
    </w:p>
    <w:p w14:paraId="3D0ED668" w14:textId="07451643" w:rsidR="00C352A2" w:rsidRPr="00C3521D" w:rsidRDefault="00C352A2" w:rsidP="00C352A2">
      <w:pPr>
        <w:rPr>
          <w:rFonts w:cs="Times New Roman"/>
        </w:rPr>
      </w:pPr>
      <w:r w:rsidRPr="00C3521D">
        <w:rPr>
          <w:rFonts w:cs="Times New Roman"/>
        </w:rPr>
        <w:t xml:space="preserve">The </w:t>
      </w:r>
      <w:r w:rsidR="0069212F" w:rsidRPr="00C3521D">
        <w:rPr>
          <w:rFonts w:cs="Times New Roman"/>
        </w:rPr>
        <w:t xml:space="preserve">discrimination power </w:t>
      </w:r>
      <w:r w:rsidRPr="00C3521D">
        <w:rPr>
          <w:rFonts w:cs="Times New Roman"/>
        </w:rPr>
        <w:t xml:space="preserve">for hs-cTnT for </w:t>
      </w:r>
      <w:r w:rsidR="00C82CD1" w:rsidRPr="00C3521D">
        <w:rPr>
          <w:rFonts w:cs="Times New Roman"/>
        </w:rPr>
        <w:t xml:space="preserve">the individual </w:t>
      </w:r>
      <w:r w:rsidRPr="00C3521D">
        <w:rPr>
          <w:rFonts w:cs="Times New Roman"/>
        </w:rPr>
        <w:t>diagnoses was: AUC 0.</w:t>
      </w:r>
      <w:r w:rsidR="00BA15E8">
        <w:rPr>
          <w:rFonts w:cs="Times New Roman"/>
        </w:rPr>
        <w:t>766</w:t>
      </w:r>
      <w:r w:rsidR="00BA15E8" w:rsidRPr="00C3521D">
        <w:rPr>
          <w:rFonts w:cs="Times New Roman"/>
        </w:rPr>
        <w:t xml:space="preserve"> </w:t>
      </w:r>
      <w:r w:rsidRPr="00C3521D">
        <w:rPr>
          <w:rFonts w:cs="Times New Roman"/>
        </w:rPr>
        <w:t>(</w:t>
      </w:r>
      <w:r w:rsidR="00BA15E8" w:rsidRPr="00BA15E8">
        <w:rPr>
          <w:rFonts w:cs="Times New Roman"/>
        </w:rPr>
        <w:t>0.701-0.828</w:t>
      </w:r>
      <w:r w:rsidRPr="00C3521D">
        <w:rPr>
          <w:rFonts w:cs="Times New Roman"/>
        </w:rPr>
        <w:t>; p&lt;0.001</w:t>
      </w:r>
      <w:r w:rsidR="004E6EB6">
        <w:rPr>
          <w:rFonts w:cs="Times New Roman"/>
        </w:rPr>
        <w:t xml:space="preserve"> for direct comparison to cMyC</w:t>
      </w:r>
      <w:r w:rsidRPr="00C3521D">
        <w:rPr>
          <w:rFonts w:cs="Times New Roman"/>
        </w:rPr>
        <w:t>) for STEMI, AUC 0.</w:t>
      </w:r>
      <w:r w:rsidR="00BA15E8" w:rsidRPr="00C3521D">
        <w:rPr>
          <w:rFonts w:cs="Times New Roman"/>
        </w:rPr>
        <w:t>7</w:t>
      </w:r>
      <w:r w:rsidR="00BA15E8">
        <w:rPr>
          <w:rFonts w:cs="Times New Roman"/>
        </w:rPr>
        <w:t>81</w:t>
      </w:r>
      <w:r w:rsidR="00BA15E8" w:rsidRPr="00C3521D">
        <w:rPr>
          <w:rFonts w:cs="Times New Roman"/>
        </w:rPr>
        <w:t xml:space="preserve"> </w:t>
      </w:r>
      <w:r w:rsidRPr="00C3521D">
        <w:rPr>
          <w:rFonts w:cs="Times New Roman"/>
        </w:rPr>
        <w:t>(</w:t>
      </w:r>
      <w:r w:rsidR="00BA15E8" w:rsidRPr="00BA15E8">
        <w:rPr>
          <w:rFonts w:cs="Times New Roman"/>
        </w:rPr>
        <w:t>0.737-0.82</w:t>
      </w:r>
      <w:r w:rsidR="00BA15E8">
        <w:rPr>
          <w:rFonts w:cs="Times New Roman"/>
        </w:rPr>
        <w:t>0</w:t>
      </w:r>
      <w:r w:rsidRPr="00C3521D">
        <w:rPr>
          <w:rFonts w:cs="Times New Roman"/>
        </w:rPr>
        <w:t>; p=0.</w:t>
      </w:r>
      <w:r w:rsidR="00BA15E8">
        <w:rPr>
          <w:rFonts w:cs="Times New Roman"/>
        </w:rPr>
        <w:t>595</w:t>
      </w:r>
      <w:r w:rsidRPr="00C3521D">
        <w:rPr>
          <w:rFonts w:cs="Times New Roman"/>
        </w:rPr>
        <w:t>) for NSTEMI, AUC 0.6</w:t>
      </w:r>
      <w:r w:rsidR="00BA15E8">
        <w:rPr>
          <w:rFonts w:cs="Times New Roman"/>
        </w:rPr>
        <w:t>08</w:t>
      </w:r>
      <w:r w:rsidRPr="00C3521D">
        <w:rPr>
          <w:rFonts w:cs="Times New Roman"/>
        </w:rPr>
        <w:t xml:space="preserve"> (</w:t>
      </w:r>
      <w:r w:rsidR="00BA15E8" w:rsidRPr="00BA15E8">
        <w:rPr>
          <w:rFonts w:cs="Times New Roman"/>
        </w:rPr>
        <w:t>0.529-0.692</w:t>
      </w:r>
      <w:r w:rsidRPr="00C3521D">
        <w:rPr>
          <w:rFonts w:cs="Times New Roman"/>
        </w:rPr>
        <w:t>; p=0.</w:t>
      </w:r>
      <w:r w:rsidR="00BA15E8">
        <w:rPr>
          <w:rFonts w:cs="Times New Roman"/>
        </w:rPr>
        <w:t>711</w:t>
      </w:r>
      <w:r w:rsidRPr="00C3521D">
        <w:rPr>
          <w:rFonts w:cs="Times New Roman"/>
        </w:rPr>
        <w:t>) for UA</w:t>
      </w:r>
      <w:r w:rsidR="00C73BF7">
        <w:rPr>
          <w:rFonts w:cs="Times New Roman"/>
        </w:rPr>
        <w:t xml:space="preserve"> (figures S5+S6 for ROC curves)</w:t>
      </w:r>
      <w:r w:rsidRPr="00C3521D">
        <w:rPr>
          <w:rFonts w:cs="Times New Roman"/>
        </w:rPr>
        <w:t xml:space="preserve">. </w:t>
      </w:r>
      <w:r w:rsidR="00EA5B53">
        <w:rPr>
          <w:rFonts w:cs="Times New Roman"/>
        </w:rPr>
        <w:t>A stratified analysis based on time since symptom onset is shown in table S5.</w:t>
      </w:r>
    </w:p>
    <w:p w14:paraId="0EC70EB8" w14:textId="1A232B39" w:rsidR="009D7440" w:rsidRPr="002C6931" w:rsidRDefault="00C352A2" w:rsidP="002C6931">
      <w:pPr>
        <w:rPr>
          <w:rFonts w:cs="Times New Roman"/>
        </w:rPr>
      </w:pPr>
      <w:r w:rsidRPr="00C3521D">
        <w:rPr>
          <w:rFonts w:cs="Times New Roman"/>
        </w:rPr>
        <w:t>The combination of both markers</w:t>
      </w:r>
      <w:r w:rsidR="00D43DE6">
        <w:rPr>
          <w:rFonts w:cs="Times New Roman"/>
        </w:rPr>
        <w:t xml:space="preserve"> (cMyC and hs-cTnT)</w:t>
      </w:r>
      <w:r w:rsidRPr="00C3521D">
        <w:rPr>
          <w:rFonts w:cs="Times New Roman"/>
        </w:rPr>
        <w:t xml:space="preserve"> provided incremental value for STEMI (AUC 0.</w:t>
      </w:r>
      <w:r w:rsidR="00BA15E8">
        <w:rPr>
          <w:rFonts w:cs="Times New Roman"/>
        </w:rPr>
        <w:t>780</w:t>
      </w:r>
      <w:r w:rsidRPr="00C3521D">
        <w:rPr>
          <w:rFonts w:cs="Times New Roman"/>
        </w:rPr>
        <w:t xml:space="preserve">; </w:t>
      </w:r>
      <w:r w:rsidR="00BA15E8" w:rsidRPr="00BA15E8">
        <w:rPr>
          <w:rFonts w:cs="Times New Roman"/>
        </w:rPr>
        <w:t>0.719-0.84</w:t>
      </w:r>
      <w:r w:rsidR="00BA15E8">
        <w:rPr>
          <w:rFonts w:cs="Times New Roman"/>
        </w:rPr>
        <w:t xml:space="preserve">; </w:t>
      </w:r>
      <w:r w:rsidRPr="00C3521D">
        <w:rPr>
          <w:rFonts w:cs="Times New Roman"/>
        </w:rPr>
        <w:t>p&lt;0.001</w:t>
      </w:r>
      <w:r w:rsidR="00D43DE6">
        <w:rPr>
          <w:rFonts w:cs="Times New Roman"/>
        </w:rPr>
        <w:t xml:space="preserve"> for direct comparison</w:t>
      </w:r>
      <w:r w:rsidRPr="00C3521D">
        <w:rPr>
          <w:rFonts w:cs="Times New Roman"/>
        </w:rPr>
        <w:t xml:space="preserve">) </w:t>
      </w:r>
      <w:r w:rsidR="00BA15E8">
        <w:rPr>
          <w:rFonts w:cs="Times New Roman"/>
        </w:rPr>
        <w:t xml:space="preserve">and NSTEMI (0.786; </w:t>
      </w:r>
      <w:r w:rsidR="00BA15E8" w:rsidRPr="00BA15E8">
        <w:rPr>
          <w:rFonts w:cs="Times New Roman"/>
        </w:rPr>
        <w:t>0.745-0.824</w:t>
      </w:r>
      <w:r w:rsidR="00BA15E8">
        <w:rPr>
          <w:rFonts w:cs="Times New Roman"/>
        </w:rPr>
        <w:t xml:space="preserve">; p=0.037) </w:t>
      </w:r>
      <w:r w:rsidRPr="00C3521D">
        <w:rPr>
          <w:rFonts w:cs="Times New Roman"/>
        </w:rPr>
        <w:t>compared to using hs-cTnT alone.</w:t>
      </w:r>
    </w:p>
    <w:p w14:paraId="086E3400" w14:textId="5552C06F" w:rsidR="00B40704" w:rsidRPr="00B40704" w:rsidRDefault="00FA393D" w:rsidP="00FA393D">
      <w:pPr>
        <w:pStyle w:val="Heading3"/>
        <w:rPr>
          <w:lang w:val="en-US"/>
        </w:rPr>
      </w:pPr>
      <w:r>
        <w:rPr>
          <w:lang w:val="en-US"/>
        </w:rPr>
        <w:t>Logistic Regression models for AMI diagnosis</w:t>
      </w:r>
    </w:p>
    <w:p w14:paraId="6DC18D69" w14:textId="6F1BB647" w:rsidR="007D2E42" w:rsidRPr="00025442" w:rsidRDefault="00F53B4A" w:rsidP="002515BC">
      <w:pPr>
        <w:rPr>
          <w:rFonts w:cs="Times New Roman"/>
          <w:lang w:val="en-US"/>
        </w:rPr>
      </w:pPr>
      <w:r>
        <w:rPr>
          <w:rFonts w:cs="Times New Roman"/>
          <w:lang w:val="en-US"/>
        </w:rPr>
        <w:t xml:space="preserve">A model using all available biomarkers </w:t>
      </w:r>
      <w:r w:rsidR="0078431C">
        <w:rPr>
          <w:rFonts w:cs="Times New Roman"/>
          <w:lang w:val="en-US"/>
        </w:rPr>
        <w:t xml:space="preserve">achieved </w:t>
      </w:r>
      <w:r w:rsidR="00F24290">
        <w:rPr>
          <w:rFonts w:cs="Times New Roman"/>
          <w:lang w:val="en-US"/>
        </w:rPr>
        <w:t xml:space="preserve">a </w:t>
      </w:r>
      <w:r w:rsidR="0078431C">
        <w:rPr>
          <w:rFonts w:cs="Times New Roman"/>
          <w:lang w:val="en-US"/>
        </w:rPr>
        <w:t>moderate model fit (R</w:t>
      </w:r>
      <w:r w:rsidR="00767ECB" w:rsidRPr="00767ECB">
        <w:rPr>
          <w:rFonts w:cs="Times New Roman"/>
          <w:vertAlign w:val="superscript"/>
          <w:lang w:val="en-US"/>
        </w:rPr>
        <w:t>2</w:t>
      </w:r>
      <w:r w:rsidR="0078431C">
        <w:rPr>
          <w:rFonts w:cs="Times New Roman"/>
          <w:lang w:val="en-US"/>
        </w:rPr>
        <w:t xml:space="preserve"> 0.</w:t>
      </w:r>
      <w:r w:rsidR="00E95091">
        <w:rPr>
          <w:rFonts w:cs="Times New Roman"/>
          <w:lang w:val="en-US"/>
        </w:rPr>
        <w:t>483</w:t>
      </w:r>
      <w:r w:rsidR="0078431C">
        <w:rPr>
          <w:rFonts w:cs="Times New Roman"/>
          <w:lang w:val="en-US"/>
        </w:rPr>
        <w:t>)</w:t>
      </w:r>
      <w:r w:rsidR="00767ECB">
        <w:rPr>
          <w:rFonts w:cs="Times New Roman"/>
          <w:lang w:val="en-US"/>
        </w:rPr>
        <w:t xml:space="preserve">, but </w:t>
      </w:r>
      <w:r w:rsidR="0078431C">
        <w:rPr>
          <w:rFonts w:cs="Times New Roman"/>
          <w:lang w:val="en-US"/>
        </w:rPr>
        <w:t>a higher C index (C 0.</w:t>
      </w:r>
      <w:r w:rsidR="00E95091">
        <w:rPr>
          <w:rFonts w:cs="Times New Roman"/>
          <w:lang w:val="en-US"/>
        </w:rPr>
        <w:t>875</w:t>
      </w:r>
      <w:r w:rsidR="0078431C">
        <w:rPr>
          <w:rFonts w:cs="Times New Roman"/>
          <w:lang w:val="en-US"/>
        </w:rPr>
        <w:t>)</w:t>
      </w:r>
      <w:r>
        <w:rPr>
          <w:rFonts w:cs="Times New Roman"/>
          <w:lang w:val="en-US"/>
        </w:rPr>
        <w:t xml:space="preserve"> and </w:t>
      </w:r>
      <w:r>
        <w:t xml:space="preserve">log likelihood </w:t>
      </w:r>
      <w:r w:rsidRPr="00025442">
        <w:t xml:space="preserve">ratio (LR </w:t>
      </w:r>
      <m:oMath>
        <m:r>
          <m:rPr>
            <m:sty m:val="p"/>
          </m:rPr>
          <w:rPr>
            <w:rFonts w:ascii="Cambria Math" w:hAnsi="Cambria Math"/>
          </w:rPr>
          <m:t>χ</m:t>
        </m:r>
      </m:oMath>
      <w:r w:rsidRPr="00E10A42">
        <w:rPr>
          <w:vertAlign w:val="superscript"/>
        </w:rPr>
        <w:t>2</w:t>
      </w:r>
      <w:r w:rsidRPr="00025442">
        <w:t>; 291.5)</w:t>
      </w:r>
      <w:r w:rsidR="0078431C" w:rsidRPr="00025442">
        <w:rPr>
          <w:rFonts w:cs="Times New Roman"/>
          <w:lang w:val="en-US"/>
        </w:rPr>
        <w:t xml:space="preserve"> than using the respective biomarkers alone</w:t>
      </w:r>
      <w:r w:rsidR="00945009">
        <w:rPr>
          <w:rFonts w:cs="Times New Roman"/>
          <w:lang w:val="en-US"/>
        </w:rPr>
        <w:t xml:space="preserve">. </w:t>
      </w:r>
      <w:r w:rsidR="004A65D4">
        <w:rPr>
          <w:rFonts w:cs="Times New Roman"/>
          <w:lang w:val="en-US"/>
        </w:rPr>
        <w:t xml:space="preserve">Figure </w:t>
      </w:r>
      <w:r w:rsidR="009654B7">
        <w:rPr>
          <w:rFonts w:cs="Times New Roman"/>
          <w:lang w:val="en-US"/>
        </w:rPr>
        <w:t xml:space="preserve">S7 </w:t>
      </w:r>
      <w:r w:rsidR="00E26AA7" w:rsidRPr="00025442">
        <w:rPr>
          <w:rFonts w:cs="Times New Roman"/>
          <w:lang w:val="en-US"/>
        </w:rPr>
        <w:t>d</w:t>
      </w:r>
      <w:bookmarkStart w:id="6" w:name="_GoBack"/>
      <w:bookmarkEnd w:id="6"/>
      <w:r w:rsidR="00E26AA7" w:rsidRPr="00025442">
        <w:rPr>
          <w:rFonts w:cs="Times New Roman"/>
          <w:lang w:val="en-US"/>
        </w:rPr>
        <w:t xml:space="preserve">epicts the odds ratio for AMI diagnosis at presentation </w:t>
      </w:r>
      <w:r w:rsidR="00945009">
        <w:rPr>
          <w:rFonts w:cs="Times New Roman"/>
          <w:lang w:val="en-US"/>
        </w:rPr>
        <w:t xml:space="preserve">stratified by </w:t>
      </w:r>
      <w:r w:rsidR="00F27C8A">
        <w:rPr>
          <w:rFonts w:cs="Times New Roman"/>
          <w:lang w:val="en-US"/>
        </w:rPr>
        <w:t>sex</w:t>
      </w:r>
      <w:r w:rsidR="00E26AA7" w:rsidRPr="00025442">
        <w:rPr>
          <w:rFonts w:cs="Times New Roman"/>
          <w:lang w:val="en-US"/>
        </w:rPr>
        <w:t xml:space="preserve">, creatinine and cMyC concentrations, whilst holding other variables stable </w:t>
      </w:r>
      <w:r w:rsidR="00945009">
        <w:rPr>
          <w:rFonts w:cs="Times New Roman"/>
          <w:lang w:val="en-US"/>
        </w:rPr>
        <w:t>(</w:t>
      </w:r>
      <w:r w:rsidR="009654B7">
        <w:rPr>
          <w:rFonts w:cs="Times New Roman"/>
          <w:lang w:val="en-US"/>
        </w:rPr>
        <w:t>table S</w:t>
      </w:r>
      <w:r w:rsidR="00957E70">
        <w:rPr>
          <w:rFonts w:cs="Times New Roman"/>
          <w:lang w:val="en-US"/>
        </w:rPr>
        <w:t>6</w:t>
      </w:r>
      <w:r w:rsidR="009654B7">
        <w:rPr>
          <w:rFonts w:cs="Times New Roman"/>
          <w:lang w:val="en-US"/>
        </w:rPr>
        <w:t xml:space="preserve"> for regression model, </w:t>
      </w:r>
      <w:r w:rsidR="00945009">
        <w:rPr>
          <w:rFonts w:cs="Times New Roman"/>
          <w:lang w:val="en-US"/>
        </w:rPr>
        <w:t xml:space="preserve">calibration plot </w:t>
      </w:r>
      <w:r w:rsidR="009B4489">
        <w:rPr>
          <w:rFonts w:cs="Times New Roman"/>
          <w:lang w:val="en-US"/>
        </w:rPr>
        <w:t xml:space="preserve">figure </w:t>
      </w:r>
      <w:r w:rsidR="00957E70">
        <w:rPr>
          <w:rFonts w:cs="Times New Roman"/>
          <w:lang w:val="en-US"/>
        </w:rPr>
        <w:t>S8</w:t>
      </w:r>
      <w:r w:rsidR="00945009">
        <w:rPr>
          <w:rFonts w:cs="Times New Roman"/>
          <w:lang w:val="en-US"/>
        </w:rPr>
        <w:t>).</w:t>
      </w:r>
      <w:r w:rsidR="00945009">
        <w:rPr>
          <w:rFonts w:cs="Times New Roman"/>
        </w:rPr>
        <w:t xml:space="preserve"> </w:t>
      </w:r>
      <w:r w:rsidR="00E26AA7" w:rsidRPr="00025442">
        <w:rPr>
          <w:rFonts w:cs="Times New Roman"/>
          <w:lang w:val="en-US"/>
        </w:rPr>
        <w:t>Models using only one (cardiac) biomarker yield lower discrimination indices</w:t>
      </w:r>
      <w:r w:rsidR="0090766F">
        <w:rPr>
          <w:rFonts w:cs="Times New Roman"/>
          <w:lang w:val="en-US"/>
        </w:rPr>
        <w:t xml:space="preserve"> than the model using both biomarkers (</w:t>
      </w:r>
      <w:r w:rsidR="00E26AA7" w:rsidRPr="00025442">
        <w:rPr>
          <w:rFonts w:cs="Times New Roman"/>
          <w:lang w:val="en-US"/>
        </w:rPr>
        <w:t>cMyC – R</w:t>
      </w:r>
      <w:r w:rsidR="00E26AA7" w:rsidRPr="00025442">
        <w:rPr>
          <w:rFonts w:cs="Times New Roman"/>
          <w:vertAlign w:val="superscript"/>
          <w:lang w:val="en-US"/>
        </w:rPr>
        <w:t>2</w:t>
      </w:r>
      <w:r w:rsidR="00E26AA7" w:rsidRPr="00025442">
        <w:rPr>
          <w:rFonts w:cs="Times New Roman"/>
          <w:lang w:val="en-US"/>
        </w:rPr>
        <w:t xml:space="preserve"> 0.</w:t>
      </w:r>
      <w:r w:rsidR="00F61894" w:rsidRPr="00025442">
        <w:rPr>
          <w:rFonts w:cs="Times New Roman"/>
          <w:lang w:val="en-US"/>
        </w:rPr>
        <w:t>467</w:t>
      </w:r>
      <w:r w:rsidR="00E26AA7" w:rsidRPr="00025442">
        <w:rPr>
          <w:rFonts w:cs="Times New Roman"/>
          <w:lang w:val="en-US"/>
        </w:rPr>
        <w:t>, C 0.</w:t>
      </w:r>
      <w:r w:rsidR="00F61894" w:rsidRPr="00025442">
        <w:rPr>
          <w:rFonts w:cs="Times New Roman"/>
          <w:lang w:val="en-US"/>
        </w:rPr>
        <w:t>868</w:t>
      </w:r>
      <w:r w:rsidRPr="00025442">
        <w:rPr>
          <w:rFonts w:cs="Times New Roman"/>
          <w:lang w:val="en-US"/>
        </w:rPr>
        <w:t xml:space="preserve">, </w:t>
      </w:r>
      <w:r w:rsidRPr="00025442">
        <w:t xml:space="preserve">LR </w:t>
      </w:r>
      <m:oMath>
        <m:r>
          <m:rPr>
            <m:sty m:val="p"/>
          </m:rPr>
          <w:rPr>
            <w:rFonts w:ascii="Cambria Math" w:hAnsi="Cambria Math"/>
          </w:rPr>
          <m:t>χ</m:t>
        </m:r>
      </m:oMath>
      <w:r w:rsidRPr="00E10A42">
        <w:rPr>
          <w:vertAlign w:val="superscript"/>
        </w:rPr>
        <w:t>2</w:t>
      </w:r>
      <w:r w:rsidRPr="00025442">
        <w:t xml:space="preserve"> 282.4</w:t>
      </w:r>
      <w:r w:rsidR="00E26AA7" w:rsidRPr="00025442">
        <w:rPr>
          <w:rFonts w:cs="Times New Roman"/>
          <w:lang w:val="en-US"/>
        </w:rPr>
        <w:t xml:space="preserve">; hs-cTnT </w:t>
      </w:r>
      <w:r w:rsidR="00915FEB" w:rsidRPr="00025442">
        <w:rPr>
          <w:rFonts w:cs="Times New Roman"/>
          <w:lang w:val="en-US"/>
        </w:rPr>
        <w:t>– R</w:t>
      </w:r>
      <w:r w:rsidR="00915FEB" w:rsidRPr="00025442">
        <w:rPr>
          <w:rFonts w:cs="Times New Roman"/>
          <w:vertAlign w:val="superscript"/>
          <w:lang w:val="en-US"/>
        </w:rPr>
        <w:t>2</w:t>
      </w:r>
      <w:r w:rsidR="00915FEB" w:rsidRPr="00025442">
        <w:rPr>
          <w:rFonts w:cs="Times New Roman"/>
          <w:lang w:val="en-US"/>
        </w:rPr>
        <w:t xml:space="preserve"> 0.</w:t>
      </w:r>
      <w:r w:rsidR="00F61894" w:rsidRPr="00025442">
        <w:rPr>
          <w:rFonts w:cs="Times New Roman"/>
          <w:lang w:val="en-US"/>
        </w:rPr>
        <w:t>431</w:t>
      </w:r>
      <w:r w:rsidR="00915FEB" w:rsidRPr="00025442">
        <w:rPr>
          <w:rFonts w:cs="Times New Roman"/>
          <w:lang w:val="en-US"/>
        </w:rPr>
        <w:t>, C 0.</w:t>
      </w:r>
      <w:r w:rsidR="00F61894" w:rsidRPr="00025442">
        <w:rPr>
          <w:rFonts w:cs="Times New Roman"/>
          <w:lang w:val="en-US"/>
        </w:rPr>
        <w:t>853</w:t>
      </w:r>
      <w:r w:rsidRPr="00025442">
        <w:rPr>
          <w:rFonts w:cs="Times New Roman"/>
          <w:lang w:val="en-US"/>
        </w:rPr>
        <w:t xml:space="preserve">, </w:t>
      </w:r>
      <w:r w:rsidRPr="00025442">
        <w:t xml:space="preserve">LR </w:t>
      </w:r>
      <m:oMath>
        <m:r>
          <m:rPr>
            <m:sty m:val="p"/>
          </m:rPr>
          <w:rPr>
            <w:rFonts w:ascii="Cambria Math" w:hAnsi="Cambria Math"/>
          </w:rPr>
          <m:t>χ</m:t>
        </m:r>
      </m:oMath>
      <w:r w:rsidRPr="00E10A42">
        <w:rPr>
          <w:vertAlign w:val="superscript"/>
        </w:rPr>
        <w:t>2</w:t>
      </w:r>
      <w:r w:rsidRPr="00025442">
        <w:t xml:space="preserve"> 256.9</w:t>
      </w:r>
      <w:r w:rsidR="0090766F">
        <w:t>)</w:t>
      </w:r>
      <w:r w:rsidR="00915FEB" w:rsidRPr="00025442">
        <w:rPr>
          <w:rFonts w:cs="Times New Roman"/>
          <w:lang w:val="en-US"/>
        </w:rPr>
        <w:t xml:space="preserve">. </w:t>
      </w:r>
    </w:p>
    <w:p w14:paraId="28E5C22D" w14:textId="42A49E02" w:rsidR="0078431C" w:rsidRDefault="00E21130" w:rsidP="002515BC">
      <w:pPr>
        <w:rPr>
          <w:rFonts w:cs="Times New Roman"/>
          <w:lang w:val="en-US"/>
        </w:rPr>
      </w:pPr>
      <w:r>
        <w:rPr>
          <w:rFonts w:cs="Times New Roman"/>
          <w:lang w:val="en-US"/>
        </w:rPr>
        <w:lastRenderedPageBreak/>
        <w:t>However, b</w:t>
      </w:r>
      <w:r w:rsidR="000C0FBF">
        <w:rPr>
          <w:rFonts w:cs="Times New Roman"/>
          <w:lang w:val="en-US"/>
        </w:rPr>
        <w:t>ased on the comparison of log likelihoods,</w:t>
      </w:r>
      <w:r w:rsidR="00230132">
        <w:rPr>
          <w:rFonts w:cs="Times New Roman"/>
          <w:lang w:val="en-US"/>
        </w:rPr>
        <w:t xml:space="preserve"> the model including cMyC explains a greater proportion of the complete model than hs-cTnT (</w:t>
      </w:r>
      <w:r w:rsidR="004C2D5F">
        <w:rPr>
          <w:rFonts w:cs="Times New Roman"/>
          <w:lang w:val="en-US"/>
        </w:rPr>
        <w:t xml:space="preserve">difference in </w:t>
      </w:r>
      <w:r w:rsidR="004C2D5F" w:rsidRPr="00025442">
        <w:rPr>
          <w:rFonts w:cs="Times New Roman"/>
          <w:lang w:val="en-US"/>
        </w:rPr>
        <w:t xml:space="preserve">LR </w:t>
      </w:r>
      <m:oMath>
        <m:r>
          <m:rPr>
            <m:sty m:val="p"/>
          </m:rPr>
          <w:rPr>
            <w:rFonts w:ascii="Cambria Math" w:hAnsi="Cambria Math" w:cs="Times New Roman"/>
            <w:lang w:val="en-US"/>
          </w:rPr>
          <m:t>χ</m:t>
        </m:r>
      </m:oMath>
      <w:r w:rsidR="004C2D5F" w:rsidRPr="00025442">
        <w:rPr>
          <w:rFonts w:cs="Times New Roman"/>
          <w:vertAlign w:val="superscript"/>
          <w:lang w:val="en-US"/>
        </w:rPr>
        <w:t>2</w:t>
      </w:r>
      <w:r w:rsidR="004C2D5F">
        <w:rPr>
          <w:rFonts w:cs="Times New Roman"/>
          <w:lang w:val="en-US"/>
        </w:rPr>
        <w:t xml:space="preserve"> = </w:t>
      </w:r>
      <w:r w:rsidR="00E95091" w:rsidRPr="00E95091">
        <w:rPr>
          <w:rFonts w:cs="Times New Roman"/>
          <w:lang w:val="en-US"/>
        </w:rPr>
        <w:t>2</w:t>
      </w:r>
      <w:r w:rsidR="00434A58">
        <w:rPr>
          <w:rFonts w:cs="Times New Roman"/>
          <w:lang w:val="en-US"/>
        </w:rPr>
        <w:t>5.5</w:t>
      </w:r>
      <w:r w:rsidR="004C2D5F">
        <w:rPr>
          <w:rFonts w:cs="Times New Roman"/>
          <w:lang w:val="en-US"/>
        </w:rPr>
        <w:t>) and thus carries greater diagnostic information</w:t>
      </w:r>
      <w:r w:rsidR="000C0FBF">
        <w:rPr>
          <w:rFonts w:cs="Times New Roman"/>
          <w:lang w:val="en-US"/>
        </w:rPr>
        <w:t xml:space="preserve"> (</w:t>
      </w:r>
      <w:r w:rsidR="004A65D4">
        <w:rPr>
          <w:rFonts w:cs="Times New Roman"/>
          <w:lang w:val="en-US"/>
        </w:rPr>
        <w:t xml:space="preserve">table </w:t>
      </w:r>
      <w:r w:rsidR="00957E70">
        <w:rPr>
          <w:rFonts w:cs="Times New Roman"/>
          <w:lang w:val="en-US"/>
        </w:rPr>
        <w:t>S7</w:t>
      </w:r>
      <w:r w:rsidR="000C0FBF">
        <w:rPr>
          <w:rFonts w:cs="Times New Roman"/>
          <w:lang w:val="en-US"/>
        </w:rPr>
        <w:t>)</w:t>
      </w:r>
      <w:r w:rsidR="004C2D5F">
        <w:rPr>
          <w:rFonts w:cs="Times New Roman"/>
          <w:lang w:val="en-US"/>
        </w:rPr>
        <w:t>.</w:t>
      </w:r>
    </w:p>
    <w:p w14:paraId="00C7D8DF" w14:textId="0EF08328" w:rsidR="00D41CA2" w:rsidRPr="00FA393D" w:rsidRDefault="00B40704" w:rsidP="00FA393D">
      <w:pPr>
        <w:pStyle w:val="Heading3"/>
      </w:pPr>
      <w:r w:rsidRPr="00FA393D">
        <w:t xml:space="preserve">Development of </w:t>
      </w:r>
      <w:r w:rsidR="00535DF3" w:rsidRPr="00FA393D">
        <w:t xml:space="preserve">a </w:t>
      </w:r>
      <w:r w:rsidRPr="00FA393D">
        <w:t>nomogram</w:t>
      </w:r>
      <w:r w:rsidR="00FA393D" w:rsidRPr="00FA393D">
        <w:t xml:space="preserve"> for prediction of AMI</w:t>
      </w:r>
    </w:p>
    <w:p w14:paraId="6A3C7C57" w14:textId="152CBF13" w:rsidR="00EA78BC" w:rsidRDefault="00E21130" w:rsidP="002C6931">
      <w:pPr>
        <w:rPr>
          <w:lang w:val="en-US"/>
        </w:rPr>
      </w:pPr>
      <w:r>
        <w:rPr>
          <w:lang w:val="en-US"/>
        </w:rPr>
        <w:t xml:space="preserve">Four </w:t>
      </w:r>
      <w:r w:rsidR="00CB60A4">
        <w:rPr>
          <w:lang w:val="en-US"/>
        </w:rPr>
        <w:t xml:space="preserve">variables </w:t>
      </w:r>
      <w:r>
        <w:rPr>
          <w:lang w:val="en-US"/>
        </w:rPr>
        <w:t xml:space="preserve">remained in the final, short model used for </w:t>
      </w:r>
      <w:r w:rsidR="00D41CA2">
        <w:rPr>
          <w:lang w:val="en-US"/>
        </w:rPr>
        <w:t>the development of a nomogram</w:t>
      </w:r>
      <w:r w:rsidR="004A65D4">
        <w:rPr>
          <w:lang w:val="en-US"/>
        </w:rPr>
        <w:t xml:space="preserve"> (</w:t>
      </w:r>
      <w:r w:rsidR="00B72A27">
        <w:rPr>
          <w:lang w:val="en-US"/>
        </w:rPr>
        <w:t>figure 4)</w:t>
      </w:r>
      <w:r w:rsidR="00D41CA2">
        <w:rPr>
          <w:lang w:val="en-US"/>
        </w:rPr>
        <w:t xml:space="preserve">: cMyC, </w:t>
      </w:r>
      <w:r w:rsidR="00F27C8A">
        <w:rPr>
          <w:lang w:val="en-US"/>
        </w:rPr>
        <w:t>sex</w:t>
      </w:r>
      <w:r w:rsidR="00F61894">
        <w:rPr>
          <w:lang w:val="en-US"/>
        </w:rPr>
        <w:t xml:space="preserve">, </w:t>
      </w:r>
      <w:proofErr w:type="spellStart"/>
      <w:r w:rsidR="0035266F">
        <w:rPr>
          <w:lang w:val="en-US"/>
        </w:rPr>
        <w:t>hyperlipidaemia</w:t>
      </w:r>
      <w:proofErr w:type="spellEnd"/>
      <w:r w:rsidR="0035266F">
        <w:rPr>
          <w:lang w:val="en-US"/>
        </w:rPr>
        <w:t xml:space="preserve"> </w:t>
      </w:r>
      <w:r w:rsidR="00F61894">
        <w:rPr>
          <w:lang w:val="en-US"/>
        </w:rPr>
        <w:t xml:space="preserve">and </w:t>
      </w:r>
      <w:r w:rsidR="0035266F">
        <w:rPr>
          <w:lang w:val="en-US"/>
        </w:rPr>
        <w:t>smoking history</w:t>
      </w:r>
      <w:r w:rsidR="00D41CA2">
        <w:rPr>
          <w:lang w:val="en-US"/>
        </w:rPr>
        <w:t xml:space="preserve">. </w:t>
      </w:r>
      <w:r w:rsidR="0014060C">
        <w:rPr>
          <w:lang w:val="en-US"/>
        </w:rPr>
        <w:t xml:space="preserve">Model statistics are displayed in </w:t>
      </w:r>
      <w:r w:rsidR="00D8077C">
        <w:rPr>
          <w:lang w:val="en-US"/>
        </w:rPr>
        <w:t>supplemental</w:t>
      </w:r>
      <w:r w:rsidR="004A65D4">
        <w:rPr>
          <w:lang w:val="en-US"/>
        </w:rPr>
        <w:t xml:space="preserve"> table S</w:t>
      </w:r>
      <w:r w:rsidR="00945009">
        <w:rPr>
          <w:lang w:val="en-US"/>
        </w:rPr>
        <w:t>8</w:t>
      </w:r>
      <w:r w:rsidR="004A65D4">
        <w:rPr>
          <w:lang w:val="en-US"/>
        </w:rPr>
        <w:t xml:space="preserve"> </w:t>
      </w:r>
      <w:r w:rsidR="009B4489">
        <w:rPr>
          <w:lang w:val="en-US"/>
        </w:rPr>
        <w:t xml:space="preserve">(S9 for validation) </w:t>
      </w:r>
      <w:r w:rsidR="00535DF3">
        <w:rPr>
          <w:lang w:val="en-US"/>
        </w:rPr>
        <w:t>and</w:t>
      </w:r>
      <w:r w:rsidR="0014060C">
        <w:rPr>
          <w:lang w:val="en-US"/>
        </w:rPr>
        <w:t>, in short, achieved the following indices: R</w:t>
      </w:r>
      <w:r w:rsidR="0014060C" w:rsidRPr="000F7167">
        <w:rPr>
          <w:vertAlign w:val="superscript"/>
          <w:lang w:val="en-US"/>
        </w:rPr>
        <w:t>2</w:t>
      </w:r>
      <w:r w:rsidR="0014060C">
        <w:rPr>
          <w:lang w:val="en-US"/>
        </w:rPr>
        <w:t xml:space="preserve"> 0.</w:t>
      </w:r>
      <w:r w:rsidR="0035266F">
        <w:rPr>
          <w:lang w:val="en-US"/>
        </w:rPr>
        <w:t>416</w:t>
      </w:r>
      <w:r w:rsidR="0014060C">
        <w:rPr>
          <w:lang w:val="en-US"/>
        </w:rPr>
        <w:t>, C 0.</w:t>
      </w:r>
      <w:r w:rsidR="0035266F">
        <w:rPr>
          <w:lang w:val="en-US"/>
        </w:rPr>
        <w:t>852</w:t>
      </w:r>
      <w:r w:rsidR="0014060C">
        <w:rPr>
          <w:lang w:val="en-US"/>
        </w:rPr>
        <w:t xml:space="preserve">. </w:t>
      </w:r>
    </w:p>
    <w:p w14:paraId="6B5C8D66" w14:textId="77777777" w:rsidR="00320661" w:rsidRPr="00C3521D" w:rsidRDefault="00320661" w:rsidP="00320661">
      <w:pPr>
        <w:pStyle w:val="Heading3"/>
        <w:rPr>
          <w:rFonts w:cs="Times New Roman"/>
        </w:rPr>
      </w:pPr>
      <w:r w:rsidRPr="00C3521D">
        <w:rPr>
          <w:rFonts w:cs="Times New Roman"/>
        </w:rPr>
        <w:t xml:space="preserve">Diagnostic proportions of </w:t>
      </w:r>
      <w:r>
        <w:rPr>
          <w:rFonts w:cs="Times New Roman"/>
        </w:rPr>
        <w:t xml:space="preserve">cMyC and </w:t>
      </w:r>
      <w:r w:rsidRPr="00C3521D">
        <w:rPr>
          <w:rFonts w:cs="Times New Roman"/>
        </w:rPr>
        <w:t xml:space="preserve">hs-cTnT </w:t>
      </w:r>
    </w:p>
    <w:p w14:paraId="1801061A" w14:textId="098CDABF" w:rsidR="00320661" w:rsidRPr="002C6931" w:rsidRDefault="00320661" w:rsidP="00320661">
      <w:pPr>
        <w:rPr>
          <w:rFonts w:cs="Times New Roman"/>
          <w:lang w:val="en-US"/>
        </w:rPr>
      </w:pPr>
      <w:r>
        <w:rPr>
          <w:rFonts w:cs="Times New Roman"/>
        </w:rPr>
        <w:t>Performance characteristics for cMyC at previously published thresholds</w:t>
      </w:r>
      <w:r>
        <w:rPr>
          <w:rFonts w:cs="Times New Roman"/>
        </w:rPr>
        <w:fldChar w:fldCharType="begin" w:fldLock="1"/>
      </w:r>
      <w:r>
        <w:rPr>
          <w:rFonts w:cs="Times New Roman"/>
        </w:rPr>
        <w:instrText>ADDIN CSL_CITATION {"citationItems":[{"id":"ITEM-1","itemData":{"abstract":"BACKGROUND:Cardiac myosin-binding protein C (cMyC) is a cardiac-restricted protein that is more abundant than cardiac troponins (cTn) and is released more rapidly after acute myocardial infarction (AMI). We evaluated cMyC as an adjunct or alternative to cTn in the early diagnosis of AMI. METHODS:Unselected patients (N=1954) presenting to the emergency department with symptoms suggestive of AMI, concentrations of cMyC, and high-sensitivity (hs) and standard-sensitivity cTn were measured at presentation. The final diagnosis of AMI was independently adjudicated using all available clinical and biochemical information without knowledge of cMyC. The prognostic end point was long-term mortality. RESULTS:Final diagnosis was AMI in 340 patients (17%). Concentrations of cMyC at presentation were significantly higher in those with versus without AMI (median, 237 ng/L versus 13 ng/L, P&lt;0.001). Discriminatory power for AMI, as quantified by the area under the receiver-operating characteristic curve (AUC), was comparable for cMyC (AUC, 0.924), hs-cTnT (AUC, 0.927), and hs-cTnI (AUC, 0.922) and superior to cTnI measured by a contemporary sensitivity assay (AUC, 0.909). The combination of cMyC with hs-cTnT or standard-sensitivity cTnI (but not hs-cTnI) led to an increase in AUC to 0.931 (P&lt;0.0001) and 0.926 (P=0.003), respectively. Use of cMyC more accurately classified patients with a single blood test into rule-out or rule-in categories: Net Reclassification Improvement +0.149 versus hs-cTnT, +0.235 versus hs-cTnI (P&lt;0.001). In early presenters (chest pain &lt;3 h), the improvement in rule-in/rule-out classification with cMyC was larger compared with hs-cTnT (Net Reclassification Improvement +0.256) and hs-cTnI (Net Reclassification Improvement +0.308; both P&lt;0.001). Comparing the C statistics, cMyC was superior to hs-cTnI and standard sensitivity cTnI (P&lt;0.05 for both) and similar to hs-cTnT at predicting death at 3 years. CONCLUSIONS:cMyC at presentation provides discriminatory power comparable to hs-cTnT and hs-cTnI in the diagnosis of AMI and may perform favorably in patients presenting early after symptom onset. CLINICAL TRIAL REGISTRATION:URL: https://www.clinicaltrials.gov. Unique identifier: NCT00470587.","author":[{"dropping-particle":"","family":"Kaier","given":"Thomas E","non-dropping-particle":"","parse-names":false,"suffix":""},{"dropping-particle":"","family":"Twerenbold","given":"Raphael","non-dropping-particle":"","parse-names":false,"suffix":""},{"dropping-particle":"","family":"Puelacher","given":"Christian","non-dropping-particle":"","parse-names":false,"suffix":""},{"dropping-particle":"","family":"Marjot","given":"Jack","non-dropping-particle":"","parse-names":false,"suffix":""},{"dropping-particle":"","family":"Imambaccus","given":"Nazia","non-dropping-particle":"","parse-names":false,"suffix":""},{"dropping-particle":"","family":"Boeddinghaus","given":"Jasper","non-dropping-particle":"","parse-names":false,"suffix":""},{"dropping-particle":"","family":"Nestelberger","given":"Thomas","non-dropping-particle":"","parse-names":false,"suffix":""},{"dropping-particle":"","family":"Badertscher","given":"Patrick","non-dropping-particle":"","parse-names":false,"suffix":""},{"dropping-particle":"","family":"Sabti","given":"Zaid","non-dropping-particle":"","parse-names":false,"suffix":""},{"dropping-particle":"","family":"Gimenez","given":"Maria Rubini","non-dropping-particle":"","parse-names":false,"suffix":""},{"dropping-particle":"","family":"Wildi","given":"Karin","non-dropping-particle":"","parse-names":false,"suffix":""},{"dropping-particle":"","family":"Hillinger","given":"Petra","non-dropping-particle":"","parse-names":false,"suffix":""},{"dropping-particle":"","family":"Grimm","given":"Karin","non-dropping-particle":"","parse-names":false,"suffix":""},{"dropping-particle":"","family":"Loeffel","given":"Sarah","non-dropping-particle":"","parse-names":false,"suffix":""},{"dropping-particle":"","family":"Shrestha","given":"Samyut","non-dropping-particle":"","parse-names":false,"suffix":""},{"dropping-particle":"","family":"Widmer","given":"Dayana Flores","non-dropping-particle":"","parse-names":false,"suffix":""},{"dropping-particle":"","family":"Cupa","given":"Janosch","non-dropping-particle":"","parse-names":false,"suffix":""},{"dropping-particle":"","family":"Kozhuharov","given":"Nikola","non-dropping-particle":"","parse-names":false,"suffix":""},{"dropping-particle":"","family":"Miró","given":"Òscar","non-dropping-particle":"","parse-names":false,"suffix":""},{"dropping-particle":"","family":"Martin-Sanchez","given":"F Javier","non-dropping-particle":"","parse-names":false,"suffix":""},{"dropping-particle":"","family":"Morawiec","given":"Beata","non-dropping-particle":"","parse-names":false,"suffix":""},{"dropping-particle":"","family":"Rentsch","given":"Katharina","non-dropping-particle":"","parse-names":false,"suffix":""},{"dropping-particle":"","family":"Lohrmann","given":"Jens","non-dropping-particle":"","parse-names":false,"suffix":""},{"dropping-particle":"","family":"Kloos","given":"Wanda","non-dropping-particle":"","parse-names":false,"suffix":""},{"dropping-particle":"","family":"Osswald","given":"Stefan","non-dropping-particle":"","parse-names":false,"suffix":""},{"dropping-particle":"","family":"Reichlin","given":"Tobias","non-dropping-particle":"","parse-names":false,"suffix":""},{"dropping-particle":"","family":"Weber","given":"Ekkehard","non-dropping-particle":"","parse-names":false,"suffix":""},{"dropping-particle":"","family":"Marber","given":"Michael","non-dropping-particle":"","parse-names":false,"suffix":""},{"dropping-particle":"","family":"Mueller","given":"Christian","non-dropping-particle":"","parse-names":false,"suffix":""}],"container-title":"Circulation","id":"ITEM-1","issue":"16","issued":{"date-parts":[["2017","10","17"]]},"page":"1495-1508","publisher":"Lippincott Williams &amp; Wilkins","publisher-place":"From King's College London BHF Centre, Rayne Institute, St Thomas' Hospital, London, UK (T.K., J.M., N.I., M.M.); Department of Cardiology and Cardiovascular Research Institute Basel, University Hospital Basel, Switzerland (R.T., C.P., J.B., T.N., P.B., Z","title":"Direct Comparison of Cardiac Myosin-Binding Protein C With Cardiac Troponins for the Early Diagnosis of Acute Myocardial Infarction.","type":"article-journal","volume":"136"},"uris":["http://www.mendeley.com/documents/?uuid=84746d0c-aa2d-4e2f-a7ad-449f9bfe8cf9"]}],"mendeley":{"formattedCitation":"&lt;sup&gt;13&lt;/sup&gt;","plainTextFormattedCitation":"13","previouslyFormattedCitation":"&lt;sup&gt;13&lt;/sup&gt;"},"properties":{"noteIndex":0},"schema":"https://github.com/citation-style-language/schema/raw/master/csl-citation.json"}</w:instrText>
      </w:r>
      <w:r>
        <w:rPr>
          <w:rFonts w:cs="Times New Roman"/>
        </w:rPr>
        <w:fldChar w:fldCharType="separate"/>
      </w:r>
      <w:r w:rsidRPr="0041496F">
        <w:rPr>
          <w:rFonts w:cs="Times New Roman"/>
          <w:noProof/>
          <w:vertAlign w:val="superscript"/>
        </w:rPr>
        <w:t>13</w:t>
      </w:r>
      <w:r>
        <w:rPr>
          <w:rFonts w:cs="Times New Roman"/>
        </w:rPr>
        <w:fldChar w:fldCharType="end"/>
      </w:r>
      <w:r>
        <w:rPr>
          <w:rFonts w:cs="Times New Roman"/>
        </w:rPr>
        <w:t xml:space="preserve"> for rule-out (10 ng/L) and rule-in (120 ng/L) of myocardial infarction, as well as the 99</w:t>
      </w:r>
      <w:r w:rsidRPr="00FA5811">
        <w:rPr>
          <w:rFonts w:cs="Times New Roman"/>
          <w:vertAlign w:val="superscript"/>
        </w:rPr>
        <w:t>th</w:t>
      </w:r>
      <w:r>
        <w:rPr>
          <w:rFonts w:cs="Times New Roman"/>
        </w:rPr>
        <w:t xml:space="preserve"> centile (87 ng/L) are displayed in table 3, stratified by symptom time (&lt;60 mins, 60-120 mins, &gt;120 mins of chest pain); for all patients across the cohort, see table S</w:t>
      </w:r>
      <w:r w:rsidR="00957E70">
        <w:rPr>
          <w:rFonts w:cs="Times New Roman"/>
        </w:rPr>
        <w:t>10</w:t>
      </w:r>
      <w:r>
        <w:rPr>
          <w:rFonts w:cs="Times New Roman"/>
        </w:rPr>
        <w:t>. The performance characteristics of hs-cTnT were previously reported</w:t>
      </w:r>
      <w:r>
        <w:rPr>
          <w:rFonts w:cs="Times New Roman"/>
        </w:rPr>
        <w:fldChar w:fldCharType="begin" w:fldLock="1"/>
      </w:r>
      <w:r>
        <w:rPr>
          <w:rFonts w:cs="Times New Roman"/>
        </w:rPr>
        <w:instrText>ADDIN CSL_CITATION {"citationItems":[{"id":"ITEM-1","itemData":{"abstract":"Improvement of prehospital triage is essential to ensure rapid management of patients with acute myocardial infarction (AMI). This study evaluates the feasibility of prehospital quantitative point-of-care cardiac troponin T (POC-cTnT) analysis, its ability to identify patients with AMI, and its capacity to predict mortality. The study was performed in the Central Denmark Region from May 2010 to May 2011. As a supplement to electrocardiography, a prehospital POC-cTnT measurement was performed by a paramedic in patients with suspected AMI. AMI was diagnosed according to the universal definition of myocardial infarction using the ninety-ninth percentile upper reference level as diagnostic cut point. The paramedics performed POC-cTnT measurements in 985 subjects with a symptom duration of 70 minutes (95% CI, 35 to 180); of whom, 200 (20%) had an AMI. The prehospital sample was obtained 88 minutes (range, 58 to 131) before the sample made on admission to the hospital. The sensitivity for detection of patients with an AMI was 39% (95% CI, 32% to 46%) and the diagnostic accuracy of the POC-cTnT values was 0.67 (95% CI, 0.64 to 0.71). Adjusted survival analysis showed a strong significant association between elevated prehospital POC-cTnT level above the detection level of 50 ng/L and mortality in patients with a suspected AMI irrespective of whether an AMI was diagnosed. In conclusion, large-scale quantitative prehospital POC-cTnT testing by paramedics is feasible. An elevated prehospital POC-cTnT value contains diagnostic information and is highly predictive of mortality in patients with a suspected AMI.","author":[{"dropping-particle":"","family":"Stengaard","given":"Carsten","non-dropping-particle":"","parse-names":false,"suffix":""},{"dropping-particle":"","family":"Sørensen","given":"Jacob Thorsted","non-dropping-particle":"","parse-names":false,"suffix":""},{"dropping-particle":"","family":"Ladefoged","given":"Søren Andreas","non-dropping-particle":"","parse-names":false,"suffix":""},{"dropping-particle":"","family":"Christensen","given":"Erika Frischknecht","non-dropping-particle":"","parse-names":false,"suffix":""},{"dropping-particle":"","family":"Lassen","given":"Jens Flensted","non-dropping-particle":"","parse-names":false,"suffix":""},{"dropping-particle":"","family":"Bøtker","given":"Hans Erik","non-dropping-particle":"","parse-names":false,"suffix":""},{"dropping-particle":"","family":"Terkelsen","given":"Christian Juhl","non-dropping-particle":"","parse-names":false,"suffix":""},{"dropping-particle":"","family":"Thygesen","given":"Kristian","non-dropping-particle":"","parse-names":false,"suffix":""}],"container-title":"The American journal of cardiology","id":"ITEM-1","issue":"9","issued":{"date-parts":[["2013","11","1"]]},"page":"1361-1366","publisher-place":"Department of Cardiology, Aarhus University Hospital, Aarhus, Central Denmark Region, Denmark. Electronic address: carstengaard@hotmail.com.","title":"Quantitative point-of-care troponin T measurement for diagnosis and prognosis in patients with a suspected acute myocardial infarction.","type":"article-journal","volume":"112"},"uris":["http://www.mendeley.com/documents/?uuid=5535af29-2175-4d44-9945-6929cbab1563"]}],"mendeley":{"formattedCitation":"&lt;sup&gt;16&lt;/sup&gt;","plainTextFormattedCitation":"16","previouslyFormattedCitation":"&lt;sup&gt;16&lt;/sup&gt;"},"properties":{"noteIndex":0},"schema":"https://github.com/citation-style-language/schema/raw/master/csl-citation.json"}</w:instrText>
      </w:r>
      <w:r>
        <w:rPr>
          <w:rFonts w:cs="Times New Roman"/>
        </w:rPr>
        <w:fldChar w:fldCharType="separate"/>
      </w:r>
      <w:r w:rsidRPr="00AC5E0B">
        <w:rPr>
          <w:rFonts w:cs="Times New Roman"/>
          <w:noProof/>
          <w:vertAlign w:val="superscript"/>
        </w:rPr>
        <w:t>16</w:t>
      </w:r>
      <w:r>
        <w:rPr>
          <w:rFonts w:cs="Times New Roman"/>
        </w:rPr>
        <w:fldChar w:fldCharType="end"/>
      </w:r>
      <w:r>
        <w:rPr>
          <w:rFonts w:cs="Times New Roman"/>
        </w:rPr>
        <w:t>, and are listed at 99</w:t>
      </w:r>
      <w:r w:rsidRPr="00FA5811">
        <w:rPr>
          <w:rFonts w:cs="Times New Roman"/>
          <w:vertAlign w:val="superscript"/>
        </w:rPr>
        <w:t>th</w:t>
      </w:r>
      <w:r>
        <w:rPr>
          <w:rFonts w:cs="Times New Roman"/>
        </w:rPr>
        <w:t xml:space="preserve"> centile (14 ng/L), LoD of the hs-assay (5 ng/L) and POCT device (50 ng/L) and rule-in for myocardial infarction as per ESC guideline (52 ng/L) in the supplement (tables S1</w:t>
      </w:r>
      <w:r w:rsidR="00957E70">
        <w:rPr>
          <w:rFonts w:cs="Times New Roman"/>
        </w:rPr>
        <w:t>1</w:t>
      </w:r>
      <w:r>
        <w:rPr>
          <w:rFonts w:cs="Times New Roman"/>
        </w:rPr>
        <w:t>-1</w:t>
      </w:r>
      <w:r w:rsidR="00957E70">
        <w:rPr>
          <w:rFonts w:cs="Times New Roman"/>
        </w:rPr>
        <w:t>2</w:t>
      </w:r>
      <w:r>
        <w:rPr>
          <w:rFonts w:cs="Times New Roman"/>
        </w:rPr>
        <w:t>).</w:t>
      </w:r>
      <w:r>
        <w:rPr>
          <w:rFonts w:cs="Times New Roman"/>
        </w:rPr>
        <w:fldChar w:fldCharType="begin" w:fldLock="1"/>
      </w:r>
      <w:r>
        <w:rPr>
          <w:rFonts w:cs="Times New Roman"/>
        </w:rPr>
        <w:instrText>ADDIN CSL_CITATION {"citationItems":[{"id":"ITEM-1","itemData":{"DOI":"10.1093/eurheartj/ehv320","ISBN":"1522-9645 (Electronic)\\r0195-668X (Linking)","ISSN":"0195-668X","PMID":"26320110","abstract":"ACC\\n: American College of Cardiology\\nACCOAST\\n: Comparison of Prasugrel at the Time of Percutaneous Coronary Intervention or as Pretreatment at the Time of Diagnosis in Patients with Non-ST Elevation Myocardial Infarction\\nACE\\n: angiotensin-converting enzyme\\nACS\\n: acute coronary syndromes\\nACT\\n: activated clotting time\\nACTION\\n: Acute Coronary Treatment and Intervention Outcomes Network\\nACUITY\\n: Acute Catheterization and Urgent Intervention Triage strategY\\nADAPT-DES\\n: Assessment of Dual AntiPlatelet Therapy with Drug-Eluting Stents\\nADP\\n: adenosine diphosphate\\nAHA\\n: American Heart Association\\nAPPRAISE\\n: Apixaban for Prevention of Acute Ischaemic Events\\naPTT\\n: activated partial thromboplastin time\\nARB\\n: angiotensin receptor blocker\\nATLAS ACS 2-TIMI 51\\n: Anti-Xa Therapy to Lower Cardiovascular Events in Addition to Aspirin With or Without Thienopyridine Therapy in Subjects with Acute Coronary Syndrome–Thrombolysis in Myocardial Infarction 51\\nATP\\n: adenosine triphosphate\\nBARC\\n: Bleeding Academic Research Consortium\\nBMS\\n: bare-metal stent\\nCABG\\n: coronary artery bypass graft\\nCAD\\n: coronary artery disease\\nCHA2DS2-VASc\\n: Cardiac failure, Hypertension, Age ≥75 (2 points), Diabetes, Stroke (2 points)– Vascular disease, Age 65–74, Sex category\\nCHAMPION\\n: Cangrelor versus Standard Therapy to Achieve Optimal Management of Platelet Inhibition\\nCI\\n: confidence interval\\nCK\\n: creatine kinase\\nCKD\\n: chronic kidney disease\\nCK-MB\\n: creatine kinase myocardial band\\nCOX\\n: cyclooxygenase\\nCMR\\n: cardiac magnetic resonance\\nCPG\\n: Committee for Practice Guidelines\\nCREDO\\n: Clopidogrel for the Reduction of Events During Observation\\nCRUSADE\\n: Can Rapid risk stratification of Unstable angina patients Suppress ADverse outcomes with Early implementation of the ACC/AHA guidelines\\nCT\\n: computed tomography\\nCURE\\n: Clopidogrel in Unstable Angina to Prevent Recurrent Events\\nCURRENT-OASIS 7\\n: Clopidogrel and Aspirin Optimal Dose Usage to Reduce Recurrent Events–Seventh Organization to Assess Strategies in Ischaemic Syndromes\\nCV\\n: cardiovascular\\nCYP\\n: cytochrome P450\\nDAPT\\n: dual(oral) antiplatelet therapy\\nDES\\n: drug-eluting stent\\nEARLY-ACS\\n: Early Glycoprotein IIb/IIIa Inhibition in Non-ST-Segment Elevation Acute Coronary Syndrome\\nECG\\n: electrocardiogram\\neGFR\\n: estimated glomerular filtration rate\\nEMA\\n: European Medicines Agency\\nESC\\n: European Society of Cardiology\\nFDA\\n: Food and Drug Administration\\nFFR\\n: fractional…","author":[{"dropping-particle":"","family":"Roffi","given":"Marco","non-dropping-particle":"","parse-names":false,"suffix":""},{"dropping-particle":"","family":"Patrono","given":"Carlo","non-dropping-particle":"","parse-names":false,"suffix":""},{"dropping-particle":"","family":"Collet","given":"Jean-Philippe","non-dropping-particle":"","parse-names":false,"suffix":""},{"dropping-particle":"","family":"Mueller","given":"Christian","non-dropping-particle":"","parse-names":false,"suffix":""},{"dropping-particle":"","family":"Valgimigli","given":"Marco","non-dropping-particle":"","parse-names":false,"suffix":""},{"dropping-particle":"","family":"Andreotti","given":"Felicita","non-dropping-particle":"","parse-names":false,"suffix":""},{"dropping-particle":"","family":"Bax","given":"Jeroen J.","non-dropping-particle":"","parse-names":false,"suffix":""},{"dropping-particle":"","family":"Borger","given":"Michael A.","non-dropping-particle":"","parse-names":false,"suffix":""},{"dropping-particle":"","family":"Brotons","given":"Carlos","non-dropping-particle":"","parse-names":false,"suffix":""},{"dropping-particle":"","family":"Chew","given":"Derek P.","non-dropping-particle":"","parse-names":false,"suffix":""},{"dropping-particle":"","family":"Gencer","given":"Baris","non-dropping-particle":"","parse-names":false,"suffix":""},{"dropping-particle":"","family":"Hasenfuss","given":"Gerd","non-dropping-particle":"","parse-names":false,"suffix":""},{"dropping-particle":"","family":"Kjeldsen","given":"Keld","non-dropping-particle":"","parse-names":false,"suffix":""},{"dropping-particle":"","family":"Lancellotti","given":"Patrizio","non-dropping-particle":"","parse-names":false,"suffix":""},{"dropping-particle":"","family":"Landmesser","given":"Ulf","non-dropping-particle":"","parse-names":false,"suffix":""},{"dropping-particle":"","family":"Mehilli","given":"Julinda","non-dropping-particle":"","parse-names":false,"suffix":""},{"dropping-particle":"","family":"Mukherjee","given":"Debabrata","non-dropping-particle":"","parse-names":false,"suffix":""},{"dropping-particle":"","family":"Storey","given":"Robert F.","non-dropping-particle":"","parse-names":false,"suffix":""},{"dropping-particle":"","family":"Windecker","given":"Stephan","non-dropping-particle":"","parse-names":false,"suffix":""}],"container-title":"European Heart Journal","id":"ITEM-1","issue":"3","issued":{"date-parts":[["2016","1","14"]]},"page":"267-315","publisher-place":"Marco.Roffi@hcuge.ch.","title":"2015 ESC Guidelines for the management of acute coronary syndromes in patients presenting without persistent ST-segment elevation","type":"article-journal","volume":"37"},"uris":["http://www.mendeley.com/documents/?uuid=51cbc22c-b48f-4f12-8fd8-09a7b83db086"]}],"mendeley":{"formattedCitation":"&lt;sup&gt;1&lt;/sup&gt;","plainTextFormattedCitation":"1","previouslyFormattedCitation":"&lt;sup&gt;1&lt;/sup&gt;"},"properties":{"noteIndex":0},"schema":"https://github.com/citation-style-language/schema/raw/master/csl-citation.json"}</w:instrText>
      </w:r>
      <w:r>
        <w:rPr>
          <w:rFonts w:cs="Times New Roman"/>
        </w:rPr>
        <w:fldChar w:fldCharType="separate"/>
      </w:r>
      <w:r w:rsidRPr="0034755B">
        <w:rPr>
          <w:rFonts w:cs="Times New Roman"/>
          <w:noProof/>
          <w:vertAlign w:val="superscript"/>
        </w:rPr>
        <w:t>1</w:t>
      </w:r>
      <w:r>
        <w:rPr>
          <w:rFonts w:cs="Times New Roman"/>
        </w:rPr>
        <w:fldChar w:fldCharType="end"/>
      </w:r>
      <w:r>
        <w:rPr>
          <w:rFonts w:cs="Times New Roman"/>
        </w:rPr>
        <w:t xml:space="preserve"> In short, the rule-out threshold for cMyC (10 ng/L) achieves sensitivity &amp; NPV of 100% after 2 hours of chest pain. For all patients, specificity at the 99</w:t>
      </w:r>
      <w:r w:rsidRPr="00263079">
        <w:rPr>
          <w:rFonts w:cs="Times New Roman"/>
          <w:vertAlign w:val="superscript"/>
        </w:rPr>
        <w:t>th</w:t>
      </w:r>
      <w:r>
        <w:rPr>
          <w:rFonts w:cs="Times New Roman"/>
        </w:rPr>
        <w:t xml:space="preserve"> centile (87 ng/L) was </w:t>
      </w:r>
      <w:r w:rsidRPr="00A543CD">
        <w:rPr>
          <w:rFonts w:cs="Times New Roman"/>
        </w:rPr>
        <w:t>90.2% (87.6-92.6%)</w:t>
      </w:r>
      <w:r>
        <w:rPr>
          <w:rFonts w:cs="Times New Roman"/>
        </w:rPr>
        <w:t xml:space="preserve">, PPV </w:t>
      </w:r>
      <w:r w:rsidRPr="00A543CD">
        <w:rPr>
          <w:rFonts w:cs="Times New Roman"/>
        </w:rPr>
        <w:t>61.4% (54-69.6%)</w:t>
      </w:r>
      <w:r>
        <w:rPr>
          <w:rFonts w:cs="Times New Roman"/>
        </w:rPr>
        <w:t xml:space="preserve">; at the rule-in threshold (120 ng/L), specificity was </w:t>
      </w:r>
      <w:r w:rsidRPr="00A543CD">
        <w:rPr>
          <w:rFonts w:cs="Times New Roman"/>
        </w:rPr>
        <w:t>92.2% (90-94.3%)</w:t>
      </w:r>
      <w:r>
        <w:rPr>
          <w:rFonts w:cs="Times New Roman"/>
        </w:rPr>
        <w:t xml:space="preserve">, PPV 62.7% (54.6-71.3%). A reclassification analysis </w:t>
      </w:r>
      <w:r w:rsidR="00451561">
        <w:rPr>
          <w:rFonts w:cs="Times New Roman"/>
        </w:rPr>
        <w:t>is</w:t>
      </w:r>
      <w:r>
        <w:rPr>
          <w:rFonts w:cs="Times New Roman"/>
        </w:rPr>
        <w:t xml:space="preserve"> presented in table S1</w:t>
      </w:r>
      <w:r w:rsidR="009366C2">
        <w:rPr>
          <w:rFonts w:cs="Times New Roman"/>
        </w:rPr>
        <w:t>3</w:t>
      </w:r>
      <w:r>
        <w:rPr>
          <w:rFonts w:cs="Times New Roman"/>
        </w:rPr>
        <w:t>, indicat</w:t>
      </w:r>
      <w:r w:rsidR="00451561">
        <w:rPr>
          <w:rFonts w:cs="Times New Roman"/>
        </w:rPr>
        <w:t>ing</w:t>
      </w:r>
      <w:r>
        <w:rPr>
          <w:rFonts w:cs="Times New Roman"/>
        </w:rPr>
        <w:t xml:space="preserve"> a</w:t>
      </w:r>
      <w:r w:rsidR="009366C2">
        <w:rPr>
          <w:rFonts w:cs="Times New Roman"/>
        </w:rPr>
        <w:t>n improvement in</w:t>
      </w:r>
      <w:r>
        <w:rPr>
          <w:rFonts w:cs="Times New Roman"/>
        </w:rPr>
        <w:t xml:space="preserve"> classification (based on NRI </w:t>
      </w:r>
      <w:r w:rsidR="009366C2">
        <w:rPr>
          <w:rFonts w:cs="Times New Roman"/>
        </w:rPr>
        <w:t>+</w:t>
      </w:r>
      <w:r>
        <w:rPr>
          <w:rFonts w:cs="Times New Roman"/>
        </w:rPr>
        <w:t xml:space="preserve">0.1067 and IDI </w:t>
      </w:r>
      <w:r w:rsidR="009366C2">
        <w:rPr>
          <w:rFonts w:cs="Times New Roman"/>
        </w:rPr>
        <w:t>+</w:t>
      </w:r>
      <w:r>
        <w:rPr>
          <w:rFonts w:cs="Times New Roman"/>
        </w:rPr>
        <w:t xml:space="preserve">0.032) </w:t>
      </w:r>
      <w:r w:rsidR="003564B8">
        <w:rPr>
          <w:rFonts w:cs="Times New Roman"/>
        </w:rPr>
        <w:t xml:space="preserve">by using cMyC instead of </w:t>
      </w:r>
      <w:r>
        <w:rPr>
          <w:rFonts w:cs="Times New Roman"/>
        </w:rPr>
        <w:t>hs-cTnT as the triage biomarker.</w:t>
      </w:r>
    </w:p>
    <w:p w14:paraId="493E06D3" w14:textId="47D5808C" w:rsidR="00B40704" w:rsidRDefault="004A65D4" w:rsidP="00FA393D">
      <w:pPr>
        <w:pStyle w:val="Heading3"/>
        <w:rPr>
          <w:lang w:val="en-US"/>
        </w:rPr>
      </w:pPr>
      <w:r>
        <w:rPr>
          <w:lang w:val="en-US"/>
        </w:rPr>
        <w:lastRenderedPageBreak/>
        <w:t xml:space="preserve">Prediction of </w:t>
      </w:r>
      <w:r w:rsidR="00B40704" w:rsidRPr="00B40704">
        <w:rPr>
          <w:lang w:val="en-US"/>
        </w:rPr>
        <w:t>death and first of non</w:t>
      </w:r>
      <w:r w:rsidR="003B79C4">
        <w:rPr>
          <w:lang w:val="en-US"/>
        </w:rPr>
        <w:t>-</w:t>
      </w:r>
      <w:r w:rsidR="00B40704" w:rsidRPr="00B40704">
        <w:rPr>
          <w:lang w:val="en-US"/>
        </w:rPr>
        <w:t>fatal MI</w:t>
      </w:r>
      <w:r>
        <w:rPr>
          <w:lang w:val="en-US"/>
        </w:rPr>
        <w:t>/</w:t>
      </w:r>
      <w:r w:rsidR="00B40704" w:rsidRPr="00B40704">
        <w:rPr>
          <w:lang w:val="en-US"/>
        </w:rPr>
        <w:t>death</w:t>
      </w:r>
      <w:r>
        <w:rPr>
          <w:lang w:val="en-US"/>
        </w:rPr>
        <w:t xml:space="preserve"> during follow-up</w:t>
      </w:r>
    </w:p>
    <w:p w14:paraId="421DD3D1" w14:textId="178DD67A" w:rsidR="00C352A2" w:rsidRPr="00877B68" w:rsidRDefault="00E21130" w:rsidP="00E10A42">
      <w:r>
        <w:rPr>
          <w:lang w:val="en-US"/>
        </w:rPr>
        <w:t>Patients were followed for up to 2 years after the index presentation</w:t>
      </w:r>
      <w:r w:rsidR="00791F99">
        <w:rPr>
          <w:lang w:val="en-US"/>
        </w:rPr>
        <w:t xml:space="preserve">: </w:t>
      </w:r>
      <w:r w:rsidR="00162AB1">
        <w:rPr>
          <w:lang w:val="en-US"/>
        </w:rPr>
        <w:t>of the 173 patients with AMI, 28 (16%) died during follow-up; of the patients without AMI, 60 (10%) died.</w:t>
      </w:r>
      <w:r>
        <w:rPr>
          <w:lang w:val="en-US"/>
        </w:rPr>
        <w:t xml:space="preserve"> An</w:t>
      </w:r>
      <w:r w:rsidR="00B40472">
        <w:rPr>
          <w:lang w:val="en-US"/>
        </w:rPr>
        <w:t xml:space="preserve"> abbreviated model to predict death during follow-up used the following </w:t>
      </w:r>
      <w:r w:rsidR="00F47B9B">
        <w:rPr>
          <w:lang w:val="en-US"/>
        </w:rPr>
        <w:t>factors for the derivation of a nomogram</w:t>
      </w:r>
      <w:r w:rsidR="003B79C4">
        <w:rPr>
          <w:lang w:val="en-US"/>
        </w:rPr>
        <w:t>: cMyC, creatinine</w:t>
      </w:r>
      <w:r w:rsidR="00F47B9B">
        <w:rPr>
          <w:lang w:val="en-US"/>
        </w:rPr>
        <w:t>, age and prior myocardial infarction</w:t>
      </w:r>
      <w:r w:rsidR="003B79C4">
        <w:rPr>
          <w:lang w:val="en-US"/>
        </w:rPr>
        <w:t>. Model statistics are displayed in supplemental</w:t>
      </w:r>
      <w:r w:rsidR="004A65D4">
        <w:rPr>
          <w:lang w:val="en-US"/>
        </w:rPr>
        <w:t xml:space="preserve"> table </w:t>
      </w:r>
      <w:r w:rsidR="00426A6E">
        <w:rPr>
          <w:lang w:val="en-US"/>
        </w:rPr>
        <w:t xml:space="preserve">S14 </w:t>
      </w:r>
      <w:r w:rsidR="003B79C4">
        <w:rPr>
          <w:lang w:val="en-US"/>
        </w:rPr>
        <w:t>and, in short, achieved the following indices: R</w:t>
      </w:r>
      <w:r w:rsidR="003B79C4" w:rsidRPr="000F7167">
        <w:rPr>
          <w:vertAlign w:val="superscript"/>
          <w:lang w:val="en-US"/>
        </w:rPr>
        <w:t>2</w:t>
      </w:r>
      <w:r w:rsidR="003B79C4">
        <w:rPr>
          <w:lang w:val="en-US"/>
        </w:rPr>
        <w:t xml:space="preserve"> 0.</w:t>
      </w:r>
      <w:r w:rsidR="00F47B9B">
        <w:rPr>
          <w:lang w:val="en-US"/>
        </w:rPr>
        <w:t>179</w:t>
      </w:r>
      <w:r w:rsidR="003B79C4">
        <w:rPr>
          <w:lang w:val="en-US"/>
        </w:rPr>
        <w:t>, C 0.</w:t>
      </w:r>
      <w:r w:rsidR="00F47B9B">
        <w:rPr>
          <w:lang w:val="en-US"/>
        </w:rPr>
        <w:t>798</w:t>
      </w:r>
      <w:r w:rsidR="003B79C4">
        <w:rPr>
          <w:lang w:val="en-US"/>
        </w:rPr>
        <w:t xml:space="preserve">. </w:t>
      </w:r>
      <w:r w:rsidR="00F47B9B">
        <w:rPr>
          <w:lang w:val="en-US"/>
        </w:rPr>
        <w:t>For the model predicting non-fatal AMI or death during follow-up, factors cMyC and history of diabetes mellitus were included and achieved R</w:t>
      </w:r>
      <w:r w:rsidR="00F47B9B" w:rsidRPr="00F47B9B">
        <w:rPr>
          <w:vertAlign w:val="superscript"/>
          <w:lang w:val="en-US"/>
        </w:rPr>
        <w:t>2</w:t>
      </w:r>
      <w:r w:rsidR="00F47B9B">
        <w:rPr>
          <w:lang w:val="en-US"/>
        </w:rPr>
        <w:t xml:space="preserve"> 0.317, C 0.828</w:t>
      </w:r>
      <w:r w:rsidR="00842333">
        <w:rPr>
          <w:lang w:val="en-US"/>
        </w:rPr>
        <w:t xml:space="preserve"> </w:t>
      </w:r>
      <w:r w:rsidR="004A65D4">
        <w:rPr>
          <w:lang w:val="en-US"/>
        </w:rPr>
        <w:t>(figures S</w:t>
      </w:r>
      <w:r w:rsidR="00451561">
        <w:rPr>
          <w:lang w:val="en-US"/>
        </w:rPr>
        <w:t>9</w:t>
      </w:r>
      <w:r w:rsidR="00426A6E">
        <w:rPr>
          <w:lang w:val="en-US"/>
        </w:rPr>
        <w:t>-S11</w:t>
      </w:r>
      <w:r w:rsidR="00CD0564">
        <w:rPr>
          <w:lang w:val="en-US"/>
        </w:rPr>
        <w:t>; table S1</w:t>
      </w:r>
      <w:r w:rsidR="00426A6E">
        <w:rPr>
          <w:lang w:val="en-US"/>
        </w:rPr>
        <w:t>5</w:t>
      </w:r>
      <w:r w:rsidR="00451561">
        <w:rPr>
          <w:lang w:val="en-US"/>
        </w:rPr>
        <w:t xml:space="preserve"> </w:t>
      </w:r>
      <w:r w:rsidR="00CD0564">
        <w:rPr>
          <w:lang w:val="en-US"/>
        </w:rPr>
        <w:t>for hazard ratios</w:t>
      </w:r>
      <w:r w:rsidR="00162AB1">
        <w:rPr>
          <w:lang w:val="en-US"/>
        </w:rPr>
        <w:t>; figure S12 for event curves</w:t>
      </w:r>
      <w:r w:rsidR="004A65D4">
        <w:rPr>
          <w:lang w:val="en-US"/>
        </w:rPr>
        <w:t>)</w:t>
      </w:r>
      <w:r w:rsidR="00F47B9B">
        <w:rPr>
          <w:lang w:val="en-US"/>
        </w:rPr>
        <w:t>.</w:t>
      </w:r>
    </w:p>
    <w:p w14:paraId="0D53D7F0" w14:textId="77777777" w:rsidR="00C352A2" w:rsidRPr="00C3521D" w:rsidRDefault="00C352A2" w:rsidP="00C352A2">
      <w:pPr>
        <w:pStyle w:val="Heading2"/>
        <w:rPr>
          <w:rFonts w:cs="Times New Roman"/>
        </w:rPr>
      </w:pPr>
      <w:r w:rsidRPr="00C3521D">
        <w:rPr>
          <w:rFonts w:cs="Times New Roman"/>
        </w:rPr>
        <w:t>Discussion</w:t>
      </w:r>
    </w:p>
    <w:p w14:paraId="648FD1F3" w14:textId="16A2936A" w:rsidR="00811CC1" w:rsidRPr="00C3521D" w:rsidRDefault="005761AD" w:rsidP="00C352A2">
      <w:pPr>
        <w:rPr>
          <w:rFonts w:cs="Times New Roman"/>
        </w:rPr>
      </w:pPr>
      <w:r w:rsidRPr="00C3521D">
        <w:rPr>
          <w:rFonts w:cs="Times New Roman"/>
        </w:rPr>
        <w:t>Cardiac myosin-binding protein C (</w:t>
      </w:r>
      <w:r w:rsidR="00C352A2" w:rsidRPr="00C3521D">
        <w:rPr>
          <w:rFonts w:cs="Times New Roman"/>
        </w:rPr>
        <w:t>cMyC</w:t>
      </w:r>
      <w:r w:rsidRPr="00C3521D">
        <w:rPr>
          <w:rFonts w:cs="Times New Roman"/>
        </w:rPr>
        <w:t>)</w:t>
      </w:r>
      <w:r w:rsidR="00C352A2" w:rsidRPr="00C3521D">
        <w:rPr>
          <w:rFonts w:cs="Times New Roman"/>
        </w:rPr>
        <w:t xml:space="preserve"> </w:t>
      </w:r>
      <w:r w:rsidR="00BC6D4D" w:rsidRPr="00C3521D">
        <w:rPr>
          <w:rFonts w:cs="Times New Roman"/>
        </w:rPr>
        <w:t>is</w:t>
      </w:r>
      <w:r w:rsidRPr="00C3521D">
        <w:rPr>
          <w:rFonts w:cs="Times New Roman"/>
        </w:rPr>
        <w:t xml:space="preserve"> </w:t>
      </w:r>
      <w:r w:rsidR="00BC6D4D" w:rsidRPr="00C3521D">
        <w:rPr>
          <w:rFonts w:cs="Times New Roman"/>
        </w:rPr>
        <w:t>a</w:t>
      </w:r>
      <w:r w:rsidR="00C352A2" w:rsidRPr="00C3521D">
        <w:rPr>
          <w:rFonts w:cs="Times New Roman"/>
        </w:rPr>
        <w:t xml:space="preserve"> myocardial </w:t>
      </w:r>
      <w:r w:rsidR="00BC6D4D" w:rsidRPr="00C3521D">
        <w:rPr>
          <w:rFonts w:cs="Times New Roman"/>
        </w:rPr>
        <w:t xml:space="preserve">protein that is released into the circulation after </w:t>
      </w:r>
      <w:r w:rsidR="00C352A2" w:rsidRPr="00C3521D">
        <w:rPr>
          <w:rFonts w:cs="Times New Roman"/>
        </w:rPr>
        <w:t>injury</w:t>
      </w:r>
      <w:r w:rsidR="00BC6D4D" w:rsidRPr="00C3521D">
        <w:rPr>
          <w:rFonts w:cs="Times New Roman"/>
        </w:rPr>
        <w:t xml:space="preserve"> in a similar manner to the cardiac troponins (</w:t>
      </w:r>
      <w:r w:rsidR="00193118" w:rsidRPr="00C3521D">
        <w:rPr>
          <w:rFonts w:cs="Times New Roman"/>
        </w:rPr>
        <w:t>c</w:t>
      </w:r>
      <w:r w:rsidR="00BC6D4D" w:rsidRPr="00C3521D">
        <w:rPr>
          <w:rFonts w:cs="Times New Roman"/>
        </w:rPr>
        <w:t>Tn)</w:t>
      </w:r>
      <w:r w:rsidR="00C352A2" w:rsidRPr="00C3521D">
        <w:rPr>
          <w:rFonts w:cs="Times New Roman"/>
        </w:rPr>
        <w:t xml:space="preserve">. </w:t>
      </w:r>
      <w:r w:rsidR="005C002C" w:rsidRPr="00C3521D">
        <w:rPr>
          <w:rFonts w:cs="Times New Roman"/>
        </w:rPr>
        <w:t xml:space="preserve">A prior </w:t>
      </w:r>
      <w:r w:rsidR="00C352A2" w:rsidRPr="00C3521D">
        <w:rPr>
          <w:rFonts w:cs="Times New Roman"/>
        </w:rPr>
        <w:t>publication ha</w:t>
      </w:r>
      <w:r w:rsidR="005C002C" w:rsidRPr="00C3521D">
        <w:rPr>
          <w:rFonts w:cs="Times New Roman"/>
        </w:rPr>
        <w:t>s</w:t>
      </w:r>
      <w:r w:rsidR="00C352A2" w:rsidRPr="00C3521D">
        <w:rPr>
          <w:rFonts w:cs="Times New Roman"/>
        </w:rPr>
        <w:t xml:space="preserve"> </w:t>
      </w:r>
      <w:r w:rsidR="002A7DCD" w:rsidRPr="00C3521D">
        <w:rPr>
          <w:rFonts w:cs="Times New Roman"/>
        </w:rPr>
        <w:t>suggested</w:t>
      </w:r>
      <w:r w:rsidR="00C352A2" w:rsidRPr="00C3521D">
        <w:rPr>
          <w:rFonts w:cs="Times New Roman"/>
        </w:rPr>
        <w:t xml:space="preserve"> </w:t>
      </w:r>
      <w:r w:rsidRPr="00C3521D">
        <w:rPr>
          <w:rFonts w:cs="Times New Roman"/>
        </w:rPr>
        <w:t xml:space="preserve">that </w:t>
      </w:r>
      <w:r w:rsidR="00BC6D4D" w:rsidRPr="00C3521D">
        <w:rPr>
          <w:rFonts w:cs="Times New Roman"/>
        </w:rPr>
        <w:t xml:space="preserve">the concentration of </w:t>
      </w:r>
      <w:r w:rsidRPr="00C3521D">
        <w:rPr>
          <w:rFonts w:cs="Times New Roman"/>
        </w:rPr>
        <w:t xml:space="preserve">cMyC </w:t>
      </w:r>
      <w:r w:rsidR="00BC6D4D" w:rsidRPr="00C3521D">
        <w:rPr>
          <w:rFonts w:cs="Times New Roman"/>
        </w:rPr>
        <w:t>rises</w:t>
      </w:r>
      <w:r w:rsidR="002A7DCD" w:rsidRPr="00C3521D">
        <w:rPr>
          <w:rFonts w:cs="Times New Roman"/>
        </w:rPr>
        <w:t xml:space="preserve"> more rapidly than</w:t>
      </w:r>
      <w:r w:rsidRPr="00C3521D">
        <w:rPr>
          <w:rFonts w:cs="Times New Roman"/>
        </w:rPr>
        <w:t xml:space="preserve"> cTn </w:t>
      </w:r>
      <w:r w:rsidR="002A7DCD" w:rsidRPr="00C3521D">
        <w:rPr>
          <w:rFonts w:cs="Times New Roman"/>
        </w:rPr>
        <w:t>based on an analysis of 26 patients with AMI</w:t>
      </w:r>
      <w:r w:rsidR="00CE58AE">
        <w:rPr>
          <w:rFonts w:cs="Times New Roman"/>
        </w:rPr>
        <w:t>,</w:t>
      </w:r>
      <w:r w:rsidRPr="00C3521D">
        <w:rPr>
          <w:rFonts w:cs="Times New Roman"/>
        </w:rPr>
        <w:t xml:space="preserve"> who presented to </w:t>
      </w:r>
      <w:r w:rsidR="002A7DCD" w:rsidRPr="00C3521D">
        <w:rPr>
          <w:rFonts w:cs="Times New Roman"/>
        </w:rPr>
        <w:t>hospital</w:t>
      </w:r>
      <w:r w:rsidRPr="00C3521D">
        <w:rPr>
          <w:rFonts w:cs="Times New Roman"/>
        </w:rPr>
        <w:t xml:space="preserve"> with</w:t>
      </w:r>
      <w:r w:rsidR="002A7DCD" w:rsidRPr="00C3521D">
        <w:rPr>
          <w:rFonts w:cs="Times New Roman"/>
        </w:rPr>
        <w:t>in 180 mins of symptom onset</w:t>
      </w:r>
      <w:r w:rsidR="00A37B79">
        <w:rPr>
          <w:rFonts w:cs="Times New Roman"/>
        </w:rPr>
        <w:t>.</w:t>
      </w:r>
      <w:r w:rsidR="00672DCD">
        <w:rPr>
          <w:rFonts w:cs="Times New Roman"/>
        </w:rPr>
        <w:fldChar w:fldCharType="begin" w:fldLock="1"/>
      </w:r>
      <w:r w:rsidR="00040B16">
        <w:rPr>
          <w:rFonts w:cs="Times New Roman"/>
        </w:rPr>
        <w:instrText>ADDIN CSL_CITATION {"citationItems":[{"id":"ITEM-1","itemData":{"author":[{"dropping-particle":"","family":"Kaier","given":"Thomas E","non-dropping-particle":"","parse-names":false,"suffix":""},{"dropping-particle":"","family":"Anand","given":"Atul","non-dropping-particle":"","parse-names":false,"suffix":""},{"dropping-particle":"V","family":"Shah","given":"Anoop S","non-dropping-particle":"","parse-names":false,"suffix":""},{"dropping-particle":"","family":"Mills","given":"Nicholas L","non-dropping-particle":"","parse-names":false,"suffix":""},{"dropping-particle":"","family":"Marber","given":"Michael","non-dropping-particle":"","parse-names":false,"suffix":""}],"container-title":"Clinical Chemistry","id":"ITEM-1","issue":"8","issued":{"date-parts":[["2016","8","1"]]},"page":"1153-1155","publisher-place":"King's College London BHF Centre The Rayne Institute, St Thomas' Hospital London, UK.","title":"Temporal Relationship between Cardiac Myosin-Binding Protein C and Cardiac Troponin I in Type 1 Myocardial Infarction.","type":"article-journal","volume":"62"},"uris":["http://www.mendeley.com/documents/?uuid=c1f17ef3-8016-4092-8d9c-13f54fbc5d77"]}],"mendeley":{"formattedCitation":"&lt;sup&gt;12&lt;/sup&gt;","plainTextFormattedCitation":"12","previouslyFormattedCitation":"&lt;sup&gt;12&lt;/sup&gt;"},"properties":{"noteIndex":0},"schema":"https://github.com/citation-style-language/schema/raw/master/csl-citation.json"}</w:instrText>
      </w:r>
      <w:r w:rsidR="00672DCD">
        <w:rPr>
          <w:rFonts w:cs="Times New Roman"/>
        </w:rPr>
        <w:fldChar w:fldCharType="separate"/>
      </w:r>
      <w:r w:rsidR="0041496F" w:rsidRPr="0041496F">
        <w:rPr>
          <w:rFonts w:cs="Times New Roman"/>
          <w:noProof/>
          <w:vertAlign w:val="superscript"/>
        </w:rPr>
        <w:t>12</w:t>
      </w:r>
      <w:r w:rsidR="00672DCD">
        <w:rPr>
          <w:rFonts w:cs="Times New Roman"/>
        </w:rPr>
        <w:fldChar w:fldCharType="end"/>
      </w:r>
      <w:r w:rsidR="00C352A2" w:rsidRPr="00C3521D">
        <w:rPr>
          <w:rFonts w:cs="Times New Roman"/>
        </w:rPr>
        <w:t xml:space="preserve"> </w:t>
      </w:r>
      <w:r w:rsidR="00BC6D4D" w:rsidRPr="00C3521D">
        <w:rPr>
          <w:rFonts w:cs="Times New Roman"/>
        </w:rPr>
        <w:t>This</w:t>
      </w:r>
      <w:r w:rsidR="002A7DCD" w:rsidRPr="00C3521D">
        <w:rPr>
          <w:rFonts w:cs="Times New Roman"/>
        </w:rPr>
        <w:t xml:space="preserve"> finding </w:t>
      </w:r>
      <w:r w:rsidR="00BC6D4D" w:rsidRPr="00C3521D">
        <w:rPr>
          <w:rFonts w:cs="Times New Roman"/>
        </w:rPr>
        <w:t xml:space="preserve">is </w:t>
      </w:r>
      <w:r w:rsidR="002A7DCD" w:rsidRPr="00C3521D">
        <w:rPr>
          <w:rFonts w:cs="Times New Roman"/>
        </w:rPr>
        <w:t xml:space="preserve">in keeping with an </w:t>
      </w:r>
      <w:r w:rsidR="002A7DCD" w:rsidRPr="00C3521D">
        <w:rPr>
          <w:rFonts w:cs="Times New Roman"/>
          <w:i/>
        </w:rPr>
        <w:t>i</w:t>
      </w:r>
      <w:r w:rsidR="00C352A2" w:rsidRPr="00C3521D">
        <w:rPr>
          <w:rFonts w:cs="Times New Roman"/>
          <w:i/>
        </w:rPr>
        <w:t>n vitro</w:t>
      </w:r>
      <w:r w:rsidR="00C352A2" w:rsidRPr="00C3521D">
        <w:rPr>
          <w:rFonts w:cs="Times New Roman"/>
        </w:rPr>
        <w:t xml:space="preserve"> </w:t>
      </w:r>
      <w:r w:rsidRPr="00C3521D">
        <w:rPr>
          <w:rFonts w:cs="Times New Roman"/>
        </w:rPr>
        <w:t>analys</w:t>
      </w:r>
      <w:r w:rsidR="002A7DCD" w:rsidRPr="00C3521D">
        <w:rPr>
          <w:rFonts w:cs="Times New Roman"/>
        </w:rPr>
        <w:t>i</w:t>
      </w:r>
      <w:r w:rsidRPr="00C3521D">
        <w:rPr>
          <w:rFonts w:cs="Times New Roman"/>
        </w:rPr>
        <w:t xml:space="preserve">s of human heart </w:t>
      </w:r>
      <w:r w:rsidR="002A7DCD" w:rsidRPr="00C3521D">
        <w:rPr>
          <w:rFonts w:cs="Times New Roman"/>
        </w:rPr>
        <w:t xml:space="preserve">that </w:t>
      </w:r>
      <w:r w:rsidR="00BC6D4D" w:rsidRPr="00C3521D">
        <w:rPr>
          <w:rFonts w:cs="Times New Roman"/>
        </w:rPr>
        <w:t>shows</w:t>
      </w:r>
      <w:r w:rsidRPr="00C3521D">
        <w:rPr>
          <w:rFonts w:cs="Times New Roman"/>
        </w:rPr>
        <w:t xml:space="preserve"> cMyC is </w:t>
      </w:r>
      <w:r w:rsidR="007908C4">
        <w:rPr>
          <w:rFonts w:cs="Times New Roman"/>
        </w:rPr>
        <w:t xml:space="preserve">many times </w:t>
      </w:r>
      <w:r w:rsidRPr="00C3521D">
        <w:rPr>
          <w:rFonts w:cs="Times New Roman"/>
        </w:rPr>
        <w:t>more abundant than cTn</w:t>
      </w:r>
      <w:r w:rsidR="00A37B79">
        <w:rPr>
          <w:rFonts w:cs="Times New Roman"/>
        </w:rPr>
        <w:t>.</w:t>
      </w:r>
      <w:r w:rsidR="00672DCD">
        <w:rPr>
          <w:rFonts w:cs="Times New Roman"/>
        </w:rPr>
        <w:fldChar w:fldCharType="begin" w:fldLock="1"/>
      </w:r>
      <w:r w:rsidR="00672DCD">
        <w:rPr>
          <w:rFonts w:cs="Times New Roman"/>
        </w:rPr>
        <w:instrText>ADDIN CSL_CITATION {"citationItems":[{"id":"ITEM-1","itemData":{"DOI":"10.1373/clinchem.2016.264648","ISSN":"15308561","PMID":"28377413","abstract":"BACKGROUND:Myocardial infarction is diagnosed when biomarkers of cardiac necrosis exceed the 99th centile, although guidelines advocate even lower concentrations for early rule-out. We examined how many myocytes and how much myocardium these concentrations represent. We also examined if dietary troponin can confound the rule-out algorithm. METHODS:Individual rat cardiac myocytes, rat myocardium, ovine myocardium, or human myocardium were spiked into 400-μL aliquots of human serum. Blood was drawn from a volunteer after ingestion of ovine myocardium. High-sensitivity assays were used to measure cardiac troponin T (cTnT; Roche, Elecsys), cTnI (Abbott, Architect), and cardiac myosin-binding protein C (cMyC; EMD Millipore, Erenna(®)). RESULTS:The cMyC assay could only detect the human protein. For each rat cardiac myocyte added to 400 μL of human serum, cTnT and cTnI increased by 19.0 ng/L (95% CI, 16.8-21.2) and 18.9 ng/L (95% CI, 14.7-23.1), respectively. Under identical conditions cTnT, cTnI, and cMyC increased by 3.9 ng/L (95% CI, 3.6-4.3), 4.3 ng/L (95% CI, 3.8-4.7), and 41.0 ng/L (95% CI, 38.0-44.0) per μg of human myocardium. There was no detectable change in cTnI or cTnT concentration after ingestion of sufficient ovine myocardium to increase cTnT and cTnI to approximately 1 × 10(8) times their lower limits of quantification. CONCLUSIONS:Based on pragmatic assumptions regarding cTn and cMyC release efficiency, circulating species, and volume of distribution, 99th centile concentrations may be exceeded by necrosis of 40 mg of myocardium. This volume is much too small to detect by noninvasive imaging.","author":[{"dropping-particle":"","family":"Marjot","given":"Jack","non-dropping-particle":"","parse-names":false,"suffix":""},{"dropping-particle":"","family":"Kaier","given":"Thomas E.","non-dropping-particle":"","parse-names":false,"suffix":""},{"dropping-particle":"","family":"Martin","given":"Eva D.","non-dropping-particle":"","parse-names":false,"suffix":""},{"dropping-particle":"","family":"Reji","given":"Shiney S.","non-dropping-particle":"","parse-names":false,"suffix":""},{"dropping-particle":"","family":"Copeland","given":"O'Neal","non-dropping-particle":"","parse-names":false,"suffix":""},{"dropping-particle":"","family":"Iqbal","given":"Mohammed","non-dropping-particle":"","parse-names":false,"suffix":""},{"dropping-particle":"","family":"Goodson","given":"Bob","non-dropping-particle":"","parse-names":false,"suffix":""},{"dropping-particle":"","family":"Hamren","given":"Sarah","non-dropping-particle":"","parse-names":false,"suffix":""},{"dropping-particle":"","family":"Harding","given":"Sian E.","non-dropping-particle":"","parse-names":false,"suffix":""},{"dropping-particle":"","family":"Marber","given":"Michael S.","non-dropping-particle":"","parse-names":false,"suffix":""}],"container-title":"Clinical Chemistry","id":"ITEM-1","issue":"5","issued":{"date-parts":[["2017","5","1"]]},"page":"990-996","publisher-place":"King's College London BHF Centre, The Rayne Institute, St Thomas' Hospital, London, UK.","title":"Quantifying the Release of Biomarkers of Myocardial Necrosis from Cardiac Myocytes and Intact Myocardium.","type":"article-journal","volume":"63"},"uris":["http://www.mendeley.com/documents/?uuid=2e82ac7a-10d1-44f9-8ea0-e7eec6cf4129"]}],"mendeley":{"formattedCitation":"&lt;sup&gt;10&lt;/sup&gt;","plainTextFormattedCitation":"10","previouslyFormattedCitation":"&lt;sup&gt;10&lt;/sup&gt;"},"properties":{"noteIndex":0},"schema":"https://github.com/citation-style-language/schema/raw/master/csl-citation.json"}</w:instrText>
      </w:r>
      <w:r w:rsidR="00672DCD">
        <w:rPr>
          <w:rFonts w:cs="Times New Roman"/>
        </w:rPr>
        <w:fldChar w:fldCharType="separate"/>
      </w:r>
      <w:r w:rsidR="00672DCD" w:rsidRPr="00672DCD">
        <w:rPr>
          <w:rFonts w:cs="Times New Roman"/>
          <w:noProof/>
          <w:vertAlign w:val="superscript"/>
        </w:rPr>
        <w:t>10</w:t>
      </w:r>
      <w:r w:rsidR="00672DCD">
        <w:rPr>
          <w:rFonts w:cs="Times New Roman"/>
        </w:rPr>
        <w:fldChar w:fldCharType="end"/>
      </w:r>
      <w:r w:rsidRPr="00C3521D">
        <w:rPr>
          <w:rFonts w:cs="Times New Roman"/>
        </w:rPr>
        <w:t xml:space="preserve"> </w:t>
      </w:r>
      <w:r w:rsidR="00C45046" w:rsidRPr="00C3521D">
        <w:rPr>
          <w:rFonts w:cs="Times New Roman"/>
        </w:rPr>
        <w:t>A recent investigation has further shown superiority in early triage of &gt;1,900 patients presenting with chest pain and suspected AMI – particularly in subjects presenting early after symptom onset</w:t>
      </w:r>
      <w:r w:rsidR="00672DCD">
        <w:rPr>
          <w:rFonts w:cs="Times New Roman"/>
        </w:rPr>
        <w:t>.</w:t>
      </w:r>
      <w:r w:rsidR="00672DCD">
        <w:rPr>
          <w:rFonts w:cs="Times New Roman"/>
        </w:rPr>
        <w:fldChar w:fldCharType="begin" w:fldLock="1"/>
      </w:r>
      <w:r w:rsidR="00040B16">
        <w:rPr>
          <w:rFonts w:cs="Times New Roman"/>
        </w:rPr>
        <w:instrText>ADDIN CSL_CITATION {"citationItems":[{"id":"ITEM-1","itemData":{"abstract":"BACKGROUND:Cardiac myosin-binding protein C (cMyC) is a cardiac-restricted protein that is more abundant than cardiac troponins (cTn) and is released more rapidly after acute myocardial infarction (AMI). We evaluated cMyC as an adjunct or alternative to cTn in the early diagnosis of AMI. METHODS:Unselected patients (N=1954) presenting to the emergency department with symptoms suggestive of AMI, concentrations of cMyC, and high-sensitivity (hs) and standard-sensitivity cTn were measured at presentation. The final diagnosis of AMI was independently adjudicated using all available clinical and biochemical information without knowledge of cMyC. The prognostic end point was long-term mortality. RESULTS:Final diagnosis was AMI in 340 patients (17%). Concentrations of cMyC at presentation were significantly higher in those with versus without AMI (median, 237 ng/L versus 13 ng/L, P&lt;0.001). Discriminatory power for AMI, as quantified by the area under the receiver-operating characteristic curve (AUC), was comparable for cMyC (AUC, 0.924), hs-cTnT (AUC, 0.927), and hs-cTnI (AUC, 0.922) and superior to cTnI measured by a contemporary sensitivity assay (AUC, 0.909). The combination of cMyC with hs-cTnT or standard-sensitivity cTnI (but not hs-cTnI) led to an increase in AUC to 0.931 (P&lt;0.0001) and 0.926 (P=0.003), respectively. Use of cMyC more accurately classified patients with a single blood test into rule-out or rule-in categories: Net Reclassification Improvement +0.149 versus hs-cTnT, +0.235 versus hs-cTnI (P&lt;0.001). In early presenters (chest pain &lt;3 h), the improvement in rule-in/rule-out classification with cMyC was larger compared with hs-cTnT (Net Reclassification Improvement +0.256) and hs-cTnI (Net Reclassification Improvement +0.308; both P&lt;0.001). Comparing the C statistics, cMyC was superior to hs-cTnI and standard sensitivity cTnI (P&lt;0.05 for both) and similar to hs-cTnT at predicting death at 3 years. CONCLUSIONS:cMyC at presentation provides discriminatory power comparable to hs-cTnT and hs-cTnI in the diagnosis of AMI and may perform favorably in patients presenting early after symptom onset. CLINICAL TRIAL REGISTRATION:URL: https://www.clinicaltrials.gov. Unique identifier: NCT00470587.","author":[{"dropping-particle":"","family":"Kaier","given":"Thomas E","non-dropping-particle":"","parse-names":false,"suffix":""},{"dropping-particle":"","family":"Twerenbold","given":"Raphael","non-dropping-particle":"","parse-names":false,"suffix":""},{"dropping-particle":"","family":"Puelacher","given":"Christian","non-dropping-particle":"","parse-names":false,"suffix":""},{"dropping-particle":"","family":"Marjot","given":"Jack","non-dropping-particle":"","parse-names":false,"suffix":""},{"dropping-particle":"","family":"Imambaccus","given":"Nazia","non-dropping-particle":"","parse-names":false,"suffix":""},{"dropping-particle":"","family":"Boeddinghaus","given":"Jasper","non-dropping-particle":"","parse-names":false,"suffix":""},{"dropping-particle":"","family":"Nestelberger","given":"Thomas","non-dropping-particle":"","parse-names":false,"suffix":""},{"dropping-particle":"","family":"Badertscher","given":"Patrick","non-dropping-particle":"","parse-names":false,"suffix":""},{"dropping-particle":"","family":"Sabti","given":"Zaid","non-dropping-particle":"","parse-names":false,"suffix":""},{"dropping-particle":"","family":"Gimenez","given":"Maria Rubini","non-dropping-particle":"","parse-names":false,"suffix":""},{"dropping-particle":"","family":"Wildi","given":"Karin","non-dropping-particle":"","parse-names":false,"suffix":""},{"dropping-particle":"","family":"Hillinger","given":"Petra","non-dropping-particle":"","parse-names":false,"suffix":""},{"dropping-particle":"","family":"Grimm","given":"Karin","non-dropping-particle":"","parse-names":false,"suffix":""},{"dropping-particle":"","family":"Loeffel","given":"Sarah","non-dropping-particle":"","parse-names":false,"suffix":""},{"dropping-particle":"","family":"Shrestha","given":"Samyut","non-dropping-particle":"","parse-names":false,"suffix":""},{"dropping-particle":"","family":"Widmer","given":"Dayana Flores","non-dropping-particle":"","parse-names":false,"suffix":""},{"dropping-particle":"","family":"Cupa","given":"Janosch","non-dropping-particle":"","parse-names":false,"suffix":""},{"dropping-particle":"","family":"Kozhuharov","given":"Nikola","non-dropping-particle":"","parse-names":false,"suffix":""},{"dropping-particle":"","family":"Miró","given":"Òscar","non-dropping-particle":"","parse-names":false,"suffix":""},{"dropping-particle":"","family":"Martin-Sanchez","given":"F Javier","non-dropping-particle":"","parse-names":false,"suffix":""},{"dropping-particle":"","family":"Morawiec","given":"Beata","non-dropping-particle":"","parse-names":false,"suffix":""},{"dropping-particle":"","family":"Rentsch","given":"Katharina","non-dropping-particle":"","parse-names":false,"suffix":""},{"dropping-particle":"","family":"Lohrmann","given":"Jens","non-dropping-particle":"","parse-names":false,"suffix":""},{"dropping-particle":"","family":"Kloos","given":"Wanda","non-dropping-particle":"","parse-names":false,"suffix":""},{"dropping-particle":"","family":"Osswald","given":"Stefan","non-dropping-particle":"","parse-names":false,"suffix":""},{"dropping-particle":"","family":"Reichlin","given":"Tobias","non-dropping-particle":"","parse-names":false,"suffix":""},{"dropping-particle":"","family":"Weber","given":"Ekkehard","non-dropping-particle":"","parse-names":false,"suffix":""},{"dropping-particle":"","family":"Marber","given":"Michael","non-dropping-particle":"","parse-names":false,"suffix":""},{"dropping-particle":"","family":"Mueller","given":"Christian","non-dropping-particle":"","parse-names":false,"suffix":""}],"container-title":"Circulation","id":"ITEM-1","issue":"16","issued":{"date-parts":[["2017","10","17"]]},"page":"1495-1508","publisher":"Lippincott Williams &amp; Wilkins","publisher-place":"From King's College London BHF Centre, Rayne Institute, St Thomas' Hospital, London, UK (T.K., J.M., N.I., M.M.); Department of Cardiology and Cardiovascular Research Institute Basel, University Hospital Basel, Switzerland (R.T., C.P., J.B., T.N., P.B., Z","title":"Direct Comparison of Cardiac Myosin-Binding Protein C With Cardiac Troponins for the Early Diagnosis of Acute Myocardial Infarction.","type":"article-journal","volume":"136"},"uris":["http://www.mendeley.com/documents/?uuid=84746d0c-aa2d-4e2f-a7ad-449f9bfe8cf9"]}],"mendeley":{"formattedCitation":"&lt;sup&gt;13&lt;/sup&gt;","plainTextFormattedCitation":"13","previouslyFormattedCitation":"&lt;sup&gt;13&lt;/sup&gt;"},"properties":{"noteIndex":0},"schema":"https://github.com/citation-style-language/schema/raw/master/csl-citation.json"}</w:instrText>
      </w:r>
      <w:r w:rsidR="00672DCD">
        <w:rPr>
          <w:rFonts w:cs="Times New Roman"/>
        </w:rPr>
        <w:fldChar w:fldCharType="separate"/>
      </w:r>
      <w:r w:rsidR="0041496F" w:rsidRPr="0041496F">
        <w:rPr>
          <w:rFonts w:cs="Times New Roman"/>
          <w:noProof/>
          <w:vertAlign w:val="superscript"/>
        </w:rPr>
        <w:t>13</w:t>
      </w:r>
      <w:r w:rsidR="00672DCD">
        <w:rPr>
          <w:rFonts w:cs="Times New Roman"/>
        </w:rPr>
        <w:fldChar w:fldCharType="end"/>
      </w:r>
      <w:r w:rsidR="00C45046" w:rsidRPr="00C3521D">
        <w:rPr>
          <w:rFonts w:cs="Times New Roman"/>
        </w:rPr>
        <w:t xml:space="preserve"> </w:t>
      </w:r>
      <w:r w:rsidR="0041496F" w:rsidRPr="00C3521D">
        <w:rPr>
          <w:rFonts w:cs="Times New Roman"/>
        </w:rPr>
        <w:t>The median chest pain duration before first blood draw is typically 3-5 hours in large cohort studies undertaken in the secondary-care setting</w:t>
      </w:r>
      <w:r w:rsidR="0041496F">
        <w:rPr>
          <w:rFonts w:cs="Times New Roman"/>
        </w:rPr>
        <w:t>.</w:t>
      </w:r>
      <w:r w:rsidR="0041496F">
        <w:rPr>
          <w:rFonts w:cs="Times New Roman"/>
        </w:rPr>
        <w:fldChar w:fldCharType="begin" w:fldLock="1"/>
      </w:r>
      <w:r w:rsidR="008477B1">
        <w:rPr>
          <w:rFonts w:cs="Times New Roman"/>
        </w:rPr>
        <w:instrText>ADDIN CSL_CITATION {"citationItems":[{"id":"ITEM-1","itemData":{"DOI":"10.1161/CIRCULATIONAHA.116.022677","ISSN":"1524-4539","PMID":"27754881","abstract":"BACKGROUND: -The European Society of Cardiology (ESC) new guidelines to rule-in and rule-out acute myocardial infarction (AMI) in the emergency department (ED) include a rapid assessment algorithm based on high-sensitivity cardiac troponin and sampling at zero and one hour. ED physicians require very high sensitivity to confidently rule-out AMI, while cardiologists aim to minimise false positive results.\\n\\nMETHODS: -High-sensitivity troponin I (hs-cTnI) and T (hs-cTnT) assays were used to measure troponin concentrations in patients presenting with chest-pain symptoms and being investigated for possible acute coronary syndrome at hospitals in New Zealand, Australia and Canada. AMI outcomes were independently adjudicated by at least two physicians. The ESC algorithm performance with each assay was assessed by the sensitivity and proportion with AMI ruled out, and the positive predictive value (PPV) and proportion ruled-in.\\n\\nRESULTS: -There were 2222 patients with serial hs-cTnT and hs-cTnI measurements. The hs-cTnT algorithm ruled out 1425 (64.1%) with a sensitivity of 97.1% (95%CI: 94.0% to 98.8%) and ruled-in 292 (13.1%) with a PPV of 63.4% (57.5% to 68.9%)). The hs-cTnI algorithm ruled out 1205 (54.2%) with a sensitivity of 98.8% (96.4% to 99.7%)) and ruled-in 310 (14.0%) with a PPV of 68.1% (62.6% to 73.2%).\\n\\nCONCLUSIONS: -The sensitivity of the ESC rapid assessment 0/1h algorithm to rule-out AMI with hs-cTn may be insufficient for some ED physicians to confidently send patients home. These algorithms may prove useful to identify patients requiring expedited management. However, the PPV was modest for both algorithms.","author":[{"dropping-particle":"","family":"Pickering","given":"John W","non-dropping-particle":"","parse-names":false,"suffix":""},{"dropping-particle":"","family":"Greenslade","given":"Jaimi H","non-dropping-particle":"","parse-names":false,"suffix":""},{"dropping-particle":"","family":"Cullen","given":"Louise","non-dropping-particle":"","parse-names":false,"suffix":""},{"dropping-particle":"","family":"Flaws","given":"Dylan","non-dropping-particle":"","parse-names":false,"suffix":""},{"dropping-particle":"","family":"Parsonage","given":"William","non-dropping-particle":"","parse-names":false,"suffix":""},{"dropping-particle":"","family":"Aldous","given":"Sally","non-dropping-particle":"","parse-names":false,"suffix":""},{"dropping-particle":"","family":"George","given":"Peter","non-dropping-particle":"","parse-names":false,"suffix":""},{"dropping-particle":"","family":"Worster","given":"Andrew","non-dropping-particle":"","parse-names":false,"suffix":""},{"dropping-particle":"","family":"Kavsak","given":"Peter A","non-dropping-particle":"","parse-names":false,"suffix":""},{"dropping-particle":"","family":"Than","given":"Martin P","non-dropping-particle":"","parse-names":false,"suffix":""}],"container-title":"Circulation","id":"ITEM-1","issue":"20","issued":{"date-parts":[["2016","11","15"]]},"page":"1532-1541","publisher":"Lippincott Williams &amp; Wilkins","publisher-place":"From Emergency Department (J.W.P., M.P.T.), and Cardiology Department (S.A.), Christchurch Hospital, Christchurch, New Zealand; Department of Medicine, University of Otago, Christchurch, New Zealand (J.W.P.); Department of Emergency Medicine, Royal Brisba","title":"Assessment of the European Society of Cardiology 0 Hour/1 Hour Algorithm to Rule Out and Rule In Acute Myocardial Infarction.","type":"article-journal","volume":"134"},"uris":["http://www.mendeley.com/documents/?uuid=0dee7c49-7dbc-46b6-acde-7cbd87883234"]},{"id":"ITEM-2","itemData":{"abstract":"BACKGROUND:We examined whether undetectable levels of high-sensitivity cardiac Troponin (hs-cTn) can be used to rule out acute myocardial infarction (AMI) with a single blood draw at presentation to the emergency department (ED).\n\nMETHODS AND RESULTS:In a prospective multicenter study we used 4 different hs-cTn assays (hs-cTnT Roche, and hs-cTnI Siemens, hs-cTnI Beckman Coulter and hs-cTnI Abbott) in consecutive patients presenting with acute chest pain. The final diagnosis of AMI was adjudicated by two independent cardiologists using all available data including serial hs-cTnT levels. Mean follow up was 24 months. Among 2072 consecutive patients with available hs-cTnT levels, 21% had an adjudicated diagnosis of AMI. Among AMI patients, 98.2% had initially detectable levels of hs-cTnT (sensitivity 98.2%, 95%CI 96.3%-99.2%, negative predictive value (NPV) 98.6%, 95%CI 97.0%-99.3%). Undetectable levels of hs-cTnT ruled out AMI in 26.5% of patients at presentation. The NPV was similar with the three hs-cTnI assays: among 1180 consecutive patients with available hs-cTnI (Siemens), the NPV was 98.8%; among 1151 consecutive patients with available hs-cTnI (Beckman Coulter), the NPV was 99.2%; among 1567 consecutive patients with available hs-cTnI (Abbott), the NPV was 100.0%. The percentage of patients with undetectable levels of hs-cTnI was similar among the three hs-cTnI assays and ranged from 11.4% to 13.9%.\n\nCONCLUSIONS:Undetectable levels of hs-cTn at presentation have a very high NPV and seem to allow the simple and rapid rule out of AMI. This criteria applies to much more patients with hs-TnT as compared to the investigated hs-cTnI assays.","author":[{"dropping-particle":"","family":"Rubini Giménez","given":"María","non-dropping-particle":"","parse-names":false,"suffix":""},{"dropping-particle":"","family":"Hoeller","given":"Rebeca","non-dropping-particle":"","parse-names":false,"suffix":""},{"dropping-particle":"","family":"Reichlin","given":"Tobias","non-dropping-particle":"","parse-names":false,"suffix":""},{"dropping-particle":"","family":"Zellweger","given":"Christa","non-dropping-particle":"","parse-names":false,"suffix":""},{"dropping-particle":"","family":"Twerenbold","given":"Raphael","non-dropping-particle":"","parse-names":false,"suffix":""},{"dropping-particle":"","family":"Reiter","given":"Miriam","non-dropping-particle":"","parse-names":false,"suffix":""},{"dropping-particle":"","family":"Moehring","given":"Berit","non-dropping-particle":"","parse-names":false,"suffix":""},{"dropping-particle":"","family":"Wildi","given":"Karin","non-dropping-particle":"","parse-names":false,"suffix":""},{"dropping-particle":"","family":"Mosimann","given":"Tamina","non-dropping-particle":"","parse-names":false,"suffix":""},{"dropping-particle":"","family":"Mueller","given":"Mira","non-dropping-particle":"","parse-names":false,"suffix":""},{"dropping-particle":"","family":"Meller","given":"Bernadette","non-dropping-particle":"","parse-names":false,"suffix":""},{"dropping-particle":"","family":"Hochgruber","given":"Thomas","non-dropping-particle":"","parse-names":false,"suffix":""},{"dropping-particle":"","family":"Ziller","given":"Ronny","non-dropping-particle":"","parse-names":false,"suffix":""},{"dropping-particle":"","family":"Sou","given":"Seoung Mann","non-dropping-particle":"","parse-names":false,"suffix":""},{"dropping-particle":"","family":"Murray","given":"Karsten","non-dropping-particle":"","parse-names":false,"suffix":""},{"dropping-particle":"","family":"Sakarikos","given":"Konstantin","non-dropping-particle":"","parse-names":false,"suffix":""},{"dropping-particle":"","family":"Ernst","given":"Susanne","non-dropping-particle":"","parse-names":false,"suffix":""},{"dropping-particle":"","family":"Gea","given":"Joaquim","non-dropping-particle":"","parse-names":false,"suffix":""},{"dropping-particle":"","family":"Campodarve","given":"Isabel","non-dropping-particle":"","parse-names":false,"suffix":""},{"dropping-particle":"","family":"Vilaplana","given":"Carles","non-dropping-particle":"","parse-names":false,"suffix":""},{"dropping-particle":"","family":"Haaf","given":"Philip","non-dropping-particle":"","parse-names":false,"suffix":""},{"dropping-particle":"","family":"Steuer","given":"Stephan","non-dropping-particle":"","parse-names":false,"suffix":""},{"dropping-particle":"","family":"Minners","given":"Jan","non-dropping-particle":"","parse-names":false,"suffix":""},{"dropping-particle":"","family":"Osswald","given":"Stefan","non-dropping-particle":"","parse-names":false,"suffix":""},{"dropping-particle":"","family":"Mueller","given":"Christian","non-dropping-particle":"","parse-names":false,"suffix":""}],"container-title":"International journal of cardiology","id":"ITEM-2","issue":"4","issued":{"date-parts":[["2013","10","9"]]},"page":"3896-3901","publisher":"Elsevier Ireland Ltd","publisher-place":"Department of Cardiology, University Hospital Basel, Switzerland.","title":"Rapid rule out of acute myocardial infarction using undetectable levels of high-sensitivity cardiac troponin.","type":"article-journal","volume":"168"},"uris":["http://www.mendeley.com/documents/?uuid=7bdad976-2534-4f84-b928-08f80438a898"]}],"mendeley":{"formattedCitation":"&lt;sup&gt;26,27&lt;/sup&gt;","plainTextFormattedCitation":"26,27","previouslyFormattedCitation":"&lt;sup&gt;27,28&lt;/sup&gt;"},"properties":{"noteIndex":0},"schema":"https://github.com/citation-style-language/schema/raw/master/csl-citation.json"}</w:instrText>
      </w:r>
      <w:r w:rsidR="0041496F">
        <w:rPr>
          <w:rFonts w:cs="Times New Roman"/>
        </w:rPr>
        <w:fldChar w:fldCharType="separate"/>
      </w:r>
      <w:r w:rsidR="008477B1" w:rsidRPr="008477B1">
        <w:rPr>
          <w:rFonts w:cs="Times New Roman"/>
          <w:noProof/>
          <w:vertAlign w:val="superscript"/>
        </w:rPr>
        <w:t>26,27</w:t>
      </w:r>
      <w:r w:rsidR="0041496F">
        <w:rPr>
          <w:rFonts w:cs="Times New Roman"/>
        </w:rPr>
        <w:fldChar w:fldCharType="end"/>
      </w:r>
      <w:r w:rsidR="0041496F" w:rsidRPr="00C3521D">
        <w:rPr>
          <w:rFonts w:cs="Times New Roman"/>
        </w:rPr>
        <w:t xml:space="preserve"> In contrast, we studied patients with a median time of just 70 mins between symptom onset and blood draw in the ambulance</w:t>
      </w:r>
      <w:r w:rsidR="0041496F">
        <w:rPr>
          <w:rFonts w:cs="Times New Roman"/>
        </w:rPr>
        <w:t xml:space="preserve"> – a population enriched for AMI, due to the </w:t>
      </w:r>
      <w:r w:rsidR="006D762E">
        <w:rPr>
          <w:rFonts w:cs="Times New Roman"/>
        </w:rPr>
        <w:t xml:space="preserve">circumstance </w:t>
      </w:r>
      <w:r w:rsidR="0041496F">
        <w:rPr>
          <w:rFonts w:cs="Times New Roman"/>
        </w:rPr>
        <w:t>of recruitment</w:t>
      </w:r>
      <w:r w:rsidR="0041496F" w:rsidRPr="00C3521D">
        <w:rPr>
          <w:rFonts w:cs="Times New Roman"/>
        </w:rPr>
        <w:t xml:space="preserve">. </w:t>
      </w:r>
      <w:r w:rsidR="00B07408" w:rsidRPr="00C3521D">
        <w:rPr>
          <w:rFonts w:cs="Times New Roman"/>
        </w:rPr>
        <w:t xml:space="preserve">The current </w:t>
      </w:r>
      <w:r w:rsidR="00C352A2" w:rsidRPr="00C3521D">
        <w:rPr>
          <w:rFonts w:cs="Times New Roman"/>
        </w:rPr>
        <w:t xml:space="preserve">study </w:t>
      </w:r>
      <w:r w:rsidR="004F1B1F">
        <w:rPr>
          <w:rFonts w:cs="Times New Roman"/>
        </w:rPr>
        <w:t>indicates</w:t>
      </w:r>
      <w:r w:rsidR="004F1B1F" w:rsidRPr="00C3521D">
        <w:rPr>
          <w:rFonts w:cs="Times New Roman"/>
        </w:rPr>
        <w:t xml:space="preserve"> </w:t>
      </w:r>
      <w:r w:rsidR="004F1B1F">
        <w:rPr>
          <w:rFonts w:cs="Times New Roman"/>
        </w:rPr>
        <w:t>superiority of the novel biomarker in</w:t>
      </w:r>
      <w:r w:rsidR="007908C4">
        <w:rPr>
          <w:rFonts w:cs="Times New Roman"/>
        </w:rPr>
        <w:t xml:space="preserve"> the rule-out and diagnosis of</w:t>
      </w:r>
      <w:r w:rsidR="002A7DCD" w:rsidRPr="00C3521D">
        <w:rPr>
          <w:rFonts w:cs="Times New Roman"/>
        </w:rPr>
        <w:t xml:space="preserve"> AMI</w:t>
      </w:r>
      <w:r w:rsidR="00891005">
        <w:rPr>
          <w:rFonts w:cs="Times New Roman"/>
        </w:rPr>
        <w:t xml:space="preserve"> very early</w:t>
      </w:r>
      <w:r w:rsidR="002A7DCD" w:rsidRPr="00C3521D">
        <w:rPr>
          <w:rFonts w:cs="Times New Roman"/>
        </w:rPr>
        <w:t>; based on an analysis of rec</w:t>
      </w:r>
      <w:r w:rsidR="00A37B79">
        <w:rPr>
          <w:rFonts w:cs="Times New Roman"/>
        </w:rPr>
        <w:t>eiver operator characteristics</w:t>
      </w:r>
      <w:r w:rsidR="004F1B1F">
        <w:rPr>
          <w:rFonts w:cs="Times New Roman"/>
        </w:rPr>
        <w:t>, logistic regression modelling and log likelihood ratios</w:t>
      </w:r>
      <w:r w:rsidR="00A37B79">
        <w:rPr>
          <w:rFonts w:cs="Times New Roman"/>
        </w:rPr>
        <w:t>.</w:t>
      </w:r>
      <w:r w:rsidR="002A7DCD" w:rsidRPr="00C3521D">
        <w:rPr>
          <w:rFonts w:cs="Times New Roman"/>
        </w:rPr>
        <w:t xml:space="preserve"> </w:t>
      </w:r>
      <w:r w:rsidR="00B07408" w:rsidRPr="00C3521D">
        <w:rPr>
          <w:rFonts w:cs="Times New Roman"/>
        </w:rPr>
        <w:t xml:space="preserve">Our </w:t>
      </w:r>
      <w:r w:rsidR="00193118" w:rsidRPr="00C3521D">
        <w:rPr>
          <w:rFonts w:cs="Times New Roman"/>
        </w:rPr>
        <w:t xml:space="preserve">direct </w:t>
      </w:r>
      <w:r w:rsidR="00B07408" w:rsidRPr="00C3521D">
        <w:rPr>
          <w:rFonts w:cs="Times New Roman"/>
        </w:rPr>
        <w:t xml:space="preserve">observations and </w:t>
      </w:r>
      <w:r w:rsidR="00193118" w:rsidRPr="00C3521D">
        <w:rPr>
          <w:rFonts w:cs="Times New Roman"/>
        </w:rPr>
        <w:t xml:space="preserve">hypothetical </w:t>
      </w:r>
      <w:r w:rsidR="00B07408" w:rsidRPr="00C3521D">
        <w:rPr>
          <w:rFonts w:cs="Times New Roman"/>
        </w:rPr>
        <w:lastRenderedPageBreak/>
        <w:t xml:space="preserve">models suggest that cMyC may have distinct advantages as a </w:t>
      </w:r>
      <w:r w:rsidR="00C352A2" w:rsidRPr="00C3521D">
        <w:rPr>
          <w:rFonts w:cs="Times New Roman"/>
        </w:rPr>
        <w:t>point-of-care biomarker</w:t>
      </w:r>
      <w:r w:rsidR="00B07408" w:rsidRPr="00C3521D">
        <w:rPr>
          <w:rFonts w:cs="Times New Roman"/>
        </w:rPr>
        <w:t xml:space="preserve"> for AMI</w:t>
      </w:r>
      <w:r w:rsidR="00C352A2" w:rsidRPr="00C3521D">
        <w:rPr>
          <w:rFonts w:cs="Times New Roman"/>
        </w:rPr>
        <w:t>.</w:t>
      </w:r>
      <w:r w:rsidR="00D62A60" w:rsidRPr="00C3521D">
        <w:rPr>
          <w:rFonts w:cs="Times New Roman"/>
        </w:rPr>
        <w:t xml:space="preserve"> </w:t>
      </w:r>
      <w:r w:rsidR="0042609C">
        <w:rPr>
          <w:rFonts w:cs="Times New Roman"/>
        </w:rPr>
        <w:t>This advantage of cMyC is evident despite the use of hs-cTnT in the final adjudication of AMI.</w:t>
      </w:r>
    </w:p>
    <w:p w14:paraId="7C764738" w14:textId="29951ADF" w:rsidR="00811CC1" w:rsidRDefault="0041496F" w:rsidP="00CE58AE">
      <w:pPr>
        <w:rPr>
          <w:rFonts w:cs="Times New Roman"/>
        </w:rPr>
      </w:pPr>
      <w:r>
        <w:rPr>
          <w:rFonts w:cs="Times New Roman"/>
        </w:rPr>
        <w:t>A</w:t>
      </w:r>
      <w:r w:rsidR="00871FD9">
        <w:rPr>
          <w:rFonts w:cs="Times New Roman"/>
        </w:rPr>
        <w:t xml:space="preserve"> </w:t>
      </w:r>
      <w:r>
        <w:rPr>
          <w:rFonts w:cs="Times New Roman"/>
        </w:rPr>
        <w:t xml:space="preserve">biomarker </w:t>
      </w:r>
      <w:r w:rsidR="00871FD9">
        <w:rPr>
          <w:rFonts w:cs="Times New Roman"/>
        </w:rPr>
        <w:t>result</w:t>
      </w:r>
      <w:r>
        <w:rPr>
          <w:rFonts w:cs="Times New Roman"/>
        </w:rPr>
        <w:t xml:space="preserve"> obtained in the pre-hospital setting or at first arrival to hospital</w:t>
      </w:r>
      <w:r w:rsidR="00871FD9">
        <w:rPr>
          <w:rFonts w:cs="Times New Roman"/>
        </w:rPr>
        <w:t xml:space="preserve"> could be interpreted with simple decision aids, such as a nomogram that translates the biomarker value</w:t>
      </w:r>
      <w:r w:rsidR="00117CB5">
        <w:rPr>
          <w:rFonts w:cs="Times New Roman"/>
        </w:rPr>
        <w:t xml:space="preserve"> plus cardiovascular risk factors</w:t>
      </w:r>
      <w:r w:rsidR="00871FD9">
        <w:rPr>
          <w:rFonts w:cs="Times New Roman"/>
        </w:rPr>
        <w:t xml:space="preserve"> into a probability of AMI. </w:t>
      </w:r>
      <w:r w:rsidR="00040B16">
        <w:rPr>
          <w:rFonts w:cs="Times New Roman"/>
        </w:rPr>
        <w:t>Alternatively,</w:t>
      </w:r>
      <w:r w:rsidR="00CE5B66">
        <w:rPr>
          <w:rFonts w:cs="Times New Roman"/>
        </w:rPr>
        <w:t xml:space="preserve"> established risk stratification tools such as </w:t>
      </w:r>
      <w:r w:rsidR="00040B16">
        <w:rPr>
          <w:rFonts w:cs="Times New Roman"/>
        </w:rPr>
        <w:t xml:space="preserve">the </w:t>
      </w:r>
      <w:r w:rsidR="00CE5B66">
        <w:rPr>
          <w:rFonts w:cs="Times New Roman"/>
        </w:rPr>
        <w:t>GRACE risk score</w:t>
      </w:r>
      <w:r w:rsidR="00040B16">
        <w:rPr>
          <w:rFonts w:cs="Times New Roman"/>
        </w:rPr>
        <w:fldChar w:fldCharType="begin" w:fldLock="1"/>
      </w:r>
      <w:r w:rsidR="008477B1">
        <w:rPr>
          <w:rFonts w:cs="Times New Roman"/>
        </w:rPr>
        <w:instrText>ADDIN CSL_CITATION {"citationItems":[{"id":"ITEM-1","itemData":{"DOI":"10.1136/bmj.38985.646481.55","ISSN":"09598146","abstract":"OBJECTIVE: To develop a clinical risk prediction tool for estimating the cumulative six month risk of death and death or myocardial infarction to facilitate triage and management of patients with acute coronary syndrome. DESIGN: Prospective multinational observational study in which we used multivariable regression to develop a final predictive model, with prospective and external validation. SETTING: Ninety four hospitals in 14 countries in Europe, North and South America, Australia, and New Zealand. POPULATION: 43,810 patients (21,688 in derivation set; 22,122 in validation set) presenting with acute coronary syndrome with or without ST segment elevation enrolled in the global registry of acute coronary events (GRACE) study between April 1999 and September 2005. MAIN OUTCOME MEASURES: Death and myocardial infarction. RESULTS: 1989 patients died in hospital, 1466 died between discharge and six month follow-up, and 2793 sustained a new non-fatal myocardial infarction. Nine factors independently predicted death and the combined end point of death or myocardial infarction in the period from admission to six months after discharge: age, development (or history) of heart failure, peripheral vascular disease, systolic blood pressure, Killip class, initial serum creatinine concentration, elevated initial cardiac markers, cardiac arrest on admission, and ST segment deviation. The simplified model was robust, with prospectively validated C-statistics of 0.81 for predicting death and 0.73 for death or myocardial infarction from admission to six months after discharge. The external applicability of the model was validated in the dataset from GUSTO IIb (global use of strategies to open occluded coronary arteries). CONCLUSIONS: This risk prediction tool uses readily identifiable variables to provide robust prediction of the cumulative six month risk of death or myocardial infarction. It is a rapid and widely applicable method for assessing cardiovascular risk to complement clinical assessment and can guide patient triage and management across the spectrum of patients with acute coronary syndrome.","author":[{"dropping-particle":"","family":"Fox","given":"Keith A.A.","non-dropping-particle":"","parse-names":false,"suffix":""},{"dropping-particle":"","family":"Dabbous","given":"Omar H.","non-dropping-particle":"","parse-names":false,"suffix":""},{"dropping-particle":"","family":"Goldberg","given":"Robert J.","non-dropping-particle":"","parse-names":false,"suffix":""},{"dropping-particle":"","family":"Pieper","given":"Karen S.","non-dropping-particle":"","parse-names":false,"suffix":""},{"dropping-particle":"","family":"Eagle","given":"Kim A.","non-dropping-particle":"","parse-names":false,"suffix":""},{"dropping-particle":"","family":"Werf","given":"Frans","non-dropping-particle":"Van De","parse-names":false,"suffix":""},{"dropping-particle":"","family":"Avezum","given":"Álvaro","non-dropping-particle":"","parse-names":false,"suffix":""},{"dropping-particle":"","family":"Goodman","given":"Shaun G.","non-dropping-particle":"","parse-names":false,"suffix":""},{"dropping-particle":"","family":"Flather","given":"Marcus D.","non-dropping-particle":"","parse-names":false,"suffix":""},{"dropping-particle":"","family":"Anderson","given":"Frederick A.","non-dropping-particle":"","parse-names":false,"suffix":""},{"dropping-particle":"","family":"Granger","given":"Christopher B.","non-dropping-particle":"","parse-names":false,"suffix":""}],"container-title":"British Medical Journal","id":"ITEM-1","issue":"7578","issued":{"date-parts":[["2006"]]},"page":"1091-1094","title":"Prediction of risk of death and myocardial infarction in the six months after presentation with acute coronary syndrome: Prospective multinational observational study (GRACE)","type":"article-journal","volume":"333"},"uris":["http://www.mendeley.com/documents/?uuid=524bdf77-2bd6-4327-b273-3658a0832762"]}],"mendeley":{"formattedCitation":"&lt;sup&gt;28&lt;/sup&gt;","plainTextFormattedCitation":"28","previouslyFormattedCitation":"&lt;sup&gt;29&lt;/sup&gt;"},"properties":{"noteIndex":0},"schema":"https://github.com/citation-style-language/schema/raw/master/csl-citation.json"}</w:instrText>
      </w:r>
      <w:r w:rsidR="00040B16">
        <w:rPr>
          <w:rFonts w:cs="Times New Roman"/>
        </w:rPr>
        <w:fldChar w:fldCharType="separate"/>
      </w:r>
      <w:r w:rsidR="008477B1" w:rsidRPr="008477B1">
        <w:rPr>
          <w:rFonts w:cs="Times New Roman"/>
          <w:noProof/>
          <w:vertAlign w:val="superscript"/>
        </w:rPr>
        <w:t>28</w:t>
      </w:r>
      <w:r w:rsidR="00040B16">
        <w:rPr>
          <w:rFonts w:cs="Times New Roman"/>
        </w:rPr>
        <w:fldChar w:fldCharType="end"/>
      </w:r>
      <w:r w:rsidR="00040B16">
        <w:rPr>
          <w:rFonts w:cs="Times New Roman"/>
        </w:rPr>
        <w:t xml:space="preserve"> can be used to identify patients with NSTEMI who benefit from early revascularisation – but the calculator requires an abnormal biomarker result obtained swiftly to classify high-risk ACS. In the data presented, even the diagnosis of STEMI was far from certain – thus </w:t>
      </w:r>
      <w:r w:rsidR="002A3754">
        <w:rPr>
          <w:rFonts w:cs="Times New Roman"/>
        </w:rPr>
        <w:t xml:space="preserve">it is </w:t>
      </w:r>
      <w:r w:rsidR="00040B16">
        <w:rPr>
          <w:rFonts w:cs="Times New Roman"/>
        </w:rPr>
        <w:t xml:space="preserve">intriguing that the AUC for </w:t>
      </w:r>
      <w:r w:rsidR="002A3754">
        <w:rPr>
          <w:rFonts w:cs="Times New Roman"/>
        </w:rPr>
        <w:t xml:space="preserve">the </w:t>
      </w:r>
      <w:r w:rsidR="00040B16">
        <w:rPr>
          <w:rFonts w:cs="Times New Roman"/>
        </w:rPr>
        <w:t xml:space="preserve">diagnosis of STEMI is higher for cMyC than </w:t>
      </w:r>
      <w:r w:rsidR="002A3754">
        <w:rPr>
          <w:rFonts w:cs="Times New Roman"/>
        </w:rPr>
        <w:t xml:space="preserve">it is </w:t>
      </w:r>
      <w:r w:rsidR="00040B16">
        <w:rPr>
          <w:rFonts w:cs="Times New Roman"/>
        </w:rPr>
        <w:t xml:space="preserve">for hs-cTnT, whilst not statistically different for NSTEMI in this cohort. Notably, cMyC provided incremental value to hs-cTnT measurement alone in all </w:t>
      </w:r>
      <w:r w:rsidR="000E4704">
        <w:rPr>
          <w:rFonts w:cs="Times New Roman"/>
        </w:rPr>
        <w:t>AMI categories.</w:t>
      </w:r>
      <w:r w:rsidR="00040B16">
        <w:rPr>
          <w:rFonts w:cs="Times New Roman"/>
        </w:rPr>
        <w:t xml:space="preserve"> </w:t>
      </w:r>
      <w:r w:rsidR="000E4704">
        <w:rPr>
          <w:rFonts w:cs="Times New Roman"/>
        </w:rPr>
        <w:t>P</w:t>
      </w:r>
      <w:r w:rsidR="00871FD9">
        <w:rPr>
          <w:rFonts w:cs="Times New Roman"/>
        </w:rPr>
        <w:t>atients</w:t>
      </w:r>
      <w:r w:rsidR="000E4704">
        <w:rPr>
          <w:rFonts w:cs="Times New Roman"/>
        </w:rPr>
        <w:t xml:space="preserve"> identified earlier as high-risk</w:t>
      </w:r>
      <w:r w:rsidR="00871FD9">
        <w:rPr>
          <w:rFonts w:cs="Times New Roman"/>
        </w:rPr>
        <w:t xml:space="preserve"> could be transferred to the nearest PCI-capable facility, whereas low-risk patients – with a low likelihood of AMI - are admitted</w:t>
      </w:r>
      <w:r>
        <w:rPr>
          <w:rFonts w:cs="Times New Roman"/>
        </w:rPr>
        <w:t xml:space="preserve"> locally</w:t>
      </w:r>
      <w:r w:rsidR="00871FD9">
        <w:rPr>
          <w:rFonts w:cs="Times New Roman"/>
        </w:rPr>
        <w:t>.</w:t>
      </w:r>
    </w:p>
    <w:p w14:paraId="6097176B" w14:textId="4567EEF7" w:rsidR="00C352A2" w:rsidRPr="00C3521D" w:rsidRDefault="0041496F" w:rsidP="0041496F">
      <w:pPr>
        <w:rPr>
          <w:rFonts w:cs="Times New Roman"/>
        </w:rPr>
      </w:pPr>
      <w:r>
        <w:rPr>
          <w:rFonts w:cs="Times New Roman"/>
        </w:rPr>
        <w:t>Current</w:t>
      </w:r>
      <w:r w:rsidR="006D762E">
        <w:rPr>
          <w:rFonts w:cs="Times New Roman"/>
        </w:rPr>
        <w:t>ly</w:t>
      </w:r>
      <w:r>
        <w:rPr>
          <w:rFonts w:cs="Times New Roman"/>
        </w:rPr>
        <w:t>, t</w:t>
      </w:r>
      <w:r w:rsidR="00871FD9">
        <w:rPr>
          <w:rFonts w:cs="Times New Roman"/>
        </w:rPr>
        <w:t xml:space="preserve">he way pre-hospital triage is performed </w:t>
      </w:r>
      <w:r>
        <w:rPr>
          <w:rFonts w:cs="Times New Roman"/>
        </w:rPr>
        <w:t xml:space="preserve">is resource-intensive and </w:t>
      </w:r>
      <w:r w:rsidR="00871FD9">
        <w:rPr>
          <w:rFonts w:cs="Times New Roman"/>
        </w:rPr>
        <w:t>yield</w:t>
      </w:r>
      <w:r>
        <w:rPr>
          <w:rFonts w:cs="Times New Roman"/>
        </w:rPr>
        <w:t>s</w:t>
      </w:r>
      <w:r w:rsidR="00871FD9">
        <w:rPr>
          <w:rFonts w:cs="Times New Roman"/>
        </w:rPr>
        <w:t xml:space="preserve"> imperfect results – ECGs </w:t>
      </w:r>
      <w:r>
        <w:rPr>
          <w:rFonts w:cs="Times New Roman"/>
        </w:rPr>
        <w:t xml:space="preserve">have </w:t>
      </w:r>
      <w:r w:rsidR="00A72097">
        <w:rPr>
          <w:rFonts w:cs="Times New Roman"/>
        </w:rPr>
        <w:t xml:space="preserve">particularly </w:t>
      </w:r>
      <w:r w:rsidR="009E0906" w:rsidRPr="00C3521D">
        <w:rPr>
          <w:rFonts w:cs="Times New Roman"/>
        </w:rPr>
        <w:t>low sensitivity</w:t>
      </w:r>
      <w:r w:rsidR="002A1B15" w:rsidRPr="00C3521D">
        <w:rPr>
          <w:rFonts w:cs="Times New Roman"/>
        </w:rPr>
        <w:t xml:space="preserve"> in </w:t>
      </w:r>
      <w:r w:rsidR="008C27D6" w:rsidRPr="00C3521D">
        <w:rPr>
          <w:rFonts w:cs="Times New Roman"/>
        </w:rPr>
        <w:t>the context of (more common</w:t>
      </w:r>
      <w:r w:rsidR="00FA5811">
        <w:rPr>
          <w:rFonts w:cs="Times New Roman"/>
        </w:rPr>
        <w:fldChar w:fldCharType="begin" w:fldLock="1"/>
      </w:r>
      <w:r w:rsidR="00FA5811">
        <w:rPr>
          <w:rFonts w:cs="Times New Roman"/>
        </w:rPr>
        <w:instrText>ADDIN CSL_CITATION {"citationItems":[{"id":"ITEM-1","itemData":{"author":[{"dropping-particle":"","family":"McManus","given":"David D","non-dropping-particle":"","parse-names":false,"suffix":""},{"dropping-particle":"","family":"Gore","given":"Joel","non-dropping-particle":"","parse-names":false,"suffix":""},{"dropping-particle":"","family":"Yarzebski","given":"Jorge","non-dropping-particle":"","parse-names":false,"suffix":""},{"dropping-particle":"","family":"Spencer","given":"Frederick","non-dropping-particle":"","parse-names":false,"suffix":""},{"dropping-particle":"","family":"Lessard","given":"Darleen","non-dropping-particle":"","parse-names":false,"suffix":""},{"dropping-particle":"","family":"Goldberg","given":"Robert J","non-dropping-particle":"","parse-names":false,"suffix":""}],"container-title":"The American Journal of Medicine","id":"ITEM-1","issue":"1","issued":{"date-parts":[["2011","1","1"]]},"page":"40-47","title":"Recent Trends in the Incidence, Treatment, and Outcomes of Patients with STEMI and NSTEMI","type":"article-journal","volume":"124"},"uris":["http://www.mendeley.com/documents/?uuid=352cb67a-4128-48c6-84fa-6bb03d46a4f8"]}],"mendeley":{"formattedCitation":"&lt;sup&gt;5&lt;/sup&gt;","plainTextFormattedCitation":"5","previouslyFormattedCitation":"&lt;sup&gt;5&lt;/sup&gt;"},"properties":{"noteIndex":0},"schema":"https://github.com/citation-style-language/schema/raw/master/csl-citation.json"}</w:instrText>
      </w:r>
      <w:r w:rsidR="00FA5811">
        <w:rPr>
          <w:rFonts w:cs="Times New Roman"/>
        </w:rPr>
        <w:fldChar w:fldCharType="separate"/>
      </w:r>
      <w:r w:rsidR="00FA5811" w:rsidRPr="00FA5811">
        <w:rPr>
          <w:rFonts w:cs="Times New Roman"/>
          <w:noProof/>
          <w:vertAlign w:val="superscript"/>
        </w:rPr>
        <w:t>5</w:t>
      </w:r>
      <w:r w:rsidR="00FA5811">
        <w:rPr>
          <w:rFonts w:cs="Times New Roman"/>
        </w:rPr>
        <w:fldChar w:fldCharType="end"/>
      </w:r>
      <w:r w:rsidR="008C27D6" w:rsidRPr="00C3521D">
        <w:rPr>
          <w:rFonts w:cs="Times New Roman"/>
        </w:rPr>
        <w:t xml:space="preserve">) </w:t>
      </w:r>
      <w:r w:rsidR="002A1B15" w:rsidRPr="00C3521D">
        <w:rPr>
          <w:rFonts w:cs="Times New Roman"/>
        </w:rPr>
        <w:t xml:space="preserve">NSTEMI </w:t>
      </w:r>
      <w:r w:rsidR="000679BF" w:rsidRPr="00C3521D">
        <w:rPr>
          <w:rFonts w:cs="Times New Roman"/>
        </w:rPr>
        <w:t>presentations</w:t>
      </w:r>
      <w:r w:rsidR="00C352A2" w:rsidRPr="00C3521D">
        <w:rPr>
          <w:rFonts w:cs="Times New Roman"/>
        </w:rPr>
        <w:t>,</w:t>
      </w:r>
      <w:r w:rsidR="00871FD9">
        <w:rPr>
          <w:rFonts w:cs="Times New Roman"/>
        </w:rPr>
        <w:t xml:space="preserve"> and the </w:t>
      </w:r>
      <w:r w:rsidR="00C352A2" w:rsidRPr="00C3521D">
        <w:rPr>
          <w:rFonts w:cs="Times New Roman"/>
        </w:rPr>
        <w:t>best commercially available POCT platforms</w:t>
      </w:r>
      <w:r w:rsidR="00236012">
        <w:rPr>
          <w:rFonts w:cs="Times New Roman"/>
        </w:rPr>
        <w:t xml:space="preserve"> for cardiac Troponin</w:t>
      </w:r>
      <w:r w:rsidR="00C352A2" w:rsidRPr="00C3521D">
        <w:rPr>
          <w:rFonts w:cs="Times New Roman"/>
        </w:rPr>
        <w:t xml:space="preserve"> </w:t>
      </w:r>
      <w:r w:rsidR="009E0906" w:rsidRPr="00C3521D">
        <w:rPr>
          <w:rFonts w:cs="Times New Roman"/>
        </w:rPr>
        <w:t xml:space="preserve">have limits of quantification that are </w:t>
      </w:r>
      <w:r w:rsidR="00814E26">
        <w:rPr>
          <w:rFonts w:cs="Times New Roman"/>
        </w:rPr>
        <w:t xml:space="preserve">well </w:t>
      </w:r>
      <w:r w:rsidR="009E0906" w:rsidRPr="00C3521D">
        <w:rPr>
          <w:rFonts w:cs="Times New Roman"/>
        </w:rPr>
        <w:t>above t</w:t>
      </w:r>
      <w:r w:rsidR="00C352A2" w:rsidRPr="00C3521D">
        <w:rPr>
          <w:rFonts w:cs="Times New Roman"/>
        </w:rPr>
        <w:t>he</w:t>
      </w:r>
      <w:r w:rsidR="009E0906" w:rsidRPr="00C3521D">
        <w:rPr>
          <w:rFonts w:cs="Times New Roman"/>
        </w:rPr>
        <w:t xml:space="preserve"> population</w:t>
      </w:r>
      <w:r w:rsidR="00C352A2" w:rsidRPr="00C3521D">
        <w:rPr>
          <w:rFonts w:cs="Times New Roman"/>
        </w:rPr>
        <w:t xml:space="preserve"> 99</w:t>
      </w:r>
      <w:r w:rsidR="00C352A2" w:rsidRPr="00C3521D">
        <w:rPr>
          <w:rFonts w:cs="Times New Roman"/>
          <w:vertAlign w:val="superscript"/>
        </w:rPr>
        <w:t>th</w:t>
      </w:r>
      <w:r w:rsidR="00C352A2" w:rsidRPr="00C3521D">
        <w:rPr>
          <w:rFonts w:cs="Times New Roman"/>
        </w:rPr>
        <w:t xml:space="preserve"> centile </w:t>
      </w:r>
      <w:r w:rsidR="009E0906" w:rsidRPr="00C3521D">
        <w:rPr>
          <w:rFonts w:cs="Times New Roman"/>
        </w:rPr>
        <w:t>defined using a</w:t>
      </w:r>
      <w:r w:rsidR="00C352A2" w:rsidRPr="00C3521D">
        <w:rPr>
          <w:rFonts w:cs="Times New Roman"/>
        </w:rPr>
        <w:t xml:space="preserve"> laboratory assay. </w:t>
      </w:r>
      <w:r w:rsidR="00871FD9">
        <w:rPr>
          <w:rFonts w:cs="Times New Roman"/>
        </w:rPr>
        <w:t>This limitation is part-technology, part relative scarcity of the analyte –</w:t>
      </w:r>
      <w:r>
        <w:rPr>
          <w:rFonts w:cs="Times New Roman"/>
        </w:rPr>
        <w:t xml:space="preserve"> whilst a recent publication demonstrates a possible breakthrough with a portable hs-cTnI assay, regulatory approval and full disclosure on true assay performance are eagerly awaited.</w:t>
      </w:r>
      <w:r>
        <w:rPr>
          <w:rFonts w:cs="Times New Roman"/>
        </w:rPr>
        <w:fldChar w:fldCharType="begin" w:fldLock="1"/>
      </w:r>
      <w:r w:rsidR="008477B1">
        <w:rPr>
          <w:rFonts w:cs="Times New Roman"/>
        </w:rPr>
        <w:instrText>ADDIN CSL_CITATION {"citationItems":[{"id":"ITEM-1","itemData":{"DOI":"10.1001/jamacardio.2018.3368","ISBN":"1261100107696","ISSN":"23806591","abstract":"Importance Emergency department (ED) investigations of patients with suspected acute myocardial infarction (AMI) are time consuming, partly because of the turnaround time of laboratory tests. Current point-of-care troponin assays shorten test turnaround times but lack precision at lower concentrations. Development of point-of-care troponin assays with greater analytical precision could reduce the decision-making time in EDs for ruling out AMI. Objective To determine the clinical accuracy for AMI of a single troponin concentration measured on arrival to ED with a new-generation, higher precision point-of-care assay with a 15-minute turnaround time. Design, Setting, and Participants This observational study occurred at a single urban regional ED. Adults presenting acutely from the community to the ED with symptoms suggestive of AMI were included. Troponin concentrations were measured on ED arrival with both a novel point-of-care assay (i-STAT TnI-Nx; Abbott Point of Care) and a high-sensitivity troponin I assay (Architect hs-cTnI; Abbott Diagnostics). Main Outcomes and Measures The primary outcome was type 1 AMI during index presentation. We compared the discrimination ability of the TnI-Nx assay with the hs-cTnI assay using the area under receiver operator characteristic curve (AUC) and sensitivity, negative predictive value, and the proportion of negative test results at thresholds with 100% sensitivity. Results Of 354 patients (255 [72.0%] men; mean [SD] age, 62 [12] years), 57 (16.1%) experienced an AMI. Eighty-five patients (24.0%) presented to the ED less than 3 hours after symptom onset. No difference was found between the AUC of the TnI-Nx assay (0.975 [95% CI, 0.958-0.993]) and the hs-cTnI assay (0.970 [95% CI, 0.949 to 0.990];P = .46). A TnI-Nx assay result of less than 11 ng/L identified 201 patients (56.7%) as low risk, with a sensitivity of 100% (95% CI, 93.7%-100%) and a negative predictive value of 100% (95% CI, 98.2%-100%). In comparison, an hs-cTnI assay result of less than 3 ng/L identified 154 patients (43.5%) as low risk, with a sensitivity of 100% (95% CI, 93.7%-100%) and a negative predictive value of 100% (95% CI, 97.6%-100%). Conclusions and Relevance A novel point-of-care troponin assay that can produce a result 15 minutes after blood sampling had comparable discrimination ability to an hs-cTnI assay for ruling out AMI after a single blood test. Use in the ED may facilitate earlier decision making and could expedite the safe disch…","author":[{"dropping-particle":"","family":"Pickering","given":"John W","non-dropping-particle":"","parse-names":false,"suffix":""},{"dropping-particle":"","family":"Young","given":"Joanna M","non-dropping-particle":"","parse-names":false,"suffix":""},{"dropping-particle":"","family":"George","given":"Peter M","non-dropping-particle":"","parse-names":false,"suffix":""},{"dropping-particle":"","family":"Watson","given":"Antony S","non-dropping-particle":"","parse-names":false,"suffix":""},{"dropping-particle":"","family":"Aldous","given":"Sally J","non-dropping-particle":"","parse-names":false,"suffix":""},{"dropping-particle":"","family":"Troughton","given":"Richard W","non-dropping-particle":"","parse-names":false,"suffix":""},{"dropping-particle":"","family":"Pemberton","given":"Christopher J","non-dropping-particle":"","parse-names":false,"suffix":""},{"dropping-particle":"","family":"Richards","given":"A Mark","non-dropping-particle":"","parse-names":false,"suffix":""},{"dropping-particle":"","family":"Cullen","given":"Louise A","non-dropping-particle":"","parse-names":false,"suffix":""},{"dropping-particle":"","family":"Than","given":"Martin P","non-dropping-particle":"","parse-names":false,"suffix":""}],"container-title":"JAMA Cardiology","id":"ITEM-1","issue":"11","issued":{"date-parts":[["2018"]]},"page":"1108-1112","title":"Validity of a Novel Point-of-Care Troponin Assay for Single-Test Rule-Out of Acute Myocardial Infarction","type":"article-journal","volume":"3"},"uris":["http://www.mendeley.com/documents/?uuid=f8407eb9-884f-4c30-bf2c-dda2a6152683"]}],"mendeley":{"formattedCitation":"&lt;sup&gt;29&lt;/sup&gt;","plainTextFormattedCitation":"29","previouslyFormattedCitation":"&lt;sup&gt;30&lt;/sup&gt;"},"properties":{"noteIndex":0},"schema":"https://github.com/citation-style-language/schema/raw/master/csl-citation.json"}</w:instrText>
      </w:r>
      <w:r>
        <w:rPr>
          <w:rFonts w:cs="Times New Roman"/>
        </w:rPr>
        <w:fldChar w:fldCharType="separate"/>
      </w:r>
      <w:r w:rsidR="008477B1" w:rsidRPr="008477B1">
        <w:rPr>
          <w:rFonts w:cs="Times New Roman"/>
          <w:noProof/>
          <w:vertAlign w:val="superscript"/>
        </w:rPr>
        <w:t>29</w:t>
      </w:r>
      <w:r>
        <w:rPr>
          <w:rFonts w:cs="Times New Roman"/>
        </w:rPr>
        <w:fldChar w:fldCharType="end"/>
      </w:r>
      <w:r>
        <w:rPr>
          <w:rFonts w:cs="Times New Roman"/>
        </w:rPr>
        <w:t xml:space="preserve"> </w:t>
      </w:r>
      <w:r w:rsidR="009C20BF" w:rsidRPr="00C3521D">
        <w:rPr>
          <w:rFonts w:cs="Times New Roman"/>
        </w:rPr>
        <w:t>Furthermore</w:t>
      </w:r>
      <w:r w:rsidR="00B96910" w:rsidRPr="00C3521D">
        <w:rPr>
          <w:rFonts w:cs="Times New Roman"/>
        </w:rPr>
        <w:t>, the latest ESC guidelines</w:t>
      </w:r>
      <w:r w:rsidR="00FA5811">
        <w:rPr>
          <w:rFonts w:cs="Times New Roman"/>
        </w:rPr>
        <w:fldChar w:fldCharType="begin" w:fldLock="1"/>
      </w:r>
      <w:r w:rsidR="00FA5811">
        <w:rPr>
          <w:rFonts w:cs="Times New Roman"/>
        </w:rPr>
        <w:instrText>ADDIN CSL_CITATION {"citationItems":[{"id":"ITEM-1","itemData":{"DOI":"10.1093/eurheartj/ehv320","ISBN":"1522-9645 (Electronic)\\r0195-668X (Linking)","ISSN":"0195-668X","PMID":"26320110","abstract":"ACC\\n: American College of Cardiology\\nACCOAST\\n: Comparison of Prasugrel at the Time of Percutaneous Coronary Intervention or as Pretreatment at the Time of Diagnosis in Patients with Non-ST Elevation Myocardial Infarction\\nACE\\n: angiotensin-converting enzyme\\nACS\\n: acute coronary syndromes\\nACT\\n: activated clotting time\\nACTION\\n: Acute Coronary Treatment and Intervention Outcomes Network\\nACUITY\\n: Acute Catheterization and Urgent Intervention Triage strategY\\nADAPT-DES\\n: Assessment of Dual AntiPlatelet Therapy with Drug-Eluting Stents\\nADP\\n: adenosine diphosphate\\nAHA\\n: American Heart Association\\nAPPRAISE\\n: Apixaban for Prevention of Acute Ischaemic Events\\naPTT\\n: activated partial thromboplastin time\\nARB\\n: angiotensin receptor blocker\\nATLAS ACS 2-TIMI 51\\n: Anti-Xa Therapy to Lower Cardiovascular Events in Addition to Aspirin With or Without Thienopyridine Therapy in Subjects with Acute Coronary Syndrome–Thrombolysis in Myocardial Infarction 51\\nATP\\n: adenosine triphosphate\\nBARC\\n: Bleeding Academic Research Consortium\\nBMS\\n: bare-metal stent\\nCABG\\n: coronary artery bypass graft\\nCAD\\n: coronary artery disease\\nCHA2DS2-VASc\\n: Cardiac failure, Hypertension, Age ≥75 (2 points), Diabetes, Stroke (2 points)– Vascular disease, Age 65–74, Sex category\\nCHAMPION\\n: Cangrelor versus Standard Therapy to Achieve Optimal Management of Platelet Inhibition\\nCI\\n: confidence interval\\nCK\\n: creatine kinase\\nCKD\\n: chronic kidney disease\\nCK-MB\\n: creatine kinase myocardial band\\nCOX\\n: cyclooxygenase\\nCMR\\n: cardiac magnetic resonance\\nCPG\\n: Committee for Practice Guidelines\\nCREDO\\n: Clopidogrel for the Reduction of Events During Observation\\nCRUSADE\\n: Can Rapid risk stratification of Unstable angina patients Suppress ADverse outcomes with Early implementation of the ACC/AHA guidelines\\nCT\\n: computed tomography\\nCURE\\n: Clopidogrel in Unstable Angina to Prevent Recurrent Events\\nCURRENT-OASIS 7\\n: Clopidogrel and Aspirin Optimal Dose Usage to Reduce Recurrent Events–Seventh Organization to Assess Strategies in Ischaemic Syndromes\\nCV\\n: cardiovascular\\nCYP\\n: cytochrome P450\\nDAPT\\n: dual(oral) antiplatelet therapy\\nDES\\n: drug-eluting stent\\nEARLY-ACS\\n: Early Glycoprotein IIb/IIIa Inhibition in Non-ST-Segment Elevation Acute Coronary Syndrome\\nECG\\n: electrocardiogram\\neGFR\\n: estimated glomerular filtration rate\\nEMA\\n: European Medicines Agency\\nESC\\n: European Society of Cardiology\\nFDA\\n: Food and Drug Administration\\nFFR\\n: fractional…","author":[{"dropping-particle":"","family":"Roffi","given":"Marco","non-dropping-particle":"","parse-names":false,"suffix":""},{"dropping-particle":"","family":"Patrono","given":"Carlo","non-dropping-particle":"","parse-names":false,"suffix":""},{"dropping-particle":"","family":"Collet","given":"Jean-Philippe","non-dropping-particle":"","parse-names":false,"suffix":""},{"dropping-particle":"","family":"Mueller","given":"Christian","non-dropping-particle":"","parse-names":false,"suffix":""},{"dropping-particle":"","family":"Valgimigli","given":"Marco","non-dropping-particle":"","parse-names":false,"suffix":""},{"dropping-particle":"","family":"Andreotti","given":"Felicita","non-dropping-particle":"","parse-names":false,"suffix":""},{"dropping-particle":"","family":"Bax","given":"Jeroen J.","non-dropping-particle":"","parse-names":false,"suffix":""},{"dropping-particle":"","family":"Borger","given":"Michael A.","non-dropping-particle":"","parse-names":false,"suffix":""},{"dropping-particle":"","family":"Brotons","given":"Carlos","non-dropping-particle":"","parse-names":false,"suffix":""},{"dropping-particle":"","family":"Chew","given":"Derek P.","non-dropping-particle":"","parse-names":false,"suffix":""},{"dropping-particle":"","family":"Gencer","given":"Baris","non-dropping-particle":"","parse-names":false,"suffix":""},{"dropping-particle":"","family":"Hasenfuss","given":"Gerd","non-dropping-particle":"","parse-names":false,"suffix":""},{"dropping-particle":"","family":"Kjeldsen","given":"Keld","non-dropping-particle":"","parse-names":false,"suffix":""},{"dropping-particle":"","family":"Lancellotti","given":"Patrizio","non-dropping-particle":"","parse-names":false,"suffix":""},{"dropping-particle":"","family":"Landmesser","given":"Ulf","non-dropping-particle":"","parse-names":false,"suffix":""},{"dropping-particle":"","family":"Mehilli","given":"Julinda","non-dropping-particle":"","parse-names":false,"suffix":""},{"dropping-particle":"","family":"Mukherjee","given":"Debabrata","non-dropping-particle":"","parse-names":false,"suffix":""},{"dropping-particle":"","family":"Storey","given":"Robert F.","non-dropping-particle":"","parse-names":false,"suffix":""},{"dropping-particle":"","family":"Windecker","given":"Stephan","non-dropping-particle":"","parse-names":false,"suffix":""}],"container-title":"European Heart Journal","id":"ITEM-1","issue":"3","issued":{"date-parts":[["2016","1","14"]]},"page":"267-315","publisher-place":"Marco.Roffi@hcuge.ch.","title":"2015 ESC Guidelines for the management of acute coronary syndromes in patients presenting without persistent ST-segment elevation","type":"article-journal","volume":"37"},"uris":["http://www.mendeley.com/documents/?uuid=51cbc22c-b48f-4f12-8fd8-09a7b83db086"]}],"mendeley":{"formattedCitation":"&lt;sup&gt;1&lt;/sup&gt;","plainTextFormattedCitation":"1","previouslyFormattedCitation":"&lt;sup&gt;1&lt;/sup&gt;"},"properties":{"noteIndex":0},"schema":"https://github.com/citation-style-language/schema/raw/master/csl-citation.json"}</w:instrText>
      </w:r>
      <w:r w:rsidR="00FA5811">
        <w:rPr>
          <w:rFonts w:cs="Times New Roman"/>
        </w:rPr>
        <w:fldChar w:fldCharType="separate"/>
      </w:r>
      <w:r w:rsidR="00FA5811" w:rsidRPr="00FA5811">
        <w:rPr>
          <w:rFonts w:cs="Times New Roman"/>
          <w:noProof/>
          <w:vertAlign w:val="superscript"/>
        </w:rPr>
        <w:t>1</w:t>
      </w:r>
      <w:r w:rsidR="00FA5811">
        <w:rPr>
          <w:rFonts w:cs="Times New Roman"/>
        </w:rPr>
        <w:fldChar w:fldCharType="end"/>
      </w:r>
      <w:r w:rsidR="00B96910" w:rsidRPr="00C3521D">
        <w:rPr>
          <w:rFonts w:cs="Times New Roman"/>
        </w:rPr>
        <w:t xml:space="preserve"> specifically warn against the use of high-sensitivity Troponin assays in early-pres</w:t>
      </w:r>
      <w:r w:rsidR="00536B69" w:rsidRPr="00C3521D">
        <w:rPr>
          <w:rFonts w:cs="Times New Roman"/>
        </w:rPr>
        <w:t>enters (&lt;3 hours of chest pain).</w:t>
      </w:r>
      <w:r w:rsidR="00B96910" w:rsidRPr="00C3521D">
        <w:rPr>
          <w:rFonts w:cs="Times New Roman"/>
        </w:rPr>
        <w:t xml:space="preserve"> </w:t>
      </w:r>
      <w:r w:rsidR="00C352A2" w:rsidRPr="00C3521D">
        <w:rPr>
          <w:rFonts w:cs="Times New Roman"/>
        </w:rPr>
        <w:t>A protein which is much more abundant than cTn following myocardial injury would allow careful titration to individual requirements: whether the goalpost is maximum specificity</w:t>
      </w:r>
      <w:r w:rsidR="003C4164">
        <w:rPr>
          <w:rFonts w:cs="Times New Roman"/>
        </w:rPr>
        <w:t>/PPV</w:t>
      </w:r>
      <w:r w:rsidR="00C352A2" w:rsidRPr="00C3521D">
        <w:rPr>
          <w:rFonts w:cs="Times New Roman"/>
        </w:rPr>
        <w:t>, or maximum sensitivity/NPV, such as in rapid rule-</w:t>
      </w:r>
      <w:r w:rsidR="00C352A2" w:rsidRPr="00C3521D">
        <w:rPr>
          <w:rFonts w:cs="Times New Roman"/>
        </w:rPr>
        <w:lastRenderedPageBreak/>
        <w:t xml:space="preserve">in and rule-out pathways – the greater the ‘detectable’ spectrum </w:t>
      </w:r>
      <w:r w:rsidR="003C4164">
        <w:rPr>
          <w:rFonts w:cs="Times New Roman"/>
        </w:rPr>
        <w:t xml:space="preserve">of concentrations </w:t>
      </w:r>
      <w:r w:rsidR="00C352A2" w:rsidRPr="00C3521D">
        <w:rPr>
          <w:rFonts w:cs="Times New Roman"/>
        </w:rPr>
        <w:t xml:space="preserve">of </w:t>
      </w:r>
      <w:r w:rsidR="003C4164">
        <w:rPr>
          <w:rFonts w:cs="Times New Roman"/>
        </w:rPr>
        <w:t xml:space="preserve">an </w:t>
      </w:r>
      <w:r w:rsidR="00C352A2" w:rsidRPr="00C3521D">
        <w:rPr>
          <w:rFonts w:cs="Times New Roman"/>
        </w:rPr>
        <w:t>equally cardiac-specific marker, the greater the possibilit</w:t>
      </w:r>
      <w:r w:rsidR="003C4164">
        <w:rPr>
          <w:rFonts w:cs="Times New Roman"/>
        </w:rPr>
        <w:t>y to choose cut-offs to achieve local objectives</w:t>
      </w:r>
      <w:r w:rsidR="00C352A2" w:rsidRPr="00C3521D">
        <w:rPr>
          <w:rFonts w:cs="Times New Roman"/>
        </w:rPr>
        <w:t>.</w:t>
      </w:r>
      <w:r w:rsidR="00236012">
        <w:rPr>
          <w:rFonts w:cs="Times New Roman"/>
        </w:rPr>
        <w:t xml:space="preserve"> Our analysis has demonstrated that a cMyC concentration &lt;10 ng/L might be sufficient after 2 hours of symptoms to reliably rule-out out AMI; notably, this concentration is about 25-fold the Limit of Detection of the current assay, which would allow for significant signal loss in the migration to POCT </w:t>
      </w:r>
      <w:r w:rsidR="002A3754">
        <w:rPr>
          <w:rFonts w:cs="Times New Roman"/>
        </w:rPr>
        <w:t>and</w:t>
      </w:r>
      <w:r w:rsidR="00236012">
        <w:rPr>
          <w:rFonts w:cs="Times New Roman"/>
        </w:rPr>
        <w:t xml:space="preserve"> still provide a useful tool for risk-stratification. Furthermore, previously published rule-in thresholds</w:t>
      </w:r>
      <w:r w:rsidR="00236012">
        <w:rPr>
          <w:rFonts w:cs="Times New Roman"/>
        </w:rPr>
        <w:fldChar w:fldCharType="begin" w:fldLock="1"/>
      </w:r>
      <w:r w:rsidR="008477B1">
        <w:rPr>
          <w:rFonts w:cs="Times New Roman"/>
        </w:rPr>
        <w:instrText>ADDIN CSL_CITATION {"citationItems":[{"id":"ITEM-1","itemData":{"abstract":"BACKGROUND:Cardiac myosin-binding protein C (cMyC) is a cardiac-restricted protein that is more abundant than cardiac troponins (cTn) and is released more rapidly after acute myocardial infarction (AMI). We evaluated cMyC as an adjunct or alternative to cTn in the early diagnosis of AMI. METHODS:Unselected patients (N=1954) presenting to the emergency department with symptoms suggestive of AMI, concentrations of cMyC, and high-sensitivity (hs) and standard-sensitivity cTn were measured at presentation. The final diagnosis of AMI was independently adjudicated using all available clinical and biochemical information without knowledge of cMyC. The prognostic end point was long-term mortality. RESULTS:Final diagnosis was AMI in 340 patients (17%). Concentrations of cMyC at presentation were significantly higher in those with versus without AMI (median, 237 ng/L versus 13 ng/L, P&lt;0.001). Discriminatory power for AMI, as quantified by the area under the receiver-operating characteristic curve (AUC), was comparable for cMyC (AUC, 0.924), hs-cTnT (AUC, 0.927), and hs-cTnI (AUC, 0.922) and superior to cTnI measured by a contemporary sensitivity assay (AUC, 0.909). The combination of cMyC with hs-cTnT or standard-sensitivity cTnI (but not hs-cTnI) led to an increase in AUC to 0.931 (P&lt;0.0001) and 0.926 (P=0.003), respectively. Use of cMyC more accurately classified patients with a single blood test into rule-out or rule-in categories: Net Reclassification Improvement +0.149 versus hs-cTnT, +0.235 versus hs-cTnI (P&lt;0.001). In early presenters (chest pain &lt;3 h), the improvement in rule-in/rule-out classification with cMyC was larger compared with hs-cTnT (Net Reclassification Improvement +0.256) and hs-cTnI (Net Reclassification Improvement +0.308; both P&lt;0.001). Comparing the C statistics, cMyC was superior to hs-cTnI and standard sensitivity cTnI (P&lt;0.05 for both) and similar to hs-cTnT at predicting death at 3 years. CONCLUSIONS:cMyC at presentation provides discriminatory power comparable to hs-cTnT and hs-cTnI in the diagnosis of AMI and may perform favorably in patients presenting early after symptom onset. CLINICAL TRIAL REGISTRATION:URL: https://www.clinicaltrials.gov. Unique identifier: NCT00470587.","author":[{"dropping-particle":"","family":"Kaier","given":"Thomas E","non-dropping-particle":"","parse-names":false,"suffix":""},{"dropping-particle":"","family":"Twerenbold","given":"Raphael","non-dropping-particle":"","parse-names":false,"suffix":""},{"dropping-particle":"","family":"Puelacher","given":"Christian","non-dropping-particle":"","parse-names":false,"suffix":""},{"dropping-particle":"","family":"Marjot","given":"Jack","non-dropping-particle":"","parse-names":false,"suffix":""},{"dropping-particle":"","family":"Imambaccus","given":"Nazia","non-dropping-particle":"","parse-names":false,"suffix":""},{"dropping-particle":"","family":"Boeddinghaus","given":"Jasper","non-dropping-particle":"","parse-names":false,"suffix":""},{"dropping-particle":"","family":"Nestelberger","given":"Thomas","non-dropping-particle":"","parse-names":false,"suffix":""},{"dropping-particle":"","family":"Badertscher","given":"Patrick","non-dropping-particle":"","parse-names":false,"suffix":""},{"dropping-particle":"","family":"Sabti","given":"Zaid","non-dropping-particle":"","parse-names":false,"suffix":""},{"dropping-particle":"","family":"Gimenez","given":"Maria Rubini","non-dropping-particle":"","parse-names":false,"suffix":""},{"dropping-particle":"","family":"Wildi","given":"Karin","non-dropping-particle":"","parse-names":false,"suffix":""},{"dropping-particle":"","family":"Hillinger","given":"Petra","non-dropping-particle":"","parse-names":false,"suffix":""},{"dropping-particle":"","family":"Grimm","given":"Karin","non-dropping-particle":"","parse-names":false,"suffix":""},{"dropping-particle":"","family":"Loeffel","given":"Sarah","non-dropping-particle":"","parse-names":false,"suffix":""},{"dropping-particle":"","family":"Shrestha","given":"Samyut","non-dropping-particle":"","parse-names":false,"suffix":""},{"dropping-particle":"","family":"Widmer","given":"Dayana Flores","non-dropping-particle":"","parse-names":false,"suffix":""},{"dropping-particle":"","family":"Cupa","given":"Janosch","non-dropping-particle":"","parse-names":false,"suffix":""},{"dropping-particle":"","family":"Kozhuharov","given":"Nikola","non-dropping-particle":"","parse-names":false,"suffix":""},{"dropping-particle":"","family":"Miró","given":"Òscar","non-dropping-particle":"","parse-names":false,"suffix":""},{"dropping-particle":"","family":"Martin-Sanchez","given":"F Javier","non-dropping-particle":"","parse-names":false,"suffix":""},{"dropping-particle":"","family":"Morawiec","given":"Beata","non-dropping-particle":"","parse-names":false,"suffix":""},{"dropping-particle":"","family":"Rentsch","given":"Katharina","non-dropping-particle":"","parse-names":false,"suffix":""},{"dropping-particle":"","family":"Lohrmann","given":"Jens","non-dropping-particle":"","parse-names":false,"suffix":""},{"dropping-particle":"","family":"Kloos","given":"Wanda","non-dropping-particle":"","parse-names":false,"suffix":""},{"dropping-particle":"","family":"Osswald","given":"Stefan","non-dropping-particle":"","parse-names":false,"suffix":""},{"dropping-particle":"","family":"Reichlin","given":"Tobias","non-dropping-particle":"","parse-names":false,"suffix":""},{"dropping-particle":"","family":"Weber","given":"Ekkehard","non-dropping-particle":"","parse-names":false,"suffix":""},{"dropping-particle":"","family":"Marber","given":"Michael","non-dropping-particle":"","parse-names":false,"suffix":""},{"dropping-particle":"","family":"Mueller","given":"Christian","non-dropping-particle":"","parse-names":false,"suffix":""}],"container-title":"Circulation","id":"ITEM-1","issue":"16","issued":{"date-parts":[["2017","10","17"]]},"page":"1495-1508","publisher":"Lippincott Williams &amp; Wilkins","publisher-place":"From King's College London BHF Centre, Rayne Institute, St Thomas' Hospital, London, UK (T.K., J.M., N.I., M.M.); Department of Cardiology and Cardiovascular Research Institute Basel, University Hospital Basel, Switzerland (R.T., C.P., J.B., T.N., P.B., Z","title":"Direct Comparison of Cardiac Myosin-Binding Protein C With Cardiac Troponins for the Early Diagnosis of Acute Myocardial Infarction.","type":"article-journal","volume":"136"},"uris":["http://www.mendeley.com/documents/?uuid=84746d0c-aa2d-4e2f-a7ad-449f9bfe8cf9"]}],"mendeley":{"formattedCitation":"&lt;sup&gt;13&lt;/sup&gt;","plainTextFormattedCitation":"13","previouslyFormattedCitation":"&lt;sup&gt;13&lt;/sup&gt;"},"properties":{"noteIndex":0},"schema":"https://github.com/citation-style-language/schema/raw/master/csl-citation.json"}</w:instrText>
      </w:r>
      <w:r w:rsidR="00236012">
        <w:rPr>
          <w:rFonts w:cs="Times New Roman"/>
        </w:rPr>
        <w:fldChar w:fldCharType="separate"/>
      </w:r>
      <w:r w:rsidR="00791F99" w:rsidRPr="00791F99">
        <w:rPr>
          <w:rFonts w:cs="Times New Roman"/>
          <w:noProof/>
          <w:vertAlign w:val="superscript"/>
        </w:rPr>
        <w:t>13</w:t>
      </w:r>
      <w:r w:rsidR="00236012">
        <w:rPr>
          <w:rFonts w:cs="Times New Roman"/>
        </w:rPr>
        <w:fldChar w:fldCharType="end"/>
      </w:r>
      <w:r w:rsidR="00236012">
        <w:rPr>
          <w:rFonts w:cs="Times New Roman"/>
        </w:rPr>
        <w:t xml:space="preserve"> (120 ng/L) demonstrate a comparably high specificity (&gt;90%) irrespective of symptom-onset.</w:t>
      </w:r>
    </w:p>
    <w:p w14:paraId="1F6A4940" w14:textId="12C11C25" w:rsidR="00C352A2" w:rsidRPr="00C3521D" w:rsidRDefault="00C352A2" w:rsidP="00C352A2">
      <w:pPr>
        <w:rPr>
          <w:rFonts w:cs="Times New Roman"/>
        </w:rPr>
      </w:pPr>
      <w:r w:rsidRPr="00C3521D">
        <w:rPr>
          <w:rFonts w:cs="Times New Roman"/>
        </w:rPr>
        <w:t xml:space="preserve">This study has several limitations: 1) cMyC is currently only available on a high-sensitivity research platform and the migration onto POCT has not been completed. </w:t>
      </w:r>
      <w:r w:rsidR="00F343D7">
        <w:rPr>
          <w:rFonts w:cs="Times New Roman"/>
        </w:rPr>
        <w:t>2</w:t>
      </w:r>
      <w:r w:rsidRPr="00C3521D">
        <w:rPr>
          <w:rFonts w:cs="Times New Roman"/>
        </w:rPr>
        <w:t>) Any cut-offs investigated are subject to cohort-specific calibration</w:t>
      </w:r>
      <w:r w:rsidR="00EF4340">
        <w:rPr>
          <w:rFonts w:cs="Times New Roman"/>
        </w:rPr>
        <w:t xml:space="preserve"> – hence, the current analysis employs additional, agnostic approaches such as the application and comparison of logistic regression models which are not dependent on assay-specific cut-offs. To allow a more clinically relevant interpretation, the information provided has been translated into diagnostic nomograms – to calculate probabilities of AMI or death based on an individual’s cMyC </w:t>
      </w:r>
      <w:r w:rsidR="00B50D44">
        <w:rPr>
          <w:rFonts w:cs="Times New Roman"/>
        </w:rPr>
        <w:t xml:space="preserve">concentrations </w:t>
      </w:r>
      <w:r w:rsidR="00EF4340">
        <w:rPr>
          <w:rFonts w:cs="Times New Roman"/>
        </w:rPr>
        <w:t xml:space="preserve">plus clinical variables. The </w:t>
      </w:r>
      <w:r w:rsidRPr="00C3521D">
        <w:rPr>
          <w:rFonts w:cs="Times New Roman"/>
        </w:rPr>
        <w:t xml:space="preserve">ability to detect lower </w:t>
      </w:r>
      <w:r w:rsidR="003C4164">
        <w:rPr>
          <w:rFonts w:cs="Times New Roman"/>
        </w:rPr>
        <w:t>volumes</w:t>
      </w:r>
      <w:r w:rsidR="003C4164" w:rsidRPr="00C3521D">
        <w:rPr>
          <w:rFonts w:cs="Times New Roman"/>
        </w:rPr>
        <w:t xml:space="preserve"> </w:t>
      </w:r>
      <w:r w:rsidRPr="00C3521D">
        <w:rPr>
          <w:rFonts w:cs="Times New Roman"/>
        </w:rPr>
        <w:t xml:space="preserve">of myocardial injury earlier </w:t>
      </w:r>
      <w:r w:rsidR="00EF4340">
        <w:rPr>
          <w:rFonts w:cs="Times New Roman"/>
        </w:rPr>
        <w:t>might be</w:t>
      </w:r>
      <w:r w:rsidR="00EF4340" w:rsidRPr="00C3521D">
        <w:rPr>
          <w:rFonts w:cs="Times New Roman"/>
        </w:rPr>
        <w:t xml:space="preserve"> </w:t>
      </w:r>
      <w:r w:rsidRPr="00C3521D">
        <w:rPr>
          <w:rFonts w:cs="Times New Roman"/>
        </w:rPr>
        <w:t>of particular use in a cohort such as the one studied, where the median time since onset of chest pain is substantially lower than in other, diagnostic chest pain studies, and rule-in of high-risk cases is of much greater importance to both the clinician and the patient.</w:t>
      </w:r>
      <w:r w:rsidR="00A8363E">
        <w:rPr>
          <w:rFonts w:cs="Times New Roman"/>
        </w:rPr>
        <w:t xml:space="preserve"> The clinical utility of the nomograms, however, is uncertain until validated in external cohorts.</w:t>
      </w:r>
      <w:r w:rsidR="009C7A6D" w:rsidRPr="00C3521D">
        <w:rPr>
          <w:rFonts w:cs="Times New Roman"/>
        </w:rPr>
        <w:t xml:space="preserve"> </w:t>
      </w:r>
      <w:r w:rsidR="00637F57" w:rsidRPr="00637F57">
        <w:rPr>
          <w:rFonts w:cs="Times New Roman"/>
        </w:rPr>
        <w:t>Furthermore</w:t>
      </w:r>
      <w:r w:rsidR="00637F57">
        <w:rPr>
          <w:rFonts w:cs="Times New Roman"/>
        </w:rPr>
        <w:t>,</w:t>
      </w:r>
      <w:r w:rsidR="00637F57" w:rsidRPr="00637F57">
        <w:rPr>
          <w:rFonts w:cs="Times New Roman"/>
        </w:rPr>
        <w:t xml:space="preserve"> implementation would require a sensitive cMyC assay on a point-of-care platform, such a platform is not currently available.</w:t>
      </w:r>
      <w:r w:rsidR="00637F57">
        <w:rPr>
          <w:rFonts w:cs="Times New Roman"/>
        </w:rPr>
        <w:t xml:space="preserve"> </w:t>
      </w:r>
      <w:r w:rsidR="00F343D7">
        <w:rPr>
          <w:rFonts w:cs="Times New Roman"/>
        </w:rPr>
        <w:t>3</w:t>
      </w:r>
      <w:r w:rsidR="005311EA" w:rsidRPr="00C3521D">
        <w:rPr>
          <w:rFonts w:cs="Times New Roman"/>
        </w:rPr>
        <w:t xml:space="preserve">) As in most studies of this type there is an inherent </w:t>
      </w:r>
      <w:r w:rsidR="009C20BF" w:rsidRPr="00C3521D">
        <w:rPr>
          <w:rFonts w:cs="Times New Roman"/>
        </w:rPr>
        <w:t>bias</w:t>
      </w:r>
      <w:r w:rsidR="005311EA" w:rsidRPr="00C3521D">
        <w:rPr>
          <w:rFonts w:cs="Times New Roman"/>
        </w:rPr>
        <w:t xml:space="preserve"> against the new biomarker since hs-</w:t>
      </w:r>
      <w:r w:rsidR="009C7A6D" w:rsidRPr="00C3521D">
        <w:rPr>
          <w:rFonts w:cs="Times New Roman"/>
        </w:rPr>
        <w:t xml:space="preserve">TnT </w:t>
      </w:r>
      <w:r w:rsidR="005311EA" w:rsidRPr="00C3521D">
        <w:rPr>
          <w:rFonts w:cs="Times New Roman"/>
        </w:rPr>
        <w:t xml:space="preserve">was </w:t>
      </w:r>
      <w:r w:rsidR="009C20BF" w:rsidRPr="00C3521D">
        <w:rPr>
          <w:rFonts w:cs="Times New Roman"/>
        </w:rPr>
        <w:t>measured</w:t>
      </w:r>
      <w:r w:rsidR="005311EA" w:rsidRPr="00C3521D">
        <w:rPr>
          <w:rFonts w:cs="Times New Roman"/>
        </w:rPr>
        <w:t xml:space="preserve"> </w:t>
      </w:r>
      <w:r w:rsidR="009C20BF" w:rsidRPr="00C3521D">
        <w:rPr>
          <w:rFonts w:cs="Times New Roman"/>
        </w:rPr>
        <w:t xml:space="preserve">during the in-hospital course and used </w:t>
      </w:r>
      <w:r w:rsidR="005311EA" w:rsidRPr="00C3521D">
        <w:rPr>
          <w:rFonts w:cs="Times New Roman"/>
        </w:rPr>
        <w:t xml:space="preserve">in the </w:t>
      </w:r>
      <w:r w:rsidR="009C20BF" w:rsidRPr="00C3521D">
        <w:rPr>
          <w:rFonts w:cs="Times New Roman"/>
        </w:rPr>
        <w:t xml:space="preserve">clinical </w:t>
      </w:r>
      <w:r w:rsidR="005311EA" w:rsidRPr="00C3521D">
        <w:rPr>
          <w:rFonts w:cs="Times New Roman"/>
        </w:rPr>
        <w:t>adjudication of AMI.</w:t>
      </w:r>
    </w:p>
    <w:p w14:paraId="4B88ECDF" w14:textId="1079AC2D" w:rsidR="00C352A2" w:rsidRPr="00C3521D" w:rsidRDefault="00C352A2" w:rsidP="00C352A2">
      <w:pPr>
        <w:rPr>
          <w:rFonts w:cs="Times New Roman"/>
        </w:rPr>
      </w:pPr>
      <w:r w:rsidRPr="00C3521D">
        <w:rPr>
          <w:rFonts w:cs="Times New Roman"/>
        </w:rPr>
        <w:t xml:space="preserve">In summary, we have demonstrated that 1) cMyC achieves </w:t>
      </w:r>
      <w:r w:rsidR="00BD5AF9">
        <w:rPr>
          <w:rFonts w:cs="Times New Roman"/>
        </w:rPr>
        <w:t>improved</w:t>
      </w:r>
      <w:r w:rsidR="00BD5AF9" w:rsidRPr="00C3521D">
        <w:rPr>
          <w:rFonts w:cs="Times New Roman"/>
        </w:rPr>
        <w:t xml:space="preserve"> </w:t>
      </w:r>
      <w:r w:rsidRPr="00C3521D">
        <w:rPr>
          <w:rFonts w:cs="Times New Roman"/>
        </w:rPr>
        <w:t xml:space="preserve">diagnostic discrimination </w:t>
      </w:r>
      <w:r w:rsidRPr="00C3521D">
        <w:rPr>
          <w:rFonts w:cs="Times New Roman"/>
        </w:rPr>
        <w:lastRenderedPageBreak/>
        <w:t xml:space="preserve">at earlier time points </w:t>
      </w:r>
      <w:r w:rsidR="00BD5AF9">
        <w:rPr>
          <w:rFonts w:cs="Times New Roman"/>
        </w:rPr>
        <w:t>compared to</w:t>
      </w:r>
      <w:r w:rsidR="00BD5AF9" w:rsidRPr="00C3521D">
        <w:rPr>
          <w:rFonts w:cs="Times New Roman"/>
        </w:rPr>
        <w:t xml:space="preserve"> </w:t>
      </w:r>
      <w:r w:rsidRPr="00C3521D">
        <w:rPr>
          <w:rFonts w:cs="Times New Roman"/>
        </w:rPr>
        <w:t xml:space="preserve">hs-cTnT; 2) </w:t>
      </w:r>
      <w:r w:rsidR="00271EC4">
        <w:rPr>
          <w:rFonts w:cs="Times New Roman"/>
        </w:rPr>
        <w:t>the addition of cMyC to hs-cTnT would provide additional diagnostic information</w:t>
      </w:r>
      <w:r w:rsidRPr="00C3521D">
        <w:rPr>
          <w:rFonts w:cs="Times New Roman"/>
        </w:rPr>
        <w:t xml:space="preserve">; 3) cMyC achieves </w:t>
      </w:r>
      <w:r w:rsidR="000B1547">
        <w:rPr>
          <w:rFonts w:cs="Times New Roman"/>
        </w:rPr>
        <w:t>high</w:t>
      </w:r>
      <w:r w:rsidR="000B1547" w:rsidRPr="00C3521D">
        <w:rPr>
          <w:rFonts w:cs="Times New Roman"/>
        </w:rPr>
        <w:t xml:space="preserve"> </w:t>
      </w:r>
      <w:r w:rsidRPr="00C3521D">
        <w:rPr>
          <w:rFonts w:cs="Times New Roman"/>
        </w:rPr>
        <w:t xml:space="preserve">sensitivity and NPV at </w:t>
      </w:r>
      <w:r w:rsidR="006D762E">
        <w:rPr>
          <w:rFonts w:cs="Times New Roman"/>
        </w:rPr>
        <w:t xml:space="preserve">10ng/L, a relatively high concentration that maybe measurable at point-of-care </w:t>
      </w:r>
      <w:r w:rsidRPr="00C3521D">
        <w:rPr>
          <w:rFonts w:cs="Times New Roman"/>
        </w:rPr>
        <w:t xml:space="preserve">. </w:t>
      </w:r>
    </w:p>
    <w:p w14:paraId="3B4AB197" w14:textId="77777777" w:rsidR="007D484D" w:rsidRDefault="007D484D">
      <w:pPr>
        <w:widowControl/>
        <w:autoSpaceDE/>
        <w:autoSpaceDN/>
        <w:adjustRightInd/>
        <w:spacing w:line="240" w:lineRule="auto"/>
        <w:jc w:val="left"/>
        <w:rPr>
          <w:rFonts w:cs="Times New Roman"/>
        </w:rPr>
      </w:pPr>
      <w:r>
        <w:rPr>
          <w:rFonts w:cs="Times New Roman"/>
        </w:rPr>
        <w:br w:type="page"/>
      </w:r>
    </w:p>
    <w:p w14:paraId="3B8BC54C" w14:textId="77777777" w:rsidR="007D484D" w:rsidRPr="00C2084F" w:rsidRDefault="007D484D" w:rsidP="00C2084F">
      <w:pPr>
        <w:pStyle w:val="Heading3"/>
        <w:rPr>
          <w:rStyle w:val="Hyperlink"/>
          <w:color w:val="auto"/>
          <w:u w:val="none"/>
        </w:rPr>
      </w:pPr>
      <w:r w:rsidRPr="00C2084F">
        <w:rPr>
          <w:rStyle w:val="Hyperlink"/>
          <w:color w:val="auto"/>
          <w:u w:val="none"/>
        </w:rPr>
        <w:lastRenderedPageBreak/>
        <w:t>Acknowledgements:</w:t>
      </w:r>
    </w:p>
    <w:p w14:paraId="6D91FCD3" w14:textId="037D3C3C" w:rsidR="001322DD" w:rsidRDefault="00AA4577" w:rsidP="00C2084F">
      <w:pPr>
        <w:rPr>
          <w:rStyle w:val="Hyperlink"/>
          <w:rFonts w:cs="Times New Roman"/>
          <w:bCs/>
          <w:color w:val="000000" w:themeColor="text1"/>
          <w:u w:val="none"/>
        </w:rPr>
      </w:pPr>
      <w:r w:rsidRPr="00AA4577">
        <w:rPr>
          <w:rStyle w:val="Hyperlink"/>
          <w:rFonts w:cs="Times New Roman"/>
          <w:bCs/>
          <w:color w:val="000000" w:themeColor="text1"/>
          <w:u w:val="none"/>
        </w:rPr>
        <w:t>Thanks to the Vanderbilt University Department of B</w:t>
      </w:r>
      <w:r>
        <w:rPr>
          <w:rStyle w:val="Hyperlink"/>
          <w:rFonts w:cs="Times New Roman"/>
          <w:bCs/>
          <w:color w:val="000000" w:themeColor="text1"/>
          <w:u w:val="none"/>
        </w:rPr>
        <w:t>i</w:t>
      </w:r>
      <w:r w:rsidRPr="00AA4577">
        <w:rPr>
          <w:rStyle w:val="Hyperlink"/>
          <w:rFonts w:cs="Times New Roman"/>
          <w:bCs/>
          <w:color w:val="000000" w:themeColor="text1"/>
          <w:u w:val="none"/>
        </w:rPr>
        <w:t>ostatistics for hosting datamethods.org which provided a platform for fruitful discussions on this topic</w:t>
      </w:r>
      <w:r>
        <w:rPr>
          <w:rStyle w:val="Hyperlink"/>
          <w:rFonts w:cs="Times New Roman"/>
          <w:bCs/>
          <w:color w:val="000000" w:themeColor="text1"/>
          <w:u w:val="none"/>
        </w:rPr>
        <w:t xml:space="preserve">. </w:t>
      </w:r>
      <w:r w:rsidR="001322DD">
        <w:rPr>
          <w:rStyle w:val="Hyperlink"/>
          <w:rFonts w:cs="Times New Roman"/>
          <w:bCs/>
          <w:color w:val="000000" w:themeColor="text1"/>
          <w:u w:val="none"/>
        </w:rPr>
        <w:t>We thank Prof Frank Harrell (</w:t>
      </w:r>
      <w:r w:rsidR="001322DD" w:rsidRPr="001322DD">
        <w:rPr>
          <w:rStyle w:val="Hyperlink"/>
          <w:rFonts w:cs="Times New Roman"/>
          <w:bCs/>
          <w:color w:val="000000" w:themeColor="text1"/>
          <w:u w:val="none"/>
        </w:rPr>
        <w:t>Vanderbilt University School of Medicine</w:t>
      </w:r>
      <w:r w:rsidR="001322DD">
        <w:rPr>
          <w:rStyle w:val="Hyperlink"/>
          <w:rFonts w:cs="Times New Roman"/>
          <w:bCs/>
          <w:color w:val="000000" w:themeColor="text1"/>
          <w:u w:val="none"/>
        </w:rPr>
        <w:t xml:space="preserve">, USA), </w:t>
      </w:r>
      <w:r w:rsidR="00D74C13" w:rsidRPr="00D74C13">
        <w:rPr>
          <w:rStyle w:val="Hyperlink"/>
          <w:rFonts w:cs="Times New Roman"/>
          <w:bCs/>
          <w:color w:val="000000" w:themeColor="text1"/>
          <w:u w:val="none"/>
        </w:rPr>
        <w:t>A/Prof</w:t>
      </w:r>
      <w:r w:rsidR="00D74C13">
        <w:rPr>
          <w:rStyle w:val="Hyperlink"/>
          <w:rFonts w:cs="Times New Roman"/>
          <w:bCs/>
          <w:color w:val="000000" w:themeColor="text1"/>
          <w:u w:val="none"/>
        </w:rPr>
        <w:t xml:space="preserve"> </w:t>
      </w:r>
      <w:r w:rsidR="001322DD">
        <w:rPr>
          <w:rStyle w:val="Hyperlink"/>
          <w:rFonts w:cs="Times New Roman"/>
          <w:bCs/>
          <w:color w:val="000000" w:themeColor="text1"/>
          <w:u w:val="none"/>
        </w:rPr>
        <w:t xml:space="preserve">John Pickering </w:t>
      </w:r>
      <w:r w:rsidR="00D74C13">
        <w:rPr>
          <w:rStyle w:val="Hyperlink"/>
          <w:rFonts w:cs="Times New Roman"/>
          <w:bCs/>
          <w:color w:val="000000" w:themeColor="text1"/>
          <w:u w:val="none"/>
        </w:rPr>
        <w:t>(</w:t>
      </w:r>
      <w:r w:rsidR="00D74C13" w:rsidRPr="00D74C13">
        <w:rPr>
          <w:rStyle w:val="Hyperlink"/>
          <w:rFonts w:cs="Times New Roman"/>
          <w:bCs/>
          <w:color w:val="000000" w:themeColor="text1"/>
          <w:u w:val="none"/>
        </w:rPr>
        <w:t>University of Otago</w:t>
      </w:r>
      <w:r w:rsidR="00D74C13">
        <w:rPr>
          <w:rStyle w:val="Hyperlink"/>
          <w:rFonts w:cs="Times New Roman"/>
          <w:bCs/>
          <w:color w:val="000000" w:themeColor="text1"/>
          <w:u w:val="none"/>
        </w:rPr>
        <w:t xml:space="preserve">, </w:t>
      </w:r>
      <w:r w:rsidR="00D74C13" w:rsidRPr="00D74C13">
        <w:rPr>
          <w:rStyle w:val="Hyperlink"/>
          <w:rFonts w:cs="Times New Roman"/>
          <w:bCs/>
          <w:color w:val="000000" w:themeColor="text1"/>
          <w:u w:val="none"/>
        </w:rPr>
        <w:t>Christchurch</w:t>
      </w:r>
      <w:r w:rsidR="001322DD">
        <w:rPr>
          <w:rStyle w:val="Hyperlink"/>
          <w:rFonts w:cs="Times New Roman"/>
          <w:bCs/>
          <w:color w:val="000000" w:themeColor="text1"/>
          <w:u w:val="none"/>
        </w:rPr>
        <w:t xml:space="preserve">, NZ) and Dr </w:t>
      </w:r>
      <w:r w:rsidR="005177F4" w:rsidRPr="005177F4">
        <w:rPr>
          <w:rStyle w:val="Hyperlink"/>
          <w:rFonts w:cs="Times New Roman"/>
          <w:bCs/>
          <w:color w:val="000000" w:themeColor="text1"/>
          <w:u w:val="none"/>
        </w:rPr>
        <w:t>James Rooney PhD</w:t>
      </w:r>
      <w:r w:rsidR="005177F4">
        <w:rPr>
          <w:rStyle w:val="Hyperlink"/>
          <w:rFonts w:cs="Times New Roman"/>
          <w:bCs/>
          <w:color w:val="000000" w:themeColor="text1"/>
          <w:u w:val="none"/>
        </w:rPr>
        <w:t xml:space="preserve"> (</w:t>
      </w:r>
      <w:r w:rsidR="005177F4" w:rsidRPr="005177F4">
        <w:rPr>
          <w:rStyle w:val="Hyperlink"/>
          <w:rFonts w:cs="Times New Roman"/>
          <w:bCs/>
          <w:color w:val="000000" w:themeColor="text1"/>
          <w:u w:val="none"/>
        </w:rPr>
        <w:t>Academic Unit of Neurology, Trinity Biomedical Sciences Institute, Trinity College Dublin</w:t>
      </w:r>
      <w:r w:rsidR="005177F4">
        <w:rPr>
          <w:rStyle w:val="Hyperlink"/>
          <w:rFonts w:cs="Times New Roman"/>
          <w:bCs/>
          <w:color w:val="000000" w:themeColor="text1"/>
          <w:u w:val="none"/>
        </w:rPr>
        <w:t>,</w:t>
      </w:r>
      <w:r w:rsidR="001322DD">
        <w:rPr>
          <w:rStyle w:val="Hyperlink"/>
          <w:rFonts w:cs="Times New Roman"/>
          <w:bCs/>
          <w:color w:val="000000" w:themeColor="text1"/>
          <w:u w:val="none"/>
        </w:rPr>
        <w:t xml:space="preserve"> IE) for their thoughtful contributions and an inspiring exchange of ideas &amp; methods</w:t>
      </w:r>
      <w:r w:rsidR="00D74C13">
        <w:rPr>
          <w:rStyle w:val="Hyperlink"/>
          <w:rFonts w:cs="Times New Roman"/>
          <w:bCs/>
          <w:color w:val="000000" w:themeColor="text1"/>
          <w:u w:val="none"/>
        </w:rPr>
        <w:t>.</w:t>
      </w:r>
    </w:p>
    <w:p w14:paraId="7C1CCD79" w14:textId="4AC80CC7" w:rsidR="007D484D" w:rsidRPr="00C3521D" w:rsidRDefault="007D484D" w:rsidP="00C2084F">
      <w:pPr>
        <w:rPr>
          <w:rStyle w:val="Hyperlink"/>
          <w:rFonts w:cs="Times New Roman"/>
          <w:b/>
          <w:bCs/>
          <w:color w:val="000000" w:themeColor="text1"/>
          <w:u w:val="none"/>
        </w:rPr>
      </w:pPr>
      <w:r w:rsidRPr="00C3521D">
        <w:rPr>
          <w:rStyle w:val="Hyperlink"/>
          <w:rFonts w:cs="Times New Roman"/>
          <w:bCs/>
          <w:color w:val="000000" w:themeColor="text1"/>
          <w:u w:val="none"/>
        </w:rPr>
        <w:t>We are grateful to Dr Jack Branch and Tim Dwyer of AgPlus Diagnostics Ltd. for supplying preliminary data regarding the feasibility of migrating the assay for cMyC on to a point of care diagnostic platform.</w:t>
      </w:r>
    </w:p>
    <w:p w14:paraId="78038521" w14:textId="5C14B05E" w:rsidR="007D484D" w:rsidRPr="007D484D" w:rsidRDefault="007D484D" w:rsidP="00C2084F">
      <w:pPr>
        <w:pStyle w:val="Heading3"/>
      </w:pPr>
      <w:r w:rsidRPr="007D484D">
        <w:t>Funding</w:t>
      </w:r>
      <w:r w:rsidR="00BB2921">
        <w:t>:</w:t>
      </w:r>
    </w:p>
    <w:p w14:paraId="3A172BAA" w14:textId="7B24356C" w:rsidR="007D484D" w:rsidRPr="00C3521D" w:rsidRDefault="007D484D" w:rsidP="00C2084F">
      <w:r w:rsidRPr="00C3521D">
        <w:t xml:space="preserve">C.S. has received lecture fees and research grants from Roche Diagnostics </w:t>
      </w:r>
      <w:r w:rsidR="002C336E">
        <w:t>(Basel, Switzerland) Thermo Fis</w:t>
      </w:r>
      <w:r w:rsidRPr="00C3521D">
        <w:t>her Scientific (Waltham, USA) and The Medicines Company (Parsippany-Troy Hills, USA). J.T.S. has received research grants from Falck Emergency Medical Services (Copenhagen, Denmark) and lecture fees from Roche Diagnostics. H.E.B. has received grants from the Danish Research Council (</w:t>
      </w:r>
      <w:r w:rsidR="00BD5AF9">
        <w:t>Copenhagen</w:t>
      </w:r>
      <w:r w:rsidRPr="00C3521D">
        <w:t>, Denmark).</w:t>
      </w:r>
    </w:p>
    <w:p w14:paraId="25F2E928" w14:textId="76EBA792" w:rsidR="007D484D" w:rsidRPr="00C3521D" w:rsidRDefault="007D484D" w:rsidP="00C2084F">
      <w:pPr>
        <w:rPr>
          <w:bCs/>
        </w:rPr>
      </w:pPr>
      <w:r w:rsidRPr="00C3521D">
        <w:rPr>
          <w:bCs/>
        </w:rPr>
        <w:t>This work was further supported by grants from the Medical Research Council (London, UK) (</w:t>
      </w:r>
      <w:hyperlink r:id="rId9" w:anchor="gs1" w:history="1">
        <w:r w:rsidRPr="00C3521D">
          <w:rPr>
            <w:rStyle w:val="Hyperlink"/>
            <w:bCs/>
          </w:rPr>
          <w:t>G1000737</w:t>
        </w:r>
      </w:hyperlink>
      <w:r w:rsidRPr="00C3521D">
        <w:rPr>
          <w:bCs/>
        </w:rPr>
        <w:t xml:space="preserve">), Guy's and St Thomas' Charity (London, UK; </w:t>
      </w:r>
      <w:hyperlink r:id="rId10" w:anchor="gs2" w:history="1">
        <w:r w:rsidRPr="00C3521D">
          <w:rPr>
            <w:rStyle w:val="Hyperlink"/>
            <w:bCs/>
          </w:rPr>
          <w:t>R060701</w:t>
        </w:r>
      </w:hyperlink>
      <w:r w:rsidRPr="00C3521D">
        <w:rPr>
          <w:bCs/>
        </w:rPr>
        <w:t xml:space="preserve">, </w:t>
      </w:r>
      <w:hyperlink r:id="rId11" w:anchor="gs2" w:history="1">
        <w:r w:rsidRPr="00C3521D">
          <w:rPr>
            <w:rStyle w:val="Hyperlink"/>
            <w:bCs/>
          </w:rPr>
          <w:t>R100404</w:t>
        </w:r>
      </w:hyperlink>
      <w:r w:rsidRPr="00C3521D">
        <w:rPr>
          <w:bCs/>
        </w:rPr>
        <w:t xml:space="preserve">), British Heart Foundation (Birmingham, London; </w:t>
      </w:r>
      <w:hyperlink r:id="rId12" w:anchor="gs3" w:history="1">
        <w:r w:rsidRPr="00C3521D">
          <w:rPr>
            <w:rStyle w:val="Hyperlink"/>
            <w:bCs/>
          </w:rPr>
          <w:t>TG/15/1/31518</w:t>
        </w:r>
      </w:hyperlink>
      <w:r w:rsidRPr="00C3521D">
        <w:rPr>
          <w:bCs/>
        </w:rPr>
        <w:t xml:space="preserve">, FS/15/13/31320), and the UK Department of Health through the National Institute for Health Research Biomedical Research Centre award to Guy's &amp; St Thomas' National Health Service Foundation Trust. </w:t>
      </w:r>
    </w:p>
    <w:p w14:paraId="72E7798C" w14:textId="77777777" w:rsidR="007D484D" w:rsidRPr="00C3521D" w:rsidRDefault="007D484D" w:rsidP="00C2084F">
      <w:pPr>
        <w:rPr>
          <w:bCs/>
        </w:rPr>
      </w:pPr>
      <w:r w:rsidRPr="00C3521D">
        <w:rPr>
          <w:bCs/>
        </w:rPr>
        <w:t xml:space="preserve">The remaining authors have </w:t>
      </w:r>
      <w:r>
        <w:rPr>
          <w:bCs/>
        </w:rPr>
        <w:t>no conflicts of interest.</w:t>
      </w:r>
    </w:p>
    <w:p w14:paraId="352EDDC8" w14:textId="3769CB08" w:rsidR="007D484D" w:rsidRPr="007D484D" w:rsidRDefault="00BB2921" w:rsidP="00C2084F">
      <w:pPr>
        <w:pStyle w:val="Heading3"/>
      </w:pPr>
      <w:r>
        <w:t>Conflict of Interest Disclosures</w:t>
      </w:r>
      <w:r w:rsidR="007D484D" w:rsidRPr="007D484D">
        <w:t>:</w:t>
      </w:r>
    </w:p>
    <w:p w14:paraId="5B6820C8" w14:textId="208C8347" w:rsidR="00D619A0" w:rsidRPr="00C3521D" w:rsidRDefault="007D484D" w:rsidP="00C2084F">
      <w:pPr>
        <w:rPr>
          <w:rFonts w:cs="Times New Roman"/>
        </w:rPr>
      </w:pPr>
      <w:r w:rsidRPr="00C3521D">
        <w:t xml:space="preserve">Millipore Sigma was contracted to undertake the analyses of cMyC on a fee-for-service basis </w:t>
      </w:r>
      <w:r w:rsidRPr="00C3521D">
        <w:lastRenderedPageBreak/>
        <w:t>and holds no commercial interest. Prof Marber is named as an inventor on a patent held by King’s College London for the detection of cardiac myosin–binding protein C as a biomarker of myocardial injury. The remaining authors have nothing to disclose.</w:t>
      </w:r>
    </w:p>
    <w:p w14:paraId="1A7FDA33" w14:textId="77777777" w:rsidR="00AA31BB" w:rsidRPr="00AA31BB" w:rsidRDefault="00AA31BB" w:rsidP="00263079">
      <w:pPr>
        <w:pStyle w:val="Heading3"/>
      </w:pPr>
      <w:r w:rsidRPr="00AA31BB">
        <w:t>Affiliations:</w:t>
      </w:r>
    </w:p>
    <w:p w14:paraId="1EF002C2" w14:textId="6EA82020" w:rsidR="005344E9" w:rsidRPr="00263079" w:rsidRDefault="00AA31BB" w:rsidP="00263079">
      <w:pPr>
        <w:rPr>
          <w:rFonts w:cs="Times New Roman"/>
        </w:rPr>
      </w:pPr>
      <w:r>
        <w:rPr>
          <w:rFonts w:cs="Times New Roman"/>
        </w:rPr>
        <w:t xml:space="preserve">From </w:t>
      </w:r>
      <w:r w:rsidRPr="00C3521D">
        <w:t>King’s College London BHF Centre, The Rayne Institute, St Thomas’ Hospital, London, UK</w:t>
      </w:r>
      <w:r>
        <w:rPr>
          <w:rFonts w:cs="Times New Roman"/>
        </w:rPr>
        <w:t xml:space="preserve"> (T.E.K., J.M., B.A., S.S.-T., L.W., M.M.); </w:t>
      </w:r>
      <w:r w:rsidRPr="00782124">
        <w:t>Department of Cardiology, Aarhus University Hospital, Aarhus, Denmark</w:t>
      </w:r>
      <w:r>
        <w:rPr>
          <w:rFonts w:cs="Times New Roman"/>
        </w:rPr>
        <w:t xml:space="preserve"> (C.S., J.T.S., C.J.T., K.T., H.E.B.); </w:t>
      </w:r>
      <w:r w:rsidRPr="00211C08">
        <w:rPr>
          <w:lang w:val="en-US"/>
        </w:rPr>
        <w:t>Institute of Physiological Chemistry, Martin Luther University Halle-Wittenberg, Halle, German</w:t>
      </w:r>
      <w:r>
        <w:rPr>
          <w:lang w:val="en-US"/>
        </w:rPr>
        <w:t>y</w:t>
      </w:r>
      <w:r>
        <w:rPr>
          <w:rFonts w:cs="Times New Roman"/>
        </w:rPr>
        <w:t xml:space="preserve"> (E.W.)</w:t>
      </w:r>
      <w:r w:rsidR="005344E9">
        <w:rPr>
          <w:rFonts w:cs="Times New Roman"/>
        </w:rPr>
        <w:br w:type="page"/>
      </w:r>
    </w:p>
    <w:p w14:paraId="54553B15" w14:textId="77777777" w:rsidR="00BE6599" w:rsidRDefault="00BE6599" w:rsidP="00FA5811">
      <w:pPr>
        <w:pStyle w:val="Heading2"/>
        <w:rPr>
          <w:rFonts w:cs="Times New Roman"/>
        </w:rPr>
        <w:sectPr w:rsidR="00BE6599" w:rsidSect="004F1B1F">
          <w:footerReference w:type="even" r:id="rId13"/>
          <w:footerReference w:type="default" r:id="rId14"/>
          <w:pgSz w:w="11900" w:h="16840"/>
          <w:pgMar w:top="1440" w:right="1440" w:bottom="1440" w:left="1440" w:header="720" w:footer="720" w:gutter="0"/>
          <w:lnNumType w:countBy="1"/>
          <w:cols w:space="720"/>
          <w:docGrid w:linePitch="360"/>
        </w:sectPr>
      </w:pPr>
    </w:p>
    <w:p w14:paraId="5CD4D7EF" w14:textId="5011C23B" w:rsidR="00BF78DE" w:rsidRDefault="00BF1788" w:rsidP="00FA5811">
      <w:pPr>
        <w:pStyle w:val="Heading2"/>
        <w:rPr>
          <w:rFonts w:cs="Times New Roman"/>
          <w:b w:val="0"/>
          <w:sz w:val="24"/>
          <w:szCs w:val="24"/>
        </w:rPr>
      </w:pPr>
      <w:r w:rsidRPr="00C3521D">
        <w:rPr>
          <w:rFonts w:cs="Times New Roman"/>
        </w:rPr>
        <w:lastRenderedPageBreak/>
        <w:t>References</w:t>
      </w:r>
    </w:p>
    <w:p w14:paraId="35CAF223" w14:textId="187F563F" w:rsidR="008477B1" w:rsidRPr="008477B1" w:rsidRDefault="00FA5811" w:rsidP="008477B1">
      <w:pPr>
        <w:ind w:left="640" w:hanging="640"/>
        <w:rPr>
          <w:rFonts w:cs="Times New Roman"/>
          <w:noProof/>
          <w:lang w:val="en-US"/>
        </w:rPr>
      </w:pPr>
      <w:r>
        <w:fldChar w:fldCharType="begin" w:fldLock="1"/>
      </w:r>
      <w:r>
        <w:instrText xml:space="preserve">ADDIN Mendeley Bibliography CSL_BIBLIOGRAPHY </w:instrText>
      </w:r>
      <w:r>
        <w:fldChar w:fldCharType="separate"/>
      </w:r>
      <w:r w:rsidR="008477B1" w:rsidRPr="008477B1">
        <w:rPr>
          <w:rFonts w:cs="Times New Roman"/>
          <w:noProof/>
          <w:lang w:val="en-US"/>
        </w:rPr>
        <w:t xml:space="preserve">1. </w:t>
      </w:r>
      <w:r w:rsidR="008477B1" w:rsidRPr="008477B1">
        <w:rPr>
          <w:rFonts w:cs="Times New Roman"/>
          <w:noProof/>
          <w:lang w:val="en-US"/>
        </w:rPr>
        <w:tab/>
        <w:t xml:space="preserve">Roffi M, Patrono C, Collet J-P, Mueller C, Valgimigli M, Andreotti F, Bax JJ, Borger MA, Brotons C, Chew DP, Gencer B, Hasenfuss G, Kjeldsen K, Lancellotti P, Landmesser U, Mehilli J, Mukherjee D, Storey RF, Windecker S. 2015 ESC Guidelines for the management of acute coronary syndromes in patients presenting without persistent ST-segment elevation. </w:t>
      </w:r>
      <w:r w:rsidR="008477B1" w:rsidRPr="008477B1">
        <w:rPr>
          <w:rFonts w:cs="Times New Roman"/>
          <w:i/>
          <w:iCs/>
          <w:noProof/>
          <w:lang w:val="en-US"/>
        </w:rPr>
        <w:t>Eur Heart J</w:t>
      </w:r>
      <w:r w:rsidR="008477B1" w:rsidRPr="008477B1">
        <w:rPr>
          <w:rFonts w:cs="Times New Roman"/>
          <w:noProof/>
          <w:lang w:val="en-US"/>
        </w:rPr>
        <w:t xml:space="preserve">. 2016;37:267–315. </w:t>
      </w:r>
    </w:p>
    <w:p w14:paraId="45B7F66A"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2. </w:t>
      </w:r>
      <w:r w:rsidRPr="008477B1">
        <w:rPr>
          <w:rFonts w:cs="Times New Roman"/>
          <w:noProof/>
          <w:lang w:val="en-US"/>
        </w:rPr>
        <w:tab/>
        <w:t xml:space="preserve">Thygesen K, Alpert JS, Jaffe AS, Simoons ML, Chaitman BR, White HD, Katus HA, Apple FS, Lindahl B, Morrow DA, Clemmensen PM, Johanson P, Hod H, Underwood R, Bax JJ, Bonow RO, Pinto F, Gibbons RJ, Fox KA, Atar D, Newby LK, Galvani M, Hamm CW, Uretsky BF, Steg PG, Wijns W, Bassand JP, Menasché P, Ravkilde J, Ohman EM, Antman EM, Wallentin LC, Armstrong PW, Simoon ML, Januzzi JL, Nieminen MS, Gheorghiade M, Filippatos G, Luepker R V., Fortmann SP, Rosamond WD, Levy D, Wood D, Smith SC, Hu D, Lopez-Sendon JL, Robertson RM, Weaver D, Tendera M, Bove AA, Parkhomenko AN, Vasilieva EJ, Mendis S, Baumgartner H, Ceconi C, Dean V, Deaton C, Fagard R, Funck-Brentano C, Hasdai D, Hoes A, Kirchhof P, Knuuti J, Kolh P, McDonagh T, Moulin C, Popescu BA, Reiner Ž, Sechtem U, Sirnes PA, Torbicki A, Vahanian A, Windecker S, Morais J, Aguiar C, Almahmeed W, Arnar DO, Barili F, Bloch KD, Bolger AF, Bøtker HE, Bozkurt B, Bugiardini R, Cannon C, De Lemos J, Eberli FR, Escobar E, Hlatky M, James S, Kern KB, Moliterno DJ, Mueller C, Neskovic AN, Pieske BM, Schulman SP, Storey RF, Taubert KA, Vranckx P, et al. Third Universal Definition of Myocardial Infarction. </w:t>
      </w:r>
      <w:r w:rsidRPr="008477B1">
        <w:rPr>
          <w:rFonts w:cs="Times New Roman"/>
          <w:i/>
          <w:iCs/>
          <w:noProof/>
          <w:lang w:val="en-US"/>
        </w:rPr>
        <w:t>Circulation</w:t>
      </w:r>
      <w:r w:rsidRPr="008477B1">
        <w:rPr>
          <w:rFonts w:cs="Times New Roman"/>
          <w:noProof/>
          <w:lang w:val="en-US"/>
        </w:rPr>
        <w:t xml:space="preserve">. 2012;126:2020–2035. </w:t>
      </w:r>
    </w:p>
    <w:p w14:paraId="3D752836"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3. </w:t>
      </w:r>
      <w:r w:rsidRPr="008477B1">
        <w:rPr>
          <w:rFonts w:cs="Times New Roman"/>
          <w:noProof/>
          <w:lang w:val="en-US"/>
        </w:rPr>
        <w:tab/>
        <w:t xml:space="preserve">Amsterdam EA, Wenger NK, Brindis RG, Casey DE, Ganiats TG, Holmes DR, Jaffe AS, Jneid H, Kelly RF, Kontos MC, Levine GN, Liebson PR, Mukherjee D, Peterson ED, Sabatine MS, Smalling RW, Zieman SJ. 2014 AHA/ACC Guideline for the Management of Patients With Non–ST-Elevation Acute Coronary Syndromes. </w:t>
      </w:r>
      <w:r w:rsidRPr="008477B1">
        <w:rPr>
          <w:rFonts w:cs="Times New Roman"/>
          <w:i/>
          <w:iCs/>
          <w:noProof/>
          <w:lang w:val="en-US"/>
        </w:rPr>
        <w:lastRenderedPageBreak/>
        <w:t>Circulation</w:t>
      </w:r>
      <w:r w:rsidRPr="008477B1">
        <w:rPr>
          <w:rFonts w:cs="Times New Roman"/>
          <w:noProof/>
          <w:lang w:val="en-US"/>
        </w:rPr>
        <w:t xml:space="preserve">. 2014;130:e139-228. </w:t>
      </w:r>
    </w:p>
    <w:p w14:paraId="52946214"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4. </w:t>
      </w:r>
      <w:r w:rsidRPr="008477B1">
        <w:rPr>
          <w:rFonts w:cs="Times New Roman"/>
          <w:noProof/>
          <w:lang w:val="en-US"/>
        </w:rPr>
        <w:tab/>
        <w:t xml:space="preserve">Terkelsen CJ, Jensen LO, Tilsted HH, Thaysen P, Ravkilde J, Johnsen SP, Trautner S, Andersen HR, Thuesen L, Lassen JF. Primary percutaneous coronary intervention as a national reperfusion strategy in patients with ST-segment elevation myocardial infarction. </w:t>
      </w:r>
      <w:r w:rsidRPr="008477B1">
        <w:rPr>
          <w:rFonts w:cs="Times New Roman"/>
          <w:i/>
          <w:iCs/>
          <w:noProof/>
          <w:lang w:val="en-US"/>
        </w:rPr>
        <w:t>Circ Cardiovasc Interv</w:t>
      </w:r>
      <w:r w:rsidRPr="008477B1">
        <w:rPr>
          <w:rFonts w:cs="Times New Roman"/>
          <w:noProof/>
          <w:lang w:val="en-US"/>
        </w:rPr>
        <w:t xml:space="preserve">. 2011;4:570–576. </w:t>
      </w:r>
    </w:p>
    <w:p w14:paraId="21837787"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5. </w:t>
      </w:r>
      <w:r w:rsidRPr="008477B1">
        <w:rPr>
          <w:rFonts w:cs="Times New Roman"/>
          <w:noProof/>
          <w:lang w:val="en-US"/>
        </w:rPr>
        <w:tab/>
        <w:t xml:space="preserve">McManus DD, Gore J, Yarzebski J, Spencer F, Lessard D, Goldberg RJ. Recent Trends in the Incidence, Treatment, and Outcomes of Patients with STEMI and NSTEMI. </w:t>
      </w:r>
      <w:r w:rsidRPr="008477B1">
        <w:rPr>
          <w:rFonts w:cs="Times New Roman"/>
          <w:i/>
          <w:iCs/>
          <w:noProof/>
          <w:lang w:val="en-US"/>
        </w:rPr>
        <w:t>Am J Med</w:t>
      </w:r>
      <w:r w:rsidRPr="008477B1">
        <w:rPr>
          <w:rFonts w:cs="Times New Roman"/>
          <w:noProof/>
          <w:lang w:val="en-US"/>
        </w:rPr>
        <w:t xml:space="preserve">. 2011;124:40–47. </w:t>
      </w:r>
    </w:p>
    <w:p w14:paraId="4B8D3CDA"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6. </w:t>
      </w:r>
      <w:r w:rsidRPr="008477B1">
        <w:rPr>
          <w:rFonts w:cs="Times New Roman"/>
          <w:noProof/>
          <w:lang w:val="en-US"/>
        </w:rPr>
        <w:tab/>
        <w:t xml:space="preserve">Huitema AA, Zhu T, Alemayehu M, Lavi S. Diagnostic accuracy of ST-segment elevation myocardial infarction by various healthcare providers. </w:t>
      </w:r>
      <w:r w:rsidRPr="008477B1">
        <w:rPr>
          <w:rFonts w:cs="Times New Roman"/>
          <w:i/>
          <w:iCs/>
          <w:noProof/>
          <w:lang w:val="en-US"/>
        </w:rPr>
        <w:t>Int J Cardiol</w:t>
      </w:r>
      <w:r w:rsidRPr="008477B1">
        <w:rPr>
          <w:rFonts w:cs="Times New Roman"/>
          <w:noProof/>
          <w:lang w:val="en-US"/>
        </w:rPr>
        <w:t xml:space="preserve">. 2014;177:825–829. </w:t>
      </w:r>
    </w:p>
    <w:p w14:paraId="046443A0"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7. </w:t>
      </w:r>
      <w:r w:rsidRPr="008477B1">
        <w:rPr>
          <w:rFonts w:cs="Times New Roman"/>
          <w:noProof/>
          <w:lang w:val="en-US"/>
        </w:rPr>
        <w:tab/>
        <w:t xml:space="preserve">Stengaard C, Sørensen JT, Rasmussen MB, Søndergaard HM, Dodt KK, Niemann T, Frost L, Jensen T, Hansen TM, Riddervold IS, Rasmussen C-H, Giebner M, Aarøe J, Maeng M, Christiansen EH, Kristensen SD, Bøtker HE, Terkelsen CJ. Acute versus subacute angiography in patients with non-ST-elevation myocardial infarction - the NONSTEMI trial phase I. </w:t>
      </w:r>
      <w:r w:rsidRPr="008477B1">
        <w:rPr>
          <w:rFonts w:cs="Times New Roman"/>
          <w:i/>
          <w:iCs/>
          <w:noProof/>
          <w:lang w:val="en-US"/>
        </w:rPr>
        <w:t>Eur Heart J Acute Cardiovasc Care</w:t>
      </w:r>
      <w:r w:rsidRPr="008477B1">
        <w:rPr>
          <w:rFonts w:cs="Times New Roman"/>
          <w:noProof/>
          <w:lang w:val="en-US"/>
        </w:rPr>
        <w:t xml:space="preserve">. 2017;6:490–499. </w:t>
      </w:r>
    </w:p>
    <w:p w14:paraId="15830F18"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8. </w:t>
      </w:r>
      <w:r w:rsidRPr="008477B1">
        <w:rPr>
          <w:rFonts w:cs="Times New Roman"/>
          <w:noProof/>
          <w:lang w:val="en-US"/>
        </w:rPr>
        <w:tab/>
        <w:t xml:space="preserve">Thygesen K, Mair J, Giannitsis E, Mueller C, Lindahl B, Blankenberg S, Huber K, Plebani M, Biasucci LM, Tubaro M, Collinson P, Venge P, Hasin Y, Galvani M, Koenig W, Hamm C, Alpert JS, Katus H, Jaffe AS, Care SG on B in C of ESCWG on AC. How to use high-sensitivity cardiac troponins in acute cardiac care. </w:t>
      </w:r>
      <w:r w:rsidRPr="008477B1">
        <w:rPr>
          <w:rFonts w:cs="Times New Roman"/>
          <w:i/>
          <w:iCs/>
          <w:noProof/>
          <w:lang w:val="en-US"/>
        </w:rPr>
        <w:t>Eur Heart J</w:t>
      </w:r>
      <w:r w:rsidRPr="008477B1">
        <w:rPr>
          <w:rFonts w:cs="Times New Roman"/>
          <w:noProof/>
          <w:lang w:val="en-US"/>
        </w:rPr>
        <w:t xml:space="preserve">. 2012;33:2252–2257. </w:t>
      </w:r>
    </w:p>
    <w:p w14:paraId="5FE6C783"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9. </w:t>
      </w:r>
      <w:r w:rsidRPr="008477B1">
        <w:rPr>
          <w:rFonts w:cs="Times New Roman"/>
          <w:noProof/>
          <w:lang w:val="en-US"/>
        </w:rPr>
        <w:tab/>
        <w:t xml:space="preserve">Stengaard C, Sørensen JT, Ladefoged SA, Lassen JF, Rasmussen MB, Pedersen CK, Ayer A, Bøtker HE, Terkelsen CJ, Thygesen K. The potential of optimizing prehospital triage of patients with suspected acute myocardial infarction using high-sensitivity cardiac troponin T and copeptin. </w:t>
      </w:r>
      <w:r w:rsidRPr="008477B1">
        <w:rPr>
          <w:rFonts w:cs="Times New Roman"/>
          <w:i/>
          <w:iCs/>
          <w:noProof/>
          <w:lang w:val="en-US"/>
        </w:rPr>
        <w:t>Biomarkers</w:t>
      </w:r>
      <w:r w:rsidRPr="008477B1">
        <w:rPr>
          <w:rFonts w:cs="Times New Roman"/>
          <w:noProof/>
          <w:lang w:val="en-US"/>
        </w:rPr>
        <w:t xml:space="preserve">. 2016;37:1–13. </w:t>
      </w:r>
    </w:p>
    <w:p w14:paraId="3380C47B" w14:textId="77777777" w:rsidR="008477B1" w:rsidRPr="008477B1" w:rsidRDefault="008477B1" w:rsidP="008477B1">
      <w:pPr>
        <w:ind w:left="640" w:hanging="640"/>
        <w:rPr>
          <w:rFonts w:cs="Times New Roman"/>
          <w:noProof/>
          <w:lang w:val="en-US"/>
        </w:rPr>
      </w:pPr>
      <w:r w:rsidRPr="008477B1">
        <w:rPr>
          <w:rFonts w:cs="Times New Roman"/>
          <w:noProof/>
          <w:lang w:val="en-US"/>
        </w:rPr>
        <w:lastRenderedPageBreak/>
        <w:t xml:space="preserve">10. </w:t>
      </w:r>
      <w:r w:rsidRPr="008477B1">
        <w:rPr>
          <w:rFonts w:cs="Times New Roman"/>
          <w:noProof/>
          <w:lang w:val="en-US"/>
        </w:rPr>
        <w:tab/>
        <w:t xml:space="preserve">Marjot J, Kaier TE, Martin ED, Reji SS, Copeland O, Iqbal M, Goodson B, Hamren S, Harding SE, Marber MS. Quantifying the Release of Biomarkers of Myocardial Necrosis from Cardiac Myocytes and Intact Myocardium. </w:t>
      </w:r>
      <w:r w:rsidRPr="008477B1">
        <w:rPr>
          <w:rFonts w:cs="Times New Roman"/>
          <w:i/>
          <w:iCs/>
          <w:noProof/>
          <w:lang w:val="en-US"/>
        </w:rPr>
        <w:t>Clin Chem</w:t>
      </w:r>
      <w:r w:rsidRPr="008477B1">
        <w:rPr>
          <w:rFonts w:cs="Times New Roman"/>
          <w:noProof/>
          <w:lang w:val="en-US"/>
        </w:rPr>
        <w:t xml:space="preserve">. 2017;63:990–996. </w:t>
      </w:r>
    </w:p>
    <w:p w14:paraId="6DFE7EFE"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11. </w:t>
      </w:r>
      <w:r w:rsidRPr="008477B1">
        <w:rPr>
          <w:rFonts w:cs="Times New Roman"/>
          <w:noProof/>
          <w:lang w:val="en-US"/>
        </w:rPr>
        <w:tab/>
        <w:t xml:space="preserve">Baker JO, Tyther R, Liebetrau C, Clark J, Howarth R, Patterson T, Möllmann H, Nef H, Sicard P, Kailey B, Devaraj R, Redwood SR, Kunst G, Weber E, Marber MS. Cardiac myosin-binding protein C: a potential early biomarker of myocardial injury. </w:t>
      </w:r>
      <w:r w:rsidRPr="008477B1">
        <w:rPr>
          <w:rFonts w:cs="Times New Roman"/>
          <w:i/>
          <w:iCs/>
          <w:noProof/>
          <w:lang w:val="en-US"/>
        </w:rPr>
        <w:t>Basic Res Cardiol</w:t>
      </w:r>
      <w:r w:rsidRPr="008477B1">
        <w:rPr>
          <w:rFonts w:cs="Times New Roman"/>
          <w:noProof/>
          <w:lang w:val="en-US"/>
        </w:rPr>
        <w:t xml:space="preserve">. 2015;1–14. </w:t>
      </w:r>
    </w:p>
    <w:p w14:paraId="575ACE15"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12. </w:t>
      </w:r>
      <w:r w:rsidRPr="008477B1">
        <w:rPr>
          <w:rFonts w:cs="Times New Roman"/>
          <w:noProof/>
          <w:lang w:val="en-US"/>
        </w:rPr>
        <w:tab/>
        <w:t xml:space="preserve">Kaier TE, Anand A, Shah AS V, Mills NL, Marber M. Temporal Relationship between Cardiac Myosin-Binding Protein C and Cardiac Troponin I in Type 1 Myocardial Infarction. </w:t>
      </w:r>
      <w:r w:rsidRPr="008477B1">
        <w:rPr>
          <w:rFonts w:cs="Times New Roman"/>
          <w:i/>
          <w:iCs/>
          <w:noProof/>
          <w:lang w:val="en-US"/>
        </w:rPr>
        <w:t>Clin Chem</w:t>
      </w:r>
      <w:r w:rsidRPr="008477B1">
        <w:rPr>
          <w:rFonts w:cs="Times New Roman"/>
          <w:noProof/>
          <w:lang w:val="en-US"/>
        </w:rPr>
        <w:t xml:space="preserve">. 2016;62:1153–1155. </w:t>
      </w:r>
    </w:p>
    <w:p w14:paraId="51A0E68D"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13. </w:t>
      </w:r>
      <w:r w:rsidRPr="008477B1">
        <w:rPr>
          <w:rFonts w:cs="Times New Roman"/>
          <w:noProof/>
          <w:lang w:val="en-US"/>
        </w:rPr>
        <w:tab/>
        <w:t xml:space="preserve">Kaier TE, Twerenbold R, Puelacher C, Marjot J, Imambaccus N, Boeddinghaus J, Nestelberger T, Badertscher P, Sabti Z, Gimenez MR, Wildi K, Hillinger P, Grimm K, Loeffel S, Shrestha S, Widmer DF, Cupa J, Kozhuharov N, Miró Ò, Martin-Sanchez FJ, Morawiec B, Rentsch K, Lohrmann J, Kloos W, Osswald S, Reichlin T, Weber E, Marber M, Mueller C. Direct Comparison of Cardiac Myosin-Binding Protein C With Cardiac Troponins for the Early Diagnosis of Acute Myocardial Infarction. </w:t>
      </w:r>
      <w:r w:rsidRPr="008477B1">
        <w:rPr>
          <w:rFonts w:cs="Times New Roman"/>
          <w:i/>
          <w:iCs/>
          <w:noProof/>
          <w:lang w:val="en-US"/>
        </w:rPr>
        <w:t>Circulation</w:t>
      </w:r>
      <w:r w:rsidRPr="008477B1">
        <w:rPr>
          <w:rFonts w:cs="Times New Roman"/>
          <w:noProof/>
          <w:lang w:val="en-US"/>
        </w:rPr>
        <w:t xml:space="preserve">. 2017;136:1495–1508. </w:t>
      </w:r>
    </w:p>
    <w:p w14:paraId="24B990C8"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14. </w:t>
      </w:r>
      <w:r w:rsidRPr="008477B1">
        <w:rPr>
          <w:rFonts w:cs="Times New Roman"/>
          <w:noProof/>
          <w:lang w:val="en-US"/>
        </w:rPr>
        <w:tab/>
        <w:t xml:space="preserve">Jiang X, Tian H, Qiao S. Letter by Jiang et al Regarding Article, “Direct Comparison of Cardiac Myosin-Binding Protein C With Cardiac Troponins for the Early Diagnosis of Acute Myocardial Infarction.” </w:t>
      </w:r>
      <w:r w:rsidRPr="008477B1">
        <w:rPr>
          <w:rFonts w:cs="Times New Roman"/>
          <w:i/>
          <w:iCs/>
          <w:noProof/>
          <w:lang w:val="en-US"/>
        </w:rPr>
        <w:t>Circulation</w:t>
      </w:r>
      <w:r w:rsidRPr="008477B1">
        <w:rPr>
          <w:rFonts w:cs="Times New Roman"/>
          <w:noProof/>
          <w:lang w:val="en-US"/>
        </w:rPr>
        <w:t xml:space="preserve">. 2018;138:543–543. </w:t>
      </w:r>
    </w:p>
    <w:p w14:paraId="7DF40F29"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15. </w:t>
      </w:r>
      <w:r w:rsidRPr="008477B1">
        <w:rPr>
          <w:rFonts w:cs="Times New Roman"/>
          <w:noProof/>
          <w:lang w:val="en-US"/>
        </w:rPr>
        <w:tab/>
        <w:t xml:space="preserve">Kaier TE, Twerenbold R, Puelacher C, Marjot J, Imambaccus N, Boeddinghaus J, Nestelberger T, Badertscher P, Sabti Z, Giménez MR, Wildi K, Hillinger P, Grimm K, Loeffel S, Shrestha S, Widmer DF, Cupa J, Kozhuharov N, Miró Ò, Martín-Sánchez FJ, Morawiec B, Rentsch K, Lohrmann J, Kloos W, Osswald S, Reichlin T, Weber E, </w:t>
      </w:r>
      <w:r w:rsidRPr="008477B1">
        <w:rPr>
          <w:rFonts w:cs="Times New Roman"/>
          <w:noProof/>
          <w:lang w:val="en-US"/>
        </w:rPr>
        <w:lastRenderedPageBreak/>
        <w:t xml:space="preserve">Marber M, Mueller C. Response by Kaier et al to Letter Regarding Article, “Direct Comparison of Cardiac Myosin-Binding Protein C With Cardiac Troponins for the Early Diagnosis of Acute Myocardial Infarction.” </w:t>
      </w:r>
      <w:r w:rsidRPr="008477B1">
        <w:rPr>
          <w:rFonts w:cs="Times New Roman"/>
          <w:i/>
          <w:iCs/>
          <w:noProof/>
          <w:lang w:val="en-US"/>
        </w:rPr>
        <w:t>Circulation</w:t>
      </w:r>
      <w:r w:rsidRPr="008477B1">
        <w:rPr>
          <w:rFonts w:cs="Times New Roman"/>
          <w:noProof/>
          <w:lang w:val="en-US"/>
        </w:rPr>
        <w:t xml:space="preserve">. 2018;138:544–545. </w:t>
      </w:r>
    </w:p>
    <w:p w14:paraId="16F6952D"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16. </w:t>
      </w:r>
      <w:r w:rsidRPr="008477B1">
        <w:rPr>
          <w:rFonts w:cs="Times New Roman"/>
          <w:noProof/>
          <w:lang w:val="en-US"/>
        </w:rPr>
        <w:tab/>
        <w:t xml:space="preserve">Stengaard C, Sørensen JT, Ladefoged SA, Christensen EF, Lassen JF, Bøtker HE, Terkelsen CJ, Thygesen K. Quantitative point-of-care troponin T measurement for diagnosis and prognosis in patients with a suspected acute myocardial infarction. </w:t>
      </w:r>
      <w:r w:rsidRPr="008477B1">
        <w:rPr>
          <w:rFonts w:cs="Times New Roman"/>
          <w:i/>
          <w:iCs/>
          <w:noProof/>
          <w:lang w:val="en-US"/>
        </w:rPr>
        <w:t>Am J Cardiol</w:t>
      </w:r>
      <w:r w:rsidRPr="008477B1">
        <w:rPr>
          <w:rFonts w:cs="Times New Roman"/>
          <w:noProof/>
          <w:lang w:val="en-US"/>
        </w:rPr>
        <w:t xml:space="preserve">. 2013;112:1361–1366. </w:t>
      </w:r>
    </w:p>
    <w:p w14:paraId="0CC5ADCD"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17. </w:t>
      </w:r>
      <w:r w:rsidRPr="008477B1">
        <w:rPr>
          <w:rFonts w:cs="Times New Roman"/>
          <w:noProof/>
          <w:lang w:val="en-US"/>
        </w:rPr>
        <w:tab/>
        <w:t xml:space="preserve">Marjot J, Liebetrau C, Goodson RJ, Kaier T, Weber E, Heseltine P, Marber MS. The development and application of a high-sensitivity immunoassay for cardiac myosin-binding protein C. </w:t>
      </w:r>
      <w:r w:rsidRPr="008477B1">
        <w:rPr>
          <w:rFonts w:cs="Times New Roman"/>
          <w:i/>
          <w:iCs/>
          <w:noProof/>
          <w:lang w:val="en-US"/>
        </w:rPr>
        <w:t>Transl Res</w:t>
      </w:r>
      <w:r w:rsidRPr="008477B1">
        <w:rPr>
          <w:rFonts w:cs="Times New Roman"/>
          <w:noProof/>
          <w:lang w:val="en-US"/>
        </w:rPr>
        <w:t xml:space="preserve">. 2016;170:17–25. </w:t>
      </w:r>
    </w:p>
    <w:p w14:paraId="16A94BC5"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18. </w:t>
      </w:r>
      <w:r w:rsidRPr="008477B1">
        <w:rPr>
          <w:rFonts w:cs="Times New Roman"/>
          <w:noProof/>
          <w:lang w:val="en-US"/>
        </w:rPr>
        <w:tab/>
        <w:t xml:space="preserve">Giannitsis E, Kurz K, Hallermayer K, Jarausch J, Jaffe AS, Katus HA. Analytical validation of a high-sensitivity cardiac troponin T assay. </w:t>
      </w:r>
      <w:r w:rsidRPr="008477B1">
        <w:rPr>
          <w:rFonts w:cs="Times New Roman"/>
          <w:i/>
          <w:iCs/>
          <w:noProof/>
          <w:lang w:val="en-US"/>
        </w:rPr>
        <w:t>Clin Chem</w:t>
      </w:r>
      <w:r w:rsidRPr="008477B1">
        <w:rPr>
          <w:rFonts w:cs="Times New Roman"/>
          <w:noProof/>
          <w:lang w:val="en-US"/>
        </w:rPr>
        <w:t xml:space="preserve">. 2010;56:254–261. </w:t>
      </w:r>
    </w:p>
    <w:p w14:paraId="77CC842D"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19. </w:t>
      </w:r>
      <w:r w:rsidRPr="008477B1">
        <w:rPr>
          <w:rFonts w:cs="Times New Roman"/>
          <w:noProof/>
          <w:lang w:val="en-US"/>
        </w:rPr>
        <w:tab/>
        <w:t xml:space="preserve">Kuster N, Dupuy A-M, Monnier K, Baptista G, Bargnoux A-S, Badiou S, Jeandel C, Cristol J-P, Kavsak PA, Hill SA, McQueen MJ, Devereaux PJ, Hallermayer K, Jarausch J, Menassanch-Volker S, Zaugg C, Ziegler A, Kavsak PA, Hill SA, McQueen MJ, Devereaux PJ. Implications of adjustment of high-sensitivity cardiac troponin T assay. </w:t>
      </w:r>
      <w:r w:rsidRPr="008477B1">
        <w:rPr>
          <w:rFonts w:cs="Times New Roman"/>
          <w:i/>
          <w:iCs/>
          <w:noProof/>
          <w:lang w:val="en-US"/>
        </w:rPr>
        <w:t>Clin Chem</w:t>
      </w:r>
      <w:r w:rsidRPr="008477B1">
        <w:rPr>
          <w:rFonts w:cs="Times New Roman"/>
          <w:noProof/>
          <w:lang w:val="en-US"/>
        </w:rPr>
        <w:t xml:space="preserve">. 2013;59:572–574. </w:t>
      </w:r>
    </w:p>
    <w:p w14:paraId="7BF7BAB7"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20. </w:t>
      </w:r>
      <w:r w:rsidRPr="008477B1">
        <w:rPr>
          <w:rFonts w:cs="Times New Roman"/>
          <w:noProof/>
          <w:lang w:val="en-US"/>
        </w:rPr>
        <w:tab/>
        <w:t xml:space="preserve">Apple FS, Jaffe AS. Clinical implications of a recent adjustment to the high-sensitivity cardiac troponin T assay: user beware. </w:t>
      </w:r>
      <w:r w:rsidRPr="008477B1">
        <w:rPr>
          <w:rFonts w:cs="Times New Roman"/>
          <w:i/>
          <w:iCs/>
          <w:noProof/>
          <w:lang w:val="en-US"/>
        </w:rPr>
        <w:t>Clin Chem</w:t>
      </w:r>
      <w:r w:rsidRPr="008477B1">
        <w:rPr>
          <w:rFonts w:cs="Times New Roman"/>
          <w:noProof/>
          <w:lang w:val="en-US"/>
        </w:rPr>
        <w:t xml:space="preserve">. 2012;58:1599–1600. </w:t>
      </w:r>
    </w:p>
    <w:p w14:paraId="69C2EECC"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21. </w:t>
      </w:r>
      <w:r w:rsidRPr="008477B1">
        <w:rPr>
          <w:rFonts w:cs="Times New Roman"/>
          <w:noProof/>
          <w:lang w:val="en-US"/>
        </w:rPr>
        <w:tab/>
        <w:t xml:space="preserve">Saenger AK, Beyrau R, Braun S, Cooray R, Dolci A, Freidank H, Giannitsis E, Gustafson S, Handy B, Katus H, Melanson SE, Panteghini M, Venge P, Zorn M, Jarolim P, Bruton D, Jarausch J, Jaffe AS. Multicenter analytical evaluation of a high-sensitivity troponin T assay. </w:t>
      </w:r>
      <w:r w:rsidRPr="008477B1">
        <w:rPr>
          <w:rFonts w:cs="Times New Roman"/>
          <w:i/>
          <w:iCs/>
          <w:noProof/>
          <w:lang w:val="en-US"/>
        </w:rPr>
        <w:t>Clin Chim Acta</w:t>
      </w:r>
      <w:r w:rsidRPr="008477B1">
        <w:rPr>
          <w:rFonts w:cs="Times New Roman"/>
          <w:noProof/>
          <w:lang w:val="en-US"/>
        </w:rPr>
        <w:t xml:space="preserve">. 2011;412:748–754. </w:t>
      </w:r>
    </w:p>
    <w:p w14:paraId="764FECBC"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22. </w:t>
      </w:r>
      <w:r w:rsidRPr="008477B1">
        <w:rPr>
          <w:rFonts w:cs="Times New Roman"/>
          <w:noProof/>
          <w:lang w:val="en-US"/>
        </w:rPr>
        <w:tab/>
        <w:t xml:space="preserve">Thygesen K, Alpert JS, White HD, Infarction JETF for the R of M. Universal definition of myocardial infarction. </w:t>
      </w:r>
      <w:r w:rsidRPr="008477B1">
        <w:rPr>
          <w:rFonts w:cs="Times New Roman"/>
          <w:i/>
          <w:iCs/>
          <w:noProof/>
          <w:lang w:val="en-US"/>
        </w:rPr>
        <w:t>Eur Heart J</w:t>
      </w:r>
      <w:r w:rsidRPr="008477B1">
        <w:rPr>
          <w:rFonts w:cs="Times New Roman"/>
          <w:noProof/>
          <w:lang w:val="en-US"/>
        </w:rPr>
        <w:t xml:space="preserve">. 2007;28:2525–2538. </w:t>
      </w:r>
    </w:p>
    <w:p w14:paraId="7339E653" w14:textId="77777777" w:rsidR="008477B1" w:rsidRPr="008477B1" w:rsidRDefault="008477B1" w:rsidP="008477B1">
      <w:pPr>
        <w:ind w:left="640" w:hanging="640"/>
        <w:rPr>
          <w:rFonts w:cs="Times New Roman"/>
          <w:noProof/>
          <w:lang w:val="en-US"/>
        </w:rPr>
      </w:pPr>
      <w:r w:rsidRPr="008477B1">
        <w:rPr>
          <w:rFonts w:cs="Times New Roman"/>
          <w:noProof/>
          <w:lang w:val="en-US"/>
        </w:rPr>
        <w:lastRenderedPageBreak/>
        <w:t xml:space="preserve">23. </w:t>
      </w:r>
      <w:r w:rsidRPr="008477B1">
        <w:rPr>
          <w:rFonts w:cs="Times New Roman"/>
          <w:noProof/>
          <w:lang w:val="en-US"/>
        </w:rPr>
        <w:tab/>
        <w:t xml:space="preserve">Bertsch T, Chapelle J-P, Dempfle C-E, Giannitsis E, Schwabs M, Zerback R. Multicentre analytical evaluation of a new point-of-care system for the determination of cardiac and thromboembolic markers. </w:t>
      </w:r>
      <w:r w:rsidRPr="008477B1">
        <w:rPr>
          <w:rFonts w:cs="Times New Roman"/>
          <w:i/>
          <w:iCs/>
          <w:noProof/>
          <w:lang w:val="en-US"/>
        </w:rPr>
        <w:t>Clin Lab</w:t>
      </w:r>
      <w:r w:rsidRPr="008477B1">
        <w:rPr>
          <w:rFonts w:cs="Times New Roman"/>
          <w:noProof/>
          <w:lang w:val="en-US"/>
        </w:rPr>
        <w:t xml:space="preserve">. 2010;56:37–49. </w:t>
      </w:r>
    </w:p>
    <w:p w14:paraId="0F45EC13"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24. </w:t>
      </w:r>
      <w:r w:rsidRPr="008477B1">
        <w:rPr>
          <w:rFonts w:cs="Times New Roman"/>
          <w:noProof/>
          <w:lang w:val="en-US"/>
        </w:rPr>
        <w:tab/>
        <w:t xml:space="preserve">Pencina MJ, D’Agostino RB, Steyerberg EW. Extensions of net reclassification improvement calculations to measure usefulness of new biomarkers. </w:t>
      </w:r>
      <w:r w:rsidRPr="008477B1">
        <w:rPr>
          <w:rFonts w:cs="Times New Roman"/>
          <w:i/>
          <w:iCs/>
          <w:noProof/>
          <w:lang w:val="en-US"/>
        </w:rPr>
        <w:t>Stat Med</w:t>
      </w:r>
      <w:r w:rsidRPr="008477B1">
        <w:rPr>
          <w:rFonts w:cs="Times New Roman"/>
          <w:noProof/>
          <w:lang w:val="en-US"/>
        </w:rPr>
        <w:t xml:space="preserve">. 2011;30:11–21. </w:t>
      </w:r>
    </w:p>
    <w:p w14:paraId="087E5A5D"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25. </w:t>
      </w:r>
      <w:r w:rsidRPr="008477B1">
        <w:rPr>
          <w:rFonts w:cs="Times New Roman"/>
          <w:noProof/>
          <w:lang w:val="en-US"/>
        </w:rPr>
        <w:tab/>
        <w:t xml:space="preserve">Youden WJ. Index for rating diagnostic tests. </w:t>
      </w:r>
      <w:r w:rsidRPr="008477B1">
        <w:rPr>
          <w:rFonts w:cs="Times New Roman"/>
          <w:i/>
          <w:iCs/>
          <w:noProof/>
          <w:lang w:val="en-US"/>
        </w:rPr>
        <w:t>Cancer</w:t>
      </w:r>
      <w:r w:rsidRPr="008477B1">
        <w:rPr>
          <w:rFonts w:cs="Times New Roman"/>
          <w:noProof/>
          <w:lang w:val="en-US"/>
        </w:rPr>
        <w:t xml:space="preserve">. 1950;3:32–5. </w:t>
      </w:r>
    </w:p>
    <w:p w14:paraId="725D63DF"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26. </w:t>
      </w:r>
      <w:r w:rsidRPr="008477B1">
        <w:rPr>
          <w:rFonts w:cs="Times New Roman"/>
          <w:noProof/>
          <w:lang w:val="en-US"/>
        </w:rPr>
        <w:tab/>
        <w:t xml:space="preserve">Pickering JW, Greenslade JH, Cullen L, Flaws D, Parsonage W, Aldous S, George P, Worster A, Kavsak PA, Than MP. Assessment of the European Society of Cardiology 0 Hour/1 Hour Algorithm to Rule Out and Rule In Acute Myocardial Infarction. </w:t>
      </w:r>
      <w:r w:rsidRPr="008477B1">
        <w:rPr>
          <w:rFonts w:cs="Times New Roman"/>
          <w:i/>
          <w:iCs/>
          <w:noProof/>
          <w:lang w:val="en-US"/>
        </w:rPr>
        <w:t>Circulation</w:t>
      </w:r>
      <w:r w:rsidRPr="008477B1">
        <w:rPr>
          <w:rFonts w:cs="Times New Roman"/>
          <w:noProof/>
          <w:lang w:val="en-US"/>
        </w:rPr>
        <w:t xml:space="preserve">. 2016;134:1532–1541. </w:t>
      </w:r>
    </w:p>
    <w:p w14:paraId="03CD43CC"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27. </w:t>
      </w:r>
      <w:r w:rsidRPr="008477B1">
        <w:rPr>
          <w:rFonts w:cs="Times New Roman"/>
          <w:noProof/>
          <w:lang w:val="en-US"/>
        </w:rPr>
        <w:tab/>
        <w:t xml:space="preserve">Rubini Giménez M, Hoeller R, Reichlin T, Zellweger C, Twerenbold R, Reiter M, Moehring B, Wildi K, Mosimann T, Mueller M, Meller B, Hochgruber T, Ziller R, Sou SM, Murray K, Sakarikos K, Ernst S, Gea J, Campodarve I, Vilaplana C, Haaf P, Steuer S, Minners J, Osswald S, Mueller C. Rapid rule out of acute myocardial infarction using undetectable levels of high-sensitivity cardiac troponin. </w:t>
      </w:r>
      <w:r w:rsidRPr="008477B1">
        <w:rPr>
          <w:rFonts w:cs="Times New Roman"/>
          <w:i/>
          <w:iCs/>
          <w:noProof/>
          <w:lang w:val="en-US"/>
        </w:rPr>
        <w:t>Int J Cardiol</w:t>
      </w:r>
      <w:r w:rsidRPr="008477B1">
        <w:rPr>
          <w:rFonts w:cs="Times New Roman"/>
          <w:noProof/>
          <w:lang w:val="en-US"/>
        </w:rPr>
        <w:t xml:space="preserve">. 2013;168:3896–3901. </w:t>
      </w:r>
    </w:p>
    <w:p w14:paraId="74AE9E3B" w14:textId="77777777" w:rsidR="008477B1" w:rsidRPr="008477B1" w:rsidRDefault="008477B1" w:rsidP="008477B1">
      <w:pPr>
        <w:ind w:left="640" w:hanging="640"/>
        <w:rPr>
          <w:rFonts w:cs="Times New Roman"/>
          <w:noProof/>
          <w:lang w:val="en-US"/>
        </w:rPr>
      </w:pPr>
      <w:r w:rsidRPr="008477B1">
        <w:rPr>
          <w:rFonts w:cs="Times New Roman"/>
          <w:noProof/>
          <w:lang w:val="en-US"/>
        </w:rPr>
        <w:t xml:space="preserve">28. </w:t>
      </w:r>
      <w:r w:rsidRPr="008477B1">
        <w:rPr>
          <w:rFonts w:cs="Times New Roman"/>
          <w:noProof/>
          <w:lang w:val="en-US"/>
        </w:rPr>
        <w:tab/>
        <w:t xml:space="preserve">Fox KAA, Dabbous OH, Goldberg RJ, Pieper KS, Eagle KA, Van De Werf F, Avezum Á, Goodman SG, Flather MD, Anderson FA, Granger CB. Prediction of risk of death and myocardial infarction in the six months after presentation with acute coronary syndrome: Prospective multinational observational study (GRACE). </w:t>
      </w:r>
      <w:r w:rsidRPr="008477B1">
        <w:rPr>
          <w:rFonts w:cs="Times New Roman"/>
          <w:i/>
          <w:iCs/>
          <w:noProof/>
          <w:lang w:val="en-US"/>
        </w:rPr>
        <w:t>Br Med J</w:t>
      </w:r>
      <w:r w:rsidRPr="008477B1">
        <w:rPr>
          <w:rFonts w:cs="Times New Roman"/>
          <w:noProof/>
          <w:lang w:val="en-US"/>
        </w:rPr>
        <w:t xml:space="preserve">. 2006;333:1091–1094. </w:t>
      </w:r>
    </w:p>
    <w:p w14:paraId="69F93551" w14:textId="77777777" w:rsidR="008477B1" w:rsidRPr="008477B1" w:rsidRDefault="008477B1" w:rsidP="008477B1">
      <w:pPr>
        <w:ind w:left="640" w:hanging="640"/>
        <w:rPr>
          <w:rFonts w:cs="Times New Roman"/>
          <w:noProof/>
        </w:rPr>
      </w:pPr>
      <w:r w:rsidRPr="008477B1">
        <w:rPr>
          <w:rFonts w:cs="Times New Roman"/>
          <w:noProof/>
          <w:lang w:val="en-US"/>
        </w:rPr>
        <w:t xml:space="preserve">29. </w:t>
      </w:r>
      <w:r w:rsidRPr="008477B1">
        <w:rPr>
          <w:rFonts w:cs="Times New Roman"/>
          <w:noProof/>
          <w:lang w:val="en-US"/>
        </w:rPr>
        <w:tab/>
        <w:t xml:space="preserve">Pickering JW, Young JM, George PM, Watson AS, Aldous SJ, Troughton RW, Pemberton CJ, Richards AM, Cullen LA, Than MP. Validity of a Novel Point-of-Care Troponin Assay for Single-Test Rule-Out of Acute Myocardial Infarction. </w:t>
      </w:r>
      <w:r w:rsidRPr="008477B1">
        <w:rPr>
          <w:rFonts w:cs="Times New Roman"/>
          <w:i/>
          <w:iCs/>
          <w:noProof/>
          <w:lang w:val="en-US"/>
        </w:rPr>
        <w:t xml:space="preserve">JAMA </w:t>
      </w:r>
      <w:r w:rsidRPr="008477B1">
        <w:rPr>
          <w:rFonts w:cs="Times New Roman"/>
          <w:i/>
          <w:iCs/>
          <w:noProof/>
          <w:lang w:val="en-US"/>
        </w:rPr>
        <w:lastRenderedPageBreak/>
        <w:t>Cardiol</w:t>
      </w:r>
      <w:r w:rsidRPr="008477B1">
        <w:rPr>
          <w:rFonts w:cs="Times New Roman"/>
          <w:noProof/>
          <w:lang w:val="en-US"/>
        </w:rPr>
        <w:t xml:space="preserve">. 2018;3:1108–1112. </w:t>
      </w:r>
    </w:p>
    <w:p w14:paraId="7DDA7C09" w14:textId="3F475E96" w:rsidR="00FA5811" w:rsidRPr="00FA5811" w:rsidRDefault="00FA5811" w:rsidP="008477B1">
      <w:pPr>
        <w:ind w:left="640" w:hanging="640"/>
      </w:pPr>
      <w:r>
        <w:fldChar w:fldCharType="end"/>
      </w:r>
    </w:p>
    <w:p w14:paraId="36CFA962" w14:textId="77777777" w:rsidR="00BF78DE" w:rsidRPr="00C3521D" w:rsidRDefault="00BF78DE">
      <w:pPr>
        <w:widowControl/>
        <w:autoSpaceDE/>
        <w:autoSpaceDN/>
        <w:adjustRightInd/>
        <w:spacing w:line="240" w:lineRule="auto"/>
        <w:jc w:val="left"/>
        <w:rPr>
          <w:rFonts w:cs="Times New Roman"/>
        </w:rPr>
      </w:pPr>
      <w:r w:rsidRPr="00C3521D">
        <w:rPr>
          <w:rFonts w:cs="Times New Roman"/>
        </w:rPr>
        <w:br w:type="page"/>
      </w:r>
    </w:p>
    <w:p w14:paraId="513B0ABB" w14:textId="1DFED936" w:rsidR="004A3489" w:rsidRPr="009D7440" w:rsidRDefault="00BF78DE" w:rsidP="009D7440">
      <w:pPr>
        <w:pStyle w:val="Heading2"/>
      </w:pPr>
      <w:r w:rsidRPr="00C3521D">
        <w:lastRenderedPageBreak/>
        <w:t>Figure</w:t>
      </w:r>
      <w:r w:rsidR="00AA4577">
        <w:t>s</w:t>
      </w:r>
      <w:r w:rsidRPr="00C3521D">
        <w:t>:</w:t>
      </w:r>
      <w:r w:rsidR="007D484D" w:rsidRPr="00C2084F">
        <w:t xml:space="preserve"> </w:t>
      </w:r>
    </w:p>
    <w:p w14:paraId="437639CC" w14:textId="0133436A" w:rsidR="00AA4577" w:rsidRDefault="00AA4577" w:rsidP="00795F62">
      <w:pPr>
        <w:rPr>
          <w:b/>
        </w:rPr>
      </w:pPr>
      <w:bookmarkStart w:id="7" w:name="_Ref534644745"/>
      <w:bookmarkStart w:id="8" w:name="_Ref534644600"/>
      <w:bookmarkStart w:id="9" w:name="_Ref534644967"/>
      <w:bookmarkStart w:id="10" w:name="_Ref536284418"/>
      <w:r>
        <w:rPr>
          <w:b/>
          <w:noProof/>
        </w:rPr>
        <w:drawing>
          <wp:inline distT="0" distB="0" distL="0" distR="0" wp14:anchorId="26ADE977" wp14:editId="53DE903E">
            <wp:extent cx="5727700" cy="4773295"/>
            <wp:effectExtent l="0" t="0" r="0" b="1905"/>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png"/>
                    <pic:cNvPicPr/>
                  </pic:nvPicPr>
                  <pic:blipFill>
                    <a:blip r:embed="rId15"/>
                    <a:stretch>
                      <a:fillRect/>
                    </a:stretch>
                  </pic:blipFill>
                  <pic:spPr>
                    <a:xfrm>
                      <a:off x="0" y="0"/>
                      <a:ext cx="5727700" cy="4773295"/>
                    </a:xfrm>
                    <a:prstGeom prst="rect">
                      <a:avLst/>
                    </a:prstGeom>
                  </pic:spPr>
                </pic:pic>
              </a:graphicData>
            </a:graphic>
          </wp:inline>
        </w:drawing>
      </w:r>
    </w:p>
    <w:p w14:paraId="4A5EDA88" w14:textId="14B0561D" w:rsidR="002C6931" w:rsidRPr="002C6931" w:rsidRDefault="002C6931" w:rsidP="00795F62">
      <w:pPr>
        <w:rPr>
          <w:rFonts w:cs="Times New Roman"/>
          <w:noProof/>
        </w:rPr>
      </w:pPr>
      <w:r w:rsidRPr="00795F62">
        <w:rPr>
          <w:b/>
        </w:rPr>
        <w:t xml:space="preserve">Figure </w:t>
      </w:r>
      <w:r w:rsidRPr="00795F62">
        <w:rPr>
          <w:b/>
          <w:noProof/>
        </w:rPr>
        <w:fldChar w:fldCharType="begin"/>
      </w:r>
      <w:r w:rsidRPr="00795F62">
        <w:rPr>
          <w:b/>
          <w:noProof/>
        </w:rPr>
        <w:instrText xml:space="preserve"> SEQ Figure \* ARABIC </w:instrText>
      </w:r>
      <w:r w:rsidRPr="00795F62">
        <w:rPr>
          <w:b/>
          <w:noProof/>
        </w:rPr>
        <w:fldChar w:fldCharType="separate"/>
      </w:r>
      <w:r w:rsidR="007818D4">
        <w:rPr>
          <w:b/>
          <w:noProof/>
        </w:rPr>
        <w:t>1</w:t>
      </w:r>
      <w:r w:rsidRPr="00795F62">
        <w:rPr>
          <w:b/>
          <w:noProof/>
        </w:rPr>
        <w:fldChar w:fldCharType="end"/>
      </w:r>
      <w:bookmarkEnd w:id="7"/>
      <w:r>
        <w:t xml:space="preserve"> – </w:t>
      </w:r>
      <w:r w:rsidRPr="00C2084F">
        <w:t>Distribution of cMyC and hs-cTnT concentrations in samples obtained in the ambulance, based on adjudicated final diagnosis. Boxes represent interquartile ranges; whiskers extend to 1.5 * IQR from the hinges; light grey bullets are outliers.</w:t>
      </w:r>
      <w:r>
        <w:t xml:space="preserve"> </w:t>
      </w:r>
      <w:r w:rsidR="00D06545">
        <w:t>AMI = Acute</w:t>
      </w:r>
      <w:r>
        <w:t xml:space="preserve"> Myocardial Infarction; UA = Unstable Angina</w:t>
      </w:r>
    </w:p>
    <w:p w14:paraId="35224BFF" w14:textId="77777777" w:rsidR="00AA4577" w:rsidRDefault="00AA4577">
      <w:pPr>
        <w:widowControl/>
        <w:autoSpaceDE/>
        <w:autoSpaceDN/>
        <w:adjustRightInd/>
        <w:spacing w:line="240" w:lineRule="auto"/>
        <w:jc w:val="left"/>
        <w:rPr>
          <w:b/>
        </w:rPr>
      </w:pPr>
      <w:r>
        <w:rPr>
          <w:b/>
        </w:rPr>
        <w:br w:type="page"/>
      </w:r>
    </w:p>
    <w:p w14:paraId="549007D7" w14:textId="439CAD96" w:rsidR="00AA4577" w:rsidRDefault="00263079" w:rsidP="00795F62">
      <w:pPr>
        <w:rPr>
          <w:b/>
        </w:rPr>
      </w:pPr>
      <w:r>
        <w:rPr>
          <w:b/>
          <w:noProof/>
        </w:rPr>
        <w:lastRenderedPageBreak/>
        <w:drawing>
          <wp:inline distT="0" distB="0" distL="0" distR="0" wp14:anchorId="6CBC3E0A" wp14:editId="31D04359">
            <wp:extent cx="5727700" cy="4294505"/>
            <wp:effectExtent l="0" t="0" r="0" b="0"/>
            <wp:docPr id="5" name="Picture 5"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2.png"/>
                    <pic:cNvPicPr/>
                  </pic:nvPicPr>
                  <pic:blipFill>
                    <a:blip r:embed="rId16"/>
                    <a:stretch>
                      <a:fillRect/>
                    </a:stretch>
                  </pic:blipFill>
                  <pic:spPr>
                    <a:xfrm>
                      <a:off x="0" y="0"/>
                      <a:ext cx="5727700" cy="4294505"/>
                    </a:xfrm>
                    <a:prstGeom prst="rect">
                      <a:avLst/>
                    </a:prstGeom>
                  </pic:spPr>
                </pic:pic>
              </a:graphicData>
            </a:graphic>
          </wp:inline>
        </w:drawing>
      </w:r>
    </w:p>
    <w:p w14:paraId="21FB04E1" w14:textId="1C506DC6" w:rsidR="002C6931" w:rsidRDefault="002C6931" w:rsidP="00795F62">
      <w:r w:rsidRPr="00795F62">
        <w:rPr>
          <w:b/>
        </w:rPr>
        <w:t xml:space="preserve">Figure </w:t>
      </w:r>
      <w:r w:rsidRPr="00795F62">
        <w:rPr>
          <w:b/>
          <w:noProof/>
        </w:rPr>
        <w:fldChar w:fldCharType="begin"/>
      </w:r>
      <w:r w:rsidRPr="00795F62">
        <w:rPr>
          <w:b/>
          <w:noProof/>
        </w:rPr>
        <w:instrText xml:space="preserve"> SEQ Figure \* ARABIC </w:instrText>
      </w:r>
      <w:r w:rsidRPr="00795F62">
        <w:rPr>
          <w:b/>
          <w:noProof/>
        </w:rPr>
        <w:fldChar w:fldCharType="separate"/>
      </w:r>
      <w:r w:rsidR="007818D4">
        <w:rPr>
          <w:b/>
          <w:noProof/>
        </w:rPr>
        <w:t>2</w:t>
      </w:r>
      <w:r w:rsidRPr="00795F62">
        <w:rPr>
          <w:b/>
          <w:noProof/>
        </w:rPr>
        <w:fldChar w:fldCharType="end"/>
      </w:r>
      <w:bookmarkEnd w:id="8"/>
      <w:r>
        <w:t xml:space="preserve"> – Distribution of patients stratified by adjudicated diagnosis of AMI based on the pre-hospital cMyC concentration; x-axis log10-transformed</w:t>
      </w:r>
    </w:p>
    <w:p w14:paraId="2516A82F" w14:textId="77777777" w:rsidR="00AA4577" w:rsidRDefault="00AA4577">
      <w:pPr>
        <w:widowControl/>
        <w:autoSpaceDE/>
        <w:autoSpaceDN/>
        <w:adjustRightInd/>
        <w:spacing w:line="240" w:lineRule="auto"/>
        <w:jc w:val="left"/>
        <w:rPr>
          <w:b/>
        </w:rPr>
      </w:pPr>
      <w:r>
        <w:rPr>
          <w:b/>
        </w:rPr>
        <w:br w:type="page"/>
      </w:r>
    </w:p>
    <w:p w14:paraId="158F64A2" w14:textId="5AA642D8" w:rsidR="00AA4577" w:rsidRDefault="00AA4577" w:rsidP="00795F62">
      <w:pPr>
        <w:rPr>
          <w:b/>
        </w:rPr>
      </w:pPr>
      <w:r>
        <w:rPr>
          <w:b/>
          <w:noProof/>
        </w:rPr>
        <w:lastRenderedPageBreak/>
        <w:drawing>
          <wp:inline distT="0" distB="0" distL="0" distR="0" wp14:anchorId="375F2CC4" wp14:editId="112BE8E4">
            <wp:extent cx="5727700" cy="4582795"/>
            <wp:effectExtent l="0" t="0" r="0" b="1905"/>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png"/>
                    <pic:cNvPicPr/>
                  </pic:nvPicPr>
                  <pic:blipFill>
                    <a:blip r:embed="rId17"/>
                    <a:stretch>
                      <a:fillRect/>
                    </a:stretch>
                  </pic:blipFill>
                  <pic:spPr>
                    <a:xfrm>
                      <a:off x="0" y="0"/>
                      <a:ext cx="5727700" cy="4582795"/>
                    </a:xfrm>
                    <a:prstGeom prst="rect">
                      <a:avLst/>
                    </a:prstGeom>
                  </pic:spPr>
                </pic:pic>
              </a:graphicData>
            </a:graphic>
          </wp:inline>
        </w:drawing>
      </w:r>
    </w:p>
    <w:p w14:paraId="5BC90476" w14:textId="497FC1DD" w:rsidR="002C6931" w:rsidRPr="002C6931" w:rsidRDefault="002C6931" w:rsidP="00795F62">
      <w:pPr>
        <w:rPr>
          <w:rFonts w:cs="Times New Roman"/>
        </w:rPr>
      </w:pPr>
      <w:r w:rsidRPr="00795F62">
        <w:rPr>
          <w:b/>
        </w:rPr>
        <w:t xml:space="preserve">Figure </w:t>
      </w:r>
      <w:r w:rsidRPr="00795F62">
        <w:rPr>
          <w:b/>
          <w:noProof/>
        </w:rPr>
        <w:fldChar w:fldCharType="begin"/>
      </w:r>
      <w:r w:rsidRPr="00795F62">
        <w:rPr>
          <w:b/>
          <w:noProof/>
        </w:rPr>
        <w:instrText xml:space="preserve"> SEQ Figure \* ARABIC </w:instrText>
      </w:r>
      <w:r w:rsidRPr="00795F62">
        <w:rPr>
          <w:b/>
          <w:noProof/>
        </w:rPr>
        <w:fldChar w:fldCharType="separate"/>
      </w:r>
      <w:r w:rsidR="007818D4">
        <w:rPr>
          <w:b/>
          <w:noProof/>
        </w:rPr>
        <w:t>3</w:t>
      </w:r>
      <w:r w:rsidRPr="00795F62">
        <w:rPr>
          <w:b/>
          <w:noProof/>
        </w:rPr>
        <w:fldChar w:fldCharType="end"/>
      </w:r>
      <w:bookmarkEnd w:id="9"/>
      <w:r>
        <w:t xml:space="preserve"> – </w:t>
      </w:r>
      <w:r w:rsidRPr="00C2084F">
        <w:t xml:space="preserve">Receiver-operating characteristics (ROC) curves for cMyC (ambulance) and hs-cTnT (ambulance) for the diagnosis of acute myocardial infarction. The AUC for cMyC was 0.839 (95% CI, 0.804-0.87), for hs-cTnT </w:t>
      </w:r>
      <w:r w:rsidRPr="00C10D04">
        <w:t>0.813 (0.777-0.847</w:t>
      </w:r>
      <w:r w:rsidRPr="00C2084F">
        <w:t>).</w:t>
      </w:r>
      <w:r w:rsidR="00F30B03">
        <w:t xml:space="preserve"> Youden’s index for cMyC in this cohort </w:t>
      </w:r>
      <w:r w:rsidR="00D0799D">
        <w:t xml:space="preserve">is </w:t>
      </w:r>
      <w:r w:rsidR="00F30B03">
        <w:t>50 ng/L</w:t>
      </w:r>
    </w:p>
    <w:p w14:paraId="700AA208" w14:textId="77777777" w:rsidR="00AA4577" w:rsidRDefault="00AA4577">
      <w:pPr>
        <w:widowControl/>
        <w:autoSpaceDE/>
        <w:autoSpaceDN/>
        <w:adjustRightInd/>
        <w:spacing w:line="240" w:lineRule="auto"/>
        <w:jc w:val="left"/>
        <w:rPr>
          <w:b/>
        </w:rPr>
      </w:pPr>
      <w:r>
        <w:rPr>
          <w:b/>
        </w:rPr>
        <w:br w:type="page"/>
      </w:r>
    </w:p>
    <w:p w14:paraId="3632915F" w14:textId="0A244ED0" w:rsidR="00AA4577" w:rsidRDefault="00AA4577" w:rsidP="00795F62">
      <w:pPr>
        <w:rPr>
          <w:b/>
        </w:rPr>
      </w:pPr>
      <w:r>
        <w:rPr>
          <w:b/>
          <w:noProof/>
        </w:rPr>
        <w:lastRenderedPageBreak/>
        <w:drawing>
          <wp:inline distT="0" distB="0" distL="0" distR="0" wp14:anchorId="2DF02E85" wp14:editId="1C633081">
            <wp:extent cx="5727700" cy="4773295"/>
            <wp:effectExtent l="0" t="0" r="0" b="190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4.png"/>
                    <pic:cNvPicPr/>
                  </pic:nvPicPr>
                  <pic:blipFill>
                    <a:blip r:embed="rId18"/>
                    <a:stretch>
                      <a:fillRect/>
                    </a:stretch>
                  </pic:blipFill>
                  <pic:spPr>
                    <a:xfrm>
                      <a:off x="0" y="0"/>
                      <a:ext cx="5727700" cy="4773295"/>
                    </a:xfrm>
                    <a:prstGeom prst="rect">
                      <a:avLst/>
                    </a:prstGeom>
                  </pic:spPr>
                </pic:pic>
              </a:graphicData>
            </a:graphic>
          </wp:inline>
        </w:drawing>
      </w:r>
    </w:p>
    <w:p w14:paraId="56F8C73D" w14:textId="70AB0A5A" w:rsidR="002C6931" w:rsidRPr="00B40704" w:rsidRDefault="002C6931" w:rsidP="00795F62">
      <w:pPr>
        <w:rPr>
          <w:rFonts w:cs="Times New Roman"/>
          <w:lang w:val="en-US"/>
        </w:rPr>
      </w:pPr>
      <w:r w:rsidRPr="00795F62">
        <w:rPr>
          <w:b/>
        </w:rPr>
        <w:t xml:space="preserve">Figure </w:t>
      </w:r>
      <w:r w:rsidRPr="00795F62">
        <w:rPr>
          <w:b/>
          <w:noProof/>
        </w:rPr>
        <w:fldChar w:fldCharType="begin"/>
      </w:r>
      <w:r w:rsidRPr="00795F62">
        <w:rPr>
          <w:b/>
          <w:noProof/>
        </w:rPr>
        <w:instrText xml:space="preserve"> SEQ Figure \* ARABIC </w:instrText>
      </w:r>
      <w:r w:rsidRPr="00795F62">
        <w:rPr>
          <w:b/>
          <w:noProof/>
        </w:rPr>
        <w:fldChar w:fldCharType="separate"/>
      </w:r>
      <w:r w:rsidR="007818D4">
        <w:rPr>
          <w:b/>
          <w:noProof/>
        </w:rPr>
        <w:t>4</w:t>
      </w:r>
      <w:r w:rsidRPr="00795F62">
        <w:rPr>
          <w:b/>
          <w:noProof/>
        </w:rPr>
        <w:fldChar w:fldCharType="end"/>
      </w:r>
      <w:bookmarkEnd w:id="10"/>
      <w:r>
        <w:t xml:space="preserve"> – Nomogram for the use of cMyC concentration, </w:t>
      </w:r>
      <w:r w:rsidR="00F27C8A">
        <w:t>sex</w:t>
      </w:r>
      <w:r w:rsidR="0035266F">
        <w:t xml:space="preserve">, hyperlipidaemia and smoking history </w:t>
      </w:r>
      <w:r>
        <w:t>to predict probability of AMI</w:t>
      </w:r>
      <w:r w:rsidR="00A6049F">
        <w:t xml:space="preserve"> – e.g.,</w:t>
      </w:r>
      <w:r w:rsidR="00B95BD8">
        <w:t xml:space="preserve"> </w:t>
      </w:r>
      <w:r w:rsidR="00A6049F">
        <w:t xml:space="preserve">a patient with cMyC concentration &lt; 10 ng/L would score 0 points, or 100 points at a concentration of 1,000 ng/L; presence of hyperlipidaemia would add </w:t>
      </w:r>
      <w:r w:rsidR="00931F17">
        <w:t>5</w:t>
      </w:r>
      <w:r w:rsidR="00A6049F">
        <w:t xml:space="preserve"> points; all points are added for the total score, which can then provide a probability of AMI.</w:t>
      </w:r>
    </w:p>
    <w:p w14:paraId="6091FB4E" w14:textId="77777777" w:rsidR="004A3489" w:rsidRPr="002C6931" w:rsidRDefault="004A3489">
      <w:pPr>
        <w:widowControl/>
        <w:autoSpaceDE/>
        <w:autoSpaceDN/>
        <w:adjustRightInd/>
        <w:spacing w:line="240" w:lineRule="auto"/>
        <w:jc w:val="left"/>
        <w:rPr>
          <w:rFonts w:cs="Times New Roman"/>
          <w:noProof/>
          <w:lang w:val="en-US"/>
        </w:rPr>
      </w:pPr>
    </w:p>
    <w:p w14:paraId="32FFCC4C" w14:textId="12D1A6A8" w:rsidR="004E0E8D" w:rsidRDefault="004E0E8D">
      <w:pPr>
        <w:widowControl/>
        <w:autoSpaceDE/>
        <w:autoSpaceDN/>
        <w:adjustRightInd/>
        <w:spacing w:line="240" w:lineRule="auto"/>
        <w:jc w:val="left"/>
        <w:rPr>
          <w:rFonts w:cs="Times New Roman"/>
          <w:noProof/>
        </w:rPr>
      </w:pPr>
      <w:r>
        <w:rPr>
          <w:rFonts w:cs="Times New Roman"/>
          <w:noProof/>
        </w:rPr>
        <w:br w:type="page"/>
      </w:r>
    </w:p>
    <w:p w14:paraId="03B94A10" w14:textId="77777777" w:rsidR="00265139" w:rsidRDefault="00265139">
      <w:pPr>
        <w:widowControl/>
        <w:autoSpaceDE/>
        <w:autoSpaceDN/>
        <w:adjustRightInd/>
        <w:spacing w:line="240" w:lineRule="auto"/>
        <w:jc w:val="left"/>
        <w:rPr>
          <w:rFonts w:cs="Times New Roman"/>
          <w:noProof/>
        </w:rPr>
      </w:pPr>
    </w:p>
    <w:p w14:paraId="5609FBB6" w14:textId="098CE893" w:rsidR="00BF78DE" w:rsidRPr="00C3521D" w:rsidRDefault="00BF78DE" w:rsidP="00263079">
      <w:pPr>
        <w:pStyle w:val="Heading2"/>
      </w:pPr>
      <w:r w:rsidRPr="00C3521D">
        <w:t>Tables:</w:t>
      </w:r>
    </w:p>
    <w:tbl>
      <w:tblPr>
        <w:tblStyle w:val="PlainTable51"/>
        <w:tblW w:w="0" w:type="auto"/>
        <w:tblLook w:val="04A0" w:firstRow="1" w:lastRow="0" w:firstColumn="1" w:lastColumn="0" w:noHBand="0" w:noVBand="1"/>
      </w:tblPr>
      <w:tblGrid>
        <w:gridCol w:w="4536"/>
        <w:gridCol w:w="1405"/>
        <w:gridCol w:w="1405"/>
        <w:gridCol w:w="927"/>
        <w:gridCol w:w="566"/>
      </w:tblGrid>
      <w:tr w:rsidR="00BD44B3" w:rsidRPr="00406B46" w14:paraId="42643655" w14:textId="77777777" w:rsidTr="005413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6" w:type="dxa"/>
            <w:hideMark/>
          </w:tcPr>
          <w:p w14:paraId="4E6B673C" w14:textId="77777777" w:rsidR="00BD44B3" w:rsidRPr="00406B46" w:rsidRDefault="00BD44B3" w:rsidP="00BD44B3">
            <w:pPr>
              <w:rPr>
                <w:sz w:val="20"/>
                <w:szCs w:val="20"/>
              </w:rPr>
            </w:pPr>
          </w:p>
        </w:tc>
        <w:tc>
          <w:tcPr>
            <w:tcW w:w="0" w:type="auto"/>
            <w:hideMark/>
          </w:tcPr>
          <w:p w14:paraId="09644051" w14:textId="415973C0" w:rsidR="00BD44B3" w:rsidRPr="00406B46" w:rsidRDefault="00406B46" w:rsidP="00BD44B3">
            <w:pPr>
              <w:cnfStyle w:val="100000000000" w:firstRow="1" w:lastRow="0" w:firstColumn="0" w:lastColumn="0" w:oddVBand="0" w:evenVBand="0" w:oddHBand="0" w:evenHBand="0" w:firstRowFirstColumn="0" w:firstRowLastColumn="0" w:lastRowFirstColumn="0" w:lastRowLastColumn="0"/>
              <w:rPr>
                <w:b/>
                <w:bCs/>
                <w:sz w:val="20"/>
                <w:szCs w:val="20"/>
              </w:rPr>
            </w:pPr>
            <w:r>
              <w:rPr>
                <w:b/>
                <w:bCs/>
                <w:sz w:val="20"/>
                <w:szCs w:val="20"/>
              </w:rPr>
              <w:t>No AMI</w:t>
            </w:r>
          </w:p>
        </w:tc>
        <w:tc>
          <w:tcPr>
            <w:tcW w:w="0" w:type="auto"/>
            <w:hideMark/>
          </w:tcPr>
          <w:p w14:paraId="66041CE5" w14:textId="0F278354" w:rsidR="00BD44B3" w:rsidRPr="00406B46" w:rsidRDefault="00406B46" w:rsidP="00BD44B3">
            <w:pPr>
              <w:cnfStyle w:val="100000000000" w:firstRow="1" w:lastRow="0" w:firstColumn="0" w:lastColumn="0" w:oddVBand="0" w:evenVBand="0" w:oddHBand="0" w:evenHBand="0" w:firstRowFirstColumn="0" w:firstRowLastColumn="0" w:lastRowFirstColumn="0" w:lastRowLastColumn="0"/>
              <w:rPr>
                <w:b/>
                <w:bCs/>
                <w:sz w:val="20"/>
                <w:szCs w:val="20"/>
              </w:rPr>
            </w:pPr>
            <w:r>
              <w:rPr>
                <w:b/>
                <w:bCs/>
                <w:sz w:val="20"/>
                <w:szCs w:val="20"/>
              </w:rPr>
              <w:t>AMI</w:t>
            </w:r>
          </w:p>
        </w:tc>
        <w:tc>
          <w:tcPr>
            <w:tcW w:w="0" w:type="auto"/>
            <w:hideMark/>
          </w:tcPr>
          <w:p w14:paraId="46D5633E" w14:textId="5616781E" w:rsidR="00BD44B3" w:rsidRPr="00406B46" w:rsidRDefault="00406B46" w:rsidP="00BD44B3">
            <w:pPr>
              <w:cnfStyle w:val="100000000000" w:firstRow="1" w:lastRow="0" w:firstColumn="0" w:lastColumn="0" w:oddVBand="0" w:evenVBand="0" w:oddHBand="0" w:evenHBand="0" w:firstRowFirstColumn="0" w:firstRowLastColumn="0" w:lastRowFirstColumn="0" w:lastRowLastColumn="0"/>
              <w:rPr>
                <w:b/>
                <w:bCs/>
                <w:sz w:val="20"/>
                <w:szCs w:val="20"/>
              </w:rPr>
            </w:pPr>
            <w:r>
              <w:rPr>
                <w:b/>
                <w:bCs/>
                <w:sz w:val="20"/>
                <w:szCs w:val="20"/>
              </w:rPr>
              <w:t>p-value</w:t>
            </w:r>
            <w:r w:rsidR="0024150C">
              <w:rPr>
                <w:b/>
                <w:bCs/>
                <w:sz w:val="20"/>
                <w:szCs w:val="20"/>
              </w:rPr>
              <w:t>*</w:t>
            </w:r>
          </w:p>
        </w:tc>
        <w:tc>
          <w:tcPr>
            <w:tcW w:w="0" w:type="auto"/>
            <w:hideMark/>
          </w:tcPr>
          <w:p w14:paraId="034D2A81" w14:textId="77777777" w:rsidR="00BD44B3" w:rsidRPr="00406B46" w:rsidRDefault="00BD44B3" w:rsidP="00BD44B3">
            <w:pPr>
              <w:cnfStyle w:val="100000000000" w:firstRow="1" w:lastRow="0" w:firstColumn="0" w:lastColumn="0" w:oddVBand="0" w:evenVBand="0" w:oddHBand="0" w:evenHBand="0" w:firstRowFirstColumn="0" w:firstRowLastColumn="0" w:lastRowFirstColumn="0" w:lastRowLastColumn="0"/>
              <w:rPr>
                <w:b/>
                <w:bCs/>
                <w:sz w:val="20"/>
                <w:szCs w:val="20"/>
              </w:rPr>
            </w:pPr>
            <w:r w:rsidRPr="00406B46">
              <w:rPr>
                <w:b/>
                <w:bCs/>
                <w:sz w:val="20"/>
                <w:szCs w:val="20"/>
              </w:rPr>
              <w:t>N </w:t>
            </w:r>
          </w:p>
        </w:tc>
      </w:tr>
      <w:tr w:rsidR="00BD44B3" w:rsidRPr="00406B46" w14:paraId="2B75D7C9" w14:textId="77777777" w:rsidTr="0054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14:paraId="19853FD0" w14:textId="77777777" w:rsidR="00BD44B3" w:rsidRPr="00406B46" w:rsidRDefault="00BD44B3" w:rsidP="00BD44B3">
            <w:pPr>
              <w:rPr>
                <w:b/>
                <w:bCs/>
                <w:sz w:val="20"/>
                <w:szCs w:val="20"/>
              </w:rPr>
            </w:pPr>
          </w:p>
        </w:tc>
        <w:tc>
          <w:tcPr>
            <w:tcW w:w="0" w:type="auto"/>
            <w:hideMark/>
          </w:tcPr>
          <w:p w14:paraId="27EDCC61"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i/>
                <w:iCs/>
                <w:sz w:val="20"/>
                <w:szCs w:val="20"/>
              </w:rPr>
            </w:pPr>
            <w:r w:rsidRPr="00406B46">
              <w:rPr>
                <w:i/>
                <w:iCs/>
                <w:sz w:val="20"/>
                <w:szCs w:val="20"/>
              </w:rPr>
              <w:t>N=603 </w:t>
            </w:r>
          </w:p>
        </w:tc>
        <w:tc>
          <w:tcPr>
            <w:tcW w:w="0" w:type="auto"/>
            <w:hideMark/>
          </w:tcPr>
          <w:p w14:paraId="68C67975"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i/>
                <w:iCs/>
                <w:sz w:val="20"/>
                <w:szCs w:val="20"/>
              </w:rPr>
            </w:pPr>
            <w:r w:rsidRPr="00406B46">
              <w:rPr>
                <w:i/>
                <w:iCs/>
                <w:sz w:val="20"/>
                <w:szCs w:val="20"/>
              </w:rPr>
              <w:t>N=173 </w:t>
            </w:r>
          </w:p>
        </w:tc>
        <w:tc>
          <w:tcPr>
            <w:tcW w:w="0" w:type="auto"/>
            <w:hideMark/>
          </w:tcPr>
          <w:p w14:paraId="212E5DA4"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i/>
                <w:iCs/>
                <w:sz w:val="20"/>
                <w:szCs w:val="20"/>
              </w:rPr>
            </w:pPr>
          </w:p>
        </w:tc>
        <w:tc>
          <w:tcPr>
            <w:tcW w:w="0" w:type="auto"/>
            <w:hideMark/>
          </w:tcPr>
          <w:p w14:paraId="0ACB11C8"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p>
        </w:tc>
      </w:tr>
      <w:tr w:rsidR="00BD44B3" w:rsidRPr="00406B46" w14:paraId="69F559C9" w14:textId="77777777" w:rsidTr="0054134F">
        <w:tc>
          <w:tcPr>
            <w:cnfStyle w:val="001000000000" w:firstRow="0" w:lastRow="0" w:firstColumn="1" w:lastColumn="0" w:oddVBand="0" w:evenVBand="0" w:oddHBand="0" w:evenHBand="0" w:firstRowFirstColumn="0" w:firstRowLastColumn="0" w:lastRowFirstColumn="0" w:lastRowLastColumn="0"/>
            <w:tcW w:w="4536" w:type="dxa"/>
            <w:hideMark/>
          </w:tcPr>
          <w:p w14:paraId="62E40159" w14:textId="6CB8FF5A" w:rsidR="00BD44B3" w:rsidRPr="00406B46" w:rsidRDefault="00F27C8A" w:rsidP="00BD44B3">
            <w:pPr>
              <w:rPr>
                <w:sz w:val="20"/>
                <w:szCs w:val="20"/>
              </w:rPr>
            </w:pPr>
            <w:r>
              <w:rPr>
                <w:sz w:val="20"/>
                <w:szCs w:val="20"/>
              </w:rPr>
              <w:t>Sex</w:t>
            </w:r>
            <w:r w:rsidR="00BD44B3" w:rsidRPr="00406B46">
              <w:rPr>
                <w:sz w:val="20"/>
                <w:szCs w:val="20"/>
              </w:rPr>
              <w:t>: male </w:t>
            </w:r>
          </w:p>
        </w:tc>
        <w:tc>
          <w:tcPr>
            <w:tcW w:w="0" w:type="auto"/>
            <w:hideMark/>
          </w:tcPr>
          <w:p w14:paraId="6014B089"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344 (57%) </w:t>
            </w:r>
          </w:p>
        </w:tc>
        <w:tc>
          <w:tcPr>
            <w:tcW w:w="0" w:type="auto"/>
            <w:hideMark/>
          </w:tcPr>
          <w:p w14:paraId="14C5659E"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129 (75%) </w:t>
            </w:r>
          </w:p>
        </w:tc>
        <w:tc>
          <w:tcPr>
            <w:tcW w:w="0" w:type="auto"/>
            <w:hideMark/>
          </w:tcPr>
          <w:p w14:paraId="73D81CD0"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&lt;0.001 </w:t>
            </w:r>
          </w:p>
        </w:tc>
        <w:tc>
          <w:tcPr>
            <w:tcW w:w="0" w:type="auto"/>
            <w:hideMark/>
          </w:tcPr>
          <w:p w14:paraId="44D63D2A"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776 </w:t>
            </w:r>
          </w:p>
        </w:tc>
      </w:tr>
      <w:tr w:rsidR="00BD44B3" w:rsidRPr="00406B46" w14:paraId="53DE10C8" w14:textId="77777777" w:rsidTr="0054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14:paraId="04825295" w14:textId="77777777" w:rsidR="00BD44B3" w:rsidRPr="00406B46" w:rsidRDefault="00BD44B3" w:rsidP="00BD44B3">
            <w:pPr>
              <w:rPr>
                <w:sz w:val="20"/>
                <w:szCs w:val="20"/>
              </w:rPr>
            </w:pPr>
            <w:r w:rsidRPr="00406B46">
              <w:rPr>
                <w:sz w:val="20"/>
                <w:szCs w:val="20"/>
              </w:rPr>
              <w:t>Age (y) </w:t>
            </w:r>
          </w:p>
        </w:tc>
        <w:tc>
          <w:tcPr>
            <w:tcW w:w="0" w:type="auto"/>
            <w:hideMark/>
          </w:tcPr>
          <w:p w14:paraId="16A6DA73"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68 [56;78] </w:t>
            </w:r>
          </w:p>
        </w:tc>
        <w:tc>
          <w:tcPr>
            <w:tcW w:w="0" w:type="auto"/>
            <w:hideMark/>
          </w:tcPr>
          <w:p w14:paraId="1A1729B9"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70 [63;79] </w:t>
            </w:r>
          </w:p>
        </w:tc>
        <w:tc>
          <w:tcPr>
            <w:tcW w:w="0" w:type="auto"/>
            <w:hideMark/>
          </w:tcPr>
          <w:p w14:paraId="05A85DAD"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0.016 </w:t>
            </w:r>
          </w:p>
        </w:tc>
        <w:tc>
          <w:tcPr>
            <w:tcW w:w="0" w:type="auto"/>
            <w:hideMark/>
          </w:tcPr>
          <w:p w14:paraId="271E638E"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776 </w:t>
            </w:r>
          </w:p>
        </w:tc>
      </w:tr>
      <w:tr w:rsidR="00BD44B3" w:rsidRPr="00406B46" w14:paraId="52B86B22" w14:textId="77777777" w:rsidTr="0054134F">
        <w:tc>
          <w:tcPr>
            <w:cnfStyle w:val="001000000000" w:firstRow="0" w:lastRow="0" w:firstColumn="1" w:lastColumn="0" w:oddVBand="0" w:evenVBand="0" w:oddHBand="0" w:evenHBand="0" w:firstRowFirstColumn="0" w:firstRowLastColumn="0" w:lastRowFirstColumn="0" w:lastRowLastColumn="0"/>
            <w:tcW w:w="4536" w:type="dxa"/>
            <w:hideMark/>
          </w:tcPr>
          <w:p w14:paraId="0936AC77" w14:textId="77777777" w:rsidR="00BD44B3" w:rsidRPr="00406B46" w:rsidRDefault="00BD44B3" w:rsidP="00BD44B3">
            <w:pPr>
              <w:rPr>
                <w:sz w:val="20"/>
                <w:szCs w:val="20"/>
              </w:rPr>
            </w:pPr>
            <w:r w:rsidRPr="00406B46">
              <w:rPr>
                <w:sz w:val="20"/>
                <w:szCs w:val="20"/>
              </w:rPr>
              <w:t>Hypertension </w:t>
            </w:r>
          </w:p>
        </w:tc>
        <w:tc>
          <w:tcPr>
            <w:tcW w:w="0" w:type="auto"/>
            <w:hideMark/>
          </w:tcPr>
          <w:p w14:paraId="1183029D"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337 (56%) </w:t>
            </w:r>
          </w:p>
        </w:tc>
        <w:tc>
          <w:tcPr>
            <w:tcW w:w="0" w:type="auto"/>
            <w:hideMark/>
          </w:tcPr>
          <w:p w14:paraId="6A07E90B"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102 (59%) </w:t>
            </w:r>
          </w:p>
        </w:tc>
        <w:tc>
          <w:tcPr>
            <w:tcW w:w="0" w:type="auto"/>
            <w:hideMark/>
          </w:tcPr>
          <w:p w14:paraId="4C844B0C"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0.528 </w:t>
            </w:r>
          </w:p>
        </w:tc>
        <w:tc>
          <w:tcPr>
            <w:tcW w:w="0" w:type="auto"/>
            <w:hideMark/>
          </w:tcPr>
          <w:p w14:paraId="0A3FF576"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776 </w:t>
            </w:r>
          </w:p>
        </w:tc>
      </w:tr>
      <w:tr w:rsidR="00BD44B3" w:rsidRPr="00406B46" w14:paraId="4DB24BE7" w14:textId="77777777" w:rsidTr="0054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14:paraId="07F2EB32" w14:textId="77777777" w:rsidR="00BD44B3" w:rsidRPr="00406B46" w:rsidRDefault="00BD44B3" w:rsidP="00BD44B3">
            <w:pPr>
              <w:rPr>
                <w:sz w:val="20"/>
                <w:szCs w:val="20"/>
              </w:rPr>
            </w:pPr>
            <w:r w:rsidRPr="00406B46">
              <w:rPr>
                <w:sz w:val="20"/>
                <w:szCs w:val="20"/>
              </w:rPr>
              <w:t>Hyperlipidaemia </w:t>
            </w:r>
          </w:p>
        </w:tc>
        <w:tc>
          <w:tcPr>
            <w:tcW w:w="0" w:type="auto"/>
            <w:hideMark/>
          </w:tcPr>
          <w:p w14:paraId="0D35899A"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480 (80%) </w:t>
            </w:r>
          </w:p>
        </w:tc>
        <w:tc>
          <w:tcPr>
            <w:tcW w:w="0" w:type="auto"/>
            <w:hideMark/>
          </w:tcPr>
          <w:p w14:paraId="59EC8168"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142 (82%) </w:t>
            </w:r>
          </w:p>
        </w:tc>
        <w:tc>
          <w:tcPr>
            <w:tcW w:w="0" w:type="auto"/>
            <w:hideMark/>
          </w:tcPr>
          <w:p w14:paraId="612D4FEA"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0.540 </w:t>
            </w:r>
          </w:p>
        </w:tc>
        <w:tc>
          <w:tcPr>
            <w:tcW w:w="0" w:type="auto"/>
            <w:hideMark/>
          </w:tcPr>
          <w:p w14:paraId="225FBBBF"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776 </w:t>
            </w:r>
          </w:p>
        </w:tc>
      </w:tr>
      <w:tr w:rsidR="00BD44B3" w:rsidRPr="00406B46" w14:paraId="586F7B65" w14:textId="77777777" w:rsidTr="0054134F">
        <w:tc>
          <w:tcPr>
            <w:cnfStyle w:val="001000000000" w:firstRow="0" w:lastRow="0" w:firstColumn="1" w:lastColumn="0" w:oddVBand="0" w:evenVBand="0" w:oddHBand="0" w:evenHBand="0" w:firstRowFirstColumn="0" w:firstRowLastColumn="0" w:lastRowFirstColumn="0" w:lastRowLastColumn="0"/>
            <w:tcW w:w="4536" w:type="dxa"/>
            <w:hideMark/>
          </w:tcPr>
          <w:p w14:paraId="4C16BBA0" w14:textId="77777777" w:rsidR="00BD44B3" w:rsidRPr="00406B46" w:rsidRDefault="00BD44B3" w:rsidP="00BD44B3">
            <w:pPr>
              <w:rPr>
                <w:sz w:val="20"/>
                <w:szCs w:val="20"/>
              </w:rPr>
            </w:pPr>
            <w:r w:rsidRPr="00406B46">
              <w:rPr>
                <w:sz w:val="20"/>
                <w:szCs w:val="20"/>
              </w:rPr>
              <w:t>Diabetes mellitus </w:t>
            </w:r>
          </w:p>
        </w:tc>
        <w:tc>
          <w:tcPr>
            <w:tcW w:w="0" w:type="auto"/>
            <w:hideMark/>
          </w:tcPr>
          <w:p w14:paraId="1F28D9BF"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124 (21%) </w:t>
            </w:r>
          </w:p>
        </w:tc>
        <w:tc>
          <w:tcPr>
            <w:tcW w:w="0" w:type="auto"/>
            <w:hideMark/>
          </w:tcPr>
          <w:p w14:paraId="7D362815"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23 (13%) </w:t>
            </w:r>
          </w:p>
        </w:tc>
        <w:tc>
          <w:tcPr>
            <w:tcW w:w="0" w:type="auto"/>
            <w:hideMark/>
          </w:tcPr>
          <w:p w14:paraId="21ACBA92"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0.041 </w:t>
            </w:r>
          </w:p>
        </w:tc>
        <w:tc>
          <w:tcPr>
            <w:tcW w:w="0" w:type="auto"/>
            <w:hideMark/>
          </w:tcPr>
          <w:p w14:paraId="7A7E4023"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776 </w:t>
            </w:r>
          </w:p>
        </w:tc>
      </w:tr>
      <w:tr w:rsidR="00BD44B3" w:rsidRPr="00406B46" w14:paraId="011D15F1" w14:textId="77777777" w:rsidTr="0054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14:paraId="47DDB51F" w14:textId="77777777" w:rsidR="00BD44B3" w:rsidRPr="00406B46" w:rsidRDefault="00BD44B3" w:rsidP="00BD44B3">
            <w:pPr>
              <w:rPr>
                <w:sz w:val="20"/>
                <w:szCs w:val="20"/>
              </w:rPr>
            </w:pPr>
            <w:r w:rsidRPr="00406B46">
              <w:rPr>
                <w:sz w:val="20"/>
                <w:szCs w:val="20"/>
              </w:rPr>
              <w:t>Current smoking </w:t>
            </w:r>
          </w:p>
        </w:tc>
        <w:tc>
          <w:tcPr>
            <w:tcW w:w="0" w:type="auto"/>
            <w:hideMark/>
          </w:tcPr>
          <w:p w14:paraId="1F7A4187"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165 (31%) </w:t>
            </w:r>
          </w:p>
        </w:tc>
        <w:tc>
          <w:tcPr>
            <w:tcW w:w="0" w:type="auto"/>
            <w:hideMark/>
          </w:tcPr>
          <w:p w14:paraId="303094A9"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65 (46%) </w:t>
            </w:r>
          </w:p>
        </w:tc>
        <w:tc>
          <w:tcPr>
            <w:tcW w:w="0" w:type="auto"/>
            <w:hideMark/>
          </w:tcPr>
          <w:p w14:paraId="52C3EF36"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0.001 </w:t>
            </w:r>
          </w:p>
        </w:tc>
        <w:tc>
          <w:tcPr>
            <w:tcW w:w="0" w:type="auto"/>
            <w:hideMark/>
          </w:tcPr>
          <w:p w14:paraId="41BCBFF6"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674 </w:t>
            </w:r>
          </w:p>
        </w:tc>
      </w:tr>
      <w:tr w:rsidR="00BD44B3" w:rsidRPr="00406B46" w14:paraId="577EAD83" w14:textId="77777777" w:rsidTr="0054134F">
        <w:tc>
          <w:tcPr>
            <w:cnfStyle w:val="001000000000" w:firstRow="0" w:lastRow="0" w:firstColumn="1" w:lastColumn="0" w:oddVBand="0" w:evenVBand="0" w:oddHBand="0" w:evenHBand="0" w:firstRowFirstColumn="0" w:firstRowLastColumn="0" w:lastRowFirstColumn="0" w:lastRowLastColumn="0"/>
            <w:tcW w:w="4536" w:type="dxa"/>
            <w:hideMark/>
          </w:tcPr>
          <w:p w14:paraId="53DF5C4C" w14:textId="77777777" w:rsidR="00BD44B3" w:rsidRPr="00406B46" w:rsidRDefault="00BD44B3" w:rsidP="00BD44B3">
            <w:pPr>
              <w:rPr>
                <w:sz w:val="20"/>
                <w:szCs w:val="20"/>
              </w:rPr>
            </w:pPr>
            <w:r w:rsidRPr="00406B46">
              <w:rPr>
                <w:sz w:val="20"/>
                <w:szCs w:val="20"/>
              </w:rPr>
              <w:t>Past smoking </w:t>
            </w:r>
          </w:p>
        </w:tc>
        <w:tc>
          <w:tcPr>
            <w:tcW w:w="0" w:type="auto"/>
            <w:hideMark/>
          </w:tcPr>
          <w:p w14:paraId="3AE4ADB9"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167 (31%) </w:t>
            </w:r>
          </w:p>
        </w:tc>
        <w:tc>
          <w:tcPr>
            <w:tcW w:w="0" w:type="auto"/>
            <w:hideMark/>
          </w:tcPr>
          <w:p w14:paraId="71E9568A"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50 (35%) </w:t>
            </w:r>
          </w:p>
        </w:tc>
        <w:tc>
          <w:tcPr>
            <w:tcW w:w="0" w:type="auto"/>
            <w:hideMark/>
          </w:tcPr>
          <w:p w14:paraId="1FA9DF26"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0.445 </w:t>
            </w:r>
          </w:p>
        </w:tc>
        <w:tc>
          <w:tcPr>
            <w:tcW w:w="0" w:type="auto"/>
            <w:hideMark/>
          </w:tcPr>
          <w:p w14:paraId="52E287C0"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674 </w:t>
            </w:r>
          </w:p>
        </w:tc>
      </w:tr>
      <w:tr w:rsidR="00BD44B3" w:rsidRPr="00406B46" w14:paraId="5668A704" w14:textId="77777777" w:rsidTr="0054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14:paraId="31D34F7C" w14:textId="77777777" w:rsidR="00BD44B3" w:rsidRPr="00406B46" w:rsidRDefault="00BD44B3" w:rsidP="00BD44B3">
            <w:pPr>
              <w:rPr>
                <w:sz w:val="20"/>
                <w:szCs w:val="20"/>
              </w:rPr>
            </w:pPr>
            <w:r w:rsidRPr="00406B46">
              <w:rPr>
                <w:sz w:val="20"/>
                <w:szCs w:val="20"/>
              </w:rPr>
              <w:t>Previous MI </w:t>
            </w:r>
          </w:p>
        </w:tc>
        <w:tc>
          <w:tcPr>
            <w:tcW w:w="0" w:type="auto"/>
            <w:hideMark/>
          </w:tcPr>
          <w:p w14:paraId="129D1A2C"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174 (29%) </w:t>
            </w:r>
          </w:p>
        </w:tc>
        <w:tc>
          <w:tcPr>
            <w:tcW w:w="0" w:type="auto"/>
            <w:hideMark/>
          </w:tcPr>
          <w:p w14:paraId="3001C075"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58 (34%) </w:t>
            </w:r>
          </w:p>
        </w:tc>
        <w:tc>
          <w:tcPr>
            <w:tcW w:w="0" w:type="auto"/>
            <w:hideMark/>
          </w:tcPr>
          <w:p w14:paraId="4E41245E"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0.276 </w:t>
            </w:r>
          </w:p>
        </w:tc>
        <w:tc>
          <w:tcPr>
            <w:tcW w:w="0" w:type="auto"/>
            <w:hideMark/>
          </w:tcPr>
          <w:p w14:paraId="341CF826"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776 </w:t>
            </w:r>
          </w:p>
        </w:tc>
      </w:tr>
      <w:tr w:rsidR="00BD44B3" w:rsidRPr="00406B46" w14:paraId="445FDA4F" w14:textId="77777777" w:rsidTr="0054134F">
        <w:tc>
          <w:tcPr>
            <w:cnfStyle w:val="001000000000" w:firstRow="0" w:lastRow="0" w:firstColumn="1" w:lastColumn="0" w:oddVBand="0" w:evenVBand="0" w:oddHBand="0" w:evenHBand="0" w:firstRowFirstColumn="0" w:firstRowLastColumn="0" w:lastRowFirstColumn="0" w:lastRowLastColumn="0"/>
            <w:tcW w:w="4536" w:type="dxa"/>
            <w:hideMark/>
          </w:tcPr>
          <w:p w14:paraId="07DC1CCC" w14:textId="77777777" w:rsidR="00BD44B3" w:rsidRPr="00406B46" w:rsidRDefault="00BD44B3" w:rsidP="00BD44B3">
            <w:pPr>
              <w:rPr>
                <w:sz w:val="20"/>
                <w:szCs w:val="20"/>
              </w:rPr>
            </w:pPr>
            <w:r w:rsidRPr="00406B46">
              <w:rPr>
                <w:sz w:val="20"/>
                <w:szCs w:val="20"/>
              </w:rPr>
              <w:t>Previous percutaneous intervention </w:t>
            </w:r>
          </w:p>
        </w:tc>
        <w:tc>
          <w:tcPr>
            <w:tcW w:w="0" w:type="auto"/>
            <w:hideMark/>
          </w:tcPr>
          <w:p w14:paraId="22497782"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151 (25%) </w:t>
            </w:r>
          </w:p>
        </w:tc>
        <w:tc>
          <w:tcPr>
            <w:tcW w:w="0" w:type="auto"/>
            <w:hideMark/>
          </w:tcPr>
          <w:p w14:paraId="777A6EF2"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49 (28%) </w:t>
            </w:r>
          </w:p>
        </w:tc>
        <w:tc>
          <w:tcPr>
            <w:tcW w:w="0" w:type="auto"/>
            <w:hideMark/>
          </w:tcPr>
          <w:p w14:paraId="2EFF2703"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0.440 </w:t>
            </w:r>
          </w:p>
        </w:tc>
        <w:tc>
          <w:tcPr>
            <w:tcW w:w="0" w:type="auto"/>
            <w:hideMark/>
          </w:tcPr>
          <w:p w14:paraId="0D88638D"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776 </w:t>
            </w:r>
          </w:p>
        </w:tc>
      </w:tr>
      <w:tr w:rsidR="00BD44B3" w:rsidRPr="00406B46" w14:paraId="677CBAD8" w14:textId="77777777" w:rsidTr="0054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14:paraId="2C46EA7B" w14:textId="77777777" w:rsidR="00BD44B3" w:rsidRPr="00406B46" w:rsidRDefault="00BD44B3" w:rsidP="00BD44B3">
            <w:pPr>
              <w:rPr>
                <w:sz w:val="20"/>
                <w:szCs w:val="20"/>
              </w:rPr>
            </w:pPr>
            <w:r w:rsidRPr="00406B46">
              <w:rPr>
                <w:sz w:val="20"/>
                <w:szCs w:val="20"/>
              </w:rPr>
              <w:t>Systolic blood pressure, mmHg </w:t>
            </w:r>
          </w:p>
        </w:tc>
        <w:tc>
          <w:tcPr>
            <w:tcW w:w="0" w:type="auto"/>
            <w:hideMark/>
          </w:tcPr>
          <w:p w14:paraId="379E4C19"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146 [130;165] </w:t>
            </w:r>
          </w:p>
        </w:tc>
        <w:tc>
          <w:tcPr>
            <w:tcW w:w="0" w:type="auto"/>
            <w:hideMark/>
          </w:tcPr>
          <w:p w14:paraId="4EDA25A3"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149 [129;170] </w:t>
            </w:r>
          </w:p>
        </w:tc>
        <w:tc>
          <w:tcPr>
            <w:tcW w:w="0" w:type="auto"/>
            <w:hideMark/>
          </w:tcPr>
          <w:p w14:paraId="21E2ADCA"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0.531 </w:t>
            </w:r>
          </w:p>
        </w:tc>
        <w:tc>
          <w:tcPr>
            <w:tcW w:w="0" w:type="auto"/>
            <w:hideMark/>
          </w:tcPr>
          <w:p w14:paraId="1031F47B"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764 </w:t>
            </w:r>
          </w:p>
        </w:tc>
      </w:tr>
      <w:tr w:rsidR="00BD44B3" w:rsidRPr="00406B46" w14:paraId="2E135AEE" w14:textId="77777777" w:rsidTr="0054134F">
        <w:tc>
          <w:tcPr>
            <w:cnfStyle w:val="001000000000" w:firstRow="0" w:lastRow="0" w:firstColumn="1" w:lastColumn="0" w:oddVBand="0" w:evenVBand="0" w:oddHBand="0" w:evenHBand="0" w:firstRowFirstColumn="0" w:firstRowLastColumn="0" w:lastRowFirstColumn="0" w:lastRowLastColumn="0"/>
            <w:tcW w:w="4536" w:type="dxa"/>
            <w:hideMark/>
          </w:tcPr>
          <w:p w14:paraId="3718D818" w14:textId="77777777" w:rsidR="00BD44B3" w:rsidRPr="00406B46" w:rsidRDefault="00BD44B3" w:rsidP="00BD44B3">
            <w:pPr>
              <w:rPr>
                <w:sz w:val="20"/>
                <w:szCs w:val="20"/>
              </w:rPr>
            </w:pPr>
            <w:r w:rsidRPr="00406B46">
              <w:rPr>
                <w:sz w:val="20"/>
                <w:szCs w:val="20"/>
              </w:rPr>
              <w:t>Diastolic blood pressure, mmHg </w:t>
            </w:r>
          </w:p>
        </w:tc>
        <w:tc>
          <w:tcPr>
            <w:tcW w:w="0" w:type="auto"/>
            <w:hideMark/>
          </w:tcPr>
          <w:p w14:paraId="4F26F293"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87 [75;98] </w:t>
            </w:r>
          </w:p>
        </w:tc>
        <w:tc>
          <w:tcPr>
            <w:tcW w:w="0" w:type="auto"/>
            <w:hideMark/>
          </w:tcPr>
          <w:p w14:paraId="2434D3C9"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89 [73;105] </w:t>
            </w:r>
          </w:p>
        </w:tc>
        <w:tc>
          <w:tcPr>
            <w:tcW w:w="0" w:type="auto"/>
            <w:hideMark/>
          </w:tcPr>
          <w:p w14:paraId="19AD8C74"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0.154 </w:t>
            </w:r>
          </w:p>
        </w:tc>
        <w:tc>
          <w:tcPr>
            <w:tcW w:w="0" w:type="auto"/>
            <w:hideMark/>
          </w:tcPr>
          <w:p w14:paraId="31F20E17"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764 </w:t>
            </w:r>
          </w:p>
        </w:tc>
      </w:tr>
      <w:tr w:rsidR="00BD44B3" w:rsidRPr="00406B46" w14:paraId="249D7026" w14:textId="77777777" w:rsidTr="0054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14:paraId="37941662" w14:textId="77777777" w:rsidR="00BD44B3" w:rsidRPr="00406B46" w:rsidRDefault="00BD44B3" w:rsidP="00BD44B3">
            <w:pPr>
              <w:rPr>
                <w:sz w:val="20"/>
                <w:szCs w:val="20"/>
              </w:rPr>
            </w:pPr>
            <w:r w:rsidRPr="00406B46">
              <w:rPr>
                <w:sz w:val="20"/>
                <w:szCs w:val="20"/>
              </w:rPr>
              <w:t>Heart rate, beats/min </w:t>
            </w:r>
          </w:p>
        </w:tc>
        <w:tc>
          <w:tcPr>
            <w:tcW w:w="0" w:type="auto"/>
            <w:hideMark/>
          </w:tcPr>
          <w:p w14:paraId="472B70BD"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84 [70;100] </w:t>
            </w:r>
          </w:p>
        </w:tc>
        <w:tc>
          <w:tcPr>
            <w:tcW w:w="0" w:type="auto"/>
            <w:hideMark/>
          </w:tcPr>
          <w:p w14:paraId="6890D2E8"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85 [70;100] </w:t>
            </w:r>
          </w:p>
        </w:tc>
        <w:tc>
          <w:tcPr>
            <w:tcW w:w="0" w:type="auto"/>
            <w:hideMark/>
          </w:tcPr>
          <w:p w14:paraId="16F7FCBA"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0.790 </w:t>
            </w:r>
          </w:p>
        </w:tc>
        <w:tc>
          <w:tcPr>
            <w:tcW w:w="0" w:type="auto"/>
            <w:hideMark/>
          </w:tcPr>
          <w:p w14:paraId="42A73B5E"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765 </w:t>
            </w:r>
          </w:p>
        </w:tc>
      </w:tr>
      <w:tr w:rsidR="00BD44B3" w:rsidRPr="00406B46" w14:paraId="2B5FC253" w14:textId="77777777" w:rsidTr="0054134F">
        <w:tc>
          <w:tcPr>
            <w:cnfStyle w:val="001000000000" w:firstRow="0" w:lastRow="0" w:firstColumn="1" w:lastColumn="0" w:oddVBand="0" w:evenVBand="0" w:oddHBand="0" w:evenHBand="0" w:firstRowFirstColumn="0" w:firstRowLastColumn="0" w:lastRowFirstColumn="0" w:lastRowLastColumn="0"/>
            <w:tcW w:w="4536" w:type="dxa"/>
            <w:hideMark/>
          </w:tcPr>
          <w:p w14:paraId="46E423F7" w14:textId="77777777" w:rsidR="00BD44B3" w:rsidRPr="00406B46" w:rsidRDefault="00BD44B3" w:rsidP="00BD44B3">
            <w:pPr>
              <w:rPr>
                <w:sz w:val="20"/>
                <w:szCs w:val="20"/>
              </w:rPr>
            </w:pPr>
            <w:r w:rsidRPr="00406B46">
              <w:rPr>
                <w:sz w:val="20"/>
                <w:szCs w:val="20"/>
              </w:rPr>
              <w:t>Estimated glomerular filtration rate, ml/min/1.73m2* </w:t>
            </w:r>
          </w:p>
        </w:tc>
        <w:tc>
          <w:tcPr>
            <w:tcW w:w="0" w:type="auto"/>
            <w:hideMark/>
          </w:tcPr>
          <w:p w14:paraId="3944A37B"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72 [56;87] </w:t>
            </w:r>
          </w:p>
        </w:tc>
        <w:tc>
          <w:tcPr>
            <w:tcW w:w="0" w:type="auto"/>
            <w:hideMark/>
          </w:tcPr>
          <w:p w14:paraId="19407CFA"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68 [58;83] </w:t>
            </w:r>
          </w:p>
        </w:tc>
        <w:tc>
          <w:tcPr>
            <w:tcW w:w="0" w:type="auto"/>
            <w:hideMark/>
          </w:tcPr>
          <w:p w14:paraId="5A074DBF"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0.126 </w:t>
            </w:r>
          </w:p>
        </w:tc>
        <w:tc>
          <w:tcPr>
            <w:tcW w:w="0" w:type="auto"/>
            <w:hideMark/>
          </w:tcPr>
          <w:p w14:paraId="653E8ACD" w14:textId="77777777" w:rsidR="00BD44B3" w:rsidRPr="00406B46" w:rsidRDefault="00BD44B3" w:rsidP="00BD44B3">
            <w:pPr>
              <w:cnfStyle w:val="000000000000" w:firstRow="0" w:lastRow="0" w:firstColumn="0" w:lastColumn="0" w:oddVBand="0" w:evenVBand="0" w:oddHBand="0" w:evenHBand="0" w:firstRowFirstColumn="0" w:firstRowLastColumn="0" w:lastRowFirstColumn="0" w:lastRowLastColumn="0"/>
              <w:rPr>
                <w:sz w:val="20"/>
                <w:szCs w:val="20"/>
              </w:rPr>
            </w:pPr>
            <w:r w:rsidRPr="00406B46">
              <w:rPr>
                <w:sz w:val="20"/>
                <w:szCs w:val="20"/>
              </w:rPr>
              <w:t>605 </w:t>
            </w:r>
          </w:p>
        </w:tc>
      </w:tr>
      <w:tr w:rsidR="00BD44B3" w:rsidRPr="00406B46" w14:paraId="006500F2" w14:textId="77777777" w:rsidTr="0054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14:paraId="13AEBA8E" w14:textId="77777777" w:rsidR="00BD44B3" w:rsidRPr="00406B46" w:rsidRDefault="00BD44B3" w:rsidP="00BD44B3">
            <w:pPr>
              <w:rPr>
                <w:sz w:val="20"/>
                <w:szCs w:val="20"/>
              </w:rPr>
            </w:pPr>
            <w:r w:rsidRPr="00406B46">
              <w:rPr>
                <w:sz w:val="20"/>
                <w:szCs w:val="20"/>
              </w:rPr>
              <w:t>Time since chest pain onset, minutes </w:t>
            </w:r>
          </w:p>
        </w:tc>
        <w:tc>
          <w:tcPr>
            <w:tcW w:w="0" w:type="auto"/>
            <w:hideMark/>
          </w:tcPr>
          <w:p w14:paraId="3137893E"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66 [35;179] </w:t>
            </w:r>
          </w:p>
        </w:tc>
        <w:tc>
          <w:tcPr>
            <w:tcW w:w="0" w:type="auto"/>
            <w:hideMark/>
          </w:tcPr>
          <w:p w14:paraId="3A98D715"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72 [35;150] </w:t>
            </w:r>
          </w:p>
        </w:tc>
        <w:tc>
          <w:tcPr>
            <w:tcW w:w="0" w:type="auto"/>
            <w:hideMark/>
          </w:tcPr>
          <w:p w14:paraId="14800604"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0.872 </w:t>
            </w:r>
          </w:p>
        </w:tc>
        <w:tc>
          <w:tcPr>
            <w:tcW w:w="0" w:type="auto"/>
            <w:hideMark/>
          </w:tcPr>
          <w:p w14:paraId="0E738293" w14:textId="77777777" w:rsidR="00BD44B3" w:rsidRPr="00406B46" w:rsidRDefault="00BD44B3" w:rsidP="00BD44B3">
            <w:pPr>
              <w:cnfStyle w:val="000000100000" w:firstRow="0" w:lastRow="0" w:firstColumn="0" w:lastColumn="0" w:oddVBand="0" w:evenVBand="0" w:oddHBand="1" w:evenHBand="0" w:firstRowFirstColumn="0" w:firstRowLastColumn="0" w:lastRowFirstColumn="0" w:lastRowLastColumn="0"/>
              <w:rPr>
                <w:sz w:val="20"/>
                <w:szCs w:val="20"/>
              </w:rPr>
            </w:pPr>
            <w:r w:rsidRPr="00406B46">
              <w:rPr>
                <w:sz w:val="20"/>
                <w:szCs w:val="20"/>
              </w:rPr>
              <w:t>726 </w:t>
            </w:r>
          </w:p>
        </w:tc>
      </w:tr>
    </w:tbl>
    <w:p w14:paraId="024617C1" w14:textId="15679602" w:rsidR="00BF78DE" w:rsidRDefault="00BF78DE" w:rsidP="00BF78DE"/>
    <w:p w14:paraId="41F294FB" w14:textId="7BEB4AD4" w:rsidR="00755FA1" w:rsidRPr="00C3521D" w:rsidRDefault="00A543CD" w:rsidP="00BF78DE">
      <w:r>
        <w:rPr>
          <w:rFonts w:cs="Times New Roman"/>
          <w:szCs w:val="20"/>
        </w:rPr>
        <w:t xml:space="preserve">Table 1 – </w:t>
      </w:r>
      <w:r w:rsidRPr="00C3521D">
        <w:rPr>
          <w:rFonts w:cs="Times New Roman"/>
          <w:szCs w:val="20"/>
        </w:rPr>
        <w:t>Baseline characteristics</w:t>
      </w:r>
      <w:r w:rsidR="00406B46">
        <w:rPr>
          <w:rFonts w:cs="Times New Roman"/>
          <w:szCs w:val="20"/>
        </w:rPr>
        <w:t xml:space="preserve"> stratified by AMI diagnosis</w:t>
      </w:r>
      <w:r>
        <w:rPr>
          <w:rFonts w:cs="Times New Roman"/>
          <w:szCs w:val="20"/>
        </w:rPr>
        <w:t>;</w:t>
      </w:r>
      <w:r w:rsidRPr="00C3521D">
        <w:rPr>
          <w:rFonts w:cs="Times New Roman"/>
          <w:szCs w:val="20"/>
        </w:rPr>
        <w:t xml:space="preserve"> </w:t>
      </w:r>
      <w:r w:rsidR="00406B46">
        <w:rPr>
          <w:rFonts w:cs="Times New Roman"/>
          <w:szCs w:val="20"/>
        </w:rPr>
        <w:t>(A)MI = (acute) myocardial infarction;</w:t>
      </w:r>
      <w:r w:rsidR="0024150C">
        <w:rPr>
          <w:rFonts w:cs="Times New Roman"/>
          <w:szCs w:val="20"/>
        </w:rPr>
        <w:t xml:space="preserve"> </w:t>
      </w:r>
      <w:r w:rsidR="0024150C" w:rsidRPr="0024150C">
        <w:rPr>
          <w:rFonts w:cs="Times New Roman"/>
          <w:bCs/>
          <w:szCs w:val="20"/>
          <w:lang w:val="en-US"/>
        </w:rPr>
        <w:t>* p values for comparison AMI group versus all other diagnoses; data are expressed as medians [1</w:t>
      </w:r>
      <w:r w:rsidR="0024150C" w:rsidRPr="0024150C">
        <w:rPr>
          <w:rFonts w:cs="Times New Roman"/>
          <w:bCs/>
          <w:szCs w:val="20"/>
          <w:vertAlign w:val="superscript"/>
          <w:lang w:val="en-US"/>
        </w:rPr>
        <w:t>st</w:t>
      </w:r>
      <w:r w:rsidR="0024150C" w:rsidRPr="0024150C">
        <w:rPr>
          <w:rFonts w:cs="Times New Roman"/>
          <w:bCs/>
          <w:szCs w:val="20"/>
          <w:lang w:val="en-US"/>
        </w:rPr>
        <w:t xml:space="preserve"> quartile, 3</w:t>
      </w:r>
      <w:r w:rsidR="0024150C" w:rsidRPr="0024150C">
        <w:rPr>
          <w:rFonts w:cs="Times New Roman"/>
          <w:bCs/>
          <w:szCs w:val="20"/>
          <w:vertAlign w:val="superscript"/>
          <w:lang w:val="en-US"/>
        </w:rPr>
        <w:t>rd</w:t>
      </w:r>
      <w:r w:rsidR="0024150C" w:rsidRPr="0024150C">
        <w:rPr>
          <w:rFonts w:cs="Times New Roman"/>
          <w:bCs/>
          <w:szCs w:val="20"/>
          <w:lang w:val="en-US"/>
        </w:rPr>
        <w:t xml:space="preserve"> quartile], for categorical variables as numbers (percentages); </w:t>
      </w:r>
      <w:r w:rsidR="00406B46">
        <w:rPr>
          <w:rFonts w:cs="Times New Roman"/>
          <w:szCs w:val="20"/>
        </w:rPr>
        <w:t xml:space="preserve"> </w:t>
      </w:r>
      <w:r w:rsidR="00755FA1" w:rsidRPr="00C3521D">
        <w:rPr>
          <w:rFonts w:cs="Times New Roman"/>
          <w:szCs w:val="20"/>
        </w:rPr>
        <w:t>eGFR = Estimated glomerular filtration rate, ml/min/1.73m</w:t>
      </w:r>
      <w:r w:rsidR="00406B46" w:rsidRPr="0054134F">
        <w:rPr>
          <w:rFonts w:cs="Times New Roman"/>
          <w:szCs w:val="20"/>
          <w:vertAlign w:val="superscript"/>
        </w:rPr>
        <w:t>2</w:t>
      </w:r>
      <w:r w:rsidR="00406B46">
        <w:rPr>
          <w:rFonts w:cs="Times New Roman"/>
          <w:szCs w:val="20"/>
        </w:rPr>
        <w:t xml:space="preserve">, </w:t>
      </w:r>
      <w:r w:rsidR="00755FA1" w:rsidRPr="00C3521D">
        <w:rPr>
          <w:rFonts w:cs="Times New Roman"/>
          <w:szCs w:val="20"/>
        </w:rPr>
        <w:t>estimated using the Modification of Diet in Renal Disease (MDRD) formula</w:t>
      </w:r>
      <w:r w:rsidR="00755FA1">
        <w:rPr>
          <w:rFonts w:cs="Times New Roman"/>
          <w:szCs w:val="20"/>
        </w:rPr>
        <w:t>)</w:t>
      </w:r>
      <w:r w:rsidR="00406B46">
        <w:rPr>
          <w:rFonts w:cs="Times New Roman"/>
          <w:szCs w:val="20"/>
        </w:rPr>
        <w:t>; p value for comparison AMI vs non-AMI.</w:t>
      </w:r>
    </w:p>
    <w:p w14:paraId="38BE7ACE" w14:textId="77777777" w:rsidR="00A543CD" w:rsidRDefault="00A543CD">
      <w:pPr>
        <w:widowControl/>
        <w:autoSpaceDE/>
        <w:autoSpaceDN/>
        <w:adjustRightInd/>
        <w:spacing w:line="240" w:lineRule="auto"/>
        <w:jc w:val="left"/>
      </w:pPr>
      <w:r>
        <w:br w:type="page"/>
      </w:r>
    </w:p>
    <w:p w14:paraId="5F512E04" w14:textId="7ADC3042" w:rsidR="001C4D5E" w:rsidRDefault="001C4D5E" w:rsidP="00263079">
      <w:pPr>
        <w:widowControl/>
        <w:autoSpaceDE/>
        <w:autoSpaceDN/>
        <w:adjustRightInd/>
        <w:spacing w:line="240" w:lineRule="auto"/>
        <w:jc w:val="left"/>
      </w:pPr>
      <w:bookmarkStart w:id="11" w:name="_Ref476671494"/>
    </w:p>
    <w:tbl>
      <w:tblPr>
        <w:tblStyle w:val="GridTable31"/>
        <w:tblW w:w="8500" w:type="dxa"/>
        <w:tblInd w:w="10" w:type="dxa"/>
        <w:tblLayout w:type="fixed"/>
        <w:tblLook w:val="04A0" w:firstRow="1" w:lastRow="0" w:firstColumn="1" w:lastColumn="0" w:noHBand="0" w:noVBand="1"/>
      </w:tblPr>
      <w:tblGrid>
        <w:gridCol w:w="1129"/>
        <w:gridCol w:w="709"/>
        <w:gridCol w:w="1276"/>
        <w:gridCol w:w="709"/>
        <w:gridCol w:w="1837"/>
        <w:gridCol w:w="810"/>
        <w:gridCol w:w="22"/>
        <w:gridCol w:w="1016"/>
        <w:gridCol w:w="992"/>
      </w:tblGrid>
      <w:tr w:rsidR="0010626C" w:rsidRPr="001C4D5E" w14:paraId="1C4DA786" w14:textId="77777777" w:rsidTr="00D82D50">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auto"/>
            </w:tcBorders>
            <w:noWrap/>
            <w:vAlign w:val="center"/>
            <w:hideMark/>
          </w:tcPr>
          <w:p w14:paraId="0AFC777A" w14:textId="77777777" w:rsidR="001C4D5E" w:rsidRPr="00C10D04" w:rsidRDefault="001C4D5E" w:rsidP="005E08C0">
            <w:pPr>
              <w:widowControl/>
              <w:autoSpaceDE/>
              <w:autoSpaceDN/>
              <w:adjustRightInd/>
              <w:spacing w:line="240" w:lineRule="auto"/>
              <w:jc w:val="left"/>
              <w:rPr>
                <w:rFonts w:eastAsia="Times New Roman" w:cs="Times New Roman"/>
                <w:color w:val="000000"/>
                <w:sz w:val="20"/>
                <w:szCs w:val="20"/>
              </w:rPr>
            </w:pPr>
            <w:r w:rsidRPr="00C10D04">
              <w:rPr>
                <w:rFonts w:eastAsia="Times New Roman" w:cs="Times New Roman"/>
                <w:color w:val="000000"/>
                <w:sz w:val="20"/>
                <w:szCs w:val="20"/>
              </w:rPr>
              <w:t>Outcome</w:t>
            </w:r>
          </w:p>
        </w:tc>
        <w:tc>
          <w:tcPr>
            <w:tcW w:w="709" w:type="dxa"/>
            <w:tcBorders>
              <w:bottom w:val="single" w:sz="4" w:space="0" w:color="auto"/>
            </w:tcBorders>
            <w:noWrap/>
            <w:vAlign w:val="center"/>
            <w:hideMark/>
          </w:tcPr>
          <w:p w14:paraId="12802BB6" w14:textId="2FCB4D0D" w:rsidR="001C4D5E" w:rsidRPr="00C10D04" w:rsidRDefault="001C4D5E" w:rsidP="00C10D04">
            <w:pPr>
              <w:widowControl/>
              <w:autoSpaceDE/>
              <w:autoSpaceDN/>
              <w:adjustRightInd/>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AUC</w:t>
            </w:r>
          </w:p>
        </w:tc>
        <w:tc>
          <w:tcPr>
            <w:tcW w:w="1276" w:type="dxa"/>
            <w:tcBorders>
              <w:bottom w:val="single" w:sz="4" w:space="0" w:color="auto"/>
            </w:tcBorders>
            <w:noWrap/>
            <w:vAlign w:val="center"/>
            <w:hideMark/>
          </w:tcPr>
          <w:p w14:paraId="5A1994EC" w14:textId="77777777" w:rsidR="001C4D5E" w:rsidRPr="00C10D04" w:rsidRDefault="001C4D5E" w:rsidP="00C10D04">
            <w:pPr>
              <w:widowControl/>
              <w:autoSpaceDE/>
              <w:autoSpaceDN/>
              <w:adjustRightInd/>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95% CI</w:t>
            </w:r>
          </w:p>
        </w:tc>
        <w:tc>
          <w:tcPr>
            <w:tcW w:w="709" w:type="dxa"/>
            <w:tcBorders>
              <w:bottom w:val="single" w:sz="4" w:space="0" w:color="auto"/>
            </w:tcBorders>
            <w:noWrap/>
            <w:vAlign w:val="center"/>
            <w:hideMark/>
          </w:tcPr>
          <w:p w14:paraId="2272F73B" w14:textId="2557A5B8" w:rsidR="001C4D5E" w:rsidRPr="00C10D04" w:rsidRDefault="001C4D5E" w:rsidP="00C10D04">
            <w:pPr>
              <w:widowControl/>
              <w:autoSpaceDE/>
              <w:autoSpaceDN/>
              <w:adjustRightInd/>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AUC</w:t>
            </w:r>
          </w:p>
        </w:tc>
        <w:tc>
          <w:tcPr>
            <w:tcW w:w="1837" w:type="dxa"/>
            <w:tcBorders>
              <w:bottom w:val="single" w:sz="4" w:space="0" w:color="auto"/>
            </w:tcBorders>
            <w:noWrap/>
            <w:vAlign w:val="center"/>
            <w:hideMark/>
          </w:tcPr>
          <w:p w14:paraId="2F834F94" w14:textId="77777777" w:rsidR="001C4D5E" w:rsidRPr="00C10D04" w:rsidRDefault="001C4D5E" w:rsidP="00C10D04">
            <w:pPr>
              <w:widowControl/>
              <w:autoSpaceDE/>
              <w:autoSpaceDN/>
              <w:adjustRightInd/>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95% CI</w:t>
            </w:r>
          </w:p>
        </w:tc>
        <w:tc>
          <w:tcPr>
            <w:tcW w:w="810" w:type="dxa"/>
            <w:tcBorders>
              <w:bottom w:val="single" w:sz="4" w:space="0" w:color="auto"/>
            </w:tcBorders>
            <w:noWrap/>
            <w:vAlign w:val="center"/>
            <w:hideMark/>
          </w:tcPr>
          <w:p w14:paraId="5B909CA2" w14:textId="77777777" w:rsidR="001C4D5E" w:rsidRPr="00C10D04" w:rsidRDefault="001C4D5E" w:rsidP="00C10D04">
            <w:pPr>
              <w:widowControl/>
              <w:autoSpaceDE/>
              <w:autoSpaceDN/>
              <w:adjustRightInd/>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Cases</w:t>
            </w:r>
          </w:p>
        </w:tc>
        <w:tc>
          <w:tcPr>
            <w:tcW w:w="1038" w:type="dxa"/>
            <w:gridSpan w:val="2"/>
            <w:tcBorders>
              <w:bottom w:val="single" w:sz="4" w:space="0" w:color="auto"/>
            </w:tcBorders>
            <w:noWrap/>
            <w:vAlign w:val="center"/>
            <w:hideMark/>
          </w:tcPr>
          <w:p w14:paraId="55D5D1B6" w14:textId="77777777" w:rsidR="001C4D5E" w:rsidRPr="00C10D04" w:rsidRDefault="001C4D5E" w:rsidP="00C10D04">
            <w:pPr>
              <w:widowControl/>
              <w:autoSpaceDE/>
              <w:autoSpaceDN/>
              <w:adjustRightInd/>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Controls</w:t>
            </w:r>
          </w:p>
        </w:tc>
        <w:tc>
          <w:tcPr>
            <w:tcW w:w="992" w:type="dxa"/>
            <w:tcBorders>
              <w:bottom w:val="single" w:sz="4" w:space="0" w:color="auto"/>
            </w:tcBorders>
            <w:noWrap/>
            <w:vAlign w:val="center"/>
            <w:hideMark/>
          </w:tcPr>
          <w:p w14:paraId="06DB0B50" w14:textId="14DCA18B" w:rsidR="001C4D5E" w:rsidRPr="00C10D04" w:rsidRDefault="00873335" w:rsidP="00C10D04">
            <w:pPr>
              <w:widowControl/>
              <w:autoSpaceDE/>
              <w:autoSpaceDN/>
              <w:adjustRightInd/>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 xml:space="preserve">p </w:t>
            </w:r>
            <w:r w:rsidR="001C4D5E" w:rsidRPr="00C10D04">
              <w:rPr>
                <w:rFonts w:eastAsia="Times New Roman" w:cs="Times New Roman"/>
                <w:color w:val="000000"/>
                <w:sz w:val="20"/>
                <w:szCs w:val="20"/>
              </w:rPr>
              <w:t>value</w:t>
            </w:r>
          </w:p>
        </w:tc>
      </w:tr>
      <w:tr w:rsidR="0010626C" w:rsidRPr="001C4D5E" w14:paraId="4E53E774" w14:textId="77777777" w:rsidTr="00D82D5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B93A936" w14:textId="44E77891" w:rsidR="001C4D5E" w:rsidRPr="005E08C0" w:rsidRDefault="001C4D5E" w:rsidP="005E08C0">
            <w:pPr>
              <w:widowControl/>
              <w:autoSpaceDE/>
              <w:autoSpaceDN/>
              <w:adjustRightInd/>
              <w:spacing w:line="240" w:lineRule="auto"/>
              <w:jc w:val="left"/>
              <w:rPr>
                <w:rFonts w:eastAsia="Times New Roman" w:cs="Times New Roman"/>
                <w:color w:val="000000"/>
                <w:sz w:val="20"/>
                <w:szCs w:val="20"/>
              </w:rPr>
            </w:pPr>
            <w:r>
              <w:rPr>
                <w:rFonts w:eastAsia="Times New Roman" w:cs="Times New Roman"/>
                <w:color w:val="000000"/>
                <w:sz w:val="20"/>
                <w:szCs w:val="20"/>
              </w:rPr>
              <w:t>Biomarker</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B354637" w14:textId="1FA3D66B" w:rsidR="001C4D5E" w:rsidRPr="005E08C0" w:rsidRDefault="001C4D5E" w:rsidP="005E08C0">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cMyC</w:t>
            </w:r>
          </w:p>
        </w:tc>
        <w:tc>
          <w:tcPr>
            <w:tcW w:w="25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014CBB4" w14:textId="65A6E86C" w:rsidR="001C4D5E" w:rsidRPr="005E08C0" w:rsidRDefault="001C4D5E" w:rsidP="007D484D">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hs-cTnT</w:t>
            </w:r>
          </w:p>
        </w:tc>
        <w:tc>
          <w:tcPr>
            <w:tcW w:w="8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8D777DB" w14:textId="77777777" w:rsidR="001C4D5E" w:rsidRPr="007D484D" w:rsidRDefault="001C4D5E" w:rsidP="007D484D">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D1DE0A0" w14:textId="77777777" w:rsidR="001C4D5E" w:rsidRPr="006C1420" w:rsidRDefault="001C4D5E" w:rsidP="006C1420">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E3F52B0" w14:textId="77777777" w:rsidR="001C4D5E" w:rsidRPr="00293990" w:rsidRDefault="001C4D5E" w:rsidP="00293990">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p>
        </w:tc>
      </w:tr>
      <w:tr w:rsidR="0010626C" w:rsidRPr="001C4D5E" w14:paraId="583CC718" w14:textId="77777777" w:rsidTr="00D82D50">
        <w:trPr>
          <w:trHeight w:val="32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tcBorders>
            <w:noWrap/>
            <w:vAlign w:val="center"/>
            <w:hideMark/>
          </w:tcPr>
          <w:p w14:paraId="6A2080A4" w14:textId="77777777" w:rsidR="001C4D5E" w:rsidRPr="00C10D04" w:rsidRDefault="001C4D5E" w:rsidP="005E08C0">
            <w:pPr>
              <w:widowControl/>
              <w:autoSpaceDE/>
              <w:autoSpaceDN/>
              <w:adjustRightInd/>
              <w:spacing w:line="240" w:lineRule="auto"/>
              <w:jc w:val="left"/>
              <w:rPr>
                <w:rFonts w:eastAsia="Times New Roman" w:cs="Times New Roman"/>
                <w:color w:val="000000"/>
                <w:sz w:val="20"/>
                <w:szCs w:val="20"/>
              </w:rPr>
            </w:pPr>
            <w:r w:rsidRPr="00C10D04">
              <w:rPr>
                <w:rFonts w:eastAsia="Times New Roman" w:cs="Times New Roman"/>
                <w:color w:val="000000"/>
                <w:sz w:val="20"/>
                <w:szCs w:val="20"/>
              </w:rPr>
              <w:t>AMI</w:t>
            </w:r>
          </w:p>
        </w:tc>
        <w:tc>
          <w:tcPr>
            <w:tcW w:w="709" w:type="dxa"/>
            <w:tcBorders>
              <w:top w:val="single" w:sz="4" w:space="0" w:color="auto"/>
            </w:tcBorders>
            <w:noWrap/>
            <w:vAlign w:val="center"/>
            <w:hideMark/>
          </w:tcPr>
          <w:p w14:paraId="7BF3FFEC" w14:textId="77777777" w:rsidR="001C4D5E" w:rsidRPr="00C10D04" w:rsidRDefault="001C4D5E" w:rsidP="00C10D04">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0.839</w:t>
            </w:r>
          </w:p>
        </w:tc>
        <w:tc>
          <w:tcPr>
            <w:tcW w:w="1276" w:type="dxa"/>
            <w:tcBorders>
              <w:top w:val="single" w:sz="4" w:space="0" w:color="auto"/>
            </w:tcBorders>
            <w:noWrap/>
            <w:vAlign w:val="center"/>
            <w:hideMark/>
          </w:tcPr>
          <w:p w14:paraId="5AADF399" w14:textId="77777777" w:rsidR="001C4D5E" w:rsidRPr="00C10D04" w:rsidRDefault="001C4D5E" w:rsidP="00C10D04">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0.805-0.873</w:t>
            </w:r>
          </w:p>
        </w:tc>
        <w:tc>
          <w:tcPr>
            <w:tcW w:w="709" w:type="dxa"/>
            <w:tcBorders>
              <w:top w:val="single" w:sz="4" w:space="0" w:color="auto"/>
            </w:tcBorders>
            <w:noWrap/>
            <w:vAlign w:val="center"/>
            <w:hideMark/>
          </w:tcPr>
          <w:p w14:paraId="5E671FF4" w14:textId="77777777" w:rsidR="001C4D5E" w:rsidRPr="00C10D04" w:rsidRDefault="001C4D5E" w:rsidP="00C10D04">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0.813</w:t>
            </w:r>
          </w:p>
        </w:tc>
        <w:tc>
          <w:tcPr>
            <w:tcW w:w="1837" w:type="dxa"/>
            <w:tcBorders>
              <w:top w:val="single" w:sz="4" w:space="0" w:color="auto"/>
            </w:tcBorders>
            <w:noWrap/>
            <w:vAlign w:val="center"/>
            <w:hideMark/>
          </w:tcPr>
          <w:p w14:paraId="3541B8A5" w14:textId="77777777" w:rsidR="001C4D5E" w:rsidRPr="00C10D04" w:rsidRDefault="001C4D5E" w:rsidP="00C10D04">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0.777-0.847</w:t>
            </w:r>
          </w:p>
        </w:tc>
        <w:tc>
          <w:tcPr>
            <w:tcW w:w="810" w:type="dxa"/>
            <w:tcBorders>
              <w:top w:val="single" w:sz="4" w:space="0" w:color="auto"/>
            </w:tcBorders>
            <w:noWrap/>
            <w:vAlign w:val="center"/>
            <w:hideMark/>
          </w:tcPr>
          <w:p w14:paraId="35556616" w14:textId="77777777" w:rsidR="001C4D5E" w:rsidRPr="00C10D04" w:rsidRDefault="001C4D5E" w:rsidP="00C10D04">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173</w:t>
            </w:r>
          </w:p>
        </w:tc>
        <w:tc>
          <w:tcPr>
            <w:tcW w:w="1038" w:type="dxa"/>
            <w:gridSpan w:val="2"/>
            <w:tcBorders>
              <w:top w:val="single" w:sz="4" w:space="0" w:color="auto"/>
            </w:tcBorders>
            <w:noWrap/>
            <w:vAlign w:val="center"/>
            <w:hideMark/>
          </w:tcPr>
          <w:p w14:paraId="283A3329" w14:textId="77777777" w:rsidR="001C4D5E" w:rsidRPr="00C10D04" w:rsidRDefault="001C4D5E" w:rsidP="00C10D04">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603</w:t>
            </w:r>
          </w:p>
        </w:tc>
        <w:tc>
          <w:tcPr>
            <w:tcW w:w="992" w:type="dxa"/>
            <w:tcBorders>
              <w:top w:val="single" w:sz="4" w:space="0" w:color="auto"/>
            </w:tcBorders>
            <w:noWrap/>
            <w:vAlign w:val="center"/>
            <w:hideMark/>
          </w:tcPr>
          <w:p w14:paraId="5BC96537" w14:textId="00C12D98" w:rsidR="001C4D5E" w:rsidRPr="00C10D04" w:rsidRDefault="001C4D5E" w:rsidP="00C10D04">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0.00</w:t>
            </w:r>
            <w:r w:rsidRPr="005E08C0">
              <w:rPr>
                <w:rFonts w:eastAsia="Times New Roman" w:cs="Times New Roman"/>
                <w:color w:val="000000"/>
                <w:sz w:val="20"/>
                <w:szCs w:val="20"/>
              </w:rPr>
              <w:t>5</w:t>
            </w:r>
          </w:p>
        </w:tc>
      </w:tr>
      <w:tr w:rsidR="0010626C" w:rsidRPr="001C4D5E" w14:paraId="2487807F" w14:textId="77777777" w:rsidTr="00D82D5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noWrap/>
            <w:vAlign w:val="center"/>
            <w:hideMark/>
          </w:tcPr>
          <w:p w14:paraId="2EAED4F0" w14:textId="77777777" w:rsidR="001C4D5E" w:rsidRPr="00C10D04" w:rsidRDefault="001C4D5E" w:rsidP="005E08C0">
            <w:pPr>
              <w:widowControl/>
              <w:autoSpaceDE/>
              <w:autoSpaceDN/>
              <w:adjustRightInd/>
              <w:spacing w:line="240" w:lineRule="auto"/>
              <w:jc w:val="left"/>
              <w:rPr>
                <w:rFonts w:eastAsia="Times New Roman" w:cs="Times New Roman"/>
                <w:color w:val="000000"/>
                <w:sz w:val="20"/>
                <w:szCs w:val="20"/>
              </w:rPr>
            </w:pPr>
            <w:r w:rsidRPr="00C10D04">
              <w:rPr>
                <w:rFonts w:eastAsia="Times New Roman" w:cs="Times New Roman"/>
                <w:color w:val="000000"/>
                <w:sz w:val="20"/>
                <w:szCs w:val="20"/>
              </w:rPr>
              <w:t>STEMI</w:t>
            </w:r>
          </w:p>
        </w:tc>
        <w:tc>
          <w:tcPr>
            <w:tcW w:w="709" w:type="dxa"/>
            <w:shd w:val="clear" w:color="auto" w:fill="auto"/>
            <w:noWrap/>
            <w:vAlign w:val="center"/>
            <w:hideMark/>
          </w:tcPr>
          <w:p w14:paraId="042BC046" w14:textId="77777777" w:rsidR="001C4D5E" w:rsidRPr="00C10D04" w:rsidRDefault="001C4D5E" w:rsidP="00C10D04">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0.816</w:t>
            </w:r>
          </w:p>
        </w:tc>
        <w:tc>
          <w:tcPr>
            <w:tcW w:w="1276" w:type="dxa"/>
            <w:shd w:val="clear" w:color="auto" w:fill="auto"/>
            <w:noWrap/>
            <w:vAlign w:val="center"/>
            <w:hideMark/>
          </w:tcPr>
          <w:p w14:paraId="1D7C030A" w14:textId="77777777" w:rsidR="001C4D5E" w:rsidRPr="00C10D04" w:rsidRDefault="001C4D5E" w:rsidP="00C10D04">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0.759-0.865</w:t>
            </w:r>
          </w:p>
        </w:tc>
        <w:tc>
          <w:tcPr>
            <w:tcW w:w="709" w:type="dxa"/>
            <w:shd w:val="clear" w:color="auto" w:fill="auto"/>
            <w:noWrap/>
            <w:vAlign w:val="center"/>
            <w:hideMark/>
          </w:tcPr>
          <w:p w14:paraId="398D66A8" w14:textId="77777777" w:rsidR="001C4D5E" w:rsidRPr="00C10D04" w:rsidRDefault="001C4D5E" w:rsidP="00C10D04">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0.766</w:t>
            </w:r>
          </w:p>
        </w:tc>
        <w:tc>
          <w:tcPr>
            <w:tcW w:w="1837" w:type="dxa"/>
            <w:shd w:val="clear" w:color="auto" w:fill="auto"/>
            <w:noWrap/>
            <w:vAlign w:val="center"/>
            <w:hideMark/>
          </w:tcPr>
          <w:p w14:paraId="00A81493" w14:textId="77777777" w:rsidR="001C4D5E" w:rsidRPr="00C10D04" w:rsidRDefault="001C4D5E" w:rsidP="00C10D04">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0.695-0.831</w:t>
            </w:r>
          </w:p>
        </w:tc>
        <w:tc>
          <w:tcPr>
            <w:tcW w:w="810" w:type="dxa"/>
            <w:shd w:val="clear" w:color="auto" w:fill="auto"/>
            <w:noWrap/>
            <w:vAlign w:val="center"/>
            <w:hideMark/>
          </w:tcPr>
          <w:p w14:paraId="4B2A0133" w14:textId="77777777" w:rsidR="001C4D5E" w:rsidRPr="00C10D04" w:rsidRDefault="001C4D5E" w:rsidP="00C10D04">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66</w:t>
            </w:r>
          </w:p>
        </w:tc>
        <w:tc>
          <w:tcPr>
            <w:tcW w:w="1038" w:type="dxa"/>
            <w:gridSpan w:val="2"/>
            <w:shd w:val="clear" w:color="auto" w:fill="auto"/>
            <w:noWrap/>
            <w:vAlign w:val="center"/>
            <w:hideMark/>
          </w:tcPr>
          <w:p w14:paraId="257CEB67" w14:textId="77777777" w:rsidR="001C4D5E" w:rsidRPr="00C10D04" w:rsidRDefault="001C4D5E" w:rsidP="00C10D04">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710</w:t>
            </w:r>
          </w:p>
        </w:tc>
        <w:tc>
          <w:tcPr>
            <w:tcW w:w="992" w:type="dxa"/>
            <w:shd w:val="clear" w:color="auto" w:fill="auto"/>
            <w:noWrap/>
            <w:vAlign w:val="center"/>
            <w:hideMark/>
          </w:tcPr>
          <w:p w14:paraId="445FA69C" w14:textId="44EB4079" w:rsidR="001C4D5E" w:rsidRPr="00C10D04" w:rsidRDefault="001C4D5E" w:rsidP="00C10D04">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E08C0">
              <w:rPr>
                <w:rFonts w:eastAsia="Times New Roman" w:cs="Times New Roman"/>
                <w:color w:val="000000"/>
                <w:sz w:val="20"/>
                <w:szCs w:val="20"/>
              </w:rPr>
              <w:t>&lt;0.001</w:t>
            </w:r>
          </w:p>
        </w:tc>
      </w:tr>
      <w:tr w:rsidR="0010626C" w:rsidRPr="001C4D5E" w14:paraId="6185CE14" w14:textId="77777777" w:rsidTr="00D82D50">
        <w:trPr>
          <w:trHeight w:val="32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noWrap/>
            <w:vAlign w:val="center"/>
            <w:hideMark/>
          </w:tcPr>
          <w:p w14:paraId="7D594919" w14:textId="77777777" w:rsidR="001C4D5E" w:rsidRPr="00C10D04" w:rsidRDefault="001C4D5E" w:rsidP="005E08C0">
            <w:pPr>
              <w:widowControl/>
              <w:autoSpaceDE/>
              <w:autoSpaceDN/>
              <w:adjustRightInd/>
              <w:spacing w:line="240" w:lineRule="auto"/>
              <w:jc w:val="left"/>
              <w:rPr>
                <w:rFonts w:eastAsia="Times New Roman" w:cs="Times New Roman"/>
                <w:color w:val="000000"/>
                <w:sz w:val="20"/>
                <w:szCs w:val="20"/>
              </w:rPr>
            </w:pPr>
            <w:r w:rsidRPr="00C10D04">
              <w:rPr>
                <w:rFonts w:eastAsia="Times New Roman" w:cs="Times New Roman"/>
                <w:color w:val="000000"/>
                <w:sz w:val="20"/>
                <w:szCs w:val="20"/>
              </w:rPr>
              <w:t>NSTEMI</w:t>
            </w:r>
          </w:p>
        </w:tc>
        <w:tc>
          <w:tcPr>
            <w:tcW w:w="709" w:type="dxa"/>
            <w:shd w:val="clear" w:color="auto" w:fill="auto"/>
            <w:noWrap/>
            <w:vAlign w:val="center"/>
            <w:hideMark/>
          </w:tcPr>
          <w:p w14:paraId="6556306D" w14:textId="77777777" w:rsidR="001C4D5E" w:rsidRPr="00C10D04" w:rsidRDefault="001C4D5E" w:rsidP="00C10D04">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0.787</w:t>
            </w:r>
          </w:p>
        </w:tc>
        <w:tc>
          <w:tcPr>
            <w:tcW w:w="1276" w:type="dxa"/>
            <w:shd w:val="clear" w:color="auto" w:fill="auto"/>
            <w:noWrap/>
            <w:vAlign w:val="center"/>
            <w:hideMark/>
          </w:tcPr>
          <w:p w14:paraId="368CB89D" w14:textId="77777777" w:rsidR="001C4D5E" w:rsidRPr="00C10D04" w:rsidRDefault="001C4D5E" w:rsidP="00C10D04">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0.742-0.828</w:t>
            </w:r>
          </w:p>
        </w:tc>
        <w:tc>
          <w:tcPr>
            <w:tcW w:w="709" w:type="dxa"/>
            <w:shd w:val="clear" w:color="auto" w:fill="auto"/>
            <w:noWrap/>
            <w:vAlign w:val="center"/>
            <w:hideMark/>
          </w:tcPr>
          <w:p w14:paraId="4F9331E8" w14:textId="77777777" w:rsidR="001C4D5E" w:rsidRPr="00C10D04" w:rsidRDefault="001C4D5E" w:rsidP="00C10D04">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0.781</w:t>
            </w:r>
          </w:p>
        </w:tc>
        <w:tc>
          <w:tcPr>
            <w:tcW w:w="1837" w:type="dxa"/>
            <w:shd w:val="clear" w:color="auto" w:fill="auto"/>
            <w:noWrap/>
            <w:vAlign w:val="center"/>
            <w:hideMark/>
          </w:tcPr>
          <w:p w14:paraId="5CEE6713" w14:textId="77777777" w:rsidR="001C4D5E" w:rsidRPr="00C10D04" w:rsidRDefault="001C4D5E" w:rsidP="00C10D04">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0.737-0.821</w:t>
            </w:r>
          </w:p>
        </w:tc>
        <w:tc>
          <w:tcPr>
            <w:tcW w:w="810" w:type="dxa"/>
            <w:shd w:val="clear" w:color="auto" w:fill="auto"/>
            <w:noWrap/>
            <w:vAlign w:val="center"/>
            <w:hideMark/>
          </w:tcPr>
          <w:p w14:paraId="40F51CEB" w14:textId="77777777" w:rsidR="001C4D5E" w:rsidRPr="00C10D04" w:rsidRDefault="001C4D5E" w:rsidP="00C10D04">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107</w:t>
            </w:r>
          </w:p>
        </w:tc>
        <w:tc>
          <w:tcPr>
            <w:tcW w:w="1038" w:type="dxa"/>
            <w:gridSpan w:val="2"/>
            <w:shd w:val="clear" w:color="auto" w:fill="auto"/>
            <w:noWrap/>
            <w:vAlign w:val="center"/>
            <w:hideMark/>
          </w:tcPr>
          <w:p w14:paraId="1663351F" w14:textId="77777777" w:rsidR="001C4D5E" w:rsidRPr="00C10D04" w:rsidRDefault="001C4D5E" w:rsidP="00C10D04">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669</w:t>
            </w:r>
          </w:p>
        </w:tc>
        <w:tc>
          <w:tcPr>
            <w:tcW w:w="992" w:type="dxa"/>
            <w:shd w:val="clear" w:color="auto" w:fill="auto"/>
            <w:noWrap/>
            <w:vAlign w:val="center"/>
            <w:hideMark/>
          </w:tcPr>
          <w:p w14:paraId="76F9A041" w14:textId="10153A87" w:rsidR="001C4D5E" w:rsidRPr="00C10D04" w:rsidRDefault="001C4D5E" w:rsidP="00C10D04">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0.599</w:t>
            </w:r>
          </w:p>
        </w:tc>
      </w:tr>
      <w:tr w:rsidR="0010626C" w:rsidRPr="001C4D5E" w14:paraId="63F9E5D6" w14:textId="77777777" w:rsidTr="00D82D5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29" w:type="dxa"/>
            <w:tcBorders>
              <w:bottom w:val="single" w:sz="4" w:space="0" w:color="auto"/>
            </w:tcBorders>
            <w:shd w:val="clear" w:color="auto" w:fill="auto"/>
            <w:noWrap/>
            <w:vAlign w:val="center"/>
            <w:hideMark/>
          </w:tcPr>
          <w:p w14:paraId="653FC7D4" w14:textId="77777777" w:rsidR="001C4D5E" w:rsidRPr="00C10D04" w:rsidRDefault="001C4D5E" w:rsidP="005E08C0">
            <w:pPr>
              <w:widowControl/>
              <w:autoSpaceDE/>
              <w:autoSpaceDN/>
              <w:adjustRightInd/>
              <w:spacing w:line="240" w:lineRule="auto"/>
              <w:jc w:val="left"/>
              <w:rPr>
                <w:rFonts w:eastAsia="Times New Roman" w:cs="Times New Roman"/>
                <w:color w:val="000000"/>
                <w:sz w:val="20"/>
                <w:szCs w:val="20"/>
              </w:rPr>
            </w:pPr>
            <w:r w:rsidRPr="00C10D04">
              <w:rPr>
                <w:rFonts w:eastAsia="Times New Roman" w:cs="Times New Roman"/>
                <w:color w:val="000000"/>
                <w:sz w:val="20"/>
                <w:szCs w:val="20"/>
              </w:rPr>
              <w:t>UA</w:t>
            </w:r>
          </w:p>
        </w:tc>
        <w:tc>
          <w:tcPr>
            <w:tcW w:w="709" w:type="dxa"/>
            <w:tcBorders>
              <w:bottom w:val="single" w:sz="4" w:space="0" w:color="auto"/>
            </w:tcBorders>
            <w:shd w:val="clear" w:color="auto" w:fill="auto"/>
            <w:noWrap/>
            <w:vAlign w:val="center"/>
            <w:hideMark/>
          </w:tcPr>
          <w:p w14:paraId="5AE205CD" w14:textId="77777777" w:rsidR="001C4D5E" w:rsidRPr="00C10D04" w:rsidRDefault="001C4D5E" w:rsidP="00C10D04">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0.599</w:t>
            </w:r>
          </w:p>
        </w:tc>
        <w:tc>
          <w:tcPr>
            <w:tcW w:w="1276" w:type="dxa"/>
            <w:tcBorders>
              <w:bottom w:val="single" w:sz="4" w:space="0" w:color="auto"/>
            </w:tcBorders>
            <w:shd w:val="clear" w:color="auto" w:fill="auto"/>
            <w:noWrap/>
            <w:vAlign w:val="center"/>
            <w:hideMark/>
          </w:tcPr>
          <w:p w14:paraId="2C0577FE" w14:textId="65720721" w:rsidR="001C4D5E" w:rsidRPr="00C10D04" w:rsidRDefault="001C4D5E" w:rsidP="00C10D04">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0.524-0.67</w:t>
            </w:r>
            <w:r>
              <w:rPr>
                <w:rFonts w:eastAsia="Times New Roman" w:cs="Times New Roman"/>
                <w:color w:val="000000"/>
                <w:sz w:val="20"/>
                <w:szCs w:val="20"/>
              </w:rPr>
              <w:t>0</w:t>
            </w:r>
          </w:p>
        </w:tc>
        <w:tc>
          <w:tcPr>
            <w:tcW w:w="709" w:type="dxa"/>
            <w:tcBorders>
              <w:bottom w:val="single" w:sz="4" w:space="0" w:color="auto"/>
            </w:tcBorders>
            <w:shd w:val="clear" w:color="auto" w:fill="auto"/>
            <w:noWrap/>
            <w:vAlign w:val="center"/>
            <w:hideMark/>
          </w:tcPr>
          <w:p w14:paraId="68D9220A" w14:textId="77777777" w:rsidR="001C4D5E" w:rsidRPr="00C10D04" w:rsidRDefault="001C4D5E" w:rsidP="00C10D04">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0.608</w:t>
            </w:r>
          </w:p>
        </w:tc>
        <w:tc>
          <w:tcPr>
            <w:tcW w:w="1837" w:type="dxa"/>
            <w:tcBorders>
              <w:bottom w:val="single" w:sz="4" w:space="0" w:color="auto"/>
            </w:tcBorders>
            <w:shd w:val="clear" w:color="auto" w:fill="auto"/>
            <w:noWrap/>
            <w:vAlign w:val="center"/>
            <w:hideMark/>
          </w:tcPr>
          <w:p w14:paraId="6CFBC082" w14:textId="628867FC" w:rsidR="001C4D5E" w:rsidRPr="00C10D04" w:rsidRDefault="001C4D5E" w:rsidP="00C10D04">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0.531-0.69</w:t>
            </w:r>
            <w:r>
              <w:rPr>
                <w:rFonts w:eastAsia="Times New Roman" w:cs="Times New Roman"/>
                <w:color w:val="000000"/>
                <w:sz w:val="20"/>
                <w:szCs w:val="20"/>
              </w:rPr>
              <w:t>0</w:t>
            </w:r>
          </w:p>
        </w:tc>
        <w:tc>
          <w:tcPr>
            <w:tcW w:w="810" w:type="dxa"/>
            <w:tcBorders>
              <w:bottom w:val="single" w:sz="4" w:space="0" w:color="auto"/>
            </w:tcBorders>
            <w:shd w:val="clear" w:color="auto" w:fill="auto"/>
            <w:noWrap/>
            <w:vAlign w:val="center"/>
            <w:hideMark/>
          </w:tcPr>
          <w:p w14:paraId="11152421" w14:textId="77777777" w:rsidR="001C4D5E" w:rsidRPr="00C10D04" w:rsidRDefault="001C4D5E" w:rsidP="00C10D04">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27</w:t>
            </w:r>
          </w:p>
        </w:tc>
        <w:tc>
          <w:tcPr>
            <w:tcW w:w="1038" w:type="dxa"/>
            <w:gridSpan w:val="2"/>
            <w:tcBorders>
              <w:bottom w:val="single" w:sz="4" w:space="0" w:color="auto"/>
            </w:tcBorders>
            <w:shd w:val="clear" w:color="auto" w:fill="auto"/>
            <w:noWrap/>
            <w:vAlign w:val="center"/>
            <w:hideMark/>
          </w:tcPr>
          <w:p w14:paraId="7317C4DA" w14:textId="77777777" w:rsidR="001C4D5E" w:rsidRPr="00C10D04" w:rsidRDefault="001C4D5E" w:rsidP="00C10D04">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749</w:t>
            </w:r>
          </w:p>
        </w:tc>
        <w:tc>
          <w:tcPr>
            <w:tcW w:w="992" w:type="dxa"/>
            <w:tcBorders>
              <w:bottom w:val="single" w:sz="4" w:space="0" w:color="auto"/>
            </w:tcBorders>
            <w:shd w:val="clear" w:color="auto" w:fill="auto"/>
            <w:noWrap/>
            <w:vAlign w:val="center"/>
            <w:hideMark/>
          </w:tcPr>
          <w:p w14:paraId="71E7C83E" w14:textId="6A2D13E7" w:rsidR="001C4D5E" w:rsidRPr="00C10D04" w:rsidRDefault="001C4D5E" w:rsidP="00C10D04">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eastAsia="Times New Roman" w:cs="Times New Roman"/>
                <w:color w:val="000000"/>
                <w:sz w:val="20"/>
                <w:szCs w:val="20"/>
              </w:rPr>
              <w:t>0.715</w:t>
            </w:r>
          </w:p>
        </w:tc>
      </w:tr>
      <w:tr w:rsidR="0010626C" w:rsidRPr="001C4D5E" w14:paraId="760ABC2E" w14:textId="77777777" w:rsidTr="00D82D50">
        <w:trPr>
          <w:trHeight w:val="32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F3D3988" w14:textId="206A79B1" w:rsidR="001C4D5E" w:rsidRPr="005E08C0" w:rsidRDefault="001C4D5E" w:rsidP="005E08C0">
            <w:pPr>
              <w:widowControl/>
              <w:autoSpaceDE/>
              <w:autoSpaceDN/>
              <w:adjustRightInd/>
              <w:spacing w:line="240" w:lineRule="auto"/>
              <w:jc w:val="left"/>
              <w:rPr>
                <w:rFonts w:eastAsia="Times New Roman" w:cs="Times New Roman"/>
                <w:color w:val="000000"/>
                <w:sz w:val="20"/>
                <w:szCs w:val="20"/>
              </w:rPr>
            </w:pPr>
            <w:r>
              <w:rPr>
                <w:rFonts w:eastAsia="Times New Roman" w:cs="Times New Roman"/>
                <w:color w:val="000000"/>
                <w:sz w:val="20"/>
                <w:szCs w:val="20"/>
              </w:rPr>
              <w:t>Biomarker</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C45895" w14:textId="492E5D6C" w:rsidR="001C4D5E" w:rsidRPr="005E08C0" w:rsidRDefault="001C4D5E" w:rsidP="005E08C0">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cMyC + hs-cTnT</w:t>
            </w:r>
          </w:p>
        </w:tc>
        <w:tc>
          <w:tcPr>
            <w:tcW w:w="25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6500938" w14:textId="186BF619" w:rsidR="001C4D5E" w:rsidRPr="005E08C0" w:rsidRDefault="001C4D5E" w:rsidP="007D484D">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hs-cTnT</w:t>
            </w:r>
          </w:p>
        </w:tc>
        <w:tc>
          <w:tcPr>
            <w:tcW w:w="8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7E74A6" w14:textId="77777777" w:rsidR="001C4D5E" w:rsidRPr="007D484D" w:rsidRDefault="001C4D5E" w:rsidP="007D484D">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4DCCD5" w14:textId="77777777" w:rsidR="001C4D5E" w:rsidRPr="006C1420" w:rsidRDefault="001C4D5E" w:rsidP="006C1420">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8B800FC" w14:textId="77777777" w:rsidR="001C4D5E" w:rsidRPr="00293990" w:rsidRDefault="001C4D5E" w:rsidP="00293990">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r>
      <w:tr w:rsidR="0010626C" w:rsidRPr="001C4D5E" w14:paraId="466A18FB" w14:textId="77777777" w:rsidTr="00D82D5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tcBorders>
            <w:shd w:val="clear" w:color="auto" w:fill="auto"/>
            <w:noWrap/>
            <w:vAlign w:val="center"/>
          </w:tcPr>
          <w:p w14:paraId="5ACA8ABD" w14:textId="32A380B9" w:rsidR="001C4D5E" w:rsidRPr="005E08C0" w:rsidRDefault="001C4D5E" w:rsidP="005E08C0">
            <w:pPr>
              <w:widowControl/>
              <w:autoSpaceDE/>
              <w:autoSpaceDN/>
              <w:adjustRightInd/>
              <w:spacing w:line="240" w:lineRule="auto"/>
              <w:jc w:val="left"/>
              <w:rPr>
                <w:rFonts w:eastAsia="Times New Roman" w:cs="Times New Roman"/>
                <w:color w:val="000000"/>
                <w:sz w:val="20"/>
                <w:szCs w:val="20"/>
              </w:rPr>
            </w:pPr>
            <w:r w:rsidRPr="00F36962">
              <w:rPr>
                <w:rFonts w:eastAsia="Times New Roman" w:cs="Times New Roman"/>
                <w:color w:val="000000"/>
                <w:sz w:val="20"/>
                <w:szCs w:val="20"/>
              </w:rPr>
              <w:t>AMI</w:t>
            </w:r>
          </w:p>
        </w:tc>
        <w:tc>
          <w:tcPr>
            <w:tcW w:w="709" w:type="dxa"/>
            <w:tcBorders>
              <w:top w:val="single" w:sz="4" w:space="0" w:color="auto"/>
            </w:tcBorders>
            <w:shd w:val="clear" w:color="auto" w:fill="auto"/>
            <w:noWrap/>
            <w:vAlign w:val="center"/>
          </w:tcPr>
          <w:p w14:paraId="27394B81" w14:textId="57DA4B96" w:rsidR="001C4D5E" w:rsidRPr="005E08C0" w:rsidRDefault="001C4D5E" w:rsidP="005E08C0">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0.822</w:t>
            </w:r>
          </w:p>
        </w:tc>
        <w:tc>
          <w:tcPr>
            <w:tcW w:w="1276" w:type="dxa"/>
            <w:tcBorders>
              <w:top w:val="single" w:sz="4" w:space="0" w:color="auto"/>
            </w:tcBorders>
            <w:shd w:val="clear" w:color="auto" w:fill="auto"/>
            <w:noWrap/>
            <w:vAlign w:val="center"/>
          </w:tcPr>
          <w:p w14:paraId="5C125B58" w14:textId="6C928C10" w:rsidR="001C4D5E" w:rsidRPr="005E08C0" w:rsidRDefault="001C4D5E" w:rsidP="005E08C0">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0.791-0.856</w:t>
            </w:r>
          </w:p>
        </w:tc>
        <w:tc>
          <w:tcPr>
            <w:tcW w:w="709" w:type="dxa"/>
            <w:tcBorders>
              <w:top w:val="single" w:sz="4" w:space="0" w:color="auto"/>
            </w:tcBorders>
            <w:shd w:val="clear" w:color="auto" w:fill="auto"/>
            <w:noWrap/>
            <w:vAlign w:val="center"/>
          </w:tcPr>
          <w:p w14:paraId="474723BF" w14:textId="4D142218" w:rsidR="001C4D5E" w:rsidRPr="005E08C0" w:rsidRDefault="001C4D5E" w:rsidP="005E08C0">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0.813</w:t>
            </w:r>
          </w:p>
        </w:tc>
        <w:tc>
          <w:tcPr>
            <w:tcW w:w="1837" w:type="dxa"/>
            <w:tcBorders>
              <w:top w:val="single" w:sz="4" w:space="0" w:color="auto"/>
            </w:tcBorders>
            <w:shd w:val="clear" w:color="auto" w:fill="auto"/>
            <w:noWrap/>
            <w:vAlign w:val="center"/>
          </w:tcPr>
          <w:p w14:paraId="0F333BFE" w14:textId="186CDC4C" w:rsidR="001C4D5E" w:rsidRPr="005E08C0" w:rsidRDefault="001C4D5E" w:rsidP="007D484D">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0.775-0.847</w:t>
            </w:r>
          </w:p>
        </w:tc>
        <w:tc>
          <w:tcPr>
            <w:tcW w:w="810" w:type="dxa"/>
            <w:tcBorders>
              <w:top w:val="single" w:sz="4" w:space="0" w:color="auto"/>
            </w:tcBorders>
            <w:shd w:val="clear" w:color="auto" w:fill="auto"/>
            <w:noWrap/>
            <w:vAlign w:val="center"/>
          </w:tcPr>
          <w:p w14:paraId="3B913E70" w14:textId="234C0077" w:rsidR="001C4D5E" w:rsidRPr="005E08C0" w:rsidRDefault="001C4D5E" w:rsidP="007D484D">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173</w:t>
            </w:r>
          </w:p>
        </w:tc>
        <w:tc>
          <w:tcPr>
            <w:tcW w:w="1038" w:type="dxa"/>
            <w:gridSpan w:val="2"/>
            <w:tcBorders>
              <w:top w:val="single" w:sz="4" w:space="0" w:color="auto"/>
            </w:tcBorders>
            <w:shd w:val="clear" w:color="auto" w:fill="auto"/>
            <w:noWrap/>
            <w:vAlign w:val="center"/>
          </w:tcPr>
          <w:p w14:paraId="4E152D3F" w14:textId="35BA9931" w:rsidR="001C4D5E" w:rsidRPr="005E08C0" w:rsidRDefault="001C4D5E" w:rsidP="007D484D">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603</w:t>
            </w:r>
          </w:p>
        </w:tc>
        <w:tc>
          <w:tcPr>
            <w:tcW w:w="992" w:type="dxa"/>
            <w:tcBorders>
              <w:top w:val="single" w:sz="4" w:space="0" w:color="auto"/>
            </w:tcBorders>
            <w:shd w:val="clear" w:color="auto" w:fill="auto"/>
            <w:noWrap/>
            <w:vAlign w:val="center"/>
          </w:tcPr>
          <w:p w14:paraId="1D75AC92" w14:textId="1BBB15A8" w:rsidR="001C4D5E" w:rsidRPr="005E08C0" w:rsidRDefault="001C4D5E" w:rsidP="006C1420">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F36962">
              <w:rPr>
                <w:rFonts w:eastAsia="Times New Roman" w:cs="Times New Roman"/>
                <w:color w:val="000000"/>
                <w:sz w:val="20"/>
                <w:szCs w:val="20"/>
              </w:rPr>
              <w:t>&lt;0.001</w:t>
            </w:r>
          </w:p>
        </w:tc>
      </w:tr>
      <w:tr w:rsidR="0010626C" w:rsidRPr="001C4D5E" w14:paraId="31639163" w14:textId="77777777" w:rsidTr="00D82D50">
        <w:trPr>
          <w:trHeight w:val="32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noWrap/>
            <w:vAlign w:val="center"/>
          </w:tcPr>
          <w:p w14:paraId="486A0AD4" w14:textId="458DFC6B" w:rsidR="001C4D5E" w:rsidRPr="005E08C0" w:rsidRDefault="001C4D5E" w:rsidP="005E08C0">
            <w:pPr>
              <w:widowControl/>
              <w:autoSpaceDE/>
              <w:autoSpaceDN/>
              <w:adjustRightInd/>
              <w:spacing w:line="240" w:lineRule="auto"/>
              <w:jc w:val="left"/>
              <w:rPr>
                <w:rFonts w:eastAsia="Times New Roman" w:cs="Times New Roman"/>
                <w:color w:val="000000"/>
                <w:sz w:val="20"/>
                <w:szCs w:val="20"/>
              </w:rPr>
            </w:pPr>
            <w:r w:rsidRPr="00F36962">
              <w:rPr>
                <w:rFonts w:eastAsia="Times New Roman" w:cs="Times New Roman"/>
                <w:color w:val="000000"/>
                <w:sz w:val="20"/>
                <w:szCs w:val="20"/>
              </w:rPr>
              <w:t>STEMI</w:t>
            </w:r>
          </w:p>
        </w:tc>
        <w:tc>
          <w:tcPr>
            <w:tcW w:w="709" w:type="dxa"/>
            <w:shd w:val="clear" w:color="auto" w:fill="auto"/>
            <w:noWrap/>
            <w:vAlign w:val="center"/>
          </w:tcPr>
          <w:p w14:paraId="272E467A" w14:textId="3C54DF79" w:rsidR="001C4D5E" w:rsidRPr="005E08C0" w:rsidRDefault="001C4D5E" w:rsidP="005E08C0">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0.78</w:t>
            </w:r>
            <w:r w:rsidR="00622327">
              <w:rPr>
                <w:rFonts w:cs="Times New Roman"/>
                <w:sz w:val="20"/>
                <w:szCs w:val="20"/>
              </w:rPr>
              <w:t>0</w:t>
            </w:r>
          </w:p>
        </w:tc>
        <w:tc>
          <w:tcPr>
            <w:tcW w:w="1276" w:type="dxa"/>
            <w:shd w:val="clear" w:color="auto" w:fill="auto"/>
            <w:noWrap/>
            <w:vAlign w:val="center"/>
          </w:tcPr>
          <w:p w14:paraId="35527988" w14:textId="1C633BBF" w:rsidR="001C4D5E" w:rsidRPr="005E08C0" w:rsidRDefault="001C4D5E" w:rsidP="005E08C0">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0.716-0.836</w:t>
            </w:r>
          </w:p>
        </w:tc>
        <w:tc>
          <w:tcPr>
            <w:tcW w:w="709" w:type="dxa"/>
            <w:shd w:val="clear" w:color="auto" w:fill="auto"/>
            <w:noWrap/>
            <w:vAlign w:val="center"/>
          </w:tcPr>
          <w:p w14:paraId="380D2DA0" w14:textId="25F7D2A6" w:rsidR="001C4D5E" w:rsidRPr="005E08C0" w:rsidRDefault="001C4D5E" w:rsidP="005E08C0">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0.766</w:t>
            </w:r>
          </w:p>
        </w:tc>
        <w:tc>
          <w:tcPr>
            <w:tcW w:w="1837" w:type="dxa"/>
            <w:shd w:val="clear" w:color="auto" w:fill="auto"/>
            <w:noWrap/>
            <w:vAlign w:val="center"/>
          </w:tcPr>
          <w:p w14:paraId="6C9C1715" w14:textId="2F58EFFD" w:rsidR="001C4D5E" w:rsidRPr="005E08C0" w:rsidRDefault="001C4D5E" w:rsidP="007D484D">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0.699-0.834</w:t>
            </w:r>
          </w:p>
        </w:tc>
        <w:tc>
          <w:tcPr>
            <w:tcW w:w="810" w:type="dxa"/>
            <w:shd w:val="clear" w:color="auto" w:fill="auto"/>
            <w:noWrap/>
            <w:vAlign w:val="center"/>
          </w:tcPr>
          <w:p w14:paraId="3B2E772B" w14:textId="01FB93E8" w:rsidR="001C4D5E" w:rsidRPr="005E08C0" w:rsidRDefault="001C4D5E" w:rsidP="007D484D">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66</w:t>
            </w:r>
          </w:p>
        </w:tc>
        <w:tc>
          <w:tcPr>
            <w:tcW w:w="1038" w:type="dxa"/>
            <w:gridSpan w:val="2"/>
            <w:shd w:val="clear" w:color="auto" w:fill="auto"/>
            <w:noWrap/>
            <w:vAlign w:val="center"/>
          </w:tcPr>
          <w:p w14:paraId="009E6DE3" w14:textId="2B65DA56" w:rsidR="001C4D5E" w:rsidRPr="005E08C0" w:rsidRDefault="001C4D5E" w:rsidP="007D484D">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710</w:t>
            </w:r>
          </w:p>
        </w:tc>
        <w:tc>
          <w:tcPr>
            <w:tcW w:w="992" w:type="dxa"/>
            <w:shd w:val="clear" w:color="auto" w:fill="auto"/>
            <w:noWrap/>
            <w:vAlign w:val="center"/>
          </w:tcPr>
          <w:p w14:paraId="58EA58F5" w14:textId="209F270F" w:rsidR="001C4D5E" w:rsidRPr="005E08C0" w:rsidRDefault="001C4D5E" w:rsidP="006C1420">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cs="Times New Roman"/>
                <w:sz w:val="20"/>
                <w:szCs w:val="20"/>
              </w:rPr>
              <w:t>&lt;0.001</w:t>
            </w:r>
          </w:p>
        </w:tc>
      </w:tr>
      <w:tr w:rsidR="0010626C" w:rsidRPr="001C4D5E" w14:paraId="487AB99C" w14:textId="77777777" w:rsidTr="00D82D5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noWrap/>
            <w:vAlign w:val="center"/>
          </w:tcPr>
          <w:p w14:paraId="07A6CB6A" w14:textId="73196C16" w:rsidR="001C4D5E" w:rsidRPr="005E08C0" w:rsidRDefault="001C4D5E" w:rsidP="005E08C0">
            <w:pPr>
              <w:widowControl/>
              <w:autoSpaceDE/>
              <w:autoSpaceDN/>
              <w:adjustRightInd/>
              <w:spacing w:line="240" w:lineRule="auto"/>
              <w:jc w:val="left"/>
              <w:rPr>
                <w:rFonts w:eastAsia="Times New Roman" w:cs="Times New Roman"/>
                <w:color w:val="000000"/>
                <w:sz w:val="20"/>
                <w:szCs w:val="20"/>
              </w:rPr>
            </w:pPr>
            <w:r w:rsidRPr="00F36962">
              <w:rPr>
                <w:rFonts w:eastAsia="Times New Roman" w:cs="Times New Roman"/>
                <w:color w:val="000000"/>
                <w:sz w:val="20"/>
                <w:szCs w:val="20"/>
              </w:rPr>
              <w:t>NSTEMI</w:t>
            </w:r>
          </w:p>
        </w:tc>
        <w:tc>
          <w:tcPr>
            <w:tcW w:w="709" w:type="dxa"/>
            <w:shd w:val="clear" w:color="auto" w:fill="auto"/>
            <w:noWrap/>
            <w:vAlign w:val="center"/>
          </w:tcPr>
          <w:p w14:paraId="24D64ADF" w14:textId="30C95CA6" w:rsidR="001C4D5E" w:rsidRPr="005E08C0" w:rsidRDefault="001C4D5E" w:rsidP="005E08C0">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0.786</w:t>
            </w:r>
          </w:p>
        </w:tc>
        <w:tc>
          <w:tcPr>
            <w:tcW w:w="1276" w:type="dxa"/>
            <w:shd w:val="clear" w:color="auto" w:fill="auto"/>
            <w:noWrap/>
            <w:vAlign w:val="center"/>
          </w:tcPr>
          <w:p w14:paraId="4C030AAD" w14:textId="260A1713" w:rsidR="001C4D5E" w:rsidRPr="005E08C0" w:rsidRDefault="001C4D5E" w:rsidP="005E08C0">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0.744-0.83</w:t>
            </w:r>
            <w:r>
              <w:rPr>
                <w:rFonts w:cs="Times New Roman"/>
                <w:sz w:val="20"/>
                <w:szCs w:val="20"/>
              </w:rPr>
              <w:t>0</w:t>
            </w:r>
          </w:p>
        </w:tc>
        <w:tc>
          <w:tcPr>
            <w:tcW w:w="709" w:type="dxa"/>
            <w:shd w:val="clear" w:color="auto" w:fill="auto"/>
            <w:noWrap/>
            <w:vAlign w:val="center"/>
          </w:tcPr>
          <w:p w14:paraId="2BBD7B7F" w14:textId="2BC1729E" w:rsidR="001C4D5E" w:rsidRPr="005E08C0" w:rsidRDefault="001C4D5E" w:rsidP="005E08C0">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0.781</w:t>
            </w:r>
          </w:p>
        </w:tc>
        <w:tc>
          <w:tcPr>
            <w:tcW w:w="1837" w:type="dxa"/>
            <w:shd w:val="clear" w:color="auto" w:fill="auto"/>
            <w:noWrap/>
            <w:vAlign w:val="center"/>
          </w:tcPr>
          <w:p w14:paraId="1F377927" w14:textId="3756D344" w:rsidR="001C4D5E" w:rsidRPr="005E08C0" w:rsidRDefault="001C4D5E" w:rsidP="007D484D">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0.738-0.823</w:t>
            </w:r>
          </w:p>
        </w:tc>
        <w:tc>
          <w:tcPr>
            <w:tcW w:w="810" w:type="dxa"/>
            <w:shd w:val="clear" w:color="auto" w:fill="auto"/>
            <w:noWrap/>
            <w:vAlign w:val="center"/>
          </w:tcPr>
          <w:p w14:paraId="2E2F819F" w14:textId="18F3B691" w:rsidR="001C4D5E" w:rsidRPr="005E08C0" w:rsidRDefault="001C4D5E" w:rsidP="007D484D">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107</w:t>
            </w:r>
          </w:p>
        </w:tc>
        <w:tc>
          <w:tcPr>
            <w:tcW w:w="1038" w:type="dxa"/>
            <w:gridSpan w:val="2"/>
            <w:shd w:val="clear" w:color="auto" w:fill="auto"/>
            <w:noWrap/>
            <w:vAlign w:val="center"/>
          </w:tcPr>
          <w:p w14:paraId="6F8C69EE" w14:textId="58AF8A80" w:rsidR="001C4D5E" w:rsidRPr="005E08C0" w:rsidRDefault="001C4D5E" w:rsidP="007D484D">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669</w:t>
            </w:r>
          </w:p>
        </w:tc>
        <w:tc>
          <w:tcPr>
            <w:tcW w:w="992" w:type="dxa"/>
            <w:shd w:val="clear" w:color="auto" w:fill="auto"/>
            <w:noWrap/>
            <w:vAlign w:val="center"/>
          </w:tcPr>
          <w:p w14:paraId="78C8C000" w14:textId="5CEC0309" w:rsidR="001C4D5E" w:rsidRPr="005E08C0" w:rsidRDefault="001C4D5E" w:rsidP="007D484D">
            <w:pPr>
              <w:widowControl/>
              <w:autoSpaceDE/>
              <w:autoSpaceDN/>
              <w:adjustRightInd/>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0.04</w:t>
            </w:r>
            <w:r>
              <w:rPr>
                <w:rFonts w:cs="Times New Roman"/>
                <w:sz w:val="20"/>
                <w:szCs w:val="20"/>
              </w:rPr>
              <w:t>1</w:t>
            </w:r>
          </w:p>
        </w:tc>
      </w:tr>
      <w:tr w:rsidR="0010626C" w:rsidRPr="001C4D5E" w14:paraId="79CA5FD7" w14:textId="77777777" w:rsidTr="00D82D50">
        <w:trPr>
          <w:trHeight w:val="32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noWrap/>
            <w:vAlign w:val="center"/>
          </w:tcPr>
          <w:p w14:paraId="3983FA3B" w14:textId="31547251" w:rsidR="001C4D5E" w:rsidRPr="005E08C0" w:rsidRDefault="001C4D5E" w:rsidP="005E08C0">
            <w:pPr>
              <w:widowControl/>
              <w:autoSpaceDE/>
              <w:autoSpaceDN/>
              <w:adjustRightInd/>
              <w:spacing w:line="240" w:lineRule="auto"/>
              <w:jc w:val="left"/>
              <w:rPr>
                <w:rFonts w:eastAsia="Times New Roman" w:cs="Times New Roman"/>
                <w:color w:val="000000"/>
                <w:sz w:val="20"/>
                <w:szCs w:val="20"/>
              </w:rPr>
            </w:pPr>
            <w:r w:rsidRPr="00F36962">
              <w:rPr>
                <w:rFonts w:eastAsia="Times New Roman" w:cs="Times New Roman"/>
                <w:color w:val="000000"/>
                <w:sz w:val="20"/>
                <w:szCs w:val="20"/>
              </w:rPr>
              <w:t>UA</w:t>
            </w:r>
          </w:p>
        </w:tc>
        <w:tc>
          <w:tcPr>
            <w:tcW w:w="709" w:type="dxa"/>
            <w:shd w:val="clear" w:color="auto" w:fill="auto"/>
            <w:noWrap/>
            <w:vAlign w:val="center"/>
          </w:tcPr>
          <w:p w14:paraId="17238779" w14:textId="6C2E48E6" w:rsidR="001C4D5E" w:rsidRPr="005E08C0" w:rsidRDefault="001C4D5E" w:rsidP="005E08C0">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0.613</w:t>
            </w:r>
          </w:p>
        </w:tc>
        <w:tc>
          <w:tcPr>
            <w:tcW w:w="1276" w:type="dxa"/>
            <w:shd w:val="clear" w:color="auto" w:fill="auto"/>
            <w:noWrap/>
            <w:vAlign w:val="center"/>
          </w:tcPr>
          <w:p w14:paraId="4910DEDC" w14:textId="46AF8BE7" w:rsidR="001C4D5E" w:rsidRPr="005E08C0" w:rsidRDefault="001C4D5E" w:rsidP="005E08C0">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0.535-0.695</w:t>
            </w:r>
          </w:p>
        </w:tc>
        <w:tc>
          <w:tcPr>
            <w:tcW w:w="709" w:type="dxa"/>
            <w:shd w:val="clear" w:color="auto" w:fill="auto"/>
            <w:noWrap/>
            <w:vAlign w:val="center"/>
          </w:tcPr>
          <w:p w14:paraId="274276B7" w14:textId="5796E992" w:rsidR="001C4D5E" w:rsidRPr="005E08C0" w:rsidRDefault="001C4D5E" w:rsidP="005E08C0">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0.608</w:t>
            </w:r>
          </w:p>
        </w:tc>
        <w:tc>
          <w:tcPr>
            <w:tcW w:w="1837" w:type="dxa"/>
            <w:shd w:val="clear" w:color="auto" w:fill="auto"/>
            <w:noWrap/>
            <w:vAlign w:val="center"/>
          </w:tcPr>
          <w:p w14:paraId="3BD10753" w14:textId="6C23F649" w:rsidR="001C4D5E" w:rsidRPr="005E08C0" w:rsidRDefault="001C4D5E" w:rsidP="007D484D">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0.53</w:t>
            </w:r>
            <w:r>
              <w:rPr>
                <w:rFonts w:cs="Times New Roman"/>
                <w:sz w:val="20"/>
                <w:szCs w:val="20"/>
              </w:rPr>
              <w:t>0</w:t>
            </w:r>
            <w:r w:rsidRPr="00C10D04">
              <w:rPr>
                <w:rFonts w:cs="Times New Roman"/>
                <w:sz w:val="20"/>
                <w:szCs w:val="20"/>
              </w:rPr>
              <w:t>-0.693</w:t>
            </w:r>
          </w:p>
        </w:tc>
        <w:tc>
          <w:tcPr>
            <w:tcW w:w="810" w:type="dxa"/>
            <w:shd w:val="clear" w:color="auto" w:fill="auto"/>
            <w:noWrap/>
            <w:vAlign w:val="center"/>
          </w:tcPr>
          <w:p w14:paraId="5D12C182" w14:textId="23DEB871" w:rsidR="001C4D5E" w:rsidRPr="005E08C0" w:rsidRDefault="001C4D5E" w:rsidP="007D484D">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27</w:t>
            </w:r>
          </w:p>
        </w:tc>
        <w:tc>
          <w:tcPr>
            <w:tcW w:w="1038" w:type="dxa"/>
            <w:gridSpan w:val="2"/>
            <w:shd w:val="clear" w:color="auto" w:fill="auto"/>
            <w:noWrap/>
            <w:vAlign w:val="center"/>
          </w:tcPr>
          <w:p w14:paraId="33968792" w14:textId="325679B4" w:rsidR="001C4D5E" w:rsidRPr="005E08C0" w:rsidRDefault="001C4D5E" w:rsidP="007D484D">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749</w:t>
            </w:r>
          </w:p>
        </w:tc>
        <w:tc>
          <w:tcPr>
            <w:tcW w:w="992" w:type="dxa"/>
            <w:shd w:val="clear" w:color="auto" w:fill="auto"/>
            <w:noWrap/>
            <w:vAlign w:val="center"/>
          </w:tcPr>
          <w:p w14:paraId="30DBC2BB" w14:textId="653D5E90" w:rsidR="001C4D5E" w:rsidRPr="005E08C0" w:rsidRDefault="001C4D5E" w:rsidP="007D484D">
            <w:pPr>
              <w:widowControl/>
              <w:autoSpaceDE/>
              <w:autoSpaceDN/>
              <w:adjustRightInd/>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C10D04">
              <w:rPr>
                <w:rFonts w:cs="Times New Roman"/>
                <w:sz w:val="20"/>
                <w:szCs w:val="20"/>
              </w:rPr>
              <w:t>0.377</w:t>
            </w:r>
          </w:p>
        </w:tc>
      </w:tr>
      <w:bookmarkEnd w:id="11"/>
    </w:tbl>
    <w:p w14:paraId="673D4EB1" w14:textId="77777777" w:rsidR="00755FA1" w:rsidRDefault="00755FA1">
      <w:pPr>
        <w:widowControl/>
        <w:autoSpaceDE/>
        <w:autoSpaceDN/>
        <w:adjustRightInd/>
        <w:spacing w:line="240" w:lineRule="auto"/>
        <w:jc w:val="left"/>
      </w:pPr>
    </w:p>
    <w:p w14:paraId="051F2E4E" w14:textId="66976D95" w:rsidR="00BF78DE" w:rsidRDefault="00A543CD">
      <w:r>
        <w:t xml:space="preserve">Table 2 – Area under the Receiver-operating Characteristics Curve for cMyC and hs-cTnT; </w:t>
      </w:r>
      <w:r w:rsidR="00755FA1">
        <w:t xml:space="preserve">AMI = Acute Myocardial Infarction; STEMI = ST-elevation Myocardial Infarction; NSTEMI = </w:t>
      </w:r>
      <w:proofErr w:type="gramStart"/>
      <w:r w:rsidR="00755FA1">
        <w:t>Non ST</w:t>
      </w:r>
      <w:proofErr w:type="gramEnd"/>
      <w:r w:rsidR="00755FA1">
        <w:t>-elevation Myocardial Infarction; UA = Unstable Angina; AUC = Area under the Curve; CI = Confidence Interval</w:t>
      </w:r>
    </w:p>
    <w:p w14:paraId="5B1CC202" w14:textId="794BBCCF" w:rsidR="00A543CD" w:rsidRDefault="00A543CD">
      <w:pPr>
        <w:widowControl/>
        <w:autoSpaceDE/>
        <w:autoSpaceDN/>
        <w:adjustRightInd/>
        <w:spacing w:line="240" w:lineRule="auto"/>
        <w:jc w:val="left"/>
      </w:pPr>
      <w:r>
        <w:br w:type="page"/>
      </w:r>
    </w:p>
    <w:tbl>
      <w:tblPr>
        <w:tblStyle w:val="PlainTable11"/>
        <w:tblW w:w="0" w:type="auto"/>
        <w:tblCellMar>
          <w:top w:w="57" w:type="dxa"/>
          <w:bottom w:w="57" w:type="dxa"/>
        </w:tblCellMar>
        <w:tblLook w:val="04A0" w:firstRow="1" w:lastRow="0" w:firstColumn="1" w:lastColumn="0" w:noHBand="0" w:noVBand="1"/>
      </w:tblPr>
      <w:tblGrid>
        <w:gridCol w:w="1343"/>
        <w:gridCol w:w="2236"/>
        <w:gridCol w:w="2236"/>
        <w:gridCol w:w="2236"/>
      </w:tblGrid>
      <w:tr w:rsidR="00A543CD" w:rsidRPr="0034755B" w14:paraId="68E63A01" w14:textId="77777777" w:rsidTr="00871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hideMark/>
          </w:tcPr>
          <w:p w14:paraId="7B9A48C2" w14:textId="69D6353C" w:rsidR="00A543CD" w:rsidRPr="0034755B" w:rsidRDefault="00A543CD" w:rsidP="00871FD9">
            <w:pPr>
              <w:pStyle w:val="TableStyle1"/>
              <w:rPr>
                <w:sz w:val="24"/>
                <w:szCs w:val="24"/>
              </w:rPr>
            </w:pPr>
            <w:r>
              <w:rPr>
                <w:sz w:val="24"/>
                <w:szCs w:val="24"/>
              </w:rPr>
              <w:lastRenderedPageBreak/>
              <w:t>P</w:t>
            </w:r>
            <w:r w:rsidRPr="0034755B">
              <w:rPr>
                <w:sz w:val="24"/>
                <w:szCs w:val="24"/>
              </w:rPr>
              <w:t xml:space="preserve">atients with chest pain for &lt;60 mins </w:t>
            </w:r>
            <w:r w:rsidR="00D06545">
              <w:rPr>
                <w:sz w:val="24"/>
                <w:szCs w:val="24"/>
              </w:rPr>
              <w:t>(n=</w:t>
            </w:r>
            <w:r w:rsidR="00E13699">
              <w:rPr>
                <w:sz w:val="24"/>
                <w:szCs w:val="24"/>
              </w:rPr>
              <w:t>321)</w:t>
            </w:r>
          </w:p>
        </w:tc>
      </w:tr>
      <w:tr w:rsidR="00A543CD" w:rsidRPr="0034755B" w14:paraId="1F88448B" w14:textId="77777777" w:rsidTr="00871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4C1832" w14:textId="7109AD62" w:rsidR="00A543CD" w:rsidRPr="0034755B" w:rsidRDefault="0024150C" w:rsidP="00871FD9">
            <w:pPr>
              <w:pStyle w:val="TableStyle1"/>
              <w:rPr>
                <w:sz w:val="24"/>
                <w:szCs w:val="24"/>
              </w:rPr>
            </w:pPr>
            <w:r>
              <w:rPr>
                <w:sz w:val="24"/>
                <w:szCs w:val="24"/>
              </w:rPr>
              <w:t>[</w:t>
            </w:r>
            <w:r w:rsidR="00A543CD" w:rsidRPr="0034755B">
              <w:rPr>
                <w:sz w:val="24"/>
                <w:szCs w:val="24"/>
              </w:rPr>
              <w:t>cMyC</w:t>
            </w:r>
            <w:r>
              <w:rPr>
                <w:sz w:val="24"/>
                <w:szCs w:val="24"/>
              </w:rPr>
              <w:t>]</w:t>
            </w:r>
          </w:p>
        </w:tc>
        <w:tc>
          <w:tcPr>
            <w:tcW w:w="0" w:type="auto"/>
            <w:hideMark/>
          </w:tcPr>
          <w:p w14:paraId="79491C37" w14:textId="77777777" w:rsidR="00A543CD" w:rsidRPr="0034755B" w:rsidRDefault="00A543CD" w:rsidP="00871FD9">
            <w:pPr>
              <w:pStyle w:val="TableStyle1"/>
              <w:jc w:val="center"/>
              <w:cnfStyle w:val="000000100000" w:firstRow="0" w:lastRow="0" w:firstColumn="0" w:lastColumn="0" w:oddVBand="0" w:evenVBand="0" w:oddHBand="1" w:evenHBand="0" w:firstRowFirstColumn="0" w:firstRowLastColumn="0" w:lastRowFirstColumn="0" w:lastRowLastColumn="0"/>
              <w:rPr>
                <w:b/>
                <w:sz w:val="24"/>
                <w:szCs w:val="24"/>
              </w:rPr>
            </w:pPr>
            <w:r w:rsidRPr="0034755B">
              <w:rPr>
                <w:b/>
                <w:sz w:val="24"/>
                <w:szCs w:val="24"/>
              </w:rPr>
              <w:t>10 ng/L</w:t>
            </w:r>
          </w:p>
        </w:tc>
        <w:tc>
          <w:tcPr>
            <w:tcW w:w="0" w:type="auto"/>
            <w:hideMark/>
          </w:tcPr>
          <w:p w14:paraId="04CC52F5" w14:textId="77777777" w:rsidR="00A543CD" w:rsidRPr="0034755B" w:rsidRDefault="00A543CD" w:rsidP="00871FD9">
            <w:pPr>
              <w:pStyle w:val="TableStyle1"/>
              <w:jc w:val="center"/>
              <w:cnfStyle w:val="000000100000" w:firstRow="0" w:lastRow="0" w:firstColumn="0" w:lastColumn="0" w:oddVBand="0" w:evenVBand="0" w:oddHBand="1" w:evenHBand="0" w:firstRowFirstColumn="0" w:firstRowLastColumn="0" w:lastRowFirstColumn="0" w:lastRowLastColumn="0"/>
              <w:rPr>
                <w:b/>
                <w:sz w:val="24"/>
                <w:szCs w:val="24"/>
              </w:rPr>
            </w:pPr>
            <w:r w:rsidRPr="0034755B">
              <w:rPr>
                <w:b/>
                <w:sz w:val="24"/>
                <w:szCs w:val="24"/>
              </w:rPr>
              <w:t>87 ng/L</w:t>
            </w:r>
          </w:p>
        </w:tc>
        <w:tc>
          <w:tcPr>
            <w:tcW w:w="0" w:type="auto"/>
            <w:hideMark/>
          </w:tcPr>
          <w:p w14:paraId="2D9746EA" w14:textId="77777777" w:rsidR="00A543CD" w:rsidRPr="0034755B" w:rsidRDefault="00A543CD" w:rsidP="00871FD9">
            <w:pPr>
              <w:pStyle w:val="TableStyle1"/>
              <w:jc w:val="center"/>
              <w:cnfStyle w:val="000000100000" w:firstRow="0" w:lastRow="0" w:firstColumn="0" w:lastColumn="0" w:oddVBand="0" w:evenVBand="0" w:oddHBand="1" w:evenHBand="0" w:firstRowFirstColumn="0" w:firstRowLastColumn="0" w:lastRowFirstColumn="0" w:lastRowLastColumn="0"/>
              <w:rPr>
                <w:b/>
                <w:sz w:val="24"/>
                <w:szCs w:val="24"/>
              </w:rPr>
            </w:pPr>
            <w:r w:rsidRPr="0034755B">
              <w:rPr>
                <w:b/>
                <w:sz w:val="24"/>
                <w:szCs w:val="24"/>
              </w:rPr>
              <w:t>120 ng/L</w:t>
            </w:r>
          </w:p>
        </w:tc>
      </w:tr>
      <w:tr w:rsidR="00A543CD" w:rsidRPr="0034755B" w14:paraId="0812BE42" w14:textId="77777777" w:rsidTr="00871FD9">
        <w:tc>
          <w:tcPr>
            <w:cnfStyle w:val="001000000000" w:firstRow="0" w:lastRow="0" w:firstColumn="1" w:lastColumn="0" w:oddVBand="0" w:evenVBand="0" w:oddHBand="0" w:evenHBand="0" w:firstRowFirstColumn="0" w:firstRowLastColumn="0" w:lastRowFirstColumn="0" w:lastRowLastColumn="0"/>
            <w:tcW w:w="0" w:type="auto"/>
            <w:hideMark/>
          </w:tcPr>
          <w:p w14:paraId="49BA518D" w14:textId="77777777" w:rsidR="00A543CD" w:rsidRPr="0034755B" w:rsidRDefault="00A543CD" w:rsidP="00871FD9">
            <w:pPr>
              <w:pStyle w:val="TableStyle1"/>
              <w:rPr>
                <w:sz w:val="24"/>
                <w:szCs w:val="24"/>
              </w:rPr>
            </w:pPr>
            <w:r w:rsidRPr="0034755B">
              <w:rPr>
                <w:sz w:val="24"/>
                <w:szCs w:val="24"/>
              </w:rPr>
              <w:t>Sensitivity </w:t>
            </w:r>
          </w:p>
        </w:tc>
        <w:tc>
          <w:tcPr>
            <w:tcW w:w="0" w:type="auto"/>
            <w:hideMark/>
          </w:tcPr>
          <w:p w14:paraId="0BD76BE3" w14:textId="77777777" w:rsidR="00A543CD" w:rsidRPr="0034755B" w:rsidRDefault="00A543CD" w:rsidP="00871FD9">
            <w:pPr>
              <w:pStyle w:val="TableStyle1"/>
              <w:cnfStyle w:val="000000000000" w:firstRow="0" w:lastRow="0" w:firstColumn="0" w:lastColumn="0" w:oddVBand="0" w:evenVBand="0" w:oddHBand="0" w:evenHBand="0" w:firstRowFirstColumn="0" w:firstRowLastColumn="0" w:lastRowFirstColumn="0" w:lastRowLastColumn="0"/>
              <w:rPr>
                <w:sz w:val="24"/>
                <w:szCs w:val="24"/>
              </w:rPr>
            </w:pPr>
            <w:r w:rsidRPr="0034755B">
              <w:rPr>
                <w:sz w:val="24"/>
                <w:szCs w:val="24"/>
              </w:rPr>
              <w:t>94.3% (87-98.6%) </w:t>
            </w:r>
          </w:p>
        </w:tc>
        <w:tc>
          <w:tcPr>
            <w:tcW w:w="0" w:type="auto"/>
            <w:hideMark/>
          </w:tcPr>
          <w:p w14:paraId="625298E3" w14:textId="77777777" w:rsidR="00A543CD" w:rsidRPr="0034755B" w:rsidRDefault="00A543CD" w:rsidP="00871FD9">
            <w:pPr>
              <w:pStyle w:val="TableStyle1"/>
              <w:cnfStyle w:val="000000000000" w:firstRow="0" w:lastRow="0" w:firstColumn="0" w:lastColumn="0" w:oddVBand="0" w:evenVBand="0" w:oddHBand="0" w:evenHBand="0" w:firstRowFirstColumn="0" w:firstRowLastColumn="0" w:lastRowFirstColumn="0" w:lastRowLastColumn="0"/>
              <w:rPr>
                <w:sz w:val="24"/>
                <w:szCs w:val="24"/>
              </w:rPr>
            </w:pPr>
            <w:r w:rsidRPr="0034755B">
              <w:rPr>
                <w:sz w:val="24"/>
                <w:szCs w:val="24"/>
              </w:rPr>
              <w:t>40.7% (29.1-52.3%) </w:t>
            </w:r>
          </w:p>
        </w:tc>
        <w:tc>
          <w:tcPr>
            <w:tcW w:w="0" w:type="auto"/>
            <w:hideMark/>
          </w:tcPr>
          <w:p w14:paraId="15C029DD" w14:textId="77777777" w:rsidR="00A543CD" w:rsidRPr="0034755B" w:rsidRDefault="00A543CD" w:rsidP="00871FD9">
            <w:pPr>
              <w:pStyle w:val="TableStyle1"/>
              <w:cnfStyle w:val="000000000000" w:firstRow="0" w:lastRow="0" w:firstColumn="0" w:lastColumn="0" w:oddVBand="0" w:evenVBand="0" w:oddHBand="0" w:evenHBand="0" w:firstRowFirstColumn="0" w:firstRowLastColumn="0" w:lastRowFirstColumn="0" w:lastRowLastColumn="0"/>
              <w:rPr>
                <w:sz w:val="24"/>
                <w:szCs w:val="24"/>
              </w:rPr>
            </w:pPr>
            <w:r w:rsidRPr="0034755B">
              <w:rPr>
                <w:sz w:val="24"/>
                <w:szCs w:val="24"/>
              </w:rPr>
              <w:t>33.3% (22.2-44.7%) </w:t>
            </w:r>
          </w:p>
        </w:tc>
      </w:tr>
      <w:tr w:rsidR="00A543CD" w:rsidRPr="0034755B" w14:paraId="18627E2E" w14:textId="77777777" w:rsidTr="00871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199B94" w14:textId="77777777" w:rsidR="00A543CD" w:rsidRPr="0034755B" w:rsidRDefault="00A543CD" w:rsidP="00871FD9">
            <w:pPr>
              <w:pStyle w:val="TableStyle1"/>
              <w:rPr>
                <w:sz w:val="24"/>
                <w:szCs w:val="24"/>
              </w:rPr>
            </w:pPr>
            <w:r w:rsidRPr="0034755B">
              <w:rPr>
                <w:sz w:val="24"/>
                <w:szCs w:val="24"/>
              </w:rPr>
              <w:t>Specificity </w:t>
            </w:r>
          </w:p>
        </w:tc>
        <w:tc>
          <w:tcPr>
            <w:tcW w:w="0" w:type="auto"/>
            <w:hideMark/>
          </w:tcPr>
          <w:p w14:paraId="3B72600C" w14:textId="77777777" w:rsidR="00A543CD" w:rsidRPr="0034755B" w:rsidRDefault="00A543CD" w:rsidP="00871FD9">
            <w:pPr>
              <w:pStyle w:val="TableStyle1"/>
              <w:cnfStyle w:val="000000100000" w:firstRow="0" w:lastRow="0" w:firstColumn="0" w:lastColumn="0" w:oddVBand="0" w:evenVBand="0" w:oddHBand="1" w:evenHBand="0" w:firstRowFirstColumn="0" w:firstRowLastColumn="0" w:lastRowFirstColumn="0" w:lastRowLastColumn="0"/>
              <w:rPr>
                <w:sz w:val="24"/>
                <w:szCs w:val="24"/>
              </w:rPr>
            </w:pPr>
            <w:r w:rsidRPr="0034755B">
              <w:rPr>
                <w:sz w:val="24"/>
                <w:szCs w:val="24"/>
              </w:rPr>
              <w:t>32.1% (26.8-37.9%) </w:t>
            </w:r>
          </w:p>
        </w:tc>
        <w:tc>
          <w:tcPr>
            <w:tcW w:w="0" w:type="auto"/>
            <w:hideMark/>
          </w:tcPr>
          <w:p w14:paraId="2DDB79B0" w14:textId="77777777" w:rsidR="00A543CD" w:rsidRPr="0034755B" w:rsidRDefault="00A543CD" w:rsidP="00871FD9">
            <w:pPr>
              <w:pStyle w:val="TableStyle1"/>
              <w:cnfStyle w:val="000000100000" w:firstRow="0" w:lastRow="0" w:firstColumn="0" w:lastColumn="0" w:oddVBand="0" w:evenVBand="0" w:oddHBand="1" w:evenHBand="0" w:firstRowFirstColumn="0" w:firstRowLastColumn="0" w:lastRowFirstColumn="0" w:lastRowLastColumn="0"/>
              <w:rPr>
                <w:sz w:val="24"/>
                <w:szCs w:val="24"/>
              </w:rPr>
            </w:pPr>
            <w:r w:rsidRPr="0034755B">
              <w:rPr>
                <w:sz w:val="24"/>
                <w:szCs w:val="24"/>
              </w:rPr>
              <w:t>90.3% (86.6-93.8%) </w:t>
            </w:r>
          </w:p>
        </w:tc>
        <w:tc>
          <w:tcPr>
            <w:tcW w:w="0" w:type="auto"/>
            <w:hideMark/>
          </w:tcPr>
          <w:p w14:paraId="57D819CC" w14:textId="77777777" w:rsidR="00A543CD" w:rsidRPr="0034755B" w:rsidRDefault="00A543CD" w:rsidP="00871FD9">
            <w:pPr>
              <w:pStyle w:val="TableStyle1"/>
              <w:cnfStyle w:val="000000100000" w:firstRow="0" w:lastRow="0" w:firstColumn="0" w:lastColumn="0" w:oddVBand="0" w:evenVBand="0" w:oddHBand="1" w:evenHBand="0" w:firstRowFirstColumn="0" w:firstRowLastColumn="0" w:lastRowFirstColumn="0" w:lastRowLastColumn="0"/>
              <w:rPr>
                <w:sz w:val="24"/>
                <w:szCs w:val="24"/>
              </w:rPr>
            </w:pPr>
            <w:r w:rsidRPr="0034755B">
              <w:rPr>
                <w:sz w:val="24"/>
                <w:szCs w:val="24"/>
              </w:rPr>
              <w:t>92.3% (88.8-95.3%) </w:t>
            </w:r>
          </w:p>
        </w:tc>
      </w:tr>
      <w:tr w:rsidR="00A543CD" w:rsidRPr="0034755B" w14:paraId="28A21E95" w14:textId="77777777" w:rsidTr="00871FD9">
        <w:tc>
          <w:tcPr>
            <w:cnfStyle w:val="001000000000" w:firstRow="0" w:lastRow="0" w:firstColumn="1" w:lastColumn="0" w:oddVBand="0" w:evenVBand="0" w:oddHBand="0" w:evenHBand="0" w:firstRowFirstColumn="0" w:firstRowLastColumn="0" w:lastRowFirstColumn="0" w:lastRowLastColumn="0"/>
            <w:tcW w:w="0" w:type="auto"/>
            <w:hideMark/>
          </w:tcPr>
          <w:p w14:paraId="158F60BD" w14:textId="77777777" w:rsidR="00A543CD" w:rsidRPr="0034755B" w:rsidRDefault="00A543CD" w:rsidP="00871FD9">
            <w:pPr>
              <w:pStyle w:val="TableStyle1"/>
              <w:rPr>
                <w:sz w:val="24"/>
                <w:szCs w:val="24"/>
              </w:rPr>
            </w:pPr>
            <w:r w:rsidRPr="0034755B">
              <w:rPr>
                <w:sz w:val="24"/>
                <w:szCs w:val="24"/>
              </w:rPr>
              <w:t>NPV </w:t>
            </w:r>
          </w:p>
        </w:tc>
        <w:tc>
          <w:tcPr>
            <w:tcW w:w="0" w:type="auto"/>
            <w:hideMark/>
          </w:tcPr>
          <w:p w14:paraId="387EE4B7" w14:textId="77777777" w:rsidR="00A543CD" w:rsidRPr="0034755B" w:rsidRDefault="00A543CD" w:rsidP="00871FD9">
            <w:pPr>
              <w:pStyle w:val="TableStyle1"/>
              <w:cnfStyle w:val="000000000000" w:firstRow="0" w:lastRow="0" w:firstColumn="0" w:lastColumn="0" w:oddVBand="0" w:evenVBand="0" w:oddHBand="0" w:evenHBand="0" w:firstRowFirstColumn="0" w:firstRowLastColumn="0" w:lastRowFirstColumn="0" w:lastRowLastColumn="0"/>
              <w:rPr>
                <w:sz w:val="24"/>
                <w:szCs w:val="24"/>
              </w:rPr>
            </w:pPr>
            <w:r w:rsidRPr="0034755B">
              <w:rPr>
                <w:sz w:val="24"/>
                <w:szCs w:val="24"/>
              </w:rPr>
              <w:t>95.5% (90.7-98.9%) </w:t>
            </w:r>
          </w:p>
        </w:tc>
        <w:tc>
          <w:tcPr>
            <w:tcW w:w="0" w:type="auto"/>
            <w:hideMark/>
          </w:tcPr>
          <w:p w14:paraId="771900D7" w14:textId="77777777" w:rsidR="00A543CD" w:rsidRPr="0034755B" w:rsidRDefault="00A543CD" w:rsidP="00871FD9">
            <w:pPr>
              <w:pStyle w:val="TableStyle1"/>
              <w:cnfStyle w:val="000000000000" w:firstRow="0" w:lastRow="0" w:firstColumn="0" w:lastColumn="0" w:oddVBand="0" w:evenVBand="0" w:oddHBand="0" w:evenHBand="0" w:firstRowFirstColumn="0" w:firstRowLastColumn="0" w:lastRowFirstColumn="0" w:lastRowLastColumn="0"/>
              <w:rPr>
                <w:sz w:val="24"/>
                <w:szCs w:val="24"/>
              </w:rPr>
            </w:pPr>
            <w:r w:rsidRPr="0034755B">
              <w:rPr>
                <w:sz w:val="24"/>
                <w:szCs w:val="24"/>
              </w:rPr>
              <w:t>85.6% (81.1-89.6%) </w:t>
            </w:r>
          </w:p>
        </w:tc>
        <w:tc>
          <w:tcPr>
            <w:tcW w:w="0" w:type="auto"/>
            <w:hideMark/>
          </w:tcPr>
          <w:p w14:paraId="1542396F" w14:textId="77777777" w:rsidR="00A543CD" w:rsidRPr="0034755B" w:rsidRDefault="00A543CD" w:rsidP="00871FD9">
            <w:pPr>
              <w:pStyle w:val="TableStyle1"/>
              <w:cnfStyle w:val="000000000000" w:firstRow="0" w:lastRow="0" w:firstColumn="0" w:lastColumn="0" w:oddVBand="0" w:evenVBand="0" w:oddHBand="0" w:evenHBand="0" w:firstRowFirstColumn="0" w:firstRowLastColumn="0" w:lastRowFirstColumn="0" w:lastRowLastColumn="0"/>
              <w:rPr>
                <w:sz w:val="24"/>
                <w:szCs w:val="24"/>
              </w:rPr>
            </w:pPr>
            <w:r w:rsidRPr="0034755B">
              <w:rPr>
                <w:sz w:val="24"/>
                <w:szCs w:val="24"/>
              </w:rPr>
              <w:t>84.4% (79.7-88.5%) </w:t>
            </w:r>
          </w:p>
        </w:tc>
      </w:tr>
      <w:tr w:rsidR="00A543CD" w:rsidRPr="0034755B" w14:paraId="775FE9FA" w14:textId="77777777" w:rsidTr="00871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7C0A00" w14:textId="77777777" w:rsidR="00A543CD" w:rsidRPr="0034755B" w:rsidRDefault="00A543CD" w:rsidP="00871FD9">
            <w:pPr>
              <w:pStyle w:val="TableStyle1"/>
              <w:rPr>
                <w:sz w:val="24"/>
                <w:szCs w:val="24"/>
              </w:rPr>
            </w:pPr>
            <w:r w:rsidRPr="0034755B">
              <w:rPr>
                <w:sz w:val="24"/>
                <w:szCs w:val="24"/>
              </w:rPr>
              <w:t>PPV </w:t>
            </w:r>
          </w:p>
        </w:tc>
        <w:tc>
          <w:tcPr>
            <w:tcW w:w="0" w:type="auto"/>
            <w:hideMark/>
          </w:tcPr>
          <w:p w14:paraId="279893F8" w14:textId="77777777" w:rsidR="00A543CD" w:rsidRPr="0034755B" w:rsidRDefault="00A543CD" w:rsidP="00871FD9">
            <w:pPr>
              <w:pStyle w:val="TableStyle1"/>
              <w:cnfStyle w:val="000000100000" w:firstRow="0" w:lastRow="0" w:firstColumn="0" w:lastColumn="0" w:oddVBand="0" w:evenVBand="0" w:oddHBand="1" w:evenHBand="0" w:firstRowFirstColumn="0" w:firstRowLastColumn="0" w:lastRowFirstColumn="0" w:lastRowLastColumn="0"/>
              <w:rPr>
                <w:sz w:val="24"/>
                <w:szCs w:val="24"/>
              </w:rPr>
            </w:pPr>
            <w:r w:rsidRPr="0034755B">
              <w:rPr>
                <w:sz w:val="24"/>
                <w:szCs w:val="24"/>
              </w:rPr>
              <w:t>26.3% (21-32%) </w:t>
            </w:r>
          </w:p>
        </w:tc>
        <w:tc>
          <w:tcPr>
            <w:tcW w:w="0" w:type="auto"/>
            <w:hideMark/>
          </w:tcPr>
          <w:p w14:paraId="23714F36" w14:textId="77777777" w:rsidR="00A543CD" w:rsidRPr="0034755B" w:rsidRDefault="00A543CD" w:rsidP="00871FD9">
            <w:pPr>
              <w:pStyle w:val="TableStyle1"/>
              <w:cnfStyle w:val="000000100000" w:firstRow="0" w:lastRow="0" w:firstColumn="0" w:lastColumn="0" w:oddVBand="0" w:evenVBand="0" w:oddHBand="1" w:evenHBand="0" w:firstRowFirstColumn="0" w:firstRowLastColumn="0" w:lastRowFirstColumn="0" w:lastRowLastColumn="0"/>
              <w:rPr>
                <w:sz w:val="24"/>
                <w:szCs w:val="24"/>
              </w:rPr>
            </w:pPr>
            <w:r w:rsidRPr="0034755B">
              <w:rPr>
                <w:sz w:val="24"/>
                <w:szCs w:val="24"/>
              </w:rPr>
              <w:t>52.1% (37.8-65.4%) </w:t>
            </w:r>
          </w:p>
        </w:tc>
        <w:tc>
          <w:tcPr>
            <w:tcW w:w="0" w:type="auto"/>
            <w:hideMark/>
          </w:tcPr>
          <w:p w14:paraId="4CF89459" w14:textId="77777777" w:rsidR="00A543CD" w:rsidRPr="0034755B" w:rsidRDefault="00A543CD" w:rsidP="00871FD9">
            <w:pPr>
              <w:pStyle w:val="TableStyle1"/>
              <w:cnfStyle w:val="000000100000" w:firstRow="0" w:lastRow="0" w:firstColumn="0" w:lastColumn="0" w:oddVBand="0" w:evenVBand="0" w:oddHBand="1" w:evenHBand="0" w:firstRowFirstColumn="0" w:firstRowLastColumn="0" w:lastRowFirstColumn="0" w:lastRowLastColumn="0"/>
              <w:rPr>
                <w:sz w:val="24"/>
                <w:szCs w:val="24"/>
              </w:rPr>
            </w:pPr>
            <w:r w:rsidRPr="0034755B">
              <w:rPr>
                <w:sz w:val="24"/>
                <w:szCs w:val="24"/>
              </w:rPr>
              <w:t>52.5% (37.5-67.5%) </w:t>
            </w:r>
          </w:p>
        </w:tc>
      </w:tr>
      <w:tr w:rsidR="00A543CD" w:rsidRPr="0034755B" w14:paraId="5ADB7E70" w14:textId="77777777" w:rsidTr="00871FD9">
        <w:tc>
          <w:tcPr>
            <w:cnfStyle w:val="001000000000" w:firstRow="0" w:lastRow="0" w:firstColumn="1" w:lastColumn="0" w:oddVBand="0" w:evenVBand="0" w:oddHBand="0" w:evenHBand="0" w:firstRowFirstColumn="0" w:firstRowLastColumn="0" w:lastRowFirstColumn="0" w:lastRowLastColumn="0"/>
            <w:tcW w:w="0" w:type="auto"/>
            <w:gridSpan w:val="4"/>
          </w:tcPr>
          <w:p w14:paraId="35A01F3F" w14:textId="3DE0308B" w:rsidR="00A543CD" w:rsidRPr="0034755B" w:rsidRDefault="00A543CD" w:rsidP="00871FD9">
            <w:pPr>
              <w:pStyle w:val="TableStyle1"/>
              <w:rPr>
                <w:sz w:val="24"/>
                <w:szCs w:val="24"/>
              </w:rPr>
            </w:pPr>
            <w:r>
              <w:rPr>
                <w:sz w:val="24"/>
                <w:szCs w:val="24"/>
              </w:rPr>
              <w:t>P</w:t>
            </w:r>
            <w:r w:rsidRPr="0034755B">
              <w:rPr>
                <w:sz w:val="24"/>
                <w:szCs w:val="24"/>
              </w:rPr>
              <w:t>atients with chest pain for 60</w:t>
            </w:r>
            <w:r>
              <w:rPr>
                <w:sz w:val="24"/>
                <w:szCs w:val="24"/>
              </w:rPr>
              <w:t>-120</w:t>
            </w:r>
            <w:r w:rsidRPr="0034755B">
              <w:rPr>
                <w:sz w:val="24"/>
                <w:szCs w:val="24"/>
              </w:rPr>
              <w:t xml:space="preserve"> mins</w:t>
            </w:r>
            <w:r w:rsidR="00E13699">
              <w:rPr>
                <w:sz w:val="24"/>
                <w:szCs w:val="24"/>
              </w:rPr>
              <w:t xml:space="preserve"> (n=156)</w:t>
            </w:r>
          </w:p>
        </w:tc>
      </w:tr>
      <w:tr w:rsidR="00A543CD" w:rsidRPr="0034755B" w14:paraId="13A1714A" w14:textId="77777777" w:rsidTr="00871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8E84A0" w14:textId="77777777" w:rsidR="00A543CD" w:rsidRPr="0034755B" w:rsidRDefault="00A543CD" w:rsidP="00871FD9">
            <w:pPr>
              <w:pStyle w:val="TableStyle1"/>
              <w:rPr>
                <w:sz w:val="24"/>
                <w:szCs w:val="24"/>
              </w:rPr>
            </w:pPr>
            <w:r w:rsidRPr="0034755B">
              <w:rPr>
                <w:sz w:val="24"/>
                <w:szCs w:val="24"/>
              </w:rPr>
              <w:t>Sensitivity</w:t>
            </w:r>
          </w:p>
        </w:tc>
        <w:tc>
          <w:tcPr>
            <w:tcW w:w="0" w:type="auto"/>
          </w:tcPr>
          <w:p w14:paraId="4382C438" w14:textId="77777777" w:rsidR="00A543CD" w:rsidRPr="0034755B" w:rsidRDefault="00A543CD" w:rsidP="00871FD9">
            <w:pPr>
              <w:pStyle w:val="TableStyle1"/>
              <w:cnfStyle w:val="000000100000" w:firstRow="0" w:lastRow="0" w:firstColumn="0" w:lastColumn="0" w:oddVBand="0" w:evenVBand="0" w:oddHBand="1" w:evenHBand="0" w:firstRowFirstColumn="0" w:firstRowLastColumn="0" w:lastRowFirstColumn="0" w:lastRowLastColumn="0"/>
              <w:rPr>
                <w:sz w:val="24"/>
                <w:szCs w:val="24"/>
              </w:rPr>
            </w:pPr>
            <w:r w:rsidRPr="0034755B">
              <w:rPr>
                <w:sz w:val="24"/>
                <w:szCs w:val="24"/>
              </w:rPr>
              <w:t>98.1% (93.9-100%)</w:t>
            </w:r>
          </w:p>
        </w:tc>
        <w:tc>
          <w:tcPr>
            <w:tcW w:w="0" w:type="auto"/>
          </w:tcPr>
          <w:p w14:paraId="0AAE66DF" w14:textId="77777777" w:rsidR="00A543CD" w:rsidRPr="0034755B" w:rsidRDefault="00A543CD" w:rsidP="00871FD9">
            <w:pPr>
              <w:pStyle w:val="TableStyle1"/>
              <w:cnfStyle w:val="000000100000" w:firstRow="0" w:lastRow="0" w:firstColumn="0" w:lastColumn="0" w:oddVBand="0" w:evenVBand="0" w:oddHBand="1" w:evenHBand="0" w:firstRowFirstColumn="0" w:firstRowLastColumn="0" w:lastRowFirstColumn="0" w:lastRowLastColumn="0"/>
              <w:rPr>
                <w:sz w:val="24"/>
                <w:szCs w:val="24"/>
              </w:rPr>
            </w:pPr>
            <w:r w:rsidRPr="0034755B">
              <w:rPr>
                <w:sz w:val="24"/>
                <w:szCs w:val="24"/>
              </w:rPr>
              <w:t>54.7% (41.5-68.5%)</w:t>
            </w:r>
          </w:p>
        </w:tc>
        <w:tc>
          <w:tcPr>
            <w:tcW w:w="0" w:type="auto"/>
          </w:tcPr>
          <w:p w14:paraId="5FAD3A46" w14:textId="77777777" w:rsidR="00A543CD" w:rsidRPr="0034755B" w:rsidRDefault="00A543CD" w:rsidP="00871FD9">
            <w:pPr>
              <w:pStyle w:val="TableStyle1"/>
              <w:cnfStyle w:val="000000100000" w:firstRow="0" w:lastRow="0" w:firstColumn="0" w:lastColumn="0" w:oddVBand="0" w:evenVBand="0" w:oddHBand="1" w:evenHBand="0" w:firstRowFirstColumn="0" w:firstRowLastColumn="0" w:lastRowFirstColumn="0" w:lastRowLastColumn="0"/>
              <w:rPr>
                <w:sz w:val="24"/>
                <w:szCs w:val="24"/>
              </w:rPr>
            </w:pPr>
            <w:r w:rsidRPr="0034755B">
              <w:rPr>
                <w:sz w:val="24"/>
                <w:szCs w:val="24"/>
              </w:rPr>
              <w:t>46.5% (33.3-60.8%)</w:t>
            </w:r>
          </w:p>
        </w:tc>
      </w:tr>
      <w:tr w:rsidR="00A543CD" w:rsidRPr="0034755B" w14:paraId="67BD0CDF" w14:textId="77777777" w:rsidTr="00871FD9">
        <w:tc>
          <w:tcPr>
            <w:cnfStyle w:val="001000000000" w:firstRow="0" w:lastRow="0" w:firstColumn="1" w:lastColumn="0" w:oddVBand="0" w:evenVBand="0" w:oddHBand="0" w:evenHBand="0" w:firstRowFirstColumn="0" w:firstRowLastColumn="0" w:lastRowFirstColumn="0" w:lastRowLastColumn="0"/>
            <w:tcW w:w="0" w:type="auto"/>
          </w:tcPr>
          <w:p w14:paraId="3383DFE7" w14:textId="77777777" w:rsidR="00A543CD" w:rsidRPr="0034755B" w:rsidRDefault="00A543CD" w:rsidP="00871FD9">
            <w:pPr>
              <w:pStyle w:val="TableStyle1"/>
              <w:rPr>
                <w:sz w:val="24"/>
                <w:szCs w:val="24"/>
              </w:rPr>
            </w:pPr>
            <w:r w:rsidRPr="0034755B">
              <w:rPr>
                <w:sz w:val="24"/>
                <w:szCs w:val="24"/>
              </w:rPr>
              <w:t>Specificity</w:t>
            </w:r>
          </w:p>
        </w:tc>
        <w:tc>
          <w:tcPr>
            <w:tcW w:w="0" w:type="auto"/>
          </w:tcPr>
          <w:p w14:paraId="65316759" w14:textId="77777777" w:rsidR="00A543CD" w:rsidRPr="0034755B" w:rsidRDefault="00A543CD" w:rsidP="00871FD9">
            <w:pPr>
              <w:pStyle w:val="TableStyle1"/>
              <w:cnfStyle w:val="000000000000" w:firstRow="0" w:lastRow="0" w:firstColumn="0" w:lastColumn="0" w:oddVBand="0" w:evenVBand="0" w:oddHBand="0" w:evenHBand="0" w:firstRowFirstColumn="0" w:firstRowLastColumn="0" w:lastRowFirstColumn="0" w:lastRowLastColumn="0"/>
              <w:rPr>
                <w:sz w:val="24"/>
                <w:szCs w:val="24"/>
              </w:rPr>
            </w:pPr>
            <w:r w:rsidRPr="0034755B">
              <w:rPr>
                <w:sz w:val="24"/>
                <w:szCs w:val="24"/>
              </w:rPr>
              <w:t>22.8% (15-31.3%)</w:t>
            </w:r>
          </w:p>
        </w:tc>
        <w:tc>
          <w:tcPr>
            <w:tcW w:w="0" w:type="auto"/>
          </w:tcPr>
          <w:p w14:paraId="3356B7A5" w14:textId="77777777" w:rsidR="00A543CD" w:rsidRPr="0034755B" w:rsidRDefault="00A543CD" w:rsidP="00871FD9">
            <w:pPr>
              <w:pStyle w:val="TableStyle1"/>
              <w:cnfStyle w:val="000000000000" w:firstRow="0" w:lastRow="0" w:firstColumn="0" w:lastColumn="0" w:oddVBand="0" w:evenVBand="0" w:oddHBand="0" w:evenHBand="0" w:firstRowFirstColumn="0" w:firstRowLastColumn="0" w:lastRowFirstColumn="0" w:lastRowLastColumn="0"/>
              <w:rPr>
                <w:sz w:val="24"/>
                <w:szCs w:val="24"/>
              </w:rPr>
            </w:pPr>
            <w:r w:rsidRPr="0034755B">
              <w:rPr>
                <w:sz w:val="24"/>
                <w:szCs w:val="24"/>
              </w:rPr>
              <w:t>92.7% (86.9-96.9%)</w:t>
            </w:r>
          </w:p>
        </w:tc>
        <w:tc>
          <w:tcPr>
            <w:tcW w:w="0" w:type="auto"/>
          </w:tcPr>
          <w:p w14:paraId="20D00784" w14:textId="77777777" w:rsidR="00A543CD" w:rsidRPr="0034755B" w:rsidRDefault="00A543CD" w:rsidP="00871FD9">
            <w:pPr>
              <w:pStyle w:val="TableStyle1"/>
              <w:cnfStyle w:val="000000000000" w:firstRow="0" w:lastRow="0" w:firstColumn="0" w:lastColumn="0" w:oddVBand="0" w:evenVBand="0" w:oddHBand="0" w:evenHBand="0" w:firstRowFirstColumn="0" w:firstRowLastColumn="0" w:lastRowFirstColumn="0" w:lastRowLastColumn="0"/>
              <w:rPr>
                <w:sz w:val="24"/>
                <w:szCs w:val="24"/>
              </w:rPr>
            </w:pPr>
            <w:r w:rsidRPr="0034755B">
              <w:rPr>
                <w:sz w:val="24"/>
                <w:szCs w:val="24"/>
              </w:rPr>
              <w:t>92.7% (86.9-96.9%)</w:t>
            </w:r>
          </w:p>
        </w:tc>
      </w:tr>
      <w:tr w:rsidR="00A543CD" w:rsidRPr="0034755B" w14:paraId="57322ACB" w14:textId="77777777" w:rsidTr="00871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AA3B082" w14:textId="77777777" w:rsidR="00A543CD" w:rsidRPr="0034755B" w:rsidRDefault="00A543CD" w:rsidP="00871FD9">
            <w:pPr>
              <w:pStyle w:val="TableStyle1"/>
              <w:rPr>
                <w:sz w:val="24"/>
                <w:szCs w:val="24"/>
              </w:rPr>
            </w:pPr>
            <w:r w:rsidRPr="0034755B">
              <w:rPr>
                <w:sz w:val="24"/>
                <w:szCs w:val="24"/>
              </w:rPr>
              <w:t>NPV</w:t>
            </w:r>
          </w:p>
        </w:tc>
        <w:tc>
          <w:tcPr>
            <w:tcW w:w="0" w:type="auto"/>
          </w:tcPr>
          <w:p w14:paraId="54B761D6" w14:textId="77777777" w:rsidR="00A543CD" w:rsidRPr="0034755B" w:rsidRDefault="00A543CD" w:rsidP="00871FD9">
            <w:pPr>
              <w:pStyle w:val="TableStyle1"/>
              <w:cnfStyle w:val="000000100000" w:firstRow="0" w:lastRow="0" w:firstColumn="0" w:lastColumn="0" w:oddVBand="0" w:evenVBand="0" w:oddHBand="1" w:evenHBand="0" w:firstRowFirstColumn="0" w:firstRowLastColumn="0" w:lastRowFirstColumn="0" w:lastRowLastColumn="0"/>
              <w:rPr>
                <w:sz w:val="24"/>
                <w:szCs w:val="24"/>
              </w:rPr>
            </w:pPr>
            <w:r w:rsidRPr="0034755B">
              <w:rPr>
                <w:sz w:val="24"/>
                <w:szCs w:val="24"/>
              </w:rPr>
              <w:t>96.4% (87.1-100%)</w:t>
            </w:r>
          </w:p>
        </w:tc>
        <w:tc>
          <w:tcPr>
            <w:tcW w:w="0" w:type="auto"/>
          </w:tcPr>
          <w:p w14:paraId="1A313D30" w14:textId="77777777" w:rsidR="00A543CD" w:rsidRPr="0034755B" w:rsidRDefault="00A543CD" w:rsidP="00871FD9">
            <w:pPr>
              <w:pStyle w:val="TableStyle1"/>
              <w:cnfStyle w:val="000000100000" w:firstRow="0" w:lastRow="0" w:firstColumn="0" w:lastColumn="0" w:oddVBand="0" w:evenVBand="0" w:oddHBand="1" w:evenHBand="0" w:firstRowFirstColumn="0" w:firstRowLastColumn="0" w:lastRowFirstColumn="0" w:lastRowLastColumn="0"/>
              <w:rPr>
                <w:sz w:val="24"/>
                <w:szCs w:val="24"/>
              </w:rPr>
            </w:pPr>
            <w:r w:rsidRPr="0034755B">
              <w:rPr>
                <w:sz w:val="24"/>
                <w:szCs w:val="24"/>
              </w:rPr>
              <w:t>80.9% (73.6-87.2%)</w:t>
            </w:r>
          </w:p>
        </w:tc>
        <w:tc>
          <w:tcPr>
            <w:tcW w:w="0" w:type="auto"/>
          </w:tcPr>
          <w:p w14:paraId="6E052A3C" w14:textId="77777777" w:rsidR="00A543CD" w:rsidRPr="0034755B" w:rsidRDefault="00A543CD" w:rsidP="00871FD9">
            <w:pPr>
              <w:pStyle w:val="TableStyle1"/>
              <w:cnfStyle w:val="000000100000" w:firstRow="0" w:lastRow="0" w:firstColumn="0" w:lastColumn="0" w:oddVBand="0" w:evenVBand="0" w:oddHBand="1" w:evenHBand="0" w:firstRowFirstColumn="0" w:firstRowLastColumn="0" w:lastRowFirstColumn="0" w:lastRowLastColumn="0"/>
              <w:rPr>
                <w:sz w:val="24"/>
                <w:szCs w:val="24"/>
              </w:rPr>
            </w:pPr>
            <w:r w:rsidRPr="0034755B">
              <w:rPr>
                <w:sz w:val="24"/>
                <w:szCs w:val="24"/>
              </w:rPr>
              <w:t>78.3% (70.6-84.9%)</w:t>
            </w:r>
          </w:p>
        </w:tc>
      </w:tr>
      <w:tr w:rsidR="00A543CD" w:rsidRPr="0034755B" w14:paraId="74D53E7B" w14:textId="77777777" w:rsidTr="00871FD9">
        <w:tc>
          <w:tcPr>
            <w:cnfStyle w:val="001000000000" w:firstRow="0" w:lastRow="0" w:firstColumn="1" w:lastColumn="0" w:oddVBand="0" w:evenVBand="0" w:oddHBand="0" w:evenHBand="0" w:firstRowFirstColumn="0" w:firstRowLastColumn="0" w:lastRowFirstColumn="0" w:lastRowLastColumn="0"/>
            <w:tcW w:w="0" w:type="auto"/>
          </w:tcPr>
          <w:p w14:paraId="3AA09646" w14:textId="77777777" w:rsidR="00A543CD" w:rsidRPr="0034755B" w:rsidRDefault="00A543CD" w:rsidP="00871FD9">
            <w:pPr>
              <w:pStyle w:val="TableStyle1"/>
              <w:rPr>
                <w:sz w:val="24"/>
                <w:szCs w:val="24"/>
              </w:rPr>
            </w:pPr>
            <w:r w:rsidRPr="0034755B">
              <w:rPr>
                <w:sz w:val="24"/>
                <w:szCs w:val="24"/>
              </w:rPr>
              <w:t>PPV</w:t>
            </w:r>
          </w:p>
        </w:tc>
        <w:tc>
          <w:tcPr>
            <w:tcW w:w="0" w:type="auto"/>
          </w:tcPr>
          <w:p w14:paraId="3DB1BDD1" w14:textId="77777777" w:rsidR="00A543CD" w:rsidRPr="0034755B" w:rsidRDefault="00A543CD" w:rsidP="00871FD9">
            <w:pPr>
              <w:pStyle w:val="TableStyle1"/>
              <w:cnfStyle w:val="000000000000" w:firstRow="0" w:lastRow="0" w:firstColumn="0" w:lastColumn="0" w:oddVBand="0" w:evenVBand="0" w:oddHBand="0" w:evenHBand="0" w:firstRowFirstColumn="0" w:firstRowLastColumn="0" w:lastRowFirstColumn="0" w:lastRowLastColumn="0"/>
              <w:rPr>
                <w:sz w:val="24"/>
                <w:szCs w:val="24"/>
              </w:rPr>
            </w:pPr>
            <w:r w:rsidRPr="0034755B">
              <w:rPr>
                <w:sz w:val="24"/>
                <w:szCs w:val="24"/>
              </w:rPr>
              <w:t>38% (30.3-46.3%)</w:t>
            </w:r>
          </w:p>
        </w:tc>
        <w:tc>
          <w:tcPr>
            <w:tcW w:w="0" w:type="auto"/>
          </w:tcPr>
          <w:p w14:paraId="66CBD237" w14:textId="77777777" w:rsidR="00A543CD" w:rsidRPr="0034755B" w:rsidRDefault="00A543CD" w:rsidP="00871FD9">
            <w:pPr>
              <w:pStyle w:val="TableStyle1"/>
              <w:cnfStyle w:val="000000000000" w:firstRow="0" w:lastRow="0" w:firstColumn="0" w:lastColumn="0" w:oddVBand="0" w:evenVBand="0" w:oddHBand="0" w:evenHBand="0" w:firstRowFirstColumn="0" w:firstRowLastColumn="0" w:lastRowFirstColumn="0" w:lastRowLastColumn="0"/>
              <w:rPr>
                <w:sz w:val="24"/>
                <w:szCs w:val="24"/>
              </w:rPr>
            </w:pPr>
            <w:r w:rsidRPr="0034755B">
              <w:rPr>
                <w:sz w:val="24"/>
                <w:szCs w:val="24"/>
              </w:rPr>
              <w:t>78% (63.9-89.8%)</w:t>
            </w:r>
          </w:p>
        </w:tc>
        <w:tc>
          <w:tcPr>
            <w:tcW w:w="0" w:type="auto"/>
          </w:tcPr>
          <w:p w14:paraId="344C7946" w14:textId="77777777" w:rsidR="00A543CD" w:rsidRPr="0034755B" w:rsidRDefault="00A543CD" w:rsidP="00871FD9">
            <w:pPr>
              <w:pStyle w:val="TableStyle1"/>
              <w:cnfStyle w:val="000000000000" w:firstRow="0" w:lastRow="0" w:firstColumn="0" w:lastColumn="0" w:oddVBand="0" w:evenVBand="0" w:oddHBand="0" w:evenHBand="0" w:firstRowFirstColumn="0" w:firstRowLastColumn="0" w:lastRowFirstColumn="0" w:lastRowLastColumn="0"/>
              <w:rPr>
                <w:sz w:val="24"/>
                <w:szCs w:val="24"/>
              </w:rPr>
            </w:pPr>
            <w:r w:rsidRPr="0034755B">
              <w:rPr>
                <w:sz w:val="24"/>
                <w:szCs w:val="24"/>
              </w:rPr>
              <w:t>75% (58.6-88.5%)</w:t>
            </w:r>
          </w:p>
        </w:tc>
      </w:tr>
      <w:tr w:rsidR="00A543CD" w:rsidRPr="0034755B" w14:paraId="087B4452" w14:textId="77777777" w:rsidTr="00871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p w14:paraId="33CADC89" w14:textId="66EA0035" w:rsidR="00A543CD" w:rsidRPr="0034755B" w:rsidRDefault="00A543CD" w:rsidP="00871FD9">
            <w:pPr>
              <w:pStyle w:val="TableStyle1"/>
              <w:rPr>
                <w:sz w:val="24"/>
                <w:szCs w:val="24"/>
              </w:rPr>
            </w:pPr>
            <w:r>
              <w:rPr>
                <w:sz w:val="24"/>
                <w:szCs w:val="24"/>
              </w:rPr>
              <w:t>P</w:t>
            </w:r>
            <w:r w:rsidRPr="0034755B">
              <w:rPr>
                <w:sz w:val="24"/>
                <w:szCs w:val="24"/>
              </w:rPr>
              <w:t>atients with chest pain</w:t>
            </w:r>
            <w:r>
              <w:rPr>
                <w:sz w:val="24"/>
                <w:szCs w:val="24"/>
              </w:rPr>
              <w:t xml:space="preserve"> </w:t>
            </w:r>
            <w:r w:rsidRPr="0034755B">
              <w:rPr>
                <w:sz w:val="24"/>
                <w:szCs w:val="24"/>
              </w:rPr>
              <w:t xml:space="preserve">for </w:t>
            </w:r>
            <w:r>
              <w:rPr>
                <w:sz w:val="24"/>
                <w:szCs w:val="24"/>
              </w:rPr>
              <w:t>≥12</w:t>
            </w:r>
            <w:r w:rsidRPr="0034755B">
              <w:rPr>
                <w:sz w:val="24"/>
                <w:szCs w:val="24"/>
              </w:rPr>
              <w:t>0 mins</w:t>
            </w:r>
            <w:r w:rsidR="00E13699">
              <w:rPr>
                <w:sz w:val="24"/>
                <w:szCs w:val="24"/>
              </w:rPr>
              <w:t xml:space="preserve"> (n=249)</w:t>
            </w:r>
          </w:p>
        </w:tc>
      </w:tr>
      <w:tr w:rsidR="00A543CD" w:rsidRPr="0034755B" w14:paraId="7D475FEA" w14:textId="77777777" w:rsidTr="00871FD9">
        <w:tc>
          <w:tcPr>
            <w:cnfStyle w:val="001000000000" w:firstRow="0" w:lastRow="0" w:firstColumn="1" w:lastColumn="0" w:oddVBand="0" w:evenVBand="0" w:oddHBand="0" w:evenHBand="0" w:firstRowFirstColumn="0" w:firstRowLastColumn="0" w:lastRowFirstColumn="0" w:lastRowLastColumn="0"/>
            <w:tcW w:w="0" w:type="auto"/>
          </w:tcPr>
          <w:p w14:paraId="7BF8BB60" w14:textId="77777777" w:rsidR="00A543CD" w:rsidRPr="0034755B" w:rsidRDefault="00A543CD" w:rsidP="00871FD9">
            <w:pPr>
              <w:pStyle w:val="TableStyle1"/>
              <w:rPr>
                <w:sz w:val="24"/>
                <w:szCs w:val="24"/>
              </w:rPr>
            </w:pPr>
            <w:r w:rsidRPr="0034755B">
              <w:rPr>
                <w:sz w:val="24"/>
                <w:szCs w:val="24"/>
              </w:rPr>
              <w:t>Sensitivity</w:t>
            </w:r>
          </w:p>
        </w:tc>
        <w:tc>
          <w:tcPr>
            <w:tcW w:w="0" w:type="auto"/>
          </w:tcPr>
          <w:p w14:paraId="10395DEB" w14:textId="77777777" w:rsidR="00A543CD" w:rsidRPr="0034755B" w:rsidRDefault="00A543CD" w:rsidP="00871FD9">
            <w:pPr>
              <w:pStyle w:val="TableStyle1"/>
              <w:cnfStyle w:val="000000000000" w:firstRow="0" w:lastRow="0" w:firstColumn="0" w:lastColumn="0" w:oddVBand="0" w:evenVBand="0" w:oddHBand="0" w:evenHBand="0" w:firstRowFirstColumn="0" w:firstRowLastColumn="0" w:lastRowFirstColumn="0" w:lastRowLastColumn="0"/>
              <w:rPr>
                <w:sz w:val="24"/>
                <w:szCs w:val="24"/>
              </w:rPr>
            </w:pPr>
            <w:r w:rsidRPr="0034755B">
              <w:rPr>
                <w:sz w:val="24"/>
                <w:szCs w:val="24"/>
              </w:rPr>
              <w:t>100% (100-100%)</w:t>
            </w:r>
          </w:p>
        </w:tc>
        <w:tc>
          <w:tcPr>
            <w:tcW w:w="0" w:type="auto"/>
          </w:tcPr>
          <w:p w14:paraId="03D4C695" w14:textId="77777777" w:rsidR="00A543CD" w:rsidRPr="0034755B" w:rsidRDefault="00A543CD" w:rsidP="00871FD9">
            <w:pPr>
              <w:pStyle w:val="TableStyle1"/>
              <w:cnfStyle w:val="000000000000" w:firstRow="0" w:lastRow="0" w:firstColumn="0" w:lastColumn="0" w:oddVBand="0" w:evenVBand="0" w:oddHBand="0" w:evenHBand="0" w:firstRowFirstColumn="0" w:firstRowLastColumn="0" w:lastRowFirstColumn="0" w:lastRowLastColumn="0"/>
              <w:rPr>
                <w:sz w:val="24"/>
                <w:szCs w:val="24"/>
              </w:rPr>
            </w:pPr>
            <w:r w:rsidRPr="0034755B">
              <w:rPr>
                <w:sz w:val="24"/>
                <w:szCs w:val="24"/>
              </w:rPr>
              <w:t>73.5% (61.8-84.6%)</w:t>
            </w:r>
          </w:p>
        </w:tc>
        <w:tc>
          <w:tcPr>
            <w:tcW w:w="0" w:type="auto"/>
          </w:tcPr>
          <w:p w14:paraId="14D2FD2D" w14:textId="77777777" w:rsidR="00A543CD" w:rsidRPr="0034755B" w:rsidRDefault="00A543CD" w:rsidP="00871FD9">
            <w:pPr>
              <w:pStyle w:val="TableStyle1"/>
              <w:cnfStyle w:val="000000000000" w:firstRow="0" w:lastRow="0" w:firstColumn="0" w:lastColumn="0" w:oddVBand="0" w:evenVBand="0" w:oddHBand="0" w:evenHBand="0" w:firstRowFirstColumn="0" w:firstRowLastColumn="0" w:lastRowFirstColumn="0" w:lastRowLastColumn="0"/>
              <w:rPr>
                <w:sz w:val="24"/>
                <w:szCs w:val="24"/>
              </w:rPr>
            </w:pPr>
            <w:r w:rsidRPr="0034755B">
              <w:rPr>
                <w:sz w:val="24"/>
                <w:szCs w:val="24"/>
              </w:rPr>
              <w:t>61.2% (48.3-75%)</w:t>
            </w:r>
          </w:p>
        </w:tc>
      </w:tr>
      <w:tr w:rsidR="00A543CD" w:rsidRPr="0034755B" w14:paraId="4F4A6463" w14:textId="77777777" w:rsidTr="00871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379988" w14:textId="77777777" w:rsidR="00A543CD" w:rsidRPr="0034755B" w:rsidRDefault="00A543CD" w:rsidP="00871FD9">
            <w:pPr>
              <w:pStyle w:val="TableStyle1"/>
              <w:rPr>
                <w:sz w:val="24"/>
                <w:szCs w:val="24"/>
              </w:rPr>
            </w:pPr>
            <w:r w:rsidRPr="0034755B">
              <w:rPr>
                <w:sz w:val="24"/>
                <w:szCs w:val="24"/>
              </w:rPr>
              <w:t>Specificity</w:t>
            </w:r>
          </w:p>
        </w:tc>
        <w:tc>
          <w:tcPr>
            <w:tcW w:w="0" w:type="auto"/>
          </w:tcPr>
          <w:p w14:paraId="0E09C443" w14:textId="77777777" w:rsidR="00A543CD" w:rsidRPr="0034755B" w:rsidRDefault="00A543CD" w:rsidP="00871FD9">
            <w:pPr>
              <w:pStyle w:val="TableStyle1"/>
              <w:cnfStyle w:val="000000100000" w:firstRow="0" w:lastRow="0" w:firstColumn="0" w:lastColumn="0" w:oddVBand="0" w:evenVBand="0" w:oddHBand="1" w:evenHBand="0" w:firstRowFirstColumn="0" w:firstRowLastColumn="0" w:lastRowFirstColumn="0" w:lastRowLastColumn="0"/>
              <w:rPr>
                <w:sz w:val="24"/>
                <w:szCs w:val="24"/>
              </w:rPr>
            </w:pPr>
            <w:r w:rsidRPr="0034755B">
              <w:rPr>
                <w:sz w:val="24"/>
                <w:szCs w:val="24"/>
              </w:rPr>
              <w:t>29.9% (23.8-36.6%)</w:t>
            </w:r>
          </w:p>
        </w:tc>
        <w:tc>
          <w:tcPr>
            <w:tcW w:w="0" w:type="auto"/>
          </w:tcPr>
          <w:p w14:paraId="27BAE741" w14:textId="77777777" w:rsidR="00A543CD" w:rsidRPr="0034755B" w:rsidRDefault="00A543CD" w:rsidP="00871FD9">
            <w:pPr>
              <w:pStyle w:val="TableStyle1"/>
              <w:cnfStyle w:val="000000100000" w:firstRow="0" w:lastRow="0" w:firstColumn="0" w:lastColumn="0" w:oddVBand="0" w:evenVBand="0" w:oddHBand="1" w:evenHBand="0" w:firstRowFirstColumn="0" w:firstRowLastColumn="0" w:lastRowFirstColumn="0" w:lastRowLastColumn="0"/>
              <w:rPr>
                <w:sz w:val="24"/>
                <w:szCs w:val="24"/>
              </w:rPr>
            </w:pPr>
            <w:r w:rsidRPr="0034755B">
              <w:rPr>
                <w:sz w:val="24"/>
                <w:szCs w:val="24"/>
              </w:rPr>
              <w:t>88.9% (84-93%)</w:t>
            </w:r>
          </w:p>
        </w:tc>
        <w:tc>
          <w:tcPr>
            <w:tcW w:w="0" w:type="auto"/>
          </w:tcPr>
          <w:p w14:paraId="484662D5" w14:textId="77777777" w:rsidR="00A543CD" w:rsidRPr="0034755B" w:rsidRDefault="00A543CD" w:rsidP="00871FD9">
            <w:pPr>
              <w:pStyle w:val="TableStyle1"/>
              <w:cnfStyle w:val="000000100000" w:firstRow="0" w:lastRow="0" w:firstColumn="0" w:lastColumn="0" w:oddVBand="0" w:evenVBand="0" w:oddHBand="1" w:evenHBand="0" w:firstRowFirstColumn="0" w:firstRowLastColumn="0" w:lastRowFirstColumn="0" w:lastRowLastColumn="0"/>
              <w:rPr>
                <w:sz w:val="24"/>
                <w:szCs w:val="24"/>
              </w:rPr>
            </w:pPr>
            <w:r w:rsidRPr="0034755B">
              <w:rPr>
                <w:sz w:val="24"/>
                <w:szCs w:val="24"/>
              </w:rPr>
              <w:t>91.5% (87.3-95.1%)</w:t>
            </w:r>
          </w:p>
        </w:tc>
      </w:tr>
      <w:tr w:rsidR="00A543CD" w:rsidRPr="0034755B" w14:paraId="33501853" w14:textId="77777777" w:rsidTr="00871FD9">
        <w:tc>
          <w:tcPr>
            <w:cnfStyle w:val="001000000000" w:firstRow="0" w:lastRow="0" w:firstColumn="1" w:lastColumn="0" w:oddVBand="0" w:evenVBand="0" w:oddHBand="0" w:evenHBand="0" w:firstRowFirstColumn="0" w:firstRowLastColumn="0" w:lastRowFirstColumn="0" w:lastRowLastColumn="0"/>
            <w:tcW w:w="0" w:type="auto"/>
          </w:tcPr>
          <w:p w14:paraId="73FA1017" w14:textId="77777777" w:rsidR="00A543CD" w:rsidRPr="0034755B" w:rsidRDefault="00A543CD" w:rsidP="00871FD9">
            <w:pPr>
              <w:pStyle w:val="TableStyle1"/>
              <w:rPr>
                <w:sz w:val="24"/>
                <w:szCs w:val="24"/>
              </w:rPr>
            </w:pPr>
            <w:r w:rsidRPr="0034755B">
              <w:rPr>
                <w:sz w:val="24"/>
                <w:szCs w:val="24"/>
              </w:rPr>
              <w:t>NPV</w:t>
            </w:r>
          </w:p>
        </w:tc>
        <w:tc>
          <w:tcPr>
            <w:tcW w:w="0" w:type="auto"/>
          </w:tcPr>
          <w:p w14:paraId="5B48324C" w14:textId="77777777" w:rsidR="00A543CD" w:rsidRPr="0034755B" w:rsidRDefault="00A543CD" w:rsidP="00871FD9">
            <w:pPr>
              <w:pStyle w:val="TableStyle1"/>
              <w:cnfStyle w:val="000000000000" w:firstRow="0" w:lastRow="0" w:firstColumn="0" w:lastColumn="0" w:oddVBand="0" w:evenVBand="0" w:oddHBand="0" w:evenHBand="0" w:firstRowFirstColumn="0" w:firstRowLastColumn="0" w:lastRowFirstColumn="0" w:lastRowLastColumn="0"/>
              <w:rPr>
                <w:sz w:val="24"/>
                <w:szCs w:val="24"/>
              </w:rPr>
            </w:pPr>
            <w:r w:rsidRPr="0034755B">
              <w:rPr>
                <w:sz w:val="24"/>
                <w:szCs w:val="24"/>
              </w:rPr>
              <w:t>100% (100-100%)</w:t>
            </w:r>
          </w:p>
        </w:tc>
        <w:tc>
          <w:tcPr>
            <w:tcW w:w="0" w:type="auto"/>
          </w:tcPr>
          <w:p w14:paraId="7BBE75D5" w14:textId="77777777" w:rsidR="00A543CD" w:rsidRPr="0034755B" w:rsidRDefault="00A543CD" w:rsidP="00871FD9">
            <w:pPr>
              <w:pStyle w:val="TableStyle1"/>
              <w:cnfStyle w:val="000000000000" w:firstRow="0" w:lastRow="0" w:firstColumn="0" w:lastColumn="0" w:oddVBand="0" w:evenVBand="0" w:oddHBand="0" w:evenHBand="0" w:firstRowFirstColumn="0" w:firstRowLastColumn="0" w:lastRowFirstColumn="0" w:lastRowLastColumn="0"/>
              <w:rPr>
                <w:sz w:val="24"/>
                <w:szCs w:val="24"/>
              </w:rPr>
            </w:pPr>
            <w:r w:rsidRPr="0034755B">
              <w:rPr>
                <w:sz w:val="24"/>
                <w:szCs w:val="24"/>
              </w:rPr>
              <w:t>92.7% (88.6-96.2%)</w:t>
            </w:r>
          </w:p>
        </w:tc>
        <w:tc>
          <w:tcPr>
            <w:tcW w:w="0" w:type="auto"/>
          </w:tcPr>
          <w:p w14:paraId="54BB5F9E" w14:textId="77777777" w:rsidR="00A543CD" w:rsidRPr="0034755B" w:rsidRDefault="00A543CD" w:rsidP="00871FD9">
            <w:pPr>
              <w:pStyle w:val="TableStyle1"/>
              <w:cnfStyle w:val="000000000000" w:firstRow="0" w:lastRow="0" w:firstColumn="0" w:lastColumn="0" w:oddVBand="0" w:evenVBand="0" w:oddHBand="0" w:evenHBand="0" w:firstRowFirstColumn="0" w:firstRowLastColumn="0" w:lastRowFirstColumn="0" w:lastRowLastColumn="0"/>
              <w:rPr>
                <w:sz w:val="24"/>
                <w:szCs w:val="24"/>
              </w:rPr>
            </w:pPr>
            <w:r w:rsidRPr="0034755B">
              <w:rPr>
                <w:sz w:val="24"/>
                <w:szCs w:val="24"/>
              </w:rPr>
              <w:t>90% (85.5-93.8%)</w:t>
            </w:r>
          </w:p>
        </w:tc>
      </w:tr>
      <w:tr w:rsidR="00A543CD" w:rsidRPr="0034755B" w14:paraId="43895DE3" w14:textId="77777777" w:rsidTr="00871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C1FF85" w14:textId="77777777" w:rsidR="00A543CD" w:rsidRPr="0034755B" w:rsidRDefault="00A543CD" w:rsidP="00871FD9">
            <w:pPr>
              <w:pStyle w:val="TableStyle1"/>
              <w:rPr>
                <w:sz w:val="24"/>
                <w:szCs w:val="24"/>
              </w:rPr>
            </w:pPr>
            <w:r w:rsidRPr="0034755B">
              <w:rPr>
                <w:sz w:val="24"/>
                <w:szCs w:val="24"/>
              </w:rPr>
              <w:t>PPV</w:t>
            </w:r>
          </w:p>
        </w:tc>
        <w:tc>
          <w:tcPr>
            <w:tcW w:w="0" w:type="auto"/>
          </w:tcPr>
          <w:p w14:paraId="07746338" w14:textId="77777777" w:rsidR="00A543CD" w:rsidRPr="0034755B" w:rsidRDefault="00A543CD" w:rsidP="00871FD9">
            <w:pPr>
              <w:pStyle w:val="TableStyle1"/>
              <w:cnfStyle w:val="000000100000" w:firstRow="0" w:lastRow="0" w:firstColumn="0" w:lastColumn="0" w:oddVBand="0" w:evenVBand="0" w:oddHBand="1" w:evenHBand="0" w:firstRowFirstColumn="0" w:firstRowLastColumn="0" w:lastRowFirstColumn="0" w:lastRowLastColumn="0"/>
              <w:rPr>
                <w:sz w:val="24"/>
                <w:szCs w:val="24"/>
              </w:rPr>
            </w:pPr>
            <w:r w:rsidRPr="0034755B">
              <w:rPr>
                <w:sz w:val="24"/>
                <w:szCs w:val="24"/>
              </w:rPr>
              <w:t>27.6% (21.1-33.7%)</w:t>
            </w:r>
          </w:p>
        </w:tc>
        <w:tc>
          <w:tcPr>
            <w:tcW w:w="0" w:type="auto"/>
          </w:tcPr>
          <w:p w14:paraId="170EFCEA" w14:textId="77777777" w:rsidR="00A543CD" w:rsidRPr="0034755B" w:rsidRDefault="00A543CD" w:rsidP="00871FD9">
            <w:pPr>
              <w:pStyle w:val="TableStyle1"/>
              <w:cnfStyle w:val="000000100000" w:firstRow="0" w:lastRow="0" w:firstColumn="0" w:lastColumn="0" w:oddVBand="0" w:evenVBand="0" w:oddHBand="1" w:evenHBand="0" w:firstRowFirstColumn="0" w:firstRowLastColumn="0" w:lastRowFirstColumn="0" w:lastRowLastColumn="0"/>
              <w:rPr>
                <w:sz w:val="24"/>
                <w:szCs w:val="24"/>
              </w:rPr>
            </w:pPr>
            <w:r w:rsidRPr="0034755B">
              <w:rPr>
                <w:sz w:val="24"/>
                <w:szCs w:val="24"/>
              </w:rPr>
              <w:t>63.8% (51.2-75.5%)</w:t>
            </w:r>
          </w:p>
        </w:tc>
        <w:tc>
          <w:tcPr>
            <w:tcW w:w="0" w:type="auto"/>
          </w:tcPr>
          <w:p w14:paraId="35095EDF" w14:textId="77777777" w:rsidR="00A543CD" w:rsidRPr="0034755B" w:rsidRDefault="00A543CD" w:rsidP="00871FD9">
            <w:pPr>
              <w:pStyle w:val="TableStyle1"/>
              <w:keepNext/>
              <w:cnfStyle w:val="000000100000" w:firstRow="0" w:lastRow="0" w:firstColumn="0" w:lastColumn="0" w:oddVBand="0" w:evenVBand="0" w:oddHBand="1" w:evenHBand="0" w:firstRowFirstColumn="0" w:firstRowLastColumn="0" w:lastRowFirstColumn="0" w:lastRowLastColumn="0"/>
              <w:rPr>
                <w:sz w:val="24"/>
                <w:szCs w:val="24"/>
              </w:rPr>
            </w:pPr>
            <w:r w:rsidRPr="0034755B">
              <w:rPr>
                <w:sz w:val="24"/>
                <w:szCs w:val="24"/>
              </w:rPr>
              <w:t>65.8% (52.2-78.4%)</w:t>
            </w:r>
          </w:p>
        </w:tc>
      </w:tr>
    </w:tbl>
    <w:p w14:paraId="3DEB0136" w14:textId="56DC0254" w:rsidR="00A543CD" w:rsidRPr="00E26EED" w:rsidRDefault="00A543CD">
      <w:r>
        <w:t xml:space="preserve">Table 3 – </w:t>
      </w:r>
      <w:r w:rsidRPr="00C3521D">
        <w:rPr>
          <w:rFonts w:cs="Times New Roman"/>
          <w:noProof/>
        </w:rPr>
        <w:t xml:space="preserve">Discriminatory power of cMyC at </w:t>
      </w:r>
      <w:r>
        <w:rPr>
          <w:rFonts w:cs="Times New Roman"/>
          <w:noProof/>
        </w:rPr>
        <w:t>different thresholds;</w:t>
      </w:r>
      <w:r w:rsidRPr="008E0B2F">
        <w:rPr>
          <w:rFonts w:cs="Times New Roman"/>
          <w:noProof/>
        </w:rPr>
        <w:t xml:space="preserve"> NPV = Negative Predictive Value; PPV = Positive Predictive Value</w:t>
      </w:r>
    </w:p>
    <w:sectPr w:rsidR="00A543CD" w:rsidRPr="00E26EED" w:rsidSect="00BE6599">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6EC05" w14:textId="77777777" w:rsidR="00691D22" w:rsidRDefault="00691D22" w:rsidP="00C9659E">
      <w:pPr>
        <w:spacing w:line="240" w:lineRule="auto"/>
      </w:pPr>
      <w:r>
        <w:separator/>
      </w:r>
    </w:p>
  </w:endnote>
  <w:endnote w:type="continuationSeparator" w:id="0">
    <w:p w14:paraId="5E90CBEE" w14:textId="77777777" w:rsidR="00691D22" w:rsidRDefault="00691D22" w:rsidP="00C96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harter Roman">
    <w:altName w:val="Cambria"/>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81D75" w14:textId="77777777" w:rsidR="009654B7" w:rsidRDefault="009654B7" w:rsidP="000E70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959B9E" w14:textId="77777777" w:rsidR="009654B7" w:rsidRDefault="009654B7" w:rsidP="00307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EEA5E" w14:textId="195164BE" w:rsidR="009654B7" w:rsidRPr="00C9659E" w:rsidRDefault="009654B7" w:rsidP="000E70AD">
    <w:pPr>
      <w:pStyle w:val="Footer"/>
      <w:framePr w:wrap="none" w:vAnchor="text" w:hAnchor="margin" w:xAlign="right" w:y="1"/>
      <w:rPr>
        <w:rStyle w:val="PageNumber"/>
        <w:szCs w:val="24"/>
      </w:rPr>
    </w:pPr>
    <w:r w:rsidRPr="00C9659E">
      <w:rPr>
        <w:rStyle w:val="PageNumber"/>
        <w:szCs w:val="24"/>
      </w:rPr>
      <w:fldChar w:fldCharType="begin"/>
    </w:r>
    <w:r w:rsidRPr="00D619A0">
      <w:rPr>
        <w:rStyle w:val="PageNumber"/>
        <w:szCs w:val="24"/>
      </w:rPr>
      <w:instrText xml:space="preserve">PAGE  </w:instrText>
    </w:r>
    <w:r w:rsidRPr="00C9659E">
      <w:rPr>
        <w:rStyle w:val="PageNumber"/>
        <w:szCs w:val="24"/>
      </w:rPr>
      <w:fldChar w:fldCharType="separate"/>
    </w:r>
    <w:r>
      <w:rPr>
        <w:rStyle w:val="PageNumber"/>
        <w:noProof/>
        <w:szCs w:val="24"/>
      </w:rPr>
      <w:t>28</w:t>
    </w:r>
    <w:r w:rsidRPr="00C9659E">
      <w:rPr>
        <w:rStyle w:val="PageNumber"/>
        <w:szCs w:val="24"/>
      </w:rPr>
      <w:fldChar w:fldCharType="end"/>
    </w:r>
  </w:p>
  <w:p w14:paraId="1A0DA8A9" w14:textId="77777777" w:rsidR="009654B7" w:rsidRPr="00D619A0" w:rsidRDefault="009654B7" w:rsidP="00D619A0">
    <w:pPr>
      <w:pStyle w:val="Footer"/>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D8A4C" w14:textId="77777777" w:rsidR="00691D22" w:rsidRDefault="00691D22" w:rsidP="00C9659E">
      <w:pPr>
        <w:spacing w:line="240" w:lineRule="auto"/>
      </w:pPr>
      <w:r>
        <w:separator/>
      </w:r>
    </w:p>
  </w:footnote>
  <w:footnote w:type="continuationSeparator" w:id="0">
    <w:p w14:paraId="537EBF1E" w14:textId="77777777" w:rsidR="00691D22" w:rsidRDefault="00691D22" w:rsidP="00C965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5007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456CBE54">
      <w:start w:val="1"/>
      <w:numFmt w:val="decimal"/>
      <w:lvlText w:val="%1."/>
      <w:lvlJc w:val="left"/>
      <w:pPr>
        <w:ind w:left="720" w:hanging="360"/>
      </w:pPr>
    </w:lvl>
    <w:lvl w:ilvl="1" w:tplc="326CD534">
      <w:numFmt w:val="decimal"/>
      <w:lvlText w:val=""/>
      <w:lvlJc w:val="left"/>
    </w:lvl>
    <w:lvl w:ilvl="2" w:tplc="C49C1CBA">
      <w:numFmt w:val="decimal"/>
      <w:lvlText w:val=""/>
      <w:lvlJc w:val="left"/>
    </w:lvl>
    <w:lvl w:ilvl="3" w:tplc="60C4D314">
      <w:numFmt w:val="decimal"/>
      <w:lvlText w:val=""/>
      <w:lvlJc w:val="left"/>
    </w:lvl>
    <w:lvl w:ilvl="4" w:tplc="5C40554C">
      <w:numFmt w:val="decimal"/>
      <w:lvlText w:val=""/>
      <w:lvlJc w:val="left"/>
    </w:lvl>
    <w:lvl w:ilvl="5" w:tplc="A446AAB0">
      <w:numFmt w:val="decimal"/>
      <w:lvlText w:val=""/>
      <w:lvlJc w:val="left"/>
    </w:lvl>
    <w:lvl w:ilvl="6" w:tplc="B5064BA2">
      <w:numFmt w:val="decimal"/>
      <w:lvlText w:val=""/>
      <w:lvlJc w:val="left"/>
    </w:lvl>
    <w:lvl w:ilvl="7" w:tplc="18B674D6">
      <w:numFmt w:val="decimal"/>
      <w:lvlText w:val=""/>
      <w:lvlJc w:val="left"/>
    </w:lvl>
    <w:lvl w:ilvl="8" w:tplc="BBC4C618">
      <w:numFmt w:val="decimal"/>
      <w:lvlText w:val=""/>
      <w:lvlJc w:val="left"/>
    </w:lvl>
  </w:abstractNum>
  <w:abstractNum w:abstractNumId="2"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3CE1A0E"/>
    <w:multiLevelType w:val="hybridMultilevel"/>
    <w:tmpl w:val="E56CF130"/>
    <w:lvl w:ilvl="0" w:tplc="FAE6E1AA">
      <w:start w:val="1"/>
      <w:numFmt w:val="decimal"/>
      <w:lvlText w:val="%1)"/>
      <w:lvlJc w:val="left"/>
      <w:pPr>
        <w:ind w:left="720" w:hanging="360"/>
      </w:pPr>
      <w:rPr>
        <w:rFonts w:hint="default"/>
      </w:rPr>
    </w:lvl>
    <w:lvl w:ilvl="1" w:tplc="F55EE162" w:tentative="1">
      <w:start w:val="1"/>
      <w:numFmt w:val="lowerLetter"/>
      <w:lvlText w:val="%2."/>
      <w:lvlJc w:val="left"/>
      <w:pPr>
        <w:ind w:left="1440" w:hanging="360"/>
      </w:pPr>
    </w:lvl>
    <w:lvl w:ilvl="2" w:tplc="1310A860" w:tentative="1">
      <w:start w:val="1"/>
      <w:numFmt w:val="lowerRoman"/>
      <w:lvlText w:val="%3."/>
      <w:lvlJc w:val="right"/>
      <w:pPr>
        <w:ind w:left="2160" w:hanging="180"/>
      </w:pPr>
    </w:lvl>
    <w:lvl w:ilvl="3" w:tplc="EE20FC6C" w:tentative="1">
      <w:start w:val="1"/>
      <w:numFmt w:val="decimal"/>
      <w:lvlText w:val="%4."/>
      <w:lvlJc w:val="left"/>
      <w:pPr>
        <w:ind w:left="2880" w:hanging="360"/>
      </w:pPr>
    </w:lvl>
    <w:lvl w:ilvl="4" w:tplc="41D026BC" w:tentative="1">
      <w:start w:val="1"/>
      <w:numFmt w:val="lowerLetter"/>
      <w:lvlText w:val="%5."/>
      <w:lvlJc w:val="left"/>
      <w:pPr>
        <w:ind w:left="3600" w:hanging="360"/>
      </w:pPr>
    </w:lvl>
    <w:lvl w:ilvl="5" w:tplc="558670A6" w:tentative="1">
      <w:start w:val="1"/>
      <w:numFmt w:val="lowerRoman"/>
      <w:lvlText w:val="%6."/>
      <w:lvlJc w:val="right"/>
      <w:pPr>
        <w:ind w:left="4320" w:hanging="180"/>
      </w:pPr>
    </w:lvl>
    <w:lvl w:ilvl="6" w:tplc="ED709176" w:tentative="1">
      <w:start w:val="1"/>
      <w:numFmt w:val="decimal"/>
      <w:lvlText w:val="%7."/>
      <w:lvlJc w:val="left"/>
      <w:pPr>
        <w:ind w:left="5040" w:hanging="360"/>
      </w:pPr>
    </w:lvl>
    <w:lvl w:ilvl="7" w:tplc="D92AD1E6" w:tentative="1">
      <w:start w:val="1"/>
      <w:numFmt w:val="lowerLetter"/>
      <w:lvlText w:val="%8."/>
      <w:lvlJc w:val="left"/>
      <w:pPr>
        <w:ind w:left="5760" w:hanging="360"/>
      </w:pPr>
    </w:lvl>
    <w:lvl w:ilvl="8" w:tplc="14844864" w:tentative="1">
      <w:start w:val="1"/>
      <w:numFmt w:val="lowerRoman"/>
      <w:lvlText w:val="%9."/>
      <w:lvlJc w:val="right"/>
      <w:pPr>
        <w:ind w:left="6480" w:hanging="180"/>
      </w:pPr>
    </w:lvl>
  </w:abstractNum>
  <w:abstractNum w:abstractNumId="4" w15:restartNumberingAfterBreak="0">
    <w:nsid w:val="348E5F59"/>
    <w:multiLevelType w:val="hybridMultilevel"/>
    <w:tmpl w:val="129437B4"/>
    <w:lvl w:ilvl="0" w:tplc="027E03B2">
      <w:start w:val="1"/>
      <w:numFmt w:val="decimal"/>
      <w:lvlText w:val="%1)"/>
      <w:lvlJc w:val="left"/>
      <w:pPr>
        <w:ind w:left="720" w:hanging="360"/>
      </w:pPr>
      <w:rPr>
        <w:rFonts w:hint="default"/>
      </w:rPr>
    </w:lvl>
    <w:lvl w:ilvl="1" w:tplc="0B38A6B8" w:tentative="1">
      <w:start w:val="1"/>
      <w:numFmt w:val="lowerLetter"/>
      <w:lvlText w:val="%2."/>
      <w:lvlJc w:val="left"/>
      <w:pPr>
        <w:ind w:left="1440" w:hanging="360"/>
      </w:pPr>
    </w:lvl>
    <w:lvl w:ilvl="2" w:tplc="75BC125C" w:tentative="1">
      <w:start w:val="1"/>
      <w:numFmt w:val="lowerRoman"/>
      <w:lvlText w:val="%3."/>
      <w:lvlJc w:val="right"/>
      <w:pPr>
        <w:ind w:left="2160" w:hanging="180"/>
      </w:pPr>
    </w:lvl>
    <w:lvl w:ilvl="3" w:tplc="A4887244" w:tentative="1">
      <w:start w:val="1"/>
      <w:numFmt w:val="decimal"/>
      <w:lvlText w:val="%4."/>
      <w:lvlJc w:val="left"/>
      <w:pPr>
        <w:ind w:left="2880" w:hanging="360"/>
      </w:pPr>
    </w:lvl>
    <w:lvl w:ilvl="4" w:tplc="311A20B4" w:tentative="1">
      <w:start w:val="1"/>
      <w:numFmt w:val="lowerLetter"/>
      <w:lvlText w:val="%5."/>
      <w:lvlJc w:val="left"/>
      <w:pPr>
        <w:ind w:left="3600" w:hanging="360"/>
      </w:pPr>
    </w:lvl>
    <w:lvl w:ilvl="5" w:tplc="F468F286" w:tentative="1">
      <w:start w:val="1"/>
      <w:numFmt w:val="lowerRoman"/>
      <w:lvlText w:val="%6."/>
      <w:lvlJc w:val="right"/>
      <w:pPr>
        <w:ind w:left="4320" w:hanging="180"/>
      </w:pPr>
    </w:lvl>
    <w:lvl w:ilvl="6" w:tplc="C2666914" w:tentative="1">
      <w:start w:val="1"/>
      <w:numFmt w:val="decimal"/>
      <w:lvlText w:val="%7."/>
      <w:lvlJc w:val="left"/>
      <w:pPr>
        <w:ind w:left="5040" w:hanging="360"/>
      </w:pPr>
    </w:lvl>
    <w:lvl w:ilvl="7" w:tplc="A56A4830" w:tentative="1">
      <w:start w:val="1"/>
      <w:numFmt w:val="lowerLetter"/>
      <w:lvlText w:val="%8."/>
      <w:lvlJc w:val="left"/>
      <w:pPr>
        <w:ind w:left="5760" w:hanging="360"/>
      </w:pPr>
    </w:lvl>
    <w:lvl w:ilvl="8" w:tplc="AFB06F64" w:tentative="1">
      <w:start w:val="1"/>
      <w:numFmt w:val="lowerRoman"/>
      <w:lvlText w:val="%9."/>
      <w:lvlJc w:val="right"/>
      <w:pPr>
        <w:ind w:left="6480" w:hanging="180"/>
      </w:pPr>
    </w:lvl>
  </w:abstractNum>
  <w:abstractNum w:abstractNumId="5" w15:restartNumberingAfterBreak="0">
    <w:nsid w:val="3CEA14EF"/>
    <w:multiLevelType w:val="hybridMultilevel"/>
    <w:tmpl w:val="AC34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D5A60"/>
    <w:multiLevelType w:val="hybridMultilevel"/>
    <w:tmpl w:val="D662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C2B28"/>
    <w:multiLevelType w:val="hybridMultilevel"/>
    <w:tmpl w:val="C94CE378"/>
    <w:lvl w:ilvl="0" w:tplc="456CBE54">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C49C1CBA">
      <w:numFmt w:val="decimal"/>
      <w:lvlText w:val=""/>
      <w:lvlJc w:val="left"/>
    </w:lvl>
    <w:lvl w:ilvl="3" w:tplc="60C4D314">
      <w:numFmt w:val="decimal"/>
      <w:lvlText w:val=""/>
      <w:lvlJc w:val="left"/>
    </w:lvl>
    <w:lvl w:ilvl="4" w:tplc="5C40554C">
      <w:numFmt w:val="decimal"/>
      <w:lvlText w:val=""/>
      <w:lvlJc w:val="left"/>
    </w:lvl>
    <w:lvl w:ilvl="5" w:tplc="A446AAB0">
      <w:numFmt w:val="decimal"/>
      <w:lvlText w:val=""/>
      <w:lvlJc w:val="left"/>
    </w:lvl>
    <w:lvl w:ilvl="6" w:tplc="B5064BA2">
      <w:numFmt w:val="decimal"/>
      <w:lvlText w:val=""/>
      <w:lvlJc w:val="left"/>
    </w:lvl>
    <w:lvl w:ilvl="7" w:tplc="18B674D6">
      <w:numFmt w:val="decimal"/>
      <w:lvlText w:val=""/>
      <w:lvlJc w:val="left"/>
    </w:lvl>
    <w:lvl w:ilvl="8" w:tplc="BBC4C618">
      <w:numFmt w:val="decimal"/>
      <w:lvlText w:val=""/>
      <w:lvlJc w:val="left"/>
    </w:lvl>
  </w:abstractNum>
  <w:abstractNum w:abstractNumId="8" w15:restartNumberingAfterBreak="0">
    <w:nsid w:val="6D1459A5"/>
    <w:multiLevelType w:val="hybridMultilevel"/>
    <w:tmpl w:val="30409684"/>
    <w:lvl w:ilvl="0" w:tplc="30B0552A">
      <w:start w:val="1"/>
      <w:numFmt w:val="decimal"/>
      <w:lvlText w:val="%1)"/>
      <w:lvlJc w:val="left"/>
      <w:pPr>
        <w:ind w:left="720" w:hanging="360"/>
      </w:pPr>
      <w:rPr>
        <w:rFonts w:hint="default"/>
      </w:rPr>
    </w:lvl>
    <w:lvl w:ilvl="1" w:tplc="7CDC7E00" w:tentative="1">
      <w:start w:val="1"/>
      <w:numFmt w:val="lowerLetter"/>
      <w:lvlText w:val="%2."/>
      <w:lvlJc w:val="left"/>
      <w:pPr>
        <w:ind w:left="1440" w:hanging="360"/>
      </w:pPr>
    </w:lvl>
    <w:lvl w:ilvl="2" w:tplc="3FCE2DFC" w:tentative="1">
      <w:start w:val="1"/>
      <w:numFmt w:val="lowerRoman"/>
      <w:lvlText w:val="%3."/>
      <w:lvlJc w:val="right"/>
      <w:pPr>
        <w:ind w:left="2160" w:hanging="180"/>
      </w:pPr>
    </w:lvl>
    <w:lvl w:ilvl="3" w:tplc="A2EE36F0" w:tentative="1">
      <w:start w:val="1"/>
      <w:numFmt w:val="decimal"/>
      <w:lvlText w:val="%4."/>
      <w:lvlJc w:val="left"/>
      <w:pPr>
        <w:ind w:left="2880" w:hanging="360"/>
      </w:pPr>
    </w:lvl>
    <w:lvl w:ilvl="4" w:tplc="E710DE90" w:tentative="1">
      <w:start w:val="1"/>
      <w:numFmt w:val="lowerLetter"/>
      <w:lvlText w:val="%5."/>
      <w:lvlJc w:val="left"/>
      <w:pPr>
        <w:ind w:left="3600" w:hanging="360"/>
      </w:pPr>
    </w:lvl>
    <w:lvl w:ilvl="5" w:tplc="D83032F2" w:tentative="1">
      <w:start w:val="1"/>
      <w:numFmt w:val="lowerRoman"/>
      <w:lvlText w:val="%6."/>
      <w:lvlJc w:val="right"/>
      <w:pPr>
        <w:ind w:left="4320" w:hanging="180"/>
      </w:pPr>
    </w:lvl>
    <w:lvl w:ilvl="6" w:tplc="D15A1BDE" w:tentative="1">
      <w:start w:val="1"/>
      <w:numFmt w:val="decimal"/>
      <w:lvlText w:val="%7."/>
      <w:lvlJc w:val="left"/>
      <w:pPr>
        <w:ind w:left="5040" w:hanging="360"/>
      </w:pPr>
    </w:lvl>
    <w:lvl w:ilvl="7" w:tplc="5308C958" w:tentative="1">
      <w:start w:val="1"/>
      <w:numFmt w:val="lowerLetter"/>
      <w:lvlText w:val="%8."/>
      <w:lvlJc w:val="left"/>
      <w:pPr>
        <w:ind w:left="5760" w:hanging="360"/>
      </w:pPr>
    </w:lvl>
    <w:lvl w:ilvl="8" w:tplc="AB8ED2F6"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8"/>
  </w:num>
  <w:num w:numId="6">
    <w:abstractNumId w:val="2"/>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38"/>
    <w:rsid w:val="00002273"/>
    <w:rsid w:val="0000667E"/>
    <w:rsid w:val="00011411"/>
    <w:rsid w:val="00012B68"/>
    <w:rsid w:val="00016841"/>
    <w:rsid w:val="00020DC8"/>
    <w:rsid w:val="000229F8"/>
    <w:rsid w:val="00025442"/>
    <w:rsid w:val="000273D8"/>
    <w:rsid w:val="0004058A"/>
    <w:rsid w:val="00040B16"/>
    <w:rsid w:val="0004297C"/>
    <w:rsid w:val="00042987"/>
    <w:rsid w:val="000443BB"/>
    <w:rsid w:val="00050505"/>
    <w:rsid w:val="00060CF3"/>
    <w:rsid w:val="000631B4"/>
    <w:rsid w:val="000679BF"/>
    <w:rsid w:val="00085817"/>
    <w:rsid w:val="00090C9D"/>
    <w:rsid w:val="00091EDB"/>
    <w:rsid w:val="000A4631"/>
    <w:rsid w:val="000B1547"/>
    <w:rsid w:val="000B6BC4"/>
    <w:rsid w:val="000C0FBF"/>
    <w:rsid w:val="000C3D96"/>
    <w:rsid w:val="000C7FAC"/>
    <w:rsid w:val="000D39F8"/>
    <w:rsid w:val="000D64FC"/>
    <w:rsid w:val="000D6F0B"/>
    <w:rsid w:val="000E4704"/>
    <w:rsid w:val="000E5C2C"/>
    <w:rsid w:val="000E70AD"/>
    <w:rsid w:val="000F1D67"/>
    <w:rsid w:val="000F32C2"/>
    <w:rsid w:val="000F50A7"/>
    <w:rsid w:val="000F57D2"/>
    <w:rsid w:val="000F7167"/>
    <w:rsid w:val="001011AB"/>
    <w:rsid w:val="0010147D"/>
    <w:rsid w:val="0010626C"/>
    <w:rsid w:val="001073E8"/>
    <w:rsid w:val="00116C98"/>
    <w:rsid w:val="00117CB5"/>
    <w:rsid w:val="00126B4E"/>
    <w:rsid w:val="00130BD2"/>
    <w:rsid w:val="001322DD"/>
    <w:rsid w:val="0013798B"/>
    <w:rsid w:val="0014060C"/>
    <w:rsid w:val="00143F77"/>
    <w:rsid w:val="0016045F"/>
    <w:rsid w:val="00162AB1"/>
    <w:rsid w:val="001649E2"/>
    <w:rsid w:val="00170F06"/>
    <w:rsid w:val="001852C1"/>
    <w:rsid w:val="00193118"/>
    <w:rsid w:val="001A0561"/>
    <w:rsid w:val="001A5479"/>
    <w:rsid w:val="001A6F3A"/>
    <w:rsid w:val="001B0000"/>
    <w:rsid w:val="001B343C"/>
    <w:rsid w:val="001B7DA1"/>
    <w:rsid w:val="001C4D5E"/>
    <w:rsid w:val="001D2DC9"/>
    <w:rsid w:val="001D47D6"/>
    <w:rsid w:val="001E19E1"/>
    <w:rsid w:val="001E5F38"/>
    <w:rsid w:val="001F2902"/>
    <w:rsid w:val="001F3106"/>
    <w:rsid w:val="001F3E62"/>
    <w:rsid w:val="001F7C65"/>
    <w:rsid w:val="0020150D"/>
    <w:rsid w:val="00210A95"/>
    <w:rsid w:val="00211AE9"/>
    <w:rsid w:val="002156A8"/>
    <w:rsid w:val="002165B2"/>
    <w:rsid w:val="00217D2E"/>
    <w:rsid w:val="002222C3"/>
    <w:rsid w:val="00230132"/>
    <w:rsid w:val="0023070C"/>
    <w:rsid w:val="00231D69"/>
    <w:rsid w:val="002328D0"/>
    <w:rsid w:val="00236012"/>
    <w:rsid w:val="0024150C"/>
    <w:rsid w:val="00242C9E"/>
    <w:rsid w:val="00245EB7"/>
    <w:rsid w:val="0024744A"/>
    <w:rsid w:val="002515BC"/>
    <w:rsid w:val="0025245D"/>
    <w:rsid w:val="00253147"/>
    <w:rsid w:val="00263079"/>
    <w:rsid w:val="00263D92"/>
    <w:rsid w:val="00264746"/>
    <w:rsid w:val="00265139"/>
    <w:rsid w:val="00271EC4"/>
    <w:rsid w:val="002750BD"/>
    <w:rsid w:val="0027788A"/>
    <w:rsid w:val="002820B0"/>
    <w:rsid w:val="00282B4E"/>
    <w:rsid w:val="00286C27"/>
    <w:rsid w:val="00287090"/>
    <w:rsid w:val="00290285"/>
    <w:rsid w:val="00292DB5"/>
    <w:rsid w:val="00293990"/>
    <w:rsid w:val="00297D37"/>
    <w:rsid w:val="002A0860"/>
    <w:rsid w:val="002A1B15"/>
    <w:rsid w:val="002A2B13"/>
    <w:rsid w:val="002A3754"/>
    <w:rsid w:val="002A58BF"/>
    <w:rsid w:val="002A7DCD"/>
    <w:rsid w:val="002B1C19"/>
    <w:rsid w:val="002C06AD"/>
    <w:rsid w:val="002C336E"/>
    <w:rsid w:val="002C6931"/>
    <w:rsid w:val="002D58A4"/>
    <w:rsid w:val="002E0F14"/>
    <w:rsid w:val="002E2889"/>
    <w:rsid w:val="002E3645"/>
    <w:rsid w:val="002E606A"/>
    <w:rsid w:val="00304391"/>
    <w:rsid w:val="003067D7"/>
    <w:rsid w:val="003078E0"/>
    <w:rsid w:val="00313F3E"/>
    <w:rsid w:val="00320661"/>
    <w:rsid w:val="00335D87"/>
    <w:rsid w:val="00342FFD"/>
    <w:rsid w:val="0034755B"/>
    <w:rsid w:val="0035266F"/>
    <w:rsid w:val="003564B8"/>
    <w:rsid w:val="0035798E"/>
    <w:rsid w:val="00361FFC"/>
    <w:rsid w:val="00362AB5"/>
    <w:rsid w:val="00364ECC"/>
    <w:rsid w:val="003677E2"/>
    <w:rsid w:val="00390478"/>
    <w:rsid w:val="003B6D88"/>
    <w:rsid w:val="003B79C4"/>
    <w:rsid w:val="003B7F2E"/>
    <w:rsid w:val="003C4164"/>
    <w:rsid w:val="003C5BC6"/>
    <w:rsid w:val="003D1DD6"/>
    <w:rsid w:val="003D399B"/>
    <w:rsid w:val="003D6D60"/>
    <w:rsid w:val="003F3898"/>
    <w:rsid w:val="003F6ECE"/>
    <w:rsid w:val="00406B46"/>
    <w:rsid w:val="0041067F"/>
    <w:rsid w:val="004127ED"/>
    <w:rsid w:val="00412C67"/>
    <w:rsid w:val="004140BF"/>
    <w:rsid w:val="0041496F"/>
    <w:rsid w:val="00422537"/>
    <w:rsid w:val="00422C1E"/>
    <w:rsid w:val="00422CEF"/>
    <w:rsid w:val="0042609C"/>
    <w:rsid w:val="00426A6E"/>
    <w:rsid w:val="00434A58"/>
    <w:rsid w:val="00434BD9"/>
    <w:rsid w:val="00446582"/>
    <w:rsid w:val="00451561"/>
    <w:rsid w:val="004540B4"/>
    <w:rsid w:val="004547D3"/>
    <w:rsid w:val="00463106"/>
    <w:rsid w:val="004658A1"/>
    <w:rsid w:val="00467481"/>
    <w:rsid w:val="00480E2D"/>
    <w:rsid w:val="0049013E"/>
    <w:rsid w:val="004973F4"/>
    <w:rsid w:val="004A13A8"/>
    <w:rsid w:val="004A3489"/>
    <w:rsid w:val="004A38A5"/>
    <w:rsid w:val="004A65D4"/>
    <w:rsid w:val="004A7DF9"/>
    <w:rsid w:val="004C139F"/>
    <w:rsid w:val="004C16ED"/>
    <w:rsid w:val="004C2D5F"/>
    <w:rsid w:val="004C3D24"/>
    <w:rsid w:val="004D1892"/>
    <w:rsid w:val="004D5BA8"/>
    <w:rsid w:val="004E0E8D"/>
    <w:rsid w:val="004E6EB6"/>
    <w:rsid w:val="004F118D"/>
    <w:rsid w:val="004F1B1F"/>
    <w:rsid w:val="004F6F00"/>
    <w:rsid w:val="004F72FB"/>
    <w:rsid w:val="005019F1"/>
    <w:rsid w:val="00502ED1"/>
    <w:rsid w:val="0050658B"/>
    <w:rsid w:val="005161F1"/>
    <w:rsid w:val="0051745F"/>
    <w:rsid w:val="005177F4"/>
    <w:rsid w:val="005311EA"/>
    <w:rsid w:val="00531481"/>
    <w:rsid w:val="00532893"/>
    <w:rsid w:val="00533E82"/>
    <w:rsid w:val="005344E9"/>
    <w:rsid w:val="00535DF3"/>
    <w:rsid w:val="00536B69"/>
    <w:rsid w:val="0054134F"/>
    <w:rsid w:val="005414C5"/>
    <w:rsid w:val="005439AE"/>
    <w:rsid w:val="00552405"/>
    <w:rsid w:val="00565B60"/>
    <w:rsid w:val="00573566"/>
    <w:rsid w:val="00575147"/>
    <w:rsid w:val="00575338"/>
    <w:rsid w:val="005761AD"/>
    <w:rsid w:val="005774E1"/>
    <w:rsid w:val="00584058"/>
    <w:rsid w:val="005858CA"/>
    <w:rsid w:val="005874C2"/>
    <w:rsid w:val="0058784A"/>
    <w:rsid w:val="00587EDC"/>
    <w:rsid w:val="005907EC"/>
    <w:rsid w:val="00595773"/>
    <w:rsid w:val="005A2751"/>
    <w:rsid w:val="005A3AC1"/>
    <w:rsid w:val="005B3360"/>
    <w:rsid w:val="005B7AD4"/>
    <w:rsid w:val="005C002C"/>
    <w:rsid w:val="005C31E7"/>
    <w:rsid w:val="005C5906"/>
    <w:rsid w:val="005C7197"/>
    <w:rsid w:val="005E08C0"/>
    <w:rsid w:val="005E6884"/>
    <w:rsid w:val="005F67D2"/>
    <w:rsid w:val="006000EA"/>
    <w:rsid w:val="00601A35"/>
    <w:rsid w:val="00613AC0"/>
    <w:rsid w:val="00622327"/>
    <w:rsid w:val="006279DE"/>
    <w:rsid w:val="00627D50"/>
    <w:rsid w:val="0063024E"/>
    <w:rsid w:val="00633886"/>
    <w:rsid w:val="00637F57"/>
    <w:rsid w:val="00640C96"/>
    <w:rsid w:val="006453A3"/>
    <w:rsid w:val="00654296"/>
    <w:rsid w:val="00660BB8"/>
    <w:rsid w:val="00662685"/>
    <w:rsid w:val="00670BE5"/>
    <w:rsid w:val="00672DCD"/>
    <w:rsid w:val="0068254E"/>
    <w:rsid w:val="00684C20"/>
    <w:rsid w:val="00684CFB"/>
    <w:rsid w:val="006863A4"/>
    <w:rsid w:val="006877A2"/>
    <w:rsid w:val="0069071B"/>
    <w:rsid w:val="00691D22"/>
    <w:rsid w:val="0069212F"/>
    <w:rsid w:val="00696473"/>
    <w:rsid w:val="006A64E7"/>
    <w:rsid w:val="006B7BA3"/>
    <w:rsid w:val="006C0AE3"/>
    <w:rsid w:val="006C1420"/>
    <w:rsid w:val="006D499A"/>
    <w:rsid w:val="006D4D58"/>
    <w:rsid w:val="006D576F"/>
    <w:rsid w:val="006D75E8"/>
    <w:rsid w:val="006D762E"/>
    <w:rsid w:val="006F5BF8"/>
    <w:rsid w:val="006F5F8F"/>
    <w:rsid w:val="0070220D"/>
    <w:rsid w:val="00705F66"/>
    <w:rsid w:val="00711EAD"/>
    <w:rsid w:val="00721BF2"/>
    <w:rsid w:val="00725C71"/>
    <w:rsid w:val="00727B07"/>
    <w:rsid w:val="00746A58"/>
    <w:rsid w:val="0075335A"/>
    <w:rsid w:val="00754C65"/>
    <w:rsid w:val="00754F88"/>
    <w:rsid w:val="0075538A"/>
    <w:rsid w:val="00755FA1"/>
    <w:rsid w:val="00763AF4"/>
    <w:rsid w:val="00765203"/>
    <w:rsid w:val="00767CE0"/>
    <w:rsid w:val="00767ECB"/>
    <w:rsid w:val="007818D4"/>
    <w:rsid w:val="00781FF9"/>
    <w:rsid w:val="00782124"/>
    <w:rsid w:val="0078431C"/>
    <w:rsid w:val="00790117"/>
    <w:rsid w:val="007908C4"/>
    <w:rsid w:val="00790F9B"/>
    <w:rsid w:val="00791F99"/>
    <w:rsid w:val="00795F62"/>
    <w:rsid w:val="007A00F9"/>
    <w:rsid w:val="007A562F"/>
    <w:rsid w:val="007A5B9C"/>
    <w:rsid w:val="007C07AE"/>
    <w:rsid w:val="007D2E42"/>
    <w:rsid w:val="007D40C5"/>
    <w:rsid w:val="007D484D"/>
    <w:rsid w:val="007F3754"/>
    <w:rsid w:val="008003AC"/>
    <w:rsid w:val="00800AE1"/>
    <w:rsid w:val="00805D84"/>
    <w:rsid w:val="00811CC1"/>
    <w:rsid w:val="00812997"/>
    <w:rsid w:val="0081306D"/>
    <w:rsid w:val="00814E26"/>
    <w:rsid w:val="00817831"/>
    <w:rsid w:val="008246D1"/>
    <w:rsid w:val="0083014E"/>
    <w:rsid w:val="00833216"/>
    <w:rsid w:val="008353F0"/>
    <w:rsid w:val="008418EA"/>
    <w:rsid w:val="00842333"/>
    <w:rsid w:val="0084369E"/>
    <w:rsid w:val="008477B1"/>
    <w:rsid w:val="00847C7C"/>
    <w:rsid w:val="0085053D"/>
    <w:rsid w:val="00857717"/>
    <w:rsid w:val="00861AF7"/>
    <w:rsid w:val="00861F27"/>
    <w:rsid w:val="008713D1"/>
    <w:rsid w:val="00871FD9"/>
    <w:rsid w:val="00873335"/>
    <w:rsid w:val="00874AB4"/>
    <w:rsid w:val="00876D99"/>
    <w:rsid w:val="00877B68"/>
    <w:rsid w:val="008836C5"/>
    <w:rsid w:val="00891005"/>
    <w:rsid w:val="0089160F"/>
    <w:rsid w:val="00894121"/>
    <w:rsid w:val="0089535B"/>
    <w:rsid w:val="008A1574"/>
    <w:rsid w:val="008A281E"/>
    <w:rsid w:val="008B0425"/>
    <w:rsid w:val="008B18FB"/>
    <w:rsid w:val="008B4BBE"/>
    <w:rsid w:val="008B62DA"/>
    <w:rsid w:val="008B6E6E"/>
    <w:rsid w:val="008C27D6"/>
    <w:rsid w:val="008C572D"/>
    <w:rsid w:val="008C78FC"/>
    <w:rsid w:val="008D3278"/>
    <w:rsid w:val="008D559B"/>
    <w:rsid w:val="008E646C"/>
    <w:rsid w:val="008E6A34"/>
    <w:rsid w:val="008E7241"/>
    <w:rsid w:val="008F057C"/>
    <w:rsid w:val="00901D41"/>
    <w:rsid w:val="00904FD0"/>
    <w:rsid w:val="00905BF2"/>
    <w:rsid w:val="0090766F"/>
    <w:rsid w:val="00911069"/>
    <w:rsid w:val="009114DB"/>
    <w:rsid w:val="00915FEB"/>
    <w:rsid w:val="009219A6"/>
    <w:rsid w:val="00922565"/>
    <w:rsid w:val="00923792"/>
    <w:rsid w:val="00931F17"/>
    <w:rsid w:val="00934139"/>
    <w:rsid w:val="009366C2"/>
    <w:rsid w:val="00937773"/>
    <w:rsid w:val="00944531"/>
    <w:rsid w:val="00945009"/>
    <w:rsid w:val="00951CC5"/>
    <w:rsid w:val="009528B4"/>
    <w:rsid w:val="0095513F"/>
    <w:rsid w:val="00957E70"/>
    <w:rsid w:val="00964146"/>
    <w:rsid w:val="009654B7"/>
    <w:rsid w:val="00967F5C"/>
    <w:rsid w:val="00976F1F"/>
    <w:rsid w:val="00984646"/>
    <w:rsid w:val="00987F5C"/>
    <w:rsid w:val="009A28C7"/>
    <w:rsid w:val="009B3830"/>
    <w:rsid w:val="009B4489"/>
    <w:rsid w:val="009C20BF"/>
    <w:rsid w:val="009C69C0"/>
    <w:rsid w:val="009C6BB4"/>
    <w:rsid w:val="009C7A6D"/>
    <w:rsid w:val="009D1A34"/>
    <w:rsid w:val="009D2BC0"/>
    <w:rsid w:val="009D3BD1"/>
    <w:rsid w:val="009D7440"/>
    <w:rsid w:val="009E0906"/>
    <w:rsid w:val="009E2230"/>
    <w:rsid w:val="009E54D7"/>
    <w:rsid w:val="009E607A"/>
    <w:rsid w:val="00A05360"/>
    <w:rsid w:val="00A10D70"/>
    <w:rsid w:val="00A11AC7"/>
    <w:rsid w:val="00A26AC5"/>
    <w:rsid w:val="00A31EA3"/>
    <w:rsid w:val="00A37B79"/>
    <w:rsid w:val="00A40E7F"/>
    <w:rsid w:val="00A54016"/>
    <w:rsid w:val="00A543CD"/>
    <w:rsid w:val="00A578B6"/>
    <w:rsid w:val="00A6049F"/>
    <w:rsid w:val="00A608E5"/>
    <w:rsid w:val="00A64048"/>
    <w:rsid w:val="00A72097"/>
    <w:rsid w:val="00A73C99"/>
    <w:rsid w:val="00A761F9"/>
    <w:rsid w:val="00A77467"/>
    <w:rsid w:val="00A8363E"/>
    <w:rsid w:val="00A84619"/>
    <w:rsid w:val="00A856D4"/>
    <w:rsid w:val="00A90B28"/>
    <w:rsid w:val="00A96A27"/>
    <w:rsid w:val="00AA067F"/>
    <w:rsid w:val="00AA31BB"/>
    <w:rsid w:val="00AA3588"/>
    <w:rsid w:val="00AA4577"/>
    <w:rsid w:val="00AA6E04"/>
    <w:rsid w:val="00AB692E"/>
    <w:rsid w:val="00AC0707"/>
    <w:rsid w:val="00AC167B"/>
    <w:rsid w:val="00AC5E0B"/>
    <w:rsid w:val="00AC7928"/>
    <w:rsid w:val="00AD1E2F"/>
    <w:rsid w:val="00AD747D"/>
    <w:rsid w:val="00AE3689"/>
    <w:rsid w:val="00AE4BEF"/>
    <w:rsid w:val="00AE5841"/>
    <w:rsid w:val="00AE6028"/>
    <w:rsid w:val="00AE6031"/>
    <w:rsid w:val="00AE6EEE"/>
    <w:rsid w:val="00AF075F"/>
    <w:rsid w:val="00AF0A94"/>
    <w:rsid w:val="00B00370"/>
    <w:rsid w:val="00B07408"/>
    <w:rsid w:val="00B113B9"/>
    <w:rsid w:val="00B14498"/>
    <w:rsid w:val="00B205FB"/>
    <w:rsid w:val="00B24BB9"/>
    <w:rsid w:val="00B27EFA"/>
    <w:rsid w:val="00B31D72"/>
    <w:rsid w:val="00B33A27"/>
    <w:rsid w:val="00B40472"/>
    <w:rsid w:val="00B40704"/>
    <w:rsid w:val="00B47371"/>
    <w:rsid w:val="00B50D44"/>
    <w:rsid w:val="00B5709A"/>
    <w:rsid w:val="00B65842"/>
    <w:rsid w:val="00B72A27"/>
    <w:rsid w:val="00B80E2E"/>
    <w:rsid w:val="00B80FCB"/>
    <w:rsid w:val="00B833E9"/>
    <w:rsid w:val="00B925D5"/>
    <w:rsid w:val="00B93837"/>
    <w:rsid w:val="00B95BD8"/>
    <w:rsid w:val="00B96910"/>
    <w:rsid w:val="00BA15E8"/>
    <w:rsid w:val="00BB2921"/>
    <w:rsid w:val="00BB640E"/>
    <w:rsid w:val="00BC1E23"/>
    <w:rsid w:val="00BC2CA9"/>
    <w:rsid w:val="00BC5999"/>
    <w:rsid w:val="00BC6D4D"/>
    <w:rsid w:val="00BD0BBE"/>
    <w:rsid w:val="00BD1009"/>
    <w:rsid w:val="00BD1213"/>
    <w:rsid w:val="00BD44B3"/>
    <w:rsid w:val="00BD5AF9"/>
    <w:rsid w:val="00BE24F9"/>
    <w:rsid w:val="00BE4552"/>
    <w:rsid w:val="00BE6599"/>
    <w:rsid w:val="00BF1788"/>
    <w:rsid w:val="00BF78DE"/>
    <w:rsid w:val="00C07F6E"/>
    <w:rsid w:val="00C10728"/>
    <w:rsid w:val="00C10D04"/>
    <w:rsid w:val="00C150FF"/>
    <w:rsid w:val="00C200CF"/>
    <w:rsid w:val="00C2084F"/>
    <w:rsid w:val="00C21950"/>
    <w:rsid w:val="00C27464"/>
    <w:rsid w:val="00C3521D"/>
    <w:rsid w:val="00C352A2"/>
    <w:rsid w:val="00C433F5"/>
    <w:rsid w:val="00C45046"/>
    <w:rsid w:val="00C57B6C"/>
    <w:rsid w:val="00C61533"/>
    <w:rsid w:val="00C6196E"/>
    <w:rsid w:val="00C6660A"/>
    <w:rsid w:val="00C72AD5"/>
    <w:rsid w:val="00C73BF7"/>
    <w:rsid w:val="00C77220"/>
    <w:rsid w:val="00C773F2"/>
    <w:rsid w:val="00C82CD1"/>
    <w:rsid w:val="00C86881"/>
    <w:rsid w:val="00C9155B"/>
    <w:rsid w:val="00C9659E"/>
    <w:rsid w:val="00CA3E25"/>
    <w:rsid w:val="00CA62AC"/>
    <w:rsid w:val="00CB3054"/>
    <w:rsid w:val="00CB60A4"/>
    <w:rsid w:val="00CC2EC2"/>
    <w:rsid w:val="00CD0564"/>
    <w:rsid w:val="00CD1325"/>
    <w:rsid w:val="00CD32BD"/>
    <w:rsid w:val="00CD6805"/>
    <w:rsid w:val="00CE213C"/>
    <w:rsid w:val="00CE4448"/>
    <w:rsid w:val="00CE58AE"/>
    <w:rsid w:val="00CE5B66"/>
    <w:rsid w:val="00CF314B"/>
    <w:rsid w:val="00D019C0"/>
    <w:rsid w:val="00D06545"/>
    <w:rsid w:val="00D06F8B"/>
    <w:rsid w:val="00D06FC7"/>
    <w:rsid w:val="00D0799D"/>
    <w:rsid w:val="00D12CA2"/>
    <w:rsid w:val="00D30326"/>
    <w:rsid w:val="00D4005A"/>
    <w:rsid w:val="00D41CA2"/>
    <w:rsid w:val="00D42C9D"/>
    <w:rsid w:val="00D431FA"/>
    <w:rsid w:val="00D43A58"/>
    <w:rsid w:val="00D43DE6"/>
    <w:rsid w:val="00D47951"/>
    <w:rsid w:val="00D47F11"/>
    <w:rsid w:val="00D542A5"/>
    <w:rsid w:val="00D61242"/>
    <w:rsid w:val="00D619A0"/>
    <w:rsid w:val="00D61C0A"/>
    <w:rsid w:val="00D61CA4"/>
    <w:rsid w:val="00D62105"/>
    <w:rsid w:val="00D6254E"/>
    <w:rsid w:val="00D62580"/>
    <w:rsid w:val="00D62A60"/>
    <w:rsid w:val="00D638C1"/>
    <w:rsid w:val="00D74C13"/>
    <w:rsid w:val="00D8077C"/>
    <w:rsid w:val="00D821CB"/>
    <w:rsid w:val="00D82D50"/>
    <w:rsid w:val="00D94F55"/>
    <w:rsid w:val="00D9726A"/>
    <w:rsid w:val="00DA5170"/>
    <w:rsid w:val="00DA7A2E"/>
    <w:rsid w:val="00DB0FBB"/>
    <w:rsid w:val="00DC4723"/>
    <w:rsid w:val="00DD54A4"/>
    <w:rsid w:val="00DD649D"/>
    <w:rsid w:val="00DE1F4C"/>
    <w:rsid w:val="00DE55AC"/>
    <w:rsid w:val="00DE6A39"/>
    <w:rsid w:val="00E048CD"/>
    <w:rsid w:val="00E10A42"/>
    <w:rsid w:val="00E13699"/>
    <w:rsid w:val="00E14EAD"/>
    <w:rsid w:val="00E15038"/>
    <w:rsid w:val="00E21130"/>
    <w:rsid w:val="00E26AA7"/>
    <w:rsid w:val="00E26EED"/>
    <w:rsid w:val="00E35D97"/>
    <w:rsid w:val="00E468B9"/>
    <w:rsid w:val="00E50CD9"/>
    <w:rsid w:val="00E51B92"/>
    <w:rsid w:val="00E56D67"/>
    <w:rsid w:val="00E57475"/>
    <w:rsid w:val="00E6027E"/>
    <w:rsid w:val="00E60D32"/>
    <w:rsid w:val="00E66902"/>
    <w:rsid w:val="00E73F07"/>
    <w:rsid w:val="00E74D4F"/>
    <w:rsid w:val="00E754B1"/>
    <w:rsid w:val="00E81CDE"/>
    <w:rsid w:val="00E86B04"/>
    <w:rsid w:val="00E95091"/>
    <w:rsid w:val="00E957DD"/>
    <w:rsid w:val="00EA3EAD"/>
    <w:rsid w:val="00EA5769"/>
    <w:rsid w:val="00EA5B53"/>
    <w:rsid w:val="00EA78BC"/>
    <w:rsid w:val="00EB1FC1"/>
    <w:rsid w:val="00EB6B4B"/>
    <w:rsid w:val="00EC346B"/>
    <w:rsid w:val="00ED3CA2"/>
    <w:rsid w:val="00EE29D7"/>
    <w:rsid w:val="00EE5CCB"/>
    <w:rsid w:val="00EF3F80"/>
    <w:rsid w:val="00EF4340"/>
    <w:rsid w:val="00EF5F50"/>
    <w:rsid w:val="00F03765"/>
    <w:rsid w:val="00F071D2"/>
    <w:rsid w:val="00F13BBB"/>
    <w:rsid w:val="00F2147A"/>
    <w:rsid w:val="00F23357"/>
    <w:rsid w:val="00F24290"/>
    <w:rsid w:val="00F24AA8"/>
    <w:rsid w:val="00F26588"/>
    <w:rsid w:val="00F27C8A"/>
    <w:rsid w:val="00F30B03"/>
    <w:rsid w:val="00F31ABB"/>
    <w:rsid w:val="00F343D7"/>
    <w:rsid w:val="00F354EC"/>
    <w:rsid w:val="00F40324"/>
    <w:rsid w:val="00F47B9B"/>
    <w:rsid w:val="00F53B4A"/>
    <w:rsid w:val="00F573C4"/>
    <w:rsid w:val="00F61894"/>
    <w:rsid w:val="00F6775D"/>
    <w:rsid w:val="00F67D8A"/>
    <w:rsid w:val="00F67DE8"/>
    <w:rsid w:val="00F70929"/>
    <w:rsid w:val="00F7297C"/>
    <w:rsid w:val="00F768C8"/>
    <w:rsid w:val="00F771A4"/>
    <w:rsid w:val="00F83686"/>
    <w:rsid w:val="00F84A49"/>
    <w:rsid w:val="00F87037"/>
    <w:rsid w:val="00F928FE"/>
    <w:rsid w:val="00FA19B6"/>
    <w:rsid w:val="00FA393D"/>
    <w:rsid w:val="00FA5811"/>
    <w:rsid w:val="00FA78DE"/>
    <w:rsid w:val="00FA7F8A"/>
    <w:rsid w:val="00FC13E0"/>
    <w:rsid w:val="00FC6E7F"/>
    <w:rsid w:val="00FD2144"/>
    <w:rsid w:val="00FD7671"/>
    <w:rsid w:val="00FE07A9"/>
    <w:rsid w:val="00FE3B16"/>
    <w:rsid w:val="00FF157C"/>
    <w:rsid w:val="00FF3731"/>
    <w:rsid w:val="00FF3B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E6E8DF"/>
  <w14:defaultImageDpi w14:val="32767"/>
  <w15:docId w15:val="{26B0F8AB-1CAF-DD44-A1DB-12FFBE69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59E"/>
    <w:pPr>
      <w:widowControl w:val="0"/>
      <w:autoSpaceDE w:val="0"/>
      <w:autoSpaceDN w:val="0"/>
      <w:adjustRightInd w:val="0"/>
      <w:spacing w:line="480" w:lineRule="auto"/>
      <w:jc w:val="both"/>
    </w:pPr>
    <w:rPr>
      <w:rFonts w:ascii="Times New Roman" w:hAnsi="Times New Roman" w:cs="Arial"/>
    </w:rPr>
  </w:style>
  <w:style w:type="paragraph" w:styleId="Heading1">
    <w:name w:val="heading 1"/>
    <w:basedOn w:val="Normal"/>
    <w:next w:val="Normal"/>
    <w:link w:val="Heading1Char"/>
    <w:uiPriority w:val="9"/>
    <w:qFormat/>
    <w:rsid w:val="006C499B"/>
    <w:pPr>
      <w:keepNext/>
      <w:keepLines/>
      <w:pBdr>
        <w:bottom w:val="single" w:sz="6" w:space="1" w:color="auto"/>
      </w:pBdr>
      <w:spacing w:before="240"/>
      <w:outlineLvl w:val="0"/>
    </w:pPr>
    <w:rPr>
      <w:rFonts w:eastAsiaTheme="majorEastAsia"/>
      <w:color w:val="C00000"/>
      <w:sz w:val="32"/>
      <w:szCs w:val="32"/>
    </w:rPr>
  </w:style>
  <w:style w:type="paragraph" w:styleId="Heading2">
    <w:name w:val="heading 2"/>
    <w:basedOn w:val="Normal"/>
    <w:next w:val="Normal"/>
    <w:link w:val="Heading2Char"/>
    <w:uiPriority w:val="9"/>
    <w:unhideWhenUsed/>
    <w:qFormat/>
    <w:rsid w:val="005344E9"/>
    <w:pPr>
      <w:spacing w:before="240" w:after="120"/>
      <w:outlineLvl w:val="1"/>
    </w:pPr>
    <w:rPr>
      <w:b/>
      <w:sz w:val="28"/>
      <w:szCs w:val="28"/>
    </w:rPr>
  </w:style>
  <w:style w:type="paragraph" w:styleId="Heading3">
    <w:name w:val="heading 3"/>
    <w:basedOn w:val="Heading2"/>
    <w:next w:val="Normal"/>
    <w:link w:val="Heading3Char"/>
    <w:uiPriority w:val="9"/>
    <w:unhideWhenUsed/>
    <w:qFormat/>
    <w:rsid w:val="00654296"/>
    <w:pPr>
      <w:keepNext/>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99B"/>
    <w:rPr>
      <w:rFonts w:ascii="Arial" w:eastAsiaTheme="majorEastAsia" w:hAnsi="Arial" w:cs="Arial"/>
      <w:color w:val="C00000"/>
      <w:sz w:val="32"/>
      <w:szCs w:val="32"/>
    </w:rPr>
  </w:style>
  <w:style w:type="paragraph" w:styleId="DocumentMap">
    <w:name w:val="Document Map"/>
    <w:basedOn w:val="Normal"/>
    <w:link w:val="DocumentMapChar"/>
    <w:uiPriority w:val="99"/>
    <w:semiHidden/>
    <w:unhideWhenUsed/>
    <w:rsid w:val="00B7741B"/>
    <w:rPr>
      <w:rFonts w:cs="Times New Roman"/>
    </w:rPr>
  </w:style>
  <w:style w:type="character" w:customStyle="1" w:styleId="DocumentMapChar">
    <w:name w:val="Document Map Char"/>
    <w:basedOn w:val="DefaultParagraphFont"/>
    <w:link w:val="DocumentMap"/>
    <w:uiPriority w:val="99"/>
    <w:semiHidden/>
    <w:rsid w:val="00B7741B"/>
    <w:rPr>
      <w:rFonts w:ascii="Times New Roman" w:hAnsi="Times New Roman" w:cs="Times New Roman"/>
    </w:rPr>
  </w:style>
  <w:style w:type="paragraph" w:styleId="Title">
    <w:name w:val="Title"/>
    <w:basedOn w:val="Normal"/>
    <w:next w:val="Normal"/>
    <w:link w:val="TitleChar"/>
    <w:uiPriority w:val="10"/>
    <w:qFormat/>
    <w:rsid w:val="00B7741B"/>
    <w:pPr>
      <w:spacing w:after="100" w:afterAutospacing="1"/>
      <w:contextualSpacing/>
    </w:pPr>
    <w:rPr>
      <w:rFonts w:eastAsiaTheme="majorEastAsia"/>
      <w:spacing w:val="-10"/>
      <w:kern w:val="28"/>
      <w:sz w:val="36"/>
      <w:szCs w:val="36"/>
    </w:rPr>
  </w:style>
  <w:style w:type="character" w:customStyle="1" w:styleId="TitleChar">
    <w:name w:val="Title Char"/>
    <w:basedOn w:val="DefaultParagraphFont"/>
    <w:link w:val="Title"/>
    <w:uiPriority w:val="10"/>
    <w:rsid w:val="00B7741B"/>
    <w:rPr>
      <w:rFonts w:ascii="Arial" w:eastAsiaTheme="majorEastAsia" w:hAnsi="Arial" w:cs="Arial"/>
      <w:spacing w:val="-10"/>
      <w:kern w:val="28"/>
      <w:sz w:val="36"/>
      <w:szCs w:val="36"/>
    </w:rPr>
  </w:style>
  <w:style w:type="character" w:customStyle="1" w:styleId="Heading2Char">
    <w:name w:val="Heading 2 Char"/>
    <w:basedOn w:val="DefaultParagraphFont"/>
    <w:link w:val="Heading2"/>
    <w:uiPriority w:val="9"/>
    <w:rsid w:val="005344E9"/>
    <w:rPr>
      <w:rFonts w:ascii="Times New Roman" w:hAnsi="Times New Roman" w:cs="Arial"/>
      <w:b/>
      <w:sz w:val="28"/>
      <w:szCs w:val="28"/>
    </w:rPr>
  </w:style>
  <w:style w:type="paragraph" w:styleId="Subtitle">
    <w:name w:val="Subtitle"/>
    <w:basedOn w:val="Normal"/>
    <w:next w:val="Normal"/>
    <w:link w:val="SubtitleChar"/>
    <w:uiPriority w:val="11"/>
    <w:qFormat/>
    <w:rsid w:val="00B7741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B7741B"/>
    <w:rPr>
      <w:rFonts w:eastAsiaTheme="minorEastAsia"/>
      <w:color w:val="5A5A5A" w:themeColor="text1" w:themeTint="A5"/>
      <w:spacing w:val="15"/>
      <w:sz w:val="22"/>
      <w:szCs w:val="22"/>
    </w:rPr>
  </w:style>
  <w:style w:type="paragraph" w:styleId="Header">
    <w:name w:val="header"/>
    <w:basedOn w:val="Normal"/>
    <w:link w:val="HeaderChar"/>
    <w:uiPriority w:val="99"/>
    <w:unhideWhenUsed/>
    <w:rsid w:val="008D35AE"/>
    <w:pPr>
      <w:tabs>
        <w:tab w:val="center" w:pos="4513"/>
        <w:tab w:val="right" w:pos="9026"/>
      </w:tabs>
      <w:spacing w:line="240" w:lineRule="auto"/>
    </w:pPr>
  </w:style>
  <w:style w:type="character" w:customStyle="1" w:styleId="HeaderChar">
    <w:name w:val="Header Char"/>
    <w:basedOn w:val="DefaultParagraphFont"/>
    <w:link w:val="Header"/>
    <w:uiPriority w:val="99"/>
    <w:rsid w:val="008D35AE"/>
    <w:rPr>
      <w:rFonts w:ascii="Arial" w:hAnsi="Arial" w:cs="Arial"/>
    </w:rPr>
  </w:style>
  <w:style w:type="paragraph" w:styleId="Footer">
    <w:name w:val="footer"/>
    <w:basedOn w:val="Normal"/>
    <w:link w:val="FooterChar"/>
    <w:uiPriority w:val="99"/>
    <w:unhideWhenUsed/>
    <w:rsid w:val="00F32979"/>
    <w:pPr>
      <w:tabs>
        <w:tab w:val="center" w:pos="4513"/>
        <w:tab w:val="right" w:pos="9026"/>
      </w:tabs>
    </w:pPr>
    <w:rPr>
      <w:color w:val="7F7F7F" w:themeColor="text1" w:themeTint="80"/>
      <w:sz w:val="20"/>
      <w:szCs w:val="20"/>
    </w:rPr>
  </w:style>
  <w:style w:type="character" w:customStyle="1" w:styleId="FooterChar">
    <w:name w:val="Footer Char"/>
    <w:basedOn w:val="DefaultParagraphFont"/>
    <w:link w:val="Footer"/>
    <w:uiPriority w:val="99"/>
    <w:rsid w:val="00F32979"/>
    <w:rPr>
      <w:rFonts w:ascii="Arial" w:hAnsi="Arial" w:cs="Arial"/>
      <w:color w:val="7F7F7F" w:themeColor="text1" w:themeTint="80"/>
      <w:sz w:val="20"/>
      <w:szCs w:val="20"/>
    </w:rPr>
  </w:style>
  <w:style w:type="character" w:styleId="CommentReference">
    <w:name w:val="annotation reference"/>
    <w:basedOn w:val="DefaultParagraphFont"/>
    <w:uiPriority w:val="99"/>
    <w:semiHidden/>
    <w:unhideWhenUsed/>
    <w:rsid w:val="004468BC"/>
    <w:rPr>
      <w:sz w:val="18"/>
      <w:szCs w:val="18"/>
    </w:rPr>
  </w:style>
  <w:style w:type="paragraph" w:styleId="CommentText">
    <w:name w:val="annotation text"/>
    <w:basedOn w:val="Normal"/>
    <w:link w:val="CommentTextChar"/>
    <w:uiPriority w:val="99"/>
    <w:unhideWhenUsed/>
    <w:rsid w:val="004468BC"/>
    <w:pPr>
      <w:spacing w:line="240" w:lineRule="auto"/>
    </w:pPr>
  </w:style>
  <w:style w:type="character" w:customStyle="1" w:styleId="CommentTextChar">
    <w:name w:val="Comment Text Char"/>
    <w:basedOn w:val="DefaultParagraphFont"/>
    <w:link w:val="CommentText"/>
    <w:uiPriority w:val="99"/>
    <w:rsid w:val="004468BC"/>
    <w:rPr>
      <w:rFonts w:ascii="Arial" w:hAnsi="Arial" w:cs="Arial"/>
    </w:rPr>
  </w:style>
  <w:style w:type="paragraph" w:styleId="CommentSubject">
    <w:name w:val="annotation subject"/>
    <w:basedOn w:val="CommentText"/>
    <w:next w:val="CommentText"/>
    <w:link w:val="CommentSubjectChar"/>
    <w:uiPriority w:val="99"/>
    <w:semiHidden/>
    <w:unhideWhenUsed/>
    <w:rsid w:val="004468BC"/>
    <w:rPr>
      <w:b/>
      <w:bCs/>
      <w:sz w:val="20"/>
      <w:szCs w:val="20"/>
    </w:rPr>
  </w:style>
  <w:style w:type="character" w:customStyle="1" w:styleId="CommentSubjectChar">
    <w:name w:val="Comment Subject Char"/>
    <w:basedOn w:val="CommentTextChar"/>
    <w:link w:val="CommentSubject"/>
    <w:uiPriority w:val="99"/>
    <w:semiHidden/>
    <w:rsid w:val="004468BC"/>
    <w:rPr>
      <w:rFonts w:ascii="Arial" w:hAnsi="Arial" w:cs="Arial"/>
      <w:b/>
      <w:bCs/>
      <w:sz w:val="20"/>
      <w:szCs w:val="20"/>
    </w:rPr>
  </w:style>
  <w:style w:type="paragraph" w:styleId="BalloonText">
    <w:name w:val="Balloon Text"/>
    <w:basedOn w:val="Normal"/>
    <w:link w:val="BalloonTextChar"/>
    <w:uiPriority w:val="99"/>
    <w:semiHidden/>
    <w:unhideWhenUsed/>
    <w:rsid w:val="004468BC"/>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4468BC"/>
    <w:rPr>
      <w:rFonts w:ascii="Times New Roman" w:hAnsi="Times New Roman" w:cs="Times New Roman"/>
      <w:sz w:val="18"/>
      <w:szCs w:val="18"/>
    </w:rPr>
  </w:style>
  <w:style w:type="paragraph" w:customStyle="1" w:styleId="Body">
    <w:name w:val="Body"/>
    <w:rsid w:val="00DA12E4"/>
    <w:pPr>
      <w:pBdr>
        <w:top w:val="nil"/>
        <w:left w:val="nil"/>
        <w:bottom w:val="nil"/>
        <w:right w:val="nil"/>
        <w:between w:val="nil"/>
        <w:bar w:val="nil"/>
      </w:pBdr>
      <w:spacing w:after="120"/>
    </w:pPr>
    <w:rPr>
      <w:rFonts w:ascii="Times New Roman" w:eastAsia="Arial Unicode MS" w:hAnsi="Times New Roman" w:cs="Arial Unicode MS"/>
      <w:color w:val="000000"/>
      <w:sz w:val="20"/>
      <w:szCs w:val="20"/>
      <w:bdr w:val="nil"/>
      <w:lang w:val="en-US"/>
    </w:rPr>
  </w:style>
  <w:style w:type="paragraph" w:customStyle="1" w:styleId="TableStyle1">
    <w:name w:val="Table Style 1"/>
    <w:basedOn w:val="Normal"/>
    <w:rsid w:val="00304391"/>
    <w:pPr>
      <w:spacing w:line="240" w:lineRule="auto"/>
      <w:jc w:val="left"/>
    </w:pPr>
    <w:rPr>
      <w:sz w:val="20"/>
      <w:szCs w:val="20"/>
    </w:rPr>
  </w:style>
  <w:style w:type="paragraph" w:customStyle="1" w:styleId="TableStyle2">
    <w:name w:val="Table Style 2"/>
    <w:basedOn w:val="Normal"/>
    <w:rsid w:val="004E1E81"/>
    <w:pPr>
      <w:spacing w:line="240" w:lineRule="auto"/>
      <w:jc w:val="center"/>
    </w:pPr>
    <w:rPr>
      <w:sz w:val="20"/>
      <w:szCs w:val="20"/>
    </w:rPr>
  </w:style>
  <w:style w:type="character" w:customStyle="1" w:styleId="Heading3Char">
    <w:name w:val="Heading 3 Char"/>
    <w:basedOn w:val="DefaultParagraphFont"/>
    <w:link w:val="Heading3"/>
    <w:uiPriority w:val="9"/>
    <w:rsid w:val="00654296"/>
    <w:rPr>
      <w:rFonts w:ascii="Charter Roman" w:hAnsi="Charter Roman" w:cs="Arial"/>
      <w:b/>
    </w:rPr>
  </w:style>
  <w:style w:type="table" w:styleId="TableGrid">
    <w:name w:val="Table Grid"/>
    <w:basedOn w:val="TableNormal"/>
    <w:uiPriority w:val="39"/>
    <w:rsid w:val="00AC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BD233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BD233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1">
    <w:name w:val="Grid Table 31"/>
    <w:basedOn w:val="TableNormal"/>
    <w:uiPriority w:val="48"/>
    <w:rsid w:val="006A5E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31">
    <w:name w:val="Grid Table 3 - Accent 31"/>
    <w:basedOn w:val="TableNormal"/>
    <w:uiPriority w:val="48"/>
    <w:rsid w:val="006A5ED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Caption">
    <w:name w:val="caption"/>
    <w:basedOn w:val="Normal"/>
    <w:next w:val="Normal"/>
    <w:uiPriority w:val="35"/>
    <w:unhideWhenUsed/>
    <w:qFormat/>
    <w:rsid w:val="000A661A"/>
    <w:pPr>
      <w:spacing w:after="200" w:line="240" w:lineRule="auto"/>
    </w:pPr>
    <w:rPr>
      <w:i/>
      <w:iCs/>
      <w:color w:val="44546A" w:themeColor="text2"/>
      <w:sz w:val="20"/>
      <w:szCs w:val="18"/>
    </w:rPr>
  </w:style>
  <w:style w:type="table" w:customStyle="1" w:styleId="GridTable2-Accent31">
    <w:name w:val="Grid Table 2 - Accent 31"/>
    <w:basedOn w:val="TableNormal"/>
    <w:uiPriority w:val="47"/>
    <w:rsid w:val="00FF5B0F"/>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1">
    <w:name w:val="Grid Table 4 - Accent 31"/>
    <w:basedOn w:val="TableNormal"/>
    <w:uiPriority w:val="49"/>
    <w:rsid w:val="00BF7F2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11">
    <w:name w:val="Plain Table 11"/>
    <w:basedOn w:val="TableNormal"/>
    <w:uiPriority w:val="41"/>
    <w:rsid w:val="0051169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30580"/>
    <w:pPr>
      <w:ind w:left="720"/>
      <w:contextualSpacing/>
    </w:pPr>
  </w:style>
  <w:style w:type="character" w:styleId="Hyperlink">
    <w:name w:val="Hyperlink"/>
    <w:basedOn w:val="DefaultParagraphFont"/>
    <w:uiPriority w:val="99"/>
    <w:unhideWhenUsed/>
    <w:rsid w:val="001A0561"/>
    <w:rPr>
      <w:color w:val="0563C1" w:themeColor="hyperlink"/>
      <w:u w:val="single"/>
    </w:rPr>
  </w:style>
  <w:style w:type="paragraph" w:styleId="Revision">
    <w:name w:val="Revision"/>
    <w:hidden/>
    <w:uiPriority w:val="99"/>
    <w:semiHidden/>
    <w:rsid w:val="004A38A5"/>
    <w:rPr>
      <w:rFonts w:ascii="Charter Roman" w:hAnsi="Charter Roman" w:cs="Arial"/>
    </w:rPr>
  </w:style>
  <w:style w:type="character" w:styleId="Strong">
    <w:name w:val="Strong"/>
    <w:basedOn w:val="DefaultParagraphFont"/>
    <w:uiPriority w:val="22"/>
    <w:qFormat/>
    <w:rsid w:val="00532893"/>
    <w:rPr>
      <w:b/>
      <w:bCs/>
    </w:rPr>
  </w:style>
  <w:style w:type="character" w:styleId="PageNumber">
    <w:name w:val="page number"/>
    <w:basedOn w:val="DefaultParagraphFont"/>
    <w:uiPriority w:val="99"/>
    <w:semiHidden/>
    <w:unhideWhenUsed/>
    <w:rsid w:val="00C9659E"/>
    <w:rPr>
      <w:rFonts w:ascii="Times New Roman" w:hAnsi="Times New Roman"/>
      <w:sz w:val="24"/>
    </w:rPr>
  </w:style>
  <w:style w:type="paragraph" w:styleId="NoSpacing">
    <w:name w:val="No Spacing"/>
    <w:uiPriority w:val="1"/>
    <w:qFormat/>
    <w:rsid w:val="007D484D"/>
    <w:pPr>
      <w:widowControl w:val="0"/>
      <w:autoSpaceDE w:val="0"/>
      <w:autoSpaceDN w:val="0"/>
      <w:adjustRightInd w:val="0"/>
      <w:jc w:val="both"/>
    </w:pPr>
    <w:rPr>
      <w:rFonts w:ascii="Times New Roman" w:hAnsi="Times New Roman" w:cs="Arial"/>
    </w:rPr>
  </w:style>
  <w:style w:type="paragraph" w:styleId="NormalWeb">
    <w:name w:val="Normal (Web)"/>
    <w:basedOn w:val="Normal"/>
    <w:link w:val="NormalWebChar"/>
    <w:uiPriority w:val="99"/>
    <w:rsid w:val="00782124"/>
    <w:pPr>
      <w:widowControl/>
      <w:numPr>
        <w:ilvl w:val="1"/>
      </w:numPr>
      <w:autoSpaceDE/>
      <w:autoSpaceDN/>
      <w:adjustRightInd/>
      <w:spacing w:beforeLines="1" w:before="160" w:afterLines="1" w:after="100"/>
      <w:jc w:val="left"/>
    </w:pPr>
    <w:rPr>
      <w:rFonts w:ascii="Times" w:eastAsia="Cambria" w:hAnsi="Times" w:cs="Times New Roman"/>
      <w:bCs/>
      <w:color w:val="000000"/>
      <w:sz w:val="20"/>
      <w:szCs w:val="20"/>
      <w:lang w:val="de-DE" w:eastAsia="de-DE"/>
    </w:rPr>
  </w:style>
  <w:style w:type="character" w:customStyle="1" w:styleId="NormalWebChar">
    <w:name w:val="Normal (Web) Char"/>
    <w:basedOn w:val="DefaultParagraphFont"/>
    <w:link w:val="NormalWeb"/>
    <w:uiPriority w:val="99"/>
    <w:rsid w:val="00782124"/>
    <w:rPr>
      <w:rFonts w:ascii="Times" w:eastAsia="Cambria" w:hAnsi="Times" w:cs="Times New Roman"/>
      <w:bCs/>
      <w:color w:val="000000"/>
      <w:sz w:val="20"/>
      <w:szCs w:val="20"/>
      <w:lang w:val="de-DE" w:eastAsia="de-DE"/>
    </w:rPr>
  </w:style>
  <w:style w:type="character" w:customStyle="1" w:styleId="apple-converted-space">
    <w:name w:val="apple-converted-space"/>
    <w:basedOn w:val="DefaultParagraphFont"/>
    <w:rsid w:val="00FA5811"/>
  </w:style>
  <w:style w:type="character" w:styleId="PlaceholderText">
    <w:name w:val="Placeholder Text"/>
    <w:basedOn w:val="DefaultParagraphFont"/>
    <w:uiPriority w:val="99"/>
    <w:semiHidden/>
    <w:rsid w:val="00230132"/>
    <w:rPr>
      <w:color w:val="808080"/>
    </w:rPr>
  </w:style>
  <w:style w:type="character" w:styleId="LineNumber">
    <w:name w:val="line number"/>
    <w:basedOn w:val="DefaultParagraphFont"/>
    <w:uiPriority w:val="99"/>
    <w:semiHidden/>
    <w:unhideWhenUsed/>
    <w:rsid w:val="004F1B1F"/>
  </w:style>
  <w:style w:type="character" w:styleId="UnresolvedMention">
    <w:name w:val="Unresolved Mention"/>
    <w:basedOn w:val="DefaultParagraphFont"/>
    <w:uiPriority w:val="99"/>
    <w:semiHidden/>
    <w:unhideWhenUsed/>
    <w:rsid w:val="00132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1819">
      <w:bodyDiv w:val="1"/>
      <w:marLeft w:val="0"/>
      <w:marRight w:val="0"/>
      <w:marTop w:val="0"/>
      <w:marBottom w:val="0"/>
      <w:divBdr>
        <w:top w:val="none" w:sz="0" w:space="0" w:color="auto"/>
        <w:left w:val="none" w:sz="0" w:space="0" w:color="auto"/>
        <w:bottom w:val="none" w:sz="0" w:space="0" w:color="auto"/>
        <w:right w:val="none" w:sz="0" w:space="0" w:color="auto"/>
      </w:divBdr>
    </w:div>
    <w:div w:id="35087735">
      <w:bodyDiv w:val="1"/>
      <w:marLeft w:val="0"/>
      <w:marRight w:val="0"/>
      <w:marTop w:val="0"/>
      <w:marBottom w:val="0"/>
      <w:divBdr>
        <w:top w:val="none" w:sz="0" w:space="0" w:color="auto"/>
        <w:left w:val="none" w:sz="0" w:space="0" w:color="auto"/>
        <w:bottom w:val="none" w:sz="0" w:space="0" w:color="auto"/>
        <w:right w:val="none" w:sz="0" w:space="0" w:color="auto"/>
      </w:divBdr>
    </w:div>
    <w:div w:id="198125017">
      <w:bodyDiv w:val="1"/>
      <w:marLeft w:val="0"/>
      <w:marRight w:val="0"/>
      <w:marTop w:val="0"/>
      <w:marBottom w:val="0"/>
      <w:divBdr>
        <w:top w:val="none" w:sz="0" w:space="0" w:color="auto"/>
        <w:left w:val="none" w:sz="0" w:space="0" w:color="auto"/>
        <w:bottom w:val="none" w:sz="0" w:space="0" w:color="auto"/>
        <w:right w:val="none" w:sz="0" w:space="0" w:color="auto"/>
      </w:divBdr>
    </w:div>
    <w:div w:id="253324124">
      <w:bodyDiv w:val="1"/>
      <w:marLeft w:val="0"/>
      <w:marRight w:val="0"/>
      <w:marTop w:val="0"/>
      <w:marBottom w:val="0"/>
      <w:divBdr>
        <w:top w:val="none" w:sz="0" w:space="0" w:color="auto"/>
        <w:left w:val="none" w:sz="0" w:space="0" w:color="auto"/>
        <w:bottom w:val="none" w:sz="0" w:space="0" w:color="auto"/>
        <w:right w:val="none" w:sz="0" w:space="0" w:color="auto"/>
      </w:divBdr>
    </w:div>
    <w:div w:id="416708326">
      <w:bodyDiv w:val="1"/>
      <w:marLeft w:val="0"/>
      <w:marRight w:val="0"/>
      <w:marTop w:val="0"/>
      <w:marBottom w:val="0"/>
      <w:divBdr>
        <w:top w:val="none" w:sz="0" w:space="0" w:color="auto"/>
        <w:left w:val="none" w:sz="0" w:space="0" w:color="auto"/>
        <w:bottom w:val="none" w:sz="0" w:space="0" w:color="auto"/>
        <w:right w:val="none" w:sz="0" w:space="0" w:color="auto"/>
      </w:divBdr>
    </w:div>
    <w:div w:id="418601608">
      <w:bodyDiv w:val="1"/>
      <w:marLeft w:val="0"/>
      <w:marRight w:val="0"/>
      <w:marTop w:val="0"/>
      <w:marBottom w:val="0"/>
      <w:divBdr>
        <w:top w:val="none" w:sz="0" w:space="0" w:color="auto"/>
        <w:left w:val="none" w:sz="0" w:space="0" w:color="auto"/>
        <w:bottom w:val="none" w:sz="0" w:space="0" w:color="auto"/>
        <w:right w:val="none" w:sz="0" w:space="0" w:color="auto"/>
      </w:divBdr>
    </w:div>
    <w:div w:id="450704271">
      <w:bodyDiv w:val="1"/>
      <w:marLeft w:val="0"/>
      <w:marRight w:val="0"/>
      <w:marTop w:val="0"/>
      <w:marBottom w:val="0"/>
      <w:divBdr>
        <w:top w:val="none" w:sz="0" w:space="0" w:color="auto"/>
        <w:left w:val="none" w:sz="0" w:space="0" w:color="auto"/>
        <w:bottom w:val="none" w:sz="0" w:space="0" w:color="auto"/>
        <w:right w:val="none" w:sz="0" w:space="0" w:color="auto"/>
      </w:divBdr>
    </w:div>
    <w:div w:id="470832669">
      <w:bodyDiv w:val="1"/>
      <w:marLeft w:val="0"/>
      <w:marRight w:val="0"/>
      <w:marTop w:val="0"/>
      <w:marBottom w:val="0"/>
      <w:divBdr>
        <w:top w:val="none" w:sz="0" w:space="0" w:color="auto"/>
        <w:left w:val="none" w:sz="0" w:space="0" w:color="auto"/>
        <w:bottom w:val="none" w:sz="0" w:space="0" w:color="auto"/>
        <w:right w:val="none" w:sz="0" w:space="0" w:color="auto"/>
      </w:divBdr>
    </w:div>
    <w:div w:id="497576746">
      <w:bodyDiv w:val="1"/>
      <w:marLeft w:val="0"/>
      <w:marRight w:val="0"/>
      <w:marTop w:val="0"/>
      <w:marBottom w:val="0"/>
      <w:divBdr>
        <w:top w:val="none" w:sz="0" w:space="0" w:color="auto"/>
        <w:left w:val="none" w:sz="0" w:space="0" w:color="auto"/>
        <w:bottom w:val="none" w:sz="0" w:space="0" w:color="auto"/>
        <w:right w:val="none" w:sz="0" w:space="0" w:color="auto"/>
      </w:divBdr>
    </w:div>
    <w:div w:id="596135793">
      <w:bodyDiv w:val="1"/>
      <w:marLeft w:val="0"/>
      <w:marRight w:val="0"/>
      <w:marTop w:val="0"/>
      <w:marBottom w:val="0"/>
      <w:divBdr>
        <w:top w:val="none" w:sz="0" w:space="0" w:color="auto"/>
        <w:left w:val="none" w:sz="0" w:space="0" w:color="auto"/>
        <w:bottom w:val="none" w:sz="0" w:space="0" w:color="auto"/>
        <w:right w:val="none" w:sz="0" w:space="0" w:color="auto"/>
      </w:divBdr>
    </w:div>
    <w:div w:id="657608917">
      <w:bodyDiv w:val="1"/>
      <w:marLeft w:val="0"/>
      <w:marRight w:val="0"/>
      <w:marTop w:val="0"/>
      <w:marBottom w:val="0"/>
      <w:divBdr>
        <w:top w:val="none" w:sz="0" w:space="0" w:color="auto"/>
        <w:left w:val="none" w:sz="0" w:space="0" w:color="auto"/>
        <w:bottom w:val="none" w:sz="0" w:space="0" w:color="auto"/>
        <w:right w:val="none" w:sz="0" w:space="0" w:color="auto"/>
      </w:divBdr>
    </w:div>
    <w:div w:id="666439247">
      <w:bodyDiv w:val="1"/>
      <w:marLeft w:val="0"/>
      <w:marRight w:val="0"/>
      <w:marTop w:val="0"/>
      <w:marBottom w:val="0"/>
      <w:divBdr>
        <w:top w:val="none" w:sz="0" w:space="0" w:color="auto"/>
        <w:left w:val="none" w:sz="0" w:space="0" w:color="auto"/>
        <w:bottom w:val="none" w:sz="0" w:space="0" w:color="auto"/>
        <w:right w:val="none" w:sz="0" w:space="0" w:color="auto"/>
      </w:divBdr>
    </w:div>
    <w:div w:id="721249889">
      <w:bodyDiv w:val="1"/>
      <w:marLeft w:val="0"/>
      <w:marRight w:val="0"/>
      <w:marTop w:val="0"/>
      <w:marBottom w:val="0"/>
      <w:divBdr>
        <w:top w:val="none" w:sz="0" w:space="0" w:color="auto"/>
        <w:left w:val="none" w:sz="0" w:space="0" w:color="auto"/>
        <w:bottom w:val="none" w:sz="0" w:space="0" w:color="auto"/>
        <w:right w:val="none" w:sz="0" w:space="0" w:color="auto"/>
      </w:divBdr>
    </w:div>
    <w:div w:id="767308865">
      <w:bodyDiv w:val="1"/>
      <w:marLeft w:val="0"/>
      <w:marRight w:val="0"/>
      <w:marTop w:val="0"/>
      <w:marBottom w:val="0"/>
      <w:divBdr>
        <w:top w:val="none" w:sz="0" w:space="0" w:color="auto"/>
        <w:left w:val="none" w:sz="0" w:space="0" w:color="auto"/>
        <w:bottom w:val="none" w:sz="0" w:space="0" w:color="auto"/>
        <w:right w:val="none" w:sz="0" w:space="0" w:color="auto"/>
      </w:divBdr>
    </w:div>
    <w:div w:id="799540864">
      <w:bodyDiv w:val="1"/>
      <w:marLeft w:val="0"/>
      <w:marRight w:val="0"/>
      <w:marTop w:val="0"/>
      <w:marBottom w:val="0"/>
      <w:divBdr>
        <w:top w:val="none" w:sz="0" w:space="0" w:color="auto"/>
        <w:left w:val="none" w:sz="0" w:space="0" w:color="auto"/>
        <w:bottom w:val="none" w:sz="0" w:space="0" w:color="auto"/>
        <w:right w:val="none" w:sz="0" w:space="0" w:color="auto"/>
      </w:divBdr>
    </w:div>
    <w:div w:id="802115691">
      <w:bodyDiv w:val="1"/>
      <w:marLeft w:val="0"/>
      <w:marRight w:val="0"/>
      <w:marTop w:val="0"/>
      <w:marBottom w:val="0"/>
      <w:divBdr>
        <w:top w:val="none" w:sz="0" w:space="0" w:color="auto"/>
        <w:left w:val="none" w:sz="0" w:space="0" w:color="auto"/>
        <w:bottom w:val="none" w:sz="0" w:space="0" w:color="auto"/>
        <w:right w:val="none" w:sz="0" w:space="0" w:color="auto"/>
      </w:divBdr>
    </w:div>
    <w:div w:id="865631182">
      <w:bodyDiv w:val="1"/>
      <w:marLeft w:val="0"/>
      <w:marRight w:val="0"/>
      <w:marTop w:val="0"/>
      <w:marBottom w:val="0"/>
      <w:divBdr>
        <w:top w:val="none" w:sz="0" w:space="0" w:color="auto"/>
        <w:left w:val="none" w:sz="0" w:space="0" w:color="auto"/>
        <w:bottom w:val="none" w:sz="0" w:space="0" w:color="auto"/>
        <w:right w:val="none" w:sz="0" w:space="0" w:color="auto"/>
      </w:divBdr>
    </w:div>
    <w:div w:id="907612059">
      <w:bodyDiv w:val="1"/>
      <w:marLeft w:val="0"/>
      <w:marRight w:val="0"/>
      <w:marTop w:val="0"/>
      <w:marBottom w:val="0"/>
      <w:divBdr>
        <w:top w:val="none" w:sz="0" w:space="0" w:color="auto"/>
        <w:left w:val="none" w:sz="0" w:space="0" w:color="auto"/>
        <w:bottom w:val="none" w:sz="0" w:space="0" w:color="auto"/>
        <w:right w:val="none" w:sz="0" w:space="0" w:color="auto"/>
      </w:divBdr>
    </w:div>
    <w:div w:id="1244602695">
      <w:bodyDiv w:val="1"/>
      <w:marLeft w:val="0"/>
      <w:marRight w:val="0"/>
      <w:marTop w:val="0"/>
      <w:marBottom w:val="0"/>
      <w:divBdr>
        <w:top w:val="none" w:sz="0" w:space="0" w:color="auto"/>
        <w:left w:val="none" w:sz="0" w:space="0" w:color="auto"/>
        <w:bottom w:val="none" w:sz="0" w:space="0" w:color="auto"/>
        <w:right w:val="none" w:sz="0" w:space="0" w:color="auto"/>
      </w:divBdr>
    </w:div>
    <w:div w:id="1352414429">
      <w:bodyDiv w:val="1"/>
      <w:marLeft w:val="0"/>
      <w:marRight w:val="0"/>
      <w:marTop w:val="0"/>
      <w:marBottom w:val="0"/>
      <w:divBdr>
        <w:top w:val="none" w:sz="0" w:space="0" w:color="auto"/>
        <w:left w:val="none" w:sz="0" w:space="0" w:color="auto"/>
        <w:bottom w:val="none" w:sz="0" w:space="0" w:color="auto"/>
        <w:right w:val="none" w:sz="0" w:space="0" w:color="auto"/>
      </w:divBdr>
    </w:div>
    <w:div w:id="1375810023">
      <w:bodyDiv w:val="1"/>
      <w:marLeft w:val="0"/>
      <w:marRight w:val="0"/>
      <w:marTop w:val="0"/>
      <w:marBottom w:val="0"/>
      <w:divBdr>
        <w:top w:val="none" w:sz="0" w:space="0" w:color="auto"/>
        <w:left w:val="none" w:sz="0" w:space="0" w:color="auto"/>
        <w:bottom w:val="none" w:sz="0" w:space="0" w:color="auto"/>
        <w:right w:val="none" w:sz="0" w:space="0" w:color="auto"/>
      </w:divBdr>
    </w:div>
    <w:div w:id="1442799801">
      <w:bodyDiv w:val="1"/>
      <w:marLeft w:val="0"/>
      <w:marRight w:val="0"/>
      <w:marTop w:val="0"/>
      <w:marBottom w:val="0"/>
      <w:divBdr>
        <w:top w:val="none" w:sz="0" w:space="0" w:color="auto"/>
        <w:left w:val="none" w:sz="0" w:space="0" w:color="auto"/>
        <w:bottom w:val="none" w:sz="0" w:space="0" w:color="auto"/>
        <w:right w:val="none" w:sz="0" w:space="0" w:color="auto"/>
      </w:divBdr>
    </w:div>
    <w:div w:id="1445271822">
      <w:bodyDiv w:val="1"/>
      <w:marLeft w:val="0"/>
      <w:marRight w:val="0"/>
      <w:marTop w:val="0"/>
      <w:marBottom w:val="0"/>
      <w:divBdr>
        <w:top w:val="none" w:sz="0" w:space="0" w:color="auto"/>
        <w:left w:val="none" w:sz="0" w:space="0" w:color="auto"/>
        <w:bottom w:val="none" w:sz="0" w:space="0" w:color="auto"/>
        <w:right w:val="none" w:sz="0" w:space="0" w:color="auto"/>
      </w:divBdr>
    </w:div>
    <w:div w:id="1511867781">
      <w:bodyDiv w:val="1"/>
      <w:marLeft w:val="0"/>
      <w:marRight w:val="0"/>
      <w:marTop w:val="0"/>
      <w:marBottom w:val="0"/>
      <w:divBdr>
        <w:top w:val="none" w:sz="0" w:space="0" w:color="auto"/>
        <w:left w:val="none" w:sz="0" w:space="0" w:color="auto"/>
        <w:bottom w:val="none" w:sz="0" w:space="0" w:color="auto"/>
        <w:right w:val="none" w:sz="0" w:space="0" w:color="auto"/>
      </w:divBdr>
    </w:div>
    <w:div w:id="1512254991">
      <w:bodyDiv w:val="1"/>
      <w:marLeft w:val="0"/>
      <w:marRight w:val="0"/>
      <w:marTop w:val="0"/>
      <w:marBottom w:val="0"/>
      <w:divBdr>
        <w:top w:val="none" w:sz="0" w:space="0" w:color="auto"/>
        <w:left w:val="none" w:sz="0" w:space="0" w:color="auto"/>
        <w:bottom w:val="none" w:sz="0" w:space="0" w:color="auto"/>
        <w:right w:val="none" w:sz="0" w:space="0" w:color="auto"/>
      </w:divBdr>
    </w:div>
    <w:div w:id="1578124640">
      <w:bodyDiv w:val="1"/>
      <w:marLeft w:val="0"/>
      <w:marRight w:val="0"/>
      <w:marTop w:val="0"/>
      <w:marBottom w:val="0"/>
      <w:divBdr>
        <w:top w:val="none" w:sz="0" w:space="0" w:color="auto"/>
        <w:left w:val="none" w:sz="0" w:space="0" w:color="auto"/>
        <w:bottom w:val="none" w:sz="0" w:space="0" w:color="auto"/>
        <w:right w:val="none" w:sz="0" w:space="0" w:color="auto"/>
      </w:divBdr>
    </w:div>
    <w:div w:id="1678388899">
      <w:bodyDiv w:val="1"/>
      <w:marLeft w:val="0"/>
      <w:marRight w:val="0"/>
      <w:marTop w:val="0"/>
      <w:marBottom w:val="0"/>
      <w:divBdr>
        <w:top w:val="none" w:sz="0" w:space="0" w:color="auto"/>
        <w:left w:val="none" w:sz="0" w:space="0" w:color="auto"/>
        <w:bottom w:val="none" w:sz="0" w:space="0" w:color="auto"/>
        <w:right w:val="none" w:sz="0" w:space="0" w:color="auto"/>
      </w:divBdr>
    </w:div>
    <w:div w:id="1716193541">
      <w:bodyDiv w:val="1"/>
      <w:marLeft w:val="0"/>
      <w:marRight w:val="0"/>
      <w:marTop w:val="0"/>
      <w:marBottom w:val="0"/>
      <w:divBdr>
        <w:top w:val="none" w:sz="0" w:space="0" w:color="auto"/>
        <w:left w:val="none" w:sz="0" w:space="0" w:color="auto"/>
        <w:bottom w:val="none" w:sz="0" w:space="0" w:color="auto"/>
        <w:right w:val="none" w:sz="0" w:space="0" w:color="auto"/>
      </w:divBdr>
    </w:div>
    <w:div w:id="1728411017">
      <w:bodyDiv w:val="1"/>
      <w:marLeft w:val="0"/>
      <w:marRight w:val="0"/>
      <w:marTop w:val="0"/>
      <w:marBottom w:val="0"/>
      <w:divBdr>
        <w:top w:val="none" w:sz="0" w:space="0" w:color="auto"/>
        <w:left w:val="none" w:sz="0" w:space="0" w:color="auto"/>
        <w:bottom w:val="none" w:sz="0" w:space="0" w:color="auto"/>
        <w:right w:val="none" w:sz="0" w:space="0" w:color="auto"/>
      </w:divBdr>
    </w:div>
    <w:div w:id="1744644368">
      <w:bodyDiv w:val="1"/>
      <w:marLeft w:val="0"/>
      <w:marRight w:val="0"/>
      <w:marTop w:val="0"/>
      <w:marBottom w:val="0"/>
      <w:divBdr>
        <w:top w:val="none" w:sz="0" w:space="0" w:color="auto"/>
        <w:left w:val="none" w:sz="0" w:space="0" w:color="auto"/>
        <w:bottom w:val="none" w:sz="0" w:space="0" w:color="auto"/>
        <w:right w:val="none" w:sz="0" w:space="0" w:color="auto"/>
      </w:divBdr>
    </w:div>
    <w:div w:id="1755126459">
      <w:bodyDiv w:val="1"/>
      <w:marLeft w:val="0"/>
      <w:marRight w:val="0"/>
      <w:marTop w:val="0"/>
      <w:marBottom w:val="0"/>
      <w:divBdr>
        <w:top w:val="none" w:sz="0" w:space="0" w:color="auto"/>
        <w:left w:val="none" w:sz="0" w:space="0" w:color="auto"/>
        <w:bottom w:val="none" w:sz="0" w:space="0" w:color="auto"/>
        <w:right w:val="none" w:sz="0" w:space="0" w:color="auto"/>
      </w:divBdr>
    </w:div>
    <w:div w:id="1847400674">
      <w:bodyDiv w:val="1"/>
      <w:marLeft w:val="0"/>
      <w:marRight w:val="0"/>
      <w:marTop w:val="0"/>
      <w:marBottom w:val="0"/>
      <w:divBdr>
        <w:top w:val="none" w:sz="0" w:space="0" w:color="auto"/>
        <w:left w:val="none" w:sz="0" w:space="0" w:color="auto"/>
        <w:bottom w:val="none" w:sz="0" w:space="0" w:color="auto"/>
        <w:right w:val="none" w:sz="0" w:space="0" w:color="auto"/>
      </w:divBdr>
    </w:div>
    <w:div w:id="1867988384">
      <w:bodyDiv w:val="1"/>
      <w:marLeft w:val="0"/>
      <w:marRight w:val="0"/>
      <w:marTop w:val="0"/>
      <w:marBottom w:val="0"/>
      <w:divBdr>
        <w:top w:val="none" w:sz="0" w:space="0" w:color="auto"/>
        <w:left w:val="none" w:sz="0" w:space="0" w:color="auto"/>
        <w:bottom w:val="none" w:sz="0" w:space="0" w:color="auto"/>
        <w:right w:val="none" w:sz="0" w:space="0" w:color="auto"/>
      </w:divBdr>
    </w:div>
    <w:div w:id="2013101830">
      <w:bodyDiv w:val="1"/>
      <w:marLeft w:val="0"/>
      <w:marRight w:val="0"/>
      <w:marTop w:val="0"/>
      <w:marBottom w:val="0"/>
      <w:divBdr>
        <w:top w:val="none" w:sz="0" w:space="0" w:color="auto"/>
        <w:left w:val="none" w:sz="0" w:space="0" w:color="auto"/>
        <w:bottom w:val="none" w:sz="0" w:space="0" w:color="auto"/>
        <w:right w:val="none" w:sz="0" w:space="0" w:color="auto"/>
      </w:divBdr>
    </w:div>
    <w:div w:id="2053380985">
      <w:bodyDiv w:val="1"/>
      <w:marLeft w:val="0"/>
      <w:marRight w:val="0"/>
      <w:marTop w:val="0"/>
      <w:marBottom w:val="0"/>
      <w:divBdr>
        <w:top w:val="none" w:sz="0" w:space="0" w:color="auto"/>
        <w:left w:val="none" w:sz="0" w:space="0" w:color="auto"/>
        <w:bottom w:val="none" w:sz="0" w:space="0" w:color="auto"/>
        <w:right w:val="none" w:sz="0" w:space="0" w:color="auto"/>
      </w:divBdr>
    </w:div>
    <w:div w:id="2128619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marber@kcl.ac.uk" TargetMode="Externa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direct.com/science/article/pii/S1931524415004120"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article/pii/S19315244150041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sciencedirect.com/science/article/pii/S19315244150041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direct.com/science/article/pii/S19315244150041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1C8C0-ECD1-3245-80EA-AEAC7139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37731</Words>
  <Characters>215068</Characters>
  <Application>Microsoft Office Word</Application>
  <DocSecurity>0</DocSecurity>
  <Lines>1792</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Kaier</dc:creator>
  <cp:keywords/>
  <dc:description/>
  <cp:lastModifiedBy>Tom Kaier</cp:lastModifiedBy>
  <cp:revision>3</cp:revision>
  <cp:lastPrinted>2017-08-30T15:19:00Z</cp:lastPrinted>
  <dcterms:created xsi:type="dcterms:W3CDTF">2019-07-09T17:39:00Z</dcterms:created>
  <dcterms:modified xsi:type="dcterms:W3CDTF">2019-07-09T17:39:00Z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id="http://www.zotero.org/styles/european-heart-journal"/&gt;&lt;hasBiblio/&gt;&lt;format class="21"/&gt;&lt;count citations="35" publications="26"/&gt;&lt;/info&gt;PAPERS2_INFO_END</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http://www.zotero.org/styles/cardiovascular-drugs-and-therapy</vt:lpwstr>
  </property>
  <property fmtid="{D5CDD505-2E9C-101B-9397-08002B2CF9AE}" pid="8" name="Mendeley Recent Style Name 2_1">
    <vt:lpwstr>Cardiovascular Drugs and Therapy</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http://www.zotero.org/styles/circulation</vt:lpwstr>
  </property>
  <property fmtid="{D5CDD505-2E9C-101B-9397-08002B2CF9AE}" pid="12" name="Mendeley Recent Style Name 4_1">
    <vt:lpwstr>Circulation</vt:lpwstr>
  </property>
  <property fmtid="{D5CDD505-2E9C-101B-9397-08002B2CF9AE}" pid="13" name="Mendeley Recent Style Id 5_1">
    <vt:lpwstr>http://www.zotero.org/styles/clinical-chemistry</vt:lpwstr>
  </property>
  <property fmtid="{D5CDD505-2E9C-101B-9397-08002B2CF9AE}" pid="14" name="Mendeley Recent Style Name 5_1">
    <vt:lpwstr>Clinical Chemistry</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https://csl.mendeley.com/styles/178373251/JAMA-cardiology</vt:lpwstr>
  </property>
  <property fmtid="{D5CDD505-2E9C-101B-9397-08002B2CF9AE}" pid="18" name="Mendeley Recent Style Name 7_1">
    <vt:lpwstr>JAMA Cardiology</vt:lpwstr>
  </property>
  <property fmtid="{D5CDD505-2E9C-101B-9397-08002B2CF9AE}" pid="19" name="Mendeley Recent Style Id 8_1">
    <vt:lpwstr>http://csl.mendeley.com/styles/178373251/CDT-TK</vt:lpwstr>
  </property>
  <property fmtid="{D5CDD505-2E9C-101B-9397-08002B2CF9AE}" pid="20" name="Mendeley Recent Style Name 8_1">
    <vt:lpwstr>Springer - Vancouver (brackets) - Thomas Kaier</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74da5751-2d92-3bd4-99bc-331f93f4df01</vt:lpwstr>
  </property>
  <property fmtid="{D5CDD505-2E9C-101B-9397-08002B2CF9AE}" pid="25" name="Mendeley Citation Style_1">
    <vt:lpwstr>http://www.zotero.org/styles/circulation</vt:lpwstr>
  </property>
</Properties>
</file>