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7A6D6" w14:textId="1C93F904" w:rsidR="00D716D6" w:rsidRDefault="004E6E20" w:rsidP="002C4B96">
      <w:pPr>
        <w:spacing w:line="480" w:lineRule="auto"/>
        <w:rPr>
          <w:rFonts w:ascii="Calibri" w:hAnsi="Calibri"/>
          <w:b/>
          <w:sz w:val="22"/>
          <w:szCs w:val="22"/>
        </w:rPr>
      </w:pPr>
      <w:r>
        <w:rPr>
          <w:rFonts w:ascii="Calibri" w:hAnsi="Calibri"/>
          <w:b/>
          <w:sz w:val="22"/>
          <w:szCs w:val="22"/>
        </w:rPr>
        <w:t xml:space="preserve">Factors influencing </w:t>
      </w:r>
      <w:r w:rsidR="007C2144">
        <w:rPr>
          <w:rFonts w:ascii="Calibri" w:hAnsi="Calibri"/>
          <w:b/>
          <w:sz w:val="22"/>
          <w:szCs w:val="22"/>
        </w:rPr>
        <w:t>adherence</w:t>
      </w:r>
      <w:r w:rsidR="00345FFC">
        <w:rPr>
          <w:rFonts w:ascii="Calibri" w:hAnsi="Calibri"/>
          <w:b/>
          <w:sz w:val="22"/>
          <w:szCs w:val="22"/>
        </w:rPr>
        <w:t xml:space="preserve"> in </w:t>
      </w:r>
      <w:r w:rsidR="00537E76">
        <w:rPr>
          <w:rFonts w:ascii="Calibri" w:hAnsi="Calibri"/>
          <w:b/>
          <w:sz w:val="22"/>
          <w:szCs w:val="22"/>
        </w:rPr>
        <w:t>a trial of early introduction of allergenic food</w:t>
      </w:r>
    </w:p>
    <w:p w14:paraId="2D2DCE67" w14:textId="2BB55420" w:rsidR="005254CD" w:rsidRPr="00744896" w:rsidRDefault="005254CD" w:rsidP="002C4B96">
      <w:pPr>
        <w:spacing w:line="480" w:lineRule="auto"/>
        <w:rPr>
          <w:rFonts w:ascii="Calibri" w:hAnsi="Calibri"/>
          <w:b/>
          <w:sz w:val="22"/>
          <w:szCs w:val="22"/>
        </w:rPr>
      </w:pPr>
      <w:r w:rsidRPr="00744896">
        <w:rPr>
          <w:rFonts w:ascii="Calibri" w:hAnsi="Calibri"/>
          <w:b/>
          <w:sz w:val="22"/>
          <w:szCs w:val="22"/>
        </w:rPr>
        <w:t>Michael R</w:t>
      </w:r>
      <w:r w:rsidR="005A0DE7">
        <w:rPr>
          <w:rFonts w:ascii="Calibri" w:hAnsi="Calibri"/>
          <w:b/>
          <w:sz w:val="22"/>
          <w:szCs w:val="22"/>
        </w:rPr>
        <w:t>.</w:t>
      </w:r>
      <w:r w:rsidRPr="00744896">
        <w:rPr>
          <w:rFonts w:ascii="Calibri" w:hAnsi="Calibri"/>
          <w:b/>
          <w:sz w:val="22"/>
          <w:szCs w:val="22"/>
        </w:rPr>
        <w:t xml:space="preserve"> Perkin, </w:t>
      </w:r>
      <w:proofErr w:type="spellStart"/>
      <w:r w:rsidRPr="00744896">
        <w:rPr>
          <w:rFonts w:ascii="Calibri" w:hAnsi="Calibri"/>
          <w:b/>
          <w:sz w:val="22"/>
          <w:szCs w:val="22"/>
        </w:rPr>
        <w:t>PhD,</w:t>
      </w:r>
      <w:r w:rsidRPr="00744896">
        <w:rPr>
          <w:rFonts w:ascii="Calibri" w:hAnsi="Calibri"/>
          <w:sz w:val="22"/>
          <w:szCs w:val="22"/>
          <w:vertAlign w:val="superscript"/>
        </w:rPr>
        <w:t>a</w:t>
      </w:r>
      <w:proofErr w:type="spellEnd"/>
      <w:r w:rsidRPr="00726652">
        <w:rPr>
          <w:rFonts w:ascii="Calibri" w:hAnsi="Calibri"/>
          <w:sz w:val="22"/>
          <w:szCs w:val="22"/>
        </w:rPr>
        <w:t xml:space="preserve"> </w:t>
      </w:r>
      <w:r w:rsidRPr="00726652">
        <w:rPr>
          <w:rFonts w:ascii="Calibri" w:hAnsi="Calibri"/>
          <w:b/>
          <w:sz w:val="22"/>
          <w:szCs w:val="22"/>
        </w:rPr>
        <w:t xml:space="preserve">Henry </w:t>
      </w:r>
      <w:r w:rsidRPr="00744896">
        <w:rPr>
          <w:rFonts w:ascii="Calibri" w:hAnsi="Calibri"/>
          <w:b/>
          <w:sz w:val="22"/>
          <w:szCs w:val="22"/>
        </w:rPr>
        <w:t>T</w:t>
      </w:r>
      <w:r w:rsidR="005A0DE7">
        <w:rPr>
          <w:rFonts w:ascii="Calibri" w:hAnsi="Calibri"/>
          <w:b/>
          <w:sz w:val="22"/>
          <w:szCs w:val="22"/>
        </w:rPr>
        <w:t>.</w:t>
      </w:r>
      <w:r w:rsidRPr="00744896">
        <w:rPr>
          <w:rFonts w:ascii="Calibri" w:hAnsi="Calibri"/>
          <w:b/>
          <w:sz w:val="22"/>
          <w:szCs w:val="22"/>
        </w:rPr>
        <w:t xml:space="preserve"> Bahnson, </w:t>
      </w:r>
      <w:proofErr w:type="spellStart"/>
      <w:r w:rsidRPr="00744896">
        <w:rPr>
          <w:rFonts w:ascii="Calibri" w:hAnsi="Calibri"/>
          <w:b/>
          <w:sz w:val="22"/>
          <w:szCs w:val="22"/>
        </w:rPr>
        <w:t>MPH,</w:t>
      </w:r>
      <w:r>
        <w:rPr>
          <w:rFonts w:ascii="Calibri" w:hAnsi="Calibri"/>
          <w:b/>
          <w:sz w:val="22"/>
          <w:szCs w:val="22"/>
          <w:vertAlign w:val="superscript"/>
        </w:rPr>
        <w:t>b</w:t>
      </w:r>
      <w:proofErr w:type="spellEnd"/>
      <w:r w:rsidRPr="00744896">
        <w:rPr>
          <w:rFonts w:ascii="Calibri" w:hAnsi="Calibri"/>
          <w:b/>
          <w:sz w:val="22"/>
          <w:szCs w:val="22"/>
        </w:rPr>
        <w:t xml:space="preserve"> Kirsty Logan, </w:t>
      </w:r>
      <w:proofErr w:type="spellStart"/>
      <w:r w:rsidRPr="00744896">
        <w:rPr>
          <w:rFonts w:ascii="Calibri" w:hAnsi="Calibri"/>
          <w:b/>
          <w:sz w:val="22"/>
          <w:szCs w:val="22"/>
        </w:rPr>
        <w:t>PhD,</w:t>
      </w:r>
      <w:r>
        <w:rPr>
          <w:rFonts w:ascii="Calibri" w:hAnsi="Calibri"/>
          <w:sz w:val="22"/>
          <w:szCs w:val="22"/>
          <w:vertAlign w:val="superscript"/>
        </w:rPr>
        <w:t>c</w:t>
      </w:r>
      <w:proofErr w:type="spellEnd"/>
      <w:r w:rsidRPr="00744896">
        <w:rPr>
          <w:rFonts w:ascii="Calibri" w:hAnsi="Calibri"/>
          <w:b/>
          <w:sz w:val="22"/>
          <w:szCs w:val="22"/>
        </w:rPr>
        <w:t xml:space="preserve"> Tom Marrs, </w:t>
      </w:r>
      <w:r>
        <w:rPr>
          <w:rFonts w:ascii="Calibri" w:hAnsi="Calibri"/>
          <w:b/>
          <w:sz w:val="22"/>
          <w:szCs w:val="22"/>
        </w:rPr>
        <w:t>MB</w:t>
      </w:r>
      <w:r w:rsidRPr="00744896">
        <w:rPr>
          <w:rFonts w:ascii="Calibri" w:hAnsi="Calibri"/>
          <w:b/>
          <w:sz w:val="22"/>
          <w:szCs w:val="22"/>
        </w:rPr>
        <w:t xml:space="preserve"> </w:t>
      </w:r>
      <w:proofErr w:type="spellStart"/>
      <w:r w:rsidRPr="00744896">
        <w:rPr>
          <w:rFonts w:ascii="Calibri" w:hAnsi="Calibri"/>
          <w:b/>
          <w:sz w:val="22"/>
          <w:szCs w:val="22"/>
        </w:rPr>
        <w:t>BS,</w:t>
      </w:r>
      <w:r>
        <w:rPr>
          <w:rFonts w:ascii="Calibri" w:hAnsi="Calibri"/>
          <w:b/>
          <w:sz w:val="22"/>
          <w:szCs w:val="22"/>
          <w:vertAlign w:val="superscript"/>
        </w:rPr>
        <w:t>c</w:t>
      </w:r>
      <w:proofErr w:type="spellEnd"/>
      <w:r w:rsidRPr="00744896">
        <w:rPr>
          <w:rFonts w:ascii="Calibri" w:hAnsi="Calibri"/>
          <w:b/>
          <w:sz w:val="22"/>
          <w:szCs w:val="22"/>
        </w:rPr>
        <w:t xml:space="preserve"> Suzana Radulovic</w:t>
      </w:r>
      <w:r w:rsidR="005A0DE7">
        <w:rPr>
          <w:rFonts w:ascii="Calibri" w:hAnsi="Calibri"/>
          <w:b/>
          <w:sz w:val="22"/>
          <w:szCs w:val="22"/>
        </w:rPr>
        <w:t>,</w:t>
      </w:r>
      <w:r w:rsidRPr="00744896">
        <w:rPr>
          <w:rFonts w:ascii="Calibri" w:hAnsi="Calibri"/>
          <w:b/>
          <w:sz w:val="22"/>
          <w:szCs w:val="22"/>
        </w:rPr>
        <w:t xml:space="preserve"> </w:t>
      </w:r>
      <w:proofErr w:type="spellStart"/>
      <w:r w:rsidRPr="00744896">
        <w:rPr>
          <w:rFonts w:ascii="Calibri" w:hAnsi="Calibri"/>
          <w:b/>
          <w:sz w:val="22"/>
          <w:szCs w:val="22"/>
        </w:rPr>
        <w:t>MD,</w:t>
      </w:r>
      <w:r>
        <w:rPr>
          <w:rFonts w:ascii="Calibri" w:hAnsi="Calibri"/>
          <w:b/>
          <w:sz w:val="22"/>
          <w:szCs w:val="22"/>
          <w:vertAlign w:val="superscript"/>
        </w:rPr>
        <w:t>c</w:t>
      </w:r>
      <w:proofErr w:type="spellEnd"/>
      <w:r w:rsidR="005A0DE7">
        <w:rPr>
          <w:rFonts w:ascii="Calibri" w:hAnsi="Calibri"/>
          <w:b/>
          <w:sz w:val="22"/>
          <w:szCs w:val="22"/>
        </w:rPr>
        <w:t xml:space="preserve"> </w:t>
      </w:r>
      <w:r>
        <w:rPr>
          <w:rFonts w:ascii="Calibri" w:hAnsi="Calibri"/>
          <w:b/>
          <w:sz w:val="22"/>
          <w:szCs w:val="22"/>
        </w:rPr>
        <w:t>Rebecca Knibb</w:t>
      </w:r>
      <w:r w:rsidR="005A0DE7">
        <w:rPr>
          <w:rFonts w:ascii="Calibri" w:hAnsi="Calibri"/>
          <w:b/>
          <w:sz w:val="22"/>
          <w:szCs w:val="22"/>
        </w:rPr>
        <w:t>,</w:t>
      </w:r>
      <w:r w:rsidR="00CE76E0">
        <w:rPr>
          <w:rFonts w:ascii="Calibri" w:hAnsi="Calibri"/>
          <w:b/>
          <w:sz w:val="22"/>
          <w:szCs w:val="22"/>
        </w:rPr>
        <w:t xml:space="preserve"> </w:t>
      </w:r>
      <w:proofErr w:type="spellStart"/>
      <w:r w:rsidR="00CE76E0">
        <w:rPr>
          <w:rFonts w:ascii="Calibri" w:hAnsi="Calibri"/>
          <w:b/>
          <w:sz w:val="22"/>
          <w:szCs w:val="22"/>
        </w:rPr>
        <w:t>PhD</w:t>
      </w:r>
      <w:r>
        <w:rPr>
          <w:rFonts w:ascii="Calibri" w:hAnsi="Calibri"/>
          <w:b/>
          <w:sz w:val="22"/>
          <w:szCs w:val="22"/>
        </w:rPr>
        <w:t>,</w:t>
      </w:r>
      <w:r w:rsidRPr="005A0DE7">
        <w:rPr>
          <w:rFonts w:ascii="Calibri" w:hAnsi="Calibri"/>
          <w:b/>
          <w:sz w:val="22"/>
          <w:szCs w:val="22"/>
          <w:vertAlign w:val="superscript"/>
        </w:rPr>
        <w:t>d</w:t>
      </w:r>
      <w:proofErr w:type="spellEnd"/>
      <w:r w:rsidR="005A0DE7">
        <w:rPr>
          <w:rFonts w:ascii="Calibri" w:hAnsi="Calibri"/>
          <w:b/>
          <w:sz w:val="22"/>
          <w:szCs w:val="22"/>
        </w:rPr>
        <w:t xml:space="preserve"> </w:t>
      </w:r>
      <w:r w:rsidRPr="005A0DE7">
        <w:rPr>
          <w:rFonts w:ascii="Calibri" w:hAnsi="Calibri"/>
          <w:b/>
          <w:sz w:val="22"/>
          <w:szCs w:val="22"/>
        </w:rPr>
        <w:t>Joanna</w:t>
      </w:r>
      <w:r w:rsidRPr="00744896">
        <w:rPr>
          <w:rFonts w:ascii="Calibri" w:hAnsi="Calibri"/>
          <w:b/>
          <w:sz w:val="22"/>
          <w:szCs w:val="22"/>
        </w:rPr>
        <w:t xml:space="preserve"> Craven</w:t>
      </w:r>
      <w:r w:rsidR="005A0DE7">
        <w:rPr>
          <w:rFonts w:ascii="Calibri" w:hAnsi="Calibri"/>
          <w:b/>
          <w:sz w:val="22"/>
          <w:szCs w:val="22"/>
        </w:rPr>
        <w:t>,</w:t>
      </w:r>
      <w:r w:rsidRPr="00744896">
        <w:rPr>
          <w:rFonts w:ascii="Calibri" w:hAnsi="Calibri"/>
          <w:b/>
          <w:sz w:val="22"/>
          <w:szCs w:val="22"/>
        </w:rPr>
        <w:t xml:space="preserve"> </w:t>
      </w:r>
      <w:proofErr w:type="spellStart"/>
      <w:r w:rsidRPr="00744896">
        <w:rPr>
          <w:rFonts w:ascii="Calibri" w:hAnsi="Calibri"/>
          <w:b/>
          <w:sz w:val="22"/>
          <w:szCs w:val="22"/>
        </w:rPr>
        <w:t>MPH,</w:t>
      </w:r>
      <w:r>
        <w:rPr>
          <w:rFonts w:ascii="Calibri" w:hAnsi="Calibri"/>
          <w:b/>
          <w:sz w:val="22"/>
          <w:szCs w:val="22"/>
          <w:vertAlign w:val="superscript"/>
        </w:rPr>
        <w:t>c</w:t>
      </w:r>
      <w:proofErr w:type="spellEnd"/>
      <w:r w:rsidRPr="00744896">
        <w:rPr>
          <w:rFonts w:ascii="Calibri" w:hAnsi="Calibri"/>
          <w:b/>
          <w:sz w:val="22"/>
          <w:szCs w:val="22"/>
        </w:rPr>
        <w:t xml:space="preserve"> Carsten Flohr</w:t>
      </w:r>
      <w:r w:rsidR="005A0DE7">
        <w:rPr>
          <w:rFonts w:ascii="Calibri" w:hAnsi="Calibri"/>
          <w:b/>
          <w:sz w:val="22"/>
          <w:szCs w:val="22"/>
        </w:rPr>
        <w:t>,</w:t>
      </w:r>
      <w:r w:rsidRPr="00744896">
        <w:rPr>
          <w:rFonts w:ascii="Calibri" w:hAnsi="Calibri"/>
          <w:b/>
          <w:sz w:val="22"/>
          <w:szCs w:val="22"/>
        </w:rPr>
        <w:t xml:space="preserve"> </w:t>
      </w:r>
      <w:proofErr w:type="spellStart"/>
      <w:r w:rsidRPr="00744896">
        <w:rPr>
          <w:rFonts w:ascii="Calibri" w:hAnsi="Calibri"/>
          <w:b/>
          <w:sz w:val="22"/>
          <w:szCs w:val="22"/>
        </w:rPr>
        <w:t>PhD,</w:t>
      </w:r>
      <w:r w:rsidR="00614727">
        <w:rPr>
          <w:rFonts w:ascii="Calibri" w:hAnsi="Calibri"/>
          <w:b/>
          <w:sz w:val="22"/>
          <w:szCs w:val="22"/>
          <w:vertAlign w:val="superscript"/>
        </w:rPr>
        <w:t>e</w:t>
      </w:r>
      <w:proofErr w:type="spellEnd"/>
      <w:r w:rsidRPr="00744896">
        <w:rPr>
          <w:rFonts w:ascii="Calibri" w:hAnsi="Calibri"/>
          <w:b/>
          <w:sz w:val="22"/>
          <w:szCs w:val="22"/>
        </w:rPr>
        <w:t xml:space="preserve"> </w:t>
      </w:r>
      <w:r w:rsidR="00A20CF0">
        <w:rPr>
          <w:rFonts w:ascii="Calibri" w:hAnsi="Calibri"/>
          <w:b/>
          <w:sz w:val="22"/>
          <w:szCs w:val="22"/>
        </w:rPr>
        <w:t>E</w:t>
      </w:r>
      <w:r w:rsidR="005A0DE7">
        <w:rPr>
          <w:rFonts w:ascii="Calibri" w:hAnsi="Calibri"/>
          <w:b/>
          <w:sz w:val="22"/>
          <w:szCs w:val="22"/>
        </w:rPr>
        <w:t>.</w:t>
      </w:r>
      <w:r w:rsidR="00A20CF0">
        <w:rPr>
          <w:rFonts w:ascii="Calibri" w:hAnsi="Calibri"/>
          <w:b/>
          <w:sz w:val="22"/>
          <w:szCs w:val="22"/>
        </w:rPr>
        <w:t xml:space="preserve"> N</w:t>
      </w:r>
      <w:r w:rsidR="005A0DE7">
        <w:rPr>
          <w:rFonts w:ascii="Calibri" w:hAnsi="Calibri"/>
          <w:b/>
          <w:sz w:val="22"/>
          <w:szCs w:val="22"/>
        </w:rPr>
        <w:t>.</w:t>
      </w:r>
      <w:r>
        <w:rPr>
          <w:rFonts w:ascii="Calibri" w:hAnsi="Calibri"/>
          <w:b/>
          <w:sz w:val="22"/>
          <w:szCs w:val="22"/>
        </w:rPr>
        <w:t xml:space="preserve"> Mills</w:t>
      </w:r>
      <w:r w:rsidR="005A0DE7">
        <w:rPr>
          <w:rFonts w:ascii="Calibri" w:hAnsi="Calibri"/>
          <w:b/>
          <w:sz w:val="22"/>
          <w:szCs w:val="22"/>
        </w:rPr>
        <w:t>,</w:t>
      </w:r>
      <w:r>
        <w:rPr>
          <w:rFonts w:ascii="Calibri" w:hAnsi="Calibri"/>
          <w:b/>
          <w:sz w:val="22"/>
          <w:szCs w:val="22"/>
        </w:rPr>
        <w:t xml:space="preserve"> </w:t>
      </w:r>
      <w:proofErr w:type="spellStart"/>
      <w:r>
        <w:rPr>
          <w:rFonts w:ascii="Calibri" w:hAnsi="Calibri"/>
          <w:b/>
          <w:sz w:val="22"/>
          <w:szCs w:val="22"/>
        </w:rPr>
        <w:t>PhD</w:t>
      </w:r>
      <w:r>
        <w:rPr>
          <w:rFonts w:ascii="Calibri" w:hAnsi="Calibri"/>
          <w:b/>
          <w:sz w:val="22"/>
          <w:szCs w:val="22"/>
          <w:vertAlign w:val="superscript"/>
        </w:rPr>
        <w:t>f</w:t>
      </w:r>
      <w:proofErr w:type="spellEnd"/>
      <w:r>
        <w:rPr>
          <w:rFonts w:ascii="Calibri" w:hAnsi="Calibri"/>
          <w:b/>
          <w:sz w:val="22"/>
          <w:szCs w:val="22"/>
        </w:rPr>
        <w:t>, Serge A</w:t>
      </w:r>
      <w:r w:rsidR="005A0DE7">
        <w:rPr>
          <w:rFonts w:ascii="Calibri" w:hAnsi="Calibri"/>
          <w:b/>
          <w:sz w:val="22"/>
          <w:szCs w:val="22"/>
        </w:rPr>
        <w:t>.</w:t>
      </w:r>
      <w:r>
        <w:rPr>
          <w:rFonts w:ascii="Calibri" w:hAnsi="Calibri"/>
          <w:b/>
          <w:sz w:val="22"/>
          <w:szCs w:val="22"/>
        </w:rPr>
        <w:t xml:space="preserve"> </w:t>
      </w:r>
      <w:proofErr w:type="spellStart"/>
      <w:r>
        <w:rPr>
          <w:rFonts w:ascii="Calibri" w:hAnsi="Calibri"/>
          <w:b/>
          <w:sz w:val="22"/>
          <w:szCs w:val="22"/>
        </w:rPr>
        <w:t>Versteeg</w:t>
      </w:r>
      <w:r w:rsidR="005A0DE7">
        <w:rPr>
          <w:rFonts w:ascii="Calibri" w:hAnsi="Calibri"/>
          <w:b/>
          <w:sz w:val="22"/>
          <w:szCs w:val="22"/>
        </w:rPr>
        <w:t>,</w:t>
      </w:r>
      <w:r>
        <w:rPr>
          <w:rFonts w:ascii="Calibri" w:hAnsi="Calibri"/>
          <w:b/>
          <w:sz w:val="22"/>
          <w:szCs w:val="22"/>
          <w:vertAlign w:val="superscript"/>
        </w:rPr>
        <w:t>g</w:t>
      </w:r>
      <w:proofErr w:type="spellEnd"/>
      <w:r w:rsidR="005A0DE7">
        <w:rPr>
          <w:rFonts w:ascii="Calibri" w:hAnsi="Calibri"/>
          <w:b/>
          <w:sz w:val="22"/>
          <w:szCs w:val="22"/>
        </w:rPr>
        <w:t xml:space="preserve"> Ronald van Ree, </w:t>
      </w:r>
      <w:proofErr w:type="spellStart"/>
      <w:r>
        <w:rPr>
          <w:rFonts w:ascii="Calibri" w:hAnsi="Calibri"/>
          <w:b/>
          <w:sz w:val="22"/>
          <w:szCs w:val="22"/>
        </w:rPr>
        <w:t>PhD</w:t>
      </w:r>
      <w:r w:rsidR="005A0DE7">
        <w:rPr>
          <w:rFonts w:ascii="Calibri" w:hAnsi="Calibri"/>
          <w:b/>
          <w:sz w:val="22"/>
          <w:szCs w:val="22"/>
        </w:rPr>
        <w:t>,</w:t>
      </w:r>
      <w:r>
        <w:rPr>
          <w:rFonts w:ascii="Calibri" w:hAnsi="Calibri"/>
          <w:b/>
          <w:sz w:val="22"/>
          <w:szCs w:val="22"/>
          <w:vertAlign w:val="superscript"/>
        </w:rPr>
        <w:t>gh</w:t>
      </w:r>
      <w:proofErr w:type="spellEnd"/>
      <w:r>
        <w:rPr>
          <w:rFonts w:ascii="Calibri" w:hAnsi="Calibri"/>
          <w:b/>
          <w:sz w:val="22"/>
          <w:szCs w:val="22"/>
        </w:rPr>
        <w:t xml:space="preserve"> </w:t>
      </w:r>
      <w:r w:rsidR="005A0DE7">
        <w:rPr>
          <w:rFonts w:ascii="Calibri" w:hAnsi="Calibri"/>
          <w:b/>
          <w:sz w:val="22"/>
          <w:szCs w:val="22"/>
        </w:rPr>
        <w:t>and Gideon Lack, M.B.</w:t>
      </w:r>
      <w:r w:rsidRPr="00744896">
        <w:rPr>
          <w:rFonts w:ascii="Calibri" w:hAnsi="Calibri"/>
          <w:b/>
          <w:sz w:val="22"/>
          <w:szCs w:val="22"/>
        </w:rPr>
        <w:t xml:space="preserve"> </w:t>
      </w:r>
      <w:proofErr w:type="spellStart"/>
      <w:r w:rsidRPr="00744896">
        <w:rPr>
          <w:rFonts w:ascii="Calibri" w:hAnsi="Calibri"/>
          <w:b/>
          <w:sz w:val="22"/>
          <w:szCs w:val="22"/>
        </w:rPr>
        <w:t>B.Ch,</w:t>
      </w:r>
      <w:r>
        <w:rPr>
          <w:rFonts w:ascii="Calibri" w:hAnsi="Calibri"/>
          <w:sz w:val="22"/>
          <w:szCs w:val="22"/>
          <w:vertAlign w:val="superscript"/>
        </w:rPr>
        <w:t>c</w:t>
      </w:r>
      <w:proofErr w:type="spellEnd"/>
      <w:r w:rsidRPr="00744896">
        <w:rPr>
          <w:rFonts w:ascii="Calibri" w:hAnsi="Calibri"/>
          <w:b/>
          <w:sz w:val="22"/>
          <w:szCs w:val="22"/>
        </w:rPr>
        <w:t xml:space="preserve"> on behalf of </w:t>
      </w:r>
      <w:r w:rsidR="005A0DE7">
        <w:rPr>
          <w:rFonts w:ascii="Calibri" w:hAnsi="Calibri"/>
          <w:b/>
          <w:sz w:val="22"/>
          <w:szCs w:val="22"/>
        </w:rPr>
        <w:t>t</w:t>
      </w:r>
      <w:r w:rsidRPr="00744896">
        <w:rPr>
          <w:rFonts w:ascii="Calibri" w:hAnsi="Calibri"/>
          <w:b/>
          <w:sz w:val="22"/>
          <w:szCs w:val="22"/>
        </w:rPr>
        <w:t>he EAT Study Team</w:t>
      </w:r>
    </w:p>
    <w:p w14:paraId="5153FE96" w14:textId="77777777" w:rsidR="005254CD" w:rsidRPr="002801F1" w:rsidRDefault="005254CD" w:rsidP="002C4B96">
      <w:pPr>
        <w:spacing w:line="480" w:lineRule="auto"/>
        <w:rPr>
          <w:rFonts w:ascii="Calibri" w:hAnsi="Calibri"/>
          <w:b/>
          <w:sz w:val="22"/>
          <w:szCs w:val="22"/>
        </w:rPr>
      </w:pPr>
    </w:p>
    <w:p w14:paraId="1E5AB109" w14:textId="7F7ECD33" w:rsidR="005254CD" w:rsidRPr="00330368" w:rsidRDefault="005254CD" w:rsidP="002C4B96">
      <w:pPr>
        <w:spacing w:line="480" w:lineRule="auto"/>
        <w:rPr>
          <w:rFonts w:asciiTheme="minorHAnsi" w:hAnsiTheme="minorHAnsi" w:cstheme="minorHAnsi"/>
          <w:sz w:val="22"/>
          <w:szCs w:val="22"/>
        </w:rPr>
      </w:pPr>
      <w:r w:rsidRPr="00614727">
        <w:rPr>
          <w:rFonts w:asciiTheme="minorHAnsi" w:hAnsiTheme="minorHAnsi" w:cstheme="minorHAnsi"/>
          <w:sz w:val="22"/>
          <w:szCs w:val="22"/>
        </w:rPr>
        <w:t xml:space="preserve">From </w:t>
      </w:r>
      <w:proofErr w:type="spellStart"/>
      <w:r w:rsidRPr="00614727">
        <w:rPr>
          <w:rFonts w:asciiTheme="minorHAnsi" w:hAnsiTheme="minorHAnsi" w:cstheme="minorHAnsi"/>
          <w:sz w:val="22"/>
          <w:szCs w:val="22"/>
          <w:vertAlign w:val="superscript"/>
        </w:rPr>
        <w:t>a</w:t>
      </w:r>
      <w:r w:rsidRPr="00614727">
        <w:rPr>
          <w:rFonts w:asciiTheme="minorHAnsi" w:hAnsiTheme="minorHAnsi" w:cstheme="minorHAnsi"/>
          <w:sz w:val="22"/>
          <w:szCs w:val="22"/>
        </w:rPr>
        <w:t>the</w:t>
      </w:r>
      <w:proofErr w:type="spellEnd"/>
      <w:r w:rsidRPr="00614727">
        <w:rPr>
          <w:rFonts w:asciiTheme="minorHAnsi" w:hAnsiTheme="minorHAnsi" w:cstheme="minorHAnsi"/>
          <w:sz w:val="22"/>
          <w:szCs w:val="22"/>
        </w:rPr>
        <w:t xml:space="preserve"> Population Health Research Institute, St George's, University of London, </w:t>
      </w:r>
      <w:proofErr w:type="spellStart"/>
      <w:r w:rsidR="00614727">
        <w:rPr>
          <w:rFonts w:asciiTheme="minorHAnsi" w:hAnsiTheme="minorHAnsi" w:cstheme="minorHAnsi"/>
          <w:sz w:val="22"/>
          <w:szCs w:val="22"/>
          <w:vertAlign w:val="superscript"/>
        </w:rPr>
        <w:t>b</w:t>
      </w:r>
      <w:r w:rsidR="00A73797">
        <w:rPr>
          <w:rFonts w:asciiTheme="minorHAnsi" w:hAnsiTheme="minorHAnsi" w:cstheme="minorHAnsi"/>
          <w:sz w:val="22"/>
          <w:szCs w:val="22"/>
        </w:rPr>
        <w:t>the</w:t>
      </w:r>
      <w:proofErr w:type="spellEnd"/>
      <w:r w:rsidR="00A73797">
        <w:rPr>
          <w:rFonts w:asciiTheme="minorHAnsi" w:hAnsiTheme="minorHAnsi" w:cstheme="minorHAnsi"/>
          <w:sz w:val="22"/>
          <w:szCs w:val="22"/>
        </w:rPr>
        <w:t xml:space="preserve"> </w:t>
      </w:r>
      <w:proofErr w:type="spellStart"/>
      <w:r w:rsidR="00A73797">
        <w:rPr>
          <w:rFonts w:asciiTheme="minorHAnsi" w:hAnsiTheme="minorHAnsi" w:cstheme="minorHAnsi"/>
          <w:sz w:val="22"/>
          <w:szCs w:val="22"/>
        </w:rPr>
        <w:t>B</w:t>
      </w:r>
      <w:r w:rsidRPr="00614727">
        <w:rPr>
          <w:rFonts w:asciiTheme="minorHAnsi" w:hAnsiTheme="minorHAnsi" w:cstheme="minorHAnsi"/>
          <w:sz w:val="22"/>
          <w:szCs w:val="22"/>
        </w:rPr>
        <w:t>enaroya</w:t>
      </w:r>
      <w:proofErr w:type="spellEnd"/>
      <w:r w:rsidRPr="00614727">
        <w:rPr>
          <w:rFonts w:asciiTheme="minorHAnsi" w:hAnsiTheme="minorHAnsi" w:cstheme="minorHAnsi"/>
          <w:sz w:val="22"/>
          <w:szCs w:val="22"/>
        </w:rPr>
        <w:t xml:space="preserve"> Research Institute, Seattle,</w:t>
      </w:r>
      <w:r w:rsidRPr="00614727">
        <w:rPr>
          <w:rFonts w:asciiTheme="minorHAnsi" w:hAnsiTheme="minorHAnsi" w:cstheme="minorHAnsi"/>
          <w:sz w:val="22"/>
          <w:szCs w:val="22"/>
          <w:vertAlign w:val="superscript"/>
        </w:rPr>
        <w:t xml:space="preserve"> c</w:t>
      </w:r>
      <w:r w:rsidR="00370EAA">
        <w:rPr>
          <w:rFonts w:asciiTheme="minorHAnsi" w:hAnsiTheme="minorHAnsi" w:cstheme="minorHAnsi"/>
          <w:sz w:val="22"/>
          <w:szCs w:val="22"/>
          <w:vertAlign w:val="superscript"/>
        </w:rPr>
        <w:t xml:space="preserve"> </w:t>
      </w:r>
      <w:r w:rsidR="005A0DE7">
        <w:rPr>
          <w:rFonts w:asciiTheme="minorHAnsi" w:hAnsiTheme="minorHAnsi" w:cstheme="minorHAnsi"/>
          <w:sz w:val="22"/>
          <w:szCs w:val="22"/>
        </w:rPr>
        <w:t>t</w:t>
      </w:r>
      <w:r w:rsidR="00370EAA" w:rsidRPr="00614727">
        <w:rPr>
          <w:rFonts w:asciiTheme="minorHAnsi" w:hAnsiTheme="minorHAnsi" w:cstheme="minorHAnsi"/>
          <w:sz w:val="22"/>
          <w:szCs w:val="22"/>
        </w:rPr>
        <w:t xml:space="preserve">he </w:t>
      </w:r>
      <w:r w:rsidR="00614727">
        <w:rPr>
          <w:rFonts w:asciiTheme="minorHAnsi" w:hAnsiTheme="minorHAnsi" w:cstheme="minorHAnsi"/>
          <w:sz w:val="22"/>
          <w:szCs w:val="22"/>
        </w:rPr>
        <w:t>Paediatric Allergy Research Group Department of Women and Children’s Health</w:t>
      </w:r>
      <w:r w:rsidRPr="00614727">
        <w:rPr>
          <w:rFonts w:asciiTheme="minorHAnsi" w:hAnsiTheme="minorHAnsi" w:cstheme="minorHAnsi"/>
          <w:sz w:val="22"/>
          <w:szCs w:val="22"/>
        </w:rPr>
        <w:t>,</w:t>
      </w:r>
      <w:r w:rsidR="00614727">
        <w:rPr>
          <w:rFonts w:asciiTheme="minorHAnsi" w:hAnsiTheme="minorHAnsi" w:cstheme="minorHAnsi"/>
          <w:sz w:val="22"/>
          <w:szCs w:val="22"/>
        </w:rPr>
        <w:t xml:space="preserve"> School of Life Course Sciences,</w:t>
      </w:r>
      <w:r w:rsidRPr="00614727">
        <w:rPr>
          <w:rFonts w:asciiTheme="minorHAnsi" w:hAnsiTheme="minorHAnsi" w:cstheme="minorHAnsi"/>
          <w:sz w:val="22"/>
          <w:szCs w:val="22"/>
        </w:rPr>
        <w:t xml:space="preserve"> King’s College London</w:t>
      </w:r>
      <w:r w:rsidR="00614727">
        <w:rPr>
          <w:rFonts w:asciiTheme="minorHAnsi" w:hAnsiTheme="minorHAnsi" w:cstheme="minorHAnsi"/>
          <w:sz w:val="22"/>
          <w:szCs w:val="22"/>
        </w:rPr>
        <w:t xml:space="preserve">, </w:t>
      </w:r>
      <w:proofErr w:type="spellStart"/>
      <w:r w:rsidR="00CE76E0">
        <w:rPr>
          <w:rFonts w:asciiTheme="minorHAnsi" w:hAnsiTheme="minorHAnsi" w:cstheme="minorHAnsi"/>
          <w:sz w:val="22"/>
          <w:szCs w:val="22"/>
          <w:vertAlign w:val="superscript"/>
        </w:rPr>
        <w:t>d</w:t>
      </w:r>
      <w:r w:rsidR="00A73797">
        <w:rPr>
          <w:rFonts w:asciiTheme="minorHAnsi" w:hAnsiTheme="minorHAnsi" w:cstheme="minorHAnsi"/>
          <w:sz w:val="22"/>
          <w:szCs w:val="22"/>
        </w:rPr>
        <w:t>the</w:t>
      </w:r>
      <w:proofErr w:type="spellEnd"/>
      <w:r w:rsidR="00A73797">
        <w:rPr>
          <w:rFonts w:asciiTheme="minorHAnsi" w:hAnsiTheme="minorHAnsi" w:cstheme="minorHAnsi"/>
          <w:sz w:val="22"/>
          <w:szCs w:val="22"/>
        </w:rPr>
        <w:t xml:space="preserve"> D</w:t>
      </w:r>
      <w:r w:rsidR="00CE76E0" w:rsidRPr="00CE76E0">
        <w:rPr>
          <w:rFonts w:asciiTheme="minorHAnsi" w:hAnsiTheme="minorHAnsi" w:cstheme="minorHAnsi"/>
          <w:sz w:val="22"/>
          <w:szCs w:val="22"/>
        </w:rPr>
        <w:t>epartment o</w:t>
      </w:r>
      <w:r w:rsidR="00A73797">
        <w:rPr>
          <w:rFonts w:asciiTheme="minorHAnsi" w:hAnsiTheme="minorHAnsi" w:cstheme="minorHAnsi"/>
          <w:sz w:val="22"/>
          <w:szCs w:val="22"/>
        </w:rPr>
        <w:t>f Psychology, Aston University</w:t>
      </w:r>
      <w:r w:rsidR="00CE76E0">
        <w:rPr>
          <w:rFonts w:asciiTheme="minorHAnsi" w:hAnsiTheme="minorHAnsi" w:cstheme="minorHAnsi"/>
          <w:sz w:val="22"/>
          <w:szCs w:val="22"/>
        </w:rPr>
        <w:t>,</w:t>
      </w:r>
      <w:r w:rsidR="00614727">
        <w:rPr>
          <w:rFonts w:asciiTheme="minorHAnsi" w:hAnsiTheme="minorHAnsi" w:cstheme="minorHAnsi"/>
          <w:sz w:val="22"/>
          <w:szCs w:val="22"/>
        </w:rPr>
        <w:t xml:space="preserve"> </w:t>
      </w:r>
      <w:proofErr w:type="spellStart"/>
      <w:r w:rsidR="00614727">
        <w:rPr>
          <w:rFonts w:asciiTheme="minorHAnsi" w:hAnsiTheme="minorHAnsi" w:cstheme="minorHAnsi"/>
          <w:sz w:val="22"/>
          <w:szCs w:val="22"/>
          <w:vertAlign w:val="superscript"/>
        </w:rPr>
        <w:t>e</w:t>
      </w:r>
      <w:r w:rsidR="00A73797">
        <w:rPr>
          <w:rFonts w:asciiTheme="minorHAnsi" w:hAnsiTheme="minorHAnsi" w:cstheme="minorHAnsi"/>
          <w:sz w:val="22"/>
          <w:szCs w:val="22"/>
        </w:rPr>
        <w:t>the</w:t>
      </w:r>
      <w:proofErr w:type="spellEnd"/>
      <w:r w:rsidR="00A73797">
        <w:rPr>
          <w:rFonts w:asciiTheme="minorHAnsi" w:hAnsiTheme="minorHAnsi" w:cstheme="minorHAnsi"/>
          <w:sz w:val="22"/>
          <w:szCs w:val="22"/>
        </w:rPr>
        <w:t xml:space="preserve"> U</w:t>
      </w:r>
      <w:r w:rsidR="00614727" w:rsidRPr="00614727">
        <w:rPr>
          <w:rFonts w:asciiTheme="minorHAnsi" w:hAnsiTheme="minorHAnsi" w:cstheme="minorHAnsi"/>
          <w:sz w:val="22"/>
          <w:szCs w:val="22"/>
        </w:rPr>
        <w:t>nit for Population-Based Dermatology Research, St John’s Institute of Dermatology</w:t>
      </w:r>
      <w:r w:rsidR="00614727">
        <w:rPr>
          <w:rFonts w:asciiTheme="minorHAnsi" w:hAnsiTheme="minorHAnsi" w:cstheme="minorHAnsi"/>
          <w:sz w:val="22"/>
          <w:szCs w:val="22"/>
        </w:rPr>
        <w:t xml:space="preserve">, </w:t>
      </w:r>
      <w:r w:rsidR="00614727" w:rsidRPr="00614727">
        <w:rPr>
          <w:rFonts w:asciiTheme="minorHAnsi" w:hAnsiTheme="minorHAnsi" w:cstheme="minorHAnsi"/>
          <w:sz w:val="22"/>
          <w:szCs w:val="22"/>
          <w:lang w:val="en-US" w:eastAsia="en-GB"/>
        </w:rPr>
        <w:t>School of Basic and Medical Biosciences, Faculty of Life Sciences &amp; Medicine</w:t>
      </w:r>
      <w:r w:rsidR="00614727">
        <w:rPr>
          <w:rFonts w:asciiTheme="minorHAnsi" w:hAnsiTheme="minorHAnsi" w:cstheme="minorHAnsi"/>
          <w:sz w:val="22"/>
          <w:szCs w:val="22"/>
          <w:lang w:val="en-US" w:eastAsia="en-GB"/>
        </w:rPr>
        <w:t>, King’s College London</w:t>
      </w:r>
      <w:r w:rsidR="00A73797">
        <w:rPr>
          <w:rFonts w:asciiTheme="minorHAnsi" w:hAnsiTheme="minorHAnsi" w:cstheme="minorHAnsi"/>
          <w:sz w:val="22"/>
          <w:szCs w:val="22"/>
          <w:lang w:val="en-US" w:eastAsia="en-GB"/>
        </w:rPr>
        <w:t>,</w:t>
      </w:r>
      <w:r w:rsidRPr="00614727">
        <w:rPr>
          <w:rFonts w:asciiTheme="minorHAnsi" w:hAnsiTheme="minorHAnsi" w:cstheme="minorHAnsi"/>
          <w:sz w:val="22"/>
          <w:szCs w:val="22"/>
        </w:rPr>
        <w:t xml:space="preserve"> </w:t>
      </w:r>
      <w:proofErr w:type="spellStart"/>
      <w:r w:rsidRPr="00614727">
        <w:rPr>
          <w:rFonts w:asciiTheme="minorHAnsi" w:hAnsiTheme="minorHAnsi" w:cstheme="minorHAnsi"/>
          <w:sz w:val="22"/>
          <w:szCs w:val="22"/>
          <w:vertAlign w:val="superscript"/>
        </w:rPr>
        <w:t>f</w:t>
      </w:r>
      <w:r w:rsidR="00A73797">
        <w:rPr>
          <w:rFonts w:asciiTheme="minorHAnsi" w:hAnsiTheme="minorHAnsi" w:cstheme="minorHAnsi"/>
          <w:sz w:val="22"/>
          <w:szCs w:val="22"/>
        </w:rPr>
        <w:t>the</w:t>
      </w:r>
      <w:proofErr w:type="spellEnd"/>
      <w:r w:rsidR="00A73797">
        <w:rPr>
          <w:rFonts w:asciiTheme="minorHAnsi" w:hAnsiTheme="minorHAnsi" w:cstheme="minorHAnsi"/>
          <w:sz w:val="22"/>
          <w:szCs w:val="22"/>
        </w:rPr>
        <w:t xml:space="preserve"> S</w:t>
      </w:r>
      <w:r w:rsidR="00A20CF0">
        <w:rPr>
          <w:rFonts w:asciiTheme="minorHAnsi" w:hAnsiTheme="minorHAnsi" w:cstheme="minorHAnsi"/>
          <w:sz w:val="22"/>
          <w:szCs w:val="22"/>
        </w:rPr>
        <w:t xml:space="preserve">chool of Biological Sciences, Division of Infection, Immunity and Respiratory Medicine, </w:t>
      </w:r>
      <w:r w:rsidRPr="00614727">
        <w:rPr>
          <w:rFonts w:asciiTheme="minorHAnsi" w:hAnsiTheme="minorHAnsi" w:cstheme="minorHAnsi"/>
          <w:sz w:val="22"/>
          <w:szCs w:val="22"/>
        </w:rPr>
        <w:t>Manchester Academic Health Science Centre, Manchester Institute of Biotechnology, Univ</w:t>
      </w:r>
      <w:r w:rsidR="00A73797">
        <w:rPr>
          <w:rFonts w:asciiTheme="minorHAnsi" w:hAnsiTheme="minorHAnsi" w:cstheme="minorHAnsi"/>
          <w:sz w:val="22"/>
          <w:szCs w:val="22"/>
        </w:rPr>
        <w:t>ersity of Manchester</w:t>
      </w:r>
      <w:r>
        <w:rPr>
          <w:rFonts w:asciiTheme="minorHAnsi" w:hAnsiTheme="minorHAnsi" w:cstheme="minorHAnsi"/>
          <w:sz w:val="22"/>
          <w:szCs w:val="22"/>
        </w:rPr>
        <w:t xml:space="preserve">, </w:t>
      </w:r>
      <w:proofErr w:type="spellStart"/>
      <w:r>
        <w:rPr>
          <w:rFonts w:asciiTheme="minorHAnsi" w:hAnsiTheme="minorHAnsi" w:cstheme="minorHAnsi"/>
          <w:sz w:val="22"/>
          <w:szCs w:val="22"/>
          <w:vertAlign w:val="superscript"/>
        </w:rPr>
        <w:t>g</w:t>
      </w:r>
      <w:r w:rsidR="00A73797">
        <w:rPr>
          <w:rFonts w:asciiTheme="minorHAnsi" w:hAnsiTheme="minorHAnsi" w:cstheme="minorHAnsi"/>
          <w:sz w:val="22"/>
          <w:szCs w:val="22"/>
        </w:rPr>
        <w:t>t</w:t>
      </w:r>
      <w:r w:rsidRPr="00330368">
        <w:rPr>
          <w:rFonts w:asciiTheme="minorHAnsi" w:hAnsiTheme="minorHAnsi" w:cstheme="minorHAnsi"/>
          <w:sz w:val="22"/>
          <w:szCs w:val="22"/>
        </w:rPr>
        <w:t>he</w:t>
      </w:r>
      <w:proofErr w:type="spellEnd"/>
      <w:r w:rsidRPr="00330368">
        <w:rPr>
          <w:rFonts w:asciiTheme="minorHAnsi" w:hAnsiTheme="minorHAnsi" w:cstheme="minorHAnsi"/>
          <w:sz w:val="22"/>
          <w:szCs w:val="22"/>
        </w:rPr>
        <w:t xml:space="preserve"> Department of Experimental Immunology, Academic Med</w:t>
      </w:r>
      <w:r w:rsidRPr="00571D29">
        <w:rPr>
          <w:rFonts w:ascii="Calibri" w:hAnsi="Calibri" w:cs="Calibri"/>
          <w:sz w:val="22"/>
          <w:szCs w:val="22"/>
        </w:rPr>
        <w:t xml:space="preserve">ical </w:t>
      </w:r>
      <w:proofErr w:type="spellStart"/>
      <w:r w:rsidRPr="00571D29">
        <w:rPr>
          <w:rFonts w:ascii="Calibri" w:hAnsi="Calibri" w:cs="Calibri"/>
          <w:sz w:val="22"/>
          <w:szCs w:val="22"/>
        </w:rPr>
        <w:t>Center</w:t>
      </w:r>
      <w:proofErr w:type="spellEnd"/>
      <w:r w:rsidRPr="00571D29">
        <w:rPr>
          <w:rFonts w:ascii="Calibri" w:hAnsi="Calibri" w:cs="Calibri"/>
          <w:sz w:val="22"/>
          <w:szCs w:val="22"/>
        </w:rPr>
        <w:t xml:space="preserve">, Amsterdam; </w:t>
      </w:r>
      <w:proofErr w:type="spellStart"/>
      <w:r>
        <w:rPr>
          <w:rFonts w:ascii="Calibri" w:hAnsi="Calibri" w:cs="Calibri"/>
          <w:sz w:val="22"/>
          <w:szCs w:val="22"/>
          <w:vertAlign w:val="superscript"/>
        </w:rPr>
        <w:t>h</w:t>
      </w:r>
      <w:r w:rsidR="00A73797">
        <w:rPr>
          <w:rFonts w:ascii="Calibri" w:hAnsi="Calibri" w:cs="Calibri"/>
          <w:sz w:val="22"/>
          <w:szCs w:val="22"/>
        </w:rPr>
        <w:t>t</w:t>
      </w:r>
      <w:r w:rsidRPr="00571D29">
        <w:rPr>
          <w:rFonts w:ascii="Calibri" w:hAnsi="Calibri" w:cs="Calibri"/>
          <w:sz w:val="22"/>
          <w:szCs w:val="22"/>
        </w:rPr>
        <w:t>he</w:t>
      </w:r>
      <w:proofErr w:type="spellEnd"/>
      <w:r w:rsidRPr="00571D29">
        <w:rPr>
          <w:rFonts w:ascii="Calibri" w:hAnsi="Calibri" w:cs="Calibri"/>
          <w:sz w:val="22"/>
          <w:szCs w:val="22"/>
        </w:rPr>
        <w:t xml:space="preserve"> Department of Otorhinolaryngology, Academic Medical </w:t>
      </w:r>
      <w:proofErr w:type="spellStart"/>
      <w:r w:rsidRPr="00571D29">
        <w:rPr>
          <w:rFonts w:ascii="Calibri" w:hAnsi="Calibri" w:cs="Calibri"/>
          <w:sz w:val="22"/>
          <w:szCs w:val="22"/>
        </w:rPr>
        <w:t>Center</w:t>
      </w:r>
      <w:proofErr w:type="spellEnd"/>
      <w:r w:rsidRPr="00571D29">
        <w:rPr>
          <w:rFonts w:ascii="Calibri" w:hAnsi="Calibri" w:cs="Calibri"/>
          <w:sz w:val="22"/>
          <w:szCs w:val="22"/>
        </w:rPr>
        <w:t>, Amsterdam</w:t>
      </w:r>
    </w:p>
    <w:p w14:paraId="1846795E" w14:textId="77777777" w:rsidR="00614727" w:rsidRDefault="00614727" w:rsidP="002C4B96">
      <w:pPr>
        <w:spacing w:line="480" w:lineRule="auto"/>
        <w:rPr>
          <w:rFonts w:ascii="Calibri" w:hAnsi="Calibri"/>
          <w:b/>
          <w:color w:val="000000"/>
          <w:sz w:val="22"/>
        </w:rPr>
      </w:pPr>
    </w:p>
    <w:p w14:paraId="62AACF7B" w14:textId="77777777" w:rsidR="005254CD" w:rsidRPr="00392881" w:rsidRDefault="005254CD" w:rsidP="002C4B96">
      <w:pPr>
        <w:spacing w:line="480" w:lineRule="auto"/>
        <w:rPr>
          <w:rFonts w:asciiTheme="minorHAnsi" w:hAnsiTheme="minorHAnsi" w:cstheme="minorHAnsi"/>
          <w:color w:val="000000"/>
          <w:sz w:val="22"/>
          <w:szCs w:val="22"/>
        </w:rPr>
      </w:pPr>
      <w:r w:rsidRPr="00392881">
        <w:rPr>
          <w:rFonts w:asciiTheme="minorHAnsi" w:hAnsiTheme="minorHAnsi" w:cstheme="minorHAnsi"/>
          <w:b/>
          <w:color w:val="000000"/>
          <w:sz w:val="22"/>
          <w:szCs w:val="22"/>
        </w:rPr>
        <w:t xml:space="preserve">Conflict of interest: </w:t>
      </w:r>
      <w:r w:rsidRPr="00392881">
        <w:rPr>
          <w:rFonts w:asciiTheme="minorHAnsi" w:hAnsiTheme="minorHAnsi" w:cstheme="minorHAnsi"/>
          <w:color w:val="000000"/>
          <w:sz w:val="22"/>
          <w:szCs w:val="22"/>
        </w:rPr>
        <w:t>none</w:t>
      </w:r>
    </w:p>
    <w:p w14:paraId="71701CDB" w14:textId="20156D63" w:rsidR="005D6E74" w:rsidRDefault="00AB5299" w:rsidP="002C4B96">
      <w:pPr>
        <w:spacing w:line="480" w:lineRule="auto"/>
        <w:rPr>
          <w:rFonts w:asciiTheme="minorHAnsi" w:hAnsiTheme="minorHAnsi" w:cstheme="minorHAnsi"/>
          <w:sz w:val="22"/>
          <w:szCs w:val="22"/>
        </w:rPr>
      </w:pPr>
      <w:r w:rsidRPr="00392881">
        <w:rPr>
          <w:rFonts w:asciiTheme="minorHAnsi" w:hAnsiTheme="minorHAnsi" w:cstheme="minorHAnsi"/>
          <w:sz w:val="22"/>
          <w:szCs w:val="22"/>
        </w:rPr>
        <w:t xml:space="preserve">World count: </w:t>
      </w:r>
      <w:r w:rsidR="009761E8">
        <w:rPr>
          <w:rFonts w:asciiTheme="minorHAnsi" w:hAnsiTheme="minorHAnsi" w:cstheme="minorHAnsi"/>
          <w:sz w:val="22"/>
          <w:szCs w:val="22"/>
        </w:rPr>
        <w:t>439</w:t>
      </w:r>
      <w:r w:rsidR="000406CD">
        <w:rPr>
          <w:rFonts w:asciiTheme="minorHAnsi" w:hAnsiTheme="minorHAnsi" w:cstheme="minorHAnsi"/>
          <w:sz w:val="22"/>
          <w:szCs w:val="22"/>
        </w:rPr>
        <w:t>2</w:t>
      </w:r>
    </w:p>
    <w:p w14:paraId="4DE694B3" w14:textId="78A91856" w:rsidR="00102186" w:rsidRPr="00392881" w:rsidRDefault="005D6E74" w:rsidP="002C4B96">
      <w:pPr>
        <w:spacing w:line="480" w:lineRule="auto"/>
        <w:rPr>
          <w:rFonts w:asciiTheme="minorHAnsi" w:hAnsiTheme="minorHAnsi" w:cstheme="minorHAnsi"/>
          <w:sz w:val="22"/>
          <w:szCs w:val="22"/>
        </w:rPr>
      </w:pPr>
      <w:r>
        <w:rPr>
          <w:rFonts w:asciiTheme="minorHAnsi" w:hAnsiTheme="minorHAnsi" w:cstheme="minorHAnsi"/>
          <w:sz w:val="22"/>
          <w:szCs w:val="22"/>
        </w:rPr>
        <w:t xml:space="preserve">Figures/Tables: </w:t>
      </w:r>
      <w:r w:rsidR="00621922">
        <w:rPr>
          <w:rFonts w:asciiTheme="minorHAnsi" w:hAnsiTheme="minorHAnsi" w:cstheme="minorHAnsi"/>
          <w:sz w:val="22"/>
          <w:szCs w:val="22"/>
        </w:rPr>
        <w:t xml:space="preserve">2 </w:t>
      </w:r>
      <w:r>
        <w:rPr>
          <w:rFonts w:asciiTheme="minorHAnsi" w:hAnsiTheme="minorHAnsi" w:cstheme="minorHAnsi"/>
          <w:sz w:val="22"/>
          <w:szCs w:val="22"/>
        </w:rPr>
        <w:t xml:space="preserve">Tables &amp; </w:t>
      </w:r>
      <w:r w:rsidR="00621922">
        <w:rPr>
          <w:rFonts w:asciiTheme="minorHAnsi" w:hAnsiTheme="minorHAnsi" w:cstheme="minorHAnsi"/>
          <w:sz w:val="22"/>
          <w:szCs w:val="22"/>
        </w:rPr>
        <w:t xml:space="preserve">4 </w:t>
      </w:r>
      <w:r>
        <w:rPr>
          <w:rFonts w:asciiTheme="minorHAnsi" w:hAnsiTheme="minorHAnsi" w:cstheme="minorHAnsi"/>
          <w:sz w:val="22"/>
          <w:szCs w:val="22"/>
        </w:rPr>
        <w:t>Figures</w:t>
      </w:r>
    </w:p>
    <w:p w14:paraId="1D3211E5" w14:textId="77777777" w:rsidR="00392881" w:rsidRPr="00392881" w:rsidRDefault="00392881" w:rsidP="002C4B96">
      <w:pPr>
        <w:spacing w:line="480" w:lineRule="auto"/>
        <w:rPr>
          <w:rFonts w:asciiTheme="minorHAnsi" w:hAnsiTheme="minorHAnsi" w:cstheme="minorHAnsi"/>
          <w:sz w:val="22"/>
          <w:szCs w:val="22"/>
        </w:rPr>
      </w:pPr>
    </w:p>
    <w:p w14:paraId="21E369E6" w14:textId="77777777" w:rsidR="00102186" w:rsidRPr="00392881" w:rsidRDefault="00102186" w:rsidP="002C4B96">
      <w:pPr>
        <w:spacing w:line="480" w:lineRule="auto"/>
        <w:rPr>
          <w:rFonts w:asciiTheme="minorHAnsi" w:hAnsiTheme="minorHAnsi" w:cstheme="minorHAnsi"/>
          <w:b/>
          <w:color w:val="000000"/>
          <w:sz w:val="22"/>
          <w:szCs w:val="22"/>
        </w:rPr>
      </w:pPr>
      <w:r w:rsidRPr="00392881">
        <w:rPr>
          <w:rFonts w:asciiTheme="minorHAnsi" w:hAnsiTheme="minorHAnsi" w:cstheme="minorHAnsi"/>
          <w:b/>
          <w:color w:val="000000"/>
          <w:sz w:val="22"/>
          <w:szCs w:val="22"/>
        </w:rPr>
        <w:t>Corresponding author:</w:t>
      </w:r>
    </w:p>
    <w:p w14:paraId="2C627259" w14:textId="77777777" w:rsidR="00102186" w:rsidRPr="00392881" w:rsidRDefault="00102186" w:rsidP="002C4B96">
      <w:pPr>
        <w:spacing w:line="480" w:lineRule="auto"/>
        <w:rPr>
          <w:rFonts w:asciiTheme="minorHAnsi" w:hAnsiTheme="minorHAnsi" w:cstheme="minorHAnsi"/>
          <w:sz w:val="22"/>
          <w:szCs w:val="22"/>
        </w:rPr>
      </w:pPr>
      <w:r w:rsidRPr="00392881">
        <w:rPr>
          <w:rFonts w:asciiTheme="minorHAnsi" w:hAnsiTheme="minorHAnsi" w:cstheme="minorHAnsi"/>
          <w:sz w:val="22"/>
          <w:szCs w:val="22"/>
        </w:rPr>
        <w:t>Gideon Lack</w:t>
      </w:r>
    </w:p>
    <w:p w14:paraId="57C99959" w14:textId="77777777" w:rsidR="00102186" w:rsidRPr="00D94188" w:rsidRDefault="00102186" w:rsidP="002C4B96">
      <w:pPr>
        <w:spacing w:line="480" w:lineRule="auto"/>
        <w:rPr>
          <w:rFonts w:ascii="Calibri" w:hAnsi="Calibri"/>
          <w:sz w:val="22"/>
        </w:rPr>
      </w:pPr>
      <w:r w:rsidRPr="00D94188">
        <w:rPr>
          <w:rFonts w:ascii="Calibri" w:hAnsi="Calibri"/>
          <w:sz w:val="22"/>
        </w:rPr>
        <w:t>Professor of Paediatric Allergy, King's College London</w:t>
      </w:r>
    </w:p>
    <w:p w14:paraId="6C0CBD14" w14:textId="77777777" w:rsidR="00102186" w:rsidRPr="00D94188" w:rsidRDefault="00102186" w:rsidP="002C4B96">
      <w:pPr>
        <w:spacing w:line="480" w:lineRule="auto"/>
        <w:rPr>
          <w:rFonts w:ascii="Calibri" w:hAnsi="Calibri"/>
          <w:sz w:val="22"/>
        </w:rPr>
      </w:pPr>
      <w:r w:rsidRPr="00D94188">
        <w:rPr>
          <w:rFonts w:ascii="Calibri" w:hAnsi="Calibri"/>
          <w:sz w:val="22"/>
        </w:rPr>
        <w:t>Head of the Clinical Academic Paediatric Allergy Service</w:t>
      </w:r>
    </w:p>
    <w:p w14:paraId="3FBE88A0" w14:textId="77777777" w:rsidR="00102186" w:rsidRPr="00D94188" w:rsidRDefault="00102186" w:rsidP="002C4B96">
      <w:pPr>
        <w:spacing w:line="480" w:lineRule="auto"/>
        <w:rPr>
          <w:rFonts w:ascii="Calibri" w:hAnsi="Calibri"/>
          <w:sz w:val="22"/>
        </w:rPr>
      </w:pPr>
      <w:r w:rsidRPr="00D94188">
        <w:rPr>
          <w:rFonts w:ascii="Calibri" w:hAnsi="Calibri"/>
          <w:sz w:val="22"/>
        </w:rPr>
        <w:t>Guy’s &amp; St Thomas’ NHS Foundation Trust</w:t>
      </w:r>
    </w:p>
    <w:p w14:paraId="0B8C2C62" w14:textId="77777777" w:rsidR="00102186" w:rsidRPr="00D94188" w:rsidRDefault="00102186" w:rsidP="002C4B96">
      <w:pPr>
        <w:spacing w:line="480" w:lineRule="auto"/>
        <w:rPr>
          <w:rFonts w:ascii="Calibri" w:hAnsi="Calibri"/>
          <w:sz w:val="22"/>
        </w:rPr>
      </w:pPr>
      <w:r w:rsidRPr="00D94188">
        <w:rPr>
          <w:rFonts w:ascii="Calibri" w:hAnsi="Calibri"/>
          <w:sz w:val="22"/>
        </w:rPr>
        <w:t>Children's Allergies Department</w:t>
      </w:r>
    </w:p>
    <w:p w14:paraId="1B8F5F4E" w14:textId="77777777" w:rsidR="00102186" w:rsidRPr="00D94188" w:rsidRDefault="00102186" w:rsidP="002C4B96">
      <w:pPr>
        <w:spacing w:line="480" w:lineRule="auto"/>
        <w:rPr>
          <w:rFonts w:ascii="Calibri" w:hAnsi="Calibri"/>
          <w:sz w:val="22"/>
        </w:rPr>
      </w:pPr>
      <w:r w:rsidRPr="00D94188">
        <w:rPr>
          <w:rFonts w:ascii="Calibri" w:hAnsi="Calibri"/>
          <w:sz w:val="22"/>
        </w:rPr>
        <w:lastRenderedPageBreak/>
        <w:t>St Thomas’ Hospital</w:t>
      </w:r>
    </w:p>
    <w:p w14:paraId="6647F38C" w14:textId="77777777" w:rsidR="00102186" w:rsidRPr="00D94188" w:rsidRDefault="00102186" w:rsidP="002C4B96">
      <w:pPr>
        <w:spacing w:line="480" w:lineRule="auto"/>
        <w:rPr>
          <w:rFonts w:ascii="Calibri" w:hAnsi="Calibri"/>
          <w:sz w:val="22"/>
        </w:rPr>
      </w:pPr>
      <w:r w:rsidRPr="00D94188">
        <w:rPr>
          <w:rFonts w:ascii="Calibri" w:hAnsi="Calibri"/>
          <w:sz w:val="22"/>
        </w:rPr>
        <w:t>Westminster Bridge Road</w:t>
      </w:r>
    </w:p>
    <w:p w14:paraId="7157353F" w14:textId="77777777" w:rsidR="00102186" w:rsidRPr="00D94188" w:rsidRDefault="00102186" w:rsidP="002C4B96">
      <w:pPr>
        <w:spacing w:line="480" w:lineRule="auto"/>
        <w:rPr>
          <w:rFonts w:ascii="Calibri" w:hAnsi="Calibri"/>
          <w:sz w:val="22"/>
        </w:rPr>
      </w:pPr>
      <w:r w:rsidRPr="00D94188">
        <w:rPr>
          <w:rFonts w:ascii="Calibri" w:hAnsi="Calibri"/>
          <w:sz w:val="22"/>
        </w:rPr>
        <w:t>London SE1 7EH</w:t>
      </w:r>
    </w:p>
    <w:p w14:paraId="39A2A79A" w14:textId="77777777" w:rsidR="00102186" w:rsidRPr="00D94188" w:rsidRDefault="00102186" w:rsidP="002C4B96">
      <w:pPr>
        <w:spacing w:line="480" w:lineRule="auto"/>
        <w:rPr>
          <w:rFonts w:ascii="Calibri" w:hAnsi="Calibri"/>
          <w:sz w:val="22"/>
        </w:rPr>
      </w:pPr>
      <w:r w:rsidRPr="00D94188">
        <w:rPr>
          <w:rFonts w:ascii="Calibri" w:hAnsi="Calibri"/>
          <w:sz w:val="22"/>
        </w:rPr>
        <w:t>Tel:       +44 (0)20 7188 9730</w:t>
      </w:r>
    </w:p>
    <w:p w14:paraId="30048036" w14:textId="77777777" w:rsidR="00102186" w:rsidRPr="00D94188" w:rsidRDefault="00102186" w:rsidP="002C4B96">
      <w:pPr>
        <w:spacing w:line="480" w:lineRule="auto"/>
        <w:rPr>
          <w:rFonts w:ascii="Calibri" w:hAnsi="Calibri"/>
          <w:sz w:val="22"/>
        </w:rPr>
      </w:pPr>
      <w:r w:rsidRPr="00D94188">
        <w:rPr>
          <w:rFonts w:ascii="Calibri" w:hAnsi="Calibri"/>
          <w:sz w:val="22"/>
        </w:rPr>
        <w:t>Fax:      +44 (0)20 7188 9782</w:t>
      </w:r>
    </w:p>
    <w:p w14:paraId="5690323D" w14:textId="7991C213" w:rsidR="00417594" w:rsidRPr="007226D9" w:rsidRDefault="00102186" w:rsidP="002C4B96">
      <w:pPr>
        <w:spacing w:line="480" w:lineRule="auto"/>
        <w:rPr>
          <w:rStyle w:val="Hyperlink"/>
          <w:rFonts w:ascii="Calibri" w:hAnsi="Calibri" w:cs="Calibri"/>
          <w:bCs/>
          <w:sz w:val="22"/>
          <w:szCs w:val="22"/>
          <w:u w:val="none"/>
        </w:rPr>
      </w:pPr>
      <w:r w:rsidRPr="007226D9">
        <w:rPr>
          <w:rFonts w:ascii="Calibri" w:hAnsi="Calibri" w:cs="Calibri"/>
          <w:bCs/>
          <w:sz w:val="22"/>
          <w:szCs w:val="22"/>
        </w:rPr>
        <w:t xml:space="preserve">Email:   </w:t>
      </w:r>
      <w:r w:rsidRPr="007226D9">
        <w:rPr>
          <w:rStyle w:val="Hyperlink"/>
          <w:rFonts w:ascii="Calibri" w:hAnsi="Calibri" w:cs="Calibri"/>
          <w:bCs/>
          <w:color w:val="auto"/>
          <w:sz w:val="22"/>
          <w:szCs w:val="22"/>
          <w:u w:val="none"/>
        </w:rPr>
        <w:t>gideon.lack@kcl.ac.uk</w:t>
      </w:r>
    </w:p>
    <w:p w14:paraId="71384A26" w14:textId="77777777" w:rsidR="00417594" w:rsidRDefault="00417594" w:rsidP="002C4B96">
      <w:pPr>
        <w:spacing w:line="480" w:lineRule="auto"/>
        <w:rPr>
          <w:rStyle w:val="Hyperlink"/>
          <w:rFonts w:ascii="Calibri" w:hAnsi="Calibri" w:cs="Calibri"/>
          <w:bCs/>
          <w:sz w:val="22"/>
          <w:szCs w:val="22"/>
        </w:rPr>
      </w:pPr>
    </w:p>
    <w:p w14:paraId="178197E8" w14:textId="77777777" w:rsidR="00417594" w:rsidRDefault="00417594" w:rsidP="00417594">
      <w:pPr>
        <w:spacing w:line="480" w:lineRule="auto"/>
        <w:rPr>
          <w:rFonts w:ascii="Calibri" w:hAnsi="Calibri"/>
          <w:b/>
          <w:sz w:val="22"/>
        </w:rPr>
      </w:pPr>
      <w:r>
        <w:rPr>
          <w:rFonts w:ascii="Calibri" w:hAnsi="Calibri"/>
          <w:b/>
          <w:sz w:val="22"/>
        </w:rPr>
        <w:t>Funding</w:t>
      </w:r>
    </w:p>
    <w:p w14:paraId="61AD5BBF" w14:textId="12B6A0D9" w:rsidR="00417594" w:rsidRDefault="00417594" w:rsidP="00417594">
      <w:pPr>
        <w:pStyle w:val="PlainText"/>
        <w:spacing w:line="480" w:lineRule="auto"/>
        <w:rPr>
          <w:rFonts w:ascii="Calibri" w:hAnsi="Calibri"/>
          <w:sz w:val="22"/>
        </w:rPr>
      </w:pPr>
      <w:r w:rsidRPr="000E1D36">
        <w:rPr>
          <w:rFonts w:ascii="Calibri" w:hAnsi="Calibri"/>
          <w:sz w:val="22"/>
        </w:rPr>
        <w:t xml:space="preserve">The main components of the EAT </w:t>
      </w:r>
      <w:r w:rsidR="0085655C">
        <w:rPr>
          <w:rFonts w:ascii="Calibri" w:hAnsi="Calibri"/>
          <w:sz w:val="22"/>
        </w:rPr>
        <w:t>s</w:t>
      </w:r>
      <w:r w:rsidRPr="000E1D36">
        <w:rPr>
          <w:rFonts w:ascii="Calibri" w:hAnsi="Calibri"/>
          <w:sz w:val="22"/>
        </w:rPr>
        <w:t xml:space="preserve">tudy </w:t>
      </w:r>
      <w:r>
        <w:rPr>
          <w:rFonts w:ascii="Calibri" w:hAnsi="Calibri"/>
          <w:sz w:val="22"/>
        </w:rPr>
        <w:t xml:space="preserve">were </w:t>
      </w:r>
      <w:r w:rsidRPr="000E1D36">
        <w:rPr>
          <w:rFonts w:ascii="Calibri" w:hAnsi="Calibri"/>
          <w:sz w:val="22"/>
        </w:rPr>
        <w:t xml:space="preserve">jointly funded by the UK Food Standards Agency (FSA, </w:t>
      </w:r>
      <w:r>
        <w:rPr>
          <w:rFonts w:ascii="Calibri" w:hAnsi="Calibri"/>
          <w:sz w:val="22"/>
        </w:rPr>
        <w:t>contract</w:t>
      </w:r>
      <w:r w:rsidRPr="000E1D36">
        <w:rPr>
          <w:rFonts w:ascii="Calibri" w:hAnsi="Calibri"/>
          <w:sz w:val="22"/>
        </w:rPr>
        <w:t xml:space="preserve"> code T07051) and the Medical Research Council (MRC</w:t>
      </w:r>
      <w:r>
        <w:rPr>
          <w:rFonts w:ascii="Calibri" w:hAnsi="Calibri"/>
          <w:sz w:val="22"/>
        </w:rPr>
        <w:t>, grant MC_G1001205</w:t>
      </w:r>
      <w:r w:rsidRPr="000E1D36">
        <w:rPr>
          <w:rFonts w:ascii="Calibri" w:hAnsi="Calibri"/>
          <w:sz w:val="22"/>
        </w:rPr>
        <w:t>).</w:t>
      </w:r>
      <w:r>
        <w:rPr>
          <w:rFonts w:ascii="Calibri" w:hAnsi="Calibri"/>
          <w:sz w:val="22"/>
        </w:rPr>
        <w:t xml:space="preserve"> Additionally we would like to thank the Davis Foundation.</w:t>
      </w:r>
      <w:r w:rsidRPr="000E1D36">
        <w:rPr>
          <w:rFonts w:ascii="Calibri" w:hAnsi="Calibri"/>
          <w:sz w:val="22"/>
        </w:rPr>
        <w:t xml:space="preserve"> The skin-related aspects of the </w:t>
      </w:r>
      <w:r>
        <w:rPr>
          <w:rFonts w:ascii="Calibri" w:hAnsi="Calibri"/>
          <w:sz w:val="22"/>
        </w:rPr>
        <w:t xml:space="preserve">EAT </w:t>
      </w:r>
      <w:r w:rsidRPr="000E1D36">
        <w:rPr>
          <w:rFonts w:ascii="Calibri" w:hAnsi="Calibri"/>
          <w:sz w:val="22"/>
        </w:rPr>
        <w:t xml:space="preserve">study </w:t>
      </w:r>
      <w:r>
        <w:rPr>
          <w:rFonts w:ascii="Calibri" w:hAnsi="Calibri"/>
          <w:sz w:val="22"/>
        </w:rPr>
        <w:t>were</w:t>
      </w:r>
      <w:r w:rsidRPr="000E1D36">
        <w:rPr>
          <w:rFonts w:ascii="Calibri" w:hAnsi="Calibri"/>
          <w:sz w:val="22"/>
        </w:rPr>
        <w:t xml:space="preserve"> supported by the UK National Institute for Health Research (NIHR). CF held an NIHR Clinician Scientist Award (NIHRCS/01/2008/009). </w:t>
      </w:r>
      <w:r>
        <w:rPr>
          <w:rFonts w:ascii="Calibri" w:hAnsi="Calibri"/>
          <w:sz w:val="22"/>
        </w:rPr>
        <w:t>The analyses presented in this paper were supported by a subsequent grant from the FSA (c</w:t>
      </w:r>
      <w:r w:rsidRPr="00E05264">
        <w:rPr>
          <w:rFonts w:ascii="Calibri" w:hAnsi="Calibri"/>
          <w:sz w:val="22"/>
        </w:rPr>
        <w:t>ontract code FS101178</w:t>
      </w:r>
      <w:r>
        <w:rPr>
          <w:rFonts w:ascii="Calibri" w:hAnsi="Calibri"/>
          <w:sz w:val="22"/>
        </w:rPr>
        <w:t>) and the European Union (</w:t>
      </w:r>
      <w:r w:rsidRPr="00A20CF0">
        <w:rPr>
          <w:rFonts w:ascii="Calibri" w:hAnsi="Calibri"/>
          <w:sz w:val="22"/>
        </w:rPr>
        <w:t>Integrated Approaches to Food Aller</w:t>
      </w:r>
      <w:r>
        <w:rPr>
          <w:rFonts w:ascii="Calibri" w:hAnsi="Calibri"/>
          <w:sz w:val="22"/>
        </w:rPr>
        <w:t xml:space="preserve">gen and Allergy Risk Management (iFAAM), </w:t>
      </w:r>
      <w:r w:rsidRPr="00A20CF0">
        <w:rPr>
          <w:rFonts w:ascii="Calibri" w:hAnsi="Calibri"/>
          <w:sz w:val="22"/>
        </w:rPr>
        <w:t>Grant Agreement N° 312147)</w:t>
      </w:r>
      <w:r>
        <w:rPr>
          <w:rFonts w:ascii="Calibri" w:hAnsi="Calibri"/>
          <w:sz w:val="22"/>
        </w:rPr>
        <w:t>.</w:t>
      </w:r>
    </w:p>
    <w:p w14:paraId="37B7531C" w14:textId="74E430FD" w:rsidR="0017093F" w:rsidRDefault="0017093F" w:rsidP="002C4B96">
      <w:pPr>
        <w:spacing w:line="480" w:lineRule="auto"/>
        <w:rPr>
          <w:rFonts w:ascii="Calibri" w:hAnsi="Calibri"/>
          <w:b/>
          <w:sz w:val="22"/>
        </w:rPr>
      </w:pPr>
      <w:r>
        <w:rPr>
          <w:rFonts w:ascii="Calibri" w:hAnsi="Calibri"/>
          <w:b/>
          <w:sz w:val="22"/>
        </w:rPr>
        <w:br w:type="page"/>
      </w:r>
    </w:p>
    <w:p w14:paraId="0EFC3B8E" w14:textId="00879995" w:rsidR="009324D3" w:rsidRPr="00D94188" w:rsidRDefault="00210039" w:rsidP="002C4B96">
      <w:pPr>
        <w:pStyle w:val="PlainText"/>
        <w:spacing w:line="480" w:lineRule="auto"/>
        <w:rPr>
          <w:rFonts w:ascii="Calibri" w:hAnsi="Calibri"/>
          <w:b/>
          <w:sz w:val="22"/>
        </w:rPr>
      </w:pPr>
      <w:r w:rsidRPr="00D94188">
        <w:rPr>
          <w:rFonts w:ascii="Calibri" w:hAnsi="Calibri"/>
          <w:b/>
          <w:sz w:val="22"/>
        </w:rPr>
        <w:lastRenderedPageBreak/>
        <w:t>A</w:t>
      </w:r>
      <w:r w:rsidR="0052640B" w:rsidRPr="00D94188">
        <w:rPr>
          <w:rFonts w:ascii="Calibri" w:hAnsi="Calibri"/>
          <w:b/>
          <w:sz w:val="22"/>
        </w:rPr>
        <w:t>bstract</w:t>
      </w:r>
      <w:r w:rsidR="00577F14" w:rsidRPr="002801F1">
        <w:rPr>
          <w:rFonts w:ascii="Calibri" w:hAnsi="Calibri" w:cs="Calibri"/>
          <w:b/>
          <w:bCs/>
          <w:sz w:val="22"/>
          <w:szCs w:val="22"/>
        </w:rPr>
        <w:t xml:space="preserve"> </w:t>
      </w:r>
      <w:r w:rsidR="0017093F">
        <w:rPr>
          <w:rFonts w:ascii="Calibri" w:hAnsi="Calibri" w:cs="Calibri"/>
          <w:b/>
          <w:bCs/>
          <w:sz w:val="22"/>
          <w:szCs w:val="22"/>
        </w:rPr>
        <w:t>(</w:t>
      </w:r>
      <w:r w:rsidR="00381117">
        <w:rPr>
          <w:rFonts w:ascii="Calibri" w:hAnsi="Calibri" w:cs="Calibri"/>
          <w:b/>
          <w:bCs/>
          <w:sz w:val="22"/>
          <w:szCs w:val="22"/>
        </w:rPr>
        <w:t>244</w:t>
      </w:r>
      <w:r w:rsidR="00861DD4">
        <w:rPr>
          <w:rFonts w:ascii="Calibri" w:hAnsi="Calibri" w:cs="Calibri"/>
          <w:b/>
          <w:bCs/>
          <w:sz w:val="22"/>
          <w:szCs w:val="22"/>
        </w:rPr>
        <w:t xml:space="preserve"> </w:t>
      </w:r>
      <w:r w:rsidR="007972AC">
        <w:rPr>
          <w:rFonts w:ascii="Calibri" w:hAnsi="Calibri" w:cs="Calibri"/>
          <w:b/>
          <w:bCs/>
          <w:sz w:val="22"/>
          <w:szCs w:val="22"/>
        </w:rPr>
        <w:t>words</w:t>
      </w:r>
      <w:r w:rsidR="0017093F">
        <w:rPr>
          <w:rFonts w:ascii="Calibri" w:hAnsi="Calibri" w:cs="Calibri"/>
          <w:b/>
          <w:bCs/>
          <w:sz w:val="22"/>
          <w:szCs w:val="22"/>
        </w:rPr>
        <w:t>)</w:t>
      </w:r>
    </w:p>
    <w:p w14:paraId="7D857D04" w14:textId="4CA61D0B" w:rsidR="00175C4F" w:rsidRPr="00D94188" w:rsidRDefault="00281A3F" w:rsidP="002C4B96">
      <w:pPr>
        <w:spacing w:line="480" w:lineRule="auto"/>
        <w:rPr>
          <w:rFonts w:ascii="Calibri" w:hAnsi="Calibri"/>
          <w:b/>
          <w:sz w:val="22"/>
        </w:rPr>
      </w:pPr>
      <w:r w:rsidRPr="00D94188">
        <w:rPr>
          <w:rFonts w:ascii="Calibri" w:hAnsi="Calibri"/>
          <w:b/>
          <w:sz w:val="22"/>
        </w:rPr>
        <w:t>Background</w:t>
      </w:r>
      <w:r w:rsidR="0019489A" w:rsidRPr="00D94188">
        <w:rPr>
          <w:rFonts w:ascii="Calibri" w:hAnsi="Calibri"/>
          <w:b/>
          <w:sz w:val="22"/>
        </w:rPr>
        <w:t>:</w:t>
      </w:r>
      <w:r w:rsidR="00556982" w:rsidRPr="00D94188">
        <w:rPr>
          <w:rFonts w:ascii="Calibri" w:hAnsi="Calibri"/>
          <w:b/>
          <w:sz w:val="22"/>
        </w:rPr>
        <w:t xml:space="preserve"> </w:t>
      </w:r>
      <w:r w:rsidR="00A21687" w:rsidRPr="00D94188">
        <w:rPr>
          <w:rFonts w:ascii="Calibri" w:hAnsi="Calibri"/>
          <w:sz w:val="22"/>
        </w:rPr>
        <w:t xml:space="preserve">The </w:t>
      </w:r>
      <w:r w:rsidR="00AD471B">
        <w:rPr>
          <w:rFonts w:ascii="Calibri" w:hAnsi="Calibri"/>
          <w:sz w:val="22"/>
        </w:rPr>
        <w:t xml:space="preserve">Enquiring </w:t>
      </w:r>
      <w:proofErr w:type="gramStart"/>
      <w:r w:rsidR="00AD471B">
        <w:rPr>
          <w:rFonts w:ascii="Calibri" w:hAnsi="Calibri"/>
          <w:sz w:val="22"/>
        </w:rPr>
        <w:t>About</w:t>
      </w:r>
      <w:proofErr w:type="gramEnd"/>
      <w:r w:rsidR="00AD471B">
        <w:rPr>
          <w:rFonts w:ascii="Calibri" w:hAnsi="Calibri"/>
          <w:sz w:val="22"/>
        </w:rPr>
        <w:t xml:space="preserve"> Tolerance (</w:t>
      </w:r>
      <w:r w:rsidR="00A21687" w:rsidRPr="00D94188">
        <w:rPr>
          <w:rFonts w:ascii="Calibri" w:hAnsi="Calibri"/>
          <w:sz w:val="22"/>
        </w:rPr>
        <w:t>EAT</w:t>
      </w:r>
      <w:r w:rsidR="00AD471B">
        <w:rPr>
          <w:rFonts w:ascii="Calibri" w:hAnsi="Calibri"/>
          <w:sz w:val="22"/>
        </w:rPr>
        <w:t>)</w:t>
      </w:r>
      <w:r w:rsidR="00A21687" w:rsidRPr="00D94188">
        <w:rPr>
          <w:rFonts w:ascii="Calibri" w:hAnsi="Calibri"/>
          <w:sz w:val="22"/>
        </w:rPr>
        <w:t xml:space="preserve"> stu</w:t>
      </w:r>
      <w:r w:rsidR="00EA343F">
        <w:rPr>
          <w:rFonts w:ascii="Calibri" w:hAnsi="Calibri"/>
          <w:sz w:val="22"/>
        </w:rPr>
        <w:t>dy examine</w:t>
      </w:r>
      <w:r w:rsidR="005D0484">
        <w:rPr>
          <w:rFonts w:ascii="Calibri" w:hAnsi="Calibri"/>
          <w:sz w:val="22"/>
        </w:rPr>
        <w:t>d</w:t>
      </w:r>
      <w:r w:rsidR="00EA343F">
        <w:rPr>
          <w:rFonts w:ascii="Calibri" w:hAnsi="Calibri"/>
          <w:sz w:val="22"/>
        </w:rPr>
        <w:t xml:space="preserve"> whether</w:t>
      </w:r>
      <w:r w:rsidR="00A21687" w:rsidRPr="00D94188">
        <w:rPr>
          <w:rFonts w:ascii="Calibri" w:hAnsi="Calibri"/>
          <w:sz w:val="22"/>
        </w:rPr>
        <w:t xml:space="preserve"> </w:t>
      </w:r>
      <w:r w:rsidR="005D0484">
        <w:rPr>
          <w:rFonts w:ascii="Calibri" w:hAnsi="Calibri"/>
          <w:sz w:val="22"/>
        </w:rPr>
        <w:t xml:space="preserve">the </w:t>
      </w:r>
      <w:r w:rsidR="00A21687" w:rsidRPr="00D94188">
        <w:rPr>
          <w:rFonts w:ascii="Calibri" w:hAnsi="Calibri"/>
          <w:sz w:val="22"/>
        </w:rPr>
        <w:t>early introduction of six allergenic foods from three months of age in exclusively breastfed infants prevent</w:t>
      </w:r>
      <w:r w:rsidR="00EA343F">
        <w:rPr>
          <w:rFonts w:ascii="Calibri" w:hAnsi="Calibri"/>
          <w:sz w:val="22"/>
        </w:rPr>
        <w:t>ed</w:t>
      </w:r>
      <w:r w:rsidR="00A21687" w:rsidRPr="00D94188">
        <w:rPr>
          <w:rFonts w:ascii="Calibri" w:hAnsi="Calibri"/>
          <w:sz w:val="22"/>
        </w:rPr>
        <w:t xml:space="preserve"> </w:t>
      </w:r>
      <w:r w:rsidR="00B47109">
        <w:rPr>
          <w:rFonts w:ascii="Calibri" w:hAnsi="Calibri"/>
          <w:sz w:val="22"/>
        </w:rPr>
        <w:t xml:space="preserve">the development of </w:t>
      </w:r>
      <w:r w:rsidR="00A21687" w:rsidRPr="00D94188">
        <w:rPr>
          <w:rFonts w:ascii="Calibri" w:hAnsi="Calibri"/>
          <w:sz w:val="22"/>
        </w:rPr>
        <w:t xml:space="preserve">food allergy. </w:t>
      </w:r>
      <w:r w:rsidR="005254CD" w:rsidRPr="00662BE4">
        <w:rPr>
          <w:rFonts w:ascii="Calibri" w:hAnsi="Calibri"/>
          <w:sz w:val="22"/>
        </w:rPr>
        <w:t>The intervention was effective in the per-protocol analysis</w:t>
      </w:r>
      <w:r w:rsidR="000A61B3">
        <w:rPr>
          <w:rFonts w:ascii="Calibri" w:hAnsi="Calibri"/>
          <w:sz w:val="22"/>
        </w:rPr>
        <w:t xml:space="preserve"> for allergy to one or more foods and for egg and peanut individually</w:t>
      </w:r>
      <w:r w:rsidR="005254CD" w:rsidRPr="00662BE4">
        <w:rPr>
          <w:rFonts w:ascii="Calibri" w:hAnsi="Calibri"/>
          <w:sz w:val="22"/>
        </w:rPr>
        <w:t xml:space="preserve">, but only </w:t>
      </w:r>
      <w:r w:rsidR="005254CD" w:rsidRPr="00662BE4">
        <w:rPr>
          <w:rFonts w:ascii="Calibri" w:hAnsi="Calibri" w:cs="Calibri"/>
          <w:sz w:val="22"/>
          <w:szCs w:val="22"/>
        </w:rPr>
        <w:t xml:space="preserve">42% </w:t>
      </w:r>
      <w:proofErr w:type="gramStart"/>
      <w:r w:rsidR="005254CD" w:rsidRPr="00662BE4">
        <w:rPr>
          <w:rFonts w:ascii="Calibri" w:hAnsi="Calibri" w:cs="Calibri"/>
          <w:sz w:val="22"/>
          <w:szCs w:val="22"/>
        </w:rPr>
        <w:t xml:space="preserve">of  </w:t>
      </w:r>
      <w:r w:rsidR="005254CD" w:rsidRPr="00662BE4">
        <w:rPr>
          <w:rFonts w:ascii="Calibri" w:hAnsi="Calibri"/>
          <w:sz w:val="22"/>
        </w:rPr>
        <w:t>early</w:t>
      </w:r>
      <w:proofErr w:type="gramEnd"/>
      <w:r w:rsidR="005254CD" w:rsidRPr="00662BE4">
        <w:rPr>
          <w:rFonts w:ascii="Calibri" w:hAnsi="Calibri"/>
          <w:sz w:val="22"/>
        </w:rPr>
        <w:t xml:space="preserve"> introduction group (EIG) </w:t>
      </w:r>
      <w:r w:rsidR="005254CD" w:rsidRPr="00662BE4">
        <w:rPr>
          <w:rFonts w:ascii="Calibri" w:hAnsi="Calibri" w:cs="Calibri"/>
          <w:sz w:val="22"/>
          <w:szCs w:val="22"/>
        </w:rPr>
        <w:t xml:space="preserve">children </w:t>
      </w:r>
      <w:r w:rsidR="00861DD4">
        <w:rPr>
          <w:rFonts w:ascii="Calibri" w:hAnsi="Calibri" w:cs="Calibri"/>
          <w:sz w:val="22"/>
          <w:szCs w:val="22"/>
        </w:rPr>
        <w:t>met the per-protocol criteria</w:t>
      </w:r>
      <w:r w:rsidR="005254CD" w:rsidRPr="00662BE4">
        <w:rPr>
          <w:rFonts w:ascii="Calibri" w:hAnsi="Calibri"/>
          <w:sz w:val="22"/>
        </w:rPr>
        <w:t>.</w:t>
      </w:r>
    </w:p>
    <w:p w14:paraId="0519F8C5" w14:textId="5FFA07FC" w:rsidR="00A21687" w:rsidRDefault="00761844" w:rsidP="002C4B96">
      <w:pPr>
        <w:spacing w:line="480" w:lineRule="auto"/>
        <w:rPr>
          <w:rFonts w:ascii="Calibri" w:hAnsi="Calibri"/>
          <w:sz w:val="22"/>
        </w:rPr>
      </w:pPr>
      <w:r>
        <w:rPr>
          <w:rFonts w:ascii="Calibri" w:hAnsi="Calibri"/>
          <w:b/>
          <w:sz w:val="22"/>
        </w:rPr>
        <w:t>Objective</w:t>
      </w:r>
      <w:r w:rsidR="00210039" w:rsidRPr="00D94188">
        <w:rPr>
          <w:rFonts w:ascii="Calibri" w:hAnsi="Calibri"/>
          <w:sz w:val="22"/>
        </w:rPr>
        <w:t>:</w:t>
      </w:r>
      <w:r w:rsidR="00E67760">
        <w:rPr>
          <w:rFonts w:ascii="Calibri" w:hAnsi="Calibri"/>
          <w:sz w:val="22"/>
        </w:rPr>
        <w:t xml:space="preserve"> </w:t>
      </w:r>
      <w:r w:rsidR="00081DED">
        <w:rPr>
          <w:rFonts w:ascii="Calibri" w:hAnsi="Calibri"/>
          <w:sz w:val="22"/>
        </w:rPr>
        <w:t>To</w:t>
      </w:r>
      <w:r w:rsidR="0017093F">
        <w:rPr>
          <w:rFonts w:ascii="Calibri" w:hAnsi="Calibri"/>
          <w:sz w:val="22"/>
        </w:rPr>
        <w:t xml:space="preserve"> </w:t>
      </w:r>
      <w:r w:rsidR="00081DED">
        <w:rPr>
          <w:rFonts w:ascii="Calibri" w:hAnsi="Calibri"/>
          <w:sz w:val="22"/>
        </w:rPr>
        <w:t xml:space="preserve">identify </w:t>
      </w:r>
      <w:r w:rsidR="004E6E20">
        <w:rPr>
          <w:rFonts w:ascii="Calibri" w:hAnsi="Calibri"/>
          <w:sz w:val="22"/>
        </w:rPr>
        <w:t>which</w:t>
      </w:r>
      <w:r w:rsidR="00DE18D6">
        <w:rPr>
          <w:rFonts w:ascii="Calibri" w:hAnsi="Calibri"/>
          <w:sz w:val="22"/>
        </w:rPr>
        <w:t xml:space="preserve"> factors were responsible for non-adherence in the EAT study.</w:t>
      </w:r>
    </w:p>
    <w:p w14:paraId="5D16FAA8" w14:textId="42084E97" w:rsidR="00081DED" w:rsidRDefault="00081DED" w:rsidP="00081DED">
      <w:pPr>
        <w:spacing w:line="480" w:lineRule="auto"/>
        <w:rPr>
          <w:rFonts w:ascii="Calibri" w:hAnsi="Calibri"/>
          <w:sz w:val="22"/>
        </w:rPr>
      </w:pPr>
      <w:r>
        <w:rPr>
          <w:rFonts w:ascii="Calibri" w:hAnsi="Calibri"/>
          <w:b/>
          <w:sz w:val="22"/>
        </w:rPr>
        <w:t>Methods</w:t>
      </w:r>
      <w:r w:rsidRPr="00D94188">
        <w:rPr>
          <w:rFonts w:ascii="Calibri" w:hAnsi="Calibri"/>
          <w:sz w:val="22"/>
        </w:rPr>
        <w:t xml:space="preserve">: </w:t>
      </w:r>
      <w:r>
        <w:rPr>
          <w:rFonts w:ascii="Calibri" w:hAnsi="Calibri"/>
          <w:sz w:val="22"/>
        </w:rPr>
        <w:t>Factors influencing adherence with</w:t>
      </w:r>
      <w:r w:rsidR="00A13F72">
        <w:rPr>
          <w:rFonts w:ascii="Calibri" w:hAnsi="Calibri"/>
          <w:sz w:val="22"/>
        </w:rPr>
        <w:t>in</w:t>
      </w:r>
      <w:r>
        <w:rPr>
          <w:rFonts w:ascii="Calibri" w:hAnsi="Calibri"/>
          <w:sz w:val="22"/>
        </w:rPr>
        <w:t xml:space="preserve"> the key early introduction period in the EIG (up to six months of age) were divided into </w:t>
      </w:r>
      <w:r w:rsidR="00C52104">
        <w:rPr>
          <w:rFonts w:ascii="Calibri" w:hAnsi="Calibri"/>
          <w:sz w:val="22"/>
        </w:rPr>
        <w:t>enrollment</w:t>
      </w:r>
      <w:r>
        <w:rPr>
          <w:rFonts w:ascii="Calibri" w:hAnsi="Calibri"/>
          <w:sz w:val="22"/>
        </w:rPr>
        <w:t xml:space="preserve"> and post-</w:t>
      </w:r>
      <w:r w:rsidR="00C52104">
        <w:rPr>
          <w:rFonts w:ascii="Calibri" w:hAnsi="Calibri"/>
          <w:sz w:val="22"/>
        </w:rPr>
        <w:t>enrollment</w:t>
      </w:r>
      <w:r>
        <w:rPr>
          <w:rFonts w:ascii="Calibri" w:hAnsi="Calibri"/>
          <w:sz w:val="22"/>
        </w:rPr>
        <w:t xml:space="preserve"> factors and their association with non-adherence was explored.</w:t>
      </w:r>
    </w:p>
    <w:p w14:paraId="6164B1FA" w14:textId="336256D2" w:rsidR="0083663A" w:rsidRDefault="00761844" w:rsidP="002C4B96">
      <w:pPr>
        <w:spacing w:line="480" w:lineRule="auto"/>
        <w:rPr>
          <w:rFonts w:ascii="Calibri" w:hAnsi="Calibri"/>
          <w:sz w:val="22"/>
          <w:szCs w:val="22"/>
        </w:rPr>
      </w:pPr>
      <w:r>
        <w:rPr>
          <w:rFonts w:ascii="Calibri" w:hAnsi="Calibri" w:cs="Calibri"/>
          <w:b/>
          <w:bCs/>
          <w:sz w:val="22"/>
          <w:szCs w:val="22"/>
        </w:rPr>
        <w:t>Results</w:t>
      </w:r>
      <w:r w:rsidR="00577F14" w:rsidRPr="002801F1">
        <w:rPr>
          <w:rFonts w:ascii="Calibri" w:hAnsi="Calibri" w:cs="Calibri"/>
          <w:sz w:val="22"/>
          <w:szCs w:val="22"/>
        </w:rPr>
        <w:t>:</w:t>
      </w:r>
      <w:r w:rsidR="00875841">
        <w:rPr>
          <w:rFonts w:ascii="Calibri" w:hAnsi="Calibri" w:cs="Calibri"/>
          <w:sz w:val="22"/>
          <w:szCs w:val="22"/>
        </w:rPr>
        <w:t xml:space="preserve"> </w:t>
      </w:r>
      <w:r w:rsidR="00ED7BF0">
        <w:rPr>
          <w:rFonts w:ascii="Calibri" w:hAnsi="Calibri" w:cs="Calibri"/>
          <w:sz w:val="22"/>
          <w:szCs w:val="22"/>
        </w:rPr>
        <w:t>In an adjusted analysis, a</w:t>
      </w:r>
      <w:r w:rsidR="0083663A">
        <w:rPr>
          <w:rFonts w:ascii="Calibri" w:hAnsi="Calibri" w:cs="Calibri"/>
          <w:sz w:val="22"/>
          <w:szCs w:val="22"/>
        </w:rPr>
        <w:t xml:space="preserve">t </w:t>
      </w:r>
      <w:r w:rsidR="00370EAA">
        <w:rPr>
          <w:rFonts w:ascii="Calibri" w:hAnsi="Calibri" w:cs="Calibri"/>
          <w:sz w:val="22"/>
          <w:szCs w:val="22"/>
        </w:rPr>
        <w:t>enrollment</w:t>
      </w:r>
      <w:r w:rsidR="0083663A">
        <w:rPr>
          <w:rFonts w:ascii="Calibri" w:hAnsi="Calibri" w:cs="Calibri"/>
          <w:sz w:val="22"/>
          <w:szCs w:val="22"/>
        </w:rPr>
        <w:t>, increas</w:t>
      </w:r>
      <w:r w:rsidR="002C12E5">
        <w:rPr>
          <w:rFonts w:ascii="Calibri" w:hAnsi="Calibri" w:cs="Calibri"/>
          <w:sz w:val="22"/>
          <w:szCs w:val="22"/>
        </w:rPr>
        <w:t>ed</w:t>
      </w:r>
      <w:r w:rsidR="0083663A">
        <w:rPr>
          <w:rFonts w:ascii="Calibri" w:hAnsi="Calibri" w:cs="Calibri"/>
          <w:sz w:val="22"/>
          <w:szCs w:val="22"/>
        </w:rPr>
        <w:t xml:space="preserve"> m</w:t>
      </w:r>
      <w:r w:rsidR="0083663A">
        <w:rPr>
          <w:rFonts w:ascii="Calibri" w:hAnsi="Calibri"/>
          <w:sz w:val="22"/>
          <w:szCs w:val="22"/>
        </w:rPr>
        <w:t>aternal age</w:t>
      </w:r>
      <w:r w:rsidR="0083663A" w:rsidRPr="002801F1">
        <w:rPr>
          <w:rFonts w:ascii="Calibri" w:hAnsi="Calibri"/>
          <w:sz w:val="22"/>
          <w:szCs w:val="22"/>
        </w:rPr>
        <w:t>, non-white ethnicity</w:t>
      </w:r>
      <w:r w:rsidR="0083663A">
        <w:rPr>
          <w:rFonts w:ascii="Calibri" w:hAnsi="Calibri"/>
          <w:sz w:val="22"/>
          <w:szCs w:val="22"/>
        </w:rPr>
        <w:t xml:space="preserve"> and </w:t>
      </w:r>
      <w:r w:rsidR="0083663A" w:rsidRPr="002801F1">
        <w:rPr>
          <w:rFonts w:ascii="Calibri" w:hAnsi="Calibri"/>
          <w:sz w:val="22"/>
          <w:szCs w:val="22"/>
        </w:rPr>
        <w:t>lower</w:t>
      </w:r>
      <w:r w:rsidR="0083663A">
        <w:rPr>
          <w:rFonts w:ascii="Calibri" w:hAnsi="Calibri"/>
          <w:sz w:val="22"/>
          <w:szCs w:val="22"/>
        </w:rPr>
        <w:t xml:space="preserve"> maternal quality of life were independently and significantly associated with overall non-adherence in the EIG. </w:t>
      </w:r>
      <w:r w:rsidR="00370EAA">
        <w:rPr>
          <w:rFonts w:ascii="Calibri" w:hAnsi="Calibri"/>
          <w:sz w:val="22"/>
          <w:szCs w:val="22"/>
        </w:rPr>
        <w:t>Enrollment</w:t>
      </w:r>
      <w:r w:rsidR="0083663A">
        <w:rPr>
          <w:rFonts w:ascii="Calibri" w:hAnsi="Calibri"/>
          <w:sz w:val="22"/>
          <w:szCs w:val="22"/>
        </w:rPr>
        <w:t xml:space="preserve"> </w:t>
      </w:r>
      <w:r w:rsidR="00044243">
        <w:rPr>
          <w:rFonts w:ascii="Calibri" w:hAnsi="Calibri"/>
          <w:sz w:val="22"/>
          <w:szCs w:val="22"/>
        </w:rPr>
        <w:t xml:space="preserve">eczema and enrollment </w:t>
      </w:r>
      <w:r w:rsidR="0083663A">
        <w:rPr>
          <w:rFonts w:ascii="Calibri" w:hAnsi="Calibri"/>
          <w:sz w:val="22"/>
          <w:szCs w:val="22"/>
        </w:rPr>
        <w:t xml:space="preserve">serum allergen-specific IgE </w:t>
      </w:r>
      <w:r w:rsidR="009222F0">
        <w:rPr>
          <w:rFonts w:ascii="Calibri" w:hAnsi="Calibri"/>
          <w:sz w:val="22"/>
          <w:szCs w:val="22"/>
        </w:rPr>
        <w:t>sensitiz</w:t>
      </w:r>
      <w:r w:rsidR="0083663A">
        <w:rPr>
          <w:rFonts w:ascii="Calibri" w:hAnsi="Calibri"/>
          <w:sz w:val="22"/>
          <w:szCs w:val="22"/>
        </w:rPr>
        <w:t xml:space="preserve">ation </w:t>
      </w:r>
      <w:r w:rsidR="0083663A">
        <w:rPr>
          <w:rFonts w:ascii="Calibri" w:hAnsi="Calibri"/>
          <w:sz w:val="22"/>
        </w:rPr>
        <w:t>to one or more foods</w:t>
      </w:r>
      <w:r w:rsidR="00DF60B3">
        <w:rPr>
          <w:rFonts w:ascii="Calibri" w:hAnsi="Calibri"/>
          <w:sz w:val="22"/>
        </w:rPr>
        <w:t xml:space="preserve"> (≥0.1 kU/l)</w:t>
      </w:r>
      <w:r w:rsidR="0083663A">
        <w:rPr>
          <w:rFonts w:ascii="Calibri" w:hAnsi="Calibri"/>
          <w:sz w:val="22"/>
        </w:rPr>
        <w:t xml:space="preserve"> </w:t>
      </w:r>
      <w:r w:rsidR="00044243">
        <w:rPr>
          <w:rFonts w:ascii="Calibri" w:hAnsi="Calibri"/>
          <w:sz w:val="22"/>
          <w:szCs w:val="22"/>
        </w:rPr>
        <w:t xml:space="preserve">were </w:t>
      </w:r>
      <w:r w:rsidR="0083663A">
        <w:rPr>
          <w:rFonts w:ascii="Calibri" w:hAnsi="Calibri"/>
          <w:sz w:val="22"/>
          <w:szCs w:val="22"/>
        </w:rPr>
        <w:t>not related to overall non-adhe</w:t>
      </w:r>
      <w:r w:rsidR="00680CA9">
        <w:rPr>
          <w:rFonts w:ascii="Calibri" w:hAnsi="Calibri"/>
          <w:sz w:val="22"/>
          <w:szCs w:val="22"/>
        </w:rPr>
        <w:t>rence.</w:t>
      </w:r>
      <w:r w:rsidR="00A5639B">
        <w:rPr>
          <w:rFonts w:ascii="Calibri" w:hAnsi="Calibri"/>
          <w:sz w:val="22"/>
          <w:szCs w:val="22"/>
        </w:rPr>
        <w:t xml:space="preserve"> </w:t>
      </w:r>
    </w:p>
    <w:p w14:paraId="6F0CB5B5" w14:textId="295E9B6C" w:rsidR="0083663A" w:rsidRDefault="0083663A" w:rsidP="002C4B96">
      <w:pPr>
        <w:spacing w:line="480" w:lineRule="auto"/>
        <w:rPr>
          <w:rFonts w:ascii="Calibri" w:hAnsi="Calibri"/>
          <w:sz w:val="22"/>
          <w:szCs w:val="22"/>
        </w:rPr>
      </w:pPr>
      <w:r>
        <w:rPr>
          <w:rFonts w:ascii="Calibri" w:hAnsi="Calibri"/>
          <w:sz w:val="22"/>
          <w:szCs w:val="22"/>
        </w:rPr>
        <w:t xml:space="preserve">Post </w:t>
      </w:r>
      <w:r w:rsidR="00370EAA">
        <w:rPr>
          <w:rFonts w:ascii="Calibri" w:hAnsi="Calibri"/>
          <w:sz w:val="22"/>
          <w:szCs w:val="22"/>
        </w:rPr>
        <w:t>enrollment</w:t>
      </w:r>
      <w:r>
        <w:rPr>
          <w:rFonts w:ascii="Calibri" w:hAnsi="Calibri"/>
          <w:sz w:val="22"/>
          <w:szCs w:val="22"/>
        </w:rPr>
        <w:t xml:space="preserve"> two factors were significantly related with EIG overall non-adherence: parent reported IgE type symptoms with </w:t>
      </w:r>
      <w:r w:rsidR="00A73797">
        <w:rPr>
          <w:rFonts w:ascii="Calibri" w:hAnsi="Calibri"/>
          <w:sz w:val="22"/>
          <w:szCs w:val="22"/>
        </w:rPr>
        <w:t xml:space="preserve">infant </w:t>
      </w:r>
      <w:r>
        <w:rPr>
          <w:rFonts w:ascii="Calibri" w:hAnsi="Calibri"/>
          <w:sz w:val="22"/>
          <w:szCs w:val="22"/>
        </w:rPr>
        <w:t xml:space="preserve">allergenic food consumption </w:t>
      </w:r>
      <w:r w:rsidR="00A13F72">
        <w:rPr>
          <w:rFonts w:ascii="Calibri" w:hAnsi="Calibri"/>
          <w:sz w:val="22"/>
          <w:szCs w:val="22"/>
        </w:rPr>
        <w:t>by</w:t>
      </w:r>
      <w:r>
        <w:rPr>
          <w:rFonts w:ascii="Calibri" w:hAnsi="Calibri"/>
          <w:sz w:val="22"/>
          <w:szCs w:val="22"/>
        </w:rPr>
        <w:t xml:space="preserve"> 6 months of age and reported feeding difficulties by 4 months of age. </w:t>
      </w:r>
    </w:p>
    <w:p w14:paraId="0949C9BB" w14:textId="03C4E234" w:rsidR="009C530F" w:rsidRDefault="00761844" w:rsidP="00C623F3">
      <w:pPr>
        <w:spacing w:line="480" w:lineRule="auto"/>
        <w:rPr>
          <w:rFonts w:ascii="Calibri" w:hAnsi="Calibri" w:cs="Calibri"/>
          <w:b/>
          <w:iCs/>
          <w:sz w:val="22"/>
          <w:szCs w:val="22"/>
        </w:rPr>
      </w:pPr>
      <w:r w:rsidRPr="00381117">
        <w:rPr>
          <w:rFonts w:ascii="Calibri" w:hAnsi="Calibri" w:cs="Calibri"/>
          <w:b/>
          <w:sz w:val="22"/>
          <w:szCs w:val="22"/>
        </w:rPr>
        <w:t>Conclusion</w:t>
      </w:r>
      <w:r w:rsidR="00577F14" w:rsidRPr="00381117">
        <w:rPr>
          <w:rFonts w:ascii="Calibri" w:hAnsi="Calibri" w:cs="Calibri"/>
          <w:sz w:val="22"/>
          <w:szCs w:val="22"/>
        </w:rPr>
        <w:t>:</w:t>
      </w:r>
      <w:r w:rsidR="00055EC0" w:rsidRPr="00381117">
        <w:rPr>
          <w:rFonts w:ascii="Calibri" w:hAnsi="Calibri" w:cs="Calibri"/>
          <w:sz w:val="22"/>
          <w:szCs w:val="22"/>
        </w:rPr>
        <w:t xml:space="preserve"> </w:t>
      </w:r>
      <w:r w:rsidR="00577F14" w:rsidRPr="00381117">
        <w:rPr>
          <w:rFonts w:ascii="Calibri" w:hAnsi="Calibri"/>
          <w:color w:val="000000"/>
          <w:sz w:val="22"/>
          <w:szCs w:val="22"/>
        </w:rPr>
        <w:t>If early introduction of allergenic food</w:t>
      </w:r>
      <w:r w:rsidR="005D0484" w:rsidRPr="00381117">
        <w:rPr>
          <w:rFonts w:ascii="Calibri" w:hAnsi="Calibri"/>
          <w:color w:val="000000"/>
          <w:sz w:val="22"/>
          <w:szCs w:val="22"/>
        </w:rPr>
        <w:t>s</w:t>
      </w:r>
      <w:r w:rsidR="00577F14" w:rsidRPr="00381117">
        <w:rPr>
          <w:rFonts w:ascii="Calibri" w:hAnsi="Calibri"/>
          <w:color w:val="000000"/>
          <w:sz w:val="22"/>
          <w:szCs w:val="22"/>
        </w:rPr>
        <w:t xml:space="preserve"> </w:t>
      </w:r>
      <w:r w:rsidR="0060085D" w:rsidRPr="00381117">
        <w:rPr>
          <w:rFonts w:ascii="Calibri" w:hAnsi="Calibri"/>
          <w:color w:val="000000"/>
          <w:sz w:val="22"/>
          <w:szCs w:val="22"/>
        </w:rPr>
        <w:t>were to be</w:t>
      </w:r>
      <w:r w:rsidR="00577F14" w:rsidRPr="00381117">
        <w:rPr>
          <w:rFonts w:ascii="Calibri" w:hAnsi="Calibri"/>
          <w:color w:val="000000"/>
          <w:sz w:val="22"/>
          <w:szCs w:val="22"/>
        </w:rPr>
        <w:t xml:space="preserve"> </w:t>
      </w:r>
      <w:r w:rsidR="00563FAF" w:rsidRPr="00381117">
        <w:rPr>
          <w:rFonts w:ascii="Calibri" w:hAnsi="Calibri"/>
          <w:color w:val="000000"/>
          <w:sz w:val="22"/>
          <w:szCs w:val="22"/>
        </w:rPr>
        <w:t>considered</w:t>
      </w:r>
      <w:r w:rsidR="00577F14" w:rsidRPr="00381117">
        <w:rPr>
          <w:rFonts w:ascii="Calibri" w:hAnsi="Calibri"/>
          <w:color w:val="000000"/>
          <w:sz w:val="22"/>
          <w:szCs w:val="22"/>
        </w:rPr>
        <w:t xml:space="preserve"> as a</w:t>
      </w:r>
      <w:r w:rsidR="00563FAF" w:rsidRPr="00381117">
        <w:rPr>
          <w:rFonts w:ascii="Calibri" w:hAnsi="Calibri"/>
          <w:color w:val="000000"/>
          <w:sz w:val="22"/>
          <w:szCs w:val="22"/>
        </w:rPr>
        <w:t xml:space="preserve"> strategy to prevent food allergy</w:t>
      </w:r>
      <w:r w:rsidR="006501BD" w:rsidRPr="00381117">
        <w:rPr>
          <w:rFonts w:ascii="Calibri" w:hAnsi="Calibri"/>
          <w:color w:val="000000"/>
          <w:sz w:val="22"/>
          <w:szCs w:val="22"/>
        </w:rPr>
        <w:t>,</w:t>
      </w:r>
      <w:r w:rsidR="00577F14" w:rsidRPr="00381117">
        <w:rPr>
          <w:rFonts w:ascii="Calibri" w:hAnsi="Calibri"/>
          <w:color w:val="000000"/>
          <w:sz w:val="22"/>
          <w:szCs w:val="22"/>
        </w:rPr>
        <w:t xml:space="preserve"> </w:t>
      </w:r>
      <w:r w:rsidR="006501BD" w:rsidRPr="00381117">
        <w:rPr>
          <w:rFonts w:ascii="Calibri" w:hAnsi="Calibri"/>
          <w:color w:val="000000"/>
          <w:sz w:val="22"/>
          <w:szCs w:val="22"/>
        </w:rPr>
        <w:t>families of non-white ethnicity, those with older mothers</w:t>
      </w:r>
      <w:r w:rsidR="00A73797" w:rsidRPr="00381117">
        <w:rPr>
          <w:rFonts w:ascii="Calibri" w:hAnsi="Calibri"/>
          <w:color w:val="000000"/>
          <w:sz w:val="22"/>
          <w:szCs w:val="22"/>
        </w:rPr>
        <w:t xml:space="preserve"> and those with</w:t>
      </w:r>
      <w:r w:rsidR="006501BD" w:rsidRPr="00381117">
        <w:rPr>
          <w:rFonts w:ascii="Calibri" w:hAnsi="Calibri"/>
          <w:color w:val="000000"/>
          <w:sz w:val="22"/>
          <w:szCs w:val="22"/>
        </w:rPr>
        <w:t xml:space="preserve"> </w:t>
      </w:r>
      <w:r w:rsidR="005D0484" w:rsidRPr="00381117">
        <w:rPr>
          <w:rFonts w:ascii="Calibri" w:hAnsi="Calibri"/>
          <w:color w:val="000000"/>
          <w:sz w:val="22"/>
          <w:szCs w:val="22"/>
        </w:rPr>
        <w:t>infants</w:t>
      </w:r>
      <w:r w:rsidR="006501BD" w:rsidRPr="00381117">
        <w:rPr>
          <w:rFonts w:ascii="Calibri" w:hAnsi="Calibri"/>
          <w:color w:val="000000"/>
          <w:sz w:val="22"/>
          <w:szCs w:val="22"/>
        </w:rPr>
        <w:t xml:space="preserve"> with</w:t>
      </w:r>
      <w:r w:rsidR="005D0484" w:rsidRPr="00381117">
        <w:rPr>
          <w:rFonts w:ascii="Calibri" w:hAnsi="Calibri"/>
          <w:color w:val="000000"/>
          <w:sz w:val="22"/>
          <w:szCs w:val="22"/>
        </w:rPr>
        <w:t xml:space="preserve"> reported</w:t>
      </w:r>
      <w:r w:rsidR="006501BD" w:rsidRPr="00381117">
        <w:rPr>
          <w:rFonts w:ascii="Calibri" w:hAnsi="Calibri"/>
          <w:color w:val="000000"/>
          <w:sz w:val="22"/>
          <w:szCs w:val="22"/>
        </w:rPr>
        <w:t xml:space="preserve"> feeding difficulties</w:t>
      </w:r>
      <w:r w:rsidR="005D0484" w:rsidRPr="00381117">
        <w:rPr>
          <w:rFonts w:ascii="Calibri" w:hAnsi="Calibri"/>
          <w:color w:val="000000"/>
          <w:sz w:val="22"/>
          <w:szCs w:val="22"/>
        </w:rPr>
        <w:t xml:space="preserve"> </w:t>
      </w:r>
      <w:r w:rsidR="001A0A5E" w:rsidRPr="00381117">
        <w:rPr>
          <w:rFonts w:ascii="Calibri" w:hAnsi="Calibri"/>
          <w:color w:val="000000"/>
          <w:sz w:val="22"/>
          <w:szCs w:val="22"/>
        </w:rPr>
        <w:t xml:space="preserve">or early onset eczema </w:t>
      </w:r>
      <w:r w:rsidR="001A0A5E" w:rsidRPr="00381117">
        <w:rPr>
          <w:rFonts w:ascii="Calibri" w:hAnsi="Calibri"/>
          <w:sz w:val="22"/>
          <w:szCs w:val="22"/>
        </w:rPr>
        <w:t>would benefit from support to promote early and sustained consumption.</w:t>
      </w:r>
      <w:r w:rsidR="00A5639B" w:rsidRPr="00381117">
        <w:rPr>
          <w:rFonts w:ascii="Calibri" w:hAnsi="Calibri"/>
          <w:sz w:val="22"/>
          <w:szCs w:val="22"/>
        </w:rPr>
        <w:t xml:space="preserve"> </w:t>
      </w:r>
      <w:r w:rsidR="009C530F">
        <w:rPr>
          <w:rFonts w:ascii="Calibri" w:hAnsi="Calibri" w:cs="Calibri"/>
          <w:b/>
          <w:iCs/>
          <w:sz w:val="22"/>
          <w:szCs w:val="22"/>
        </w:rPr>
        <w:br w:type="page"/>
      </w:r>
    </w:p>
    <w:p w14:paraId="0E32B5C8" w14:textId="320F1FF5" w:rsidR="00577F14" w:rsidRPr="005C0E04" w:rsidRDefault="00761844" w:rsidP="007226D9">
      <w:pPr>
        <w:spacing w:line="480" w:lineRule="auto"/>
        <w:rPr>
          <w:rFonts w:ascii="Calibri" w:hAnsi="Calibri" w:cs="Calibri"/>
          <w:b/>
          <w:iCs/>
          <w:sz w:val="22"/>
          <w:szCs w:val="22"/>
        </w:rPr>
      </w:pPr>
      <w:r w:rsidRPr="005C0E04">
        <w:rPr>
          <w:rFonts w:ascii="Calibri" w:hAnsi="Calibri" w:cs="Calibri"/>
          <w:b/>
          <w:iCs/>
          <w:sz w:val="22"/>
          <w:szCs w:val="22"/>
        </w:rPr>
        <w:lastRenderedPageBreak/>
        <w:t xml:space="preserve">Clinical </w:t>
      </w:r>
      <w:r w:rsidR="00A73797">
        <w:rPr>
          <w:rFonts w:ascii="Calibri" w:hAnsi="Calibri" w:cs="Calibri"/>
          <w:b/>
          <w:iCs/>
          <w:sz w:val="22"/>
          <w:szCs w:val="22"/>
        </w:rPr>
        <w:t>i</w:t>
      </w:r>
      <w:r w:rsidRPr="005C0E04">
        <w:rPr>
          <w:rFonts w:ascii="Calibri" w:hAnsi="Calibri" w:cs="Calibri"/>
          <w:b/>
          <w:iCs/>
          <w:sz w:val="22"/>
          <w:szCs w:val="22"/>
        </w:rPr>
        <w:t>mplications</w:t>
      </w:r>
      <w:r w:rsidR="00A73797">
        <w:rPr>
          <w:rFonts w:ascii="Calibri" w:hAnsi="Calibri" w:cs="Calibri"/>
          <w:b/>
          <w:iCs/>
          <w:sz w:val="22"/>
          <w:szCs w:val="22"/>
        </w:rPr>
        <w:t>:</w:t>
      </w:r>
    </w:p>
    <w:p w14:paraId="30786D75" w14:textId="0024C859" w:rsidR="00296C7B" w:rsidRPr="005C0E04" w:rsidRDefault="005A5D94" w:rsidP="00296C7B">
      <w:pPr>
        <w:spacing w:line="480" w:lineRule="auto"/>
        <w:rPr>
          <w:rFonts w:ascii="Calibri" w:hAnsi="Calibri" w:cs="Calibri"/>
          <w:sz w:val="22"/>
          <w:szCs w:val="22"/>
        </w:rPr>
      </w:pPr>
      <w:r>
        <w:rPr>
          <w:rFonts w:ascii="Calibri" w:hAnsi="Calibri"/>
          <w:sz w:val="22"/>
          <w:szCs w:val="22"/>
        </w:rPr>
        <w:t>N</w:t>
      </w:r>
      <w:r w:rsidR="00A73797" w:rsidRPr="00381117">
        <w:rPr>
          <w:rFonts w:ascii="Calibri" w:hAnsi="Calibri"/>
          <w:sz w:val="22"/>
          <w:szCs w:val="22"/>
        </w:rPr>
        <w:t>on-white families, those with older mothers and those with</w:t>
      </w:r>
      <w:r w:rsidR="00296C7B" w:rsidRPr="00381117">
        <w:rPr>
          <w:rFonts w:ascii="Calibri" w:hAnsi="Calibri"/>
          <w:sz w:val="22"/>
          <w:szCs w:val="22"/>
        </w:rPr>
        <w:t xml:space="preserve"> infants with reported feeding difficulties </w:t>
      </w:r>
      <w:r w:rsidR="001A0A5E" w:rsidRPr="00381117">
        <w:rPr>
          <w:rFonts w:ascii="Calibri" w:hAnsi="Calibri"/>
          <w:sz w:val="22"/>
          <w:szCs w:val="22"/>
        </w:rPr>
        <w:t>or early onset eczema would benefit from s</w:t>
      </w:r>
      <w:r w:rsidR="00296C7B" w:rsidRPr="00381117">
        <w:rPr>
          <w:rFonts w:ascii="Calibri" w:hAnsi="Calibri"/>
          <w:sz w:val="22"/>
          <w:szCs w:val="22"/>
        </w:rPr>
        <w:t xml:space="preserve">upport to </w:t>
      </w:r>
      <w:r>
        <w:rPr>
          <w:rFonts w:ascii="Calibri" w:hAnsi="Calibri"/>
          <w:sz w:val="22"/>
          <w:szCs w:val="22"/>
        </w:rPr>
        <w:t>achieve</w:t>
      </w:r>
      <w:r w:rsidRPr="00381117">
        <w:rPr>
          <w:rFonts w:ascii="Calibri" w:hAnsi="Calibri"/>
          <w:sz w:val="22"/>
          <w:szCs w:val="22"/>
        </w:rPr>
        <w:t xml:space="preserve"> </w:t>
      </w:r>
      <w:r w:rsidR="00296C7B" w:rsidRPr="00381117">
        <w:rPr>
          <w:rFonts w:ascii="Calibri" w:hAnsi="Calibri"/>
          <w:sz w:val="22"/>
          <w:szCs w:val="22"/>
        </w:rPr>
        <w:t xml:space="preserve">early and sustained </w:t>
      </w:r>
      <w:r>
        <w:rPr>
          <w:rFonts w:ascii="Calibri" w:hAnsi="Calibri"/>
          <w:sz w:val="22"/>
          <w:szCs w:val="22"/>
        </w:rPr>
        <w:t xml:space="preserve">allergenic food </w:t>
      </w:r>
      <w:r w:rsidR="00296C7B" w:rsidRPr="00381117">
        <w:rPr>
          <w:rFonts w:ascii="Calibri" w:hAnsi="Calibri"/>
          <w:sz w:val="22"/>
          <w:szCs w:val="22"/>
        </w:rPr>
        <w:t>consumption.</w:t>
      </w:r>
      <w:r w:rsidR="00296C7B" w:rsidRPr="005C0E04">
        <w:rPr>
          <w:rFonts w:ascii="Calibri" w:hAnsi="Calibri"/>
          <w:sz w:val="22"/>
          <w:szCs w:val="22"/>
        </w:rPr>
        <w:t xml:space="preserve"> </w:t>
      </w:r>
    </w:p>
    <w:p w14:paraId="77BBE938" w14:textId="77777777" w:rsidR="00761844" w:rsidRPr="005C0E04" w:rsidRDefault="00761844" w:rsidP="007226D9">
      <w:pPr>
        <w:spacing w:line="480" w:lineRule="auto"/>
        <w:rPr>
          <w:rFonts w:ascii="Calibri" w:hAnsi="Calibri" w:cs="Calibri"/>
          <w:iCs/>
          <w:sz w:val="22"/>
          <w:szCs w:val="22"/>
        </w:rPr>
      </w:pPr>
    </w:p>
    <w:p w14:paraId="7EEEF217" w14:textId="0B17BC6C" w:rsidR="00761844" w:rsidRPr="005C0E04" w:rsidRDefault="00761844" w:rsidP="007226D9">
      <w:pPr>
        <w:spacing w:line="480" w:lineRule="auto"/>
        <w:rPr>
          <w:rFonts w:ascii="Calibri" w:hAnsi="Calibri" w:cs="Calibri"/>
          <w:b/>
          <w:iCs/>
          <w:sz w:val="22"/>
          <w:szCs w:val="22"/>
        </w:rPr>
      </w:pPr>
      <w:r w:rsidRPr="005C0E04">
        <w:rPr>
          <w:rFonts w:ascii="Calibri" w:hAnsi="Calibri" w:cs="Calibri"/>
          <w:b/>
          <w:iCs/>
          <w:sz w:val="22"/>
          <w:szCs w:val="22"/>
        </w:rPr>
        <w:t>Capsule summary</w:t>
      </w:r>
      <w:r w:rsidR="00A73797">
        <w:rPr>
          <w:rFonts w:ascii="Calibri" w:hAnsi="Calibri" w:cs="Calibri"/>
          <w:b/>
          <w:iCs/>
          <w:sz w:val="22"/>
          <w:szCs w:val="22"/>
        </w:rPr>
        <w:t>:</w:t>
      </w:r>
    </w:p>
    <w:p w14:paraId="39EAF184" w14:textId="0A87291C" w:rsidR="00296C7B" w:rsidRPr="005C0E04" w:rsidRDefault="001A0A5E" w:rsidP="00296C7B">
      <w:pPr>
        <w:spacing w:line="480" w:lineRule="auto"/>
        <w:rPr>
          <w:rFonts w:ascii="Calibri" w:hAnsi="Calibri" w:cs="Calibri"/>
          <w:iCs/>
          <w:sz w:val="22"/>
          <w:szCs w:val="22"/>
        </w:rPr>
      </w:pPr>
      <w:r>
        <w:rPr>
          <w:rFonts w:ascii="Calibri" w:hAnsi="Calibri" w:cs="Calibri"/>
          <w:iCs/>
          <w:sz w:val="22"/>
          <w:szCs w:val="22"/>
        </w:rPr>
        <w:t>Poor adherence was associated with o</w:t>
      </w:r>
      <w:r w:rsidR="00296C7B" w:rsidRPr="005C0E04">
        <w:rPr>
          <w:rFonts w:ascii="Calibri" w:hAnsi="Calibri" w:cs="Calibri"/>
          <w:iCs/>
          <w:sz w:val="22"/>
          <w:szCs w:val="22"/>
        </w:rPr>
        <w:t>lder maternal age</w:t>
      </w:r>
      <w:r>
        <w:rPr>
          <w:rFonts w:ascii="Calibri" w:hAnsi="Calibri" w:cs="Calibri"/>
          <w:iCs/>
          <w:sz w:val="22"/>
          <w:szCs w:val="22"/>
        </w:rPr>
        <w:t xml:space="preserve">, </w:t>
      </w:r>
      <w:r w:rsidR="00296C7B" w:rsidRPr="005C0E04">
        <w:rPr>
          <w:rFonts w:ascii="Calibri" w:hAnsi="Calibri" w:cs="Calibri"/>
          <w:iCs/>
          <w:sz w:val="22"/>
          <w:szCs w:val="22"/>
        </w:rPr>
        <w:t>non-white ethnicity</w:t>
      </w:r>
      <w:r>
        <w:rPr>
          <w:rFonts w:ascii="Calibri" w:hAnsi="Calibri" w:cs="Calibri"/>
          <w:iCs/>
          <w:sz w:val="22"/>
          <w:szCs w:val="22"/>
        </w:rPr>
        <w:t xml:space="preserve"> and lower maternal quality of life. </w:t>
      </w:r>
      <w:r w:rsidR="00861DD4">
        <w:rPr>
          <w:rFonts w:ascii="Calibri" w:hAnsi="Calibri" w:cs="Calibri"/>
          <w:iCs/>
          <w:sz w:val="22"/>
          <w:szCs w:val="22"/>
        </w:rPr>
        <w:t xml:space="preserve">Encouraging </w:t>
      </w:r>
      <w:r>
        <w:rPr>
          <w:rFonts w:ascii="Calibri" w:hAnsi="Calibri" w:cs="Calibri"/>
          <w:iCs/>
          <w:sz w:val="22"/>
          <w:szCs w:val="22"/>
        </w:rPr>
        <w:t xml:space="preserve">e adherence in non-white families and infants with early onset eczema </w:t>
      </w:r>
      <w:r w:rsidR="00240030">
        <w:rPr>
          <w:rFonts w:ascii="Calibri" w:hAnsi="Calibri" w:cs="Calibri"/>
          <w:iCs/>
          <w:sz w:val="22"/>
          <w:szCs w:val="22"/>
        </w:rPr>
        <w:t xml:space="preserve">might </w:t>
      </w:r>
      <w:r>
        <w:rPr>
          <w:rFonts w:ascii="Calibri" w:hAnsi="Calibri" w:cs="Calibri"/>
          <w:iCs/>
          <w:sz w:val="22"/>
          <w:szCs w:val="22"/>
        </w:rPr>
        <w:t>reduce the prevalence of food allergy.</w:t>
      </w:r>
    </w:p>
    <w:p w14:paraId="6509D70A" w14:textId="77777777" w:rsidR="00761844" w:rsidRDefault="00761844" w:rsidP="007226D9">
      <w:pPr>
        <w:spacing w:line="480" w:lineRule="auto"/>
        <w:rPr>
          <w:rFonts w:ascii="Calibri" w:hAnsi="Calibri" w:cs="Calibri"/>
          <w:iCs/>
          <w:sz w:val="22"/>
          <w:szCs w:val="22"/>
        </w:rPr>
      </w:pPr>
    </w:p>
    <w:p w14:paraId="458B972A" w14:textId="19F0D842" w:rsidR="00761844" w:rsidRDefault="00761844" w:rsidP="007226D9">
      <w:pPr>
        <w:spacing w:line="480" w:lineRule="auto"/>
        <w:rPr>
          <w:rFonts w:ascii="Calibri" w:hAnsi="Calibri" w:cs="Calibri"/>
          <w:b/>
          <w:iCs/>
          <w:sz w:val="22"/>
          <w:szCs w:val="22"/>
        </w:rPr>
      </w:pPr>
      <w:r>
        <w:rPr>
          <w:rFonts w:ascii="Calibri" w:hAnsi="Calibri" w:cs="Calibri"/>
          <w:b/>
          <w:iCs/>
          <w:sz w:val="22"/>
          <w:szCs w:val="22"/>
        </w:rPr>
        <w:t>Key words</w:t>
      </w:r>
    </w:p>
    <w:p w14:paraId="78B525D8" w14:textId="75C8B22C" w:rsidR="00761844" w:rsidRDefault="003A4F53" w:rsidP="007226D9">
      <w:pPr>
        <w:spacing w:line="480" w:lineRule="auto"/>
        <w:rPr>
          <w:rFonts w:ascii="Calibri" w:hAnsi="Calibri" w:cs="Calibri"/>
          <w:iCs/>
          <w:sz w:val="22"/>
          <w:szCs w:val="22"/>
        </w:rPr>
      </w:pPr>
      <w:r w:rsidRPr="003A4F53">
        <w:rPr>
          <w:rFonts w:ascii="Calibri" w:hAnsi="Calibri" w:cs="Calibri"/>
          <w:iCs/>
          <w:sz w:val="22"/>
          <w:szCs w:val="22"/>
        </w:rPr>
        <w:t>Food allergy</w:t>
      </w:r>
      <w:r w:rsidR="001823F3">
        <w:rPr>
          <w:rFonts w:ascii="Calibri" w:hAnsi="Calibri" w:cs="Calibri"/>
          <w:iCs/>
          <w:sz w:val="22"/>
          <w:szCs w:val="22"/>
        </w:rPr>
        <w:t>;</w:t>
      </w:r>
      <w:r w:rsidRPr="003A4F53">
        <w:rPr>
          <w:rFonts w:ascii="Calibri" w:hAnsi="Calibri" w:cs="Calibri"/>
          <w:iCs/>
          <w:sz w:val="22"/>
          <w:szCs w:val="22"/>
        </w:rPr>
        <w:t xml:space="preserve"> diet</w:t>
      </w:r>
      <w:r w:rsidR="001823F3">
        <w:rPr>
          <w:rFonts w:ascii="Calibri" w:hAnsi="Calibri" w:cs="Calibri"/>
          <w:iCs/>
          <w:sz w:val="22"/>
          <w:szCs w:val="22"/>
        </w:rPr>
        <w:t>;</w:t>
      </w:r>
      <w:r w:rsidRPr="003A4F53">
        <w:rPr>
          <w:rFonts w:ascii="Calibri" w:hAnsi="Calibri" w:cs="Calibri"/>
          <w:iCs/>
          <w:sz w:val="22"/>
          <w:szCs w:val="22"/>
        </w:rPr>
        <w:t xml:space="preserve"> allergens</w:t>
      </w:r>
      <w:r w:rsidR="001823F3">
        <w:rPr>
          <w:rFonts w:ascii="Calibri" w:hAnsi="Calibri" w:cs="Calibri"/>
          <w:iCs/>
          <w:sz w:val="22"/>
          <w:szCs w:val="22"/>
        </w:rPr>
        <w:t>;</w:t>
      </w:r>
      <w:r w:rsidRPr="003A4F53">
        <w:rPr>
          <w:rFonts w:ascii="Calibri" w:hAnsi="Calibri" w:cs="Calibri"/>
          <w:iCs/>
          <w:sz w:val="22"/>
          <w:szCs w:val="22"/>
        </w:rPr>
        <w:t xml:space="preserve"> infancy</w:t>
      </w:r>
      <w:r w:rsidR="001823F3">
        <w:rPr>
          <w:rFonts w:ascii="Calibri" w:hAnsi="Calibri" w:cs="Calibri"/>
          <w:iCs/>
          <w:sz w:val="22"/>
          <w:szCs w:val="22"/>
        </w:rPr>
        <w:t>;</w:t>
      </w:r>
      <w:r w:rsidRPr="003A4F53">
        <w:rPr>
          <w:rFonts w:ascii="Calibri" w:hAnsi="Calibri" w:cs="Calibri"/>
          <w:iCs/>
          <w:sz w:val="22"/>
          <w:szCs w:val="22"/>
        </w:rPr>
        <w:t xml:space="preserve"> breastfeeding</w:t>
      </w:r>
      <w:r w:rsidR="001823F3">
        <w:rPr>
          <w:rFonts w:ascii="Calibri" w:hAnsi="Calibri" w:cs="Calibri"/>
          <w:iCs/>
          <w:sz w:val="22"/>
          <w:szCs w:val="22"/>
        </w:rPr>
        <w:t>;</w:t>
      </w:r>
      <w:r>
        <w:rPr>
          <w:rFonts w:ascii="Calibri" w:hAnsi="Calibri" w:cs="Calibri"/>
          <w:iCs/>
          <w:sz w:val="22"/>
          <w:szCs w:val="22"/>
        </w:rPr>
        <w:t xml:space="preserve"> randomized controlled trial</w:t>
      </w:r>
      <w:r w:rsidR="001823F3">
        <w:rPr>
          <w:rFonts w:ascii="Calibri" w:hAnsi="Calibri" w:cs="Calibri"/>
          <w:iCs/>
          <w:sz w:val="22"/>
          <w:szCs w:val="22"/>
        </w:rPr>
        <w:t>;</w:t>
      </w:r>
      <w:r>
        <w:rPr>
          <w:rFonts w:ascii="Calibri" w:hAnsi="Calibri" w:cs="Calibri"/>
          <w:iCs/>
          <w:sz w:val="22"/>
          <w:szCs w:val="22"/>
        </w:rPr>
        <w:t xml:space="preserve"> adherence</w:t>
      </w:r>
    </w:p>
    <w:p w14:paraId="5879BB84" w14:textId="29271213" w:rsidR="00761844" w:rsidRDefault="00761844" w:rsidP="00B017D7">
      <w:pPr>
        <w:spacing w:before="240" w:line="480" w:lineRule="auto"/>
        <w:rPr>
          <w:rFonts w:ascii="Calibri" w:hAnsi="Calibri" w:cs="Calibri"/>
          <w:b/>
          <w:iCs/>
          <w:sz w:val="22"/>
          <w:szCs w:val="22"/>
        </w:rPr>
      </w:pPr>
      <w:r>
        <w:rPr>
          <w:rFonts w:ascii="Calibri" w:hAnsi="Calibri" w:cs="Calibri"/>
          <w:b/>
          <w:iCs/>
          <w:sz w:val="22"/>
          <w:szCs w:val="22"/>
        </w:rPr>
        <w:t>Abbreviations</w:t>
      </w:r>
    </w:p>
    <w:p w14:paraId="38D43B38" w14:textId="734B41E3" w:rsidR="003A4F53" w:rsidRPr="003A4F53" w:rsidRDefault="003A4F53" w:rsidP="002C4B96">
      <w:pPr>
        <w:spacing w:line="480" w:lineRule="auto"/>
        <w:rPr>
          <w:rFonts w:ascii="Calibri" w:hAnsi="Calibri"/>
          <w:sz w:val="22"/>
          <w:szCs w:val="22"/>
        </w:rPr>
      </w:pPr>
      <w:r w:rsidRPr="003A4F53">
        <w:rPr>
          <w:rFonts w:ascii="Calibri" w:hAnsi="Calibri"/>
          <w:sz w:val="22"/>
          <w:szCs w:val="22"/>
        </w:rPr>
        <w:t>IFS2010</w:t>
      </w:r>
      <w:r>
        <w:rPr>
          <w:rFonts w:ascii="Calibri" w:hAnsi="Calibri"/>
          <w:sz w:val="22"/>
          <w:szCs w:val="22"/>
        </w:rPr>
        <w:tab/>
      </w:r>
      <w:r>
        <w:rPr>
          <w:rFonts w:ascii="Calibri" w:hAnsi="Calibri"/>
          <w:sz w:val="22"/>
          <w:szCs w:val="22"/>
        </w:rPr>
        <w:tab/>
      </w:r>
      <w:r w:rsidRPr="003A4F53">
        <w:rPr>
          <w:rFonts w:ascii="Calibri" w:hAnsi="Calibri"/>
          <w:sz w:val="22"/>
          <w:szCs w:val="22"/>
        </w:rPr>
        <w:t>Infant Feeding Survey 2010</w:t>
      </w:r>
    </w:p>
    <w:p w14:paraId="40F0A132" w14:textId="77777777" w:rsidR="003A4F53" w:rsidRPr="003A4F53" w:rsidRDefault="003A4F53" w:rsidP="002C4B96">
      <w:pPr>
        <w:spacing w:line="480" w:lineRule="auto"/>
        <w:rPr>
          <w:rFonts w:ascii="Calibri" w:hAnsi="Calibri"/>
          <w:sz w:val="22"/>
          <w:szCs w:val="22"/>
        </w:rPr>
      </w:pPr>
      <w:r w:rsidRPr="003A4F53">
        <w:rPr>
          <w:rFonts w:ascii="Calibri" w:hAnsi="Calibri"/>
          <w:sz w:val="22"/>
          <w:szCs w:val="22"/>
        </w:rPr>
        <w:t>EIG</w:t>
      </w:r>
      <w:r w:rsidRPr="003A4F53">
        <w:rPr>
          <w:rFonts w:ascii="Calibri" w:hAnsi="Calibri"/>
          <w:sz w:val="22"/>
          <w:szCs w:val="22"/>
        </w:rPr>
        <w:tab/>
      </w:r>
      <w:r w:rsidRPr="003A4F53">
        <w:rPr>
          <w:rFonts w:ascii="Calibri" w:hAnsi="Calibri"/>
          <w:sz w:val="22"/>
          <w:szCs w:val="22"/>
        </w:rPr>
        <w:tab/>
        <w:t>Early Introduction Group</w:t>
      </w:r>
    </w:p>
    <w:p w14:paraId="6A64CA70" w14:textId="77777777" w:rsidR="003A4F53" w:rsidRPr="003A4F53" w:rsidRDefault="003A4F53" w:rsidP="002C4B96">
      <w:pPr>
        <w:spacing w:line="480" w:lineRule="auto"/>
        <w:rPr>
          <w:rFonts w:ascii="Calibri" w:hAnsi="Calibri"/>
          <w:sz w:val="22"/>
          <w:szCs w:val="22"/>
        </w:rPr>
      </w:pPr>
      <w:r w:rsidRPr="003A4F53">
        <w:rPr>
          <w:rFonts w:ascii="Calibri" w:hAnsi="Calibri"/>
          <w:sz w:val="22"/>
          <w:szCs w:val="22"/>
        </w:rPr>
        <w:t xml:space="preserve">SIG </w:t>
      </w:r>
      <w:r w:rsidRPr="003A4F53">
        <w:rPr>
          <w:rFonts w:ascii="Calibri" w:hAnsi="Calibri"/>
          <w:sz w:val="22"/>
          <w:szCs w:val="22"/>
        </w:rPr>
        <w:tab/>
      </w:r>
      <w:r w:rsidRPr="003A4F53">
        <w:rPr>
          <w:rFonts w:ascii="Calibri" w:hAnsi="Calibri"/>
          <w:sz w:val="22"/>
          <w:szCs w:val="22"/>
        </w:rPr>
        <w:tab/>
        <w:t>Standard Introduction Group</w:t>
      </w:r>
    </w:p>
    <w:p w14:paraId="7B590007" w14:textId="77777777" w:rsidR="003A4F53" w:rsidRPr="003A4F53" w:rsidRDefault="003A4F53" w:rsidP="002C4B96">
      <w:pPr>
        <w:spacing w:line="480" w:lineRule="auto"/>
        <w:rPr>
          <w:rFonts w:ascii="Calibri" w:hAnsi="Calibri"/>
          <w:sz w:val="22"/>
          <w:szCs w:val="22"/>
        </w:rPr>
      </w:pPr>
      <w:r w:rsidRPr="003A4F53">
        <w:rPr>
          <w:rFonts w:ascii="Calibri" w:hAnsi="Calibri"/>
          <w:sz w:val="22"/>
          <w:szCs w:val="22"/>
        </w:rPr>
        <w:t>EAT</w:t>
      </w:r>
      <w:r w:rsidRPr="003A4F53">
        <w:rPr>
          <w:rFonts w:ascii="Calibri" w:hAnsi="Calibri"/>
          <w:sz w:val="22"/>
          <w:szCs w:val="22"/>
        </w:rPr>
        <w:tab/>
      </w:r>
      <w:r w:rsidRPr="003A4F53">
        <w:rPr>
          <w:rFonts w:ascii="Calibri" w:hAnsi="Calibri"/>
          <w:sz w:val="22"/>
          <w:szCs w:val="22"/>
        </w:rPr>
        <w:tab/>
        <w:t>Enquiring About Tolerance</w:t>
      </w:r>
    </w:p>
    <w:p w14:paraId="107D0946" w14:textId="2CD83DB5" w:rsidR="003A4F53" w:rsidRDefault="003A4F53" w:rsidP="002C4B96">
      <w:pPr>
        <w:spacing w:line="480" w:lineRule="auto"/>
        <w:rPr>
          <w:rFonts w:ascii="Calibri" w:hAnsi="Calibri"/>
          <w:sz w:val="22"/>
          <w:szCs w:val="22"/>
        </w:rPr>
      </w:pPr>
      <w:r w:rsidRPr="003A4F53">
        <w:rPr>
          <w:rFonts w:ascii="Calibri" w:hAnsi="Calibri"/>
          <w:sz w:val="22"/>
          <w:szCs w:val="22"/>
        </w:rPr>
        <w:t>AD</w:t>
      </w:r>
      <w:r w:rsidRPr="003A4F53">
        <w:rPr>
          <w:rFonts w:ascii="Calibri" w:hAnsi="Calibri"/>
          <w:sz w:val="22"/>
          <w:szCs w:val="22"/>
        </w:rPr>
        <w:tab/>
      </w:r>
      <w:r w:rsidRPr="003A4F53">
        <w:rPr>
          <w:rFonts w:ascii="Calibri" w:hAnsi="Calibri"/>
          <w:sz w:val="22"/>
          <w:szCs w:val="22"/>
        </w:rPr>
        <w:tab/>
        <w:t>Atopic Dermatitis</w:t>
      </w:r>
    </w:p>
    <w:p w14:paraId="27D98F4F" w14:textId="6B6AC4FD" w:rsidR="003A4F53" w:rsidRPr="003A4F53" w:rsidRDefault="003A4F53" w:rsidP="002C4B96">
      <w:pPr>
        <w:spacing w:line="480" w:lineRule="auto"/>
        <w:rPr>
          <w:rFonts w:ascii="Calibri" w:hAnsi="Calibri"/>
          <w:sz w:val="22"/>
          <w:szCs w:val="22"/>
        </w:rPr>
      </w:pPr>
      <w:r w:rsidRPr="003A4F53">
        <w:rPr>
          <w:rFonts w:ascii="Calibri" w:hAnsi="Calibri"/>
          <w:sz w:val="22"/>
          <w:szCs w:val="22"/>
        </w:rPr>
        <w:t>ISAAC</w:t>
      </w:r>
      <w:r w:rsidRPr="003A4F53">
        <w:rPr>
          <w:rFonts w:ascii="Calibri" w:hAnsi="Calibri"/>
          <w:sz w:val="22"/>
          <w:szCs w:val="22"/>
        </w:rPr>
        <w:tab/>
      </w:r>
      <w:r>
        <w:rPr>
          <w:rFonts w:ascii="Calibri" w:hAnsi="Calibri"/>
          <w:sz w:val="22"/>
          <w:szCs w:val="22"/>
        </w:rPr>
        <w:tab/>
      </w:r>
      <w:r w:rsidRPr="003A4F53">
        <w:rPr>
          <w:rFonts w:ascii="Calibri" w:hAnsi="Calibri"/>
          <w:sz w:val="22"/>
          <w:szCs w:val="22"/>
        </w:rPr>
        <w:t>International Study of Asthma and Allergies in Childhood</w:t>
      </w:r>
    </w:p>
    <w:p w14:paraId="605B8B1C" w14:textId="05962088" w:rsidR="003A4F53" w:rsidRPr="003A4F53" w:rsidRDefault="003A4F53" w:rsidP="002C4B96">
      <w:pPr>
        <w:spacing w:line="480" w:lineRule="auto"/>
        <w:rPr>
          <w:rFonts w:ascii="Calibri" w:hAnsi="Calibri"/>
          <w:sz w:val="22"/>
          <w:szCs w:val="22"/>
          <w:lang w:val="en-US"/>
        </w:rPr>
      </w:pPr>
      <w:r w:rsidRPr="003A4F53">
        <w:rPr>
          <w:rFonts w:ascii="Calibri" w:hAnsi="Calibri"/>
          <w:sz w:val="22"/>
          <w:szCs w:val="22"/>
        </w:rPr>
        <w:t xml:space="preserve">SCORAD </w:t>
      </w:r>
      <w:r w:rsidRPr="003A4F53">
        <w:rPr>
          <w:rFonts w:ascii="Calibri" w:hAnsi="Calibri"/>
          <w:sz w:val="22"/>
          <w:szCs w:val="22"/>
        </w:rPr>
        <w:tab/>
      </w:r>
      <w:r w:rsidRPr="003A4F53">
        <w:rPr>
          <w:rFonts w:ascii="Calibri" w:hAnsi="Calibri"/>
          <w:sz w:val="22"/>
          <w:szCs w:val="22"/>
          <w:lang w:val="en-US"/>
        </w:rPr>
        <w:t>Scoring Atopic Dermatitis index</w:t>
      </w:r>
    </w:p>
    <w:p w14:paraId="65DAB589" w14:textId="2A1850D2" w:rsidR="001C7370" w:rsidRPr="003A4F53" w:rsidRDefault="003A4F53" w:rsidP="002C4B96">
      <w:pPr>
        <w:spacing w:line="480" w:lineRule="auto"/>
        <w:rPr>
          <w:rFonts w:ascii="Calibri" w:hAnsi="Calibri"/>
          <w:noProof/>
          <w:sz w:val="22"/>
          <w:szCs w:val="22"/>
        </w:rPr>
      </w:pPr>
      <w:r w:rsidRPr="003A4F53">
        <w:rPr>
          <w:rFonts w:ascii="Calibri" w:hAnsi="Calibri"/>
          <w:noProof/>
          <w:sz w:val="22"/>
          <w:szCs w:val="22"/>
        </w:rPr>
        <w:t>TEWL</w:t>
      </w:r>
      <w:r w:rsidRPr="003A4F53">
        <w:rPr>
          <w:rFonts w:ascii="Calibri" w:hAnsi="Calibri"/>
          <w:noProof/>
          <w:sz w:val="22"/>
          <w:szCs w:val="22"/>
        </w:rPr>
        <w:tab/>
      </w:r>
      <w:r w:rsidRPr="003A4F53">
        <w:rPr>
          <w:rFonts w:ascii="Calibri" w:hAnsi="Calibri"/>
          <w:noProof/>
          <w:sz w:val="22"/>
          <w:szCs w:val="22"/>
        </w:rPr>
        <w:tab/>
        <w:t>Transepidermal water loss</w:t>
      </w:r>
    </w:p>
    <w:p w14:paraId="523023B2" w14:textId="2648143C" w:rsidR="00067041" w:rsidRPr="00D94188" w:rsidRDefault="00E8187C" w:rsidP="002C4B96">
      <w:pPr>
        <w:spacing w:line="480" w:lineRule="auto"/>
        <w:rPr>
          <w:rFonts w:ascii="Calibri" w:hAnsi="Calibri"/>
          <w:color w:val="212121"/>
          <w:sz w:val="22"/>
        </w:rPr>
      </w:pPr>
      <w:r>
        <w:rPr>
          <w:rFonts w:ascii="Calibri" w:hAnsi="Calibri"/>
          <w:b/>
          <w:sz w:val="22"/>
        </w:rPr>
        <w:br w:type="page"/>
      </w:r>
      <w:r w:rsidR="00067041" w:rsidRPr="00D94188">
        <w:rPr>
          <w:rFonts w:ascii="Calibri" w:hAnsi="Calibri"/>
          <w:b/>
          <w:sz w:val="22"/>
        </w:rPr>
        <w:lastRenderedPageBreak/>
        <w:t>Introduction</w:t>
      </w:r>
    </w:p>
    <w:p w14:paraId="040B1AA9" w14:textId="5F0C34DE" w:rsidR="009F5CF7" w:rsidRPr="009F5CF7" w:rsidRDefault="002C4C96" w:rsidP="00DC243C">
      <w:pPr>
        <w:spacing w:line="480" w:lineRule="auto"/>
        <w:rPr>
          <w:rFonts w:asciiTheme="minorHAnsi" w:hAnsiTheme="minorHAnsi" w:cs="Calibri"/>
          <w:i/>
          <w:sz w:val="22"/>
          <w:szCs w:val="22"/>
        </w:rPr>
      </w:pPr>
      <w:r w:rsidRPr="009F5CF7">
        <w:rPr>
          <w:rFonts w:asciiTheme="minorHAnsi" w:hAnsiTheme="minorHAnsi"/>
          <w:sz w:val="22"/>
          <w:szCs w:val="22"/>
        </w:rPr>
        <w:t xml:space="preserve">The </w:t>
      </w:r>
      <w:r w:rsidR="00B777B1">
        <w:rPr>
          <w:rFonts w:ascii="Calibri" w:hAnsi="Calibri"/>
          <w:sz w:val="22"/>
        </w:rPr>
        <w:t>Enquiring About Tolerance (</w:t>
      </w:r>
      <w:r w:rsidRPr="009F5CF7">
        <w:rPr>
          <w:rFonts w:asciiTheme="minorHAnsi" w:hAnsiTheme="minorHAnsi"/>
          <w:sz w:val="22"/>
          <w:szCs w:val="22"/>
        </w:rPr>
        <w:t>EAT</w:t>
      </w:r>
      <w:r w:rsidR="00B777B1">
        <w:rPr>
          <w:rFonts w:asciiTheme="minorHAnsi" w:hAnsiTheme="minorHAnsi"/>
          <w:sz w:val="22"/>
          <w:szCs w:val="22"/>
        </w:rPr>
        <w:t>)</w:t>
      </w:r>
      <w:r w:rsidRPr="009F5CF7">
        <w:rPr>
          <w:rFonts w:asciiTheme="minorHAnsi" w:hAnsiTheme="minorHAnsi"/>
          <w:sz w:val="22"/>
          <w:szCs w:val="22"/>
        </w:rPr>
        <w:t xml:space="preserve"> study was a large randomised </w:t>
      </w:r>
      <w:r w:rsidR="00DD3D40" w:rsidRPr="009F5CF7">
        <w:rPr>
          <w:rFonts w:asciiTheme="minorHAnsi" w:hAnsiTheme="minorHAnsi" w:cs="Calibri"/>
          <w:bCs/>
          <w:sz w:val="22"/>
          <w:szCs w:val="22"/>
        </w:rPr>
        <w:t xml:space="preserve">food allergy prevention </w:t>
      </w:r>
      <w:r w:rsidRPr="009F5CF7">
        <w:rPr>
          <w:rFonts w:asciiTheme="minorHAnsi" w:hAnsiTheme="minorHAnsi"/>
          <w:sz w:val="22"/>
          <w:szCs w:val="22"/>
        </w:rPr>
        <w:t>trial of the early introduction of six allergenic foods from three months of age in exclusively breastfed infants</w:t>
      </w:r>
      <w:r w:rsidR="00EF70D4">
        <w:rPr>
          <w:rFonts w:asciiTheme="minorHAnsi" w:hAnsiTheme="minorHAnsi"/>
          <w:sz w:val="22"/>
          <w:szCs w:val="22"/>
        </w:rPr>
        <w:t xml:space="preserve"> recruited from the general population</w:t>
      </w:r>
      <w:r w:rsidR="0043345D" w:rsidRPr="009F5CF7">
        <w:rPr>
          <w:rFonts w:asciiTheme="minorHAnsi" w:hAnsiTheme="minorHAnsi"/>
          <w:sz w:val="22"/>
          <w:szCs w:val="22"/>
        </w:rPr>
        <w:t>.</w:t>
      </w:r>
      <w:r w:rsidR="00045D14" w:rsidRPr="00045D14">
        <w:rPr>
          <w:rFonts w:asciiTheme="minorHAnsi" w:hAnsiTheme="minorHAnsi"/>
          <w:noProof/>
          <w:sz w:val="22"/>
          <w:szCs w:val="22"/>
          <w:vertAlign w:val="superscript"/>
        </w:rPr>
        <w:t>1,2</w:t>
      </w:r>
      <w:r w:rsidR="00DC243C">
        <w:rPr>
          <w:rFonts w:asciiTheme="minorHAnsi" w:hAnsiTheme="minorHAnsi"/>
          <w:sz w:val="22"/>
          <w:szCs w:val="22"/>
        </w:rPr>
        <w:t xml:space="preserve"> </w:t>
      </w:r>
      <w:r w:rsidR="00AC43E0" w:rsidRPr="009F5CF7">
        <w:rPr>
          <w:rFonts w:asciiTheme="minorHAnsi" w:hAnsiTheme="minorHAnsi" w:cs="Calibri"/>
          <w:sz w:val="22"/>
          <w:szCs w:val="22"/>
        </w:rPr>
        <w:t xml:space="preserve">The EAT study achieved markedly different </w:t>
      </w:r>
      <w:r w:rsidR="00DC2677" w:rsidRPr="009F5CF7">
        <w:rPr>
          <w:rFonts w:asciiTheme="minorHAnsi" w:hAnsiTheme="minorHAnsi" w:cs="Calibri"/>
          <w:sz w:val="22"/>
          <w:szCs w:val="22"/>
        </w:rPr>
        <w:t>rates</w:t>
      </w:r>
      <w:r w:rsidR="00AC43E0" w:rsidRPr="009F5CF7">
        <w:rPr>
          <w:rFonts w:asciiTheme="minorHAnsi" w:hAnsiTheme="minorHAnsi" w:cs="Calibri"/>
          <w:sz w:val="22"/>
          <w:szCs w:val="22"/>
        </w:rPr>
        <w:t xml:space="preserve"> of exposure to allergenic foods </w:t>
      </w:r>
      <w:r w:rsidR="00784854" w:rsidRPr="009F5CF7">
        <w:rPr>
          <w:rFonts w:asciiTheme="minorHAnsi" w:hAnsiTheme="minorHAnsi" w:cs="Calibri"/>
          <w:sz w:val="22"/>
          <w:szCs w:val="22"/>
        </w:rPr>
        <w:t>between</w:t>
      </w:r>
      <w:r w:rsidR="00AC43E0" w:rsidRPr="009F5CF7">
        <w:rPr>
          <w:rFonts w:asciiTheme="minorHAnsi" w:hAnsiTheme="minorHAnsi" w:cs="Calibri"/>
          <w:sz w:val="22"/>
          <w:szCs w:val="22"/>
        </w:rPr>
        <w:t xml:space="preserve"> the </w:t>
      </w:r>
      <w:r w:rsidR="007425FD" w:rsidRPr="009F5CF7">
        <w:rPr>
          <w:rFonts w:asciiTheme="minorHAnsi" w:hAnsiTheme="minorHAnsi" w:cs="Calibri"/>
          <w:sz w:val="22"/>
          <w:szCs w:val="22"/>
        </w:rPr>
        <w:t>randomized groups</w:t>
      </w:r>
      <w:r w:rsidR="0060085D" w:rsidRPr="009F5CF7">
        <w:rPr>
          <w:rFonts w:asciiTheme="minorHAnsi" w:hAnsiTheme="minorHAnsi" w:cs="Calibri"/>
          <w:sz w:val="22"/>
          <w:szCs w:val="22"/>
        </w:rPr>
        <w:t xml:space="preserve"> (the Early Introduction Group; EIG and the Standard Introduction Group; SIG) </w:t>
      </w:r>
      <w:r w:rsidR="00784854" w:rsidRPr="009F5CF7">
        <w:rPr>
          <w:rFonts w:asciiTheme="minorHAnsi" w:hAnsiTheme="minorHAnsi" w:cs="Calibri"/>
          <w:sz w:val="22"/>
          <w:szCs w:val="22"/>
        </w:rPr>
        <w:t>before</w:t>
      </w:r>
      <w:r w:rsidR="00AC43E0" w:rsidRPr="009F5CF7">
        <w:rPr>
          <w:rFonts w:asciiTheme="minorHAnsi" w:hAnsiTheme="minorHAnsi" w:cs="Calibri"/>
          <w:sz w:val="22"/>
          <w:szCs w:val="22"/>
        </w:rPr>
        <w:t xml:space="preserve"> six months of age</w:t>
      </w:r>
      <w:r w:rsidR="00A73797">
        <w:rPr>
          <w:rFonts w:asciiTheme="minorHAnsi" w:hAnsiTheme="minorHAnsi" w:cs="Calibri"/>
          <w:sz w:val="22"/>
          <w:szCs w:val="22"/>
        </w:rPr>
        <w:t>.</w:t>
      </w:r>
      <w:r w:rsidR="00045D14" w:rsidRPr="00045D14">
        <w:rPr>
          <w:rFonts w:asciiTheme="minorHAnsi" w:hAnsiTheme="minorHAnsi" w:cs="Calibri"/>
          <w:noProof/>
          <w:sz w:val="22"/>
          <w:szCs w:val="22"/>
          <w:vertAlign w:val="superscript"/>
        </w:rPr>
        <w:t>1</w:t>
      </w:r>
      <w:r w:rsidR="00AC43E0" w:rsidRPr="009F5CF7">
        <w:rPr>
          <w:rFonts w:asciiTheme="minorHAnsi" w:hAnsiTheme="minorHAnsi" w:cs="Calibri"/>
          <w:sz w:val="22"/>
          <w:szCs w:val="22"/>
        </w:rPr>
        <w:t xml:space="preserve"> </w:t>
      </w:r>
      <w:r w:rsidR="00A73797">
        <w:rPr>
          <w:rFonts w:asciiTheme="minorHAnsi" w:hAnsiTheme="minorHAnsi" w:cs="Calibri"/>
          <w:sz w:val="22"/>
          <w:szCs w:val="22"/>
        </w:rPr>
        <w:t>H</w:t>
      </w:r>
      <w:r w:rsidR="00784854" w:rsidRPr="009F5CF7">
        <w:rPr>
          <w:rFonts w:asciiTheme="minorHAnsi" w:hAnsiTheme="minorHAnsi" w:cs="Calibri"/>
          <w:sz w:val="22"/>
          <w:szCs w:val="22"/>
        </w:rPr>
        <w:t>owever</w:t>
      </w:r>
      <w:r w:rsidR="00AC43E0" w:rsidRPr="009F5CF7">
        <w:rPr>
          <w:rFonts w:asciiTheme="minorHAnsi" w:hAnsiTheme="minorHAnsi" w:cs="Calibri"/>
          <w:sz w:val="22"/>
          <w:szCs w:val="22"/>
        </w:rPr>
        <w:t xml:space="preserve"> </w:t>
      </w:r>
      <w:r w:rsidR="00784854" w:rsidRPr="009F5CF7">
        <w:rPr>
          <w:rFonts w:asciiTheme="minorHAnsi" w:hAnsiTheme="minorHAnsi" w:cs="Calibri"/>
          <w:sz w:val="22"/>
          <w:szCs w:val="22"/>
        </w:rPr>
        <w:t>the</w:t>
      </w:r>
      <w:r w:rsidR="00B062A8" w:rsidRPr="009F5CF7">
        <w:rPr>
          <w:rFonts w:asciiTheme="minorHAnsi" w:hAnsiTheme="minorHAnsi" w:cs="Calibri"/>
          <w:sz w:val="22"/>
          <w:szCs w:val="22"/>
        </w:rPr>
        <w:t xml:space="preserve"> study </w:t>
      </w:r>
      <w:r w:rsidR="00151AF4">
        <w:rPr>
          <w:rFonts w:asciiTheme="minorHAnsi" w:hAnsiTheme="minorHAnsi" w:cs="Calibri"/>
          <w:sz w:val="22"/>
          <w:szCs w:val="22"/>
        </w:rPr>
        <w:t>did not</w:t>
      </w:r>
      <w:r w:rsidR="00B062A8" w:rsidRPr="009F5CF7">
        <w:rPr>
          <w:rFonts w:asciiTheme="minorHAnsi" w:hAnsiTheme="minorHAnsi" w:cs="Calibri"/>
          <w:sz w:val="22"/>
          <w:szCs w:val="22"/>
        </w:rPr>
        <w:t xml:space="preserve"> show</w:t>
      </w:r>
      <w:r w:rsidR="00D07C8B">
        <w:rPr>
          <w:rFonts w:asciiTheme="minorHAnsi" w:hAnsiTheme="minorHAnsi" w:cs="Calibri"/>
          <w:sz w:val="22"/>
          <w:szCs w:val="22"/>
        </w:rPr>
        <w:t xml:space="preserve"> statistically significant</w:t>
      </w:r>
      <w:r w:rsidR="00B062A8" w:rsidRPr="009F5CF7">
        <w:rPr>
          <w:rFonts w:asciiTheme="minorHAnsi" w:hAnsiTheme="minorHAnsi" w:cs="Calibri"/>
          <w:sz w:val="22"/>
          <w:szCs w:val="22"/>
        </w:rPr>
        <w:t xml:space="preserve"> efficacy in an intention-to-treat analysis</w:t>
      </w:r>
      <w:r w:rsidR="00835F71" w:rsidRPr="009F5CF7">
        <w:rPr>
          <w:rFonts w:asciiTheme="minorHAnsi" w:hAnsiTheme="minorHAnsi" w:cs="Calibri"/>
          <w:sz w:val="22"/>
          <w:szCs w:val="22"/>
        </w:rPr>
        <w:t xml:space="preserve"> but did show a significant per-protocol effect</w:t>
      </w:r>
      <w:r w:rsidR="00C65585">
        <w:rPr>
          <w:rFonts w:asciiTheme="minorHAnsi" w:hAnsiTheme="minorHAnsi" w:cs="Calibri"/>
          <w:sz w:val="22"/>
          <w:szCs w:val="22"/>
        </w:rPr>
        <w:t xml:space="preserve"> </w:t>
      </w:r>
      <w:r w:rsidR="00C65585" w:rsidRPr="00C65585">
        <w:rPr>
          <w:rFonts w:ascii="Calibri" w:hAnsi="Calibri"/>
          <w:sz w:val="22"/>
        </w:rPr>
        <w:t>for allergy to one or more foods and for egg and peanut individually</w:t>
      </w:r>
      <w:r w:rsidR="00D3495D" w:rsidRPr="009F5CF7">
        <w:rPr>
          <w:rFonts w:asciiTheme="minorHAnsi" w:hAnsiTheme="minorHAnsi" w:cs="Calibri"/>
          <w:sz w:val="22"/>
          <w:szCs w:val="22"/>
        </w:rPr>
        <w:t>.</w:t>
      </w:r>
      <w:r w:rsidR="00045D14" w:rsidRPr="00045D14">
        <w:rPr>
          <w:rFonts w:asciiTheme="minorHAnsi" w:hAnsiTheme="minorHAnsi" w:cs="Calibri"/>
          <w:noProof/>
          <w:sz w:val="22"/>
          <w:szCs w:val="22"/>
          <w:vertAlign w:val="superscript"/>
        </w:rPr>
        <w:t>2</w:t>
      </w:r>
      <w:r w:rsidR="00D368A3" w:rsidRPr="009F5CF7">
        <w:rPr>
          <w:rFonts w:asciiTheme="minorHAnsi" w:hAnsiTheme="minorHAnsi" w:cs="Calibri"/>
          <w:sz w:val="22"/>
          <w:szCs w:val="22"/>
        </w:rPr>
        <w:t xml:space="preserve"> </w:t>
      </w:r>
      <w:r w:rsidR="000667B7" w:rsidRPr="000667B7">
        <w:rPr>
          <w:rFonts w:asciiTheme="minorHAnsi" w:hAnsiTheme="minorHAnsi" w:cs="Calibri"/>
          <w:sz w:val="22"/>
          <w:szCs w:val="22"/>
        </w:rPr>
        <w:t xml:space="preserve">There are </w:t>
      </w:r>
      <w:r w:rsidR="000667B7">
        <w:rPr>
          <w:rFonts w:asciiTheme="minorHAnsi" w:hAnsiTheme="minorHAnsi" w:cs="Calibri"/>
          <w:sz w:val="22"/>
          <w:szCs w:val="22"/>
        </w:rPr>
        <w:t xml:space="preserve">two </w:t>
      </w:r>
      <w:r w:rsidR="000667B7" w:rsidRPr="000667B7">
        <w:rPr>
          <w:rFonts w:asciiTheme="minorHAnsi" w:hAnsiTheme="minorHAnsi" w:cs="Calibri"/>
          <w:sz w:val="22"/>
          <w:szCs w:val="22"/>
        </w:rPr>
        <w:t>explanati</w:t>
      </w:r>
      <w:r w:rsidR="000667B7">
        <w:rPr>
          <w:rFonts w:asciiTheme="minorHAnsi" w:hAnsiTheme="minorHAnsi" w:cs="Calibri"/>
          <w:sz w:val="22"/>
          <w:szCs w:val="22"/>
        </w:rPr>
        <w:t>ons for this discrepancy. 1) Per-</w:t>
      </w:r>
      <w:r w:rsidR="000667B7" w:rsidRPr="000667B7">
        <w:rPr>
          <w:rFonts w:asciiTheme="minorHAnsi" w:hAnsiTheme="minorHAnsi" w:cs="Calibri"/>
          <w:sz w:val="22"/>
          <w:szCs w:val="22"/>
        </w:rPr>
        <w:t xml:space="preserve">protocol was effective because the population adhered to the intervention. 2) </w:t>
      </w:r>
      <w:r w:rsidR="000667B7">
        <w:rPr>
          <w:rFonts w:asciiTheme="minorHAnsi" w:hAnsiTheme="minorHAnsi" w:cs="Calibri"/>
          <w:sz w:val="22"/>
          <w:szCs w:val="22"/>
        </w:rPr>
        <w:t>I</w:t>
      </w:r>
      <w:r w:rsidR="000667B7" w:rsidRPr="009F5CF7">
        <w:rPr>
          <w:rFonts w:asciiTheme="minorHAnsi" w:hAnsiTheme="minorHAnsi" w:cs="Calibri"/>
          <w:sz w:val="22"/>
          <w:szCs w:val="22"/>
        </w:rPr>
        <w:t xml:space="preserve">ntention-to-treat </w:t>
      </w:r>
      <w:r w:rsidR="000667B7" w:rsidRPr="000667B7">
        <w:rPr>
          <w:rFonts w:asciiTheme="minorHAnsi" w:hAnsiTheme="minorHAnsi" w:cs="Calibri"/>
          <w:sz w:val="22"/>
          <w:szCs w:val="22"/>
        </w:rPr>
        <w:t>was not effective because amongst the large group of children who didn’t adhere, those with</w:t>
      </w:r>
      <w:r w:rsidR="000667B7">
        <w:rPr>
          <w:rFonts w:asciiTheme="minorHAnsi" w:hAnsiTheme="minorHAnsi" w:cs="Calibri"/>
          <w:sz w:val="22"/>
          <w:szCs w:val="22"/>
        </w:rPr>
        <w:t xml:space="preserve"> nascent allergy with food sensitization developed sub-clinical symptoms and/or food aversion and were therefore unable to adhere. </w:t>
      </w:r>
      <w:r w:rsidR="008566A6" w:rsidRPr="009F5CF7">
        <w:rPr>
          <w:rFonts w:asciiTheme="minorHAnsi" w:hAnsiTheme="minorHAnsi" w:cs="Calibri"/>
          <w:sz w:val="22"/>
          <w:szCs w:val="22"/>
        </w:rPr>
        <w:t>Further analyses</w:t>
      </w:r>
      <w:r w:rsidR="00B062A8" w:rsidRPr="009F5CF7">
        <w:rPr>
          <w:rFonts w:asciiTheme="minorHAnsi" w:hAnsiTheme="minorHAnsi" w:cs="Calibri"/>
          <w:sz w:val="22"/>
          <w:szCs w:val="22"/>
        </w:rPr>
        <w:t xml:space="preserve"> suggest</w:t>
      </w:r>
      <w:r w:rsidR="00AC43E0" w:rsidRPr="009F5CF7">
        <w:rPr>
          <w:rFonts w:asciiTheme="minorHAnsi" w:hAnsiTheme="minorHAnsi" w:cs="Calibri"/>
          <w:sz w:val="22"/>
          <w:szCs w:val="22"/>
        </w:rPr>
        <w:t>ed</w:t>
      </w:r>
      <w:r w:rsidR="00B062A8" w:rsidRPr="009F5CF7">
        <w:rPr>
          <w:rFonts w:asciiTheme="minorHAnsi" w:hAnsiTheme="minorHAnsi" w:cs="Calibri"/>
          <w:sz w:val="22"/>
          <w:szCs w:val="22"/>
        </w:rPr>
        <w:t xml:space="preserve"> that food allergy prevention </w:t>
      </w:r>
      <w:bookmarkStart w:id="0" w:name="_GoBack"/>
      <w:r w:rsidR="00B062A8" w:rsidRPr="009F5CF7">
        <w:rPr>
          <w:rFonts w:asciiTheme="minorHAnsi" w:hAnsiTheme="minorHAnsi" w:cs="Calibri"/>
          <w:sz w:val="22"/>
          <w:szCs w:val="22"/>
        </w:rPr>
        <w:t>through the early introduction of multiple allergenic foods in normal breastfed infants may d</w:t>
      </w:r>
      <w:r w:rsidR="00AC43E0" w:rsidRPr="009F5CF7">
        <w:rPr>
          <w:rFonts w:asciiTheme="minorHAnsi" w:hAnsiTheme="minorHAnsi" w:cs="Calibri"/>
          <w:sz w:val="22"/>
          <w:szCs w:val="22"/>
        </w:rPr>
        <w:t>epend on adherence and dosage.</w:t>
      </w:r>
      <w:r w:rsidR="00045D14" w:rsidRPr="00045D14">
        <w:rPr>
          <w:rFonts w:asciiTheme="minorHAnsi" w:hAnsiTheme="minorHAnsi" w:cs="Calibri"/>
          <w:noProof/>
          <w:sz w:val="22"/>
          <w:szCs w:val="22"/>
          <w:vertAlign w:val="superscript"/>
        </w:rPr>
        <w:t>2</w:t>
      </w:r>
      <w:r w:rsidR="003A7679" w:rsidRPr="009F5CF7">
        <w:rPr>
          <w:rFonts w:asciiTheme="minorHAnsi" w:hAnsiTheme="minorHAnsi" w:cs="Calibri"/>
          <w:sz w:val="22"/>
          <w:szCs w:val="22"/>
        </w:rPr>
        <w:t xml:space="preserve"> </w:t>
      </w:r>
      <w:bookmarkEnd w:id="0"/>
    </w:p>
    <w:p w14:paraId="5516F5FA" w14:textId="2436F754" w:rsidR="00151AF4" w:rsidRDefault="007D6104" w:rsidP="002C4B96">
      <w:pPr>
        <w:pStyle w:val="Heading2"/>
        <w:spacing w:line="480" w:lineRule="auto"/>
        <w:jc w:val="left"/>
        <w:rPr>
          <w:rFonts w:asciiTheme="minorHAnsi" w:hAnsiTheme="minorHAnsi" w:cs="Calibri"/>
          <w:i w:val="0"/>
          <w:sz w:val="22"/>
          <w:szCs w:val="22"/>
        </w:rPr>
      </w:pPr>
      <w:r>
        <w:rPr>
          <w:rFonts w:asciiTheme="minorHAnsi" w:hAnsiTheme="minorHAnsi" w:cs="Calibri"/>
          <w:i w:val="0"/>
          <w:sz w:val="22"/>
          <w:szCs w:val="22"/>
        </w:rPr>
        <w:t xml:space="preserve">The EAT </w:t>
      </w:r>
      <w:r w:rsidR="0085655C">
        <w:rPr>
          <w:rFonts w:asciiTheme="minorHAnsi" w:hAnsiTheme="minorHAnsi" w:cs="Calibri"/>
          <w:i w:val="0"/>
          <w:sz w:val="22"/>
          <w:szCs w:val="22"/>
        </w:rPr>
        <w:t>s</w:t>
      </w:r>
      <w:r>
        <w:rPr>
          <w:rFonts w:asciiTheme="minorHAnsi" w:hAnsiTheme="minorHAnsi" w:cs="Calibri"/>
          <w:i w:val="0"/>
          <w:sz w:val="22"/>
          <w:szCs w:val="22"/>
        </w:rPr>
        <w:t xml:space="preserve">tudy </w:t>
      </w:r>
      <w:r w:rsidR="005D2E1E">
        <w:rPr>
          <w:rFonts w:asciiTheme="minorHAnsi" w:hAnsiTheme="minorHAnsi" w:cs="Calibri"/>
          <w:i w:val="0"/>
          <w:sz w:val="22"/>
          <w:szCs w:val="22"/>
        </w:rPr>
        <w:t>per-protocol</w:t>
      </w:r>
      <w:r>
        <w:rPr>
          <w:rFonts w:asciiTheme="minorHAnsi" w:hAnsiTheme="minorHAnsi" w:cs="Calibri"/>
          <w:i w:val="0"/>
          <w:sz w:val="22"/>
          <w:szCs w:val="22"/>
        </w:rPr>
        <w:t xml:space="preserve"> criteria for the EIG were stringent. By six months of age, EIG infants were expected to have achieved sustained, high dose consumption of </w:t>
      </w:r>
      <w:r w:rsidR="00DC243C">
        <w:rPr>
          <w:rFonts w:asciiTheme="minorHAnsi" w:hAnsiTheme="minorHAnsi" w:cs="Calibri"/>
          <w:i w:val="0"/>
          <w:sz w:val="22"/>
          <w:szCs w:val="22"/>
        </w:rPr>
        <w:t>five</w:t>
      </w:r>
      <w:r>
        <w:rPr>
          <w:rFonts w:asciiTheme="minorHAnsi" w:hAnsiTheme="minorHAnsi" w:cs="Calibri"/>
          <w:i w:val="0"/>
          <w:sz w:val="22"/>
          <w:szCs w:val="22"/>
        </w:rPr>
        <w:t xml:space="preserve"> or more of the six early introduction foods. </w:t>
      </w:r>
      <w:r w:rsidR="008566A6" w:rsidRPr="009F5CF7">
        <w:rPr>
          <w:rFonts w:asciiTheme="minorHAnsi" w:hAnsiTheme="minorHAnsi" w:cs="Calibri"/>
          <w:i w:val="0"/>
          <w:sz w:val="22"/>
          <w:szCs w:val="22"/>
        </w:rPr>
        <w:t xml:space="preserve">Achieving </w:t>
      </w:r>
      <w:r>
        <w:rPr>
          <w:rFonts w:asciiTheme="minorHAnsi" w:hAnsiTheme="minorHAnsi" w:cs="Calibri"/>
          <w:i w:val="0"/>
          <w:sz w:val="22"/>
          <w:szCs w:val="22"/>
        </w:rPr>
        <w:t xml:space="preserve">such </w:t>
      </w:r>
      <w:r w:rsidR="005D2E1E">
        <w:rPr>
          <w:rFonts w:asciiTheme="minorHAnsi" w:hAnsiTheme="minorHAnsi" w:cs="Calibri"/>
          <w:i w:val="0"/>
          <w:sz w:val="22"/>
          <w:szCs w:val="22"/>
        </w:rPr>
        <w:t>per-protocol</w:t>
      </w:r>
      <w:r w:rsidR="008566A6" w:rsidRPr="009F5CF7">
        <w:rPr>
          <w:rFonts w:asciiTheme="minorHAnsi" w:hAnsiTheme="minorHAnsi" w:cs="Calibri"/>
          <w:i w:val="0"/>
          <w:sz w:val="22"/>
          <w:szCs w:val="22"/>
        </w:rPr>
        <w:t xml:space="preserve"> adherence in</w:t>
      </w:r>
      <w:r>
        <w:rPr>
          <w:rFonts w:asciiTheme="minorHAnsi" w:hAnsiTheme="minorHAnsi" w:cs="Calibri"/>
          <w:i w:val="0"/>
          <w:sz w:val="22"/>
          <w:szCs w:val="22"/>
        </w:rPr>
        <w:t xml:space="preserve"> the</w:t>
      </w:r>
      <w:r w:rsidR="008566A6" w:rsidRPr="009F5CF7">
        <w:rPr>
          <w:rFonts w:asciiTheme="minorHAnsi" w:hAnsiTheme="minorHAnsi" w:cs="Calibri"/>
          <w:i w:val="0"/>
          <w:sz w:val="22"/>
          <w:szCs w:val="22"/>
        </w:rPr>
        <w:t xml:space="preserve"> </w:t>
      </w:r>
      <w:r w:rsidR="0060085D" w:rsidRPr="009F5CF7">
        <w:rPr>
          <w:rFonts w:asciiTheme="minorHAnsi" w:hAnsiTheme="minorHAnsi" w:cs="Calibri"/>
          <w:i w:val="0"/>
          <w:sz w:val="22"/>
          <w:szCs w:val="22"/>
        </w:rPr>
        <w:t>EIG</w:t>
      </w:r>
      <w:r w:rsidR="008566A6" w:rsidRPr="009F5CF7">
        <w:rPr>
          <w:rFonts w:asciiTheme="minorHAnsi" w:hAnsiTheme="minorHAnsi" w:cs="Calibri"/>
          <w:i w:val="0"/>
          <w:sz w:val="22"/>
          <w:szCs w:val="22"/>
        </w:rPr>
        <w:t xml:space="preserve"> proved difficult</w:t>
      </w:r>
      <w:r w:rsidR="00CE0FC3" w:rsidRPr="009F5CF7">
        <w:rPr>
          <w:rFonts w:asciiTheme="minorHAnsi" w:hAnsiTheme="minorHAnsi" w:cs="Calibri"/>
          <w:i w:val="0"/>
          <w:sz w:val="22"/>
          <w:szCs w:val="22"/>
        </w:rPr>
        <w:t xml:space="preserve">. Only 42% (223/529) of </w:t>
      </w:r>
      <w:r w:rsidR="00E46774">
        <w:rPr>
          <w:rFonts w:asciiTheme="minorHAnsi" w:hAnsiTheme="minorHAnsi" w:cs="Calibri"/>
          <w:i w:val="0"/>
          <w:sz w:val="22"/>
          <w:szCs w:val="22"/>
        </w:rPr>
        <w:t>adherence</w:t>
      </w:r>
      <w:r w:rsidR="00CE0FC3" w:rsidRPr="009F5CF7">
        <w:rPr>
          <w:rFonts w:asciiTheme="minorHAnsi" w:hAnsiTheme="minorHAnsi" w:cs="Calibri"/>
          <w:i w:val="0"/>
          <w:sz w:val="22"/>
          <w:szCs w:val="22"/>
        </w:rPr>
        <w:t>-evaluable EIG children complied entirely with the protocol (34% (223/652) of the whol</w:t>
      </w:r>
      <w:r w:rsidR="00363A43">
        <w:rPr>
          <w:rFonts w:asciiTheme="minorHAnsi" w:hAnsiTheme="minorHAnsi" w:cs="Calibri"/>
          <w:i w:val="0"/>
          <w:sz w:val="22"/>
          <w:szCs w:val="22"/>
        </w:rPr>
        <w:t>e EIG group).</w:t>
      </w:r>
      <w:r w:rsidR="00151AF4" w:rsidRPr="00151AF4">
        <w:rPr>
          <w:rFonts w:asciiTheme="minorHAnsi" w:hAnsiTheme="minorHAnsi" w:cs="Calibri"/>
          <w:i w:val="0"/>
          <w:sz w:val="22"/>
          <w:szCs w:val="22"/>
        </w:rPr>
        <w:t xml:space="preserve"> </w:t>
      </w:r>
    </w:p>
    <w:p w14:paraId="6149259F" w14:textId="6AB38386" w:rsidR="00CC19DB" w:rsidRDefault="00F02722" w:rsidP="002C4B96">
      <w:pPr>
        <w:spacing w:line="480" w:lineRule="auto"/>
        <w:rPr>
          <w:rFonts w:asciiTheme="minorHAnsi" w:hAnsiTheme="minorHAnsi"/>
          <w:sz w:val="22"/>
          <w:szCs w:val="22"/>
        </w:rPr>
      </w:pPr>
      <w:r>
        <w:rPr>
          <w:rFonts w:asciiTheme="minorHAnsi" w:hAnsiTheme="minorHAnsi"/>
          <w:sz w:val="22"/>
          <w:szCs w:val="22"/>
        </w:rPr>
        <w:t>Following the completion of the study, w</w:t>
      </w:r>
      <w:r w:rsidR="00A73797">
        <w:rPr>
          <w:rFonts w:asciiTheme="minorHAnsi" w:hAnsiTheme="minorHAnsi"/>
          <w:sz w:val="22"/>
          <w:szCs w:val="22"/>
        </w:rPr>
        <w:t xml:space="preserve">e </w:t>
      </w:r>
      <w:r w:rsidR="009F5CF7" w:rsidRPr="009F5CF7">
        <w:rPr>
          <w:rFonts w:asciiTheme="minorHAnsi" w:hAnsiTheme="minorHAnsi"/>
          <w:sz w:val="22"/>
          <w:szCs w:val="22"/>
        </w:rPr>
        <w:t xml:space="preserve">measured serum </w:t>
      </w:r>
      <w:r w:rsidR="00BD446D">
        <w:rPr>
          <w:rFonts w:asciiTheme="minorHAnsi" w:hAnsiTheme="minorHAnsi"/>
          <w:sz w:val="22"/>
          <w:szCs w:val="22"/>
        </w:rPr>
        <w:t>allergen-</w:t>
      </w:r>
      <w:r w:rsidR="009F5CF7" w:rsidRPr="009F5CF7">
        <w:rPr>
          <w:rFonts w:asciiTheme="minorHAnsi" w:hAnsiTheme="minorHAnsi"/>
          <w:sz w:val="22"/>
          <w:szCs w:val="22"/>
        </w:rPr>
        <w:t xml:space="preserve">specific IgE </w:t>
      </w:r>
      <w:r w:rsidR="009222F0">
        <w:rPr>
          <w:rFonts w:asciiTheme="minorHAnsi" w:hAnsiTheme="minorHAnsi"/>
          <w:sz w:val="22"/>
          <w:szCs w:val="22"/>
        </w:rPr>
        <w:t>sensitiz</w:t>
      </w:r>
      <w:r w:rsidR="009F5CF7" w:rsidRPr="009F5CF7">
        <w:rPr>
          <w:rFonts w:asciiTheme="minorHAnsi" w:hAnsiTheme="minorHAnsi"/>
          <w:sz w:val="22"/>
          <w:szCs w:val="22"/>
        </w:rPr>
        <w:t>ation in the EAT participants</w:t>
      </w:r>
      <w:r w:rsidR="0083663A">
        <w:rPr>
          <w:rFonts w:asciiTheme="minorHAnsi" w:hAnsiTheme="minorHAnsi"/>
          <w:sz w:val="22"/>
          <w:szCs w:val="22"/>
        </w:rPr>
        <w:t xml:space="preserve"> and have demonstrated in a</w:t>
      </w:r>
      <w:r w:rsidR="00FA4320">
        <w:rPr>
          <w:rFonts w:asciiTheme="minorHAnsi" w:hAnsiTheme="minorHAnsi"/>
          <w:sz w:val="22"/>
          <w:szCs w:val="22"/>
        </w:rPr>
        <w:t xml:space="preserve">n </w:t>
      </w:r>
      <w:r w:rsidR="002672A8">
        <w:rPr>
          <w:rFonts w:asciiTheme="minorHAnsi" w:hAnsiTheme="minorHAnsi"/>
          <w:sz w:val="22"/>
          <w:szCs w:val="22"/>
        </w:rPr>
        <w:t xml:space="preserve">intention-to-treat </w:t>
      </w:r>
      <w:r w:rsidR="00FA4320">
        <w:rPr>
          <w:rFonts w:asciiTheme="minorHAnsi" w:hAnsiTheme="minorHAnsi"/>
          <w:sz w:val="22"/>
          <w:szCs w:val="22"/>
        </w:rPr>
        <w:t>analysis that the intervention successfully reduced the development of food allergy</w:t>
      </w:r>
      <w:r w:rsidR="00E35B01">
        <w:rPr>
          <w:rFonts w:asciiTheme="minorHAnsi" w:hAnsiTheme="minorHAnsi"/>
          <w:sz w:val="22"/>
          <w:szCs w:val="22"/>
        </w:rPr>
        <w:t xml:space="preserve"> amongst EIG infants who were sensitised on specific IgE testing at </w:t>
      </w:r>
      <w:r w:rsidR="00C52104">
        <w:rPr>
          <w:rFonts w:asciiTheme="minorHAnsi" w:hAnsiTheme="minorHAnsi"/>
          <w:sz w:val="22"/>
          <w:szCs w:val="22"/>
        </w:rPr>
        <w:t>enrollment</w:t>
      </w:r>
      <w:r w:rsidR="00E35B01">
        <w:rPr>
          <w:rFonts w:asciiTheme="minorHAnsi" w:hAnsiTheme="minorHAnsi"/>
          <w:sz w:val="22"/>
          <w:szCs w:val="22"/>
        </w:rPr>
        <w:t xml:space="preserve">. Infants with the early emergence of </w:t>
      </w:r>
      <w:r w:rsidR="00F62C0C">
        <w:rPr>
          <w:rFonts w:asciiTheme="minorHAnsi" w:hAnsiTheme="minorHAnsi"/>
          <w:sz w:val="22"/>
          <w:szCs w:val="22"/>
        </w:rPr>
        <w:t xml:space="preserve">food </w:t>
      </w:r>
      <w:r w:rsidR="00E35B01">
        <w:rPr>
          <w:rFonts w:asciiTheme="minorHAnsi" w:hAnsiTheme="minorHAnsi"/>
          <w:sz w:val="22"/>
          <w:szCs w:val="22"/>
        </w:rPr>
        <w:t xml:space="preserve">specific IgE </w:t>
      </w:r>
      <w:r w:rsidR="00350F03">
        <w:rPr>
          <w:rFonts w:asciiTheme="minorHAnsi" w:hAnsiTheme="minorHAnsi"/>
          <w:sz w:val="22"/>
          <w:szCs w:val="22"/>
        </w:rPr>
        <w:t>sensitization</w:t>
      </w:r>
      <w:r w:rsidR="00E35B01">
        <w:rPr>
          <w:rFonts w:asciiTheme="minorHAnsi" w:hAnsiTheme="minorHAnsi"/>
          <w:sz w:val="22"/>
          <w:szCs w:val="22"/>
        </w:rPr>
        <w:t xml:space="preserve"> to foods are known to be at high risk of developing a food allergy.</w:t>
      </w:r>
      <w:r w:rsidR="00A13F72" w:rsidRPr="00A13F72">
        <w:rPr>
          <w:rFonts w:asciiTheme="minorHAnsi" w:hAnsiTheme="minorHAnsi"/>
          <w:noProof/>
          <w:sz w:val="22"/>
          <w:szCs w:val="22"/>
          <w:vertAlign w:val="superscript"/>
        </w:rPr>
        <w:t>3,4</w:t>
      </w:r>
      <w:r w:rsidR="00E35B01">
        <w:rPr>
          <w:rFonts w:asciiTheme="minorHAnsi" w:hAnsiTheme="minorHAnsi"/>
          <w:sz w:val="22"/>
          <w:szCs w:val="22"/>
        </w:rPr>
        <w:t xml:space="preserve"> </w:t>
      </w:r>
      <w:r w:rsidR="00FA4320">
        <w:rPr>
          <w:rFonts w:asciiTheme="minorHAnsi" w:hAnsiTheme="minorHAnsi"/>
          <w:sz w:val="22"/>
          <w:szCs w:val="22"/>
        </w:rPr>
        <w:t xml:space="preserve"> </w:t>
      </w:r>
    </w:p>
    <w:p w14:paraId="1EE6FF03" w14:textId="77777777" w:rsidR="00997C0C" w:rsidRPr="00381117" w:rsidRDefault="00CC19DB" w:rsidP="00997C0C">
      <w:pPr>
        <w:spacing w:line="480" w:lineRule="auto"/>
        <w:rPr>
          <w:rFonts w:asciiTheme="minorHAnsi" w:hAnsiTheme="minorHAnsi" w:cs="Calibri"/>
          <w:sz w:val="22"/>
          <w:szCs w:val="22"/>
        </w:rPr>
      </w:pPr>
      <w:r>
        <w:rPr>
          <w:rFonts w:asciiTheme="minorHAnsi" w:hAnsiTheme="minorHAnsi"/>
          <w:sz w:val="22"/>
          <w:szCs w:val="22"/>
        </w:rPr>
        <w:t>In this paper w</w:t>
      </w:r>
      <w:r w:rsidR="009F5CF7" w:rsidRPr="009F5CF7">
        <w:rPr>
          <w:rFonts w:asciiTheme="minorHAnsi" w:hAnsiTheme="minorHAnsi"/>
          <w:sz w:val="22"/>
          <w:szCs w:val="22"/>
        </w:rPr>
        <w:t xml:space="preserve">e </w:t>
      </w:r>
      <w:r>
        <w:rPr>
          <w:rFonts w:asciiTheme="minorHAnsi" w:hAnsiTheme="minorHAnsi"/>
          <w:sz w:val="22"/>
          <w:szCs w:val="22"/>
        </w:rPr>
        <w:t>ex</w:t>
      </w:r>
      <w:r w:rsidR="009F5CF7" w:rsidRPr="009F5CF7">
        <w:rPr>
          <w:rFonts w:asciiTheme="minorHAnsi" w:hAnsiTheme="minorHAnsi"/>
          <w:sz w:val="22"/>
          <w:szCs w:val="22"/>
        </w:rPr>
        <w:t xml:space="preserve">plore </w:t>
      </w:r>
      <w:r w:rsidR="009F5CF7" w:rsidRPr="009F5CF7">
        <w:rPr>
          <w:rFonts w:asciiTheme="minorHAnsi" w:hAnsiTheme="minorHAnsi" w:cs="Calibri"/>
          <w:sz w:val="22"/>
          <w:szCs w:val="22"/>
        </w:rPr>
        <w:t>how this and other data collected in the EAT study influence</w:t>
      </w:r>
      <w:r w:rsidR="009F5CF7">
        <w:rPr>
          <w:rFonts w:asciiTheme="minorHAnsi" w:hAnsiTheme="minorHAnsi" w:cs="Calibri"/>
          <w:sz w:val="22"/>
          <w:szCs w:val="22"/>
        </w:rPr>
        <w:t>d</w:t>
      </w:r>
      <w:r w:rsidR="009F5CF7" w:rsidRPr="009F5CF7">
        <w:rPr>
          <w:rFonts w:asciiTheme="minorHAnsi" w:hAnsiTheme="minorHAnsi" w:cs="Calibri"/>
          <w:sz w:val="22"/>
          <w:szCs w:val="22"/>
        </w:rPr>
        <w:t xml:space="preserve"> </w:t>
      </w:r>
      <w:r w:rsidR="00E637F1" w:rsidRPr="009F5CF7">
        <w:rPr>
          <w:rFonts w:asciiTheme="minorHAnsi" w:hAnsiTheme="minorHAnsi" w:cs="Calibri"/>
          <w:sz w:val="22"/>
          <w:szCs w:val="22"/>
        </w:rPr>
        <w:t>the issue of non</w:t>
      </w:r>
      <w:r w:rsidR="00CE72B4" w:rsidRPr="009F5CF7">
        <w:rPr>
          <w:rFonts w:asciiTheme="minorHAnsi" w:hAnsiTheme="minorHAnsi" w:cs="Calibri"/>
          <w:sz w:val="22"/>
          <w:szCs w:val="22"/>
        </w:rPr>
        <w:t>-adherence</w:t>
      </w:r>
      <w:r w:rsidR="001A7B17" w:rsidRPr="009F5CF7">
        <w:rPr>
          <w:rFonts w:asciiTheme="minorHAnsi" w:hAnsiTheme="minorHAnsi" w:cs="Calibri"/>
          <w:sz w:val="22"/>
          <w:szCs w:val="22"/>
        </w:rPr>
        <w:t xml:space="preserve"> with the recommended level of consumption of the six early introduction foods (overall non-adherence) as well as non-adherence with consumption of individual foods (food </w:t>
      </w:r>
      <w:r w:rsidR="001A7B17" w:rsidRPr="009F5CF7">
        <w:rPr>
          <w:rFonts w:asciiTheme="minorHAnsi" w:hAnsiTheme="minorHAnsi" w:cs="Calibri"/>
          <w:sz w:val="22"/>
          <w:szCs w:val="22"/>
        </w:rPr>
        <w:lastRenderedPageBreak/>
        <w:t>specific non-adherence)</w:t>
      </w:r>
      <w:r w:rsidR="009F5CF7" w:rsidRPr="009F5CF7">
        <w:rPr>
          <w:rFonts w:asciiTheme="minorHAnsi" w:hAnsiTheme="minorHAnsi" w:cs="Calibri"/>
          <w:sz w:val="22"/>
          <w:szCs w:val="22"/>
        </w:rPr>
        <w:t xml:space="preserve">. </w:t>
      </w:r>
      <w:r w:rsidR="00151AF4">
        <w:rPr>
          <w:rFonts w:asciiTheme="minorHAnsi" w:hAnsiTheme="minorHAnsi" w:cs="Calibri"/>
          <w:sz w:val="22"/>
          <w:szCs w:val="22"/>
        </w:rPr>
        <w:t xml:space="preserve">We determine whether occult </w:t>
      </w:r>
      <w:r w:rsidR="00350F03">
        <w:rPr>
          <w:rFonts w:asciiTheme="minorHAnsi" w:hAnsiTheme="minorHAnsi" w:cs="Calibri"/>
          <w:sz w:val="22"/>
          <w:szCs w:val="22"/>
        </w:rPr>
        <w:t>sensitization</w:t>
      </w:r>
      <w:r w:rsidR="00151AF4">
        <w:rPr>
          <w:rFonts w:asciiTheme="minorHAnsi" w:hAnsiTheme="minorHAnsi" w:cs="Calibri"/>
          <w:sz w:val="22"/>
          <w:szCs w:val="22"/>
        </w:rPr>
        <w:t xml:space="preserve"> and early symptoms were responsible for the high non-adherence rate. </w:t>
      </w:r>
    </w:p>
    <w:p w14:paraId="0DBCCBE6" w14:textId="0FCFBDAA" w:rsidR="00997C0C" w:rsidRPr="009F5CF7" w:rsidRDefault="00997C0C" w:rsidP="00997C0C">
      <w:pPr>
        <w:spacing w:line="480" w:lineRule="auto"/>
        <w:rPr>
          <w:rFonts w:asciiTheme="minorHAnsi" w:hAnsiTheme="minorHAnsi" w:cs="Calibri"/>
          <w:sz w:val="22"/>
          <w:szCs w:val="22"/>
        </w:rPr>
      </w:pPr>
      <w:r>
        <w:rPr>
          <w:rFonts w:asciiTheme="minorHAnsi" w:hAnsiTheme="minorHAnsi" w:cs="Calibri"/>
          <w:sz w:val="22"/>
          <w:szCs w:val="22"/>
        </w:rPr>
        <w:t xml:space="preserve">The UK </w:t>
      </w:r>
      <w:r w:rsidRPr="00997C0C">
        <w:rPr>
          <w:rFonts w:asciiTheme="minorHAnsi" w:hAnsiTheme="minorHAnsi" w:cs="Calibri"/>
          <w:sz w:val="22"/>
          <w:szCs w:val="22"/>
        </w:rPr>
        <w:t xml:space="preserve">Scientific Advisory Committee on Nutrition (SACN) </w:t>
      </w:r>
      <w:r>
        <w:rPr>
          <w:rFonts w:asciiTheme="minorHAnsi" w:hAnsiTheme="minorHAnsi" w:cs="Calibri"/>
          <w:sz w:val="22"/>
          <w:szCs w:val="22"/>
        </w:rPr>
        <w:t>has issued</w:t>
      </w:r>
      <w:r w:rsidRPr="00997C0C">
        <w:rPr>
          <w:rFonts w:asciiTheme="minorHAnsi" w:hAnsiTheme="minorHAnsi" w:cs="Calibri"/>
          <w:sz w:val="22"/>
          <w:szCs w:val="22"/>
        </w:rPr>
        <w:t xml:space="preserve"> the following statement </w:t>
      </w:r>
      <w:r>
        <w:rPr>
          <w:rFonts w:asciiTheme="minorHAnsi" w:hAnsiTheme="minorHAnsi" w:cs="Calibri"/>
          <w:sz w:val="22"/>
          <w:szCs w:val="22"/>
        </w:rPr>
        <w:t>following its review on the evidence on feeding in the first year of life:</w:t>
      </w:r>
      <w:r w:rsidRPr="00997C0C">
        <w:rPr>
          <w:rFonts w:asciiTheme="minorHAnsi" w:hAnsiTheme="minorHAnsi" w:cs="Calibri"/>
          <w:sz w:val="22"/>
          <w:szCs w:val="22"/>
        </w:rPr>
        <w:t xml:space="preserve"> "The available evidence indicates that the deliberate exclusion or delayed introduction of peanut or hen’s egg beyond 6 to 12 months of age may increase the ri</w:t>
      </w:r>
      <w:r>
        <w:rPr>
          <w:rFonts w:asciiTheme="minorHAnsi" w:hAnsiTheme="minorHAnsi" w:cs="Calibri"/>
          <w:sz w:val="22"/>
          <w:szCs w:val="22"/>
        </w:rPr>
        <w:t>sk of allergy to the same foods</w:t>
      </w:r>
      <w:r w:rsidRPr="00997C0C">
        <w:rPr>
          <w:rFonts w:asciiTheme="minorHAnsi" w:hAnsiTheme="minorHAnsi" w:cs="Calibri"/>
          <w:sz w:val="22"/>
          <w:szCs w:val="22"/>
        </w:rPr>
        <w:t>"</w:t>
      </w:r>
      <w:r>
        <w:rPr>
          <w:rFonts w:asciiTheme="minorHAnsi" w:hAnsiTheme="minorHAnsi" w:cs="Calibri"/>
          <w:sz w:val="22"/>
          <w:szCs w:val="22"/>
        </w:rPr>
        <w:t>.</w:t>
      </w:r>
      <w:r w:rsidRPr="00997C0C">
        <w:rPr>
          <w:rFonts w:asciiTheme="minorHAnsi" w:hAnsiTheme="minorHAnsi" w:cs="Calibri"/>
          <w:noProof/>
          <w:sz w:val="22"/>
          <w:szCs w:val="22"/>
          <w:vertAlign w:val="superscript"/>
        </w:rPr>
        <w:t>5</w:t>
      </w:r>
      <w:r>
        <w:rPr>
          <w:rFonts w:asciiTheme="minorHAnsi" w:hAnsiTheme="minorHAnsi" w:cs="Calibri"/>
          <w:sz w:val="22"/>
          <w:szCs w:val="22"/>
        </w:rPr>
        <w:t xml:space="preserve"> We </w:t>
      </w:r>
      <w:r w:rsidRPr="00381117">
        <w:rPr>
          <w:rFonts w:asciiTheme="minorHAnsi" w:hAnsiTheme="minorHAnsi" w:cs="Calibri"/>
          <w:sz w:val="22"/>
          <w:szCs w:val="22"/>
        </w:rPr>
        <w:t>address how barriers to</w:t>
      </w:r>
      <w:r>
        <w:rPr>
          <w:rFonts w:asciiTheme="minorHAnsi" w:hAnsiTheme="minorHAnsi" w:cs="Calibri"/>
          <w:sz w:val="22"/>
          <w:szCs w:val="22"/>
        </w:rPr>
        <w:t xml:space="preserve"> the</w:t>
      </w:r>
      <w:r w:rsidRPr="00381117">
        <w:rPr>
          <w:rFonts w:asciiTheme="minorHAnsi" w:hAnsiTheme="minorHAnsi" w:cs="Calibri"/>
          <w:sz w:val="22"/>
          <w:szCs w:val="22"/>
        </w:rPr>
        <w:t xml:space="preserve"> </w:t>
      </w:r>
      <w:r>
        <w:rPr>
          <w:rFonts w:asciiTheme="minorHAnsi" w:hAnsiTheme="minorHAnsi" w:cs="Calibri"/>
          <w:sz w:val="22"/>
          <w:szCs w:val="22"/>
        </w:rPr>
        <w:t xml:space="preserve">prompt introduction of allergenic foods </w:t>
      </w:r>
      <w:r w:rsidRPr="00381117">
        <w:rPr>
          <w:rFonts w:asciiTheme="minorHAnsi" w:hAnsiTheme="minorHAnsi" w:cs="Calibri"/>
          <w:sz w:val="22"/>
          <w:szCs w:val="22"/>
        </w:rPr>
        <w:t>might be mitigated, thereby enhancing the possibility of food allergy prevention.</w:t>
      </w:r>
      <w:r>
        <w:rPr>
          <w:rFonts w:asciiTheme="minorHAnsi" w:hAnsiTheme="minorHAnsi" w:cs="Calibri"/>
          <w:sz w:val="22"/>
          <w:szCs w:val="22"/>
        </w:rPr>
        <w:t xml:space="preserve"> </w:t>
      </w:r>
    </w:p>
    <w:p w14:paraId="65CB4FEB" w14:textId="2156DCE0" w:rsidR="000667B7" w:rsidRPr="009F5CF7" w:rsidRDefault="000667B7" w:rsidP="002C4B96">
      <w:pPr>
        <w:spacing w:line="480" w:lineRule="auto"/>
        <w:rPr>
          <w:rFonts w:asciiTheme="minorHAnsi" w:hAnsiTheme="minorHAnsi" w:cs="Calibri"/>
          <w:sz w:val="22"/>
          <w:szCs w:val="22"/>
        </w:rPr>
      </w:pPr>
    </w:p>
    <w:p w14:paraId="3431277A" w14:textId="77777777" w:rsidR="009324D3" w:rsidRPr="00E637F1" w:rsidRDefault="00C820B3" w:rsidP="002C4B96">
      <w:pPr>
        <w:spacing w:line="480" w:lineRule="auto"/>
        <w:rPr>
          <w:rFonts w:ascii="Calibri" w:hAnsi="Calibri"/>
          <w:b/>
          <w:sz w:val="22"/>
        </w:rPr>
      </w:pPr>
      <w:r w:rsidRPr="00D94188">
        <w:rPr>
          <w:rFonts w:ascii="Calibri" w:hAnsi="Calibri"/>
          <w:b/>
          <w:sz w:val="22"/>
        </w:rPr>
        <w:br w:type="page"/>
      </w:r>
      <w:r w:rsidR="00067041" w:rsidRPr="00E637F1">
        <w:rPr>
          <w:rFonts w:ascii="Calibri" w:hAnsi="Calibri"/>
          <w:b/>
          <w:sz w:val="22"/>
        </w:rPr>
        <w:lastRenderedPageBreak/>
        <w:t>Method</w:t>
      </w:r>
    </w:p>
    <w:p w14:paraId="5CC44C8F" w14:textId="77777777" w:rsidR="0052640B" w:rsidRPr="00E637F1" w:rsidRDefault="0052640B" w:rsidP="002C4B96">
      <w:pPr>
        <w:spacing w:line="480" w:lineRule="auto"/>
        <w:rPr>
          <w:rFonts w:ascii="Calibri" w:hAnsi="Calibri"/>
          <w:b/>
          <w:sz w:val="22"/>
        </w:rPr>
      </w:pPr>
      <w:r w:rsidRPr="00E637F1">
        <w:rPr>
          <w:rFonts w:ascii="Calibri" w:hAnsi="Calibri"/>
          <w:b/>
          <w:sz w:val="22"/>
        </w:rPr>
        <w:t>Participants</w:t>
      </w:r>
    </w:p>
    <w:p w14:paraId="71B9F099" w14:textId="5D8EE0B9" w:rsidR="0052640B" w:rsidRPr="00D94188" w:rsidRDefault="00AA3B0D" w:rsidP="002C4B96">
      <w:pPr>
        <w:spacing w:line="480" w:lineRule="auto"/>
        <w:rPr>
          <w:rFonts w:ascii="Calibri" w:hAnsi="Calibri"/>
          <w:sz w:val="22"/>
        </w:rPr>
      </w:pPr>
      <w:r w:rsidRPr="00E637F1">
        <w:rPr>
          <w:rFonts w:ascii="Calibri" w:hAnsi="Calibri"/>
          <w:sz w:val="22"/>
        </w:rPr>
        <w:t xml:space="preserve">1303 </w:t>
      </w:r>
      <w:r w:rsidR="001F0C83" w:rsidRPr="00E637F1">
        <w:rPr>
          <w:rFonts w:ascii="Calibri" w:hAnsi="Calibri"/>
          <w:sz w:val="22"/>
        </w:rPr>
        <w:t>three-</w:t>
      </w:r>
      <w:r w:rsidR="00C73E4B" w:rsidRPr="00E637F1">
        <w:rPr>
          <w:rFonts w:ascii="Calibri" w:hAnsi="Calibri"/>
          <w:sz w:val="22"/>
        </w:rPr>
        <w:t>month old</w:t>
      </w:r>
      <w:r w:rsidR="006800C4" w:rsidRPr="00E637F1">
        <w:rPr>
          <w:rFonts w:ascii="Calibri" w:hAnsi="Calibri"/>
          <w:sz w:val="22"/>
        </w:rPr>
        <w:t xml:space="preserve"> </w:t>
      </w:r>
      <w:r w:rsidR="00C73E4B" w:rsidRPr="00E637F1">
        <w:rPr>
          <w:rFonts w:ascii="Calibri" w:hAnsi="Calibri"/>
          <w:sz w:val="22"/>
        </w:rPr>
        <w:t xml:space="preserve">infants were recruited from the general population </w:t>
      </w:r>
      <w:r w:rsidR="009E121E" w:rsidRPr="00E637F1">
        <w:rPr>
          <w:rFonts w:ascii="Calibri" w:hAnsi="Calibri"/>
          <w:sz w:val="22"/>
        </w:rPr>
        <w:t xml:space="preserve">in England and Wales </w:t>
      </w:r>
      <w:r w:rsidR="001C40DB" w:rsidRPr="00E637F1">
        <w:rPr>
          <w:rFonts w:ascii="Calibri" w:hAnsi="Calibri"/>
          <w:sz w:val="22"/>
        </w:rPr>
        <w:t xml:space="preserve">through direct advertising </w:t>
      </w:r>
      <w:r w:rsidR="00D716D6" w:rsidRPr="00E637F1">
        <w:rPr>
          <w:rFonts w:ascii="Calibri" w:hAnsi="Calibri"/>
          <w:sz w:val="22"/>
        </w:rPr>
        <w:t xml:space="preserve">and </w:t>
      </w:r>
      <w:r w:rsidR="00367E3F">
        <w:rPr>
          <w:rFonts w:ascii="Calibri" w:hAnsi="Calibri"/>
          <w:sz w:val="22"/>
        </w:rPr>
        <w:t xml:space="preserve">were </w:t>
      </w:r>
      <w:r w:rsidR="00D716D6" w:rsidRPr="00E637F1">
        <w:rPr>
          <w:rFonts w:ascii="Calibri" w:hAnsi="Calibri"/>
          <w:sz w:val="22"/>
        </w:rPr>
        <w:t xml:space="preserve">enrolled between November 2009 </w:t>
      </w:r>
      <w:r w:rsidR="00CE72B4" w:rsidRPr="002801F1">
        <w:rPr>
          <w:rFonts w:ascii="Calibri" w:hAnsi="Calibri" w:cs="Calibri"/>
          <w:sz w:val="22"/>
          <w:szCs w:val="22"/>
        </w:rPr>
        <w:t>and</w:t>
      </w:r>
      <w:r w:rsidR="00D716D6" w:rsidRPr="00E637F1">
        <w:rPr>
          <w:rFonts w:ascii="Calibri" w:hAnsi="Calibri"/>
          <w:sz w:val="22"/>
        </w:rPr>
        <w:t xml:space="preserve"> July 2012</w:t>
      </w:r>
      <w:r w:rsidR="00825735" w:rsidRPr="00E637F1">
        <w:rPr>
          <w:rFonts w:ascii="Calibri" w:hAnsi="Calibri"/>
          <w:sz w:val="22"/>
        </w:rPr>
        <w:t>.</w:t>
      </w:r>
      <w:r w:rsidR="00C73E4B" w:rsidRPr="00E637F1">
        <w:rPr>
          <w:rFonts w:ascii="Calibri" w:hAnsi="Calibri"/>
          <w:sz w:val="22"/>
        </w:rPr>
        <w:t xml:space="preserve"> </w:t>
      </w:r>
      <w:r w:rsidR="00D716D6" w:rsidRPr="00D94188">
        <w:rPr>
          <w:rFonts w:ascii="Calibri" w:hAnsi="Calibri"/>
          <w:sz w:val="22"/>
        </w:rPr>
        <w:t xml:space="preserve">Details of the EAT study </w:t>
      </w:r>
      <w:r w:rsidR="00AC43E0" w:rsidRPr="00D94188">
        <w:rPr>
          <w:rFonts w:ascii="Calibri" w:hAnsi="Calibri"/>
          <w:sz w:val="22"/>
        </w:rPr>
        <w:t>methodol</w:t>
      </w:r>
      <w:r w:rsidR="00B616BC" w:rsidRPr="00D94188">
        <w:rPr>
          <w:rFonts w:ascii="Calibri" w:hAnsi="Calibri"/>
          <w:sz w:val="22"/>
        </w:rPr>
        <w:t>og</w:t>
      </w:r>
      <w:r w:rsidR="00AC43E0" w:rsidRPr="00D94188">
        <w:rPr>
          <w:rFonts w:ascii="Calibri" w:hAnsi="Calibri"/>
          <w:sz w:val="22"/>
        </w:rPr>
        <w:t>y</w:t>
      </w:r>
      <w:r w:rsidR="00B616BC" w:rsidRPr="00D94188">
        <w:rPr>
          <w:rFonts w:ascii="Calibri" w:hAnsi="Calibri"/>
          <w:sz w:val="22"/>
        </w:rPr>
        <w:t xml:space="preserve"> </w:t>
      </w:r>
      <w:r w:rsidR="00AC43E0" w:rsidRPr="00D94188">
        <w:rPr>
          <w:rFonts w:ascii="Calibri" w:hAnsi="Calibri"/>
          <w:sz w:val="22"/>
        </w:rPr>
        <w:t>have been</w:t>
      </w:r>
      <w:r w:rsidR="00D716D6" w:rsidRPr="00D94188">
        <w:rPr>
          <w:rFonts w:ascii="Calibri" w:hAnsi="Calibri"/>
          <w:sz w:val="22"/>
        </w:rPr>
        <w:t xml:space="preserve"> published</w:t>
      </w:r>
      <w:r w:rsidR="00AC43E0" w:rsidRPr="00D94188">
        <w:rPr>
          <w:rFonts w:ascii="Calibri" w:hAnsi="Calibri"/>
          <w:sz w:val="22"/>
        </w:rPr>
        <w:t xml:space="preserve"> elsewhere</w:t>
      </w:r>
      <w:r w:rsidR="00D716D6" w:rsidRPr="00D94188">
        <w:rPr>
          <w:rFonts w:ascii="Calibri" w:hAnsi="Calibri"/>
          <w:sz w:val="22"/>
        </w:rPr>
        <w:t>.</w:t>
      </w:r>
      <w:r w:rsidR="00045D14" w:rsidRPr="00045D14">
        <w:rPr>
          <w:rFonts w:ascii="Calibri" w:hAnsi="Calibri"/>
          <w:noProof/>
          <w:sz w:val="22"/>
          <w:vertAlign w:val="superscript"/>
        </w:rPr>
        <w:t>1</w:t>
      </w:r>
      <w:r w:rsidR="00D716D6" w:rsidRPr="00D94188">
        <w:rPr>
          <w:rFonts w:ascii="Calibri" w:hAnsi="Calibri"/>
          <w:sz w:val="22"/>
        </w:rPr>
        <w:t xml:space="preserve"> </w:t>
      </w:r>
      <w:r w:rsidR="00AF400C">
        <w:rPr>
          <w:rFonts w:ascii="Calibri" w:hAnsi="Calibri"/>
          <w:sz w:val="22"/>
        </w:rPr>
        <w:t xml:space="preserve">Maternal age at </w:t>
      </w:r>
      <w:r w:rsidR="00C52104">
        <w:rPr>
          <w:rFonts w:ascii="Calibri" w:hAnsi="Calibri"/>
          <w:sz w:val="22"/>
        </w:rPr>
        <w:t>enrollment</w:t>
      </w:r>
      <w:r w:rsidR="00AF400C">
        <w:rPr>
          <w:rFonts w:ascii="Calibri" w:hAnsi="Calibri"/>
          <w:sz w:val="22"/>
        </w:rPr>
        <w:t xml:space="preserve"> ranged from 19 to 46 years (median 33 years) and there was no difference in maternal age between study groups. The median age was used as the cut off for dividing mothers into younger (&lt;33 years) and older (≥33 </w:t>
      </w:r>
      <w:r w:rsidR="00AF400C" w:rsidRPr="008F73F2">
        <w:rPr>
          <w:rFonts w:ascii="Calibri" w:hAnsi="Calibri"/>
          <w:sz w:val="22"/>
          <w:szCs w:val="22"/>
        </w:rPr>
        <w:t xml:space="preserve">years). </w:t>
      </w:r>
      <w:r w:rsidR="00344108" w:rsidRPr="008F73F2">
        <w:rPr>
          <w:rFonts w:ascii="Calibri" w:hAnsi="Calibri"/>
          <w:sz w:val="22"/>
          <w:szCs w:val="22"/>
        </w:rPr>
        <w:t xml:space="preserve">All children </w:t>
      </w:r>
      <w:r w:rsidRPr="008F73F2">
        <w:rPr>
          <w:rFonts w:ascii="Calibri" w:hAnsi="Calibri"/>
          <w:sz w:val="22"/>
          <w:szCs w:val="22"/>
        </w:rPr>
        <w:t xml:space="preserve">were generally well, exclusively breastfed and </w:t>
      </w:r>
      <w:r w:rsidR="00344108" w:rsidRPr="008F73F2">
        <w:rPr>
          <w:rFonts w:ascii="Calibri" w:hAnsi="Calibri"/>
          <w:sz w:val="22"/>
          <w:szCs w:val="22"/>
        </w:rPr>
        <w:t>born at term (≥37 weeks gestation).</w:t>
      </w:r>
      <w:r w:rsidR="008F73F2" w:rsidRPr="008F73F2">
        <w:rPr>
          <w:rFonts w:ascii="Calibri" w:hAnsi="Calibri"/>
          <w:sz w:val="22"/>
          <w:szCs w:val="22"/>
        </w:rPr>
        <w:t xml:space="preserve"> Ethnic origin of the child was based on</w:t>
      </w:r>
      <w:r w:rsidR="00087FD9">
        <w:rPr>
          <w:rFonts w:ascii="Calibri" w:hAnsi="Calibri"/>
          <w:sz w:val="22"/>
          <w:szCs w:val="22"/>
        </w:rPr>
        <w:t xml:space="preserve"> their</w:t>
      </w:r>
      <w:r w:rsidR="008F73F2" w:rsidRPr="008F73F2">
        <w:rPr>
          <w:rFonts w:ascii="Calibri" w:hAnsi="Calibri"/>
          <w:sz w:val="22"/>
          <w:szCs w:val="22"/>
        </w:rPr>
        <w:t xml:space="preserve"> </w:t>
      </w:r>
      <w:r w:rsidR="00151AF4">
        <w:rPr>
          <w:rFonts w:ascii="Calibri" w:hAnsi="Calibri"/>
          <w:sz w:val="22"/>
          <w:szCs w:val="22"/>
        </w:rPr>
        <w:t>parent</w:t>
      </w:r>
      <w:r w:rsidR="008F73F2" w:rsidRPr="008F73F2">
        <w:rPr>
          <w:rFonts w:ascii="Calibri" w:hAnsi="Calibri"/>
          <w:sz w:val="22"/>
          <w:szCs w:val="22"/>
        </w:rPr>
        <w:t>-defined ethnicity coded using the classification used in the 2001 UK Census.</w:t>
      </w:r>
      <w:r w:rsidR="00997C0C" w:rsidRPr="00997C0C">
        <w:rPr>
          <w:rFonts w:ascii="Calibri" w:hAnsi="Calibri"/>
          <w:noProof/>
          <w:sz w:val="22"/>
          <w:szCs w:val="22"/>
          <w:vertAlign w:val="superscript"/>
        </w:rPr>
        <w:t>6</w:t>
      </w:r>
      <w:r w:rsidR="008F73F2" w:rsidRPr="008F73F2">
        <w:rPr>
          <w:rFonts w:ascii="Calibri" w:hAnsi="Calibri"/>
          <w:sz w:val="22"/>
          <w:szCs w:val="22"/>
        </w:rPr>
        <w:t xml:space="preserve"> </w:t>
      </w:r>
      <w:r w:rsidR="00344108" w:rsidRPr="008F73F2">
        <w:rPr>
          <w:rFonts w:ascii="Calibri" w:hAnsi="Calibri"/>
          <w:sz w:val="22"/>
          <w:szCs w:val="22"/>
        </w:rPr>
        <w:t xml:space="preserve"> </w:t>
      </w:r>
      <w:r w:rsidR="000D6353">
        <w:rPr>
          <w:rFonts w:ascii="Calibri" w:hAnsi="Calibri"/>
          <w:sz w:val="22"/>
          <w:szCs w:val="22"/>
        </w:rPr>
        <w:t xml:space="preserve">1104 of the enrolled infants were white (84.7%), 119 mixed (9.1%) and 80 (6.1%) were black, Asian or Chinese. </w:t>
      </w:r>
      <w:r w:rsidR="001823F3" w:rsidRPr="008F73F2">
        <w:rPr>
          <w:rFonts w:ascii="Calibri" w:hAnsi="Calibri"/>
          <w:sz w:val="22"/>
          <w:szCs w:val="22"/>
        </w:rPr>
        <w:t xml:space="preserve">The trial was registered with the ISRCTN (registration number: 14254740). </w:t>
      </w:r>
      <w:r w:rsidR="008C6479" w:rsidRPr="008F73F2">
        <w:rPr>
          <w:rFonts w:ascii="Calibri" w:hAnsi="Calibri"/>
          <w:sz w:val="22"/>
          <w:szCs w:val="22"/>
        </w:rPr>
        <w:t>Ethical</w:t>
      </w:r>
      <w:r w:rsidR="0085655C">
        <w:rPr>
          <w:rFonts w:ascii="Calibri" w:hAnsi="Calibri"/>
          <w:sz w:val="22"/>
        </w:rPr>
        <w:t xml:space="preserve"> approval for the EAT s</w:t>
      </w:r>
      <w:r w:rsidR="008C6479" w:rsidRPr="008C6479">
        <w:rPr>
          <w:rFonts w:ascii="Calibri" w:hAnsi="Calibri"/>
          <w:sz w:val="22"/>
        </w:rPr>
        <w:t xml:space="preserve">tudy was provided by St Thomas’ Hospital REC (REC Reference 08/H0802/93) and </w:t>
      </w:r>
      <w:r w:rsidR="008C6479">
        <w:rPr>
          <w:rFonts w:ascii="Calibri" w:hAnsi="Calibri"/>
          <w:sz w:val="22"/>
        </w:rPr>
        <w:t>i</w:t>
      </w:r>
      <w:r w:rsidR="008C6479" w:rsidRPr="008C6479">
        <w:rPr>
          <w:rFonts w:ascii="Calibri" w:hAnsi="Calibri"/>
          <w:sz w:val="22"/>
        </w:rPr>
        <w:t>nformed consent was obtained from the parents of all children enrolled in the study</w:t>
      </w:r>
      <w:r w:rsidR="008C6479">
        <w:rPr>
          <w:rFonts w:ascii="Calibri" w:hAnsi="Calibri"/>
          <w:sz w:val="22"/>
        </w:rPr>
        <w:t>.</w:t>
      </w:r>
    </w:p>
    <w:p w14:paraId="055017F2" w14:textId="77777777" w:rsidR="0052640B" w:rsidRPr="00D94188" w:rsidRDefault="0052640B" w:rsidP="002C4B96">
      <w:pPr>
        <w:spacing w:line="480" w:lineRule="auto"/>
        <w:rPr>
          <w:rFonts w:ascii="Calibri" w:hAnsi="Calibri"/>
          <w:b/>
          <w:sz w:val="22"/>
        </w:rPr>
      </w:pPr>
      <w:r w:rsidRPr="00D94188">
        <w:rPr>
          <w:rFonts w:ascii="Calibri" w:hAnsi="Calibri"/>
          <w:b/>
          <w:sz w:val="22"/>
        </w:rPr>
        <w:t>Procedures</w:t>
      </w:r>
    </w:p>
    <w:p w14:paraId="6CB343DA" w14:textId="279139D9" w:rsidR="00B616BC" w:rsidRPr="00772BBB" w:rsidRDefault="0083663A" w:rsidP="002C4B96">
      <w:pPr>
        <w:spacing w:line="480" w:lineRule="auto"/>
        <w:rPr>
          <w:rFonts w:ascii="Calibri" w:hAnsi="Calibri"/>
          <w:sz w:val="22"/>
        </w:rPr>
      </w:pPr>
      <w:r>
        <w:rPr>
          <w:rFonts w:ascii="Calibri" w:hAnsi="Calibri"/>
          <w:sz w:val="22"/>
        </w:rPr>
        <w:t>Participants were randomized</w:t>
      </w:r>
      <w:r w:rsidR="00D716D6" w:rsidRPr="00D94188">
        <w:rPr>
          <w:rFonts w:ascii="Calibri" w:hAnsi="Calibri"/>
          <w:sz w:val="22"/>
        </w:rPr>
        <w:t xml:space="preserve"> to the </w:t>
      </w:r>
      <w:r w:rsidR="00680CA9">
        <w:rPr>
          <w:rFonts w:ascii="Calibri" w:hAnsi="Calibri"/>
          <w:sz w:val="22"/>
        </w:rPr>
        <w:t>SIG or the EIG</w:t>
      </w:r>
      <w:r w:rsidR="00D716D6" w:rsidRPr="00D94188">
        <w:rPr>
          <w:rFonts w:ascii="Calibri" w:hAnsi="Calibri"/>
          <w:sz w:val="22"/>
        </w:rPr>
        <w:t xml:space="preserve">. The </w:t>
      </w:r>
      <w:r w:rsidR="00CE0FC3">
        <w:rPr>
          <w:rFonts w:ascii="Calibri" w:hAnsi="Calibri"/>
          <w:sz w:val="22"/>
        </w:rPr>
        <w:t>SIG</w:t>
      </w:r>
      <w:r w:rsidR="00D716D6" w:rsidRPr="00E637F1">
        <w:rPr>
          <w:rFonts w:ascii="Calibri" w:hAnsi="Calibri"/>
          <w:sz w:val="22"/>
        </w:rPr>
        <w:t xml:space="preserve"> was asked </w:t>
      </w:r>
      <w:r w:rsidR="00D716D6" w:rsidRPr="00D94188">
        <w:rPr>
          <w:rFonts w:ascii="Calibri" w:hAnsi="Calibri"/>
          <w:sz w:val="22"/>
        </w:rPr>
        <w:t xml:space="preserve">to exclusively breastfeed to around six months of </w:t>
      </w:r>
      <w:r w:rsidR="00D716D6" w:rsidRPr="00772BBB">
        <w:rPr>
          <w:rFonts w:ascii="Calibri" w:hAnsi="Calibri"/>
          <w:sz w:val="22"/>
        </w:rPr>
        <w:t>age</w:t>
      </w:r>
      <w:r w:rsidR="00B616BC" w:rsidRPr="00772BBB">
        <w:rPr>
          <w:rFonts w:ascii="Calibri" w:hAnsi="Calibri"/>
          <w:sz w:val="22"/>
        </w:rPr>
        <w:t xml:space="preserve"> in accordance with the recommendation in place in the UK since 2003.</w:t>
      </w:r>
      <w:r w:rsidR="00997C0C" w:rsidRPr="00997C0C">
        <w:rPr>
          <w:rFonts w:ascii="Calibri" w:hAnsi="Calibri"/>
          <w:noProof/>
          <w:sz w:val="22"/>
          <w:vertAlign w:val="superscript"/>
        </w:rPr>
        <w:t>7</w:t>
      </w:r>
      <w:r w:rsidR="00BC0F71" w:rsidRPr="00772BBB">
        <w:rPr>
          <w:rFonts w:ascii="Calibri" w:hAnsi="Calibri"/>
          <w:sz w:val="22"/>
        </w:rPr>
        <w:t xml:space="preserve"> </w:t>
      </w:r>
      <w:proofErr w:type="gramStart"/>
      <w:r w:rsidR="00D716D6" w:rsidRPr="00772BBB">
        <w:rPr>
          <w:rFonts w:ascii="Calibri" w:hAnsi="Calibri"/>
          <w:sz w:val="22"/>
        </w:rPr>
        <w:t>Beyond</w:t>
      </w:r>
      <w:proofErr w:type="gramEnd"/>
      <w:r w:rsidR="00D716D6" w:rsidRPr="00772BBB">
        <w:rPr>
          <w:rFonts w:ascii="Calibri" w:hAnsi="Calibri"/>
          <w:sz w:val="22"/>
        </w:rPr>
        <w:t xml:space="preserve"> six months, allergenic food consumption was at parental discretion. </w:t>
      </w:r>
    </w:p>
    <w:p w14:paraId="343EF117" w14:textId="1E432754" w:rsidR="00D716D6" w:rsidRPr="00D94188" w:rsidRDefault="00D716D6" w:rsidP="002C4B96">
      <w:pPr>
        <w:spacing w:line="480" w:lineRule="auto"/>
        <w:rPr>
          <w:rFonts w:ascii="Calibri" w:hAnsi="Calibri"/>
          <w:sz w:val="22"/>
        </w:rPr>
      </w:pPr>
      <w:r w:rsidRPr="00772BBB">
        <w:rPr>
          <w:rFonts w:ascii="Calibri" w:hAnsi="Calibri"/>
          <w:sz w:val="22"/>
        </w:rPr>
        <w:t xml:space="preserve">The </w:t>
      </w:r>
      <w:r w:rsidR="00772BBB">
        <w:rPr>
          <w:rFonts w:ascii="Calibri" w:hAnsi="Calibri"/>
          <w:sz w:val="22"/>
        </w:rPr>
        <w:t>EIG</w:t>
      </w:r>
      <w:r w:rsidR="0060085D">
        <w:rPr>
          <w:rFonts w:ascii="Calibri" w:hAnsi="Calibri"/>
          <w:sz w:val="22"/>
        </w:rPr>
        <w:t xml:space="preserve"> were asked to</w:t>
      </w:r>
      <w:r w:rsidRPr="00772BBB">
        <w:rPr>
          <w:rFonts w:ascii="Calibri" w:hAnsi="Calibri"/>
          <w:sz w:val="22"/>
        </w:rPr>
        <w:t xml:space="preserve"> introduce six allergenic foods to their infant: cow’s milk (yogurt)</w:t>
      </w:r>
      <w:r w:rsidR="00CC19DB">
        <w:rPr>
          <w:rFonts w:ascii="Calibri" w:hAnsi="Calibri"/>
          <w:sz w:val="22"/>
        </w:rPr>
        <w:t>,</w:t>
      </w:r>
      <w:r w:rsidRPr="00772BBB">
        <w:rPr>
          <w:rFonts w:ascii="Calibri" w:hAnsi="Calibri"/>
          <w:sz w:val="22"/>
        </w:rPr>
        <w:t xml:space="preserve"> peanut, cooked (boiled) hen’</w:t>
      </w:r>
      <w:r w:rsidR="00CC19DB">
        <w:rPr>
          <w:rFonts w:ascii="Calibri" w:hAnsi="Calibri"/>
          <w:sz w:val="22"/>
        </w:rPr>
        <w:t>s egg, sesame,</w:t>
      </w:r>
      <w:r w:rsidR="00411C99">
        <w:rPr>
          <w:rFonts w:ascii="Calibri" w:hAnsi="Calibri"/>
          <w:sz w:val="22"/>
        </w:rPr>
        <w:t xml:space="preserve"> white fish</w:t>
      </w:r>
      <w:r w:rsidR="00CC19DB">
        <w:rPr>
          <w:rFonts w:ascii="Calibri" w:hAnsi="Calibri"/>
          <w:sz w:val="22"/>
        </w:rPr>
        <w:t xml:space="preserve"> and</w:t>
      </w:r>
      <w:r w:rsidR="006511C2">
        <w:rPr>
          <w:rFonts w:ascii="Calibri" w:hAnsi="Calibri"/>
          <w:sz w:val="22"/>
        </w:rPr>
        <w:t xml:space="preserve"> wheat</w:t>
      </w:r>
      <w:r w:rsidR="00411C99">
        <w:rPr>
          <w:rFonts w:ascii="Calibri" w:hAnsi="Calibri"/>
          <w:sz w:val="22"/>
        </w:rPr>
        <w:t>.</w:t>
      </w:r>
      <w:r w:rsidR="00045D14" w:rsidRPr="00045D14">
        <w:rPr>
          <w:rFonts w:ascii="Calibri" w:hAnsi="Calibri"/>
          <w:noProof/>
          <w:sz w:val="22"/>
          <w:vertAlign w:val="superscript"/>
        </w:rPr>
        <w:t>1</w:t>
      </w:r>
      <w:r w:rsidR="006511C2">
        <w:rPr>
          <w:rFonts w:ascii="Calibri" w:hAnsi="Calibri"/>
          <w:sz w:val="22"/>
        </w:rPr>
        <w:t xml:space="preserve"> Cow's milk was always introduced first, </w:t>
      </w:r>
      <w:r w:rsidR="00282BB6">
        <w:rPr>
          <w:rFonts w:ascii="Calibri" w:hAnsi="Calibri"/>
          <w:sz w:val="22"/>
        </w:rPr>
        <w:t xml:space="preserve">as </w:t>
      </w:r>
      <w:r w:rsidR="006511C2">
        <w:rPr>
          <w:rFonts w:ascii="Calibri" w:hAnsi="Calibri"/>
          <w:sz w:val="22"/>
        </w:rPr>
        <w:t>yogurt. The order of introduction of the next four foods was randomly determined, to avoid any bias from one food being introduced consistently before another. Wheat was introduced last and not before four months of age (see section</w:t>
      </w:r>
      <w:r w:rsidR="005B466F">
        <w:rPr>
          <w:rFonts w:ascii="Calibri" w:hAnsi="Calibri"/>
          <w:sz w:val="22"/>
        </w:rPr>
        <w:t xml:space="preserve">: </w:t>
      </w:r>
      <w:r w:rsidR="006511C2" w:rsidRPr="005B466F">
        <w:rPr>
          <w:rFonts w:ascii="Calibri" w:hAnsi="Calibri"/>
          <w:i/>
          <w:sz w:val="22"/>
        </w:rPr>
        <w:t>EIG early introduction regimen</w:t>
      </w:r>
      <w:r w:rsidR="006511C2">
        <w:rPr>
          <w:rFonts w:ascii="Calibri" w:hAnsi="Calibri"/>
          <w:sz w:val="22"/>
        </w:rPr>
        <w:t xml:space="preserve"> in the Methods section in this article's Online Repository).</w:t>
      </w:r>
    </w:p>
    <w:p w14:paraId="4FBC72E4" w14:textId="11125AFB" w:rsidR="00804C37" w:rsidRPr="005E2823" w:rsidRDefault="00363A43" w:rsidP="002C4B96">
      <w:pPr>
        <w:spacing w:line="480" w:lineRule="auto"/>
        <w:rPr>
          <w:rFonts w:asciiTheme="minorHAnsi" w:hAnsiTheme="minorHAnsi" w:cs="Calibri"/>
          <w:sz w:val="22"/>
          <w:szCs w:val="22"/>
        </w:rPr>
      </w:pPr>
      <w:r>
        <w:rPr>
          <w:rFonts w:ascii="Calibri" w:hAnsi="Calibri"/>
          <w:sz w:val="22"/>
        </w:rPr>
        <w:t>A</w:t>
      </w:r>
      <w:r w:rsidR="00D716D6" w:rsidRPr="00D94188">
        <w:rPr>
          <w:rFonts w:ascii="Calibri" w:hAnsi="Calibri"/>
          <w:sz w:val="22"/>
        </w:rPr>
        <w:t>n online questionnaire</w:t>
      </w:r>
      <w:r>
        <w:rPr>
          <w:rFonts w:ascii="Calibri" w:hAnsi="Calibri"/>
          <w:sz w:val="22"/>
        </w:rPr>
        <w:t xml:space="preserve"> was sent to each family </w:t>
      </w:r>
      <w:r w:rsidR="00A87B62">
        <w:rPr>
          <w:rFonts w:ascii="Calibri" w:hAnsi="Calibri"/>
          <w:sz w:val="22"/>
        </w:rPr>
        <w:t>monthly</w:t>
      </w:r>
      <w:r w:rsidR="00D716D6" w:rsidRPr="00D94188">
        <w:rPr>
          <w:rFonts w:ascii="Calibri" w:hAnsi="Calibri"/>
          <w:sz w:val="22"/>
        </w:rPr>
        <w:t xml:space="preserve"> to </w:t>
      </w:r>
      <w:r w:rsidR="00D716D6" w:rsidRPr="00772BBB">
        <w:rPr>
          <w:rFonts w:ascii="Calibri" w:hAnsi="Calibri"/>
          <w:sz w:val="22"/>
        </w:rPr>
        <w:t xml:space="preserve">one year </w:t>
      </w:r>
      <w:r w:rsidR="002801F1">
        <w:rPr>
          <w:rFonts w:ascii="Calibri" w:hAnsi="Calibri" w:cs="Calibri"/>
          <w:sz w:val="22"/>
          <w:szCs w:val="22"/>
        </w:rPr>
        <w:t>of age</w:t>
      </w:r>
      <w:r w:rsidR="00D716D6" w:rsidRPr="002801F1">
        <w:rPr>
          <w:rFonts w:ascii="Calibri" w:hAnsi="Calibri" w:cs="Calibri"/>
          <w:sz w:val="22"/>
          <w:szCs w:val="22"/>
        </w:rPr>
        <w:t xml:space="preserve"> </w:t>
      </w:r>
      <w:r w:rsidR="00D716D6" w:rsidRPr="00772BBB">
        <w:rPr>
          <w:rFonts w:ascii="Calibri" w:hAnsi="Calibri"/>
          <w:sz w:val="22"/>
        </w:rPr>
        <w:t>and then every three months until the ch</w:t>
      </w:r>
      <w:r w:rsidR="00411C99">
        <w:rPr>
          <w:rFonts w:ascii="Calibri" w:hAnsi="Calibri"/>
          <w:sz w:val="22"/>
        </w:rPr>
        <w:t>ild reached three years of age</w:t>
      </w:r>
      <w:r w:rsidR="005E2823">
        <w:rPr>
          <w:rFonts w:ascii="Calibri" w:hAnsi="Calibri"/>
          <w:sz w:val="22"/>
        </w:rPr>
        <w:t>. Each questionnaire allowed families t</w:t>
      </w:r>
      <w:r w:rsidR="005E2823" w:rsidRPr="00471686">
        <w:rPr>
          <w:rFonts w:asciiTheme="minorHAnsi" w:hAnsiTheme="minorHAnsi"/>
          <w:sz w:val="22"/>
          <w:szCs w:val="22"/>
        </w:rPr>
        <w:t>o report any suspect</w:t>
      </w:r>
      <w:r w:rsidR="00282BB6">
        <w:rPr>
          <w:rFonts w:asciiTheme="minorHAnsi" w:hAnsiTheme="minorHAnsi"/>
          <w:sz w:val="22"/>
          <w:szCs w:val="22"/>
        </w:rPr>
        <w:t>ed symptoms with food ingestion</w:t>
      </w:r>
      <w:r w:rsidR="005E2823" w:rsidRPr="00471686">
        <w:rPr>
          <w:rFonts w:asciiTheme="minorHAnsi" w:hAnsiTheme="minorHAnsi"/>
          <w:sz w:val="22"/>
          <w:szCs w:val="22"/>
        </w:rPr>
        <w:t xml:space="preserve"> and to list suspected foods</w:t>
      </w:r>
      <w:r w:rsidR="00B051F4">
        <w:rPr>
          <w:rFonts w:asciiTheme="minorHAnsi" w:hAnsiTheme="minorHAnsi"/>
          <w:sz w:val="22"/>
          <w:szCs w:val="22"/>
        </w:rPr>
        <w:t xml:space="preserve">. Clinical judgement was used to </w:t>
      </w:r>
      <w:r w:rsidR="00B051F4" w:rsidRPr="004533EF">
        <w:rPr>
          <w:rFonts w:asciiTheme="minorHAnsi" w:hAnsiTheme="minorHAnsi"/>
          <w:sz w:val="22"/>
          <w:szCs w:val="22"/>
        </w:rPr>
        <w:lastRenderedPageBreak/>
        <w:t>divide these into IgE and non-IgE type symptoms</w:t>
      </w:r>
      <w:r w:rsidR="005E2823" w:rsidRPr="004533EF">
        <w:rPr>
          <w:rFonts w:asciiTheme="minorHAnsi" w:hAnsiTheme="minorHAnsi"/>
          <w:sz w:val="22"/>
          <w:szCs w:val="22"/>
        </w:rPr>
        <w:t xml:space="preserve">. </w:t>
      </w:r>
      <w:r w:rsidR="003E1CE6" w:rsidRPr="004533EF">
        <w:rPr>
          <w:rFonts w:asciiTheme="minorHAnsi" w:hAnsiTheme="minorHAnsi"/>
          <w:sz w:val="22"/>
          <w:szCs w:val="22"/>
        </w:rPr>
        <w:t xml:space="preserve">The </w:t>
      </w:r>
      <w:r w:rsidR="004579C7" w:rsidRPr="004533EF">
        <w:rPr>
          <w:rFonts w:asciiTheme="minorHAnsi" w:hAnsiTheme="minorHAnsi"/>
          <w:sz w:val="22"/>
          <w:szCs w:val="22"/>
        </w:rPr>
        <w:t xml:space="preserve">online </w:t>
      </w:r>
      <w:r w:rsidR="003E1CE6" w:rsidRPr="004533EF">
        <w:rPr>
          <w:rFonts w:asciiTheme="minorHAnsi" w:hAnsiTheme="minorHAnsi"/>
          <w:sz w:val="22"/>
          <w:szCs w:val="22"/>
        </w:rPr>
        <w:t xml:space="preserve">questionnaires also ascertained maternal </w:t>
      </w:r>
      <w:r w:rsidR="003E1CE6" w:rsidRPr="004533EF">
        <w:rPr>
          <w:rFonts w:asciiTheme="minorHAnsi" w:hAnsiTheme="minorHAnsi"/>
          <w:sz w:val="22"/>
          <w:szCs w:val="22"/>
          <w:lang w:val="en-US"/>
        </w:rPr>
        <w:t>quality</w:t>
      </w:r>
      <w:r w:rsidR="005E2823" w:rsidRPr="004533EF">
        <w:rPr>
          <w:rFonts w:asciiTheme="minorHAnsi" w:hAnsiTheme="minorHAnsi"/>
          <w:sz w:val="22"/>
          <w:szCs w:val="22"/>
          <w:lang w:val="en-US"/>
        </w:rPr>
        <w:t xml:space="preserve"> of life using the WHO Quality of Life BREF questionnaire</w:t>
      </w:r>
      <w:r w:rsidR="004533EF" w:rsidRPr="004533EF">
        <w:rPr>
          <w:rFonts w:asciiTheme="minorHAnsi" w:hAnsiTheme="minorHAnsi"/>
          <w:sz w:val="22"/>
          <w:szCs w:val="22"/>
          <w:lang w:val="en-US"/>
        </w:rPr>
        <w:t>,</w:t>
      </w:r>
      <w:r w:rsidR="00997C0C" w:rsidRPr="00997C0C">
        <w:rPr>
          <w:rFonts w:asciiTheme="minorHAnsi" w:hAnsiTheme="minorHAnsi"/>
          <w:noProof/>
          <w:sz w:val="22"/>
          <w:szCs w:val="22"/>
          <w:vertAlign w:val="superscript"/>
        </w:rPr>
        <w:t>8</w:t>
      </w:r>
      <w:r w:rsidR="003E1CE6" w:rsidRPr="004533EF">
        <w:rPr>
          <w:rFonts w:asciiTheme="minorHAnsi" w:hAnsiTheme="minorHAnsi"/>
          <w:sz w:val="22"/>
          <w:szCs w:val="22"/>
        </w:rPr>
        <w:t xml:space="preserve"> </w:t>
      </w:r>
      <w:r w:rsidR="004533EF">
        <w:rPr>
          <w:rFonts w:asciiTheme="minorHAnsi" w:hAnsiTheme="minorHAnsi"/>
          <w:sz w:val="22"/>
          <w:szCs w:val="22"/>
        </w:rPr>
        <w:t>i</w:t>
      </w:r>
      <w:r w:rsidR="004533EF" w:rsidRPr="004533EF">
        <w:rPr>
          <w:rFonts w:asciiTheme="minorHAnsi" w:hAnsiTheme="minorHAnsi"/>
          <w:sz w:val="22"/>
          <w:szCs w:val="22"/>
        </w:rPr>
        <w:t>nfant sleep using the Brief Infant Sleep Questionnaire</w:t>
      </w:r>
      <w:r w:rsidR="004533EF">
        <w:rPr>
          <w:rFonts w:asciiTheme="minorHAnsi" w:hAnsiTheme="minorHAnsi"/>
          <w:sz w:val="22"/>
          <w:szCs w:val="22"/>
        </w:rPr>
        <w:t>,</w:t>
      </w:r>
      <w:r w:rsidR="00997C0C" w:rsidRPr="00997C0C">
        <w:rPr>
          <w:rFonts w:asciiTheme="minorHAnsi" w:hAnsiTheme="minorHAnsi"/>
          <w:noProof/>
          <w:sz w:val="22"/>
          <w:szCs w:val="22"/>
          <w:vertAlign w:val="superscript"/>
        </w:rPr>
        <w:t>9</w:t>
      </w:r>
      <w:r w:rsidR="004533EF" w:rsidRPr="004533EF">
        <w:rPr>
          <w:rFonts w:asciiTheme="minorHAnsi" w:hAnsiTheme="minorHAnsi"/>
          <w:sz w:val="22"/>
          <w:szCs w:val="22"/>
        </w:rPr>
        <w:t xml:space="preserve"> </w:t>
      </w:r>
      <w:r w:rsidR="003E1CE6" w:rsidRPr="004533EF">
        <w:rPr>
          <w:rFonts w:asciiTheme="minorHAnsi" w:hAnsiTheme="minorHAnsi"/>
          <w:sz w:val="22"/>
          <w:szCs w:val="22"/>
        </w:rPr>
        <w:t>and parent reporting of f</w:t>
      </w:r>
      <w:r w:rsidR="005E2823" w:rsidRPr="004533EF">
        <w:rPr>
          <w:rFonts w:asciiTheme="minorHAnsi" w:hAnsiTheme="minorHAnsi" w:cs="Calibri"/>
          <w:sz w:val="22"/>
          <w:szCs w:val="22"/>
        </w:rPr>
        <w:t>eeding difficulty and aversive feeding behaviour using questions based on previously published work.</w:t>
      </w:r>
      <w:r w:rsidR="00997C0C" w:rsidRPr="00997C0C">
        <w:rPr>
          <w:rFonts w:asciiTheme="minorHAnsi" w:hAnsiTheme="minorHAnsi" w:cs="Calibri"/>
          <w:noProof/>
          <w:sz w:val="22"/>
          <w:szCs w:val="22"/>
          <w:vertAlign w:val="superscript"/>
        </w:rPr>
        <w:t>10</w:t>
      </w:r>
      <w:r w:rsidR="005E2823" w:rsidRPr="004533EF">
        <w:rPr>
          <w:rFonts w:asciiTheme="minorHAnsi" w:hAnsiTheme="minorHAnsi" w:cs="Calibri"/>
          <w:sz w:val="22"/>
          <w:szCs w:val="22"/>
        </w:rPr>
        <w:t xml:space="preserve"> </w:t>
      </w:r>
      <w:r w:rsidR="005E2823" w:rsidRPr="004533EF">
        <w:rPr>
          <w:rFonts w:asciiTheme="minorHAnsi" w:hAnsiTheme="minorHAnsi"/>
          <w:sz w:val="22"/>
          <w:szCs w:val="22"/>
        </w:rPr>
        <w:t xml:space="preserve">Clinic </w:t>
      </w:r>
      <w:r w:rsidR="0083663A" w:rsidRPr="004533EF">
        <w:rPr>
          <w:rFonts w:asciiTheme="minorHAnsi" w:hAnsiTheme="minorHAnsi"/>
          <w:sz w:val="22"/>
          <w:szCs w:val="22"/>
        </w:rPr>
        <w:t>visits</w:t>
      </w:r>
      <w:r w:rsidR="005E2823" w:rsidRPr="004533EF">
        <w:rPr>
          <w:rFonts w:asciiTheme="minorHAnsi" w:hAnsiTheme="minorHAnsi"/>
          <w:sz w:val="22"/>
          <w:szCs w:val="22"/>
        </w:rPr>
        <w:t xml:space="preserve"> took place</w:t>
      </w:r>
      <w:r w:rsidR="0083663A" w:rsidRPr="004533EF">
        <w:rPr>
          <w:rFonts w:asciiTheme="minorHAnsi" w:hAnsiTheme="minorHAnsi"/>
          <w:sz w:val="22"/>
          <w:szCs w:val="22"/>
        </w:rPr>
        <w:t xml:space="preserve"> at </w:t>
      </w:r>
      <w:r w:rsidR="00370EAA" w:rsidRPr="004533EF">
        <w:rPr>
          <w:rFonts w:asciiTheme="minorHAnsi" w:hAnsiTheme="minorHAnsi"/>
          <w:sz w:val="22"/>
          <w:szCs w:val="22"/>
        </w:rPr>
        <w:t>enrollment</w:t>
      </w:r>
      <w:r w:rsidR="0083663A" w:rsidRPr="004533EF">
        <w:rPr>
          <w:rFonts w:asciiTheme="minorHAnsi" w:hAnsiTheme="minorHAnsi"/>
          <w:sz w:val="22"/>
          <w:szCs w:val="22"/>
        </w:rPr>
        <w:t xml:space="preserve">, one and three </w:t>
      </w:r>
      <w:r w:rsidR="0057019E" w:rsidRPr="004533EF">
        <w:rPr>
          <w:rFonts w:asciiTheme="minorHAnsi" w:hAnsiTheme="minorHAnsi"/>
          <w:sz w:val="22"/>
          <w:szCs w:val="22"/>
        </w:rPr>
        <w:t>years of age</w:t>
      </w:r>
      <w:r w:rsidR="005E2823" w:rsidRPr="004533EF">
        <w:rPr>
          <w:rFonts w:asciiTheme="minorHAnsi" w:hAnsiTheme="minorHAnsi"/>
          <w:sz w:val="22"/>
          <w:szCs w:val="22"/>
        </w:rPr>
        <w:t>. Further information on the</w:t>
      </w:r>
      <w:r w:rsidR="004579C7" w:rsidRPr="004533EF">
        <w:rPr>
          <w:rFonts w:asciiTheme="minorHAnsi" w:hAnsiTheme="minorHAnsi"/>
          <w:sz w:val="22"/>
          <w:szCs w:val="22"/>
        </w:rPr>
        <w:t xml:space="preserve"> online</w:t>
      </w:r>
      <w:r w:rsidR="005E2823" w:rsidRPr="004533EF">
        <w:rPr>
          <w:rFonts w:asciiTheme="minorHAnsi" w:hAnsiTheme="minorHAnsi"/>
          <w:sz w:val="22"/>
          <w:szCs w:val="22"/>
        </w:rPr>
        <w:t xml:space="preserve"> questionnaire and clinic visit </w:t>
      </w:r>
      <w:r w:rsidR="004579C7" w:rsidRPr="004533EF">
        <w:rPr>
          <w:rFonts w:asciiTheme="minorHAnsi" w:hAnsiTheme="minorHAnsi"/>
          <w:sz w:val="22"/>
          <w:szCs w:val="22"/>
        </w:rPr>
        <w:t xml:space="preserve">data collected </w:t>
      </w:r>
      <w:r w:rsidR="005E2823" w:rsidRPr="004533EF">
        <w:rPr>
          <w:rFonts w:asciiTheme="minorHAnsi" w:hAnsiTheme="minorHAnsi"/>
          <w:sz w:val="22"/>
          <w:szCs w:val="22"/>
        </w:rPr>
        <w:t>are presented in the</w:t>
      </w:r>
      <w:r w:rsidR="005B466F" w:rsidRPr="004533EF">
        <w:rPr>
          <w:rFonts w:asciiTheme="minorHAnsi" w:hAnsiTheme="minorHAnsi"/>
          <w:sz w:val="22"/>
          <w:szCs w:val="22"/>
        </w:rPr>
        <w:t xml:space="preserve"> section:</w:t>
      </w:r>
      <w:r w:rsidR="005B466F">
        <w:rPr>
          <w:rFonts w:ascii="Calibri" w:hAnsi="Calibri"/>
          <w:sz w:val="22"/>
        </w:rPr>
        <w:t xml:space="preserve"> </w:t>
      </w:r>
      <w:r w:rsidR="005B466F">
        <w:rPr>
          <w:rFonts w:ascii="Calibri" w:hAnsi="Calibri"/>
          <w:i/>
          <w:sz w:val="22"/>
        </w:rPr>
        <w:t>Information collected</w:t>
      </w:r>
      <w:r w:rsidR="005B466F">
        <w:rPr>
          <w:rFonts w:ascii="Calibri" w:hAnsi="Calibri"/>
          <w:sz w:val="22"/>
        </w:rPr>
        <w:t xml:space="preserve"> in the</w:t>
      </w:r>
      <w:r w:rsidR="005E2823">
        <w:rPr>
          <w:rFonts w:ascii="Calibri" w:hAnsi="Calibri"/>
          <w:sz w:val="22"/>
        </w:rPr>
        <w:t xml:space="preserve"> </w:t>
      </w:r>
      <w:r w:rsidR="00087FD9">
        <w:rPr>
          <w:rFonts w:ascii="Calibri" w:hAnsi="Calibri"/>
          <w:sz w:val="22"/>
        </w:rPr>
        <w:t xml:space="preserve">Methods section in this article's Online Repository. </w:t>
      </w:r>
    </w:p>
    <w:p w14:paraId="5D7D98E7" w14:textId="6CCD483D" w:rsidR="00966B9C" w:rsidRPr="00AF0030" w:rsidRDefault="00966B9C" w:rsidP="002C4B96">
      <w:pPr>
        <w:spacing w:line="480" w:lineRule="auto"/>
        <w:rPr>
          <w:rFonts w:ascii="Calibri" w:hAnsi="Calibri"/>
          <w:sz w:val="22"/>
          <w:szCs w:val="22"/>
          <w:vertAlign w:val="superscript"/>
          <w:lang w:val="en-US"/>
        </w:rPr>
      </w:pPr>
      <w:r>
        <w:rPr>
          <w:rFonts w:ascii="Calibri" w:hAnsi="Calibri"/>
          <w:sz w:val="22"/>
          <w:szCs w:val="22"/>
          <w:lang w:val="en-US"/>
        </w:rPr>
        <w:t xml:space="preserve">Food specific IgE </w:t>
      </w:r>
      <w:r w:rsidR="0057019E">
        <w:rPr>
          <w:rFonts w:ascii="Calibri" w:hAnsi="Calibri"/>
          <w:sz w:val="22"/>
          <w:szCs w:val="22"/>
          <w:lang w:val="en-US"/>
        </w:rPr>
        <w:t xml:space="preserve">to each of the six foods </w:t>
      </w:r>
      <w:r>
        <w:rPr>
          <w:rFonts w:ascii="Calibri" w:hAnsi="Calibri"/>
          <w:sz w:val="22"/>
          <w:szCs w:val="22"/>
          <w:lang w:val="en-US"/>
        </w:rPr>
        <w:t xml:space="preserve">was measured </w:t>
      </w:r>
      <w:r w:rsidR="0057019E">
        <w:rPr>
          <w:rFonts w:ascii="Calibri" w:hAnsi="Calibri"/>
          <w:sz w:val="22"/>
          <w:szCs w:val="22"/>
          <w:lang w:val="en-US"/>
        </w:rPr>
        <w:t xml:space="preserve">at </w:t>
      </w:r>
      <w:r w:rsidR="00370EAA">
        <w:rPr>
          <w:rFonts w:ascii="Calibri" w:hAnsi="Calibri"/>
          <w:sz w:val="22"/>
          <w:szCs w:val="22"/>
          <w:lang w:val="en-US"/>
        </w:rPr>
        <w:t>enrollment</w:t>
      </w:r>
      <w:r w:rsidR="0057019E">
        <w:rPr>
          <w:rFonts w:ascii="Calibri" w:hAnsi="Calibri"/>
          <w:sz w:val="22"/>
          <w:szCs w:val="22"/>
          <w:lang w:val="en-US"/>
        </w:rPr>
        <w:t xml:space="preserve">, one and three years of age in both groups </w:t>
      </w:r>
      <w:r w:rsidR="0069118C">
        <w:rPr>
          <w:rFonts w:ascii="Calibri" w:hAnsi="Calibri"/>
          <w:sz w:val="22"/>
          <w:szCs w:val="22"/>
          <w:lang w:val="en-US"/>
        </w:rPr>
        <w:t>using</w:t>
      </w:r>
      <w:r>
        <w:rPr>
          <w:rFonts w:ascii="Calibri" w:hAnsi="Calibri"/>
          <w:sz w:val="22"/>
          <w:szCs w:val="22"/>
          <w:lang w:val="en-US"/>
        </w:rPr>
        <w:t xml:space="preserve"> </w:t>
      </w:r>
      <w:r w:rsidR="0069118C">
        <w:rPr>
          <w:rFonts w:ascii="Calibri" w:hAnsi="Calibri"/>
          <w:sz w:val="22"/>
          <w:szCs w:val="22"/>
          <w:lang w:val="en-US"/>
        </w:rPr>
        <w:t>ImmunoCap</w:t>
      </w:r>
      <w:r w:rsidR="00CC19DB">
        <w:rPr>
          <w:rFonts w:ascii="Calibri" w:hAnsi="Calibri"/>
          <w:sz w:val="22"/>
          <w:szCs w:val="22"/>
          <w:lang w:val="en-US"/>
        </w:rPr>
        <w:t xml:space="preserve"> (</w:t>
      </w:r>
      <w:r w:rsidR="0069118C">
        <w:rPr>
          <w:rFonts w:ascii="Calibri" w:hAnsi="Calibri"/>
          <w:sz w:val="22"/>
          <w:szCs w:val="22"/>
          <w:lang w:val="en-US"/>
        </w:rPr>
        <w:t>Phadia</w:t>
      </w:r>
      <w:r w:rsidR="00CC19DB">
        <w:rPr>
          <w:rFonts w:ascii="Calibri" w:hAnsi="Calibri"/>
          <w:sz w:val="22"/>
          <w:szCs w:val="22"/>
          <w:lang w:val="en-US"/>
        </w:rPr>
        <w:t>)</w:t>
      </w:r>
      <w:r w:rsidR="0069118C">
        <w:rPr>
          <w:rFonts w:ascii="Calibri" w:hAnsi="Calibri"/>
          <w:sz w:val="22"/>
          <w:szCs w:val="22"/>
          <w:lang w:val="en-US"/>
        </w:rPr>
        <w:t xml:space="preserve"> assays.</w:t>
      </w:r>
    </w:p>
    <w:p w14:paraId="365FB77A" w14:textId="23C58DAF" w:rsidR="00D716D6" w:rsidRPr="00D94188" w:rsidRDefault="00D716D6" w:rsidP="002C4B96">
      <w:pPr>
        <w:spacing w:line="480" w:lineRule="auto"/>
        <w:rPr>
          <w:rFonts w:ascii="Calibri" w:hAnsi="Calibri"/>
          <w:sz w:val="22"/>
        </w:rPr>
      </w:pPr>
      <w:r w:rsidRPr="00D94188">
        <w:rPr>
          <w:rFonts w:ascii="Calibri" w:hAnsi="Calibri"/>
          <w:sz w:val="22"/>
        </w:rPr>
        <w:t xml:space="preserve">The primary outcome </w:t>
      </w:r>
      <w:r w:rsidR="002A0261">
        <w:rPr>
          <w:rFonts w:ascii="Calibri" w:hAnsi="Calibri"/>
          <w:sz w:val="22"/>
        </w:rPr>
        <w:t xml:space="preserve">of the </w:t>
      </w:r>
      <w:r w:rsidR="0085655C">
        <w:rPr>
          <w:rFonts w:ascii="Calibri" w:hAnsi="Calibri"/>
          <w:sz w:val="22"/>
        </w:rPr>
        <w:t>EAT s</w:t>
      </w:r>
      <w:r w:rsidR="002A0261">
        <w:rPr>
          <w:rFonts w:ascii="Calibri" w:hAnsi="Calibri"/>
          <w:sz w:val="22"/>
        </w:rPr>
        <w:t xml:space="preserve">tudy </w:t>
      </w:r>
      <w:r w:rsidRPr="00D94188">
        <w:rPr>
          <w:rFonts w:ascii="Calibri" w:hAnsi="Calibri"/>
          <w:sz w:val="22"/>
        </w:rPr>
        <w:t>was the proportion of participants with challenge proven food allergy to one or more of the six early introduction foods between one and three years of age</w:t>
      </w:r>
      <w:r w:rsidR="00BC0F71" w:rsidRPr="00D94188">
        <w:rPr>
          <w:rFonts w:ascii="Calibri" w:hAnsi="Calibri"/>
          <w:sz w:val="22"/>
        </w:rPr>
        <w:t>.</w:t>
      </w:r>
      <w:r w:rsidR="00045D14" w:rsidRPr="00045D14">
        <w:rPr>
          <w:rFonts w:ascii="Calibri" w:hAnsi="Calibri"/>
          <w:noProof/>
          <w:sz w:val="22"/>
          <w:vertAlign w:val="superscript"/>
        </w:rPr>
        <w:t>2</w:t>
      </w:r>
    </w:p>
    <w:p w14:paraId="110E89D5" w14:textId="5A799655" w:rsidR="0057182F" w:rsidRPr="00D94188" w:rsidRDefault="005D2E1E" w:rsidP="002C4B96">
      <w:pPr>
        <w:spacing w:line="480" w:lineRule="auto"/>
        <w:rPr>
          <w:rFonts w:ascii="Calibri" w:hAnsi="Calibri"/>
          <w:b/>
          <w:sz w:val="22"/>
        </w:rPr>
      </w:pPr>
      <w:r>
        <w:rPr>
          <w:rFonts w:ascii="Calibri" w:hAnsi="Calibri"/>
          <w:b/>
          <w:sz w:val="22"/>
        </w:rPr>
        <w:t>Per-protocol</w:t>
      </w:r>
      <w:r w:rsidR="0057182F" w:rsidRPr="00D94188">
        <w:rPr>
          <w:rFonts w:ascii="Calibri" w:hAnsi="Calibri"/>
          <w:b/>
          <w:sz w:val="22"/>
        </w:rPr>
        <w:t xml:space="preserve"> adherence</w:t>
      </w:r>
    </w:p>
    <w:p w14:paraId="6FF57F46" w14:textId="50A03245" w:rsidR="009F5CF7" w:rsidRDefault="00531C96" w:rsidP="003E1CE6">
      <w:pPr>
        <w:spacing w:line="480" w:lineRule="auto"/>
        <w:rPr>
          <w:rFonts w:ascii="Calibri" w:hAnsi="Calibri"/>
          <w:sz w:val="22"/>
        </w:rPr>
      </w:pPr>
      <w:r w:rsidRPr="00D94188">
        <w:rPr>
          <w:rFonts w:ascii="Calibri" w:hAnsi="Calibri"/>
          <w:sz w:val="22"/>
        </w:rPr>
        <w:t xml:space="preserve">The definitions of </w:t>
      </w:r>
      <w:r w:rsidR="00825B50">
        <w:rPr>
          <w:rFonts w:ascii="Calibri" w:hAnsi="Calibri"/>
          <w:sz w:val="22"/>
        </w:rPr>
        <w:t xml:space="preserve">overall </w:t>
      </w:r>
      <w:r w:rsidR="005D2E1E">
        <w:rPr>
          <w:rFonts w:ascii="Calibri" w:hAnsi="Calibri"/>
          <w:sz w:val="22"/>
        </w:rPr>
        <w:t>per-protocol</w:t>
      </w:r>
      <w:r w:rsidRPr="00D94188">
        <w:rPr>
          <w:rFonts w:ascii="Calibri" w:hAnsi="Calibri"/>
          <w:sz w:val="22"/>
        </w:rPr>
        <w:t xml:space="preserve"> adherence are given in Table </w:t>
      </w:r>
      <w:r w:rsidR="00657868">
        <w:rPr>
          <w:rFonts w:ascii="Calibri" w:hAnsi="Calibri"/>
          <w:sz w:val="22"/>
        </w:rPr>
        <w:t>E</w:t>
      </w:r>
      <w:r w:rsidRPr="00D94188">
        <w:rPr>
          <w:rFonts w:ascii="Calibri" w:hAnsi="Calibri"/>
          <w:sz w:val="22"/>
        </w:rPr>
        <w:t>1</w:t>
      </w:r>
      <w:r w:rsidR="00657868">
        <w:rPr>
          <w:rFonts w:ascii="Calibri" w:hAnsi="Calibri"/>
          <w:sz w:val="22"/>
        </w:rPr>
        <w:t xml:space="preserve"> in this article's Online Repository</w:t>
      </w:r>
      <w:r w:rsidRPr="00D94188">
        <w:rPr>
          <w:rFonts w:ascii="Calibri" w:hAnsi="Calibri"/>
          <w:sz w:val="22"/>
        </w:rPr>
        <w:t xml:space="preserve">. The key </w:t>
      </w:r>
      <w:r w:rsidR="009F5CF7">
        <w:rPr>
          <w:rFonts w:ascii="Calibri" w:hAnsi="Calibri"/>
          <w:sz w:val="22"/>
        </w:rPr>
        <w:t>criteri</w:t>
      </w:r>
      <w:r w:rsidR="00CC19DB">
        <w:rPr>
          <w:rFonts w:ascii="Calibri" w:hAnsi="Calibri"/>
          <w:sz w:val="22"/>
        </w:rPr>
        <w:t>on (C)</w:t>
      </w:r>
      <w:r w:rsidRPr="00D94188">
        <w:rPr>
          <w:rFonts w:ascii="Calibri" w:hAnsi="Calibri"/>
          <w:sz w:val="22"/>
        </w:rPr>
        <w:t xml:space="preserve"> for </w:t>
      </w:r>
      <w:r w:rsidR="00825B50">
        <w:rPr>
          <w:rFonts w:ascii="Calibri" w:hAnsi="Calibri"/>
          <w:sz w:val="22"/>
        </w:rPr>
        <w:t xml:space="preserve">overall adherence in </w:t>
      </w:r>
      <w:r w:rsidRPr="00D94188">
        <w:rPr>
          <w:rFonts w:ascii="Calibri" w:hAnsi="Calibri"/>
          <w:sz w:val="22"/>
        </w:rPr>
        <w:t xml:space="preserve">the EIG </w:t>
      </w:r>
      <w:r w:rsidR="007B2225">
        <w:rPr>
          <w:rFonts w:ascii="Calibri" w:hAnsi="Calibri"/>
          <w:sz w:val="22"/>
        </w:rPr>
        <w:t>was</w:t>
      </w:r>
      <w:r w:rsidRPr="00D94188">
        <w:rPr>
          <w:rFonts w:ascii="Calibri" w:hAnsi="Calibri"/>
          <w:sz w:val="22"/>
        </w:rPr>
        <w:t xml:space="preserve"> the c</w:t>
      </w:r>
      <w:r w:rsidR="00704B2B" w:rsidRPr="00D94188">
        <w:rPr>
          <w:rFonts w:ascii="Calibri" w:hAnsi="Calibri"/>
          <w:sz w:val="22"/>
        </w:rPr>
        <w:t>onsumption of at least five of the allergenic foods in at least 75% of the recommended amount (3g allergen protein/week), for at least five weeks between three months and six months of age</w:t>
      </w:r>
      <w:r w:rsidRPr="00D94188">
        <w:rPr>
          <w:rFonts w:ascii="Calibri" w:hAnsi="Calibri"/>
          <w:sz w:val="22"/>
        </w:rPr>
        <w:t xml:space="preserve">. </w:t>
      </w:r>
      <w:r w:rsidR="003E1CE6">
        <w:rPr>
          <w:rFonts w:ascii="Calibri" w:hAnsi="Calibri"/>
          <w:sz w:val="22"/>
        </w:rPr>
        <w:t xml:space="preserve">Food specific per-protocol adherence was based on the same criteria (i.e. consumption of at least 75% of the recommended amount of the specific food for at least five weeks between three and six months of age). </w:t>
      </w:r>
      <w:r w:rsidR="00F16FE8">
        <w:rPr>
          <w:rFonts w:ascii="Calibri" w:hAnsi="Calibri"/>
          <w:sz w:val="22"/>
        </w:rPr>
        <w:t xml:space="preserve"> </w:t>
      </w:r>
      <w:r w:rsidR="005D4D44">
        <w:rPr>
          <w:rFonts w:ascii="Calibri" w:hAnsi="Calibri"/>
          <w:sz w:val="22"/>
        </w:rPr>
        <w:t xml:space="preserve">The window in which five or more weeks </w:t>
      </w:r>
      <w:r w:rsidR="00367E3F">
        <w:rPr>
          <w:rFonts w:ascii="Calibri" w:hAnsi="Calibri"/>
          <w:sz w:val="22"/>
        </w:rPr>
        <w:t xml:space="preserve">of </w:t>
      </w:r>
      <w:r w:rsidR="005D4D44">
        <w:rPr>
          <w:rFonts w:ascii="Calibri" w:hAnsi="Calibri"/>
          <w:sz w:val="22"/>
        </w:rPr>
        <w:t>consumption could be achieved was narrow</w:t>
      </w:r>
      <w:r w:rsidR="00A726C6">
        <w:rPr>
          <w:rFonts w:ascii="Calibri" w:hAnsi="Calibri"/>
          <w:sz w:val="22"/>
        </w:rPr>
        <w:t>,</w:t>
      </w:r>
      <w:r w:rsidR="005D4D44">
        <w:rPr>
          <w:rFonts w:ascii="Calibri" w:hAnsi="Calibri"/>
          <w:sz w:val="22"/>
        </w:rPr>
        <w:t xml:space="preserve"> </w:t>
      </w:r>
      <w:r w:rsidR="00657868">
        <w:rPr>
          <w:rFonts w:ascii="Calibri" w:hAnsi="Calibri"/>
          <w:sz w:val="22"/>
        </w:rPr>
        <w:t xml:space="preserve">as explained in more detail in the </w:t>
      </w:r>
      <w:r w:rsidR="005B466F">
        <w:rPr>
          <w:rFonts w:ascii="Calibri" w:hAnsi="Calibri"/>
          <w:sz w:val="22"/>
        </w:rPr>
        <w:t xml:space="preserve">section: </w:t>
      </w:r>
      <w:r w:rsidR="005B466F" w:rsidRPr="005B466F">
        <w:rPr>
          <w:rFonts w:ascii="Calibri" w:hAnsi="Calibri"/>
          <w:i/>
          <w:sz w:val="22"/>
        </w:rPr>
        <w:t>Restricted window to achieve per</w:t>
      </w:r>
      <w:r w:rsidR="0085655C">
        <w:rPr>
          <w:rFonts w:ascii="Calibri" w:hAnsi="Calibri"/>
          <w:i/>
          <w:sz w:val="22"/>
        </w:rPr>
        <w:t>-</w:t>
      </w:r>
      <w:r w:rsidR="005B466F" w:rsidRPr="005B466F">
        <w:rPr>
          <w:rFonts w:ascii="Calibri" w:hAnsi="Calibri"/>
          <w:i/>
          <w:sz w:val="22"/>
        </w:rPr>
        <w:t>protocol status</w:t>
      </w:r>
      <w:r w:rsidR="005B466F">
        <w:rPr>
          <w:rFonts w:ascii="Calibri" w:hAnsi="Calibri"/>
          <w:sz w:val="22"/>
        </w:rPr>
        <w:t xml:space="preserve"> in the </w:t>
      </w:r>
      <w:r w:rsidR="00657868">
        <w:rPr>
          <w:rFonts w:ascii="Calibri" w:hAnsi="Calibri"/>
          <w:sz w:val="22"/>
        </w:rPr>
        <w:t>Methods section in this article's Online Repository</w:t>
      </w:r>
      <w:r w:rsidR="005D4D44">
        <w:rPr>
          <w:rFonts w:ascii="Calibri" w:hAnsi="Calibri"/>
          <w:sz w:val="22"/>
        </w:rPr>
        <w:t xml:space="preserve">. </w:t>
      </w:r>
    </w:p>
    <w:p w14:paraId="3820812A" w14:textId="77777777" w:rsidR="0052640B" w:rsidRPr="00772BBB" w:rsidRDefault="00F20EEF" w:rsidP="002C4B96">
      <w:pPr>
        <w:spacing w:line="480" w:lineRule="auto"/>
        <w:rPr>
          <w:rFonts w:ascii="Calibri" w:hAnsi="Calibri"/>
          <w:b/>
          <w:sz w:val="22"/>
        </w:rPr>
      </w:pPr>
      <w:r w:rsidRPr="00772BBB">
        <w:rPr>
          <w:rFonts w:ascii="Calibri" w:hAnsi="Calibri"/>
          <w:b/>
          <w:sz w:val="22"/>
        </w:rPr>
        <w:t>Statistical</w:t>
      </w:r>
      <w:r w:rsidR="0052640B" w:rsidRPr="00772BBB">
        <w:rPr>
          <w:rFonts w:ascii="Calibri" w:hAnsi="Calibri"/>
          <w:b/>
          <w:sz w:val="22"/>
        </w:rPr>
        <w:t xml:space="preserve"> analyses</w:t>
      </w:r>
      <w:r w:rsidR="001869D4" w:rsidRPr="002801F1">
        <w:rPr>
          <w:rFonts w:ascii="Calibri" w:hAnsi="Calibri" w:cs="Calibri"/>
          <w:b/>
          <w:sz w:val="22"/>
          <w:szCs w:val="22"/>
        </w:rPr>
        <w:t xml:space="preserve"> </w:t>
      </w:r>
    </w:p>
    <w:p w14:paraId="1C196593" w14:textId="5B9F8A28" w:rsidR="006004E9" w:rsidRPr="006773D3" w:rsidRDefault="001869D4" w:rsidP="006004E9">
      <w:pPr>
        <w:spacing w:line="480" w:lineRule="auto"/>
        <w:rPr>
          <w:rFonts w:ascii="Calibri" w:hAnsi="Calibri" w:cs="Calibri"/>
          <w:sz w:val="22"/>
          <w:szCs w:val="22"/>
        </w:rPr>
      </w:pPr>
      <w:r w:rsidRPr="002801F1">
        <w:rPr>
          <w:rFonts w:ascii="Calibri" w:hAnsi="Calibri" w:cs="Calibri"/>
          <w:sz w:val="22"/>
          <w:szCs w:val="22"/>
        </w:rPr>
        <w:t xml:space="preserve">Univariate and </w:t>
      </w:r>
      <w:r w:rsidR="00866842">
        <w:rPr>
          <w:rFonts w:ascii="Calibri" w:hAnsi="Calibri" w:cs="Calibri"/>
          <w:sz w:val="22"/>
          <w:szCs w:val="22"/>
        </w:rPr>
        <w:t>multivariable</w:t>
      </w:r>
      <w:r w:rsidR="00866842" w:rsidRPr="002801F1">
        <w:rPr>
          <w:rFonts w:ascii="Calibri" w:hAnsi="Calibri" w:cs="Calibri"/>
          <w:sz w:val="22"/>
          <w:szCs w:val="22"/>
        </w:rPr>
        <w:t xml:space="preserve"> </w:t>
      </w:r>
      <w:r w:rsidRPr="002801F1">
        <w:rPr>
          <w:rFonts w:ascii="Calibri" w:hAnsi="Calibri" w:cs="Calibri"/>
          <w:sz w:val="22"/>
          <w:szCs w:val="22"/>
        </w:rPr>
        <w:t xml:space="preserve">logistic regression models were used to identify factors associated with non-adherence. </w:t>
      </w:r>
      <w:r w:rsidR="006930F4">
        <w:rPr>
          <w:rFonts w:ascii="Calibri" w:hAnsi="Calibri" w:cs="Calibri"/>
          <w:sz w:val="22"/>
          <w:szCs w:val="22"/>
        </w:rPr>
        <w:t>Penalized logistic regression was used were appropriate for situations with very sparse data.</w:t>
      </w:r>
      <w:r w:rsidRPr="002801F1">
        <w:rPr>
          <w:rFonts w:ascii="Calibri" w:hAnsi="Calibri" w:cs="Calibri"/>
          <w:sz w:val="22"/>
          <w:szCs w:val="22"/>
        </w:rPr>
        <w:t xml:space="preserve"> </w:t>
      </w:r>
      <w:r w:rsidR="00AF0030">
        <w:rPr>
          <w:rFonts w:ascii="Calibri" w:hAnsi="Calibri" w:cs="Calibri"/>
          <w:sz w:val="22"/>
          <w:szCs w:val="22"/>
        </w:rPr>
        <w:t xml:space="preserve">Eczema was analysed as presence of visible eczema at </w:t>
      </w:r>
      <w:r w:rsidR="00370EAA">
        <w:rPr>
          <w:rFonts w:ascii="Calibri" w:hAnsi="Calibri" w:cs="Calibri"/>
          <w:sz w:val="22"/>
          <w:szCs w:val="22"/>
        </w:rPr>
        <w:t>enrollment</w:t>
      </w:r>
      <w:r w:rsidR="00AF0030">
        <w:rPr>
          <w:rFonts w:ascii="Calibri" w:hAnsi="Calibri" w:cs="Calibri"/>
          <w:sz w:val="22"/>
          <w:szCs w:val="22"/>
        </w:rPr>
        <w:t xml:space="preserve"> </w:t>
      </w:r>
      <w:r w:rsidR="00AF0030" w:rsidRPr="00BE34CE">
        <w:rPr>
          <w:rFonts w:asciiTheme="minorHAnsi" w:hAnsiTheme="minorHAnsi" w:cs="Calibri"/>
          <w:sz w:val="22"/>
          <w:szCs w:val="22"/>
        </w:rPr>
        <w:t xml:space="preserve">using </w:t>
      </w:r>
      <w:r w:rsidR="00AF0030" w:rsidRPr="00BE34CE">
        <w:rPr>
          <w:rFonts w:asciiTheme="minorHAnsi" w:hAnsiTheme="minorHAnsi"/>
          <w:sz w:val="22"/>
          <w:szCs w:val="22"/>
        </w:rPr>
        <w:t>the UK diagnostic criteria ("visible eczema")</w:t>
      </w:r>
      <w:r w:rsidR="00BE34CE" w:rsidRPr="00BE34CE">
        <w:rPr>
          <w:rFonts w:asciiTheme="minorHAnsi" w:hAnsiTheme="minorHAnsi"/>
          <w:sz w:val="22"/>
          <w:szCs w:val="22"/>
        </w:rPr>
        <w:t>.</w:t>
      </w:r>
      <w:r w:rsidR="00997C0C" w:rsidRPr="00997C0C">
        <w:rPr>
          <w:rFonts w:asciiTheme="minorHAnsi" w:hAnsiTheme="minorHAnsi"/>
          <w:noProof/>
          <w:sz w:val="22"/>
          <w:szCs w:val="22"/>
          <w:vertAlign w:val="superscript"/>
        </w:rPr>
        <w:t>11</w:t>
      </w:r>
      <w:r w:rsidR="00AF0030" w:rsidRPr="00BE34CE">
        <w:rPr>
          <w:rFonts w:asciiTheme="minorHAnsi" w:hAnsiTheme="minorHAnsi"/>
          <w:sz w:val="22"/>
          <w:szCs w:val="22"/>
        </w:rPr>
        <w:t xml:space="preserve"> </w:t>
      </w:r>
      <w:r w:rsidR="007D3D7E">
        <w:rPr>
          <w:rFonts w:asciiTheme="minorHAnsi" w:hAnsiTheme="minorHAnsi"/>
          <w:color w:val="000000"/>
          <w:sz w:val="22"/>
          <w:szCs w:val="22"/>
        </w:rPr>
        <w:t>Eczema</w:t>
      </w:r>
      <w:r w:rsidR="00BE34CE" w:rsidRPr="00BE34CE">
        <w:rPr>
          <w:rFonts w:asciiTheme="minorHAnsi" w:hAnsiTheme="minorHAnsi"/>
          <w:color w:val="000000"/>
          <w:sz w:val="22"/>
          <w:szCs w:val="22"/>
        </w:rPr>
        <w:t xml:space="preserve"> severity was determined by the Scoring Atopic Dermatitis (SCORAD) index</w:t>
      </w:r>
      <w:r w:rsidR="007D3D7E">
        <w:rPr>
          <w:rFonts w:asciiTheme="minorHAnsi" w:hAnsiTheme="minorHAnsi"/>
          <w:color w:val="000000"/>
          <w:sz w:val="22"/>
          <w:szCs w:val="22"/>
        </w:rPr>
        <w:t xml:space="preserve"> </w:t>
      </w:r>
      <w:r w:rsidR="00AF0030" w:rsidRPr="00BE34CE">
        <w:rPr>
          <w:rFonts w:asciiTheme="minorHAnsi" w:hAnsiTheme="minorHAnsi"/>
          <w:sz w:val="22"/>
          <w:szCs w:val="22"/>
        </w:rPr>
        <w:t>and</w:t>
      </w:r>
      <w:r w:rsidR="000510CE" w:rsidRPr="00BE34CE">
        <w:rPr>
          <w:rFonts w:asciiTheme="minorHAnsi" w:hAnsiTheme="minorHAnsi"/>
          <w:sz w:val="22"/>
          <w:szCs w:val="22"/>
        </w:rPr>
        <w:t xml:space="preserve"> </w:t>
      </w:r>
      <w:r w:rsidR="00AF0030" w:rsidRPr="00BE34CE">
        <w:rPr>
          <w:rFonts w:asciiTheme="minorHAnsi" w:hAnsiTheme="minorHAnsi"/>
          <w:sz w:val="22"/>
          <w:szCs w:val="22"/>
        </w:rPr>
        <w:t>grouped using the accepted SCORAD categories</w:t>
      </w:r>
      <w:r w:rsidR="00AF0030" w:rsidRPr="00BE34CE">
        <w:rPr>
          <w:rFonts w:asciiTheme="minorHAnsi" w:hAnsiTheme="minorHAnsi" w:cs="Calibri"/>
          <w:sz w:val="22"/>
          <w:szCs w:val="22"/>
        </w:rPr>
        <w:t>.</w:t>
      </w:r>
      <w:r w:rsidR="00997C0C" w:rsidRPr="00997C0C">
        <w:rPr>
          <w:rFonts w:asciiTheme="minorHAnsi" w:hAnsiTheme="minorHAnsi"/>
          <w:noProof/>
          <w:sz w:val="22"/>
          <w:szCs w:val="22"/>
          <w:vertAlign w:val="superscript"/>
        </w:rPr>
        <w:t>12</w:t>
      </w:r>
      <w:r w:rsidR="00AF0030" w:rsidRPr="00BE34CE">
        <w:rPr>
          <w:rFonts w:asciiTheme="minorHAnsi" w:hAnsiTheme="minorHAnsi"/>
          <w:sz w:val="22"/>
          <w:szCs w:val="22"/>
        </w:rPr>
        <w:t xml:space="preserve"> </w:t>
      </w:r>
      <w:r w:rsidRPr="00BE34CE">
        <w:rPr>
          <w:rFonts w:asciiTheme="minorHAnsi" w:hAnsiTheme="minorHAnsi" w:cs="Calibri"/>
          <w:sz w:val="22"/>
          <w:szCs w:val="22"/>
        </w:rPr>
        <w:t xml:space="preserve">Data were </w:t>
      </w:r>
      <w:r w:rsidR="00FD6E93" w:rsidRPr="00BE34CE">
        <w:rPr>
          <w:rFonts w:asciiTheme="minorHAnsi" w:hAnsiTheme="minorHAnsi" w:cs="Calibri"/>
          <w:sz w:val="22"/>
          <w:szCs w:val="22"/>
        </w:rPr>
        <w:lastRenderedPageBreak/>
        <w:t>analysed</w:t>
      </w:r>
      <w:r w:rsidRPr="00BE34CE">
        <w:rPr>
          <w:rFonts w:asciiTheme="minorHAnsi" w:hAnsiTheme="minorHAnsi" w:cs="Calibri"/>
          <w:sz w:val="22"/>
          <w:szCs w:val="22"/>
        </w:rPr>
        <w:t xml:space="preserve"> using </w:t>
      </w:r>
      <w:r w:rsidR="00C52FEF" w:rsidRPr="00BE34CE">
        <w:rPr>
          <w:rFonts w:asciiTheme="minorHAnsi" w:hAnsiTheme="minorHAnsi" w:cs="Calibri"/>
          <w:sz w:val="22"/>
          <w:szCs w:val="22"/>
        </w:rPr>
        <w:t>STATA version 15</w:t>
      </w:r>
      <w:r w:rsidR="00BC5825" w:rsidRPr="00BE34CE">
        <w:rPr>
          <w:rFonts w:asciiTheme="minorHAnsi" w:hAnsiTheme="minorHAnsi" w:cs="Calibri"/>
          <w:sz w:val="22"/>
          <w:szCs w:val="22"/>
        </w:rPr>
        <w:t>, SAS version 9.4, and JMP Pro 14</w:t>
      </w:r>
      <w:r w:rsidRPr="00BE34CE">
        <w:rPr>
          <w:rFonts w:asciiTheme="minorHAnsi" w:hAnsiTheme="minorHAnsi" w:cs="Calibri"/>
          <w:sz w:val="22"/>
          <w:szCs w:val="22"/>
        </w:rPr>
        <w:t>.</w:t>
      </w:r>
      <w:r w:rsidR="006004E9">
        <w:rPr>
          <w:rFonts w:asciiTheme="minorHAnsi" w:hAnsiTheme="minorHAnsi" w:cs="Calibri"/>
          <w:sz w:val="22"/>
          <w:szCs w:val="22"/>
        </w:rPr>
        <w:t xml:space="preserve"> </w:t>
      </w:r>
      <w:r w:rsidR="006004E9" w:rsidRPr="006004E9">
        <w:rPr>
          <w:rFonts w:asciiTheme="minorHAnsi" w:hAnsiTheme="minorHAnsi" w:cs="Calibri"/>
          <w:sz w:val="22"/>
          <w:szCs w:val="22"/>
        </w:rPr>
        <w:t>The EAT dataset (ITN900AD) is available through TrialShare, a public website managed by the Immune Tolerance Network (www.itntrialshare.org).</w:t>
      </w:r>
      <w:r w:rsidR="006004E9">
        <w:rPr>
          <w:rFonts w:ascii="Calibri" w:hAnsi="Calibri"/>
          <w:b/>
          <w:caps/>
          <w:sz w:val="22"/>
        </w:rPr>
        <w:br w:type="page"/>
      </w:r>
    </w:p>
    <w:p w14:paraId="0B112425" w14:textId="7F63FDCD" w:rsidR="00067041" w:rsidRDefault="00067041" w:rsidP="002C4B96">
      <w:pPr>
        <w:spacing w:line="480" w:lineRule="auto"/>
        <w:rPr>
          <w:rFonts w:ascii="Calibri" w:hAnsi="Calibri"/>
          <w:b/>
          <w:sz w:val="22"/>
        </w:rPr>
      </w:pPr>
      <w:r w:rsidRPr="00772BBB">
        <w:rPr>
          <w:rFonts w:ascii="Calibri" w:hAnsi="Calibri"/>
          <w:b/>
          <w:caps/>
          <w:sz w:val="22"/>
        </w:rPr>
        <w:lastRenderedPageBreak/>
        <w:t>R</w:t>
      </w:r>
      <w:r w:rsidRPr="00772BBB">
        <w:rPr>
          <w:rFonts w:ascii="Calibri" w:hAnsi="Calibri"/>
          <w:b/>
          <w:sz w:val="22"/>
        </w:rPr>
        <w:t>esults</w:t>
      </w:r>
      <w:r w:rsidR="00022728" w:rsidRPr="00772BBB">
        <w:rPr>
          <w:rFonts w:ascii="Calibri" w:hAnsi="Calibri"/>
          <w:b/>
          <w:sz w:val="22"/>
        </w:rPr>
        <w:t xml:space="preserve"> </w:t>
      </w:r>
    </w:p>
    <w:p w14:paraId="4055AC55" w14:textId="7C61C89B" w:rsidR="007F0507" w:rsidRDefault="007F0507" w:rsidP="007F0507">
      <w:pPr>
        <w:spacing w:before="120" w:line="480" w:lineRule="auto"/>
        <w:rPr>
          <w:rFonts w:ascii="Calibri" w:hAnsi="Calibri" w:cs="Calibri"/>
          <w:sz w:val="22"/>
          <w:szCs w:val="22"/>
        </w:rPr>
      </w:pPr>
      <w:r>
        <w:rPr>
          <w:rFonts w:ascii="Calibri" w:hAnsi="Calibri" w:cs="Calibri"/>
          <w:sz w:val="22"/>
          <w:szCs w:val="22"/>
        </w:rPr>
        <w:t>Overall per-protocol a</w:t>
      </w:r>
      <w:r w:rsidRPr="00886A2F">
        <w:rPr>
          <w:rFonts w:ascii="Calibri" w:hAnsi="Calibri" w:cs="Calibri"/>
          <w:sz w:val="22"/>
          <w:szCs w:val="22"/>
        </w:rPr>
        <w:t>dherence status could only be determined in 81% (529/652) of the EIG participants (</w:t>
      </w:r>
      <w:r>
        <w:rPr>
          <w:rFonts w:ascii="Calibri" w:hAnsi="Calibri" w:cs="Calibri"/>
          <w:sz w:val="22"/>
          <w:szCs w:val="22"/>
        </w:rPr>
        <w:t>Table E1</w:t>
      </w:r>
      <w:r w:rsidRPr="00886A2F">
        <w:rPr>
          <w:rFonts w:ascii="Calibri" w:hAnsi="Calibri" w:cs="Calibri"/>
          <w:sz w:val="22"/>
          <w:szCs w:val="22"/>
        </w:rPr>
        <w:t>).</w:t>
      </w:r>
      <w:r>
        <w:rPr>
          <w:rFonts w:ascii="Calibri" w:hAnsi="Calibri" w:cs="Calibri"/>
          <w:sz w:val="22"/>
          <w:szCs w:val="22"/>
        </w:rPr>
        <w:t xml:space="preserve"> An exploration of the likely true adherence status of the 123 </w:t>
      </w:r>
      <w:r w:rsidR="00365B52">
        <w:rPr>
          <w:rFonts w:ascii="Calibri" w:hAnsi="Calibri" w:cs="Calibri"/>
          <w:sz w:val="22"/>
          <w:szCs w:val="22"/>
        </w:rPr>
        <w:t xml:space="preserve">EIG </w:t>
      </w:r>
      <w:r>
        <w:rPr>
          <w:rFonts w:ascii="Calibri" w:hAnsi="Calibri" w:cs="Calibri"/>
          <w:sz w:val="22"/>
          <w:szCs w:val="22"/>
        </w:rPr>
        <w:t>participants (19% of the EIG)</w:t>
      </w:r>
      <w:r w:rsidR="00365B52">
        <w:rPr>
          <w:rFonts w:ascii="Calibri" w:hAnsi="Calibri" w:cs="Calibri"/>
          <w:sz w:val="22"/>
          <w:szCs w:val="22"/>
        </w:rPr>
        <w:t xml:space="preserve"> whose adherence status was non-evaluable</w:t>
      </w:r>
      <w:r>
        <w:rPr>
          <w:rFonts w:ascii="Calibri" w:hAnsi="Calibri" w:cs="Calibri"/>
          <w:sz w:val="22"/>
          <w:szCs w:val="22"/>
        </w:rPr>
        <w:t xml:space="preserve">, as well as the impact of including or excluding them in the analyses undertaken for this paper, are reviewed in detail in the </w:t>
      </w:r>
      <w:r w:rsidR="005B466F">
        <w:rPr>
          <w:rFonts w:ascii="Calibri" w:hAnsi="Calibri" w:cs="Calibri"/>
          <w:sz w:val="22"/>
          <w:szCs w:val="22"/>
        </w:rPr>
        <w:t xml:space="preserve">section: </w:t>
      </w:r>
      <w:r w:rsidR="005B466F" w:rsidRPr="005B466F">
        <w:rPr>
          <w:rFonts w:ascii="Calibri" w:hAnsi="Calibri" w:cs="Calibri"/>
          <w:i/>
          <w:sz w:val="22"/>
          <w:szCs w:val="22"/>
        </w:rPr>
        <w:t>EIG adherence non-evaluable participants</w:t>
      </w:r>
      <w:r w:rsidR="005B466F">
        <w:rPr>
          <w:rFonts w:ascii="Calibri" w:hAnsi="Calibri" w:cs="Calibri"/>
          <w:sz w:val="22"/>
          <w:szCs w:val="22"/>
        </w:rPr>
        <w:t xml:space="preserve"> in the </w:t>
      </w:r>
      <w:r>
        <w:rPr>
          <w:rFonts w:ascii="Calibri" w:hAnsi="Calibri" w:cs="Calibri"/>
          <w:sz w:val="22"/>
          <w:szCs w:val="22"/>
        </w:rPr>
        <w:t>Results section in this article's Online Repository, Table E</w:t>
      </w:r>
      <w:r w:rsidR="00C53381">
        <w:rPr>
          <w:rFonts w:ascii="Calibri" w:hAnsi="Calibri" w:cs="Calibri"/>
          <w:sz w:val="22"/>
          <w:szCs w:val="22"/>
        </w:rPr>
        <w:t>2</w:t>
      </w:r>
      <w:r>
        <w:rPr>
          <w:rFonts w:ascii="Calibri" w:hAnsi="Calibri" w:cs="Calibri"/>
          <w:sz w:val="22"/>
          <w:szCs w:val="22"/>
        </w:rPr>
        <w:t xml:space="preserve"> and Figs E</w:t>
      </w:r>
      <w:r w:rsidR="00A45ABE">
        <w:rPr>
          <w:rFonts w:ascii="Calibri" w:hAnsi="Calibri" w:cs="Calibri"/>
          <w:sz w:val="22"/>
          <w:szCs w:val="22"/>
        </w:rPr>
        <w:t>1</w:t>
      </w:r>
      <w:r>
        <w:rPr>
          <w:rFonts w:ascii="Calibri" w:hAnsi="Calibri" w:cs="Calibri"/>
          <w:sz w:val="22"/>
          <w:szCs w:val="22"/>
        </w:rPr>
        <w:t xml:space="preserve"> </w:t>
      </w:r>
      <w:r w:rsidR="00F4284A">
        <w:rPr>
          <w:rFonts w:ascii="Calibri" w:hAnsi="Calibri" w:cs="Calibri"/>
          <w:sz w:val="22"/>
          <w:szCs w:val="22"/>
        </w:rPr>
        <w:t>and</w:t>
      </w:r>
      <w:r>
        <w:rPr>
          <w:rFonts w:ascii="Calibri" w:hAnsi="Calibri" w:cs="Calibri"/>
          <w:sz w:val="22"/>
          <w:szCs w:val="22"/>
        </w:rPr>
        <w:t xml:space="preserve"> E</w:t>
      </w:r>
      <w:r w:rsidR="00F4284A">
        <w:rPr>
          <w:rFonts w:ascii="Calibri" w:hAnsi="Calibri" w:cs="Calibri"/>
          <w:sz w:val="22"/>
          <w:szCs w:val="22"/>
        </w:rPr>
        <w:t>2</w:t>
      </w:r>
      <w:r w:rsidR="00BE3826">
        <w:rPr>
          <w:rFonts w:ascii="Calibri" w:hAnsi="Calibri" w:cs="Calibri"/>
          <w:sz w:val="22"/>
          <w:szCs w:val="22"/>
        </w:rPr>
        <w:t>.</w:t>
      </w:r>
    </w:p>
    <w:p w14:paraId="339811AD" w14:textId="77777777" w:rsidR="00EC5FA9" w:rsidRDefault="001910CE" w:rsidP="002C4B96">
      <w:pPr>
        <w:pStyle w:val="ListParagraph"/>
        <w:widowControl w:val="0"/>
        <w:autoSpaceDE w:val="0"/>
        <w:autoSpaceDN w:val="0"/>
        <w:adjustRightInd w:val="0"/>
        <w:spacing w:line="480" w:lineRule="auto"/>
        <w:ind w:left="0"/>
        <w:contextualSpacing/>
        <w:rPr>
          <w:rFonts w:cs="Calibri"/>
        </w:rPr>
      </w:pPr>
      <w:r>
        <w:rPr>
          <w:rFonts w:cs="Calibri"/>
        </w:rPr>
        <w:t>Whilst overall adherence to the EAT early introduction regimen was low at 42%, families found it easier to introduce some foods than others (</w:t>
      </w:r>
      <w:r w:rsidR="004B6612">
        <w:rPr>
          <w:rFonts w:cs="Calibri"/>
        </w:rPr>
        <w:t>Fig</w:t>
      </w:r>
      <w:r w:rsidR="001023A0">
        <w:rPr>
          <w:rFonts w:cs="Calibri"/>
        </w:rPr>
        <w:t xml:space="preserve"> 1</w:t>
      </w:r>
      <w:r>
        <w:rPr>
          <w:rFonts w:cs="Calibri"/>
        </w:rPr>
        <w:t>)</w:t>
      </w:r>
      <w:r w:rsidR="00C65585">
        <w:rPr>
          <w:rFonts w:cs="Calibri"/>
        </w:rPr>
        <w:t>,</w:t>
      </w:r>
      <w:r>
        <w:rPr>
          <w:rFonts w:cs="Calibri"/>
        </w:rPr>
        <w:t xml:space="preserve"> </w:t>
      </w:r>
      <w:r w:rsidR="00C65585">
        <w:rPr>
          <w:rFonts w:cs="Calibri"/>
        </w:rPr>
        <w:t>t</w:t>
      </w:r>
      <w:r>
        <w:rPr>
          <w:rFonts w:cs="Calibri"/>
        </w:rPr>
        <w:t xml:space="preserve">he result being that food specific adherence varied by food: </w:t>
      </w:r>
      <w:r w:rsidR="004B6612" w:rsidRPr="004B6612">
        <w:rPr>
          <w:rFonts w:cs="Calibri"/>
        </w:rPr>
        <w:t>milk, 84% (451/537); peanut, 61% (336/549);</w:t>
      </w:r>
      <w:r w:rsidR="004B6612">
        <w:rPr>
          <w:rFonts w:cs="Calibri"/>
        </w:rPr>
        <w:t xml:space="preserve"> </w:t>
      </w:r>
      <w:r w:rsidR="004B6612" w:rsidRPr="004B6612">
        <w:rPr>
          <w:rFonts w:cs="Calibri"/>
        </w:rPr>
        <w:t>whitefish, 59%</w:t>
      </w:r>
      <w:r w:rsidR="004B6612">
        <w:rPr>
          <w:rFonts w:cs="Calibri"/>
        </w:rPr>
        <w:t xml:space="preserve"> </w:t>
      </w:r>
      <w:r w:rsidR="004B6612" w:rsidRPr="004B6612">
        <w:rPr>
          <w:rFonts w:cs="Calibri"/>
        </w:rPr>
        <w:t>(318/</w:t>
      </w:r>
      <w:r w:rsidR="004B6612">
        <w:rPr>
          <w:rFonts w:cs="Calibri"/>
        </w:rPr>
        <w:t xml:space="preserve">543); </w:t>
      </w:r>
      <w:r w:rsidR="00DC39BF" w:rsidRPr="004B6612">
        <w:rPr>
          <w:rFonts w:cs="Calibri"/>
        </w:rPr>
        <w:t xml:space="preserve">sesame, 52% (288/550); egg, 42% (234/551); </w:t>
      </w:r>
      <w:r w:rsidR="004B6612">
        <w:rPr>
          <w:rFonts w:cs="Calibri"/>
        </w:rPr>
        <w:t>and wheat, 39% (216/553)</w:t>
      </w:r>
      <w:r w:rsidR="00285AE7">
        <w:rPr>
          <w:rFonts w:cs="Calibri"/>
        </w:rPr>
        <w:t xml:space="preserve"> (Table E</w:t>
      </w:r>
      <w:r w:rsidR="006E096E">
        <w:rPr>
          <w:rFonts w:cs="Calibri"/>
        </w:rPr>
        <w:t>3</w:t>
      </w:r>
      <w:r w:rsidR="00285AE7">
        <w:rPr>
          <w:rFonts w:cs="Calibri"/>
        </w:rPr>
        <w:t>)</w:t>
      </w:r>
      <w:r w:rsidR="004B6612">
        <w:rPr>
          <w:rFonts w:cs="Calibri"/>
        </w:rPr>
        <w:t>.</w:t>
      </w:r>
      <w:r w:rsidR="00371496">
        <w:rPr>
          <w:rFonts w:cs="Calibri"/>
        </w:rPr>
        <w:t xml:space="preserve"> </w:t>
      </w:r>
      <w:r w:rsidR="00A709C2" w:rsidRPr="00A709C2">
        <w:rPr>
          <w:rFonts w:cs="Calibri"/>
        </w:rPr>
        <w:t xml:space="preserve">Whilst randomization had been effective </w:t>
      </w:r>
      <w:r w:rsidR="00A709C2">
        <w:rPr>
          <w:rFonts w:cs="Calibri"/>
        </w:rPr>
        <w:t>in</w:t>
      </w:r>
      <w:r w:rsidR="00A709C2" w:rsidRPr="00A709C2">
        <w:rPr>
          <w:rFonts w:cs="Calibri"/>
        </w:rPr>
        <w:t xml:space="preserve"> ensuring the median age of introduction of peanut, egg, sesame and fish was the same at 19.6 weeks, there remained the possibility that the position in the order in which a specific food was introduced might be associated with overall or food specific adherence. Specific foods introduced later in the sequence reduced the likelihood of being per-protocol adherent to that food</w:t>
      </w:r>
      <w:r w:rsidR="00EC5FA9">
        <w:rPr>
          <w:rFonts w:cs="Calibri"/>
        </w:rPr>
        <w:t xml:space="preserve"> (Fig E3)</w:t>
      </w:r>
      <w:r w:rsidR="00A709C2" w:rsidRPr="00A709C2">
        <w:rPr>
          <w:rFonts w:cs="Calibri"/>
        </w:rPr>
        <w:t>.  However, order of introduction of each of the foods was unrelated to overall per-protocol adherence.</w:t>
      </w:r>
    </w:p>
    <w:p w14:paraId="2D105DD9" w14:textId="6BEAF40F" w:rsidR="004B6612" w:rsidRDefault="001910CE" w:rsidP="002C4B96">
      <w:pPr>
        <w:pStyle w:val="ListParagraph"/>
        <w:widowControl w:val="0"/>
        <w:autoSpaceDE w:val="0"/>
        <w:autoSpaceDN w:val="0"/>
        <w:adjustRightInd w:val="0"/>
        <w:spacing w:line="480" w:lineRule="auto"/>
        <w:ind w:left="0"/>
        <w:contextualSpacing/>
        <w:rPr>
          <w:rFonts w:cs="Calibri"/>
        </w:rPr>
      </w:pPr>
      <w:r>
        <w:rPr>
          <w:rFonts w:cs="Calibri"/>
        </w:rPr>
        <w:t xml:space="preserve">The key period for defining </w:t>
      </w:r>
      <w:r w:rsidR="005D2E1E">
        <w:rPr>
          <w:rFonts w:cs="Calibri"/>
        </w:rPr>
        <w:t>per-protocol</w:t>
      </w:r>
      <w:r>
        <w:rPr>
          <w:rFonts w:cs="Calibri"/>
        </w:rPr>
        <w:t xml:space="preserve"> adherence was consumption through to six months of age. </w:t>
      </w:r>
      <w:r w:rsidR="00746721">
        <w:rPr>
          <w:rFonts w:cs="Calibri"/>
        </w:rPr>
        <w:t>However,</w:t>
      </w:r>
      <w:r>
        <w:rPr>
          <w:rFonts w:cs="Calibri"/>
        </w:rPr>
        <w:t xml:space="preserve"> </w:t>
      </w:r>
      <w:r w:rsidR="004B6612">
        <w:rPr>
          <w:rFonts w:cs="Calibri"/>
        </w:rPr>
        <w:t>Fig</w:t>
      </w:r>
      <w:r w:rsidR="001023A0">
        <w:rPr>
          <w:rFonts w:cs="Calibri"/>
        </w:rPr>
        <w:t xml:space="preserve"> </w:t>
      </w:r>
      <w:r w:rsidR="00E022A2">
        <w:rPr>
          <w:rFonts w:cs="Calibri"/>
        </w:rPr>
        <w:t>1</w:t>
      </w:r>
      <w:r>
        <w:rPr>
          <w:rFonts w:cs="Calibri"/>
        </w:rPr>
        <w:t xml:space="preserve"> clear</w:t>
      </w:r>
      <w:r w:rsidR="00C65585">
        <w:rPr>
          <w:rFonts w:cs="Calibri"/>
        </w:rPr>
        <w:t>ly</w:t>
      </w:r>
      <w:r>
        <w:rPr>
          <w:rFonts w:cs="Calibri"/>
        </w:rPr>
        <w:t xml:space="preserve"> indicates that there were certain foods where the ability to meet the </w:t>
      </w:r>
      <w:r w:rsidR="005D2E1E">
        <w:rPr>
          <w:rFonts w:cs="Calibri"/>
        </w:rPr>
        <w:t>per-protocol</w:t>
      </w:r>
      <w:r>
        <w:rPr>
          <w:rFonts w:cs="Calibri"/>
        </w:rPr>
        <w:t xml:space="preserve"> threshold (3g/week of allergen protein) continued to improve between six and twelve months of age. </w:t>
      </w:r>
      <w:r w:rsidR="004B6612">
        <w:rPr>
          <w:rFonts w:cs="Calibri"/>
        </w:rPr>
        <w:t xml:space="preserve">High sustained levels of consumption </w:t>
      </w:r>
      <w:r w:rsidR="00CE5000">
        <w:rPr>
          <w:rFonts w:cs="Calibri"/>
        </w:rPr>
        <w:t>were</w:t>
      </w:r>
      <w:r w:rsidR="004B6612">
        <w:rPr>
          <w:rFonts w:cs="Calibri"/>
        </w:rPr>
        <w:t xml:space="preserve"> achieved by six months of age for milk and shortly </w:t>
      </w:r>
      <w:r>
        <w:rPr>
          <w:rFonts w:cs="Calibri"/>
        </w:rPr>
        <w:t>aft</w:t>
      </w:r>
      <w:r w:rsidR="004B6612">
        <w:rPr>
          <w:rFonts w:cs="Calibri"/>
        </w:rPr>
        <w:t xml:space="preserve">er six months for wheat. </w:t>
      </w:r>
      <w:r w:rsidR="005D2E1E">
        <w:rPr>
          <w:rFonts w:cs="Calibri"/>
        </w:rPr>
        <w:t>Per-protocol</w:t>
      </w:r>
      <w:r w:rsidR="004B6612">
        <w:rPr>
          <w:rFonts w:cs="Calibri"/>
        </w:rPr>
        <w:t xml:space="preserve"> consumption of fish and egg continued to improve beyond six months, plateauing at 9 months for fish and 10 months for egg. Most remarkable were the patterns observed for sesame and peanut. The level of consumption of these two foods that had been achieved by six months of age did not materially change throughout the rest of the first year of life. Hence by one year of age there was still a </w:t>
      </w:r>
      <w:r w:rsidR="00DC39BF">
        <w:rPr>
          <w:rFonts w:cs="Calibri"/>
        </w:rPr>
        <w:t>significant</w:t>
      </w:r>
      <w:r w:rsidR="004B6612">
        <w:rPr>
          <w:rFonts w:cs="Calibri"/>
        </w:rPr>
        <w:t xml:space="preserve"> minority who were not eating peanut or sesame at the per-protocol recommended level.</w:t>
      </w:r>
    </w:p>
    <w:p w14:paraId="15E8EC11" w14:textId="049841D9" w:rsidR="009252B1" w:rsidRPr="009252B1" w:rsidRDefault="00370EAA" w:rsidP="002C4B96">
      <w:pPr>
        <w:pStyle w:val="ListParagraph"/>
        <w:widowControl w:val="0"/>
        <w:autoSpaceDE w:val="0"/>
        <w:autoSpaceDN w:val="0"/>
        <w:adjustRightInd w:val="0"/>
        <w:spacing w:line="480" w:lineRule="auto"/>
        <w:ind w:left="0"/>
        <w:contextualSpacing/>
        <w:rPr>
          <w:rFonts w:cs="Calibri"/>
          <w:b/>
        </w:rPr>
      </w:pPr>
      <w:r>
        <w:rPr>
          <w:rFonts w:cs="Calibri"/>
          <w:b/>
        </w:rPr>
        <w:lastRenderedPageBreak/>
        <w:t>Enrollment</w:t>
      </w:r>
      <w:r w:rsidR="009252B1">
        <w:rPr>
          <w:rFonts w:cs="Calibri"/>
          <w:b/>
        </w:rPr>
        <w:t xml:space="preserve"> factors associated with </w:t>
      </w:r>
      <w:r w:rsidR="009204DF">
        <w:rPr>
          <w:rFonts w:cs="Calibri"/>
          <w:b/>
        </w:rPr>
        <w:t xml:space="preserve">EIG overall and food specific </w:t>
      </w:r>
      <w:r w:rsidR="009252B1">
        <w:rPr>
          <w:rFonts w:cs="Calibri"/>
          <w:b/>
        </w:rPr>
        <w:t>non-adherence</w:t>
      </w:r>
      <w:r w:rsidR="00A207A8">
        <w:rPr>
          <w:rFonts w:cs="Calibri"/>
          <w:b/>
        </w:rPr>
        <w:t xml:space="preserve"> (univariate analysis)</w:t>
      </w:r>
    </w:p>
    <w:p w14:paraId="59222CF1" w14:textId="46D1513A" w:rsidR="001F2735" w:rsidRDefault="00856E5E" w:rsidP="002C4B96">
      <w:pPr>
        <w:pStyle w:val="ListParagraph"/>
        <w:widowControl w:val="0"/>
        <w:autoSpaceDE w:val="0"/>
        <w:autoSpaceDN w:val="0"/>
        <w:adjustRightInd w:val="0"/>
        <w:spacing w:line="480" w:lineRule="auto"/>
        <w:ind w:left="0"/>
        <w:contextualSpacing/>
        <w:rPr>
          <w:rFonts w:cs="Calibri"/>
        </w:rPr>
      </w:pPr>
      <w:r>
        <w:rPr>
          <w:rFonts w:cs="Calibri"/>
        </w:rPr>
        <w:t>Non-white e</w:t>
      </w:r>
      <w:r w:rsidR="002141CB">
        <w:rPr>
          <w:rFonts w:cs="Calibri"/>
        </w:rPr>
        <w:t>thnicity</w:t>
      </w:r>
      <w:r w:rsidR="005A196F">
        <w:rPr>
          <w:rFonts w:cs="Calibri"/>
        </w:rPr>
        <w:t xml:space="preserve">, </w:t>
      </w:r>
      <w:r w:rsidR="002C12E5">
        <w:rPr>
          <w:rFonts w:cs="Calibri"/>
        </w:rPr>
        <w:t>increased</w:t>
      </w:r>
      <w:r w:rsidR="007E03D9">
        <w:rPr>
          <w:rFonts w:cs="Calibri"/>
        </w:rPr>
        <w:t xml:space="preserve"> </w:t>
      </w:r>
      <w:r w:rsidR="002141CB">
        <w:rPr>
          <w:rFonts w:cs="Calibri"/>
        </w:rPr>
        <w:t>maternal age</w:t>
      </w:r>
      <w:r w:rsidR="005A196F">
        <w:rPr>
          <w:rFonts w:cs="Calibri"/>
        </w:rPr>
        <w:t xml:space="preserve"> and lower </w:t>
      </w:r>
      <w:r w:rsidR="00370EAA">
        <w:rPr>
          <w:rFonts w:cs="Calibri"/>
        </w:rPr>
        <w:t>enrollment</w:t>
      </w:r>
      <w:r w:rsidR="005A196F">
        <w:rPr>
          <w:rFonts w:cs="Calibri"/>
        </w:rPr>
        <w:t xml:space="preserve"> maternal quality of life scores</w:t>
      </w:r>
      <w:r w:rsidR="002141CB">
        <w:rPr>
          <w:rFonts w:cs="Calibri"/>
        </w:rPr>
        <w:t xml:space="preserve"> were </w:t>
      </w:r>
      <w:r w:rsidR="00365130">
        <w:rPr>
          <w:rFonts w:cs="Calibri"/>
        </w:rPr>
        <w:t>significantly</w:t>
      </w:r>
      <w:r w:rsidR="002141CB">
        <w:rPr>
          <w:rFonts w:cs="Calibri"/>
        </w:rPr>
        <w:t xml:space="preserve"> associ</w:t>
      </w:r>
      <w:r w:rsidR="00493240">
        <w:rPr>
          <w:rFonts w:cs="Calibri"/>
        </w:rPr>
        <w:t xml:space="preserve">ated with </w:t>
      </w:r>
      <w:r w:rsidR="00D20767">
        <w:rPr>
          <w:rFonts w:cs="Calibri"/>
        </w:rPr>
        <w:t>not being</w:t>
      </w:r>
      <w:r w:rsidR="00493240">
        <w:rPr>
          <w:rFonts w:cs="Calibri"/>
        </w:rPr>
        <w:t xml:space="preserve"> per-protocol</w:t>
      </w:r>
      <w:r w:rsidR="006930F4">
        <w:rPr>
          <w:rFonts w:cs="Calibri"/>
        </w:rPr>
        <w:t xml:space="preserve"> </w:t>
      </w:r>
      <w:r w:rsidR="00D20767">
        <w:rPr>
          <w:rFonts w:cs="Calibri"/>
        </w:rPr>
        <w:t xml:space="preserve">adherent </w:t>
      </w:r>
      <w:r w:rsidR="006930F4">
        <w:rPr>
          <w:rFonts w:cs="Calibri"/>
        </w:rPr>
        <w:t xml:space="preserve">in the EIG </w:t>
      </w:r>
      <w:r w:rsidR="00322517">
        <w:rPr>
          <w:rFonts w:cs="Calibri"/>
        </w:rPr>
        <w:t xml:space="preserve">(Table </w:t>
      </w:r>
      <w:r w:rsidR="00082A66">
        <w:rPr>
          <w:rFonts w:cs="Calibri"/>
        </w:rPr>
        <w:t>E</w:t>
      </w:r>
      <w:r w:rsidR="006E096E">
        <w:rPr>
          <w:rFonts w:cs="Calibri"/>
        </w:rPr>
        <w:t>4</w:t>
      </w:r>
      <w:r w:rsidR="006930F4">
        <w:rPr>
          <w:rFonts w:cs="Calibri"/>
        </w:rPr>
        <w:t xml:space="preserve"> - univariate analysis</w:t>
      </w:r>
      <w:r w:rsidR="00322517">
        <w:rPr>
          <w:rFonts w:cs="Calibri"/>
        </w:rPr>
        <w:t>)</w:t>
      </w:r>
      <w:r w:rsidR="005A196F">
        <w:rPr>
          <w:rFonts w:cs="Calibri"/>
        </w:rPr>
        <w:t xml:space="preserve">. </w:t>
      </w:r>
      <w:r w:rsidR="00CE5000">
        <w:rPr>
          <w:rFonts w:cs="Calibri"/>
        </w:rPr>
        <w:t>Non-white ethnicity and increas</w:t>
      </w:r>
      <w:r w:rsidR="002C12E5">
        <w:rPr>
          <w:rFonts w:cs="Calibri"/>
        </w:rPr>
        <w:t>ed</w:t>
      </w:r>
      <w:r w:rsidR="00CE5000">
        <w:rPr>
          <w:rFonts w:cs="Calibri"/>
        </w:rPr>
        <w:t xml:space="preserve"> maternal age were associated with delaying the introduction of solids in both the SIG and EIG infants</w:t>
      </w:r>
      <w:r w:rsidR="00450FA4">
        <w:rPr>
          <w:rFonts w:cs="Calibri"/>
        </w:rPr>
        <w:t xml:space="preserve"> (Fig E</w:t>
      </w:r>
      <w:r w:rsidR="00F4284A">
        <w:rPr>
          <w:rFonts w:cs="Calibri"/>
        </w:rPr>
        <w:t>4</w:t>
      </w:r>
      <w:r w:rsidR="00450FA4">
        <w:rPr>
          <w:rFonts w:cs="Calibri"/>
        </w:rPr>
        <w:t>)</w:t>
      </w:r>
      <w:r w:rsidR="001F2735">
        <w:rPr>
          <w:rFonts w:cs="Calibri"/>
        </w:rPr>
        <w:t xml:space="preserve">. Differences were observed in other </w:t>
      </w:r>
      <w:r w:rsidR="00C52104">
        <w:rPr>
          <w:rFonts w:cs="Calibri"/>
        </w:rPr>
        <w:t>enrollment</w:t>
      </w:r>
      <w:r w:rsidR="001F2735">
        <w:rPr>
          <w:rFonts w:cs="Calibri"/>
        </w:rPr>
        <w:t xml:space="preserve"> demographic characteristics between ethnic groups</w:t>
      </w:r>
      <w:r w:rsidR="00BB315E">
        <w:rPr>
          <w:rFonts w:cs="Calibri"/>
        </w:rPr>
        <w:t xml:space="preserve">: visible eczema and </w:t>
      </w:r>
      <w:r w:rsidR="00C52104">
        <w:rPr>
          <w:rFonts w:cs="Calibri"/>
        </w:rPr>
        <w:t>enrollment</w:t>
      </w:r>
      <w:r w:rsidR="00BB315E">
        <w:rPr>
          <w:rFonts w:cs="Calibri"/>
        </w:rPr>
        <w:t xml:space="preserve"> </w:t>
      </w:r>
      <w:r w:rsidR="00350F03">
        <w:rPr>
          <w:rFonts w:cs="Calibri"/>
        </w:rPr>
        <w:t>sensitization</w:t>
      </w:r>
      <w:r w:rsidR="00BB315E">
        <w:rPr>
          <w:rFonts w:cs="Calibri"/>
        </w:rPr>
        <w:t xml:space="preserve"> were both more common in non-white ethnic groups</w:t>
      </w:r>
      <w:r w:rsidR="00282F82">
        <w:rPr>
          <w:rFonts w:cs="Calibri"/>
        </w:rPr>
        <w:t xml:space="preserve"> and a history of a sibling having a parent-reported food allergy was more common in infants of Asian, black or Chinese ethnicity</w:t>
      </w:r>
      <w:r w:rsidR="001F2735">
        <w:rPr>
          <w:rFonts w:cs="Calibri"/>
        </w:rPr>
        <w:t xml:space="preserve"> (Table E</w:t>
      </w:r>
      <w:r w:rsidR="006E096E">
        <w:rPr>
          <w:rFonts w:cs="Calibri"/>
        </w:rPr>
        <w:t>5</w:t>
      </w:r>
      <w:r w:rsidR="001F2735">
        <w:rPr>
          <w:rFonts w:cs="Calibri"/>
        </w:rPr>
        <w:t>)</w:t>
      </w:r>
      <w:r w:rsidR="00D9068E">
        <w:rPr>
          <w:rFonts w:cs="Calibri"/>
        </w:rPr>
        <w:t xml:space="preserve"> </w:t>
      </w:r>
      <w:r w:rsidR="001F2735">
        <w:rPr>
          <w:rFonts w:cs="Calibri"/>
        </w:rPr>
        <w:t xml:space="preserve">and are </w:t>
      </w:r>
      <w:r w:rsidR="003936E2">
        <w:rPr>
          <w:rFonts w:cs="Calibri"/>
        </w:rPr>
        <w:t xml:space="preserve">reviewed in </w:t>
      </w:r>
      <w:r w:rsidR="005B466F">
        <w:rPr>
          <w:rFonts w:cs="Calibri"/>
        </w:rPr>
        <w:t xml:space="preserve">the section: </w:t>
      </w:r>
      <w:r w:rsidR="005B466F" w:rsidRPr="005B466F">
        <w:rPr>
          <w:rFonts w:cs="Calibri"/>
          <w:i/>
        </w:rPr>
        <w:t>Association between ethnicity and baseline demographic characteristics</w:t>
      </w:r>
      <w:r w:rsidR="003936E2" w:rsidRPr="005B466F">
        <w:rPr>
          <w:rFonts w:cs="Calibri"/>
          <w:i/>
        </w:rPr>
        <w:t xml:space="preserve"> </w:t>
      </w:r>
      <w:r w:rsidR="003936E2">
        <w:rPr>
          <w:rFonts w:cs="Calibri"/>
        </w:rPr>
        <w:t>in the Results section in this article's Online Repository</w:t>
      </w:r>
      <w:r w:rsidR="00CE5000">
        <w:rPr>
          <w:rFonts w:cs="Calibri"/>
        </w:rPr>
        <w:t>.</w:t>
      </w:r>
    </w:p>
    <w:p w14:paraId="408D46C1" w14:textId="0B9A9B71" w:rsidR="006333DD" w:rsidRPr="00B357EC" w:rsidRDefault="00E307D7" w:rsidP="002C4B96">
      <w:pPr>
        <w:pStyle w:val="ListParagraph"/>
        <w:widowControl w:val="0"/>
        <w:autoSpaceDE w:val="0"/>
        <w:autoSpaceDN w:val="0"/>
        <w:adjustRightInd w:val="0"/>
        <w:spacing w:line="480" w:lineRule="auto"/>
        <w:ind w:left="0"/>
        <w:contextualSpacing/>
        <w:rPr>
          <w:rFonts w:cs="Calibri"/>
        </w:rPr>
      </w:pPr>
      <w:r>
        <w:rPr>
          <w:rFonts w:cs="Calibri"/>
        </w:rPr>
        <w:t xml:space="preserve">Eczema severity (SCORAD as a continuous variable) was significantly associated with non-adherence, whilst any visible eczema at </w:t>
      </w:r>
      <w:r w:rsidR="00370EAA">
        <w:rPr>
          <w:rFonts w:cs="Calibri"/>
        </w:rPr>
        <w:t>enrollment</w:t>
      </w:r>
      <w:r>
        <w:rPr>
          <w:rFonts w:cs="Calibri"/>
        </w:rPr>
        <w:t xml:space="preserve"> was of b</w:t>
      </w:r>
      <w:r w:rsidR="00FB375D">
        <w:rPr>
          <w:rFonts w:cs="Calibri"/>
        </w:rPr>
        <w:t xml:space="preserve">orderline significance </w:t>
      </w:r>
      <w:r w:rsidR="00706C1C">
        <w:rPr>
          <w:rFonts w:cs="Calibri"/>
        </w:rPr>
        <w:t>(p=0.07)</w:t>
      </w:r>
      <w:r w:rsidR="00285AE7">
        <w:rPr>
          <w:rFonts w:cs="Calibri"/>
        </w:rPr>
        <w:t xml:space="preserve"> </w:t>
      </w:r>
      <w:r w:rsidR="00FB375D">
        <w:rPr>
          <w:rFonts w:cs="Calibri"/>
        </w:rPr>
        <w:t>(T</w:t>
      </w:r>
      <w:r w:rsidR="00EE75F9">
        <w:rPr>
          <w:rFonts w:cs="Calibri"/>
        </w:rPr>
        <w:t xml:space="preserve">able </w:t>
      </w:r>
      <w:r w:rsidR="00082A66">
        <w:rPr>
          <w:rFonts w:cs="Calibri"/>
        </w:rPr>
        <w:t>E</w:t>
      </w:r>
      <w:r w:rsidR="006E096E">
        <w:rPr>
          <w:rFonts w:cs="Calibri"/>
        </w:rPr>
        <w:t>4</w:t>
      </w:r>
      <w:r w:rsidR="00EE75F9">
        <w:rPr>
          <w:rFonts w:cs="Calibri"/>
        </w:rPr>
        <w:t>).</w:t>
      </w:r>
      <w:r w:rsidR="006333DD">
        <w:rPr>
          <w:rFonts w:cs="Calibri"/>
        </w:rPr>
        <w:t xml:space="preserve"> </w:t>
      </w:r>
      <w:r w:rsidR="00316D47">
        <w:rPr>
          <w:rFonts w:cs="Calibri"/>
        </w:rPr>
        <w:t xml:space="preserve"> </w:t>
      </w:r>
      <w:r w:rsidR="00B357EC">
        <w:rPr>
          <w:rFonts w:cs="Calibri"/>
        </w:rPr>
        <w:t>More detail about the a</w:t>
      </w:r>
      <w:r w:rsidR="006333DD">
        <w:rPr>
          <w:rFonts w:cs="Calibri"/>
        </w:rPr>
        <w:t>ssociation</w:t>
      </w:r>
      <w:r w:rsidR="00CE5000">
        <w:rPr>
          <w:rFonts w:cs="Calibri"/>
        </w:rPr>
        <w:t>s</w:t>
      </w:r>
      <w:r w:rsidR="006333DD">
        <w:rPr>
          <w:rFonts w:cs="Calibri"/>
        </w:rPr>
        <w:t xml:space="preserve"> between </w:t>
      </w:r>
      <w:r w:rsidR="00370EAA">
        <w:rPr>
          <w:rFonts w:cs="Calibri"/>
        </w:rPr>
        <w:t>enrollment</w:t>
      </w:r>
      <w:r w:rsidR="006333DD">
        <w:rPr>
          <w:rFonts w:cs="Calibri"/>
        </w:rPr>
        <w:t xml:space="preserve"> factors and </w:t>
      </w:r>
      <w:r w:rsidR="00CE5000">
        <w:rPr>
          <w:rFonts w:cs="Calibri"/>
        </w:rPr>
        <w:t>overall non-adherence</w:t>
      </w:r>
      <w:r w:rsidR="00B357EC">
        <w:rPr>
          <w:rFonts w:cs="Calibri"/>
        </w:rPr>
        <w:t>, are presented</w:t>
      </w:r>
      <w:r w:rsidR="00CE5000">
        <w:rPr>
          <w:rFonts w:cs="Calibri"/>
        </w:rPr>
        <w:t xml:space="preserve"> </w:t>
      </w:r>
      <w:r w:rsidR="006333DD">
        <w:rPr>
          <w:rFonts w:cs="Calibri"/>
        </w:rPr>
        <w:t>in the</w:t>
      </w:r>
      <w:r w:rsidR="00B357EC">
        <w:rPr>
          <w:rFonts w:cs="Calibri"/>
        </w:rPr>
        <w:t xml:space="preserve"> section: </w:t>
      </w:r>
      <w:r w:rsidR="00B357EC" w:rsidRPr="00B357EC">
        <w:rPr>
          <w:rFonts w:cs="Calibri"/>
          <w:i/>
        </w:rPr>
        <w:t>Enrollment factors associated with overall non-adherence</w:t>
      </w:r>
      <w:r w:rsidR="00B357EC">
        <w:rPr>
          <w:rFonts w:cs="Calibri"/>
        </w:rPr>
        <w:t xml:space="preserve"> in the </w:t>
      </w:r>
      <w:r w:rsidR="006333DD">
        <w:rPr>
          <w:rFonts w:cs="Calibri"/>
        </w:rPr>
        <w:t xml:space="preserve">Results section in </w:t>
      </w:r>
      <w:r w:rsidR="00B357EC">
        <w:rPr>
          <w:rFonts w:cs="Calibri"/>
        </w:rPr>
        <w:t>this article's Online Repository</w:t>
      </w:r>
      <w:r w:rsidR="00CE5000">
        <w:rPr>
          <w:rFonts w:cs="Calibri"/>
        </w:rPr>
        <w:t>.</w:t>
      </w:r>
      <w:r w:rsidR="00B357EC">
        <w:rPr>
          <w:rFonts w:cs="Calibri"/>
        </w:rPr>
        <w:t xml:space="preserve"> The associations between enrollment factors and food specific non-adherence are presented in the corresponding section: </w:t>
      </w:r>
      <w:r w:rsidR="00B357EC" w:rsidRPr="00B357EC">
        <w:rPr>
          <w:rFonts w:cs="Calibri"/>
          <w:i/>
        </w:rPr>
        <w:t>Enrollment factors associated with food specific non-adherenc</w:t>
      </w:r>
      <w:r w:rsidR="00B357EC">
        <w:rPr>
          <w:rFonts w:cs="Calibri"/>
          <w:i/>
        </w:rPr>
        <w:t xml:space="preserve">e </w:t>
      </w:r>
      <w:r w:rsidR="00B357EC">
        <w:rPr>
          <w:rFonts w:cs="Calibri"/>
        </w:rPr>
        <w:t>in the Results section in this article's Online Repository.</w:t>
      </w:r>
    </w:p>
    <w:p w14:paraId="0F40DFA1" w14:textId="4A13D114" w:rsidR="000876A9" w:rsidRPr="00DF1139" w:rsidRDefault="00D07C8B" w:rsidP="002C4B96">
      <w:pPr>
        <w:spacing w:line="480" w:lineRule="auto"/>
        <w:rPr>
          <w:rFonts w:ascii="Calibri" w:hAnsi="Calibri"/>
          <w:b/>
          <w:sz w:val="22"/>
        </w:rPr>
      </w:pPr>
      <w:r>
        <w:rPr>
          <w:rFonts w:ascii="Calibri" w:hAnsi="Calibri"/>
          <w:b/>
          <w:sz w:val="22"/>
        </w:rPr>
        <w:t>Enrollment</w:t>
      </w:r>
      <w:r w:rsidR="000876A9" w:rsidRPr="00DF1139">
        <w:rPr>
          <w:rFonts w:ascii="Calibri" w:hAnsi="Calibri"/>
          <w:b/>
          <w:sz w:val="22"/>
        </w:rPr>
        <w:t xml:space="preserve"> </w:t>
      </w:r>
      <w:r w:rsidR="009222F0">
        <w:rPr>
          <w:rFonts w:ascii="Calibri" w:hAnsi="Calibri"/>
          <w:b/>
          <w:sz w:val="22"/>
        </w:rPr>
        <w:t>sensitiz</w:t>
      </w:r>
      <w:r w:rsidR="000876A9" w:rsidRPr="00DF1139">
        <w:rPr>
          <w:rFonts w:ascii="Calibri" w:hAnsi="Calibri"/>
          <w:b/>
          <w:sz w:val="22"/>
        </w:rPr>
        <w:t>ation in the EIG</w:t>
      </w:r>
    </w:p>
    <w:p w14:paraId="46CFD205" w14:textId="7B179A8A" w:rsidR="000876A9" w:rsidRPr="007F11C6" w:rsidRDefault="000876A9" w:rsidP="002C4B96">
      <w:pPr>
        <w:spacing w:line="480" w:lineRule="auto"/>
        <w:rPr>
          <w:rFonts w:ascii="Calibri" w:hAnsi="Calibri"/>
          <w:sz w:val="22"/>
        </w:rPr>
      </w:pPr>
      <w:r w:rsidRPr="007F11C6">
        <w:rPr>
          <w:rFonts w:ascii="Calibri" w:hAnsi="Calibri"/>
          <w:sz w:val="22"/>
        </w:rPr>
        <w:t xml:space="preserve">In the EAT study there were too few EIG participants </w:t>
      </w:r>
      <w:r w:rsidR="009222F0">
        <w:rPr>
          <w:rFonts w:ascii="Calibri" w:hAnsi="Calibri" w:cs="Calibri"/>
          <w:sz w:val="22"/>
          <w:szCs w:val="22"/>
        </w:rPr>
        <w:t>sensitiz</w:t>
      </w:r>
      <w:r w:rsidRPr="007F11C6">
        <w:rPr>
          <w:rFonts w:ascii="Calibri" w:hAnsi="Calibri" w:cs="Calibri"/>
          <w:sz w:val="22"/>
          <w:szCs w:val="22"/>
        </w:rPr>
        <w:t>ed</w:t>
      </w:r>
      <w:r w:rsidRPr="007F11C6">
        <w:rPr>
          <w:rFonts w:ascii="Calibri" w:hAnsi="Calibri"/>
          <w:sz w:val="22"/>
        </w:rPr>
        <w:t xml:space="preserve"> on skin prick testing at </w:t>
      </w:r>
      <w:r w:rsidR="00D07C8B">
        <w:rPr>
          <w:rFonts w:ascii="Calibri" w:hAnsi="Calibri"/>
          <w:sz w:val="22"/>
        </w:rPr>
        <w:t>enrollment</w:t>
      </w:r>
      <w:r w:rsidRPr="007F11C6">
        <w:rPr>
          <w:rFonts w:ascii="Calibri" w:hAnsi="Calibri"/>
          <w:sz w:val="22"/>
        </w:rPr>
        <w:t xml:space="preserve"> to individual foods (ranging from none for sesame to 24 for raw egg white) to be able to determine reliably the effect on subsequent </w:t>
      </w:r>
      <w:r w:rsidR="00BE4EEE">
        <w:rPr>
          <w:rFonts w:ascii="Calibri" w:hAnsi="Calibri"/>
          <w:sz w:val="22"/>
        </w:rPr>
        <w:t xml:space="preserve">food specific adherence (Table </w:t>
      </w:r>
      <w:r w:rsidR="00B9100D">
        <w:rPr>
          <w:rFonts w:ascii="Calibri" w:hAnsi="Calibri"/>
          <w:sz w:val="22"/>
        </w:rPr>
        <w:t>I</w:t>
      </w:r>
      <w:r w:rsidR="00BE4EEE">
        <w:rPr>
          <w:rFonts w:ascii="Calibri" w:hAnsi="Calibri"/>
          <w:sz w:val="22"/>
        </w:rPr>
        <w:t>)</w:t>
      </w:r>
      <w:r w:rsidRPr="007F11C6">
        <w:rPr>
          <w:rFonts w:ascii="Calibri" w:hAnsi="Calibri"/>
          <w:sz w:val="22"/>
        </w:rPr>
        <w:t>.</w:t>
      </w:r>
      <w:r>
        <w:rPr>
          <w:rFonts w:ascii="Calibri" w:hAnsi="Calibri"/>
          <w:sz w:val="22"/>
        </w:rPr>
        <w:t xml:space="preserve"> M</w:t>
      </w:r>
      <w:r w:rsidRPr="007F11C6">
        <w:rPr>
          <w:rFonts w:ascii="Calibri" w:hAnsi="Calibri"/>
          <w:sz w:val="22"/>
        </w:rPr>
        <w:t xml:space="preserve">ore EIG participants were shown to be </w:t>
      </w:r>
      <w:r w:rsidR="009222F0">
        <w:rPr>
          <w:rFonts w:ascii="Calibri" w:hAnsi="Calibri" w:cs="Calibri"/>
          <w:sz w:val="22"/>
          <w:szCs w:val="22"/>
        </w:rPr>
        <w:t>sensitiz</w:t>
      </w:r>
      <w:r w:rsidRPr="007F11C6">
        <w:rPr>
          <w:rFonts w:ascii="Calibri" w:hAnsi="Calibri" w:cs="Calibri"/>
          <w:sz w:val="22"/>
          <w:szCs w:val="22"/>
        </w:rPr>
        <w:t>ed</w:t>
      </w:r>
      <w:r w:rsidRPr="007F11C6">
        <w:rPr>
          <w:rFonts w:ascii="Calibri" w:hAnsi="Calibri"/>
          <w:sz w:val="22"/>
        </w:rPr>
        <w:t xml:space="preserve"> to specific foods based on serum food-specific IgE testing using a 0.1 kU/l threshold</w:t>
      </w:r>
      <w:r>
        <w:rPr>
          <w:rFonts w:ascii="Calibri" w:hAnsi="Calibri"/>
          <w:sz w:val="22"/>
        </w:rPr>
        <w:t xml:space="preserve"> </w:t>
      </w:r>
      <w:r w:rsidRPr="007F11C6">
        <w:rPr>
          <w:rFonts w:ascii="Calibri" w:hAnsi="Calibri"/>
          <w:sz w:val="22"/>
        </w:rPr>
        <w:t>(response to one or more foods of ≥0.1 kU/l: 15.</w:t>
      </w:r>
      <w:r w:rsidR="006333DD">
        <w:rPr>
          <w:rFonts w:ascii="Calibri" w:hAnsi="Calibri"/>
          <w:sz w:val="22"/>
        </w:rPr>
        <w:t>7</w:t>
      </w:r>
      <w:r w:rsidRPr="007F11C6">
        <w:rPr>
          <w:rFonts w:ascii="Calibri" w:hAnsi="Calibri"/>
          <w:sz w:val="22"/>
        </w:rPr>
        <w:t>%, 93/</w:t>
      </w:r>
      <w:r w:rsidR="006333DD">
        <w:rPr>
          <w:rFonts w:ascii="Calibri" w:hAnsi="Calibri"/>
          <w:sz w:val="22"/>
        </w:rPr>
        <w:t>593</w:t>
      </w:r>
      <w:r w:rsidRPr="007F11C6">
        <w:rPr>
          <w:rFonts w:ascii="Calibri" w:hAnsi="Calibri"/>
          <w:sz w:val="22"/>
        </w:rPr>
        <w:t>), than were identified to be skin prick test positive</w:t>
      </w:r>
      <w:r>
        <w:rPr>
          <w:rFonts w:ascii="Calibri" w:hAnsi="Calibri"/>
          <w:sz w:val="22"/>
        </w:rPr>
        <w:t xml:space="preserve"> (SPT &gt;0mm: 5.1%, 33/652) (Table </w:t>
      </w:r>
      <w:r w:rsidR="00B9100D">
        <w:rPr>
          <w:rFonts w:ascii="Calibri" w:hAnsi="Calibri"/>
          <w:sz w:val="22"/>
        </w:rPr>
        <w:t>I</w:t>
      </w:r>
      <w:r>
        <w:rPr>
          <w:rFonts w:ascii="Calibri" w:hAnsi="Calibri"/>
          <w:sz w:val="22"/>
        </w:rPr>
        <w:t>)</w:t>
      </w:r>
      <w:r w:rsidRPr="007F11C6">
        <w:rPr>
          <w:rFonts w:ascii="Calibri" w:hAnsi="Calibri"/>
          <w:sz w:val="22"/>
        </w:rPr>
        <w:t xml:space="preserve">. </w:t>
      </w:r>
    </w:p>
    <w:p w14:paraId="4F55CC81" w14:textId="42FBBDE0" w:rsidR="00DF1139" w:rsidRDefault="006333DD" w:rsidP="002C4B96">
      <w:pPr>
        <w:spacing w:line="480" w:lineRule="auto"/>
        <w:rPr>
          <w:rFonts w:asciiTheme="minorHAnsi" w:hAnsiTheme="minorHAnsi" w:cstheme="minorHAnsi"/>
          <w:b/>
          <w:sz w:val="22"/>
          <w:szCs w:val="22"/>
        </w:rPr>
      </w:pPr>
      <w:r>
        <w:rPr>
          <w:rFonts w:ascii="Calibri" w:hAnsi="Calibri"/>
          <w:sz w:val="22"/>
        </w:rPr>
        <w:t>Food</w:t>
      </w:r>
      <w:r w:rsidRPr="007F11C6">
        <w:rPr>
          <w:rFonts w:ascii="Calibri" w:hAnsi="Calibri"/>
          <w:sz w:val="22"/>
        </w:rPr>
        <w:t xml:space="preserve"> specific IgE </w:t>
      </w:r>
      <w:r w:rsidR="009222F0">
        <w:rPr>
          <w:rFonts w:ascii="Calibri" w:hAnsi="Calibri" w:cs="Calibri"/>
          <w:sz w:val="22"/>
          <w:szCs w:val="22"/>
        </w:rPr>
        <w:t>sensitiz</w:t>
      </w:r>
      <w:r w:rsidR="00C8115A">
        <w:rPr>
          <w:rFonts w:ascii="Calibri" w:hAnsi="Calibri" w:cs="Calibri"/>
          <w:sz w:val="22"/>
          <w:szCs w:val="22"/>
        </w:rPr>
        <w:t xml:space="preserve">ation at enrollment </w:t>
      </w:r>
      <w:r w:rsidRPr="007F11C6">
        <w:rPr>
          <w:rFonts w:ascii="Calibri" w:hAnsi="Calibri"/>
          <w:sz w:val="22"/>
        </w:rPr>
        <w:t xml:space="preserve">strongly predicted </w:t>
      </w:r>
      <w:r w:rsidR="00D20767">
        <w:rPr>
          <w:rFonts w:ascii="Calibri" w:hAnsi="Calibri"/>
          <w:sz w:val="22"/>
        </w:rPr>
        <w:t xml:space="preserve">the development of </w:t>
      </w:r>
      <w:r w:rsidRPr="007F11C6">
        <w:rPr>
          <w:rFonts w:ascii="Calibri" w:hAnsi="Calibri"/>
          <w:sz w:val="22"/>
        </w:rPr>
        <w:t>food allergy</w:t>
      </w:r>
      <w:r w:rsidR="00C8115A">
        <w:rPr>
          <w:rFonts w:ascii="Calibri" w:hAnsi="Calibri"/>
          <w:sz w:val="22"/>
        </w:rPr>
        <w:t xml:space="preserve"> to the same food</w:t>
      </w:r>
      <w:r w:rsidR="00D20767">
        <w:rPr>
          <w:rFonts w:ascii="Calibri" w:hAnsi="Calibri"/>
          <w:sz w:val="22"/>
        </w:rPr>
        <w:t>,</w:t>
      </w:r>
      <w:r>
        <w:rPr>
          <w:rFonts w:ascii="Calibri" w:hAnsi="Calibri"/>
          <w:sz w:val="22"/>
        </w:rPr>
        <w:t xml:space="preserve"> and </w:t>
      </w:r>
      <w:r w:rsidR="009222F0">
        <w:rPr>
          <w:rFonts w:ascii="Calibri" w:hAnsi="Calibri"/>
          <w:sz w:val="22"/>
        </w:rPr>
        <w:t>sensitiz</w:t>
      </w:r>
      <w:r>
        <w:rPr>
          <w:rFonts w:ascii="Calibri" w:hAnsi="Calibri"/>
          <w:sz w:val="22"/>
        </w:rPr>
        <w:t>ation to one or more foods strongly predicted overall food allergy</w:t>
      </w:r>
      <w:r w:rsidRPr="007F11C6">
        <w:rPr>
          <w:rFonts w:ascii="Calibri" w:hAnsi="Calibri"/>
          <w:sz w:val="22"/>
        </w:rPr>
        <w:t xml:space="preserve"> (Fig</w:t>
      </w:r>
      <w:r w:rsidR="00C8115A">
        <w:rPr>
          <w:rFonts w:ascii="Calibri" w:hAnsi="Calibri"/>
          <w:sz w:val="22"/>
        </w:rPr>
        <w:t xml:space="preserve"> </w:t>
      </w:r>
      <w:r w:rsidR="00AE1C22">
        <w:rPr>
          <w:rFonts w:ascii="Calibri" w:hAnsi="Calibri"/>
          <w:sz w:val="22"/>
        </w:rPr>
        <w:t>E</w:t>
      </w:r>
      <w:r w:rsidR="00F4284A">
        <w:rPr>
          <w:rFonts w:ascii="Calibri" w:hAnsi="Calibri"/>
          <w:sz w:val="22"/>
        </w:rPr>
        <w:t>5</w:t>
      </w:r>
      <w:r w:rsidRPr="007F11C6">
        <w:rPr>
          <w:rFonts w:ascii="Calibri" w:hAnsi="Calibri"/>
          <w:sz w:val="22"/>
        </w:rPr>
        <w:t xml:space="preserve">). </w:t>
      </w:r>
      <w:r w:rsidR="009222F0">
        <w:rPr>
          <w:rFonts w:ascii="Calibri" w:hAnsi="Calibri"/>
          <w:sz w:val="22"/>
        </w:rPr>
        <w:lastRenderedPageBreak/>
        <w:t>Sensitiz</w:t>
      </w:r>
      <w:r w:rsidR="00C8115A">
        <w:rPr>
          <w:rFonts w:ascii="Calibri" w:hAnsi="Calibri"/>
          <w:sz w:val="22"/>
        </w:rPr>
        <w:t xml:space="preserve">ation to one food also predicted food allergy developing to other foods. </w:t>
      </w:r>
      <w:r>
        <w:rPr>
          <w:rFonts w:ascii="Calibri" w:hAnsi="Calibri"/>
          <w:sz w:val="22"/>
        </w:rPr>
        <w:t>Th</w:t>
      </w:r>
      <w:r w:rsidR="00C8115A">
        <w:rPr>
          <w:rFonts w:ascii="Calibri" w:hAnsi="Calibri"/>
          <w:sz w:val="22"/>
        </w:rPr>
        <w:t>e</w:t>
      </w:r>
      <w:r>
        <w:rPr>
          <w:rFonts w:ascii="Calibri" w:hAnsi="Calibri"/>
          <w:sz w:val="22"/>
        </w:rPr>
        <w:t xml:space="preserve"> group of infants with early </w:t>
      </w:r>
      <w:r w:rsidR="00706B34">
        <w:rPr>
          <w:rFonts w:ascii="Calibri" w:hAnsi="Calibri"/>
          <w:sz w:val="22"/>
        </w:rPr>
        <w:t xml:space="preserve">food specific IgE </w:t>
      </w:r>
      <w:r w:rsidR="009222F0">
        <w:rPr>
          <w:rFonts w:ascii="Calibri" w:hAnsi="Calibri"/>
          <w:sz w:val="22"/>
        </w:rPr>
        <w:t>sensitiz</w:t>
      </w:r>
      <w:r>
        <w:rPr>
          <w:rFonts w:ascii="Calibri" w:hAnsi="Calibri"/>
          <w:sz w:val="22"/>
        </w:rPr>
        <w:t>ation accounted for 69% of the food allergy cases th</w:t>
      </w:r>
      <w:r w:rsidR="005428E8">
        <w:rPr>
          <w:rFonts w:ascii="Calibri" w:hAnsi="Calibri"/>
          <w:sz w:val="22"/>
        </w:rPr>
        <w:t xml:space="preserve">at </w:t>
      </w:r>
      <w:r w:rsidR="00FB6A18">
        <w:rPr>
          <w:rFonts w:ascii="Calibri" w:hAnsi="Calibri"/>
          <w:sz w:val="22"/>
        </w:rPr>
        <w:t>developed in the EAT study</w:t>
      </w:r>
      <w:r>
        <w:rPr>
          <w:rFonts w:ascii="Calibri" w:hAnsi="Calibri"/>
          <w:sz w:val="22"/>
        </w:rPr>
        <w:t xml:space="preserve">. </w:t>
      </w:r>
      <w:r w:rsidR="00C8115A">
        <w:rPr>
          <w:rFonts w:ascii="Calibri" w:hAnsi="Calibri"/>
          <w:sz w:val="22"/>
        </w:rPr>
        <w:t xml:space="preserve">We have shown that </w:t>
      </w:r>
      <w:r>
        <w:rPr>
          <w:rFonts w:ascii="Calibri" w:hAnsi="Calibri"/>
          <w:sz w:val="22"/>
        </w:rPr>
        <w:t>the EAT study early introduction intervention was effective in an intention-to-treat analysis of this high risk population</w:t>
      </w:r>
      <w:r w:rsidR="00C8115A">
        <w:rPr>
          <w:rFonts w:ascii="Calibri" w:hAnsi="Calibri"/>
          <w:sz w:val="22"/>
        </w:rPr>
        <w:t>.</w:t>
      </w:r>
      <w:r w:rsidR="00997C0C" w:rsidRPr="00997C0C">
        <w:rPr>
          <w:rFonts w:ascii="Calibri" w:hAnsi="Calibri"/>
          <w:noProof/>
          <w:sz w:val="22"/>
          <w:vertAlign w:val="superscript"/>
        </w:rPr>
        <w:t>13</w:t>
      </w:r>
    </w:p>
    <w:p w14:paraId="7F94897C" w14:textId="6AA706E0" w:rsidR="00AB7841" w:rsidRPr="00547893" w:rsidRDefault="00B017D7" w:rsidP="00AB7841">
      <w:pPr>
        <w:spacing w:line="480" w:lineRule="auto"/>
        <w:rPr>
          <w:rFonts w:asciiTheme="minorHAnsi" w:hAnsiTheme="minorHAnsi" w:cstheme="minorHAnsi"/>
          <w:sz w:val="22"/>
        </w:rPr>
      </w:pPr>
      <w:r>
        <w:rPr>
          <w:rFonts w:asciiTheme="minorHAnsi" w:hAnsiTheme="minorHAnsi"/>
          <w:sz w:val="22"/>
          <w:szCs w:val="22"/>
        </w:rPr>
        <w:t>The great majority of EIG infants sensitized to a specific food at enrollment did not report any symptoms when that food was introduced into their diet</w:t>
      </w:r>
      <w:r w:rsidR="00350F03">
        <w:rPr>
          <w:rFonts w:asciiTheme="minorHAnsi" w:hAnsiTheme="minorHAnsi"/>
          <w:sz w:val="22"/>
          <w:szCs w:val="22"/>
        </w:rPr>
        <w:t xml:space="preserve"> (for example, 92% (18/22) for peanut)</w:t>
      </w:r>
      <w:r>
        <w:rPr>
          <w:rFonts w:asciiTheme="minorHAnsi" w:hAnsiTheme="minorHAnsi"/>
          <w:sz w:val="22"/>
          <w:szCs w:val="22"/>
        </w:rPr>
        <w:t>. Similarly, the great majority of infants whose families reported symptoms with a specific food were not sensitised to that food at enrollment</w:t>
      </w:r>
      <w:r w:rsidR="00350F03">
        <w:rPr>
          <w:rFonts w:asciiTheme="minorHAnsi" w:hAnsiTheme="minorHAnsi"/>
          <w:sz w:val="22"/>
          <w:szCs w:val="22"/>
        </w:rPr>
        <w:t xml:space="preserve"> (for example, 81% (17/21) for peanut). Both are</w:t>
      </w:r>
      <w:r w:rsidR="00BF489F">
        <w:rPr>
          <w:rFonts w:asciiTheme="minorHAnsi" w:hAnsiTheme="minorHAnsi"/>
          <w:sz w:val="22"/>
          <w:szCs w:val="22"/>
        </w:rPr>
        <w:t xml:space="preserve"> </w:t>
      </w:r>
      <w:r>
        <w:rPr>
          <w:rFonts w:ascii="Calibri" w:hAnsi="Calibri" w:cs="Calibri"/>
          <w:sz w:val="22"/>
          <w:szCs w:val="22"/>
        </w:rPr>
        <w:t>reviewed in detail in the section</w:t>
      </w:r>
      <w:r w:rsidR="00B357EC">
        <w:rPr>
          <w:rFonts w:ascii="Calibri" w:hAnsi="Calibri" w:cs="Calibri"/>
          <w:sz w:val="22"/>
          <w:szCs w:val="22"/>
        </w:rPr>
        <w:t xml:space="preserve">: </w:t>
      </w:r>
      <w:r w:rsidR="00740AFD" w:rsidRPr="00B357EC">
        <w:rPr>
          <w:rFonts w:ascii="Calibri" w:hAnsi="Calibri" w:cs="Calibri"/>
          <w:i/>
          <w:sz w:val="22"/>
          <w:szCs w:val="22"/>
        </w:rPr>
        <w:t xml:space="preserve">IgE type symptom reporting and </w:t>
      </w:r>
      <w:r w:rsidR="00C52104">
        <w:rPr>
          <w:rFonts w:ascii="Calibri" w:hAnsi="Calibri" w:cs="Calibri"/>
          <w:i/>
          <w:sz w:val="22"/>
          <w:szCs w:val="22"/>
        </w:rPr>
        <w:t>enrollment</w:t>
      </w:r>
      <w:r w:rsidR="00740AFD" w:rsidRPr="00B357EC">
        <w:rPr>
          <w:rFonts w:ascii="Calibri" w:hAnsi="Calibri" w:cs="Calibri"/>
          <w:i/>
          <w:sz w:val="22"/>
          <w:szCs w:val="22"/>
        </w:rPr>
        <w:t xml:space="preserve"> </w:t>
      </w:r>
      <w:r w:rsidR="00350F03">
        <w:rPr>
          <w:rFonts w:ascii="Calibri" w:hAnsi="Calibri" w:cs="Calibri"/>
          <w:i/>
          <w:sz w:val="22"/>
          <w:szCs w:val="22"/>
        </w:rPr>
        <w:t>sensitization</w:t>
      </w:r>
      <w:r>
        <w:rPr>
          <w:rFonts w:ascii="Calibri" w:hAnsi="Calibri" w:cs="Calibri"/>
          <w:sz w:val="22"/>
          <w:szCs w:val="22"/>
        </w:rPr>
        <w:t xml:space="preserve"> in</w:t>
      </w:r>
      <w:r w:rsidR="004B1346" w:rsidRPr="004B1346">
        <w:rPr>
          <w:rFonts w:ascii="Calibri" w:hAnsi="Calibri" w:cs="Calibri"/>
          <w:sz w:val="22"/>
          <w:szCs w:val="22"/>
        </w:rPr>
        <w:t xml:space="preserve"> the Results section in </w:t>
      </w:r>
      <w:r>
        <w:rPr>
          <w:rFonts w:ascii="Calibri" w:hAnsi="Calibri" w:cs="Calibri"/>
          <w:sz w:val="22"/>
          <w:szCs w:val="22"/>
        </w:rPr>
        <w:t>this article's Online Repository</w:t>
      </w:r>
      <w:r>
        <w:rPr>
          <w:rFonts w:asciiTheme="minorHAnsi" w:hAnsiTheme="minorHAnsi"/>
          <w:sz w:val="22"/>
          <w:szCs w:val="22"/>
        </w:rPr>
        <w:t xml:space="preserve">.  </w:t>
      </w:r>
      <w:r w:rsidR="00AB7841">
        <w:rPr>
          <w:rFonts w:asciiTheme="minorHAnsi" w:hAnsiTheme="minorHAnsi" w:cstheme="minorHAnsi"/>
          <w:sz w:val="22"/>
        </w:rPr>
        <w:t>Serum food specific sensitization to one or more foods did not predict overall non-adherence</w:t>
      </w:r>
      <w:r w:rsidR="00AB7841" w:rsidRPr="00740AFD">
        <w:rPr>
          <w:rFonts w:asciiTheme="minorHAnsi" w:hAnsiTheme="minorHAnsi" w:cstheme="minorHAnsi"/>
          <w:sz w:val="22"/>
        </w:rPr>
        <w:t xml:space="preserve"> </w:t>
      </w:r>
      <w:r w:rsidR="00AB7841">
        <w:rPr>
          <w:rFonts w:asciiTheme="minorHAnsi" w:hAnsiTheme="minorHAnsi" w:cstheme="minorHAnsi"/>
          <w:sz w:val="22"/>
        </w:rPr>
        <w:t>i</w:t>
      </w:r>
      <w:r w:rsidR="00FB6A18">
        <w:rPr>
          <w:rFonts w:asciiTheme="minorHAnsi" w:hAnsiTheme="minorHAnsi" w:cstheme="minorHAnsi"/>
          <w:sz w:val="22"/>
        </w:rPr>
        <w:t>n the univariate analysis (Fig 2</w:t>
      </w:r>
      <w:r w:rsidR="00AB7841">
        <w:rPr>
          <w:rFonts w:asciiTheme="minorHAnsi" w:hAnsiTheme="minorHAnsi" w:cstheme="minorHAnsi"/>
          <w:sz w:val="22"/>
        </w:rPr>
        <w:t>). In contrast, in univariate analysis, food specific sensitization predicted food specific non-adh</w:t>
      </w:r>
      <w:r w:rsidR="00FB6A18">
        <w:rPr>
          <w:rFonts w:asciiTheme="minorHAnsi" w:hAnsiTheme="minorHAnsi" w:cstheme="minorHAnsi"/>
          <w:sz w:val="22"/>
        </w:rPr>
        <w:t>erence for egg</w:t>
      </w:r>
      <w:r w:rsidR="007545F6">
        <w:rPr>
          <w:rFonts w:asciiTheme="minorHAnsi" w:hAnsiTheme="minorHAnsi" w:cstheme="minorHAnsi"/>
          <w:sz w:val="22"/>
        </w:rPr>
        <w:t xml:space="preserve"> and was of borderline significance for peanut</w:t>
      </w:r>
      <w:r w:rsidR="00FB6A18">
        <w:rPr>
          <w:rFonts w:asciiTheme="minorHAnsi" w:hAnsiTheme="minorHAnsi" w:cstheme="minorHAnsi"/>
          <w:sz w:val="22"/>
        </w:rPr>
        <w:t xml:space="preserve"> (Fig 2</w:t>
      </w:r>
      <w:r w:rsidR="00AB7841">
        <w:rPr>
          <w:rFonts w:asciiTheme="minorHAnsi" w:hAnsiTheme="minorHAnsi" w:cstheme="minorHAnsi"/>
          <w:sz w:val="22"/>
        </w:rPr>
        <w:t xml:space="preserve"> &amp; Fig E</w:t>
      </w:r>
      <w:r w:rsidR="00F4284A">
        <w:rPr>
          <w:rFonts w:asciiTheme="minorHAnsi" w:hAnsiTheme="minorHAnsi" w:cstheme="minorHAnsi"/>
          <w:sz w:val="22"/>
        </w:rPr>
        <w:t>6</w:t>
      </w:r>
      <w:r w:rsidR="00871864">
        <w:rPr>
          <w:rFonts w:asciiTheme="minorHAnsi" w:hAnsiTheme="minorHAnsi" w:cstheme="minorHAnsi"/>
          <w:sz w:val="22"/>
        </w:rPr>
        <w:t xml:space="preserve">), </w:t>
      </w:r>
      <w:r w:rsidR="007545F6">
        <w:rPr>
          <w:rFonts w:asciiTheme="minorHAnsi" w:hAnsiTheme="minorHAnsi" w:cstheme="minorHAnsi"/>
          <w:sz w:val="22"/>
        </w:rPr>
        <w:t xml:space="preserve">both </w:t>
      </w:r>
      <w:r w:rsidR="00871864">
        <w:rPr>
          <w:rFonts w:asciiTheme="minorHAnsi" w:hAnsiTheme="minorHAnsi" w:cstheme="minorHAnsi"/>
          <w:sz w:val="22"/>
        </w:rPr>
        <w:t>likely to be a consequence of the study design,</w:t>
      </w:r>
      <w:r w:rsidR="004B1346">
        <w:rPr>
          <w:rFonts w:asciiTheme="minorHAnsi" w:hAnsiTheme="minorHAnsi" w:cstheme="minorHAnsi"/>
          <w:sz w:val="22"/>
        </w:rPr>
        <w:t xml:space="preserve"> and discussed in more detail in the section: </w:t>
      </w:r>
      <w:r w:rsidR="004B1346" w:rsidRPr="004B1346">
        <w:rPr>
          <w:rFonts w:asciiTheme="minorHAnsi" w:hAnsiTheme="minorHAnsi" w:cstheme="minorHAnsi"/>
          <w:i/>
          <w:sz w:val="22"/>
        </w:rPr>
        <w:t>Consumption of each allergenic food by enrollment specific IgE sensitization status</w:t>
      </w:r>
      <w:r w:rsidR="004B1346">
        <w:rPr>
          <w:rFonts w:asciiTheme="minorHAnsi" w:hAnsiTheme="minorHAnsi" w:cstheme="minorHAnsi"/>
          <w:i/>
          <w:sz w:val="22"/>
        </w:rPr>
        <w:t xml:space="preserve"> </w:t>
      </w:r>
      <w:r w:rsidR="004B1346">
        <w:rPr>
          <w:rFonts w:ascii="Calibri" w:hAnsi="Calibri" w:cs="Calibri"/>
          <w:sz w:val="22"/>
          <w:szCs w:val="22"/>
        </w:rPr>
        <w:t>in</w:t>
      </w:r>
      <w:r w:rsidR="004B1346" w:rsidRPr="004B1346">
        <w:rPr>
          <w:rFonts w:ascii="Calibri" w:hAnsi="Calibri" w:cs="Calibri"/>
          <w:sz w:val="22"/>
          <w:szCs w:val="22"/>
        </w:rPr>
        <w:t xml:space="preserve"> the Results section in </w:t>
      </w:r>
      <w:r w:rsidR="004B1346">
        <w:rPr>
          <w:rFonts w:ascii="Calibri" w:hAnsi="Calibri" w:cs="Calibri"/>
          <w:sz w:val="22"/>
          <w:szCs w:val="22"/>
        </w:rPr>
        <w:t>this article's Online Repository</w:t>
      </w:r>
      <w:r w:rsidR="00AB7841">
        <w:rPr>
          <w:rFonts w:asciiTheme="minorHAnsi" w:hAnsiTheme="minorHAnsi" w:cstheme="minorHAnsi"/>
          <w:sz w:val="22"/>
        </w:rPr>
        <w:t>.</w:t>
      </w:r>
    </w:p>
    <w:p w14:paraId="7B93CE93" w14:textId="3E9D7BC6" w:rsidR="00740AFD" w:rsidRPr="009252B1" w:rsidRDefault="00740AFD" w:rsidP="00740AFD">
      <w:pPr>
        <w:pStyle w:val="ListParagraph"/>
        <w:widowControl w:val="0"/>
        <w:autoSpaceDE w:val="0"/>
        <w:autoSpaceDN w:val="0"/>
        <w:adjustRightInd w:val="0"/>
        <w:spacing w:line="480" w:lineRule="auto"/>
        <w:ind w:left="0"/>
        <w:contextualSpacing/>
        <w:rPr>
          <w:rFonts w:cs="Calibri"/>
          <w:b/>
        </w:rPr>
      </w:pPr>
      <w:r>
        <w:rPr>
          <w:rFonts w:cs="Calibri"/>
          <w:b/>
        </w:rPr>
        <w:t>Enrollment factors associated with</w:t>
      </w:r>
      <w:r w:rsidR="009204DF">
        <w:rPr>
          <w:rFonts w:cs="Calibri"/>
          <w:b/>
        </w:rPr>
        <w:t xml:space="preserve"> EIG overall</w:t>
      </w:r>
      <w:r>
        <w:rPr>
          <w:rFonts w:cs="Calibri"/>
          <w:b/>
        </w:rPr>
        <w:t xml:space="preserve"> non-adherence (multivariable analysis)</w:t>
      </w:r>
    </w:p>
    <w:p w14:paraId="780E8718" w14:textId="3330F2F1" w:rsidR="00C021FC" w:rsidRDefault="00ED254A" w:rsidP="002C4B96">
      <w:pPr>
        <w:pStyle w:val="ListParagraph"/>
        <w:widowControl w:val="0"/>
        <w:autoSpaceDE w:val="0"/>
        <w:autoSpaceDN w:val="0"/>
        <w:adjustRightInd w:val="0"/>
        <w:spacing w:line="480" w:lineRule="auto"/>
        <w:ind w:left="0"/>
        <w:contextualSpacing/>
        <w:rPr>
          <w:rFonts w:cs="Calibri"/>
        </w:rPr>
      </w:pPr>
      <w:r w:rsidRPr="00ED254A">
        <w:rPr>
          <w:rFonts w:cs="Calibri"/>
        </w:rPr>
        <w:t>A</w:t>
      </w:r>
      <w:r w:rsidR="0091705F">
        <w:rPr>
          <w:rFonts w:cs="Calibri"/>
        </w:rPr>
        <w:t xml:space="preserve"> </w:t>
      </w:r>
      <w:r w:rsidR="00866842">
        <w:rPr>
          <w:rFonts w:cs="Calibri"/>
        </w:rPr>
        <w:t>multivariable</w:t>
      </w:r>
      <w:r w:rsidR="00866842" w:rsidRPr="00ED254A">
        <w:rPr>
          <w:rFonts w:cs="Calibri"/>
        </w:rPr>
        <w:t xml:space="preserve"> </w:t>
      </w:r>
      <w:r w:rsidRPr="00ED254A">
        <w:rPr>
          <w:rFonts w:cs="Calibri"/>
        </w:rPr>
        <w:t xml:space="preserve">analysis was undertaken to see if </w:t>
      </w:r>
      <w:r w:rsidR="00286CE3">
        <w:rPr>
          <w:rFonts w:cs="Calibri"/>
        </w:rPr>
        <w:t>overall non-</w:t>
      </w:r>
      <w:r w:rsidRPr="00ED254A">
        <w:rPr>
          <w:rFonts w:cs="Calibri"/>
        </w:rPr>
        <w:t xml:space="preserve">adherence in the </w:t>
      </w:r>
      <w:r w:rsidR="0091705F">
        <w:rPr>
          <w:rFonts w:cs="Calibri"/>
        </w:rPr>
        <w:t>EIG</w:t>
      </w:r>
      <w:r w:rsidRPr="00ED254A">
        <w:rPr>
          <w:rFonts w:cs="Calibri"/>
        </w:rPr>
        <w:t xml:space="preserve"> could have been</w:t>
      </w:r>
      <w:r>
        <w:rPr>
          <w:rFonts w:cs="Calibri"/>
        </w:rPr>
        <w:t xml:space="preserve"> </w:t>
      </w:r>
      <w:r w:rsidRPr="00ED254A">
        <w:rPr>
          <w:rFonts w:cs="Calibri"/>
        </w:rPr>
        <w:t xml:space="preserve">predicted from certain </w:t>
      </w:r>
      <w:r w:rsidR="00D07C8B">
        <w:rPr>
          <w:rFonts w:cs="Calibri"/>
        </w:rPr>
        <w:t>enrollment</w:t>
      </w:r>
      <w:r w:rsidRPr="00ED254A">
        <w:rPr>
          <w:rFonts w:cs="Calibri"/>
        </w:rPr>
        <w:t xml:space="preserve"> characteristics</w:t>
      </w:r>
      <w:r w:rsidR="00912834">
        <w:rPr>
          <w:rFonts w:cs="Calibri"/>
        </w:rPr>
        <w:t xml:space="preserve"> (Table II, left column)</w:t>
      </w:r>
      <w:r w:rsidRPr="00ED254A">
        <w:rPr>
          <w:rFonts w:cs="Calibri"/>
        </w:rPr>
        <w:t xml:space="preserve">. </w:t>
      </w:r>
      <w:r w:rsidR="00C021FC">
        <w:rPr>
          <w:rFonts w:cs="Calibri"/>
        </w:rPr>
        <w:t xml:space="preserve">There was no significant relationship between enrollment </w:t>
      </w:r>
      <w:r w:rsidR="00350F03">
        <w:rPr>
          <w:rFonts w:cs="Calibri"/>
        </w:rPr>
        <w:t>sensitization</w:t>
      </w:r>
      <w:r w:rsidR="00C021FC">
        <w:rPr>
          <w:rFonts w:cs="Calibri"/>
        </w:rPr>
        <w:t xml:space="preserve"> to one or more foods and ov</w:t>
      </w:r>
      <w:r w:rsidR="00E95F35">
        <w:rPr>
          <w:rFonts w:cs="Calibri"/>
        </w:rPr>
        <w:t>erall non-adherenc</w:t>
      </w:r>
      <w:r w:rsidR="00912834">
        <w:rPr>
          <w:rFonts w:cs="Calibri"/>
        </w:rPr>
        <w:t>e</w:t>
      </w:r>
      <w:r w:rsidR="00E95F35">
        <w:rPr>
          <w:rFonts w:cs="Calibri"/>
        </w:rPr>
        <w:t>.</w:t>
      </w:r>
    </w:p>
    <w:p w14:paraId="7EC48ADE" w14:textId="6D92E23F" w:rsidR="00E40871" w:rsidRDefault="00C021FC" w:rsidP="002C4B96">
      <w:pPr>
        <w:pStyle w:val="ListParagraph"/>
        <w:widowControl w:val="0"/>
        <w:autoSpaceDE w:val="0"/>
        <w:autoSpaceDN w:val="0"/>
        <w:adjustRightInd w:val="0"/>
        <w:spacing w:line="480" w:lineRule="auto"/>
        <w:ind w:left="0"/>
        <w:contextualSpacing/>
        <w:rPr>
          <w:rFonts w:cs="Calibri"/>
        </w:rPr>
      </w:pPr>
      <w:r>
        <w:rPr>
          <w:rFonts w:cs="Calibri"/>
        </w:rPr>
        <w:t>N</w:t>
      </w:r>
      <w:r w:rsidR="00286CE3">
        <w:rPr>
          <w:rFonts w:cs="Calibri"/>
        </w:rPr>
        <w:t>on-white ethnicity</w:t>
      </w:r>
      <w:r w:rsidR="0091705F">
        <w:rPr>
          <w:rFonts w:cs="Calibri"/>
        </w:rPr>
        <w:t xml:space="preserve">, </w:t>
      </w:r>
      <w:r w:rsidR="00286CE3">
        <w:rPr>
          <w:rFonts w:cs="Calibri"/>
        </w:rPr>
        <w:t>increas</w:t>
      </w:r>
      <w:r w:rsidR="002C12E5">
        <w:rPr>
          <w:rFonts w:cs="Calibri"/>
        </w:rPr>
        <w:t>ed</w:t>
      </w:r>
      <w:r w:rsidR="00286CE3">
        <w:rPr>
          <w:rFonts w:cs="Calibri"/>
        </w:rPr>
        <w:t xml:space="preserve"> maternal age</w:t>
      </w:r>
      <w:r w:rsidR="0091705F">
        <w:rPr>
          <w:rFonts w:cs="Calibri"/>
        </w:rPr>
        <w:t xml:space="preserve"> and lower </w:t>
      </w:r>
      <w:r w:rsidR="00D07C8B">
        <w:rPr>
          <w:rFonts w:cs="Calibri"/>
        </w:rPr>
        <w:t>enrollment</w:t>
      </w:r>
      <w:r w:rsidR="0091705F">
        <w:rPr>
          <w:rFonts w:cs="Calibri"/>
        </w:rPr>
        <w:t xml:space="preserve"> maternal quality of life</w:t>
      </w:r>
      <w:r w:rsidR="00912834">
        <w:rPr>
          <w:rFonts w:cs="Calibri"/>
        </w:rPr>
        <w:t xml:space="preserve"> (psychological domain)</w:t>
      </w:r>
      <w:r w:rsidR="0091705F">
        <w:rPr>
          <w:rFonts w:cs="Calibri"/>
        </w:rPr>
        <w:t xml:space="preserve"> all remained </w:t>
      </w:r>
      <w:r w:rsidR="00286CE3">
        <w:rPr>
          <w:rFonts w:cs="Calibri"/>
        </w:rPr>
        <w:t>significantly related to incre</w:t>
      </w:r>
      <w:r w:rsidR="0091705F">
        <w:rPr>
          <w:rFonts w:cs="Calibri"/>
        </w:rPr>
        <w:t xml:space="preserve">ased EIG overall </w:t>
      </w:r>
      <w:r w:rsidR="00546F95">
        <w:rPr>
          <w:rFonts w:cs="Calibri"/>
        </w:rPr>
        <w:t>non-adherence</w:t>
      </w:r>
      <w:r w:rsidR="00286CE3">
        <w:rPr>
          <w:rFonts w:cs="Calibri"/>
        </w:rPr>
        <w:t xml:space="preserve">. </w:t>
      </w:r>
      <w:r w:rsidR="00286CE3" w:rsidRPr="00147B81">
        <w:rPr>
          <w:rFonts w:cs="Calibri"/>
        </w:rPr>
        <w:t xml:space="preserve">There was no </w:t>
      </w:r>
      <w:r w:rsidR="0076677F">
        <w:rPr>
          <w:rFonts w:cs="Calibri"/>
        </w:rPr>
        <w:t xml:space="preserve">statistically significant </w:t>
      </w:r>
      <w:r w:rsidR="00286CE3" w:rsidRPr="00147B81">
        <w:rPr>
          <w:rFonts w:cs="Calibri"/>
        </w:rPr>
        <w:t>relationship with</w:t>
      </w:r>
      <w:r w:rsidR="00147B81" w:rsidRPr="00147B81">
        <w:rPr>
          <w:rFonts w:cs="Calibri"/>
        </w:rPr>
        <w:t xml:space="preserve"> any measure of eczema at </w:t>
      </w:r>
      <w:r w:rsidR="00D07C8B">
        <w:rPr>
          <w:rFonts w:cs="Calibri"/>
        </w:rPr>
        <w:t>enrollment</w:t>
      </w:r>
      <w:r w:rsidR="00147B81">
        <w:rPr>
          <w:rFonts w:cs="Calibri"/>
        </w:rPr>
        <w:t>,</w:t>
      </w:r>
      <w:r w:rsidR="00147B81" w:rsidRPr="00147B81">
        <w:rPr>
          <w:rFonts w:cs="Calibri"/>
        </w:rPr>
        <w:t xml:space="preserve"> be this</w:t>
      </w:r>
      <w:r w:rsidR="00286CE3" w:rsidRPr="00147B81">
        <w:rPr>
          <w:rFonts w:cs="Calibri"/>
        </w:rPr>
        <w:t xml:space="preserve"> visible eczema</w:t>
      </w:r>
      <w:r w:rsidR="00147B81" w:rsidRPr="00147B81">
        <w:rPr>
          <w:rFonts w:cs="Calibri"/>
        </w:rPr>
        <w:t xml:space="preserve">, </w:t>
      </w:r>
      <w:r w:rsidR="00AB6CCE" w:rsidRPr="00147B81">
        <w:rPr>
          <w:rFonts w:cs="Calibri"/>
        </w:rPr>
        <w:t>eczema severity</w:t>
      </w:r>
      <w:r w:rsidR="00147B81" w:rsidRPr="00147B81">
        <w:rPr>
          <w:rFonts w:cs="Calibri"/>
        </w:rPr>
        <w:t xml:space="preserve"> (SCORAD severity group) or SCORAD itself</w:t>
      </w:r>
      <w:r w:rsidR="0076677F">
        <w:rPr>
          <w:rFonts w:cs="Calibri"/>
        </w:rPr>
        <w:t>, although all the odds ratios were greater than 1.0</w:t>
      </w:r>
      <w:r w:rsidR="00147B81" w:rsidRPr="00147B81">
        <w:rPr>
          <w:rFonts w:cs="Calibri"/>
        </w:rPr>
        <w:t xml:space="preserve">. </w:t>
      </w:r>
    </w:p>
    <w:p w14:paraId="77FB8D8F" w14:textId="6B72AC11" w:rsidR="009204DF" w:rsidRPr="009252B1" w:rsidRDefault="009204DF" w:rsidP="009204DF">
      <w:pPr>
        <w:pStyle w:val="ListParagraph"/>
        <w:widowControl w:val="0"/>
        <w:autoSpaceDE w:val="0"/>
        <w:autoSpaceDN w:val="0"/>
        <w:adjustRightInd w:val="0"/>
        <w:spacing w:line="480" w:lineRule="auto"/>
        <w:ind w:left="0"/>
        <w:contextualSpacing/>
        <w:rPr>
          <w:rFonts w:cs="Calibri"/>
          <w:b/>
        </w:rPr>
      </w:pPr>
      <w:r>
        <w:rPr>
          <w:rFonts w:cs="Calibri"/>
          <w:b/>
        </w:rPr>
        <w:t>Enrollment factors associated with EIG food specific non-adherence (multivariable analysis)</w:t>
      </w:r>
    </w:p>
    <w:p w14:paraId="1435CABF" w14:textId="38AE2DD1" w:rsidR="00FC7414" w:rsidRDefault="00AB26C9" w:rsidP="002C4B96">
      <w:pPr>
        <w:pStyle w:val="ListParagraph"/>
        <w:widowControl w:val="0"/>
        <w:autoSpaceDE w:val="0"/>
        <w:autoSpaceDN w:val="0"/>
        <w:adjustRightInd w:val="0"/>
        <w:spacing w:line="480" w:lineRule="auto"/>
        <w:ind w:left="0"/>
        <w:contextualSpacing/>
        <w:rPr>
          <w:rFonts w:cs="Calibri"/>
        </w:rPr>
      </w:pPr>
      <w:r>
        <w:rPr>
          <w:rFonts w:cs="Calibri"/>
        </w:rPr>
        <w:t>Models were created for each individual food</w:t>
      </w:r>
      <w:r w:rsidR="00E40871">
        <w:rPr>
          <w:rFonts w:cs="Calibri"/>
        </w:rPr>
        <w:t xml:space="preserve"> (Table</w:t>
      </w:r>
      <w:r w:rsidR="00082A66">
        <w:rPr>
          <w:rFonts w:cs="Calibri"/>
        </w:rPr>
        <w:t xml:space="preserve"> </w:t>
      </w:r>
      <w:r w:rsidR="00B9100D">
        <w:rPr>
          <w:rFonts w:cs="Calibri"/>
        </w:rPr>
        <w:t>II</w:t>
      </w:r>
      <w:r w:rsidR="00912834">
        <w:rPr>
          <w:rFonts w:cs="Calibri"/>
        </w:rPr>
        <w:t>, other columns</w:t>
      </w:r>
      <w:r w:rsidR="00E40871">
        <w:rPr>
          <w:rFonts w:cs="Calibri"/>
        </w:rPr>
        <w:t>).</w:t>
      </w:r>
      <w:r w:rsidR="00FC7414">
        <w:rPr>
          <w:rFonts w:cs="Calibri"/>
        </w:rPr>
        <w:t xml:space="preserve"> Results were broadly similar </w:t>
      </w:r>
      <w:r w:rsidR="0080104B">
        <w:rPr>
          <w:rFonts w:cs="Calibri"/>
        </w:rPr>
        <w:t xml:space="preserve">to </w:t>
      </w:r>
      <w:r w:rsidR="00FC7414">
        <w:rPr>
          <w:rFonts w:cs="Calibri"/>
        </w:rPr>
        <w:t>overall non-adherence. Ethnicity and maternal age were most strongly associated with non-</w:t>
      </w:r>
      <w:r w:rsidR="00FC7414">
        <w:rPr>
          <w:rFonts w:cs="Calibri"/>
        </w:rPr>
        <w:lastRenderedPageBreak/>
        <w:t xml:space="preserve">adherence. </w:t>
      </w:r>
      <w:r w:rsidR="000510CE">
        <w:rPr>
          <w:rFonts w:cs="Calibri"/>
        </w:rPr>
        <w:t>Enrollment eczema SCORAD</w:t>
      </w:r>
      <w:r w:rsidR="00FC7414">
        <w:rPr>
          <w:rFonts w:cs="Calibri"/>
        </w:rPr>
        <w:t xml:space="preserve"> was </w:t>
      </w:r>
      <w:r w:rsidR="000510CE">
        <w:rPr>
          <w:rFonts w:cs="Calibri"/>
        </w:rPr>
        <w:t xml:space="preserve">significantly </w:t>
      </w:r>
      <w:r w:rsidR="00FC7414">
        <w:rPr>
          <w:rFonts w:cs="Calibri"/>
        </w:rPr>
        <w:t xml:space="preserve">related to </w:t>
      </w:r>
      <w:r w:rsidR="000510CE">
        <w:rPr>
          <w:rFonts w:cs="Calibri"/>
        </w:rPr>
        <w:t xml:space="preserve">sesame and </w:t>
      </w:r>
      <w:r w:rsidR="00FC7414">
        <w:rPr>
          <w:rFonts w:cs="Calibri"/>
        </w:rPr>
        <w:t>fish non-adherence</w:t>
      </w:r>
      <w:r w:rsidR="000510CE">
        <w:rPr>
          <w:rFonts w:cs="Calibri"/>
        </w:rPr>
        <w:t xml:space="preserve"> but not to other foods</w:t>
      </w:r>
      <w:r w:rsidR="00FC7414">
        <w:rPr>
          <w:rFonts w:cs="Calibri"/>
        </w:rPr>
        <w:t xml:space="preserve">. </w:t>
      </w:r>
      <w:r w:rsidR="00E95F35">
        <w:rPr>
          <w:rFonts w:cs="Calibri"/>
        </w:rPr>
        <w:t>In contrast to the univariate associations, once</w:t>
      </w:r>
      <w:r w:rsidR="00A80944">
        <w:rPr>
          <w:rFonts w:asciiTheme="minorHAnsi" w:hAnsiTheme="minorHAnsi" w:cstheme="minorHAnsi"/>
        </w:rPr>
        <w:t xml:space="preserve"> potential confounding factors were adjusted for,</w:t>
      </w:r>
      <w:r w:rsidR="00077E7B">
        <w:rPr>
          <w:rFonts w:asciiTheme="minorHAnsi" w:hAnsiTheme="minorHAnsi" w:cstheme="minorHAnsi"/>
        </w:rPr>
        <w:t xml:space="preserve"> </w:t>
      </w:r>
      <w:r w:rsidR="003447A4">
        <w:rPr>
          <w:rFonts w:asciiTheme="minorHAnsi" w:hAnsiTheme="minorHAnsi" w:cstheme="minorHAnsi"/>
        </w:rPr>
        <w:t xml:space="preserve">the relationship between </w:t>
      </w:r>
      <w:r w:rsidR="00D07C8B">
        <w:rPr>
          <w:rFonts w:asciiTheme="minorHAnsi" w:hAnsiTheme="minorHAnsi" w:cstheme="minorHAnsi"/>
        </w:rPr>
        <w:t>enrollment</w:t>
      </w:r>
      <w:r w:rsidR="00A80944">
        <w:rPr>
          <w:rFonts w:asciiTheme="minorHAnsi" w:hAnsiTheme="minorHAnsi" w:cstheme="minorHAnsi"/>
        </w:rPr>
        <w:t xml:space="preserve"> </w:t>
      </w:r>
      <w:r w:rsidR="009222F0">
        <w:rPr>
          <w:rFonts w:asciiTheme="minorHAnsi" w:hAnsiTheme="minorHAnsi" w:cstheme="minorHAnsi"/>
        </w:rPr>
        <w:t>sensitiz</w:t>
      </w:r>
      <w:r w:rsidR="00A80944">
        <w:rPr>
          <w:rFonts w:asciiTheme="minorHAnsi" w:hAnsiTheme="minorHAnsi" w:cstheme="minorHAnsi"/>
        </w:rPr>
        <w:t xml:space="preserve">ation to any individual food and subsequent </w:t>
      </w:r>
      <w:r w:rsidR="00A80944" w:rsidRPr="007F7264">
        <w:rPr>
          <w:rFonts w:asciiTheme="minorHAnsi" w:hAnsiTheme="minorHAnsi" w:cstheme="minorHAnsi"/>
        </w:rPr>
        <w:t>non-adherence to these foods</w:t>
      </w:r>
      <w:r w:rsidR="003447A4">
        <w:rPr>
          <w:rFonts w:asciiTheme="minorHAnsi" w:hAnsiTheme="minorHAnsi" w:cstheme="minorHAnsi"/>
        </w:rPr>
        <w:t xml:space="preserve"> was attenuated</w:t>
      </w:r>
      <w:r w:rsidR="00A80944" w:rsidRPr="007F7264">
        <w:rPr>
          <w:rFonts w:asciiTheme="minorHAnsi" w:hAnsiTheme="minorHAnsi" w:cstheme="minorHAnsi"/>
        </w:rPr>
        <w:t xml:space="preserve"> (peanut OR 1.</w:t>
      </w:r>
      <w:r w:rsidR="00283219">
        <w:rPr>
          <w:rFonts w:asciiTheme="minorHAnsi" w:hAnsiTheme="minorHAnsi" w:cstheme="minorHAnsi"/>
        </w:rPr>
        <w:t>18</w:t>
      </w:r>
      <w:r w:rsidR="000510CE">
        <w:rPr>
          <w:rFonts w:asciiTheme="minorHAnsi" w:hAnsiTheme="minorHAnsi" w:cstheme="minorHAnsi"/>
        </w:rPr>
        <w:t>, 95% CI 0</w:t>
      </w:r>
      <w:r w:rsidR="00A80944" w:rsidRPr="007F7264">
        <w:rPr>
          <w:rFonts w:asciiTheme="minorHAnsi" w:hAnsiTheme="minorHAnsi" w:cstheme="minorHAnsi"/>
        </w:rPr>
        <w:t>.</w:t>
      </w:r>
      <w:r w:rsidR="00283219">
        <w:rPr>
          <w:rFonts w:asciiTheme="minorHAnsi" w:hAnsiTheme="minorHAnsi" w:cstheme="minorHAnsi"/>
        </w:rPr>
        <w:t>39</w:t>
      </w:r>
      <w:r w:rsidR="00A80944" w:rsidRPr="007F7264">
        <w:rPr>
          <w:rFonts w:asciiTheme="minorHAnsi" w:hAnsiTheme="minorHAnsi" w:cstheme="minorHAnsi"/>
        </w:rPr>
        <w:t>-</w:t>
      </w:r>
      <w:r w:rsidR="008C29D3">
        <w:rPr>
          <w:rFonts w:asciiTheme="minorHAnsi" w:hAnsiTheme="minorHAnsi" w:cstheme="minorHAnsi"/>
        </w:rPr>
        <w:t>3.</w:t>
      </w:r>
      <w:r w:rsidR="00283219">
        <w:rPr>
          <w:rFonts w:asciiTheme="minorHAnsi" w:hAnsiTheme="minorHAnsi" w:cstheme="minorHAnsi"/>
        </w:rPr>
        <w:t>59</w:t>
      </w:r>
      <w:r w:rsidR="000510CE">
        <w:rPr>
          <w:rFonts w:asciiTheme="minorHAnsi" w:hAnsiTheme="minorHAnsi" w:cstheme="minorHAnsi"/>
        </w:rPr>
        <w:t>,</w:t>
      </w:r>
      <w:r w:rsidR="00A80944" w:rsidRPr="007F7264">
        <w:rPr>
          <w:rFonts w:asciiTheme="minorHAnsi" w:hAnsiTheme="minorHAnsi" w:cstheme="minorHAnsi"/>
        </w:rPr>
        <w:t xml:space="preserve"> p=0.</w:t>
      </w:r>
      <w:r w:rsidR="00283219">
        <w:rPr>
          <w:rFonts w:asciiTheme="minorHAnsi" w:hAnsiTheme="minorHAnsi" w:cstheme="minorHAnsi"/>
        </w:rPr>
        <w:t>77</w:t>
      </w:r>
      <w:r w:rsidR="000510CE">
        <w:rPr>
          <w:rFonts w:asciiTheme="minorHAnsi" w:hAnsiTheme="minorHAnsi" w:cstheme="minorHAnsi"/>
        </w:rPr>
        <w:t xml:space="preserve"> and egg OR 2.3</w:t>
      </w:r>
      <w:r w:rsidR="00283219">
        <w:rPr>
          <w:rFonts w:asciiTheme="minorHAnsi" w:hAnsiTheme="minorHAnsi" w:cstheme="minorHAnsi"/>
        </w:rPr>
        <w:t>2</w:t>
      </w:r>
      <w:r w:rsidR="000510CE">
        <w:rPr>
          <w:rFonts w:asciiTheme="minorHAnsi" w:hAnsiTheme="minorHAnsi" w:cstheme="minorHAnsi"/>
        </w:rPr>
        <w:t xml:space="preserve">, 95% CI </w:t>
      </w:r>
      <w:r w:rsidR="00A80944" w:rsidRPr="007F7264">
        <w:rPr>
          <w:rFonts w:asciiTheme="minorHAnsi" w:hAnsiTheme="minorHAnsi" w:cstheme="minorHAnsi"/>
        </w:rPr>
        <w:t>0.8</w:t>
      </w:r>
      <w:r w:rsidR="00283219">
        <w:rPr>
          <w:rFonts w:asciiTheme="minorHAnsi" w:hAnsiTheme="minorHAnsi" w:cstheme="minorHAnsi"/>
        </w:rPr>
        <w:t>5-6.31</w:t>
      </w:r>
      <w:r w:rsidR="000510CE">
        <w:rPr>
          <w:rFonts w:asciiTheme="minorHAnsi" w:hAnsiTheme="minorHAnsi" w:cstheme="minorHAnsi"/>
        </w:rPr>
        <w:t>,</w:t>
      </w:r>
      <w:r w:rsidR="00A80944" w:rsidRPr="007F7264">
        <w:rPr>
          <w:rFonts w:asciiTheme="minorHAnsi" w:hAnsiTheme="minorHAnsi" w:cstheme="minorHAnsi"/>
        </w:rPr>
        <w:t xml:space="preserve"> p=0.</w:t>
      </w:r>
      <w:r w:rsidR="00283219">
        <w:rPr>
          <w:rFonts w:asciiTheme="minorHAnsi" w:hAnsiTheme="minorHAnsi" w:cstheme="minorHAnsi"/>
        </w:rPr>
        <w:t>10</w:t>
      </w:r>
      <w:r w:rsidR="00A80944" w:rsidRPr="007F7264">
        <w:rPr>
          <w:rFonts w:asciiTheme="minorHAnsi" w:hAnsiTheme="minorHAnsi" w:cstheme="minorHAnsi"/>
        </w:rPr>
        <w:t>)</w:t>
      </w:r>
      <w:r w:rsidR="00E95F35">
        <w:rPr>
          <w:rFonts w:asciiTheme="minorHAnsi" w:hAnsiTheme="minorHAnsi" w:cstheme="minorHAnsi"/>
        </w:rPr>
        <w:t xml:space="preserve"> and not statistically significant</w:t>
      </w:r>
      <w:r w:rsidR="00B9100D">
        <w:rPr>
          <w:rFonts w:cs="Calibri"/>
        </w:rPr>
        <w:t xml:space="preserve">. </w:t>
      </w:r>
      <w:r w:rsidR="009976B7">
        <w:rPr>
          <w:rFonts w:cs="Calibri"/>
        </w:rPr>
        <w:t>Amongst the other variables, n</w:t>
      </w:r>
      <w:r w:rsidR="00FC7414">
        <w:rPr>
          <w:rFonts w:cs="Calibri"/>
        </w:rPr>
        <w:t xml:space="preserve">ight waking </w:t>
      </w:r>
      <w:r w:rsidR="009976B7">
        <w:rPr>
          <w:rFonts w:cs="Calibri"/>
        </w:rPr>
        <w:t>frequency</w:t>
      </w:r>
      <w:r w:rsidR="00FC7414">
        <w:rPr>
          <w:rFonts w:cs="Calibri"/>
        </w:rPr>
        <w:t xml:space="preserve"> was </w:t>
      </w:r>
      <w:r w:rsidR="00D3321F">
        <w:rPr>
          <w:rFonts w:cs="Calibri"/>
        </w:rPr>
        <w:t xml:space="preserve">significantly </w:t>
      </w:r>
      <w:r w:rsidR="00FC7414">
        <w:rPr>
          <w:rFonts w:cs="Calibri"/>
        </w:rPr>
        <w:t>associated with egg non-adherence.</w:t>
      </w:r>
    </w:p>
    <w:p w14:paraId="72A9962B" w14:textId="77777777" w:rsidR="00BE3826" w:rsidRPr="009252B1" w:rsidRDefault="00BE3826" w:rsidP="00BE3826">
      <w:pPr>
        <w:spacing w:line="480" w:lineRule="auto"/>
        <w:rPr>
          <w:rFonts w:ascii="Calibri" w:hAnsi="Calibri"/>
          <w:b/>
          <w:sz w:val="22"/>
        </w:rPr>
      </w:pPr>
      <w:r w:rsidRPr="009252B1">
        <w:rPr>
          <w:rFonts w:ascii="Calibri" w:hAnsi="Calibri"/>
          <w:b/>
          <w:sz w:val="22"/>
        </w:rPr>
        <w:t xml:space="preserve">Post </w:t>
      </w:r>
      <w:r>
        <w:rPr>
          <w:rFonts w:ascii="Calibri" w:hAnsi="Calibri"/>
          <w:b/>
          <w:sz w:val="22"/>
        </w:rPr>
        <w:t>enrollment</w:t>
      </w:r>
      <w:r w:rsidRPr="009252B1">
        <w:rPr>
          <w:rFonts w:ascii="Calibri" w:hAnsi="Calibri"/>
          <w:b/>
          <w:sz w:val="22"/>
        </w:rPr>
        <w:t xml:space="preserve"> factors associated </w:t>
      </w:r>
      <w:r w:rsidRPr="005D2E1E">
        <w:rPr>
          <w:rFonts w:asciiTheme="minorHAnsi" w:hAnsiTheme="minorHAnsi"/>
          <w:b/>
          <w:sz w:val="22"/>
          <w:szCs w:val="22"/>
        </w:rPr>
        <w:t>with non-adherence</w:t>
      </w:r>
      <w:r w:rsidRPr="005D2E1E">
        <w:rPr>
          <w:rFonts w:asciiTheme="minorHAnsi" w:hAnsiTheme="minorHAnsi" w:cs="Calibri"/>
          <w:b/>
          <w:sz w:val="22"/>
          <w:szCs w:val="22"/>
        </w:rPr>
        <w:t xml:space="preserve"> (univariate analysis)</w:t>
      </w:r>
    </w:p>
    <w:p w14:paraId="2174597C" w14:textId="060ACBDF" w:rsidR="009B7B11" w:rsidRDefault="00BE3826" w:rsidP="00BE3826">
      <w:pPr>
        <w:pStyle w:val="ListParagraph"/>
        <w:widowControl w:val="0"/>
        <w:autoSpaceDE w:val="0"/>
        <w:autoSpaceDN w:val="0"/>
        <w:adjustRightInd w:val="0"/>
        <w:spacing w:line="480" w:lineRule="auto"/>
        <w:ind w:left="0"/>
        <w:contextualSpacing/>
        <w:rPr>
          <w:rFonts w:cs="Calibri"/>
        </w:rPr>
      </w:pPr>
      <w:r>
        <w:t>We explored three post enrollment factors in the key early introduction period up to six months of age, to assess their association with no</w:t>
      </w:r>
      <w:r w:rsidR="00404F68">
        <w:t>n-adherence in the EIG (Table E6</w:t>
      </w:r>
      <w:r>
        <w:t>). These were the new onset of parent-reported eczema after enrollment but before six months</w:t>
      </w:r>
      <w:r w:rsidR="00283219">
        <w:t>,</w:t>
      </w:r>
      <w:r>
        <w:t xml:space="preserve"> maternal reporting of feeding difficulties at the very beginning of solid food introduction (assessed at 4 months of age) (Table E7)</w:t>
      </w:r>
      <w:r w:rsidR="00283219">
        <w:t>,</w:t>
      </w:r>
      <w:r>
        <w:t xml:space="preserve"> and the reporting of IgE and non-IgE type symptoms with consumption of the early introduction foods before 6 months of age (Table E8 and Fig E</w:t>
      </w:r>
      <w:r w:rsidR="00F4284A">
        <w:t>7</w:t>
      </w:r>
      <w:r>
        <w:t xml:space="preserve">). Whilst new onset eczema showed no association with overall or food specific adherence, there </w:t>
      </w:r>
      <w:r w:rsidR="00912834">
        <w:t>was a</w:t>
      </w:r>
      <w:r>
        <w:t xml:space="preserve"> strong </w:t>
      </w:r>
      <w:r w:rsidR="00912834">
        <w:t>association between adherence and</w:t>
      </w:r>
      <w:r w:rsidR="00B357EC">
        <w:t xml:space="preserve"> early</w:t>
      </w:r>
      <w:r>
        <w:t xml:space="preserve"> reported feeding difficulties</w:t>
      </w:r>
      <w:r w:rsidR="00912834">
        <w:t>,</w:t>
      </w:r>
      <w:r>
        <w:t xml:space="preserve"> and </w:t>
      </w:r>
      <w:r w:rsidR="00912834">
        <w:t>between adherence and the</w:t>
      </w:r>
      <w:r>
        <w:t xml:space="preserve"> reporting of IgE type symptoms to the early introduction foods in the key early introduction period</w:t>
      </w:r>
      <w:r w:rsidR="00912834">
        <w:t xml:space="preserve"> (Fig 3)</w:t>
      </w:r>
      <w:r w:rsidR="009B7B11">
        <w:t>. The three</w:t>
      </w:r>
      <w:r>
        <w:t xml:space="preserve"> factors are </w:t>
      </w:r>
      <w:r>
        <w:rPr>
          <w:rFonts w:cs="Calibri"/>
        </w:rPr>
        <w:t xml:space="preserve">reviewed in detail in the </w:t>
      </w:r>
      <w:r w:rsidR="00B357EC">
        <w:rPr>
          <w:rFonts w:cs="Calibri"/>
        </w:rPr>
        <w:t xml:space="preserve">section </w:t>
      </w:r>
      <w:r w:rsidR="00B357EC">
        <w:rPr>
          <w:rFonts w:cs="Calibri"/>
          <w:i/>
        </w:rPr>
        <w:t xml:space="preserve">Post enrollment factors associated with </w:t>
      </w:r>
      <w:r w:rsidR="00B357EC" w:rsidRPr="00912834">
        <w:rPr>
          <w:rFonts w:cs="Calibri"/>
          <w:i/>
        </w:rPr>
        <w:t>non-adherence</w:t>
      </w:r>
      <w:r w:rsidR="00B357EC">
        <w:rPr>
          <w:rFonts w:cs="Calibri"/>
        </w:rPr>
        <w:t xml:space="preserve"> in the </w:t>
      </w:r>
      <w:r w:rsidRPr="00B357EC">
        <w:rPr>
          <w:rFonts w:cs="Calibri"/>
        </w:rPr>
        <w:t>Results</w:t>
      </w:r>
      <w:r>
        <w:rPr>
          <w:rFonts w:cs="Calibri"/>
        </w:rPr>
        <w:t xml:space="preserve"> section in this article's Online Repository</w:t>
      </w:r>
      <w:r w:rsidR="00B357EC">
        <w:rPr>
          <w:rFonts w:cs="Calibri"/>
        </w:rPr>
        <w:t xml:space="preserve">. </w:t>
      </w:r>
    </w:p>
    <w:p w14:paraId="6EF2F2D1" w14:textId="0799AAB7" w:rsidR="00BE3826" w:rsidRDefault="00B357EC" w:rsidP="00BE3826">
      <w:pPr>
        <w:pStyle w:val="ListParagraph"/>
        <w:widowControl w:val="0"/>
        <w:autoSpaceDE w:val="0"/>
        <w:autoSpaceDN w:val="0"/>
        <w:adjustRightInd w:val="0"/>
        <w:spacing w:line="480" w:lineRule="auto"/>
        <w:ind w:left="0"/>
        <w:contextualSpacing/>
        <w:rPr>
          <w:rFonts w:cs="Calibri"/>
        </w:rPr>
      </w:pPr>
      <w:r>
        <w:rPr>
          <w:rFonts w:cs="Calibri"/>
        </w:rPr>
        <w:t>The association between the reporting of IgE and non-</w:t>
      </w:r>
      <w:r w:rsidR="00BE3826">
        <w:rPr>
          <w:rFonts w:cs="Calibri"/>
        </w:rPr>
        <w:t xml:space="preserve">IgE type symptoms </w:t>
      </w:r>
      <w:r>
        <w:rPr>
          <w:rFonts w:cs="Calibri"/>
        </w:rPr>
        <w:t>and</w:t>
      </w:r>
      <w:r w:rsidR="00BE3826">
        <w:rPr>
          <w:rFonts w:cs="Calibri"/>
        </w:rPr>
        <w:t xml:space="preserve"> the development of food allergy</w:t>
      </w:r>
      <w:r>
        <w:rPr>
          <w:rFonts w:cs="Calibri"/>
        </w:rPr>
        <w:t xml:space="preserve"> is reviewed in the section</w:t>
      </w:r>
      <w:r>
        <w:t xml:space="preserve">: </w:t>
      </w:r>
      <w:r w:rsidRPr="00B357EC">
        <w:rPr>
          <w:rFonts w:cs="Calibri"/>
          <w:i/>
        </w:rPr>
        <w:t>Parent suspected IgE or non-IgE type symptoms with food introduction in the EIG and the effect on food allergy</w:t>
      </w:r>
      <w:r>
        <w:rPr>
          <w:rFonts w:cs="Calibri"/>
        </w:rPr>
        <w:t xml:space="preserve"> in the </w:t>
      </w:r>
      <w:r w:rsidRPr="00B357EC">
        <w:rPr>
          <w:rFonts w:cs="Calibri"/>
        </w:rPr>
        <w:t>Results</w:t>
      </w:r>
      <w:r>
        <w:rPr>
          <w:rFonts w:cs="Calibri"/>
        </w:rPr>
        <w:t xml:space="preserve"> section in this article's Online Repository and </w:t>
      </w:r>
      <w:r w:rsidR="00F51242">
        <w:rPr>
          <w:rFonts w:cs="Calibri"/>
        </w:rPr>
        <w:t>Fig E</w:t>
      </w:r>
      <w:r w:rsidR="00F4284A">
        <w:rPr>
          <w:rFonts w:cs="Calibri"/>
        </w:rPr>
        <w:t>8</w:t>
      </w:r>
      <w:r w:rsidR="00BE3826">
        <w:rPr>
          <w:rFonts w:cs="Calibri"/>
        </w:rPr>
        <w:t>.</w:t>
      </w:r>
    </w:p>
    <w:p w14:paraId="42827CF9" w14:textId="77777777" w:rsidR="009204DF" w:rsidRDefault="009204DF" w:rsidP="002C4B96">
      <w:pPr>
        <w:spacing w:line="480" w:lineRule="auto"/>
        <w:rPr>
          <w:rFonts w:ascii="Calibri" w:hAnsi="Calibri" w:cs="Calibri"/>
          <w:b/>
          <w:sz w:val="22"/>
          <w:szCs w:val="22"/>
        </w:rPr>
      </w:pPr>
      <w:r w:rsidRPr="009204DF">
        <w:rPr>
          <w:rFonts w:ascii="Calibri" w:hAnsi="Calibri" w:cs="Calibri"/>
          <w:b/>
          <w:sz w:val="22"/>
          <w:szCs w:val="22"/>
        </w:rPr>
        <w:t>Targeted intervention to reduce the overall food allergy burden</w:t>
      </w:r>
    </w:p>
    <w:p w14:paraId="2CE688EB" w14:textId="52E9D07A" w:rsidR="00550616" w:rsidRDefault="00BD761A" w:rsidP="002C4B96">
      <w:pPr>
        <w:spacing w:line="480" w:lineRule="auto"/>
        <w:rPr>
          <w:rFonts w:ascii="Calibri" w:hAnsi="Calibri" w:cs="Calibri"/>
          <w:sz w:val="22"/>
          <w:szCs w:val="22"/>
        </w:rPr>
      </w:pPr>
      <w:r>
        <w:rPr>
          <w:rFonts w:ascii="Calibri" w:hAnsi="Calibri" w:cs="Calibri"/>
          <w:sz w:val="22"/>
          <w:szCs w:val="22"/>
        </w:rPr>
        <w:t xml:space="preserve">The EAT study SIG participants can be used to explore the natural history of the development of food allergy, independent of the early food introduction intervention. Children </w:t>
      </w:r>
      <w:r w:rsidR="00566E95" w:rsidRPr="00BD761A">
        <w:rPr>
          <w:rFonts w:ascii="Calibri" w:hAnsi="Calibri" w:cs="Calibri"/>
          <w:sz w:val="22"/>
          <w:szCs w:val="22"/>
        </w:rPr>
        <w:t xml:space="preserve">with </w:t>
      </w:r>
      <w:r w:rsidR="00CE0D56" w:rsidRPr="00BD761A">
        <w:rPr>
          <w:rFonts w:ascii="Calibri" w:hAnsi="Calibri" w:cs="Calibri"/>
          <w:sz w:val="22"/>
          <w:szCs w:val="22"/>
        </w:rPr>
        <w:t>visible</w:t>
      </w:r>
      <w:r w:rsidR="00566E95" w:rsidRPr="00BD761A">
        <w:rPr>
          <w:rFonts w:ascii="Calibri" w:hAnsi="Calibri" w:cs="Calibri"/>
          <w:sz w:val="22"/>
          <w:szCs w:val="22"/>
        </w:rPr>
        <w:t xml:space="preserve"> eczema</w:t>
      </w:r>
      <w:r w:rsidRPr="00BD761A">
        <w:rPr>
          <w:rFonts w:ascii="Calibri" w:hAnsi="Calibri" w:cs="Calibri"/>
          <w:sz w:val="22"/>
          <w:szCs w:val="22"/>
        </w:rPr>
        <w:t xml:space="preserve"> or food </w:t>
      </w:r>
      <w:r w:rsidR="009222F0">
        <w:rPr>
          <w:rFonts w:ascii="Calibri" w:hAnsi="Calibri" w:cs="Calibri"/>
          <w:sz w:val="22"/>
          <w:szCs w:val="22"/>
        </w:rPr>
        <w:t>sensitiz</w:t>
      </w:r>
      <w:r w:rsidRPr="00BD761A">
        <w:rPr>
          <w:rFonts w:ascii="Calibri" w:hAnsi="Calibri" w:cs="Calibri"/>
          <w:sz w:val="22"/>
          <w:szCs w:val="22"/>
        </w:rPr>
        <w:t>ation</w:t>
      </w:r>
      <w:r w:rsidR="001C4194">
        <w:rPr>
          <w:rFonts w:ascii="Calibri" w:hAnsi="Calibri" w:cs="Calibri"/>
          <w:sz w:val="22"/>
          <w:szCs w:val="22"/>
        </w:rPr>
        <w:t xml:space="preserve"> at </w:t>
      </w:r>
      <w:r w:rsidR="00D07C8B">
        <w:rPr>
          <w:rFonts w:ascii="Calibri" w:hAnsi="Calibri" w:cs="Calibri"/>
          <w:sz w:val="22"/>
          <w:szCs w:val="22"/>
        </w:rPr>
        <w:t>enrollment</w:t>
      </w:r>
      <w:r w:rsidRPr="00BD761A">
        <w:rPr>
          <w:rFonts w:ascii="Calibri" w:hAnsi="Calibri" w:cs="Calibri"/>
          <w:sz w:val="22"/>
          <w:szCs w:val="22"/>
        </w:rPr>
        <w:t xml:space="preserve"> or</w:t>
      </w:r>
      <w:r w:rsidR="001C4194">
        <w:rPr>
          <w:rFonts w:ascii="Calibri" w:hAnsi="Calibri" w:cs="Calibri"/>
          <w:sz w:val="22"/>
          <w:szCs w:val="22"/>
        </w:rPr>
        <w:t xml:space="preserve"> those</w:t>
      </w:r>
      <w:r w:rsidRPr="00BD761A">
        <w:rPr>
          <w:rFonts w:ascii="Calibri" w:hAnsi="Calibri" w:cs="Calibri"/>
          <w:sz w:val="22"/>
          <w:szCs w:val="22"/>
        </w:rPr>
        <w:t xml:space="preserve"> of non-white ethnicity</w:t>
      </w:r>
      <w:r w:rsidR="00566E95" w:rsidRPr="00BD761A">
        <w:rPr>
          <w:rFonts w:ascii="Calibri" w:hAnsi="Calibri" w:cs="Calibri"/>
          <w:sz w:val="22"/>
          <w:szCs w:val="22"/>
        </w:rPr>
        <w:t xml:space="preserve">, although representing </w:t>
      </w:r>
      <w:r w:rsidR="0071605B">
        <w:rPr>
          <w:rFonts w:ascii="Calibri" w:hAnsi="Calibri" w:cs="Calibri"/>
          <w:sz w:val="22"/>
          <w:szCs w:val="22"/>
        </w:rPr>
        <w:t xml:space="preserve">a </w:t>
      </w:r>
      <w:r w:rsidR="00566E95" w:rsidRPr="00BD761A">
        <w:rPr>
          <w:rFonts w:ascii="Calibri" w:hAnsi="Calibri" w:cs="Calibri"/>
          <w:sz w:val="22"/>
          <w:szCs w:val="22"/>
        </w:rPr>
        <w:t>small su</w:t>
      </w:r>
      <w:r w:rsidR="001C4194">
        <w:rPr>
          <w:rFonts w:ascii="Calibri" w:hAnsi="Calibri" w:cs="Calibri"/>
          <w:sz w:val="22"/>
          <w:szCs w:val="22"/>
        </w:rPr>
        <w:t>b-group</w:t>
      </w:r>
      <w:r w:rsidR="00566E95" w:rsidRPr="00BD761A">
        <w:rPr>
          <w:rFonts w:ascii="Calibri" w:hAnsi="Calibri" w:cs="Calibri"/>
          <w:sz w:val="22"/>
          <w:szCs w:val="22"/>
        </w:rPr>
        <w:t xml:space="preserve"> </w:t>
      </w:r>
      <w:r w:rsidR="0071605B">
        <w:rPr>
          <w:rFonts w:ascii="Calibri" w:hAnsi="Calibri" w:cs="Calibri"/>
          <w:sz w:val="22"/>
          <w:szCs w:val="22"/>
        </w:rPr>
        <w:lastRenderedPageBreak/>
        <w:t>of the overall population</w:t>
      </w:r>
      <w:r w:rsidR="00566E95" w:rsidRPr="00BD761A">
        <w:rPr>
          <w:rFonts w:ascii="Calibri" w:hAnsi="Calibri" w:cs="Calibri"/>
          <w:sz w:val="22"/>
          <w:szCs w:val="22"/>
        </w:rPr>
        <w:t>, contribute</w:t>
      </w:r>
      <w:r w:rsidR="00F819EA" w:rsidRPr="00BD761A">
        <w:rPr>
          <w:rFonts w:ascii="Calibri" w:hAnsi="Calibri" w:cs="Calibri"/>
          <w:sz w:val="22"/>
          <w:szCs w:val="22"/>
        </w:rPr>
        <w:t>d</w:t>
      </w:r>
      <w:r w:rsidR="00566E95" w:rsidRPr="00BD761A">
        <w:rPr>
          <w:rFonts w:ascii="Calibri" w:hAnsi="Calibri" w:cs="Calibri"/>
          <w:sz w:val="22"/>
          <w:szCs w:val="22"/>
        </w:rPr>
        <w:t xml:space="preserve"> disproportionately to the burden of </w:t>
      </w:r>
      <w:r w:rsidR="007967BC" w:rsidRPr="00BD761A">
        <w:rPr>
          <w:rFonts w:ascii="Calibri" w:hAnsi="Calibri" w:cs="Calibri"/>
          <w:sz w:val="22"/>
          <w:szCs w:val="22"/>
        </w:rPr>
        <w:t xml:space="preserve">overall food </w:t>
      </w:r>
      <w:r w:rsidR="00566E95" w:rsidRPr="00BD761A">
        <w:rPr>
          <w:rFonts w:ascii="Calibri" w:hAnsi="Calibri" w:cs="Calibri"/>
          <w:sz w:val="22"/>
          <w:szCs w:val="22"/>
        </w:rPr>
        <w:t>allergy</w:t>
      </w:r>
      <w:r w:rsidR="00B6671A">
        <w:rPr>
          <w:rFonts w:ascii="Calibri" w:hAnsi="Calibri" w:cs="Calibri"/>
          <w:sz w:val="22"/>
          <w:szCs w:val="22"/>
        </w:rPr>
        <w:t xml:space="preserve"> (</w:t>
      </w:r>
      <w:r w:rsidR="00392881">
        <w:rPr>
          <w:rFonts w:ascii="Calibri" w:hAnsi="Calibri" w:cs="Calibri"/>
          <w:sz w:val="22"/>
          <w:szCs w:val="22"/>
        </w:rPr>
        <w:t>Fig</w:t>
      </w:r>
      <w:r w:rsidR="00D31632">
        <w:rPr>
          <w:rFonts w:ascii="Calibri" w:hAnsi="Calibri" w:cs="Calibri"/>
          <w:sz w:val="22"/>
          <w:szCs w:val="22"/>
        </w:rPr>
        <w:t xml:space="preserve"> </w:t>
      </w:r>
      <w:r w:rsidR="00FB6A18">
        <w:rPr>
          <w:rFonts w:ascii="Calibri" w:hAnsi="Calibri" w:cs="Calibri"/>
          <w:sz w:val="22"/>
          <w:szCs w:val="22"/>
        </w:rPr>
        <w:t>4</w:t>
      </w:r>
      <w:r w:rsidR="00473FD5">
        <w:rPr>
          <w:rFonts w:ascii="Calibri" w:hAnsi="Calibri" w:cs="Calibri"/>
          <w:sz w:val="22"/>
          <w:szCs w:val="22"/>
        </w:rPr>
        <w:t xml:space="preserve"> Part A</w:t>
      </w:r>
      <w:r w:rsidR="00A42DE2">
        <w:rPr>
          <w:rFonts w:ascii="Calibri" w:hAnsi="Calibri" w:cs="Calibri"/>
          <w:sz w:val="22"/>
          <w:szCs w:val="22"/>
        </w:rPr>
        <w:t xml:space="preserve"> and Fig E</w:t>
      </w:r>
      <w:r w:rsidR="00F4284A">
        <w:rPr>
          <w:rFonts w:ascii="Calibri" w:hAnsi="Calibri" w:cs="Calibri"/>
          <w:sz w:val="22"/>
          <w:szCs w:val="22"/>
        </w:rPr>
        <w:t>9</w:t>
      </w:r>
      <w:r w:rsidR="00B6671A">
        <w:rPr>
          <w:rFonts w:ascii="Calibri" w:hAnsi="Calibri" w:cs="Calibri"/>
          <w:sz w:val="22"/>
          <w:szCs w:val="22"/>
        </w:rPr>
        <w:t>)</w:t>
      </w:r>
      <w:r w:rsidR="00566E95" w:rsidRPr="00BD761A">
        <w:rPr>
          <w:rFonts w:ascii="Calibri" w:hAnsi="Calibri" w:cs="Calibri"/>
          <w:sz w:val="22"/>
          <w:szCs w:val="22"/>
        </w:rPr>
        <w:t xml:space="preserve">. </w:t>
      </w:r>
    </w:p>
    <w:p w14:paraId="4F258557" w14:textId="15206554" w:rsidR="00A021E1" w:rsidRDefault="00BD761A" w:rsidP="002C4B96">
      <w:pPr>
        <w:spacing w:line="480" w:lineRule="auto"/>
        <w:rPr>
          <w:rFonts w:ascii="Calibri" w:hAnsi="Calibri" w:cs="Calibri"/>
          <w:sz w:val="22"/>
          <w:szCs w:val="22"/>
          <w:lang w:eastAsia="en-GB"/>
        </w:rPr>
      </w:pPr>
      <w:r>
        <w:rPr>
          <w:rFonts w:ascii="Calibri" w:hAnsi="Calibri" w:cs="Calibri"/>
          <w:sz w:val="22"/>
          <w:szCs w:val="22"/>
        </w:rPr>
        <w:t>SIG participants</w:t>
      </w:r>
      <w:r w:rsidR="00566E95" w:rsidRPr="00BD761A">
        <w:rPr>
          <w:rFonts w:ascii="Calibri" w:hAnsi="Calibri" w:cs="Calibri"/>
          <w:sz w:val="22"/>
          <w:szCs w:val="22"/>
        </w:rPr>
        <w:t xml:space="preserve"> with </w:t>
      </w:r>
      <w:r w:rsidR="004C2670" w:rsidRPr="00BD761A">
        <w:rPr>
          <w:rFonts w:ascii="Calibri" w:hAnsi="Calibri" w:cs="Calibri"/>
          <w:sz w:val="22"/>
          <w:szCs w:val="22"/>
          <w:lang w:eastAsia="en-GB"/>
        </w:rPr>
        <w:t>e</w:t>
      </w:r>
      <w:r w:rsidR="00566E95" w:rsidRPr="00BD761A">
        <w:rPr>
          <w:rFonts w:ascii="Calibri" w:hAnsi="Calibri" w:cs="Calibri"/>
          <w:sz w:val="22"/>
          <w:szCs w:val="22"/>
          <w:lang w:eastAsia="en-GB"/>
        </w:rPr>
        <w:t xml:space="preserve">czema </w:t>
      </w:r>
      <w:r w:rsidR="0071605B">
        <w:rPr>
          <w:rFonts w:ascii="Calibri" w:hAnsi="Calibri" w:cs="Calibri"/>
          <w:sz w:val="22"/>
          <w:szCs w:val="22"/>
          <w:lang w:eastAsia="en-GB"/>
        </w:rPr>
        <w:t xml:space="preserve">at </w:t>
      </w:r>
      <w:r w:rsidR="00D07C8B">
        <w:rPr>
          <w:rFonts w:ascii="Calibri" w:hAnsi="Calibri" w:cs="Calibri"/>
          <w:sz w:val="22"/>
          <w:szCs w:val="22"/>
          <w:lang w:eastAsia="en-GB"/>
        </w:rPr>
        <w:t>enrollment</w:t>
      </w:r>
      <w:r w:rsidR="0071605B">
        <w:rPr>
          <w:rFonts w:ascii="Calibri" w:hAnsi="Calibri" w:cs="Calibri"/>
          <w:sz w:val="22"/>
          <w:szCs w:val="22"/>
          <w:lang w:eastAsia="en-GB"/>
        </w:rPr>
        <w:t xml:space="preserve"> </w:t>
      </w:r>
      <w:r w:rsidR="00F819EA" w:rsidRPr="00BD761A">
        <w:rPr>
          <w:rFonts w:ascii="Calibri" w:hAnsi="Calibri" w:cs="Calibri"/>
          <w:sz w:val="22"/>
          <w:szCs w:val="22"/>
          <w:lang w:eastAsia="en-GB"/>
        </w:rPr>
        <w:t>made</w:t>
      </w:r>
      <w:r w:rsidR="00566E95" w:rsidRPr="00BD761A">
        <w:rPr>
          <w:rFonts w:ascii="Calibri" w:hAnsi="Calibri" w:cs="Calibri"/>
          <w:sz w:val="22"/>
          <w:szCs w:val="22"/>
          <w:lang w:eastAsia="en-GB"/>
        </w:rPr>
        <w:t xml:space="preserve"> up </w:t>
      </w:r>
      <w:r w:rsidR="00CE0D56" w:rsidRPr="00BD761A">
        <w:rPr>
          <w:rFonts w:ascii="Calibri" w:hAnsi="Calibri" w:cs="Calibri"/>
          <w:sz w:val="22"/>
          <w:szCs w:val="22"/>
          <w:lang w:eastAsia="en-GB"/>
        </w:rPr>
        <w:t>24.3</w:t>
      </w:r>
      <w:r w:rsidR="00566E95" w:rsidRPr="00BD761A">
        <w:rPr>
          <w:rFonts w:ascii="Calibri" w:hAnsi="Calibri" w:cs="Calibri"/>
          <w:sz w:val="22"/>
          <w:szCs w:val="22"/>
          <w:lang w:eastAsia="en-GB"/>
        </w:rPr>
        <w:t xml:space="preserve">% of the </w:t>
      </w:r>
      <w:r w:rsidR="007967BC" w:rsidRPr="00BD761A">
        <w:rPr>
          <w:rFonts w:ascii="Calibri" w:hAnsi="Calibri" w:cs="Calibri"/>
          <w:sz w:val="22"/>
          <w:szCs w:val="22"/>
          <w:lang w:eastAsia="en-GB"/>
        </w:rPr>
        <w:t xml:space="preserve">study </w:t>
      </w:r>
      <w:r w:rsidR="00566E95" w:rsidRPr="00BD761A">
        <w:rPr>
          <w:rFonts w:ascii="Calibri" w:hAnsi="Calibri" w:cs="Calibri"/>
          <w:sz w:val="22"/>
          <w:szCs w:val="22"/>
          <w:lang w:eastAsia="en-GB"/>
        </w:rPr>
        <w:t xml:space="preserve">population but </w:t>
      </w:r>
      <w:r w:rsidR="00F819EA" w:rsidRPr="00BD761A">
        <w:rPr>
          <w:rFonts w:ascii="Calibri" w:hAnsi="Calibri" w:cs="Calibri"/>
          <w:sz w:val="22"/>
          <w:szCs w:val="22"/>
          <w:lang w:eastAsia="en-GB"/>
        </w:rPr>
        <w:t>were</w:t>
      </w:r>
      <w:r w:rsidR="00566E95" w:rsidRPr="00BD761A">
        <w:rPr>
          <w:rFonts w:ascii="Calibri" w:hAnsi="Calibri" w:cs="Calibri"/>
          <w:sz w:val="22"/>
          <w:szCs w:val="22"/>
          <w:lang w:eastAsia="en-GB"/>
        </w:rPr>
        <w:t xml:space="preserve"> responsible for </w:t>
      </w:r>
      <w:r w:rsidR="00CE0D56" w:rsidRPr="00BD761A">
        <w:rPr>
          <w:rFonts w:ascii="Calibri" w:hAnsi="Calibri" w:cs="Calibri"/>
          <w:sz w:val="22"/>
          <w:szCs w:val="22"/>
          <w:lang w:eastAsia="en-GB"/>
        </w:rPr>
        <w:t>61.9</w:t>
      </w:r>
      <w:r w:rsidR="00566E95" w:rsidRPr="00BD761A">
        <w:rPr>
          <w:rFonts w:ascii="Calibri" w:hAnsi="Calibri" w:cs="Calibri"/>
          <w:sz w:val="22"/>
          <w:szCs w:val="22"/>
          <w:lang w:eastAsia="en-GB"/>
        </w:rPr>
        <w:t xml:space="preserve">% of the food allergy cases.  </w:t>
      </w:r>
      <w:r w:rsidR="00725400">
        <w:rPr>
          <w:rFonts w:ascii="Calibri" w:hAnsi="Calibri" w:cs="Calibri"/>
          <w:sz w:val="22"/>
          <w:szCs w:val="22"/>
          <w:lang w:eastAsia="en-GB"/>
        </w:rPr>
        <w:t>Likewise</w:t>
      </w:r>
      <w:r w:rsidR="00566E95" w:rsidRPr="00BD761A">
        <w:rPr>
          <w:rFonts w:ascii="Calibri" w:hAnsi="Calibri" w:cs="Calibri"/>
          <w:sz w:val="22"/>
          <w:szCs w:val="22"/>
          <w:lang w:eastAsia="en-GB"/>
        </w:rPr>
        <w:t>, 15</w:t>
      </w:r>
      <w:r w:rsidR="00CE0D56" w:rsidRPr="00BD761A">
        <w:rPr>
          <w:rFonts w:ascii="Calibri" w:hAnsi="Calibri" w:cs="Calibri"/>
          <w:sz w:val="22"/>
          <w:szCs w:val="22"/>
          <w:lang w:eastAsia="en-GB"/>
        </w:rPr>
        <w:t>.6</w:t>
      </w:r>
      <w:r w:rsidR="00566E95" w:rsidRPr="00BD761A">
        <w:rPr>
          <w:rFonts w:ascii="Calibri" w:hAnsi="Calibri" w:cs="Calibri"/>
          <w:sz w:val="22"/>
          <w:szCs w:val="22"/>
          <w:lang w:eastAsia="en-GB"/>
        </w:rPr>
        <w:t>% of the</w:t>
      </w:r>
      <w:r w:rsidR="007967BC" w:rsidRPr="00BD761A">
        <w:rPr>
          <w:rFonts w:ascii="Calibri" w:hAnsi="Calibri" w:cs="Calibri"/>
          <w:sz w:val="22"/>
          <w:szCs w:val="22"/>
          <w:lang w:eastAsia="en-GB"/>
        </w:rPr>
        <w:t xml:space="preserve"> </w:t>
      </w:r>
      <w:r>
        <w:rPr>
          <w:rFonts w:ascii="Calibri" w:hAnsi="Calibri" w:cs="Calibri"/>
          <w:sz w:val="22"/>
          <w:szCs w:val="22"/>
          <w:lang w:eastAsia="en-GB"/>
        </w:rPr>
        <w:t>SIG</w:t>
      </w:r>
      <w:r w:rsidR="00566E95" w:rsidRPr="00BD761A">
        <w:rPr>
          <w:rFonts w:ascii="Calibri" w:hAnsi="Calibri" w:cs="Calibri"/>
          <w:sz w:val="22"/>
          <w:szCs w:val="22"/>
          <w:lang w:eastAsia="en-GB"/>
        </w:rPr>
        <w:t xml:space="preserve"> </w:t>
      </w:r>
      <w:r w:rsidR="00F819EA" w:rsidRPr="00BD761A">
        <w:rPr>
          <w:rFonts w:ascii="Calibri" w:hAnsi="Calibri" w:cs="Calibri"/>
          <w:sz w:val="22"/>
          <w:szCs w:val="22"/>
          <w:lang w:eastAsia="en-GB"/>
        </w:rPr>
        <w:t>were</w:t>
      </w:r>
      <w:r w:rsidR="00566E95" w:rsidRPr="00BD761A">
        <w:rPr>
          <w:rFonts w:ascii="Calibri" w:hAnsi="Calibri" w:cs="Calibri"/>
          <w:sz w:val="22"/>
          <w:szCs w:val="22"/>
          <w:lang w:eastAsia="en-GB"/>
        </w:rPr>
        <w:t xml:space="preserve"> sensitized </w:t>
      </w:r>
      <w:r w:rsidR="007967BC" w:rsidRPr="00BD761A">
        <w:rPr>
          <w:rFonts w:ascii="Calibri" w:hAnsi="Calibri" w:cs="Calibri"/>
          <w:sz w:val="22"/>
          <w:szCs w:val="22"/>
          <w:lang w:eastAsia="en-GB"/>
        </w:rPr>
        <w:t xml:space="preserve">on IgE testing </w:t>
      </w:r>
      <w:r w:rsidR="00566E95" w:rsidRPr="00BD761A">
        <w:rPr>
          <w:rFonts w:ascii="Calibri" w:hAnsi="Calibri" w:cs="Calibri"/>
          <w:sz w:val="22"/>
          <w:szCs w:val="22"/>
          <w:lang w:eastAsia="en-GB"/>
        </w:rPr>
        <w:t>at baseline</w:t>
      </w:r>
      <w:r w:rsidR="0071605B">
        <w:rPr>
          <w:rFonts w:ascii="Calibri" w:hAnsi="Calibri" w:cs="Calibri"/>
          <w:sz w:val="22"/>
          <w:szCs w:val="22"/>
          <w:lang w:eastAsia="en-GB"/>
        </w:rPr>
        <w:t xml:space="preserve"> to one or more foods</w:t>
      </w:r>
      <w:r w:rsidR="00C703FD">
        <w:rPr>
          <w:rFonts w:ascii="Calibri" w:hAnsi="Calibri" w:cs="Calibri"/>
          <w:sz w:val="22"/>
          <w:szCs w:val="22"/>
          <w:lang w:eastAsia="en-GB"/>
        </w:rPr>
        <w:t>,</w:t>
      </w:r>
      <w:r w:rsidR="00566E95" w:rsidRPr="00BD761A">
        <w:rPr>
          <w:rFonts w:ascii="Calibri" w:hAnsi="Calibri" w:cs="Calibri"/>
          <w:sz w:val="22"/>
          <w:szCs w:val="22"/>
          <w:lang w:eastAsia="en-GB"/>
        </w:rPr>
        <w:t xml:space="preserve"> but </w:t>
      </w:r>
      <w:r w:rsidR="00F819EA" w:rsidRPr="00BD761A">
        <w:rPr>
          <w:rFonts w:ascii="Calibri" w:hAnsi="Calibri" w:cs="Calibri"/>
          <w:sz w:val="22"/>
          <w:szCs w:val="22"/>
          <w:lang w:eastAsia="en-GB"/>
        </w:rPr>
        <w:t>were</w:t>
      </w:r>
      <w:r w:rsidR="00CE0D56" w:rsidRPr="00BD761A">
        <w:rPr>
          <w:rFonts w:ascii="Calibri" w:hAnsi="Calibri" w:cs="Calibri"/>
          <w:sz w:val="22"/>
          <w:szCs w:val="22"/>
          <w:lang w:eastAsia="en-GB"/>
        </w:rPr>
        <w:t xml:space="preserve"> responsible for 69.2</w:t>
      </w:r>
      <w:r w:rsidR="00566E95" w:rsidRPr="00BD761A">
        <w:rPr>
          <w:rFonts w:ascii="Calibri" w:hAnsi="Calibri" w:cs="Calibri"/>
          <w:sz w:val="22"/>
          <w:szCs w:val="22"/>
          <w:lang w:eastAsia="en-GB"/>
        </w:rPr>
        <w:t xml:space="preserve">% of </w:t>
      </w:r>
      <w:r w:rsidR="00D3321F">
        <w:rPr>
          <w:rFonts w:ascii="Calibri" w:hAnsi="Calibri" w:cs="Calibri"/>
          <w:sz w:val="22"/>
          <w:szCs w:val="22"/>
          <w:lang w:eastAsia="en-GB"/>
        </w:rPr>
        <w:t xml:space="preserve">food </w:t>
      </w:r>
      <w:r w:rsidR="00566E95" w:rsidRPr="00BD761A">
        <w:rPr>
          <w:rFonts w:ascii="Calibri" w:hAnsi="Calibri" w:cs="Calibri"/>
          <w:sz w:val="22"/>
          <w:szCs w:val="22"/>
          <w:lang w:eastAsia="en-GB"/>
        </w:rPr>
        <w:t>allergy</w:t>
      </w:r>
      <w:r w:rsidR="00D3321F">
        <w:rPr>
          <w:rFonts w:ascii="Calibri" w:hAnsi="Calibri" w:cs="Calibri"/>
          <w:sz w:val="22"/>
          <w:szCs w:val="22"/>
          <w:lang w:eastAsia="en-GB"/>
        </w:rPr>
        <w:t xml:space="preserve"> cases in </w:t>
      </w:r>
      <w:r w:rsidR="00283219">
        <w:rPr>
          <w:rFonts w:ascii="Calibri" w:hAnsi="Calibri" w:cs="Calibri"/>
          <w:sz w:val="22"/>
          <w:szCs w:val="22"/>
          <w:lang w:eastAsia="en-GB"/>
        </w:rPr>
        <w:t>the SIG</w:t>
      </w:r>
      <w:r w:rsidR="00566E95" w:rsidRPr="00BD761A">
        <w:rPr>
          <w:rFonts w:ascii="Calibri" w:hAnsi="Calibri" w:cs="Calibri"/>
          <w:sz w:val="22"/>
          <w:szCs w:val="22"/>
          <w:lang w:eastAsia="en-GB"/>
        </w:rPr>
        <w:t xml:space="preserve">. </w:t>
      </w:r>
      <w:r w:rsidR="00CE0D56" w:rsidRPr="00BD761A">
        <w:rPr>
          <w:rFonts w:ascii="Calibri" w:hAnsi="Calibri" w:cs="Calibri"/>
          <w:sz w:val="22"/>
          <w:szCs w:val="22"/>
          <w:lang w:eastAsia="en-GB"/>
        </w:rPr>
        <w:t>1</w:t>
      </w:r>
      <w:r w:rsidR="00566E95" w:rsidRPr="00BD761A">
        <w:rPr>
          <w:rFonts w:ascii="Calibri" w:hAnsi="Calibri" w:cs="Calibri"/>
          <w:sz w:val="22"/>
          <w:szCs w:val="22"/>
          <w:lang w:eastAsia="en-GB"/>
        </w:rPr>
        <w:t>5</w:t>
      </w:r>
      <w:r w:rsidR="00CE0D56" w:rsidRPr="00BD761A">
        <w:rPr>
          <w:rFonts w:ascii="Calibri" w:hAnsi="Calibri" w:cs="Calibri"/>
          <w:sz w:val="22"/>
          <w:szCs w:val="22"/>
          <w:lang w:eastAsia="en-GB"/>
        </w:rPr>
        <w:t xml:space="preserve">.3% of the </w:t>
      </w:r>
      <w:r>
        <w:rPr>
          <w:rFonts w:ascii="Calibri" w:hAnsi="Calibri" w:cs="Calibri"/>
          <w:sz w:val="22"/>
          <w:szCs w:val="22"/>
          <w:lang w:eastAsia="en-GB"/>
        </w:rPr>
        <w:t>SIG</w:t>
      </w:r>
      <w:r w:rsidR="00412619">
        <w:rPr>
          <w:rFonts w:ascii="Calibri" w:hAnsi="Calibri" w:cs="Calibri"/>
          <w:sz w:val="22"/>
          <w:szCs w:val="22"/>
          <w:lang w:eastAsia="en-GB"/>
        </w:rPr>
        <w:t xml:space="preserve"> were of non-white ethnicity</w:t>
      </w:r>
      <w:r w:rsidR="00CE0D56" w:rsidRPr="00BD761A">
        <w:rPr>
          <w:rFonts w:ascii="Calibri" w:hAnsi="Calibri" w:cs="Calibri"/>
          <w:sz w:val="22"/>
          <w:szCs w:val="22"/>
          <w:lang w:eastAsia="en-GB"/>
        </w:rPr>
        <w:t xml:space="preserve"> </w:t>
      </w:r>
      <w:r w:rsidR="00412619">
        <w:rPr>
          <w:rFonts w:ascii="Calibri" w:hAnsi="Calibri" w:cs="Calibri"/>
          <w:sz w:val="22"/>
          <w:szCs w:val="22"/>
          <w:lang w:eastAsia="en-GB"/>
        </w:rPr>
        <w:t>but accounted for 28.6%</w:t>
      </w:r>
      <w:r w:rsidR="00953A68">
        <w:rPr>
          <w:rFonts w:ascii="Calibri" w:hAnsi="Calibri" w:cs="Calibri"/>
          <w:sz w:val="22"/>
          <w:szCs w:val="22"/>
          <w:lang w:eastAsia="en-GB"/>
        </w:rPr>
        <w:t xml:space="preserve"> </w:t>
      </w:r>
      <w:r w:rsidR="00F819EA" w:rsidRPr="00BD761A">
        <w:rPr>
          <w:rFonts w:ascii="Calibri" w:hAnsi="Calibri" w:cs="Calibri"/>
          <w:sz w:val="22"/>
          <w:szCs w:val="22"/>
          <w:lang w:eastAsia="en-GB"/>
        </w:rPr>
        <w:t xml:space="preserve">food </w:t>
      </w:r>
      <w:r w:rsidR="00B6671A">
        <w:rPr>
          <w:rFonts w:ascii="Calibri" w:hAnsi="Calibri" w:cs="Calibri"/>
          <w:sz w:val="22"/>
          <w:szCs w:val="22"/>
          <w:lang w:eastAsia="en-GB"/>
        </w:rPr>
        <w:t>allergy</w:t>
      </w:r>
      <w:r w:rsidR="00283219">
        <w:rPr>
          <w:rFonts w:ascii="Calibri" w:hAnsi="Calibri" w:cs="Calibri"/>
          <w:sz w:val="22"/>
          <w:szCs w:val="22"/>
          <w:lang w:eastAsia="en-GB"/>
        </w:rPr>
        <w:t xml:space="preserve"> cases in the SIG</w:t>
      </w:r>
      <w:r w:rsidR="00C703FD">
        <w:rPr>
          <w:rFonts w:ascii="Calibri" w:hAnsi="Calibri" w:cs="Calibri"/>
          <w:sz w:val="22"/>
          <w:szCs w:val="22"/>
          <w:lang w:eastAsia="en-GB"/>
        </w:rPr>
        <w:t xml:space="preserve"> and </w:t>
      </w:r>
      <w:r w:rsidR="00C703FD" w:rsidRPr="00C703FD">
        <w:rPr>
          <w:rFonts w:ascii="Calibri" w:hAnsi="Calibri" w:cs="Calibri"/>
          <w:sz w:val="22"/>
          <w:szCs w:val="22"/>
          <w:lang w:eastAsia="en-GB"/>
        </w:rPr>
        <w:t xml:space="preserve">a significantly greater proportion of non-white participants </w:t>
      </w:r>
      <w:r w:rsidR="00C703FD">
        <w:rPr>
          <w:rFonts w:ascii="Calibri" w:hAnsi="Calibri" w:cs="Calibri"/>
          <w:sz w:val="22"/>
          <w:szCs w:val="22"/>
          <w:lang w:eastAsia="en-GB"/>
        </w:rPr>
        <w:t>had</w:t>
      </w:r>
      <w:r w:rsidR="00C703FD" w:rsidRPr="00C703FD">
        <w:rPr>
          <w:rFonts w:ascii="Calibri" w:hAnsi="Calibri" w:cs="Calibri"/>
          <w:sz w:val="22"/>
          <w:szCs w:val="22"/>
          <w:lang w:eastAsia="en-GB"/>
        </w:rPr>
        <w:t xml:space="preserve"> visible eczema and/or IgE food specific sensitization at enrollment</w:t>
      </w:r>
      <w:r w:rsidR="00725400">
        <w:rPr>
          <w:rFonts w:ascii="Calibri" w:hAnsi="Calibri" w:cs="Calibri"/>
          <w:sz w:val="22"/>
          <w:szCs w:val="22"/>
          <w:lang w:eastAsia="en-GB"/>
        </w:rPr>
        <w:t xml:space="preserve"> (Table E5</w:t>
      </w:r>
      <w:r w:rsidR="00074A88">
        <w:rPr>
          <w:rFonts w:ascii="Calibri" w:hAnsi="Calibri" w:cs="Calibri"/>
          <w:sz w:val="22"/>
          <w:szCs w:val="22"/>
          <w:lang w:eastAsia="en-GB"/>
        </w:rPr>
        <w:t xml:space="preserve"> &amp; Fig E9</w:t>
      </w:r>
      <w:r w:rsidR="00725400">
        <w:rPr>
          <w:rFonts w:ascii="Calibri" w:hAnsi="Calibri" w:cs="Calibri"/>
          <w:sz w:val="22"/>
          <w:szCs w:val="22"/>
          <w:lang w:eastAsia="en-GB"/>
        </w:rPr>
        <w:t>)</w:t>
      </w:r>
      <w:r w:rsidR="00566E95" w:rsidRPr="00BD761A">
        <w:rPr>
          <w:rFonts w:ascii="Calibri" w:hAnsi="Calibri" w:cs="Calibri"/>
          <w:sz w:val="22"/>
          <w:szCs w:val="22"/>
          <w:lang w:eastAsia="en-GB"/>
        </w:rPr>
        <w:t>.</w:t>
      </w:r>
      <w:r w:rsidR="00550616">
        <w:rPr>
          <w:rFonts w:ascii="Calibri" w:hAnsi="Calibri" w:cs="Calibri"/>
          <w:sz w:val="22"/>
          <w:szCs w:val="22"/>
          <w:lang w:eastAsia="en-GB"/>
        </w:rPr>
        <w:t xml:space="preserve"> </w:t>
      </w:r>
      <w:r w:rsidR="00550616">
        <w:rPr>
          <w:rFonts w:ascii="Calibri" w:hAnsi="Calibri" w:cs="Calibri"/>
          <w:sz w:val="22"/>
          <w:szCs w:val="22"/>
        </w:rPr>
        <w:t>Furthermore,</w:t>
      </w:r>
      <w:r w:rsidR="00283219">
        <w:rPr>
          <w:rFonts w:ascii="Calibri" w:hAnsi="Calibri" w:cs="Calibri"/>
          <w:sz w:val="22"/>
          <w:szCs w:val="22"/>
        </w:rPr>
        <w:t xml:space="preserve"> in the EIG</w:t>
      </w:r>
      <w:r w:rsidR="00C703FD">
        <w:rPr>
          <w:rFonts w:ascii="Calibri" w:hAnsi="Calibri" w:cs="Calibri"/>
          <w:sz w:val="22"/>
          <w:szCs w:val="22"/>
        </w:rPr>
        <w:t>,</w:t>
      </w:r>
      <w:r w:rsidR="00550616">
        <w:rPr>
          <w:rFonts w:ascii="Calibri" w:hAnsi="Calibri" w:cs="Calibri"/>
          <w:sz w:val="22"/>
          <w:szCs w:val="22"/>
        </w:rPr>
        <w:t xml:space="preserve"> </w:t>
      </w:r>
      <w:r w:rsidR="00473FD5">
        <w:rPr>
          <w:rFonts w:ascii="Calibri" w:hAnsi="Calibri" w:cs="Calibri"/>
          <w:sz w:val="22"/>
          <w:szCs w:val="22"/>
        </w:rPr>
        <w:t>adherence was significantly lower in those participants of non-white ethnicity</w:t>
      </w:r>
      <w:r w:rsidR="00C703FD">
        <w:rPr>
          <w:rFonts w:ascii="Calibri" w:hAnsi="Calibri" w:cs="Calibri"/>
          <w:sz w:val="22"/>
          <w:szCs w:val="22"/>
        </w:rPr>
        <w:t xml:space="preserve"> </w:t>
      </w:r>
      <w:r w:rsidR="00473FD5">
        <w:rPr>
          <w:rFonts w:ascii="Calibri" w:hAnsi="Calibri" w:cs="Calibri"/>
          <w:sz w:val="22"/>
          <w:szCs w:val="22"/>
        </w:rPr>
        <w:t xml:space="preserve">(Fig </w:t>
      </w:r>
      <w:r w:rsidR="00FB6A18">
        <w:rPr>
          <w:rFonts w:ascii="Calibri" w:hAnsi="Calibri" w:cs="Calibri"/>
          <w:sz w:val="22"/>
          <w:szCs w:val="22"/>
        </w:rPr>
        <w:t>4</w:t>
      </w:r>
      <w:r w:rsidR="00473FD5">
        <w:rPr>
          <w:rFonts w:ascii="Calibri" w:hAnsi="Calibri" w:cs="Calibri"/>
          <w:sz w:val="22"/>
          <w:szCs w:val="22"/>
        </w:rPr>
        <w:t xml:space="preserve"> Part A)</w:t>
      </w:r>
      <w:r w:rsidR="00725400">
        <w:rPr>
          <w:rFonts w:ascii="Calibri" w:hAnsi="Calibri" w:cs="Calibri"/>
          <w:sz w:val="22"/>
          <w:szCs w:val="22"/>
        </w:rPr>
        <w:t>.</w:t>
      </w:r>
    </w:p>
    <w:p w14:paraId="17A8864E" w14:textId="323258E7" w:rsidR="00473FD5" w:rsidRPr="00381117" w:rsidRDefault="00DF60B3" w:rsidP="002C4B96">
      <w:pPr>
        <w:spacing w:before="120" w:line="480" w:lineRule="auto"/>
        <w:rPr>
          <w:rFonts w:ascii="Calibri" w:hAnsi="Calibri" w:cs="Calibri"/>
          <w:sz w:val="22"/>
          <w:szCs w:val="22"/>
        </w:rPr>
      </w:pPr>
      <w:r w:rsidRPr="00381117">
        <w:rPr>
          <w:rFonts w:ascii="Calibri" w:hAnsi="Calibri" w:cs="Calibri"/>
          <w:sz w:val="22"/>
          <w:szCs w:val="22"/>
        </w:rPr>
        <w:t>W</w:t>
      </w:r>
      <w:r w:rsidR="004D2A04" w:rsidRPr="00381117">
        <w:rPr>
          <w:rFonts w:ascii="Calibri" w:hAnsi="Calibri" w:cs="Calibri"/>
          <w:sz w:val="22"/>
          <w:szCs w:val="22"/>
        </w:rPr>
        <w:t xml:space="preserve">e </w:t>
      </w:r>
      <w:r w:rsidR="00A360AB" w:rsidRPr="00381117">
        <w:rPr>
          <w:rFonts w:ascii="Calibri" w:hAnsi="Calibri" w:cs="Calibri"/>
          <w:sz w:val="22"/>
          <w:szCs w:val="22"/>
        </w:rPr>
        <w:t>modelled</w:t>
      </w:r>
      <w:r w:rsidR="004D2A04" w:rsidRPr="00381117">
        <w:rPr>
          <w:rFonts w:ascii="Calibri" w:hAnsi="Calibri" w:cs="Calibri"/>
          <w:sz w:val="22"/>
          <w:szCs w:val="22"/>
        </w:rPr>
        <w:t xml:space="preserve"> the effects of improved adherence in infants</w:t>
      </w:r>
      <w:r w:rsidR="00D0374A" w:rsidRPr="00381117">
        <w:rPr>
          <w:rFonts w:ascii="Calibri" w:hAnsi="Calibri" w:cs="Calibri"/>
          <w:sz w:val="22"/>
          <w:szCs w:val="22"/>
        </w:rPr>
        <w:t xml:space="preserve"> at high risk of developing food allergy</w:t>
      </w:r>
      <w:r w:rsidRPr="00381117">
        <w:rPr>
          <w:rFonts w:ascii="Calibri" w:hAnsi="Calibri" w:cs="Calibri"/>
          <w:sz w:val="22"/>
          <w:szCs w:val="22"/>
        </w:rPr>
        <w:t xml:space="preserve"> (non-white infants, those with </w:t>
      </w:r>
      <w:r w:rsidR="00D07C8B" w:rsidRPr="00381117">
        <w:rPr>
          <w:rFonts w:ascii="Calibri" w:hAnsi="Calibri" w:cs="Calibri"/>
          <w:sz w:val="22"/>
          <w:szCs w:val="22"/>
        </w:rPr>
        <w:t>enrollment</w:t>
      </w:r>
      <w:r w:rsidRPr="00381117">
        <w:rPr>
          <w:rFonts w:ascii="Calibri" w:hAnsi="Calibri" w:cs="Calibri"/>
          <w:sz w:val="22"/>
          <w:szCs w:val="22"/>
        </w:rPr>
        <w:t xml:space="preserve"> eczema or those with </w:t>
      </w:r>
      <w:r w:rsidR="00D07C8B" w:rsidRPr="00381117">
        <w:rPr>
          <w:rFonts w:ascii="Calibri" w:hAnsi="Calibri" w:cs="Calibri"/>
          <w:sz w:val="22"/>
          <w:szCs w:val="22"/>
        </w:rPr>
        <w:t>enrollment</w:t>
      </w:r>
      <w:r w:rsidRPr="00381117">
        <w:rPr>
          <w:rFonts w:ascii="Calibri" w:hAnsi="Calibri" w:cs="Calibri"/>
          <w:sz w:val="22"/>
          <w:szCs w:val="22"/>
        </w:rPr>
        <w:t xml:space="preserve"> </w:t>
      </w:r>
      <w:r w:rsidR="00350F03" w:rsidRPr="00381117">
        <w:rPr>
          <w:rFonts w:ascii="Calibri" w:hAnsi="Calibri" w:cs="Calibri"/>
          <w:sz w:val="22"/>
          <w:szCs w:val="22"/>
        </w:rPr>
        <w:t>sensitization</w:t>
      </w:r>
      <w:r w:rsidRPr="00381117">
        <w:rPr>
          <w:rFonts w:ascii="Calibri" w:hAnsi="Calibri" w:cs="Calibri"/>
          <w:sz w:val="22"/>
          <w:szCs w:val="22"/>
        </w:rPr>
        <w:t xml:space="preserve"> (≥0.1kU/l)</w:t>
      </w:r>
      <w:r w:rsidR="00A84F32" w:rsidRPr="00381117">
        <w:rPr>
          <w:rFonts w:ascii="Calibri" w:hAnsi="Calibri" w:cs="Calibri"/>
          <w:sz w:val="22"/>
          <w:szCs w:val="22"/>
        </w:rPr>
        <w:t>)</w:t>
      </w:r>
      <w:r w:rsidR="004D2A04" w:rsidRPr="00381117">
        <w:rPr>
          <w:rFonts w:ascii="Calibri" w:hAnsi="Calibri" w:cs="Calibri"/>
          <w:sz w:val="22"/>
          <w:szCs w:val="22"/>
        </w:rPr>
        <w:t xml:space="preserve"> and how this might affect the prevalence of food allergy</w:t>
      </w:r>
      <w:r w:rsidR="00D0374A" w:rsidRPr="00381117">
        <w:rPr>
          <w:rFonts w:ascii="Calibri" w:hAnsi="Calibri" w:cs="Calibri"/>
          <w:sz w:val="22"/>
          <w:szCs w:val="22"/>
        </w:rPr>
        <w:t xml:space="preserve"> (Fig </w:t>
      </w:r>
      <w:r w:rsidR="00FB6A18" w:rsidRPr="00381117">
        <w:rPr>
          <w:rFonts w:ascii="Calibri" w:hAnsi="Calibri" w:cs="Calibri"/>
          <w:sz w:val="22"/>
          <w:szCs w:val="22"/>
        </w:rPr>
        <w:t>4</w:t>
      </w:r>
      <w:r w:rsidR="00D0374A" w:rsidRPr="00381117">
        <w:rPr>
          <w:rFonts w:ascii="Calibri" w:hAnsi="Calibri" w:cs="Calibri"/>
          <w:sz w:val="22"/>
          <w:szCs w:val="22"/>
        </w:rPr>
        <w:t xml:space="preserve"> Part B)</w:t>
      </w:r>
      <w:r w:rsidR="004D2A04" w:rsidRPr="00381117">
        <w:rPr>
          <w:rFonts w:ascii="Calibri" w:hAnsi="Calibri" w:cs="Calibri"/>
          <w:sz w:val="22"/>
          <w:szCs w:val="22"/>
        </w:rPr>
        <w:t xml:space="preserve">. </w:t>
      </w:r>
      <w:r w:rsidR="00D0374A" w:rsidRPr="00381117">
        <w:rPr>
          <w:rFonts w:ascii="Calibri" w:hAnsi="Calibri" w:cs="Calibri"/>
          <w:sz w:val="22"/>
          <w:szCs w:val="22"/>
        </w:rPr>
        <w:t>Certain assumptions were made: an 80% intervention effect was assumed given the high efficacy observed in the EAT per-protocol analysis</w:t>
      </w:r>
      <w:r w:rsidR="00856E5E" w:rsidRPr="00381117">
        <w:rPr>
          <w:rFonts w:ascii="Calibri" w:hAnsi="Calibri" w:cs="Calibri"/>
          <w:sz w:val="22"/>
          <w:szCs w:val="22"/>
        </w:rPr>
        <w:t xml:space="preserve"> and the </w:t>
      </w:r>
      <w:r w:rsidR="00074A88" w:rsidRPr="00381117">
        <w:rPr>
          <w:rFonts w:ascii="Calibri" w:hAnsi="Calibri" w:cs="Calibri"/>
          <w:sz w:val="22"/>
          <w:szCs w:val="22"/>
        </w:rPr>
        <w:t>efficacy</w:t>
      </w:r>
      <w:r w:rsidR="00856E5E" w:rsidRPr="00381117">
        <w:rPr>
          <w:rFonts w:ascii="Calibri" w:hAnsi="Calibri" w:cs="Calibri"/>
          <w:sz w:val="22"/>
          <w:szCs w:val="22"/>
        </w:rPr>
        <w:t xml:space="preserve"> seen in the LEAP study intention to treat analysis</w:t>
      </w:r>
      <w:r w:rsidR="00D0374A" w:rsidRPr="00381117">
        <w:rPr>
          <w:rFonts w:ascii="Calibri" w:hAnsi="Calibri" w:cs="Calibri"/>
          <w:sz w:val="22"/>
          <w:szCs w:val="22"/>
        </w:rPr>
        <w:t>.</w:t>
      </w:r>
      <w:r w:rsidR="00997C0C" w:rsidRPr="00997C0C">
        <w:rPr>
          <w:rFonts w:ascii="Calibri" w:hAnsi="Calibri" w:cs="Calibri"/>
          <w:noProof/>
          <w:sz w:val="22"/>
          <w:szCs w:val="22"/>
          <w:vertAlign w:val="superscript"/>
        </w:rPr>
        <w:t>14</w:t>
      </w:r>
      <w:r w:rsidR="00D0374A" w:rsidRPr="00381117">
        <w:rPr>
          <w:rFonts w:ascii="Calibri" w:hAnsi="Calibri" w:cs="Calibri"/>
          <w:sz w:val="22"/>
          <w:szCs w:val="22"/>
        </w:rPr>
        <w:t xml:space="preserve"> </w:t>
      </w:r>
      <w:r w:rsidR="00473FD5" w:rsidRPr="00381117">
        <w:rPr>
          <w:rFonts w:ascii="Calibri" w:hAnsi="Calibri" w:cs="Calibri"/>
          <w:sz w:val="22"/>
          <w:szCs w:val="22"/>
        </w:rPr>
        <w:t>Assuming that a higher level of adherence could be achieved in these subgroups at high risk of developing food allergy than the 42% observed in the adherence-evaluable EIG children, we determined what the impact might be if an adherence rate of 85% is assumed. Fig</w:t>
      </w:r>
      <w:r w:rsidR="00FB6A18" w:rsidRPr="00381117">
        <w:rPr>
          <w:rFonts w:ascii="Calibri" w:hAnsi="Calibri" w:cs="Calibri"/>
          <w:sz w:val="22"/>
          <w:szCs w:val="22"/>
        </w:rPr>
        <w:t xml:space="preserve"> 4</w:t>
      </w:r>
      <w:r w:rsidR="006E096E" w:rsidRPr="00381117">
        <w:rPr>
          <w:rFonts w:ascii="Calibri" w:hAnsi="Calibri" w:cs="Calibri"/>
          <w:sz w:val="22"/>
          <w:szCs w:val="22"/>
        </w:rPr>
        <w:t xml:space="preserve"> </w:t>
      </w:r>
      <w:r w:rsidR="00473FD5" w:rsidRPr="00381117">
        <w:rPr>
          <w:rFonts w:ascii="Calibri" w:hAnsi="Calibri" w:cs="Calibri"/>
          <w:sz w:val="22"/>
          <w:szCs w:val="22"/>
        </w:rPr>
        <w:t>Part B displays the percent reduction in total allergy burden and the number needed to treat within the different subgroups.</w:t>
      </w:r>
    </w:p>
    <w:p w14:paraId="4CCFCA1C" w14:textId="2D140185" w:rsidR="002805D5" w:rsidRPr="008917DB" w:rsidRDefault="00473FD5" w:rsidP="002C4B96">
      <w:pPr>
        <w:spacing w:before="120" w:line="480" w:lineRule="auto"/>
        <w:rPr>
          <w:rFonts w:ascii="Calibri" w:hAnsi="Calibri"/>
          <w:b/>
          <w:sz w:val="22"/>
        </w:rPr>
      </w:pPr>
      <w:r w:rsidRPr="00381117">
        <w:rPr>
          <w:rFonts w:ascii="Calibri" w:hAnsi="Calibri" w:cs="Calibri"/>
          <w:sz w:val="22"/>
          <w:szCs w:val="22"/>
        </w:rPr>
        <w:t xml:space="preserve">Targeting </w:t>
      </w:r>
      <w:r w:rsidR="00F32762">
        <w:rPr>
          <w:rFonts w:ascii="Calibri" w:hAnsi="Calibri" w:cs="Calibri"/>
          <w:sz w:val="22"/>
          <w:szCs w:val="22"/>
        </w:rPr>
        <w:t>the intervention</w:t>
      </w:r>
      <w:r w:rsidRPr="00381117">
        <w:rPr>
          <w:rFonts w:ascii="Calibri" w:hAnsi="Calibri" w:cs="Calibri"/>
          <w:sz w:val="22"/>
          <w:szCs w:val="22"/>
        </w:rPr>
        <w:t xml:space="preserve"> to the group of non-white and/or eczematous infants would comprise a high-risk population of 71.4% of the food allergy burden. If 50%, 75%, or 85% adherence rates can be achieved in this high-risk group, reduction in the overall burden of food allergy</w:t>
      </w:r>
      <w:r w:rsidR="00856E5E" w:rsidRPr="00381117">
        <w:rPr>
          <w:rFonts w:ascii="Calibri" w:hAnsi="Calibri" w:cs="Calibri"/>
          <w:sz w:val="22"/>
          <w:szCs w:val="22"/>
        </w:rPr>
        <w:t xml:space="preserve"> in the whole population</w:t>
      </w:r>
      <w:r w:rsidRPr="00381117">
        <w:rPr>
          <w:rFonts w:ascii="Calibri" w:hAnsi="Calibri" w:cs="Calibri"/>
          <w:sz w:val="22"/>
          <w:szCs w:val="22"/>
        </w:rPr>
        <w:t xml:space="preserve"> would be approximately 29%, 43%, and 49% respectively.</w:t>
      </w:r>
      <w:r w:rsidRPr="00473FD5">
        <w:rPr>
          <w:rFonts w:ascii="Calibri" w:hAnsi="Calibri" w:cs="Calibri"/>
          <w:sz w:val="22"/>
          <w:szCs w:val="22"/>
        </w:rPr>
        <w:t xml:space="preserve"> </w:t>
      </w:r>
      <w:r w:rsidR="00B176E3">
        <w:rPr>
          <w:rFonts w:ascii="Calibri" w:hAnsi="Calibri"/>
          <w:b/>
          <w:sz w:val="22"/>
        </w:rPr>
        <w:br w:type="page"/>
      </w:r>
      <w:r w:rsidR="002805D5" w:rsidRPr="008917DB">
        <w:rPr>
          <w:rFonts w:ascii="Calibri" w:hAnsi="Calibri"/>
          <w:b/>
          <w:sz w:val="22"/>
        </w:rPr>
        <w:lastRenderedPageBreak/>
        <w:t xml:space="preserve">Discussion </w:t>
      </w:r>
    </w:p>
    <w:p w14:paraId="50B601F3" w14:textId="73B527BD" w:rsidR="00F24FAA" w:rsidRDefault="00F24FAA" w:rsidP="00F24FAA">
      <w:pPr>
        <w:spacing w:line="480" w:lineRule="auto"/>
        <w:rPr>
          <w:rFonts w:ascii="Calibri" w:hAnsi="Calibri" w:cs="Calibri"/>
          <w:sz w:val="22"/>
          <w:szCs w:val="22"/>
        </w:rPr>
      </w:pPr>
      <w:r w:rsidRPr="00BE6CC0">
        <w:rPr>
          <w:rFonts w:ascii="Calibri" w:hAnsi="Calibri" w:cs="Calibri"/>
          <w:sz w:val="22"/>
          <w:szCs w:val="22"/>
        </w:rPr>
        <w:t>Whilst 5.6% of EIG participants developed a food allergy in the EAT study, 58% were non-</w:t>
      </w:r>
      <w:r>
        <w:rPr>
          <w:rFonts w:ascii="Calibri" w:hAnsi="Calibri" w:cs="Calibri"/>
          <w:sz w:val="22"/>
          <w:szCs w:val="22"/>
        </w:rPr>
        <w:t xml:space="preserve">adherent </w:t>
      </w:r>
      <w:r w:rsidRPr="00BE6CC0">
        <w:rPr>
          <w:rFonts w:ascii="Calibri" w:hAnsi="Calibri" w:cs="Calibri"/>
          <w:sz w:val="22"/>
          <w:szCs w:val="22"/>
        </w:rPr>
        <w:t xml:space="preserve">with the early introduction protocol. Hence the non-adherence rate </w:t>
      </w:r>
      <w:r>
        <w:rPr>
          <w:rFonts w:ascii="Calibri" w:hAnsi="Calibri" w:cs="Calibri"/>
          <w:sz w:val="22"/>
          <w:szCs w:val="22"/>
        </w:rPr>
        <w:t xml:space="preserve">was ten-fold higher than </w:t>
      </w:r>
      <w:r w:rsidRPr="00BE6CC0">
        <w:rPr>
          <w:rFonts w:ascii="Calibri" w:hAnsi="Calibri" w:cs="Calibri"/>
          <w:sz w:val="22"/>
          <w:szCs w:val="22"/>
        </w:rPr>
        <w:t xml:space="preserve">the food allergy rate. Notably the non-adherence rate also </w:t>
      </w:r>
      <w:r>
        <w:rPr>
          <w:rFonts w:ascii="Calibri" w:hAnsi="Calibri" w:cs="Calibri"/>
          <w:sz w:val="22"/>
          <w:szCs w:val="22"/>
        </w:rPr>
        <w:t>significantly</w:t>
      </w:r>
      <w:r w:rsidRPr="00BE6CC0">
        <w:rPr>
          <w:rFonts w:ascii="Calibri" w:hAnsi="Calibri" w:cs="Calibri"/>
          <w:sz w:val="22"/>
          <w:szCs w:val="22"/>
        </w:rPr>
        <w:t xml:space="preserve"> exceeded the prevalence </w:t>
      </w:r>
      <w:r>
        <w:rPr>
          <w:rFonts w:ascii="Calibri" w:hAnsi="Calibri" w:cs="Calibri"/>
          <w:sz w:val="22"/>
          <w:szCs w:val="22"/>
        </w:rPr>
        <w:t xml:space="preserve">rate </w:t>
      </w:r>
      <w:r w:rsidRPr="00BE6CC0">
        <w:rPr>
          <w:rFonts w:ascii="Calibri" w:hAnsi="Calibri" w:cs="Calibri"/>
          <w:sz w:val="22"/>
          <w:szCs w:val="22"/>
        </w:rPr>
        <w:t xml:space="preserve">of risk factors associated with developing a food allergy: visible eczema at </w:t>
      </w:r>
      <w:r>
        <w:rPr>
          <w:rFonts w:ascii="Calibri" w:hAnsi="Calibri" w:cs="Calibri"/>
          <w:sz w:val="22"/>
          <w:szCs w:val="22"/>
        </w:rPr>
        <w:t>enrollment</w:t>
      </w:r>
      <w:r w:rsidRPr="00BE6CC0">
        <w:rPr>
          <w:rFonts w:ascii="Calibri" w:hAnsi="Calibri" w:cs="Calibri"/>
          <w:sz w:val="22"/>
          <w:szCs w:val="22"/>
        </w:rPr>
        <w:t xml:space="preserve"> (25%), </w:t>
      </w:r>
      <w:r>
        <w:rPr>
          <w:rFonts w:ascii="Calibri" w:hAnsi="Calibri" w:cs="Calibri"/>
          <w:sz w:val="22"/>
          <w:szCs w:val="22"/>
        </w:rPr>
        <w:t>enrollment</w:t>
      </w:r>
      <w:r w:rsidRPr="00BE6CC0">
        <w:rPr>
          <w:rFonts w:ascii="Calibri" w:hAnsi="Calibri" w:cs="Calibri"/>
          <w:sz w:val="22"/>
          <w:szCs w:val="22"/>
        </w:rPr>
        <w:t xml:space="preserve"> </w:t>
      </w:r>
      <w:r>
        <w:rPr>
          <w:rFonts w:ascii="Calibri" w:hAnsi="Calibri" w:cs="Calibri"/>
          <w:sz w:val="22"/>
          <w:szCs w:val="22"/>
        </w:rPr>
        <w:t>sensitiz</w:t>
      </w:r>
      <w:r w:rsidRPr="00BE6CC0">
        <w:rPr>
          <w:rFonts w:ascii="Calibri" w:hAnsi="Calibri" w:cs="Calibri"/>
          <w:sz w:val="22"/>
          <w:szCs w:val="22"/>
        </w:rPr>
        <w:t>ation to one or more foods on specific IgE testing (16%) and non-white ethnicity (15%).</w:t>
      </w:r>
    </w:p>
    <w:p w14:paraId="74FB9DCC" w14:textId="1D95E2F0" w:rsidR="006C3F9E" w:rsidRDefault="00F24FAA" w:rsidP="006C3F9E">
      <w:pPr>
        <w:pStyle w:val="ListParagraph"/>
        <w:widowControl w:val="0"/>
        <w:autoSpaceDE w:val="0"/>
        <w:autoSpaceDN w:val="0"/>
        <w:adjustRightInd w:val="0"/>
        <w:spacing w:line="480" w:lineRule="auto"/>
        <w:ind w:left="0"/>
        <w:contextualSpacing/>
        <w:rPr>
          <w:rFonts w:cs="Calibri"/>
        </w:rPr>
      </w:pPr>
      <w:r>
        <w:rPr>
          <w:rFonts w:cs="Calibri"/>
        </w:rPr>
        <w:t xml:space="preserve">In univariate analysis, non-white ethnicity, older maternal age, lower enrollment maternal quality of life scores and increasing SCORAD were associated with non-adherence to the EIG protocol. </w:t>
      </w:r>
      <w:r w:rsidRPr="00BE6CC0">
        <w:rPr>
          <w:rFonts w:cs="Calibri"/>
        </w:rPr>
        <w:t xml:space="preserve">The </w:t>
      </w:r>
      <w:r>
        <w:rPr>
          <w:rFonts w:cs="Calibri"/>
        </w:rPr>
        <w:t>enrollment</w:t>
      </w:r>
      <w:r w:rsidRPr="00BE6CC0">
        <w:rPr>
          <w:rFonts w:cs="Calibri"/>
        </w:rPr>
        <w:t xml:space="preserve"> factors that were found to remain significantly associated with non-adherence in the adjusted analysis were </w:t>
      </w:r>
      <w:r>
        <w:rPr>
          <w:rFonts w:cs="Calibri"/>
        </w:rPr>
        <w:t>non-white ethnicity, older maternal age and lower enrollment maternal psychological quality of life</w:t>
      </w:r>
      <w:r>
        <w:t xml:space="preserve">. </w:t>
      </w:r>
      <w:r w:rsidR="00856E5E">
        <w:t>Non-white e</w:t>
      </w:r>
      <w:r w:rsidRPr="00421268">
        <w:t>thnicity</w:t>
      </w:r>
      <w:r>
        <w:t xml:space="preserve"> and</w:t>
      </w:r>
      <w:r w:rsidRPr="00421268">
        <w:t xml:space="preserve"> older maternal age </w:t>
      </w:r>
      <w:r w:rsidRPr="00421268">
        <w:rPr>
          <w:rFonts w:cs="Calibri"/>
        </w:rPr>
        <w:t xml:space="preserve">were associated in </w:t>
      </w:r>
      <w:r>
        <w:rPr>
          <w:rFonts w:cs="Calibri"/>
        </w:rPr>
        <w:t>both study groups</w:t>
      </w:r>
      <w:r w:rsidRPr="00421268">
        <w:rPr>
          <w:rFonts w:cs="Calibri"/>
        </w:rPr>
        <w:t xml:space="preserve"> with postponing the introduction of allergenic foods, compromising the ability to be per-protocol adherent</w:t>
      </w:r>
      <w:r>
        <w:rPr>
          <w:rFonts w:cs="Calibri"/>
        </w:rPr>
        <w:t>,</w:t>
      </w:r>
      <w:r w:rsidRPr="00421268">
        <w:rPr>
          <w:rFonts w:cs="Calibri"/>
        </w:rPr>
        <w:t xml:space="preserve"> as the </w:t>
      </w:r>
      <w:r w:rsidRPr="00421268">
        <w:t>window for per-protocol defined adherence was so short.</w:t>
      </w:r>
      <w:r>
        <w:t xml:space="preserve"> </w:t>
      </w:r>
      <w:r w:rsidR="006C3F9E">
        <w:t xml:space="preserve"> </w:t>
      </w:r>
      <w:r w:rsidR="006C3F9E">
        <w:rPr>
          <w:rFonts w:cs="Calibri"/>
        </w:rPr>
        <w:t>This delay</w:t>
      </w:r>
      <w:r w:rsidR="006C3F9E" w:rsidRPr="00421268">
        <w:rPr>
          <w:rFonts w:cs="Calibri"/>
        </w:rPr>
        <w:t xml:space="preserve"> being present in the SIG </w:t>
      </w:r>
      <w:r w:rsidR="006C3F9E">
        <w:rPr>
          <w:rFonts w:cs="Calibri"/>
        </w:rPr>
        <w:t>could have been anticipated</w:t>
      </w:r>
      <w:r w:rsidR="006C3F9E" w:rsidRPr="00421268">
        <w:rPr>
          <w:rFonts w:cs="Calibri"/>
        </w:rPr>
        <w:t>, having been reported in the</w:t>
      </w:r>
      <w:r w:rsidR="000E2369">
        <w:rPr>
          <w:rFonts w:cs="Calibri"/>
        </w:rPr>
        <w:t xml:space="preserve"> Infant Feeding Survey undertaken in 2010 (</w:t>
      </w:r>
      <w:r w:rsidR="006C3F9E" w:rsidRPr="00421268">
        <w:rPr>
          <w:rFonts w:cs="Calibri"/>
        </w:rPr>
        <w:t>IFS2010</w:t>
      </w:r>
      <w:r w:rsidR="000E2369">
        <w:rPr>
          <w:rFonts w:cs="Calibri"/>
        </w:rPr>
        <w:t>)</w:t>
      </w:r>
      <w:r w:rsidR="006C3F9E">
        <w:rPr>
          <w:rFonts w:cs="Calibri"/>
        </w:rPr>
        <w:t>,</w:t>
      </w:r>
      <w:r w:rsidR="00997C0C" w:rsidRPr="00997C0C">
        <w:rPr>
          <w:rFonts w:cs="Calibri"/>
          <w:noProof/>
          <w:vertAlign w:val="superscript"/>
        </w:rPr>
        <w:t>15</w:t>
      </w:r>
      <w:r w:rsidR="000E2369">
        <w:rPr>
          <w:rFonts w:cs="Calibri"/>
        </w:rPr>
        <w:t xml:space="preserve"> </w:t>
      </w:r>
      <w:r w:rsidR="006C3F9E">
        <w:rPr>
          <w:rFonts w:cs="Calibri"/>
        </w:rPr>
        <w:t xml:space="preserve"> and considered in more detail in the section: </w:t>
      </w:r>
      <w:r w:rsidR="006C3F9E">
        <w:rPr>
          <w:rFonts w:cs="Calibri"/>
          <w:i/>
        </w:rPr>
        <w:t xml:space="preserve">Comparison with the </w:t>
      </w:r>
      <w:r w:rsidR="000E2369">
        <w:rPr>
          <w:rFonts w:cs="Calibri"/>
          <w:i/>
        </w:rPr>
        <w:t xml:space="preserve">Infant Feeding Survey 2010 </w:t>
      </w:r>
      <w:r w:rsidR="006C3F9E">
        <w:rPr>
          <w:rFonts w:cs="Calibri"/>
          <w:i/>
        </w:rPr>
        <w:t xml:space="preserve"> findings </w:t>
      </w:r>
      <w:r w:rsidR="006C3F9E">
        <w:rPr>
          <w:rFonts w:cs="Calibri"/>
        </w:rPr>
        <w:t>in the Discussion in this article's Online Repository. However,</w:t>
      </w:r>
      <w:r w:rsidR="006C3F9E" w:rsidRPr="00421268">
        <w:rPr>
          <w:rFonts w:cs="Calibri"/>
        </w:rPr>
        <w:t xml:space="preserve"> unexpectedly </w:t>
      </w:r>
      <w:r w:rsidR="00283219">
        <w:rPr>
          <w:rFonts w:cs="Calibri"/>
        </w:rPr>
        <w:t>this delay</w:t>
      </w:r>
      <w:r w:rsidR="006C3F9E" w:rsidRPr="00421268">
        <w:rPr>
          <w:rFonts w:cs="Calibri"/>
        </w:rPr>
        <w:t xml:space="preserve"> was present in the EIG as well, </w:t>
      </w:r>
      <w:r w:rsidR="00283219">
        <w:rPr>
          <w:rFonts w:cs="Calibri"/>
        </w:rPr>
        <w:t>despite all EIG families having being asked to intro</w:t>
      </w:r>
      <w:r w:rsidR="006C3F9E" w:rsidRPr="00421268">
        <w:rPr>
          <w:rFonts w:cs="Calibri"/>
        </w:rPr>
        <w:t>duce the allergenic foods as rapidly as possible.</w:t>
      </w:r>
    </w:p>
    <w:p w14:paraId="358C0D63" w14:textId="5279A2F3" w:rsidR="00EC1BD3" w:rsidRDefault="00EC1BD3" w:rsidP="006C3F9E">
      <w:pPr>
        <w:pStyle w:val="ListParagraph"/>
        <w:widowControl w:val="0"/>
        <w:autoSpaceDE w:val="0"/>
        <w:autoSpaceDN w:val="0"/>
        <w:adjustRightInd w:val="0"/>
        <w:spacing w:line="480" w:lineRule="auto"/>
        <w:ind w:left="0"/>
        <w:contextualSpacing/>
        <w:rPr>
          <w:rFonts w:cs="Calibri"/>
        </w:rPr>
      </w:pPr>
      <w:r w:rsidRPr="00BE6CC0">
        <w:rPr>
          <w:rFonts w:cs="Calibri"/>
        </w:rPr>
        <w:t xml:space="preserve">Post </w:t>
      </w:r>
      <w:r>
        <w:rPr>
          <w:rFonts w:cs="Calibri"/>
        </w:rPr>
        <w:t>enrollment</w:t>
      </w:r>
      <w:r w:rsidRPr="00BE6CC0">
        <w:rPr>
          <w:rFonts w:cs="Calibri"/>
        </w:rPr>
        <w:t>, whilst the reporting of IgE type symptoms in</w:t>
      </w:r>
      <w:r w:rsidR="00BB5ADC">
        <w:rPr>
          <w:rFonts w:cs="Calibri"/>
        </w:rPr>
        <w:t xml:space="preserve"> EIG participants in</w:t>
      </w:r>
      <w:r w:rsidRPr="00BE6CC0">
        <w:rPr>
          <w:rFonts w:cs="Calibri"/>
        </w:rPr>
        <w:t xml:space="preserve"> the key early introduction period </w:t>
      </w:r>
      <w:r w:rsidR="00BB5ADC">
        <w:rPr>
          <w:rFonts w:cs="Calibri"/>
        </w:rPr>
        <w:t xml:space="preserve">by </w:t>
      </w:r>
      <w:r w:rsidRPr="00BE6CC0">
        <w:rPr>
          <w:rFonts w:cs="Calibri"/>
        </w:rPr>
        <w:t>was common (1</w:t>
      </w:r>
      <w:r w:rsidR="00BB5ADC">
        <w:rPr>
          <w:rFonts w:cs="Calibri"/>
        </w:rPr>
        <w:t>6</w:t>
      </w:r>
      <w:r w:rsidRPr="00BE6CC0">
        <w:rPr>
          <w:rFonts w:cs="Calibri"/>
        </w:rPr>
        <w:t>%), this too fell far short of the 58% non-adherence rate</w:t>
      </w:r>
      <w:r w:rsidR="00BB5ADC">
        <w:rPr>
          <w:rFonts w:cs="Calibri"/>
        </w:rPr>
        <w:t xml:space="preserve">. Furthermore, the great majority of EIG participants reporting such symptoms were neither sensitised to any food at enrolment (76%), nor did they develop a food allergy (82%). </w:t>
      </w:r>
      <w:r w:rsidRPr="00BE6CC0">
        <w:rPr>
          <w:rFonts w:cs="Calibri"/>
        </w:rPr>
        <w:t xml:space="preserve">The strongest association with non-adherence was the early emergence of feeding difficulties with 40% of non per-protocol EIG families reporting some or great difficulty feeding their infant at four months of age compared with 20% </w:t>
      </w:r>
      <w:r>
        <w:rPr>
          <w:rFonts w:cs="Calibri"/>
        </w:rPr>
        <w:t>of</w:t>
      </w:r>
      <w:r w:rsidRPr="00BE6CC0">
        <w:rPr>
          <w:rFonts w:cs="Calibri"/>
        </w:rPr>
        <w:t xml:space="preserve"> the per-protocol EIG families.</w:t>
      </w:r>
    </w:p>
    <w:p w14:paraId="5E483046" w14:textId="08591F7D" w:rsidR="006C3F9E" w:rsidRDefault="006C3F9E" w:rsidP="009C530F">
      <w:pPr>
        <w:pStyle w:val="ListParagraph"/>
        <w:widowControl w:val="0"/>
        <w:autoSpaceDE w:val="0"/>
        <w:autoSpaceDN w:val="0"/>
        <w:adjustRightInd w:val="0"/>
        <w:spacing w:line="480" w:lineRule="auto"/>
        <w:ind w:left="0"/>
        <w:contextualSpacing/>
        <w:rPr>
          <w:rFonts w:cs="Calibri"/>
        </w:rPr>
      </w:pPr>
      <w:r w:rsidRPr="00277C01">
        <w:rPr>
          <w:rFonts w:cs="Calibri"/>
        </w:rPr>
        <w:t xml:space="preserve">Enrollment eczema was not associated with </w:t>
      </w:r>
      <w:r w:rsidR="005776E0">
        <w:rPr>
          <w:rFonts w:cs="Calibri"/>
        </w:rPr>
        <w:t xml:space="preserve">overall </w:t>
      </w:r>
      <w:r w:rsidRPr="00277C01">
        <w:rPr>
          <w:rFonts w:cs="Calibri"/>
        </w:rPr>
        <w:t>adherence in the adjusted analyses</w:t>
      </w:r>
      <w:r w:rsidR="005776E0">
        <w:rPr>
          <w:rFonts w:cs="Calibri"/>
        </w:rPr>
        <w:t xml:space="preserve"> (although it was associated with food specific adherence to sesame and </w:t>
      </w:r>
      <w:r w:rsidR="009B0638">
        <w:rPr>
          <w:rFonts w:cs="Calibri"/>
        </w:rPr>
        <w:t>fish)</w:t>
      </w:r>
      <w:r w:rsidRPr="00277C01">
        <w:rPr>
          <w:rFonts w:cs="Calibri"/>
        </w:rPr>
        <w:t xml:space="preserve">. </w:t>
      </w:r>
      <w:r w:rsidR="009B0638">
        <w:rPr>
          <w:rFonts w:cs="Calibri"/>
        </w:rPr>
        <w:t>T</w:t>
      </w:r>
      <w:r w:rsidRPr="00277C01">
        <w:rPr>
          <w:rFonts w:cs="Calibri"/>
        </w:rPr>
        <w:t xml:space="preserve">his is likely to reflect the mild </w:t>
      </w:r>
      <w:r w:rsidRPr="00277C01">
        <w:rPr>
          <w:rFonts w:cs="Calibri"/>
        </w:rPr>
        <w:lastRenderedPageBreak/>
        <w:t>phenotype of infants with eczema in the EAT study. Of the 160 EIG infants with enrollment eczema, 123 were mild (SCORAD &lt;15), 31 moderate (15 to &lt;40) and only 6 were severe (40+). Having eczema in childhood is strongly associated with dietary restriction and a reluctance to include allergenic foods in the diet. In a study of 100 children attending a paediatric dermatology clinic, 75% were having some form of parent instigated dietary exclusion and allergenic foods, including dairy products, eggs and cow's milk were being omitted by 48%, 27% and 25% respectively.</w:t>
      </w:r>
      <w:r w:rsidR="00997C0C" w:rsidRPr="00997C0C">
        <w:rPr>
          <w:rFonts w:cs="Calibri"/>
          <w:noProof/>
          <w:vertAlign w:val="superscript"/>
        </w:rPr>
        <w:t>16</w:t>
      </w:r>
    </w:p>
    <w:p w14:paraId="4183431D" w14:textId="3CC45A53" w:rsidR="00C36676" w:rsidRDefault="008351DF" w:rsidP="002C4B96">
      <w:pPr>
        <w:widowControl w:val="0"/>
        <w:spacing w:before="120" w:line="480" w:lineRule="auto"/>
        <w:rPr>
          <w:rFonts w:ascii="Calibri" w:hAnsi="Calibri" w:cs="Calibri"/>
          <w:sz w:val="22"/>
          <w:szCs w:val="22"/>
        </w:rPr>
      </w:pPr>
      <w:r w:rsidRPr="00607DBE">
        <w:rPr>
          <w:rFonts w:ascii="Calibri" w:hAnsi="Calibri" w:cs="Calibri"/>
          <w:sz w:val="22"/>
          <w:szCs w:val="22"/>
        </w:rPr>
        <w:t xml:space="preserve">It might have been anticipated that </w:t>
      </w:r>
      <w:r w:rsidR="00D07C8B">
        <w:rPr>
          <w:rFonts w:ascii="Calibri" w:hAnsi="Calibri" w:cs="Calibri"/>
          <w:sz w:val="22"/>
          <w:szCs w:val="22"/>
        </w:rPr>
        <w:t>enrollment</w:t>
      </w:r>
      <w:r w:rsidRPr="00607DBE">
        <w:rPr>
          <w:rFonts w:ascii="Calibri" w:hAnsi="Calibri" w:cs="Calibri"/>
          <w:sz w:val="22"/>
          <w:szCs w:val="22"/>
        </w:rPr>
        <w:t xml:space="preserve"> </w:t>
      </w:r>
      <w:r w:rsidR="009222F0" w:rsidRPr="00607DBE">
        <w:rPr>
          <w:rFonts w:ascii="Calibri" w:hAnsi="Calibri" w:cs="Calibri"/>
          <w:sz w:val="22"/>
          <w:szCs w:val="22"/>
        </w:rPr>
        <w:t>sensitiz</w:t>
      </w:r>
      <w:r w:rsidRPr="00607DBE">
        <w:rPr>
          <w:rFonts w:ascii="Calibri" w:hAnsi="Calibri" w:cs="Calibri"/>
          <w:sz w:val="22"/>
          <w:szCs w:val="22"/>
        </w:rPr>
        <w:t xml:space="preserve">ation could lead to subclinical symptoms </w:t>
      </w:r>
      <w:r>
        <w:rPr>
          <w:rFonts w:ascii="Calibri" w:hAnsi="Calibri" w:cs="Calibri"/>
          <w:sz w:val="22"/>
          <w:szCs w:val="22"/>
        </w:rPr>
        <w:t>resulting in a subclinical form of pre-existing food allergy</w:t>
      </w:r>
      <w:r w:rsidR="00BF41F8">
        <w:rPr>
          <w:rFonts w:ascii="Calibri" w:hAnsi="Calibri" w:cs="Calibri"/>
          <w:sz w:val="22"/>
          <w:szCs w:val="22"/>
        </w:rPr>
        <w:t xml:space="preserve"> that</w:t>
      </w:r>
      <w:r>
        <w:rPr>
          <w:rFonts w:ascii="Calibri" w:hAnsi="Calibri" w:cs="Calibri"/>
          <w:sz w:val="22"/>
          <w:szCs w:val="22"/>
        </w:rPr>
        <w:t xml:space="preserve"> prevent</w:t>
      </w:r>
      <w:r w:rsidR="00BF41F8">
        <w:rPr>
          <w:rFonts w:ascii="Calibri" w:hAnsi="Calibri" w:cs="Calibri"/>
          <w:sz w:val="22"/>
          <w:szCs w:val="22"/>
        </w:rPr>
        <w:t>ed</w:t>
      </w:r>
      <w:r>
        <w:rPr>
          <w:rFonts w:ascii="Calibri" w:hAnsi="Calibri" w:cs="Calibri"/>
          <w:sz w:val="22"/>
          <w:szCs w:val="22"/>
        </w:rPr>
        <w:t xml:space="preserve"> adherence. This was not the case. </w:t>
      </w:r>
      <w:r w:rsidR="00D07C8B">
        <w:rPr>
          <w:rFonts w:ascii="Calibri" w:hAnsi="Calibri" w:cs="Calibri"/>
          <w:sz w:val="22"/>
          <w:szCs w:val="22"/>
        </w:rPr>
        <w:t>Enrollment</w:t>
      </w:r>
      <w:r>
        <w:rPr>
          <w:rFonts w:ascii="Calibri" w:hAnsi="Calibri" w:cs="Calibri"/>
          <w:sz w:val="22"/>
          <w:szCs w:val="22"/>
        </w:rPr>
        <w:t xml:space="preserve"> </w:t>
      </w:r>
      <w:r w:rsidR="009222F0">
        <w:rPr>
          <w:rFonts w:ascii="Calibri" w:hAnsi="Calibri" w:cs="Calibri"/>
          <w:sz w:val="22"/>
          <w:szCs w:val="22"/>
        </w:rPr>
        <w:t>sensitiz</w:t>
      </w:r>
      <w:r>
        <w:rPr>
          <w:rFonts w:ascii="Calibri" w:hAnsi="Calibri" w:cs="Calibri"/>
          <w:sz w:val="22"/>
          <w:szCs w:val="22"/>
        </w:rPr>
        <w:t>ation was not associated with overall or food specific adherence. Furthermore the EAT intervention was effective</w:t>
      </w:r>
      <w:r w:rsidR="00C36676">
        <w:rPr>
          <w:rFonts w:ascii="Calibri" w:hAnsi="Calibri" w:cs="Calibri"/>
          <w:sz w:val="22"/>
          <w:szCs w:val="22"/>
        </w:rPr>
        <w:t xml:space="preserve"> in an </w:t>
      </w:r>
      <w:r w:rsidR="002672A8">
        <w:rPr>
          <w:rFonts w:ascii="Calibri" w:hAnsi="Calibri" w:cs="Calibri"/>
          <w:sz w:val="22"/>
          <w:szCs w:val="22"/>
        </w:rPr>
        <w:t>intention-to-treat</w:t>
      </w:r>
      <w:r w:rsidR="00C36676">
        <w:rPr>
          <w:rFonts w:ascii="Calibri" w:hAnsi="Calibri" w:cs="Calibri"/>
          <w:sz w:val="22"/>
          <w:szCs w:val="22"/>
        </w:rPr>
        <w:t xml:space="preserve"> analysis</w:t>
      </w:r>
      <w:r>
        <w:rPr>
          <w:rFonts w:ascii="Calibri" w:hAnsi="Calibri" w:cs="Calibri"/>
          <w:sz w:val="22"/>
          <w:szCs w:val="22"/>
        </w:rPr>
        <w:t xml:space="preserve"> in </w:t>
      </w:r>
      <w:r w:rsidR="00C36676">
        <w:rPr>
          <w:rFonts w:ascii="Calibri" w:hAnsi="Calibri" w:cs="Calibri"/>
          <w:sz w:val="22"/>
          <w:szCs w:val="22"/>
        </w:rPr>
        <w:t xml:space="preserve">the </w:t>
      </w:r>
      <w:r w:rsidR="00D07C8B">
        <w:rPr>
          <w:rFonts w:ascii="Calibri" w:hAnsi="Calibri" w:cs="Calibri"/>
          <w:sz w:val="22"/>
          <w:szCs w:val="22"/>
        </w:rPr>
        <w:t>enrollment</w:t>
      </w:r>
      <w:r w:rsidR="00C36676">
        <w:rPr>
          <w:rFonts w:ascii="Calibri" w:hAnsi="Calibri" w:cs="Calibri"/>
          <w:sz w:val="22"/>
          <w:szCs w:val="22"/>
        </w:rPr>
        <w:t xml:space="preserve"> </w:t>
      </w:r>
      <w:r w:rsidR="009222F0">
        <w:rPr>
          <w:rFonts w:ascii="Calibri" w:hAnsi="Calibri" w:cs="Calibri"/>
          <w:sz w:val="22"/>
          <w:szCs w:val="22"/>
        </w:rPr>
        <w:t>sensitiz</w:t>
      </w:r>
      <w:r w:rsidR="00C36676">
        <w:rPr>
          <w:rFonts w:ascii="Calibri" w:hAnsi="Calibri" w:cs="Calibri"/>
          <w:sz w:val="22"/>
          <w:szCs w:val="22"/>
        </w:rPr>
        <w:t>ed EIG infants.</w:t>
      </w:r>
      <w:r w:rsidR="00997C0C" w:rsidRPr="00997C0C">
        <w:rPr>
          <w:rFonts w:ascii="Calibri" w:hAnsi="Calibri" w:cs="Calibri"/>
          <w:noProof/>
          <w:sz w:val="22"/>
          <w:szCs w:val="22"/>
          <w:vertAlign w:val="superscript"/>
        </w:rPr>
        <w:t>13</w:t>
      </w:r>
    </w:p>
    <w:p w14:paraId="64DC494B" w14:textId="10237597" w:rsidR="00A01E62" w:rsidRPr="001831AA" w:rsidRDefault="001831AA" w:rsidP="002C4B96">
      <w:pPr>
        <w:widowControl w:val="0"/>
        <w:spacing w:before="120" w:line="480" w:lineRule="auto"/>
        <w:rPr>
          <w:rFonts w:asciiTheme="minorHAnsi" w:hAnsiTheme="minorHAnsi"/>
          <w:sz w:val="22"/>
          <w:szCs w:val="22"/>
        </w:rPr>
      </w:pPr>
      <w:r w:rsidRPr="00421268">
        <w:rPr>
          <w:rFonts w:ascii="Calibri" w:hAnsi="Calibri" w:cs="Calibri"/>
          <w:sz w:val="22"/>
          <w:szCs w:val="22"/>
        </w:rPr>
        <w:t>The early emergence of parental</w:t>
      </w:r>
      <w:r w:rsidRPr="00421268">
        <w:rPr>
          <w:rFonts w:ascii="Calibri" w:hAnsi="Calibri"/>
          <w:sz w:val="22"/>
        </w:rPr>
        <w:t xml:space="preserve"> perceived feeding difficulties and aversive feeding behaviour by four months of age, when families had only just started introducing solids to their EIG infant, had </w:t>
      </w:r>
      <w:r w:rsidRPr="00421268">
        <w:rPr>
          <w:rFonts w:ascii="Calibri" w:hAnsi="Calibri" w:cs="Calibri"/>
          <w:sz w:val="22"/>
          <w:szCs w:val="22"/>
        </w:rPr>
        <w:t>the strongest</w:t>
      </w:r>
      <w:r w:rsidRPr="00421268">
        <w:rPr>
          <w:rFonts w:ascii="Calibri" w:hAnsi="Calibri"/>
          <w:sz w:val="22"/>
        </w:rPr>
        <w:t xml:space="preserve"> associations with non-adherence in the EIG</w:t>
      </w:r>
      <w:r w:rsidR="001C33E7">
        <w:rPr>
          <w:rFonts w:ascii="Calibri" w:hAnsi="Calibri"/>
          <w:sz w:val="22"/>
        </w:rPr>
        <w:t xml:space="preserve"> </w:t>
      </w:r>
      <w:r w:rsidRPr="00421268">
        <w:rPr>
          <w:rFonts w:ascii="Calibri" w:hAnsi="Calibri"/>
          <w:sz w:val="22"/>
        </w:rPr>
        <w:t xml:space="preserve">and </w:t>
      </w:r>
      <w:r w:rsidR="001C33E7">
        <w:rPr>
          <w:rFonts w:ascii="Calibri" w:hAnsi="Calibri"/>
          <w:sz w:val="22"/>
        </w:rPr>
        <w:t>were also</w:t>
      </w:r>
      <w:r w:rsidRPr="00421268">
        <w:rPr>
          <w:rFonts w:ascii="Calibri" w:hAnsi="Calibri"/>
          <w:sz w:val="22"/>
        </w:rPr>
        <w:t xml:space="preserve"> associated with </w:t>
      </w:r>
      <w:r w:rsidR="00BF41F8">
        <w:rPr>
          <w:rFonts w:ascii="Calibri" w:hAnsi="Calibri"/>
          <w:sz w:val="22"/>
        </w:rPr>
        <w:t xml:space="preserve">later introduction of </w:t>
      </w:r>
      <w:r w:rsidRPr="00421268">
        <w:rPr>
          <w:rFonts w:ascii="Calibri" w:hAnsi="Calibri"/>
          <w:sz w:val="22"/>
        </w:rPr>
        <w:t xml:space="preserve">allergenic foods. </w:t>
      </w:r>
      <w:r w:rsidR="00F12817" w:rsidRPr="00F12817">
        <w:rPr>
          <w:rFonts w:ascii="Calibri" w:hAnsi="Calibri" w:cs="Calibri"/>
          <w:sz w:val="22"/>
          <w:szCs w:val="22"/>
        </w:rPr>
        <w:t>T</w:t>
      </w:r>
      <w:r w:rsidR="00A01E62" w:rsidRPr="00F12817">
        <w:rPr>
          <w:rFonts w:ascii="Calibri" w:hAnsi="Calibri" w:cs="Calibri"/>
          <w:sz w:val="22"/>
          <w:szCs w:val="22"/>
        </w:rPr>
        <w:t xml:space="preserve">his </w:t>
      </w:r>
      <w:r w:rsidR="00BF41F8">
        <w:rPr>
          <w:rFonts w:ascii="Calibri" w:hAnsi="Calibri" w:cs="Calibri"/>
          <w:sz w:val="22"/>
          <w:szCs w:val="22"/>
        </w:rPr>
        <w:t xml:space="preserve">finding </w:t>
      </w:r>
      <w:r w:rsidR="00A01E62" w:rsidRPr="00F12817">
        <w:rPr>
          <w:rFonts w:ascii="Calibri" w:hAnsi="Calibri" w:cs="Calibri"/>
          <w:sz w:val="22"/>
          <w:szCs w:val="22"/>
        </w:rPr>
        <w:t xml:space="preserve">suggests that </w:t>
      </w:r>
      <w:r w:rsidR="00F12817" w:rsidRPr="00F12817">
        <w:rPr>
          <w:rFonts w:ascii="Calibri" w:hAnsi="Calibri" w:cs="Calibri"/>
          <w:sz w:val="22"/>
          <w:szCs w:val="22"/>
        </w:rPr>
        <w:t>families</w:t>
      </w:r>
      <w:r w:rsidR="00A01E62" w:rsidRPr="00F12817">
        <w:rPr>
          <w:rFonts w:ascii="Calibri" w:hAnsi="Calibri" w:cs="Calibri"/>
          <w:sz w:val="22"/>
          <w:szCs w:val="22"/>
        </w:rPr>
        <w:t xml:space="preserve"> </w:t>
      </w:r>
      <w:r w:rsidR="00F12817" w:rsidRPr="00F12817">
        <w:rPr>
          <w:rFonts w:ascii="Calibri" w:hAnsi="Calibri" w:cs="Calibri"/>
          <w:sz w:val="22"/>
          <w:szCs w:val="22"/>
        </w:rPr>
        <w:t xml:space="preserve">were trying to feed their infant the allergenic food, but if the family perceived </w:t>
      </w:r>
      <w:r w:rsidR="00BF41F8">
        <w:rPr>
          <w:rFonts w:ascii="Calibri" w:hAnsi="Calibri" w:cs="Calibri"/>
          <w:sz w:val="22"/>
          <w:szCs w:val="22"/>
        </w:rPr>
        <w:t xml:space="preserve">that </w:t>
      </w:r>
      <w:r w:rsidR="00F12817" w:rsidRPr="00F12817">
        <w:rPr>
          <w:rFonts w:ascii="Calibri" w:hAnsi="Calibri" w:cs="Calibri"/>
          <w:sz w:val="22"/>
          <w:szCs w:val="22"/>
        </w:rPr>
        <w:t xml:space="preserve">their infant </w:t>
      </w:r>
      <w:r w:rsidR="00BF41F8">
        <w:rPr>
          <w:rFonts w:ascii="Calibri" w:hAnsi="Calibri" w:cs="Calibri"/>
          <w:sz w:val="22"/>
          <w:szCs w:val="22"/>
        </w:rPr>
        <w:t xml:space="preserve">was not </w:t>
      </w:r>
      <w:r w:rsidR="00F12817" w:rsidRPr="00F12817">
        <w:rPr>
          <w:rFonts w:ascii="Calibri" w:hAnsi="Calibri" w:cs="Calibri"/>
          <w:sz w:val="22"/>
          <w:szCs w:val="22"/>
        </w:rPr>
        <w:t>ready or mature enough</w:t>
      </w:r>
      <w:r w:rsidR="0010591B">
        <w:rPr>
          <w:rFonts w:ascii="Calibri" w:hAnsi="Calibri" w:cs="Calibri"/>
          <w:sz w:val="22"/>
          <w:szCs w:val="22"/>
        </w:rPr>
        <w:t xml:space="preserve">, and </w:t>
      </w:r>
      <w:r w:rsidR="00523081">
        <w:rPr>
          <w:rFonts w:ascii="Calibri" w:hAnsi="Calibri" w:cs="Calibri"/>
          <w:sz w:val="22"/>
          <w:szCs w:val="22"/>
        </w:rPr>
        <w:t>they were struggling to achieve the study's stipulated consumption levels, then</w:t>
      </w:r>
      <w:r w:rsidR="0010591B">
        <w:rPr>
          <w:rFonts w:ascii="Calibri" w:hAnsi="Calibri" w:cs="Calibri"/>
          <w:sz w:val="22"/>
          <w:szCs w:val="22"/>
        </w:rPr>
        <w:t>,</w:t>
      </w:r>
      <w:r w:rsidR="00523081">
        <w:rPr>
          <w:rFonts w:ascii="Calibri" w:hAnsi="Calibri" w:cs="Calibri"/>
          <w:sz w:val="22"/>
          <w:szCs w:val="22"/>
        </w:rPr>
        <w:t xml:space="preserve"> particularly for certain foods</w:t>
      </w:r>
      <w:r w:rsidR="0010591B">
        <w:rPr>
          <w:rFonts w:ascii="Calibri" w:hAnsi="Calibri" w:cs="Calibri"/>
          <w:sz w:val="22"/>
          <w:szCs w:val="22"/>
        </w:rPr>
        <w:t>,</w:t>
      </w:r>
      <w:r w:rsidR="00523081">
        <w:rPr>
          <w:rFonts w:ascii="Calibri" w:hAnsi="Calibri" w:cs="Calibri"/>
          <w:sz w:val="22"/>
          <w:szCs w:val="22"/>
        </w:rPr>
        <w:t xml:space="preserve"> having reached a specific level of consumption in the key early introduction period, they did not </w:t>
      </w:r>
      <w:r w:rsidR="00BF41F8">
        <w:rPr>
          <w:rFonts w:ascii="Calibri" w:hAnsi="Calibri" w:cs="Calibri"/>
          <w:sz w:val="22"/>
          <w:szCs w:val="22"/>
        </w:rPr>
        <w:t xml:space="preserve">attempt to </w:t>
      </w:r>
      <w:r w:rsidR="00523081">
        <w:rPr>
          <w:rFonts w:ascii="Calibri" w:hAnsi="Calibri" w:cs="Calibri"/>
          <w:sz w:val="22"/>
          <w:szCs w:val="22"/>
        </w:rPr>
        <w:t>escalate this level further</w:t>
      </w:r>
      <w:r w:rsidR="00BF41F8">
        <w:rPr>
          <w:rFonts w:ascii="Calibri" w:hAnsi="Calibri" w:cs="Calibri"/>
          <w:sz w:val="22"/>
          <w:szCs w:val="22"/>
        </w:rPr>
        <w:t xml:space="preserve"> beyond six months</w:t>
      </w:r>
      <w:r w:rsidR="005D2E1E">
        <w:rPr>
          <w:rFonts w:ascii="Calibri" w:hAnsi="Calibri" w:cs="Calibri"/>
          <w:sz w:val="22"/>
          <w:szCs w:val="22"/>
        </w:rPr>
        <w:t xml:space="preserve">. </w:t>
      </w:r>
    </w:p>
    <w:p w14:paraId="47E8272F" w14:textId="1C325F4C" w:rsidR="00F12817" w:rsidRDefault="00F12817" w:rsidP="002C4B96">
      <w:pPr>
        <w:spacing w:before="120" w:line="480" w:lineRule="auto"/>
        <w:rPr>
          <w:rFonts w:ascii="Calibri" w:hAnsi="Calibri" w:cs="Calibri"/>
          <w:sz w:val="22"/>
          <w:szCs w:val="22"/>
        </w:rPr>
      </w:pPr>
      <w:r w:rsidRPr="00F12817">
        <w:rPr>
          <w:rFonts w:ascii="Calibri" w:hAnsi="Calibri" w:cs="Calibri"/>
          <w:sz w:val="22"/>
          <w:szCs w:val="22"/>
        </w:rPr>
        <w:t xml:space="preserve">That infant maturity may be a key factor was demonstrated in our recent </w:t>
      </w:r>
      <w:r w:rsidR="001831AA" w:rsidRPr="00F12817">
        <w:rPr>
          <w:rFonts w:ascii="Calibri" w:hAnsi="Calibri" w:cs="Calibri"/>
          <w:sz w:val="22"/>
          <w:szCs w:val="22"/>
        </w:rPr>
        <w:t>analysis</w:t>
      </w:r>
      <w:r w:rsidRPr="00F12817">
        <w:rPr>
          <w:rFonts w:ascii="Calibri" w:hAnsi="Calibri" w:cs="Calibri"/>
          <w:sz w:val="22"/>
          <w:szCs w:val="22"/>
        </w:rPr>
        <w:t xml:space="preserve"> of sleep data within the cohort. </w:t>
      </w:r>
      <w:r w:rsidR="003C133B">
        <w:rPr>
          <w:rFonts w:ascii="Calibri" w:hAnsi="Calibri" w:cs="Calibri"/>
          <w:sz w:val="22"/>
          <w:szCs w:val="22"/>
        </w:rPr>
        <w:t xml:space="preserve">In this study, we showed in an </w:t>
      </w:r>
      <w:r w:rsidR="002672A8">
        <w:rPr>
          <w:rFonts w:ascii="Calibri" w:hAnsi="Calibri" w:cs="Calibri"/>
          <w:sz w:val="22"/>
          <w:szCs w:val="22"/>
        </w:rPr>
        <w:t>intention-to-treat</w:t>
      </w:r>
      <w:r w:rsidR="003C133B">
        <w:rPr>
          <w:rFonts w:ascii="Calibri" w:hAnsi="Calibri" w:cs="Calibri"/>
          <w:sz w:val="22"/>
          <w:szCs w:val="22"/>
        </w:rPr>
        <w:t xml:space="preserve"> analysis that early introduction in the EIG was associated with greater duration and quality of sleep.</w:t>
      </w:r>
      <w:r w:rsidR="00997C0C" w:rsidRPr="00997C0C">
        <w:rPr>
          <w:rFonts w:ascii="Calibri" w:hAnsi="Calibri" w:cs="Calibri"/>
          <w:noProof/>
          <w:sz w:val="22"/>
          <w:szCs w:val="22"/>
          <w:vertAlign w:val="superscript"/>
        </w:rPr>
        <w:t>17</w:t>
      </w:r>
      <w:r w:rsidR="003C133B">
        <w:rPr>
          <w:rFonts w:ascii="Calibri" w:hAnsi="Calibri" w:cs="Calibri"/>
          <w:sz w:val="22"/>
          <w:szCs w:val="22"/>
        </w:rPr>
        <w:t xml:space="preserve"> However,</w:t>
      </w:r>
      <w:r w:rsidR="003C133B" w:rsidRPr="00F12817">
        <w:rPr>
          <w:rFonts w:ascii="Calibri" w:hAnsi="Calibri" w:cs="Calibri"/>
          <w:sz w:val="22"/>
          <w:szCs w:val="22"/>
        </w:rPr>
        <w:t xml:space="preserve"> </w:t>
      </w:r>
      <w:r w:rsidRPr="00F12817">
        <w:rPr>
          <w:rFonts w:ascii="Calibri" w:hAnsi="Calibri" w:cs="Calibri"/>
          <w:sz w:val="22"/>
          <w:szCs w:val="22"/>
        </w:rPr>
        <w:t xml:space="preserve">EIG infants who were sleeping better at </w:t>
      </w:r>
      <w:r w:rsidR="00D07C8B">
        <w:rPr>
          <w:rFonts w:ascii="Calibri" w:hAnsi="Calibri" w:cs="Calibri"/>
          <w:sz w:val="22"/>
          <w:szCs w:val="22"/>
        </w:rPr>
        <w:t>enrollment</w:t>
      </w:r>
      <w:r w:rsidRPr="00F12817">
        <w:rPr>
          <w:rFonts w:ascii="Calibri" w:hAnsi="Calibri" w:cs="Calibri"/>
          <w:sz w:val="22"/>
          <w:szCs w:val="22"/>
        </w:rPr>
        <w:t xml:space="preserve"> were more likely to subsequently be per-protocol adherent, suggesting that infant maturity is the link between the ability to</w:t>
      </w:r>
      <w:r w:rsidR="0054434F">
        <w:rPr>
          <w:rFonts w:ascii="Calibri" w:hAnsi="Calibri" w:cs="Calibri"/>
          <w:sz w:val="22"/>
          <w:szCs w:val="22"/>
        </w:rPr>
        <w:t xml:space="preserve"> sleep better and to eat better</w:t>
      </w:r>
      <w:r w:rsidRPr="005319F6">
        <w:rPr>
          <w:rFonts w:ascii="Calibri" w:hAnsi="Calibri" w:cs="Calibri"/>
          <w:sz w:val="22"/>
          <w:szCs w:val="22"/>
        </w:rPr>
        <w:t>.</w:t>
      </w:r>
      <w:r w:rsidR="00997C0C" w:rsidRPr="00997C0C">
        <w:rPr>
          <w:rFonts w:ascii="Calibri" w:hAnsi="Calibri" w:cs="Calibri"/>
          <w:noProof/>
          <w:sz w:val="22"/>
          <w:szCs w:val="22"/>
          <w:vertAlign w:val="superscript"/>
        </w:rPr>
        <w:t>17</w:t>
      </w:r>
    </w:p>
    <w:p w14:paraId="7CB14730" w14:textId="2299B8A5" w:rsidR="001831AA" w:rsidRPr="00F12817" w:rsidRDefault="001831AA" w:rsidP="002C4B96">
      <w:pPr>
        <w:spacing w:before="120" w:line="480" w:lineRule="auto"/>
        <w:rPr>
          <w:rFonts w:ascii="Calibri" w:hAnsi="Calibri" w:cs="Calibri"/>
          <w:sz w:val="22"/>
          <w:szCs w:val="22"/>
        </w:rPr>
      </w:pPr>
      <w:r w:rsidRPr="00421268">
        <w:rPr>
          <w:rFonts w:ascii="Calibri" w:hAnsi="Calibri"/>
          <w:sz w:val="22"/>
        </w:rPr>
        <w:t>Feeding difficulties were also shown in the IFS2010 to have a strong association with ethnicity</w:t>
      </w:r>
      <w:r>
        <w:rPr>
          <w:rFonts w:ascii="Calibri" w:hAnsi="Calibri"/>
          <w:sz w:val="22"/>
        </w:rPr>
        <w:t xml:space="preserve"> (</w:t>
      </w:r>
      <w:r w:rsidRPr="001831AA">
        <w:rPr>
          <w:rFonts w:ascii="Calibri" w:hAnsi="Calibri"/>
          <w:sz w:val="22"/>
        </w:rPr>
        <w:t xml:space="preserve">considered in more </w:t>
      </w:r>
      <w:r w:rsidR="003B1012" w:rsidRPr="003B1012">
        <w:rPr>
          <w:rFonts w:ascii="Calibri" w:hAnsi="Calibri"/>
          <w:sz w:val="22"/>
        </w:rPr>
        <w:t xml:space="preserve">detail in the section: </w:t>
      </w:r>
      <w:r w:rsidR="003B1012" w:rsidRPr="003B1012">
        <w:rPr>
          <w:rFonts w:ascii="Calibri" w:hAnsi="Calibri"/>
          <w:i/>
          <w:sz w:val="22"/>
        </w:rPr>
        <w:t xml:space="preserve">Comparison with the Infant Feeding Survey 2010 </w:t>
      </w:r>
      <w:r w:rsidR="003B1012" w:rsidRPr="003B1012">
        <w:rPr>
          <w:rFonts w:ascii="Calibri" w:hAnsi="Calibri"/>
          <w:sz w:val="22"/>
        </w:rPr>
        <w:t>findings</w:t>
      </w:r>
      <w:r w:rsidR="003B1012">
        <w:rPr>
          <w:rFonts w:ascii="Calibri" w:hAnsi="Calibri"/>
          <w:sz w:val="22"/>
        </w:rPr>
        <w:t xml:space="preserve"> </w:t>
      </w:r>
      <w:r w:rsidR="003B1012" w:rsidRPr="003B1012">
        <w:rPr>
          <w:rFonts w:ascii="Calibri" w:hAnsi="Calibri"/>
          <w:sz w:val="22"/>
        </w:rPr>
        <w:t xml:space="preserve">in </w:t>
      </w:r>
      <w:r w:rsidR="003B1012" w:rsidRPr="003B1012">
        <w:rPr>
          <w:rFonts w:ascii="Calibri" w:hAnsi="Calibri"/>
          <w:sz w:val="22"/>
        </w:rPr>
        <w:lastRenderedPageBreak/>
        <w:t>the Discussion in this article's Online Repository</w:t>
      </w:r>
      <w:r>
        <w:rPr>
          <w:rFonts w:ascii="Calibri" w:hAnsi="Calibri"/>
          <w:sz w:val="22"/>
        </w:rPr>
        <w:t>)</w:t>
      </w:r>
      <w:r w:rsidRPr="00421268">
        <w:rPr>
          <w:rFonts w:ascii="Calibri" w:hAnsi="Calibri"/>
          <w:sz w:val="22"/>
        </w:rPr>
        <w:t>.</w:t>
      </w:r>
      <w:r w:rsidR="00997C0C" w:rsidRPr="00997C0C">
        <w:rPr>
          <w:rFonts w:ascii="Calibri" w:hAnsi="Calibri"/>
          <w:noProof/>
          <w:sz w:val="22"/>
          <w:vertAlign w:val="superscript"/>
        </w:rPr>
        <w:t>15</w:t>
      </w:r>
      <w:r w:rsidRPr="00421268">
        <w:rPr>
          <w:rFonts w:ascii="Calibri" w:hAnsi="Calibri"/>
          <w:sz w:val="22"/>
        </w:rPr>
        <w:t xml:space="preserve"> </w:t>
      </w:r>
      <w:r w:rsidRPr="00421268">
        <w:rPr>
          <w:rFonts w:ascii="Calibri" w:hAnsi="Calibri" w:cs="Calibri"/>
          <w:sz w:val="22"/>
          <w:szCs w:val="22"/>
        </w:rPr>
        <w:t xml:space="preserve">However, </w:t>
      </w:r>
      <w:r w:rsidR="00D9492A">
        <w:rPr>
          <w:rFonts w:ascii="Calibri" w:hAnsi="Calibri" w:cs="Calibri"/>
          <w:sz w:val="22"/>
          <w:szCs w:val="22"/>
        </w:rPr>
        <w:t xml:space="preserve">survey </w:t>
      </w:r>
      <w:r w:rsidRPr="00421268">
        <w:rPr>
          <w:rFonts w:ascii="Calibri" w:hAnsi="Calibri" w:cs="Calibri"/>
          <w:sz w:val="22"/>
          <w:szCs w:val="22"/>
        </w:rPr>
        <w:t xml:space="preserve">questions about feeding difficulties in the context of a randomized controlled trial where the intervention sets high expectations for the introduction of foods, are likely to over-estimate the prevalence of true feeding difficulties which might be seen if a parent </w:t>
      </w:r>
      <w:r w:rsidRPr="00421268">
        <w:rPr>
          <w:rFonts w:asciiTheme="minorHAnsi" w:hAnsiTheme="minorHAnsi" w:cs="Calibri"/>
          <w:sz w:val="22"/>
          <w:szCs w:val="22"/>
        </w:rPr>
        <w:t>were left to introduce solids at a time and in a way of their choosing.</w:t>
      </w:r>
    </w:p>
    <w:p w14:paraId="7B63CCE4" w14:textId="087FB3AA" w:rsidR="007857F7" w:rsidRPr="00042463" w:rsidRDefault="002672A8" w:rsidP="000E7D5A">
      <w:pPr>
        <w:spacing w:before="120" w:line="480" w:lineRule="auto"/>
        <w:rPr>
          <w:rFonts w:asciiTheme="minorHAnsi" w:hAnsiTheme="minorHAnsi" w:cs="Calibri"/>
          <w:sz w:val="22"/>
          <w:szCs w:val="22"/>
        </w:rPr>
      </w:pPr>
      <w:r>
        <w:rPr>
          <w:rFonts w:asciiTheme="minorHAnsi" w:hAnsiTheme="minorHAnsi" w:cs="Calibri"/>
          <w:sz w:val="22"/>
          <w:szCs w:val="22"/>
        </w:rPr>
        <w:t>The primary strength</w:t>
      </w:r>
      <w:r w:rsidR="00B16277" w:rsidRPr="00042463">
        <w:rPr>
          <w:rFonts w:asciiTheme="minorHAnsi" w:hAnsiTheme="minorHAnsi" w:cs="Calibri"/>
          <w:sz w:val="22"/>
          <w:szCs w:val="22"/>
        </w:rPr>
        <w:t xml:space="preserve"> of this analysis </w:t>
      </w:r>
      <w:r>
        <w:rPr>
          <w:rFonts w:asciiTheme="minorHAnsi" w:hAnsiTheme="minorHAnsi" w:cs="Calibri"/>
          <w:sz w:val="22"/>
          <w:szCs w:val="22"/>
        </w:rPr>
        <w:t>is</w:t>
      </w:r>
      <w:r w:rsidR="00B16277" w:rsidRPr="00042463">
        <w:rPr>
          <w:rFonts w:asciiTheme="minorHAnsi" w:hAnsiTheme="minorHAnsi" w:cs="Calibri"/>
          <w:sz w:val="22"/>
          <w:szCs w:val="22"/>
        </w:rPr>
        <w:t xml:space="preserve"> that t</w:t>
      </w:r>
      <w:r w:rsidR="00F22944" w:rsidRPr="00042463">
        <w:rPr>
          <w:rFonts w:asciiTheme="minorHAnsi" w:hAnsiTheme="minorHAnsi" w:cs="Calibri"/>
          <w:sz w:val="22"/>
          <w:szCs w:val="22"/>
        </w:rPr>
        <w:t>he EAT study cohort was recruited from the general population.</w:t>
      </w:r>
      <w:r w:rsidR="00B16277" w:rsidRPr="00042463">
        <w:rPr>
          <w:rFonts w:asciiTheme="minorHAnsi" w:hAnsiTheme="minorHAnsi" w:cs="Calibri"/>
          <w:sz w:val="22"/>
          <w:szCs w:val="22"/>
        </w:rPr>
        <w:t xml:space="preserve"> </w:t>
      </w:r>
      <w:r w:rsidR="00042463" w:rsidRPr="00042463">
        <w:rPr>
          <w:rFonts w:asciiTheme="minorHAnsi" w:hAnsiTheme="minorHAnsi" w:cs="Calibri"/>
          <w:sz w:val="22"/>
          <w:szCs w:val="22"/>
        </w:rPr>
        <w:t xml:space="preserve">The children were meticulously studied and have been </w:t>
      </w:r>
      <w:r w:rsidR="00B16277" w:rsidRPr="00042463">
        <w:rPr>
          <w:rFonts w:asciiTheme="minorHAnsi" w:hAnsiTheme="minorHAnsi" w:cs="Calibri"/>
          <w:sz w:val="22"/>
          <w:szCs w:val="22"/>
        </w:rPr>
        <w:t xml:space="preserve">shown </w:t>
      </w:r>
      <w:r w:rsidR="00042463" w:rsidRPr="00042463">
        <w:rPr>
          <w:rFonts w:asciiTheme="minorHAnsi" w:hAnsiTheme="minorHAnsi" w:cs="Calibri"/>
          <w:sz w:val="22"/>
          <w:szCs w:val="22"/>
        </w:rPr>
        <w:t xml:space="preserve">to have </w:t>
      </w:r>
      <w:r w:rsidR="00B16277" w:rsidRPr="00042463">
        <w:rPr>
          <w:rFonts w:asciiTheme="minorHAnsi" w:hAnsiTheme="minorHAnsi" w:cs="Calibri"/>
          <w:sz w:val="22"/>
          <w:szCs w:val="22"/>
        </w:rPr>
        <w:t>demographic characteristics broadly similar to the population of England and Wales.</w:t>
      </w:r>
      <w:r w:rsidR="00185841" w:rsidRPr="00042463">
        <w:rPr>
          <w:rFonts w:asciiTheme="minorHAnsi" w:hAnsiTheme="minorHAnsi" w:cs="Calibri"/>
          <w:noProof/>
          <w:sz w:val="22"/>
          <w:szCs w:val="22"/>
          <w:vertAlign w:val="superscript"/>
        </w:rPr>
        <w:t>1</w:t>
      </w:r>
      <w:r w:rsidR="00042463" w:rsidRPr="00042463">
        <w:rPr>
          <w:rFonts w:asciiTheme="minorHAnsi" w:hAnsiTheme="minorHAnsi" w:cs="Calibri"/>
          <w:sz w:val="22"/>
          <w:szCs w:val="22"/>
        </w:rPr>
        <w:t xml:space="preserve"> </w:t>
      </w:r>
      <w:r w:rsidR="00D347F0" w:rsidRPr="00042463">
        <w:rPr>
          <w:rFonts w:asciiTheme="minorHAnsi" w:hAnsiTheme="minorHAnsi" w:cs="Calibri"/>
          <w:sz w:val="22"/>
          <w:szCs w:val="22"/>
        </w:rPr>
        <w:t xml:space="preserve">The potential weakness of our findings </w:t>
      </w:r>
      <w:r>
        <w:rPr>
          <w:rFonts w:asciiTheme="minorHAnsi" w:hAnsiTheme="minorHAnsi" w:cs="Calibri"/>
          <w:sz w:val="22"/>
          <w:szCs w:val="22"/>
        </w:rPr>
        <w:t>is</w:t>
      </w:r>
      <w:r w:rsidR="00D347F0" w:rsidRPr="00042463">
        <w:rPr>
          <w:rFonts w:asciiTheme="minorHAnsi" w:hAnsiTheme="minorHAnsi" w:cs="Calibri"/>
          <w:sz w:val="22"/>
          <w:szCs w:val="22"/>
        </w:rPr>
        <w:t xml:space="preserve"> the extent to which it can be concluded that factors pertaining to the difficulty in following the highly prescriptive EAT early introduction regimen might relate to the success of early allergenic food introduction in the real world. </w:t>
      </w:r>
      <w:r w:rsidR="007857F7" w:rsidRPr="00042463">
        <w:rPr>
          <w:rFonts w:asciiTheme="minorHAnsi" w:hAnsiTheme="minorHAnsi" w:cs="Calibri"/>
          <w:sz w:val="22"/>
          <w:szCs w:val="22"/>
        </w:rPr>
        <w:t>However, we have previously shown</w:t>
      </w:r>
      <w:r w:rsidR="00042463" w:rsidRPr="00042463">
        <w:rPr>
          <w:rFonts w:asciiTheme="minorHAnsi" w:hAnsiTheme="minorHAnsi" w:cs="Calibri"/>
          <w:sz w:val="22"/>
          <w:szCs w:val="22"/>
        </w:rPr>
        <w:t xml:space="preserve"> with modelling of our consumption </w:t>
      </w:r>
      <w:r w:rsidR="00FD52D8">
        <w:rPr>
          <w:rFonts w:asciiTheme="minorHAnsi" w:hAnsiTheme="minorHAnsi" w:cs="Calibri"/>
          <w:sz w:val="22"/>
          <w:szCs w:val="22"/>
        </w:rPr>
        <w:t xml:space="preserve">data </w:t>
      </w:r>
      <w:r w:rsidR="00042463" w:rsidRPr="00042463">
        <w:rPr>
          <w:rFonts w:asciiTheme="minorHAnsi" w:hAnsiTheme="minorHAnsi" w:cs="Calibri"/>
          <w:sz w:val="22"/>
          <w:szCs w:val="22"/>
        </w:rPr>
        <w:t>that that mean weekly consumption of 2 g of peanut protein (50% of the recommended EAT weekly dose) was associated with prevention of peanut allergy</w:t>
      </w:r>
      <w:r w:rsidR="000E7D5A" w:rsidRPr="000E7D5A">
        <w:rPr>
          <w:rFonts w:asciiTheme="minorHAnsi" w:hAnsiTheme="minorHAnsi" w:cs="Calibri"/>
          <w:sz w:val="22"/>
          <w:szCs w:val="22"/>
        </w:rPr>
        <w:t xml:space="preserve"> </w:t>
      </w:r>
      <w:r w:rsidR="000E7D5A">
        <w:rPr>
          <w:rFonts w:asciiTheme="minorHAnsi" w:hAnsiTheme="minorHAnsi" w:cs="Calibri"/>
          <w:sz w:val="22"/>
          <w:szCs w:val="22"/>
        </w:rPr>
        <w:t>and</w:t>
      </w:r>
      <w:r w:rsidR="000E7D5A" w:rsidRPr="000E7D5A">
        <w:t xml:space="preserve"> </w:t>
      </w:r>
      <w:r w:rsidR="000E7D5A" w:rsidRPr="000E7D5A">
        <w:rPr>
          <w:rFonts w:asciiTheme="minorHAnsi" w:hAnsiTheme="minorHAnsi" w:cs="Calibri"/>
          <w:sz w:val="22"/>
          <w:szCs w:val="22"/>
        </w:rPr>
        <w:t>a</w:t>
      </w:r>
      <w:r w:rsidR="000E7D5A">
        <w:rPr>
          <w:rFonts w:asciiTheme="minorHAnsi" w:hAnsiTheme="minorHAnsi" w:cs="Calibri"/>
          <w:sz w:val="22"/>
          <w:szCs w:val="22"/>
        </w:rPr>
        <w:t xml:space="preserve"> </w:t>
      </w:r>
      <w:r w:rsidR="000E7D5A" w:rsidRPr="000E7D5A">
        <w:rPr>
          <w:rFonts w:asciiTheme="minorHAnsi" w:hAnsiTheme="minorHAnsi" w:cs="Calibri"/>
          <w:sz w:val="22"/>
          <w:szCs w:val="22"/>
        </w:rPr>
        <w:t>dose</w:t>
      </w:r>
      <w:r w:rsidR="000E7D5A">
        <w:rPr>
          <w:rFonts w:asciiTheme="minorHAnsi" w:hAnsiTheme="minorHAnsi" w:cs="Calibri"/>
          <w:sz w:val="22"/>
          <w:szCs w:val="22"/>
        </w:rPr>
        <w:t xml:space="preserve"> </w:t>
      </w:r>
      <w:r w:rsidR="000E7D5A" w:rsidRPr="000E7D5A">
        <w:rPr>
          <w:rFonts w:asciiTheme="minorHAnsi" w:hAnsiTheme="minorHAnsi" w:cs="Calibri"/>
          <w:sz w:val="22"/>
          <w:szCs w:val="22"/>
        </w:rPr>
        <w:t>response relationship for protection against</w:t>
      </w:r>
      <w:r w:rsidR="000E7D5A">
        <w:rPr>
          <w:rFonts w:asciiTheme="minorHAnsi" w:hAnsiTheme="minorHAnsi" w:cs="Calibri"/>
          <w:sz w:val="22"/>
          <w:szCs w:val="22"/>
        </w:rPr>
        <w:t xml:space="preserve"> </w:t>
      </w:r>
      <w:r w:rsidR="000E7D5A" w:rsidRPr="000E7D5A">
        <w:rPr>
          <w:rFonts w:asciiTheme="minorHAnsi" w:hAnsiTheme="minorHAnsi" w:cs="Calibri"/>
          <w:sz w:val="22"/>
          <w:szCs w:val="22"/>
        </w:rPr>
        <w:t>peanut allergy and egg allergy</w:t>
      </w:r>
      <w:r w:rsidR="000E7D5A">
        <w:rPr>
          <w:rFonts w:asciiTheme="minorHAnsi" w:hAnsiTheme="minorHAnsi" w:cs="Calibri"/>
          <w:sz w:val="22"/>
          <w:szCs w:val="22"/>
        </w:rPr>
        <w:t xml:space="preserve"> was apparent</w:t>
      </w:r>
      <w:r w:rsidR="00042463" w:rsidRPr="00042463">
        <w:rPr>
          <w:rFonts w:asciiTheme="minorHAnsi" w:hAnsiTheme="minorHAnsi" w:cs="Calibri"/>
          <w:sz w:val="22"/>
          <w:szCs w:val="22"/>
        </w:rPr>
        <w:t>.</w:t>
      </w:r>
      <w:r w:rsidR="00042463" w:rsidRPr="00042463">
        <w:rPr>
          <w:rFonts w:asciiTheme="minorHAnsi" w:hAnsiTheme="minorHAnsi" w:cs="Calibri"/>
          <w:noProof/>
          <w:sz w:val="22"/>
          <w:szCs w:val="22"/>
          <w:vertAlign w:val="superscript"/>
        </w:rPr>
        <w:t>2</w:t>
      </w:r>
      <w:r w:rsidR="007857F7" w:rsidRPr="00042463">
        <w:rPr>
          <w:rFonts w:asciiTheme="minorHAnsi" w:hAnsiTheme="minorHAnsi" w:cs="Calibri"/>
          <w:sz w:val="22"/>
          <w:szCs w:val="22"/>
        </w:rPr>
        <w:t xml:space="preserve"> </w:t>
      </w:r>
    </w:p>
    <w:p w14:paraId="3402EAB8" w14:textId="505380CE" w:rsidR="00D347F0" w:rsidRDefault="00D347F0" w:rsidP="00D347F0">
      <w:pPr>
        <w:spacing w:before="120" w:line="480" w:lineRule="auto"/>
        <w:rPr>
          <w:rFonts w:ascii="Calibri" w:hAnsi="Calibri" w:cs="Calibri"/>
          <w:sz w:val="22"/>
          <w:szCs w:val="22"/>
        </w:rPr>
      </w:pPr>
      <w:r w:rsidRPr="00D347F0">
        <w:rPr>
          <w:rFonts w:ascii="Calibri" w:hAnsi="Calibri" w:cs="Calibri"/>
          <w:sz w:val="22"/>
          <w:szCs w:val="22"/>
        </w:rPr>
        <w:t>It has been recognised by others that when clinical efficacy has been demonstrated in trials such as EAT and particularly LEAP, translating this into a public health intervention is complex and the results are likely to be subject to effect modification in different populations.</w:t>
      </w:r>
      <w:r w:rsidR="00997C0C" w:rsidRPr="00997C0C">
        <w:rPr>
          <w:rFonts w:ascii="Calibri" w:hAnsi="Calibri" w:cs="Calibri"/>
          <w:noProof/>
          <w:sz w:val="22"/>
          <w:szCs w:val="22"/>
          <w:vertAlign w:val="superscript"/>
        </w:rPr>
        <w:t>18</w:t>
      </w:r>
      <w:r w:rsidRPr="00D347F0">
        <w:rPr>
          <w:rFonts w:ascii="Calibri" w:hAnsi="Calibri" w:cs="Calibri"/>
          <w:sz w:val="22"/>
          <w:szCs w:val="22"/>
        </w:rPr>
        <w:t xml:space="preserve"> </w:t>
      </w:r>
      <w:proofErr w:type="gramStart"/>
      <w:r w:rsidRPr="00D347F0">
        <w:rPr>
          <w:rFonts w:ascii="Calibri" w:hAnsi="Calibri" w:cs="Calibri"/>
          <w:sz w:val="22"/>
          <w:szCs w:val="22"/>
        </w:rPr>
        <w:t>Hence</w:t>
      </w:r>
      <w:proofErr w:type="gramEnd"/>
      <w:r w:rsidRPr="00D347F0">
        <w:rPr>
          <w:rFonts w:ascii="Calibri" w:hAnsi="Calibri" w:cs="Calibri"/>
          <w:sz w:val="22"/>
          <w:szCs w:val="22"/>
        </w:rPr>
        <w:t xml:space="preserve"> the call for plausibility trials to evaluate the impact of large-scale public health programs. Such trials serve to identify the barriers and facilitators of the intervention in the real world.</w:t>
      </w:r>
      <w:r w:rsidR="00997C0C" w:rsidRPr="00997C0C">
        <w:rPr>
          <w:rFonts w:ascii="Calibri" w:hAnsi="Calibri" w:cs="Calibri"/>
          <w:noProof/>
          <w:sz w:val="22"/>
          <w:szCs w:val="22"/>
          <w:vertAlign w:val="superscript"/>
        </w:rPr>
        <w:t>18</w:t>
      </w:r>
    </w:p>
    <w:p w14:paraId="1C65DCE4" w14:textId="116524A5" w:rsidR="00D4201A" w:rsidRDefault="00255A69" w:rsidP="00B536B6">
      <w:pPr>
        <w:spacing w:before="120" w:line="480" w:lineRule="auto"/>
        <w:rPr>
          <w:rFonts w:ascii="Calibri" w:hAnsi="Calibri" w:cs="Calibri"/>
          <w:sz w:val="22"/>
          <w:szCs w:val="22"/>
        </w:rPr>
      </w:pPr>
      <w:r>
        <w:rPr>
          <w:rFonts w:ascii="Calibri" w:hAnsi="Calibri"/>
          <w:sz w:val="22"/>
        </w:rPr>
        <w:t>O</w:t>
      </w:r>
      <w:r w:rsidRPr="00421268">
        <w:rPr>
          <w:rFonts w:ascii="Calibri" w:hAnsi="Calibri"/>
          <w:sz w:val="22"/>
        </w:rPr>
        <w:t xml:space="preserve">ur findings suggest that there are certain groups who </w:t>
      </w:r>
      <w:r w:rsidR="00F32762">
        <w:rPr>
          <w:rFonts w:ascii="Calibri" w:hAnsi="Calibri"/>
          <w:sz w:val="22"/>
        </w:rPr>
        <w:t>could benefit from</w:t>
      </w:r>
      <w:r w:rsidRPr="00421268">
        <w:rPr>
          <w:rFonts w:ascii="Calibri" w:hAnsi="Calibri"/>
          <w:sz w:val="22"/>
        </w:rPr>
        <w:t xml:space="preserve"> directed support </w:t>
      </w:r>
      <w:r w:rsidR="00F32762">
        <w:rPr>
          <w:rFonts w:ascii="Calibri" w:hAnsi="Calibri"/>
          <w:sz w:val="22"/>
        </w:rPr>
        <w:t>should</w:t>
      </w:r>
      <w:r w:rsidRPr="00421268">
        <w:rPr>
          <w:rFonts w:ascii="Calibri" w:hAnsi="Calibri"/>
          <w:sz w:val="22"/>
        </w:rPr>
        <w:t xml:space="preserve"> the recommendation </w:t>
      </w:r>
      <w:r>
        <w:rPr>
          <w:rFonts w:ascii="Calibri" w:hAnsi="Calibri"/>
          <w:sz w:val="22"/>
        </w:rPr>
        <w:t>of</w:t>
      </w:r>
      <w:r w:rsidRPr="00421268">
        <w:rPr>
          <w:rFonts w:ascii="Calibri" w:hAnsi="Calibri"/>
          <w:sz w:val="22"/>
        </w:rPr>
        <w:t xml:space="preserve"> early introduction of allergenic foods </w:t>
      </w:r>
      <w:r w:rsidR="00F32762">
        <w:rPr>
          <w:rFonts w:ascii="Calibri" w:hAnsi="Calibri"/>
          <w:sz w:val="22"/>
        </w:rPr>
        <w:t xml:space="preserve">be adopted as a way to prevent food allergy. </w:t>
      </w:r>
      <w:r w:rsidRPr="00421268">
        <w:rPr>
          <w:rFonts w:ascii="Calibri" w:hAnsi="Calibri" w:cs="Calibri"/>
          <w:sz w:val="22"/>
          <w:szCs w:val="22"/>
        </w:rPr>
        <w:t>Specifically, the important factors were found to be: non-Caucasian ethnicity, older mothers and mothers with poorer quality of life. This also applies to infants with early onset eczema in that whilst their adherence to per-protocol consumption of specific foods was not compromised compared</w:t>
      </w:r>
      <w:r>
        <w:rPr>
          <w:rFonts w:ascii="Calibri" w:hAnsi="Calibri" w:cs="Calibri"/>
          <w:sz w:val="22"/>
          <w:szCs w:val="22"/>
        </w:rPr>
        <w:t xml:space="preserve"> to</w:t>
      </w:r>
      <w:r w:rsidRPr="00421268">
        <w:rPr>
          <w:rFonts w:ascii="Calibri" w:hAnsi="Calibri" w:cs="Calibri"/>
          <w:sz w:val="22"/>
          <w:szCs w:val="22"/>
        </w:rPr>
        <w:t xml:space="preserve"> children</w:t>
      </w:r>
      <w:r>
        <w:rPr>
          <w:rFonts w:ascii="Calibri" w:hAnsi="Calibri" w:cs="Calibri"/>
          <w:sz w:val="22"/>
          <w:szCs w:val="22"/>
        </w:rPr>
        <w:t xml:space="preserve"> without eczema</w:t>
      </w:r>
      <w:r w:rsidRPr="00421268">
        <w:rPr>
          <w:rFonts w:ascii="Calibri" w:hAnsi="Calibri" w:cs="Calibri"/>
          <w:sz w:val="22"/>
          <w:szCs w:val="22"/>
        </w:rPr>
        <w:t>, it is within this group that the majority of food allergy develops. While these factors explain only a small part of the 58% of EIG families who were non-</w:t>
      </w:r>
      <w:r w:rsidRPr="00421268">
        <w:rPr>
          <w:rFonts w:ascii="Calibri" w:hAnsi="Calibri" w:cs="Calibri"/>
          <w:sz w:val="22"/>
          <w:szCs w:val="22"/>
        </w:rPr>
        <w:lastRenderedPageBreak/>
        <w:t>adherent, these groups of infants contributed disproportionately to the overall prevalence of food allergy in the EAT population</w:t>
      </w:r>
      <w:r>
        <w:rPr>
          <w:rFonts w:ascii="Calibri" w:hAnsi="Calibri" w:cs="Calibri"/>
          <w:sz w:val="22"/>
          <w:szCs w:val="22"/>
        </w:rPr>
        <w:t xml:space="preserve">. </w:t>
      </w:r>
      <w:r w:rsidR="00F32762" w:rsidRPr="00381117">
        <w:rPr>
          <w:rFonts w:ascii="Calibri" w:hAnsi="Calibri" w:cs="Calibri"/>
          <w:sz w:val="22"/>
          <w:szCs w:val="22"/>
        </w:rPr>
        <w:t xml:space="preserve">Indeed our modelling shows that improved adherence </w:t>
      </w:r>
      <w:proofErr w:type="gramStart"/>
      <w:r w:rsidR="00F32762" w:rsidRPr="00381117">
        <w:rPr>
          <w:rFonts w:ascii="Calibri" w:hAnsi="Calibri" w:cs="Calibri"/>
          <w:sz w:val="22"/>
          <w:szCs w:val="22"/>
        </w:rPr>
        <w:t xml:space="preserve">in </w:t>
      </w:r>
      <w:r w:rsidR="00F22944" w:rsidRPr="00381117">
        <w:rPr>
          <w:rFonts w:ascii="Calibri" w:hAnsi="Calibri" w:cs="Calibri"/>
          <w:sz w:val="22"/>
          <w:szCs w:val="22"/>
        </w:rPr>
        <w:t xml:space="preserve"> infants</w:t>
      </w:r>
      <w:proofErr w:type="gramEnd"/>
      <w:r w:rsidR="00F22944" w:rsidRPr="00381117">
        <w:rPr>
          <w:rFonts w:ascii="Calibri" w:hAnsi="Calibri" w:cs="Calibri"/>
          <w:sz w:val="22"/>
          <w:szCs w:val="22"/>
        </w:rPr>
        <w:t xml:space="preserve"> manifesting early eczema and from ethnic minorities</w:t>
      </w:r>
      <w:r w:rsidR="00562D00" w:rsidRPr="00381117">
        <w:rPr>
          <w:rFonts w:ascii="Calibri" w:hAnsi="Calibri" w:cs="Calibri"/>
          <w:sz w:val="22"/>
          <w:szCs w:val="22"/>
        </w:rPr>
        <w:t>,</w:t>
      </w:r>
      <w:r w:rsidR="00F22944" w:rsidRPr="00381117">
        <w:rPr>
          <w:rFonts w:ascii="Calibri" w:hAnsi="Calibri" w:cs="Calibri"/>
          <w:sz w:val="22"/>
          <w:szCs w:val="22"/>
        </w:rPr>
        <w:t xml:space="preserve"> raises the possibility of a substantial reduction in the burden of food allergy</w:t>
      </w:r>
      <w:r w:rsidR="00F32762" w:rsidRPr="00381117">
        <w:rPr>
          <w:rFonts w:ascii="Calibri" w:hAnsi="Calibri" w:cs="Calibri"/>
          <w:sz w:val="22"/>
          <w:szCs w:val="22"/>
        </w:rPr>
        <w:t xml:space="preserve"> </w:t>
      </w:r>
      <w:r w:rsidR="008F299A">
        <w:rPr>
          <w:rFonts w:ascii="Calibri" w:hAnsi="Calibri" w:cs="Calibri"/>
          <w:sz w:val="22"/>
          <w:szCs w:val="22"/>
        </w:rPr>
        <w:t xml:space="preserve">with </w:t>
      </w:r>
      <w:r w:rsidR="00F32762" w:rsidRPr="00381117">
        <w:rPr>
          <w:rFonts w:ascii="Calibri" w:hAnsi="Calibri" w:cs="Calibri"/>
          <w:sz w:val="22"/>
          <w:szCs w:val="22"/>
        </w:rPr>
        <w:t>a 49% reduction if 85% adherence were achievable</w:t>
      </w:r>
      <w:r w:rsidR="00562D00" w:rsidRPr="00381117">
        <w:rPr>
          <w:rFonts w:ascii="Calibri" w:hAnsi="Calibri" w:cs="Calibri"/>
          <w:sz w:val="22"/>
          <w:szCs w:val="22"/>
        </w:rPr>
        <w:t xml:space="preserve">. </w:t>
      </w:r>
      <w:r w:rsidR="002672A8" w:rsidRPr="00381117">
        <w:rPr>
          <w:rFonts w:ascii="Calibri" w:hAnsi="Calibri" w:cs="Calibri"/>
          <w:sz w:val="22"/>
          <w:szCs w:val="22"/>
        </w:rPr>
        <w:t>S</w:t>
      </w:r>
      <w:r w:rsidR="00B536B6" w:rsidRPr="00381117">
        <w:rPr>
          <w:rFonts w:ascii="Calibri" w:hAnsi="Calibri" w:cs="Calibri"/>
          <w:sz w:val="22"/>
          <w:szCs w:val="22"/>
        </w:rPr>
        <w:t xml:space="preserve">ufficiently high adherence rates with an early introduction regimen </w:t>
      </w:r>
      <w:r w:rsidR="003C133B" w:rsidRPr="00381117">
        <w:rPr>
          <w:rFonts w:ascii="Calibri" w:hAnsi="Calibri" w:cs="Calibri"/>
          <w:sz w:val="22"/>
          <w:szCs w:val="22"/>
        </w:rPr>
        <w:t>in these populations will be more challenging yet of great value</w:t>
      </w:r>
      <w:r w:rsidR="00B536B6" w:rsidRPr="00381117">
        <w:rPr>
          <w:rFonts w:ascii="Calibri" w:hAnsi="Calibri" w:cs="Calibri"/>
          <w:sz w:val="22"/>
          <w:szCs w:val="22"/>
        </w:rPr>
        <w:t>.</w:t>
      </w:r>
      <w:r w:rsidR="00D4201A">
        <w:rPr>
          <w:rFonts w:ascii="Calibri" w:hAnsi="Calibri" w:cs="Calibri"/>
          <w:sz w:val="22"/>
          <w:szCs w:val="22"/>
        </w:rPr>
        <w:t xml:space="preserve"> </w:t>
      </w:r>
    </w:p>
    <w:p w14:paraId="7FB65FED" w14:textId="7AB95E27" w:rsidR="00B536B6" w:rsidRDefault="00B536B6" w:rsidP="00B536B6">
      <w:pPr>
        <w:spacing w:before="120" w:line="480" w:lineRule="auto"/>
        <w:rPr>
          <w:rFonts w:ascii="Calibri" w:hAnsi="Calibri" w:cs="Calibri"/>
          <w:sz w:val="22"/>
          <w:szCs w:val="22"/>
        </w:rPr>
      </w:pPr>
      <w:r w:rsidRPr="00B536B6">
        <w:rPr>
          <w:rFonts w:ascii="Calibri" w:hAnsi="Calibri" w:cs="Calibri"/>
          <w:sz w:val="22"/>
          <w:szCs w:val="22"/>
        </w:rPr>
        <w:t>The issue of ethnic differences in adherence to public health rec</w:t>
      </w:r>
      <w:r>
        <w:rPr>
          <w:rFonts w:ascii="Calibri" w:hAnsi="Calibri" w:cs="Calibri"/>
          <w:sz w:val="22"/>
          <w:szCs w:val="22"/>
        </w:rPr>
        <w:t>ommendations is well recognised</w:t>
      </w:r>
      <w:r w:rsidRPr="00B536B6">
        <w:rPr>
          <w:rFonts w:ascii="Calibri" w:hAnsi="Calibri" w:cs="Calibri"/>
          <w:sz w:val="22"/>
          <w:szCs w:val="22"/>
        </w:rPr>
        <w:t>.</w:t>
      </w:r>
      <w:r w:rsidR="00997C0C" w:rsidRPr="00997C0C">
        <w:rPr>
          <w:rFonts w:ascii="Calibri" w:hAnsi="Calibri" w:cs="Calibri"/>
          <w:noProof/>
          <w:sz w:val="22"/>
          <w:szCs w:val="22"/>
          <w:vertAlign w:val="superscript"/>
        </w:rPr>
        <w:t>19</w:t>
      </w:r>
      <w:r w:rsidRPr="00B536B6">
        <w:rPr>
          <w:rFonts w:ascii="Calibri" w:hAnsi="Calibri" w:cs="Calibri"/>
          <w:sz w:val="22"/>
          <w:szCs w:val="22"/>
        </w:rPr>
        <w:t xml:space="preserve"> </w:t>
      </w:r>
      <w:proofErr w:type="gramStart"/>
      <w:r w:rsidRPr="00B536B6">
        <w:rPr>
          <w:rFonts w:ascii="Calibri" w:hAnsi="Calibri" w:cs="Calibri"/>
          <w:sz w:val="22"/>
          <w:szCs w:val="22"/>
        </w:rPr>
        <w:t>There</w:t>
      </w:r>
      <w:proofErr w:type="gramEnd"/>
      <w:r w:rsidRPr="00B536B6">
        <w:rPr>
          <w:rFonts w:ascii="Calibri" w:hAnsi="Calibri" w:cs="Calibri"/>
          <w:sz w:val="22"/>
          <w:szCs w:val="22"/>
        </w:rPr>
        <w:t xml:space="preserve"> is less of a literature on ethnic differences in adherence within the context of a randomised trial that individu</w:t>
      </w:r>
      <w:r w:rsidR="00BB5ADC">
        <w:rPr>
          <w:rFonts w:ascii="Calibri" w:hAnsi="Calibri" w:cs="Calibri"/>
          <w:sz w:val="22"/>
          <w:szCs w:val="22"/>
        </w:rPr>
        <w:t>als have consented to enrol on.</w:t>
      </w:r>
    </w:p>
    <w:p w14:paraId="43C47035" w14:textId="0D9E66DB" w:rsidR="00F22944" w:rsidRPr="00381117" w:rsidRDefault="007857F7" w:rsidP="002C4B96">
      <w:pPr>
        <w:spacing w:before="120" w:line="480" w:lineRule="auto"/>
        <w:rPr>
          <w:rFonts w:ascii="Calibri" w:hAnsi="Calibri" w:cs="Calibri"/>
          <w:sz w:val="22"/>
          <w:szCs w:val="22"/>
        </w:rPr>
      </w:pPr>
      <w:r w:rsidRPr="00381117">
        <w:rPr>
          <w:rFonts w:ascii="Calibri" w:hAnsi="Calibri" w:cs="Calibri"/>
          <w:sz w:val="22"/>
          <w:szCs w:val="22"/>
        </w:rPr>
        <w:t>A recent study of 1000 expecting and 100</w:t>
      </w:r>
      <w:r w:rsidR="007B651C" w:rsidRPr="00381117">
        <w:rPr>
          <w:rFonts w:ascii="Calibri" w:hAnsi="Calibri" w:cs="Calibri"/>
          <w:sz w:val="22"/>
          <w:szCs w:val="22"/>
        </w:rPr>
        <w:t>0</w:t>
      </w:r>
      <w:r w:rsidRPr="00381117">
        <w:rPr>
          <w:rFonts w:ascii="Calibri" w:hAnsi="Calibri" w:cs="Calibri"/>
          <w:sz w:val="22"/>
          <w:szCs w:val="22"/>
        </w:rPr>
        <w:t xml:space="preserve"> new caregivers of infants under one year of age</w:t>
      </w:r>
      <w:r w:rsidR="00AB7841" w:rsidRPr="00381117">
        <w:rPr>
          <w:rFonts w:ascii="Calibri" w:hAnsi="Calibri" w:cs="Calibri"/>
          <w:sz w:val="22"/>
          <w:szCs w:val="22"/>
        </w:rPr>
        <w:t xml:space="preserve"> reported questionable support for early allergenic solid food recommendations.</w:t>
      </w:r>
      <w:r w:rsidR="00997C0C" w:rsidRPr="00997C0C">
        <w:rPr>
          <w:rFonts w:ascii="Calibri" w:hAnsi="Calibri" w:cs="Calibri"/>
          <w:noProof/>
          <w:sz w:val="22"/>
          <w:szCs w:val="22"/>
          <w:vertAlign w:val="superscript"/>
        </w:rPr>
        <w:t>20</w:t>
      </w:r>
      <w:r w:rsidR="00AB7841" w:rsidRPr="00381117">
        <w:rPr>
          <w:rFonts w:ascii="Calibri" w:hAnsi="Calibri" w:cs="Calibri"/>
          <w:sz w:val="22"/>
          <w:szCs w:val="22"/>
        </w:rPr>
        <w:t xml:space="preserve"> However</w:t>
      </w:r>
      <w:r w:rsidR="00185841" w:rsidRPr="00381117">
        <w:rPr>
          <w:rFonts w:ascii="Calibri" w:hAnsi="Calibri" w:cs="Calibri"/>
          <w:sz w:val="22"/>
          <w:szCs w:val="22"/>
        </w:rPr>
        <w:t xml:space="preserve">, it has been shown </w:t>
      </w:r>
      <w:r w:rsidR="00965390" w:rsidRPr="00381117">
        <w:rPr>
          <w:rFonts w:ascii="Calibri" w:hAnsi="Calibri" w:cs="Calibri"/>
          <w:sz w:val="22"/>
          <w:szCs w:val="22"/>
        </w:rPr>
        <w:t>in Australia that updated guidelines issued in 2008 removing recommendations to delay allergenic solids ha</w:t>
      </w:r>
      <w:r w:rsidR="00381117">
        <w:rPr>
          <w:rFonts w:ascii="Calibri" w:hAnsi="Calibri" w:cs="Calibri"/>
          <w:sz w:val="22"/>
          <w:szCs w:val="22"/>
        </w:rPr>
        <w:t>ve</w:t>
      </w:r>
      <w:r w:rsidR="00965390" w:rsidRPr="00381117">
        <w:rPr>
          <w:rFonts w:ascii="Calibri" w:hAnsi="Calibri" w:cs="Calibri"/>
          <w:sz w:val="22"/>
          <w:szCs w:val="22"/>
        </w:rPr>
        <w:t xml:space="preserve"> been associated with reduced delay in parents introducing egg and peanut into the diet.</w:t>
      </w:r>
      <w:r w:rsidR="00997C0C" w:rsidRPr="00997C0C">
        <w:rPr>
          <w:rFonts w:ascii="Calibri" w:hAnsi="Calibri" w:cs="Calibri"/>
          <w:noProof/>
          <w:sz w:val="22"/>
          <w:szCs w:val="22"/>
          <w:vertAlign w:val="superscript"/>
        </w:rPr>
        <w:t>21</w:t>
      </w:r>
      <w:r w:rsidR="00CA1E5D" w:rsidRPr="00381117">
        <w:rPr>
          <w:rFonts w:ascii="Calibri" w:hAnsi="Calibri" w:cs="Calibri"/>
          <w:sz w:val="22"/>
          <w:szCs w:val="22"/>
        </w:rPr>
        <w:t xml:space="preserve"> Cultural factors may well be important. Whilst US caregivers may perceive early p</w:t>
      </w:r>
      <w:r w:rsidR="00381117">
        <w:rPr>
          <w:rFonts w:ascii="Calibri" w:hAnsi="Calibri" w:cs="Calibri"/>
          <w:sz w:val="22"/>
          <w:szCs w:val="22"/>
        </w:rPr>
        <w:t>eanut introduction to be difficult</w:t>
      </w:r>
      <w:r w:rsidR="00CA1E5D" w:rsidRPr="00381117">
        <w:rPr>
          <w:rFonts w:ascii="Calibri" w:hAnsi="Calibri" w:cs="Calibri"/>
          <w:sz w:val="22"/>
          <w:szCs w:val="22"/>
        </w:rPr>
        <w:t>, the majority of Israeli infants are eating 2 grams of peanut protein per week without the support of guidelines or a public health campaign.</w:t>
      </w:r>
      <w:r w:rsidR="008F299A" w:rsidRPr="008F299A">
        <w:rPr>
          <w:rFonts w:ascii="Calibri" w:hAnsi="Calibri" w:cs="Calibri"/>
          <w:noProof/>
          <w:sz w:val="22"/>
          <w:szCs w:val="22"/>
          <w:vertAlign w:val="superscript"/>
        </w:rPr>
        <w:t>22</w:t>
      </w:r>
    </w:p>
    <w:p w14:paraId="25D80B9B" w14:textId="0022D5ED" w:rsidR="00C62368" w:rsidRPr="006773D3" w:rsidRDefault="00A360AB" w:rsidP="006773D3">
      <w:pPr>
        <w:spacing w:before="120" w:line="480" w:lineRule="auto"/>
        <w:rPr>
          <w:rFonts w:ascii="Calibri" w:hAnsi="Calibri" w:cs="Calibri"/>
          <w:sz w:val="22"/>
          <w:szCs w:val="22"/>
        </w:rPr>
      </w:pPr>
      <w:r w:rsidRPr="00381117">
        <w:rPr>
          <w:rFonts w:asciiTheme="minorHAnsi" w:hAnsiTheme="minorHAnsi" w:cs="Calibri"/>
          <w:sz w:val="22"/>
          <w:szCs w:val="22"/>
        </w:rPr>
        <w:t xml:space="preserve">A number of countries </w:t>
      </w:r>
      <w:r w:rsidRPr="00381117">
        <w:rPr>
          <w:rFonts w:asciiTheme="minorHAnsi" w:hAnsiTheme="minorHAnsi"/>
          <w:sz w:val="22"/>
          <w:szCs w:val="22"/>
        </w:rPr>
        <w:t>including the USA,</w:t>
      </w:r>
      <w:r w:rsidR="008F299A" w:rsidRPr="008F299A">
        <w:rPr>
          <w:rFonts w:asciiTheme="minorHAnsi" w:hAnsiTheme="minorHAnsi" w:cstheme="minorHAnsi"/>
          <w:noProof/>
          <w:sz w:val="22"/>
          <w:szCs w:val="22"/>
          <w:vertAlign w:val="superscript"/>
        </w:rPr>
        <w:t>23</w:t>
      </w:r>
      <w:r w:rsidRPr="00381117">
        <w:rPr>
          <w:rFonts w:asciiTheme="minorHAnsi" w:hAnsiTheme="minorHAnsi"/>
          <w:sz w:val="22"/>
          <w:szCs w:val="22"/>
        </w:rPr>
        <w:t xml:space="preserve"> Australia</w:t>
      </w:r>
      <w:r w:rsidR="008F299A" w:rsidRPr="008F299A">
        <w:rPr>
          <w:rFonts w:asciiTheme="minorHAnsi" w:hAnsiTheme="minorHAnsi" w:cstheme="minorHAnsi"/>
          <w:noProof/>
          <w:sz w:val="22"/>
          <w:szCs w:val="22"/>
          <w:vertAlign w:val="superscript"/>
        </w:rPr>
        <w:t>24</w:t>
      </w:r>
      <w:r w:rsidRPr="00381117">
        <w:rPr>
          <w:rFonts w:asciiTheme="minorHAnsi" w:hAnsiTheme="minorHAnsi"/>
          <w:sz w:val="22"/>
          <w:szCs w:val="22"/>
        </w:rPr>
        <w:t xml:space="preserve"> and the UK</w:t>
      </w:r>
      <w:r w:rsidR="00713BF4" w:rsidRPr="00713BF4">
        <w:rPr>
          <w:rFonts w:asciiTheme="minorHAnsi" w:hAnsiTheme="minorHAnsi"/>
          <w:noProof/>
          <w:sz w:val="22"/>
          <w:szCs w:val="22"/>
          <w:vertAlign w:val="superscript"/>
        </w:rPr>
        <w:t>5,25,26</w:t>
      </w:r>
      <w:r w:rsidRPr="00381117">
        <w:rPr>
          <w:rFonts w:asciiTheme="minorHAnsi" w:hAnsiTheme="minorHAnsi"/>
          <w:sz w:val="22"/>
          <w:szCs w:val="22"/>
        </w:rPr>
        <w:t xml:space="preserve"> have issued new infant feeding guidelines in light of the EAT and LEAP study findings. </w:t>
      </w:r>
      <w:r w:rsidR="00AB7841" w:rsidRPr="00381117">
        <w:rPr>
          <w:rFonts w:ascii="Calibri" w:hAnsi="Calibri" w:cs="Calibri"/>
          <w:sz w:val="22"/>
          <w:szCs w:val="22"/>
        </w:rPr>
        <w:t xml:space="preserve"> Where a public health policy of early allergenic food introduction is being recommended, a significant amount of public health support is likely to be necessary to help specific groups at risk of low adherence in order to achieve a substantial reduction in the prevalence of food allergy.</w:t>
      </w:r>
      <w:r w:rsidR="00AB7841">
        <w:rPr>
          <w:rFonts w:ascii="Calibri" w:hAnsi="Calibri" w:cs="Calibri"/>
          <w:sz w:val="22"/>
          <w:szCs w:val="22"/>
        </w:rPr>
        <w:t xml:space="preserve"> </w:t>
      </w:r>
      <w:r w:rsidR="00A37108" w:rsidRPr="000E1D36">
        <w:rPr>
          <w:rFonts w:ascii="Calibri" w:hAnsi="Calibri"/>
          <w:b/>
          <w:sz w:val="22"/>
        </w:rPr>
        <w:br w:type="page"/>
      </w:r>
    </w:p>
    <w:p w14:paraId="38340C0C" w14:textId="77777777" w:rsidR="00893792" w:rsidRPr="000E1D36" w:rsidRDefault="00C62368" w:rsidP="002C4B96">
      <w:pPr>
        <w:pStyle w:val="PlainText"/>
        <w:spacing w:line="480" w:lineRule="auto"/>
        <w:rPr>
          <w:rFonts w:ascii="Calibri" w:hAnsi="Calibri"/>
          <w:b/>
          <w:sz w:val="22"/>
        </w:rPr>
      </w:pPr>
      <w:r w:rsidRPr="000E1D36">
        <w:rPr>
          <w:rFonts w:ascii="Calibri" w:hAnsi="Calibri"/>
          <w:b/>
          <w:sz w:val="22"/>
        </w:rPr>
        <w:lastRenderedPageBreak/>
        <w:t>Conflicts of interest</w:t>
      </w:r>
    </w:p>
    <w:p w14:paraId="3FBEED38" w14:textId="77777777" w:rsidR="00067041" w:rsidRDefault="00893792" w:rsidP="002C4B96">
      <w:pPr>
        <w:pStyle w:val="PlainText"/>
        <w:spacing w:line="480" w:lineRule="auto"/>
        <w:rPr>
          <w:rFonts w:ascii="Calibri" w:hAnsi="Calibri"/>
          <w:sz w:val="22"/>
        </w:rPr>
      </w:pPr>
      <w:r w:rsidRPr="000E1D36">
        <w:rPr>
          <w:rFonts w:ascii="Calibri" w:hAnsi="Calibri"/>
          <w:sz w:val="22"/>
        </w:rPr>
        <w:t>The authors declare that there are no conflicts of interest.</w:t>
      </w:r>
    </w:p>
    <w:p w14:paraId="1DEBC3E5" w14:textId="19BE5B20" w:rsidR="00C42ED5" w:rsidRPr="000E1D36" w:rsidRDefault="00C42ED5" w:rsidP="002C4B96">
      <w:pPr>
        <w:pStyle w:val="PlainText"/>
        <w:spacing w:line="480" w:lineRule="auto"/>
        <w:rPr>
          <w:rFonts w:ascii="Calibri" w:hAnsi="Calibri"/>
          <w:sz w:val="22"/>
        </w:rPr>
      </w:pPr>
      <w:r w:rsidRPr="000E1D36">
        <w:rPr>
          <w:rFonts w:ascii="Calibri" w:hAnsi="Calibri"/>
          <w:sz w:val="22"/>
        </w:rPr>
        <w:t xml:space="preserve"> The views expressed in this publication are those of the authors and not necessarily those of the FSA, MRC, the NHS, the NIHR, the Wellcome Trust</w:t>
      </w:r>
      <w:r>
        <w:rPr>
          <w:rFonts w:ascii="Calibri" w:hAnsi="Calibri"/>
          <w:sz w:val="22"/>
        </w:rPr>
        <w:t xml:space="preserve">, the European Union </w:t>
      </w:r>
      <w:r w:rsidRPr="000E1D36">
        <w:rPr>
          <w:rFonts w:ascii="Calibri" w:hAnsi="Calibri"/>
          <w:sz w:val="22"/>
        </w:rPr>
        <w:t>or the UK Department of Health.</w:t>
      </w:r>
    </w:p>
    <w:p w14:paraId="1A9F546A" w14:textId="77777777" w:rsidR="00893792" w:rsidRPr="000E1D36" w:rsidRDefault="00893792" w:rsidP="002C4B96">
      <w:pPr>
        <w:pStyle w:val="PlainText"/>
        <w:spacing w:line="480" w:lineRule="auto"/>
        <w:rPr>
          <w:rFonts w:ascii="Calibri" w:hAnsi="Calibri"/>
          <w:sz w:val="22"/>
        </w:rPr>
      </w:pPr>
    </w:p>
    <w:p w14:paraId="6D761C87" w14:textId="77777777" w:rsidR="002805D5" w:rsidRPr="000E1D36" w:rsidRDefault="002805D5" w:rsidP="002C4B96">
      <w:pPr>
        <w:pStyle w:val="PlainText"/>
        <w:spacing w:line="480" w:lineRule="auto"/>
        <w:rPr>
          <w:rFonts w:ascii="Calibri" w:hAnsi="Calibri"/>
          <w:b/>
          <w:sz w:val="22"/>
        </w:rPr>
      </w:pPr>
      <w:r w:rsidRPr="000E1D36">
        <w:rPr>
          <w:rFonts w:ascii="Calibri" w:hAnsi="Calibri"/>
          <w:b/>
          <w:sz w:val="22"/>
        </w:rPr>
        <w:t>Acknowledgements</w:t>
      </w:r>
    </w:p>
    <w:p w14:paraId="07FC7E1F" w14:textId="7C42A968" w:rsidR="00213F24" w:rsidRDefault="00C42ED5" w:rsidP="002C4B96">
      <w:pPr>
        <w:pStyle w:val="PlainText"/>
        <w:spacing w:line="480" w:lineRule="auto"/>
        <w:rPr>
          <w:rFonts w:ascii="Calibri" w:hAnsi="Calibri"/>
          <w:sz w:val="22"/>
        </w:rPr>
      </w:pPr>
      <w:r w:rsidRPr="00C42ED5">
        <w:rPr>
          <w:rFonts w:ascii="Calibri" w:hAnsi="Calibri"/>
          <w:sz w:val="22"/>
        </w:rPr>
        <w:t>We</w:t>
      </w:r>
      <w:r w:rsidR="00213F24">
        <w:rPr>
          <w:rFonts w:ascii="Calibri" w:hAnsi="Calibri"/>
          <w:sz w:val="22"/>
        </w:rPr>
        <w:t xml:space="preserve"> would like to</w:t>
      </w:r>
      <w:r w:rsidRPr="00C42ED5">
        <w:rPr>
          <w:rFonts w:ascii="Calibri" w:hAnsi="Calibri"/>
          <w:sz w:val="22"/>
        </w:rPr>
        <w:t xml:space="preserve"> thank the parents and children </w:t>
      </w:r>
      <w:r w:rsidR="00213F24">
        <w:rPr>
          <w:rFonts w:ascii="Calibri" w:hAnsi="Calibri"/>
          <w:sz w:val="22"/>
        </w:rPr>
        <w:t xml:space="preserve">of the EAT study </w:t>
      </w:r>
      <w:r w:rsidRPr="00C42ED5">
        <w:rPr>
          <w:rFonts w:ascii="Calibri" w:hAnsi="Calibri"/>
          <w:sz w:val="22"/>
        </w:rPr>
        <w:t>for taking part</w:t>
      </w:r>
      <w:r w:rsidR="00213F24">
        <w:rPr>
          <w:rFonts w:ascii="Calibri" w:hAnsi="Calibri"/>
          <w:sz w:val="22"/>
        </w:rPr>
        <w:t>.</w:t>
      </w:r>
    </w:p>
    <w:p w14:paraId="354C7E79" w14:textId="0B10C6AA" w:rsidR="00C42ED5" w:rsidRDefault="00213F24" w:rsidP="002C4B96">
      <w:pPr>
        <w:pStyle w:val="PlainText"/>
        <w:spacing w:line="480" w:lineRule="auto"/>
        <w:rPr>
          <w:rFonts w:ascii="Calibri" w:hAnsi="Calibri"/>
          <w:sz w:val="22"/>
        </w:rPr>
      </w:pPr>
      <w:r>
        <w:rPr>
          <w:rFonts w:ascii="Calibri" w:hAnsi="Calibri"/>
          <w:sz w:val="22"/>
        </w:rPr>
        <w:t xml:space="preserve">We thank our Trial Steering Committee which included </w:t>
      </w:r>
      <w:r w:rsidR="00C42ED5" w:rsidRPr="00C42ED5">
        <w:rPr>
          <w:rFonts w:ascii="Calibri" w:hAnsi="Calibri"/>
          <w:sz w:val="22"/>
        </w:rPr>
        <w:t>Graham Roberts</w:t>
      </w:r>
      <w:r w:rsidR="00C42ED5">
        <w:rPr>
          <w:rFonts w:ascii="Calibri" w:hAnsi="Calibri"/>
          <w:sz w:val="22"/>
        </w:rPr>
        <w:t xml:space="preserve"> </w:t>
      </w:r>
      <w:r>
        <w:rPr>
          <w:rFonts w:ascii="Calibri" w:hAnsi="Calibri"/>
          <w:sz w:val="22"/>
        </w:rPr>
        <w:t>(</w:t>
      </w:r>
      <w:r w:rsidR="00C42ED5" w:rsidRPr="00C42ED5">
        <w:rPr>
          <w:rFonts w:ascii="Calibri" w:hAnsi="Calibri"/>
          <w:sz w:val="22"/>
        </w:rPr>
        <w:t>chair</w:t>
      </w:r>
      <w:r>
        <w:rPr>
          <w:rFonts w:ascii="Calibri" w:hAnsi="Calibri"/>
          <w:sz w:val="22"/>
        </w:rPr>
        <w:t>)</w:t>
      </w:r>
      <w:r w:rsidR="00C42ED5" w:rsidRPr="00C42ED5">
        <w:rPr>
          <w:rFonts w:ascii="Calibri" w:hAnsi="Calibri"/>
          <w:sz w:val="22"/>
        </w:rPr>
        <w:t xml:space="preserve">, David Strachan </w:t>
      </w:r>
      <w:r>
        <w:rPr>
          <w:rFonts w:ascii="Calibri" w:hAnsi="Calibri"/>
          <w:sz w:val="22"/>
        </w:rPr>
        <w:t>(</w:t>
      </w:r>
      <w:r w:rsidR="00C42ED5" w:rsidRPr="00C42ED5">
        <w:rPr>
          <w:rFonts w:ascii="Calibri" w:hAnsi="Calibri"/>
          <w:sz w:val="22"/>
        </w:rPr>
        <w:t>vice chair</w:t>
      </w:r>
      <w:r>
        <w:rPr>
          <w:rFonts w:ascii="Calibri" w:hAnsi="Calibri"/>
          <w:sz w:val="22"/>
        </w:rPr>
        <w:t>)</w:t>
      </w:r>
      <w:r w:rsidR="00C42ED5" w:rsidRPr="00C42ED5">
        <w:rPr>
          <w:rFonts w:ascii="Calibri" w:hAnsi="Calibri"/>
          <w:sz w:val="22"/>
        </w:rPr>
        <w:t>, Mary Fewtrell, Christine</w:t>
      </w:r>
      <w:r w:rsidR="00C42ED5">
        <w:rPr>
          <w:rFonts w:ascii="Calibri" w:hAnsi="Calibri"/>
          <w:sz w:val="22"/>
        </w:rPr>
        <w:t xml:space="preserve"> </w:t>
      </w:r>
      <w:r w:rsidR="00C42ED5" w:rsidRPr="00C42ED5">
        <w:rPr>
          <w:rFonts w:ascii="Calibri" w:hAnsi="Calibri"/>
          <w:sz w:val="22"/>
        </w:rPr>
        <w:t>Edwards, David Reading, Ian Kimber, Anne Greenough</w:t>
      </w:r>
      <w:r>
        <w:rPr>
          <w:rFonts w:ascii="Calibri" w:hAnsi="Calibri"/>
          <w:sz w:val="22"/>
        </w:rPr>
        <w:t xml:space="preserve"> and</w:t>
      </w:r>
      <w:r w:rsidR="00C42ED5">
        <w:rPr>
          <w:rFonts w:ascii="Calibri" w:hAnsi="Calibri"/>
          <w:sz w:val="22"/>
        </w:rPr>
        <w:t xml:space="preserve"> </w:t>
      </w:r>
      <w:r w:rsidR="00C42ED5" w:rsidRPr="00C42ED5">
        <w:rPr>
          <w:rFonts w:ascii="Calibri" w:hAnsi="Calibri"/>
          <w:sz w:val="22"/>
        </w:rPr>
        <w:t>Andy Grieve,</w:t>
      </w:r>
      <w:r>
        <w:rPr>
          <w:rFonts w:ascii="Calibri" w:hAnsi="Calibri"/>
          <w:sz w:val="22"/>
        </w:rPr>
        <w:t xml:space="preserve"> for all their work; </w:t>
      </w:r>
      <w:r w:rsidR="00C42ED5" w:rsidRPr="00C42ED5">
        <w:rPr>
          <w:rFonts w:ascii="Calibri" w:hAnsi="Calibri"/>
          <w:sz w:val="22"/>
        </w:rPr>
        <w:t>Mary Feeney, Kate Grimshaw, Judy More, Debbie</w:t>
      </w:r>
      <w:r w:rsidR="00C42ED5">
        <w:rPr>
          <w:rFonts w:ascii="Calibri" w:hAnsi="Calibri"/>
          <w:sz w:val="22"/>
        </w:rPr>
        <w:t xml:space="preserve"> </w:t>
      </w:r>
      <w:r w:rsidR="00C42ED5" w:rsidRPr="00C42ED5">
        <w:rPr>
          <w:rFonts w:ascii="Calibri" w:hAnsi="Calibri"/>
          <w:sz w:val="22"/>
        </w:rPr>
        <w:t>Palmer</w:t>
      </w:r>
      <w:r>
        <w:rPr>
          <w:rFonts w:ascii="Calibri" w:hAnsi="Calibri"/>
          <w:sz w:val="22"/>
        </w:rPr>
        <w:t xml:space="preserve"> and</w:t>
      </w:r>
      <w:r w:rsidR="00C42ED5" w:rsidRPr="00C42ED5">
        <w:rPr>
          <w:rFonts w:ascii="Calibri" w:hAnsi="Calibri"/>
          <w:sz w:val="22"/>
        </w:rPr>
        <w:t xml:space="preserve"> Carina Venter for </w:t>
      </w:r>
      <w:r>
        <w:rPr>
          <w:rFonts w:ascii="Calibri" w:hAnsi="Calibri"/>
          <w:sz w:val="22"/>
        </w:rPr>
        <w:t xml:space="preserve">their </w:t>
      </w:r>
      <w:r w:rsidR="00C42ED5" w:rsidRPr="00C42ED5">
        <w:rPr>
          <w:rFonts w:ascii="Calibri" w:hAnsi="Calibri"/>
          <w:sz w:val="22"/>
        </w:rPr>
        <w:t>contributions to</w:t>
      </w:r>
      <w:r w:rsidR="00C42ED5">
        <w:rPr>
          <w:rFonts w:ascii="Calibri" w:hAnsi="Calibri"/>
          <w:sz w:val="22"/>
        </w:rPr>
        <w:t xml:space="preserve"> </w:t>
      </w:r>
      <w:r w:rsidR="00C42ED5" w:rsidRPr="00C42ED5">
        <w:rPr>
          <w:rFonts w:ascii="Calibri" w:hAnsi="Calibri"/>
          <w:sz w:val="22"/>
        </w:rPr>
        <w:t>the study design; Monica Basting and Gemma Deutsch for project</w:t>
      </w:r>
      <w:r w:rsidR="00C42ED5">
        <w:rPr>
          <w:rFonts w:ascii="Calibri" w:hAnsi="Calibri"/>
          <w:sz w:val="22"/>
        </w:rPr>
        <w:t xml:space="preserve"> </w:t>
      </w:r>
      <w:r w:rsidR="00C42ED5" w:rsidRPr="00C42ED5">
        <w:rPr>
          <w:rFonts w:ascii="Calibri" w:hAnsi="Calibri"/>
          <w:sz w:val="22"/>
        </w:rPr>
        <w:t>management</w:t>
      </w:r>
      <w:r>
        <w:rPr>
          <w:rFonts w:ascii="Calibri" w:hAnsi="Calibri"/>
          <w:sz w:val="22"/>
        </w:rPr>
        <w:t xml:space="preserve"> coverage</w:t>
      </w:r>
      <w:r w:rsidR="00C42ED5" w:rsidRPr="00C42ED5">
        <w:rPr>
          <w:rFonts w:ascii="Calibri" w:hAnsi="Calibri"/>
          <w:sz w:val="22"/>
        </w:rPr>
        <w:t>; Helen Fisher, Una O’Dwyer-Leeson, Amy Nixon,</w:t>
      </w:r>
      <w:r w:rsidR="00C42ED5">
        <w:rPr>
          <w:rFonts w:ascii="Calibri" w:hAnsi="Calibri"/>
          <w:sz w:val="22"/>
        </w:rPr>
        <w:t xml:space="preserve"> </w:t>
      </w:r>
      <w:r w:rsidR="00C42ED5" w:rsidRPr="00C42ED5">
        <w:rPr>
          <w:rFonts w:ascii="Calibri" w:hAnsi="Calibri"/>
          <w:sz w:val="22"/>
        </w:rPr>
        <w:t>Louise Coverdale, and Muhsinah Adam for nursing support;</w:t>
      </w:r>
      <w:r w:rsidR="00C42ED5">
        <w:rPr>
          <w:rFonts w:ascii="Calibri" w:hAnsi="Calibri"/>
          <w:sz w:val="22"/>
        </w:rPr>
        <w:t xml:space="preserve"> </w:t>
      </w:r>
      <w:r w:rsidR="00C42ED5" w:rsidRPr="00C42ED5">
        <w:rPr>
          <w:rFonts w:ascii="Calibri" w:hAnsi="Calibri"/>
          <w:sz w:val="22"/>
        </w:rPr>
        <w:t>Alicia Parr for dietetic support; George Du Toit and Susan Chan</w:t>
      </w:r>
      <w:r w:rsidR="00C42ED5">
        <w:rPr>
          <w:rFonts w:ascii="Calibri" w:hAnsi="Calibri"/>
          <w:sz w:val="22"/>
        </w:rPr>
        <w:t xml:space="preserve"> </w:t>
      </w:r>
      <w:r w:rsidR="00C42ED5" w:rsidRPr="00C42ED5">
        <w:rPr>
          <w:rFonts w:ascii="Calibri" w:hAnsi="Calibri"/>
          <w:sz w:val="22"/>
        </w:rPr>
        <w:t>for assistance with medical supervision; Jenna Heath and Kathryn</w:t>
      </w:r>
      <w:r w:rsidR="00C42ED5">
        <w:rPr>
          <w:rFonts w:ascii="Calibri" w:hAnsi="Calibri"/>
          <w:sz w:val="22"/>
        </w:rPr>
        <w:t xml:space="preserve"> </w:t>
      </w:r>
      <w:r w:rsidR="00C42ED5" w:rsidRPr="00C42ED5">
        <w:rPr>
          <w:rFonts w:ascii="Calibri" w:hAnsi="Calibri"/>
          <w:sz w:val="22"/>
        </w:rPr>
        <w:t>Hersee for play-specialist support; and Joelle Buck, Sarah</w:t>
      </w:r>
      <w:r w:rsidR="00C42ED5">
        <w:rPr>
          <w:rFonts w:ascii="Calibri" w:hAnsi="Calibri"/>
          <w:sz w:val="22"/>
        </w:rPr>
        <w:t xml:space="preserve"> </w:t>
      </w:r>
      <w:r w:rsidR="00C42ED5" w:rsidRPr="00C42ED5">
        <w:rPr>
          <w:rFonts w:ascii="Calibri" w:hAnsi="Calibri"/>
          <w:sz w:val="22"/>
        </w:rPr>
        <w:t>Hardy, Elizabeth Kendall, and Shuhana Begum, of the Food</w:t>
      </w:r>
      <w:r w:rsidR="00C42ED5">
        <w:rPr>
          <w:rFonts w:ascii="Calibri" w:hAnsi="Calibri"/>
          <w:sz w:val="22"/>
        </w:rPr>
        <w:t xml:space="preserve"> </w:t>
      </w:r>
      <w:r w:rsidR="00C42ED5" w:rsidRPr="00C42ED5">
        <w:rPr>
          <w:rFonts w:ascii="Calibri" w:hAnsi="Calibri"/>
          <w:sz w:val="22"/>
        </w:rPr>
        <w:t>Standards Agency, for their</w:t>
      </w:r>
      <w:r>
        <w:rPr>
          <w:rFonts w:ascii="Calibri" w:hAnsi="Calibri"/>
          <w:sz w:val="22"/>
        </w:rPr>
        <w:t xml:space="preserve"> support and </w:t>
      </w:r>
      <w:r w:rsidR="00C42ED5" w:rsidRPr="00C42ED5">
        <w:rPr>
          <w:rFonts w:ascii="Calibri" w:hAnsi="Calibri"/>
          <w:sz w:val="22"/>
        </w:rPr>
        <w:t>commitment to the trial</w:t>
      </w:r>
      <w:r w:rsidR="002672A8">
        <w:rPr>
          <w:rFonts w:ascii="Calibri" w:hAnsi="Calibri"/>
          <w:sz w:val="22"/>
        </w:rPr>
        <w:t xml:space="preserve">; Alyssa </w:t>
      </w:r>
      <w:proofErr w:type="spellStart"/>
      <w:r w:rsidR="002672A8">
        <w:rPr>
          <w:rFonts w:ascii="Calibri" w:hAnsi="Calibri"/>
          <w:sz w:val="22"/>
        </w:rPr>
        <w:t>Ylescupidez</w:t>
      </w:r>
      <w:proofErr w:type="spellEnd"/>
      <w:r w:rsidR="002672A8">
        <w:rPr>
          <w:rFonts w:ascii="Calibri" w:hAnsi="Calibri"/>
          <w:sz w:val="22"/>
        </w:rPr>
        <w:t xml:space="preserve"> for her review and edits of the manuscript.</w:t>
      </w:r>
      <w:r w:rsidR="002672A8" w:rsidRPr="00C42ED5">
        <w:rPr>
          <w:rFonts w:ascii="Calibri" w:hAnsi="Calibri"/>
          <w:sz w:val="22"/>
        </w:rPr>
        <w:t xml:space="preserve"> </w:t>
      </w:r>
    </w:p>
    <w:p w14:paraId="06A3C597" w14:textId="1AAF0DE8" w:rsidR="00C42ED5" w:rsidRPr="00C42ED5" w:rsidRDefault="0085655C" w:rsidP="002C4B96">
      <w:pPr>
        <w:pStyle w:val="PlainText"/>
        <w:spacing w:line="480" w:lineRule="auto"/>
        <w:rPr>
          <w:rFonts w:ascii="Calibri" w:hAnsi="Calibri"/>
          <w:b/>
          <w:sz w:val="22"/>
        </w:rPr>
      </w:pPr>
      <w:r>
        <w:rPr>
          <w:rFonts w:ascii="Calibri" w:hAnsi="Calibri"/>
          <w:b/>
          <w:sz w:val="22"/>
        </w:rPr>
        <w:t>Members of the EAT S</w:t>
      </w:r>
      <w:r w:rsidR="00C42ED5" w:rsidRPr="00C42ED5">
        <w:rPr>
          <w:rFonts w:ascii="Calibri" w:hAnsi="Calibri"/>
          <w:b/>
          <w:sz w:val="22"/>
        </w:rPr>
        <w:t xml:space="preserve">tudy </w:t>
      </w:r>
      <w:r>
        <w:rPr>
          <w:rFonts w:ascii="Calibri" w:hAnsi="Calibri"/>
          <w:b/>
          <w:sz w:val="22"/>
        </w:rPr>
        <w:t>T</w:t>
      </w:r>
      <w:r w:rsidR="00C42ED5" w:rsidRPr="00C42ED5">
        <w:rPr>
          <w:rFonts w:ascii="Calibri" w:hAnsi="Calibri"/>
          <w:b/>
          <w:sz w:val="22"/>
        </w:rPr>
        <w:t>eam include:</w:t>
      </w:r>
    </w:p>
    <w:p w14:paraId="2868AE7B" w14:textId="5D20FC66" w:rsidR="00C42ED5" w:rsidRPr="000E1D36" w:rsidRDefault="00C42ED5" w:rsidP="002C4B96">
      <w:pPr>
        <w:pStyle w:val="PlainText"/>
        <w:spacing w:line="480" w:lineRule="auto"/>
        <w:rPr>
          <w:rFonts w:ascii="Calibri" w:hAnsi="Calibri"/>
          <w:sz w:val="22"/>
        </w:rPr>
      </w:pPr>
      <w:r w:rsidRPr="00C42ED5">
        <w:rPr>
          <w:rFonts w:ascii="Calibri" w:hAnsi="Calibri"/>
          <w:b/>
          <w:sz w:val="22"/>
        </w:rPr>
        <w:t>Nursing Staff:</w:t>
      </w:r>
      <w:r w:rsidRPr="00C42ED5">
        <w:rPr>
          <w:rFonts w:ascii="Calibri" w:hAnsi="Calibri"/>
          <w:sz w:val="22"/>
        </w:rPr>
        <w:t xml:space="preserve"> Louise Young</w:t>
      </w:r>
      <w:r w:rsidR="00E44A0C">
        <w:rPr>
          <w:rFonts w:ascii="Calibri" w:hAnsi="Calibri"/>
          <w:sz w:val="22"/>
        </w:rPr>
        <w:t>, RN Children</w:t>
      </w:r>
      <w:r w:rsidRPr="00C42ED5">
        <w:rPr>
          <w:rFonts w:ascii="Calibri" w:hAnsi="Calibri"/>
          <w:sz w:val="22"/>
        </w:rPr>
        <w:t>, Victoria Offord</w:t>
      </w:r>
      <w:r w:rsidR="00E44A0C">
        <w:rPr>
          <w:rFonts w:ascii="Calibri" w:hAnsi="Calibri"/>
          <w:sz w:val="22"/>
        </w:rPr>
        <w:t>, BSc Nursing</w:t>
      </w:r>
      <w:r w:rsidRPr="00C42ED5">
        <w:rPr>
          <w:rFonts w:ascii="Calibri" w:hAnsi="Calibri"/>
          <w:sz w:val="22"/>
        </w:rPr>
        <w:t>, Mary DeSousa</w:t>
      </w:r>
      <w:r w:rsidR="00E44A0C">
        <w:rPr>
          <w:rFonts w:ascii="Calibri" w:hAnsi="Calibri"/>
          <w:sz w:val="22"/>
        </w:rPr>
        <w:t>, BSc Nursing</w:t>
      </w:r>
      <w:r w:rsidRPr="00C42ED5">
        <w:rPr>
          <w:rFonts w:ascii="Calibri" w:hAnsi="Calibri"/>
          <w:sz w:val="22"/>
        </w:rPr>
        <w:t>, Jason Cullen,</w:t>
      </w:r>
      <w:r w:rsidR="00E44A0C">
        <w:rPr>
          <w:rFonts w:ascii="Calibri" w:hAnsi="Calibri"/>
          <w:sz w:val="22"/>
        </w:rPr>
        <w:t xml:space="preserve"> BSc Nursing,</w:t>
      </w:r>
      <w:r w:rsidRPr="00C42ED5">
        <w:rPr>
          <w:rFonts w:ascii="Calibri" w:hAnsi="Calibri"/>
          <w:sz w:val="22"/>
        </w:rPr>
        <w:t xml:space="preserve"> Katherine Taylor</w:t>
      </w:r>
      <w:r w:rsidR="00E44A0C">
        <w:rPr>
          <w:rFonts w:ascii="Calibri" w:hAnsi="Calibri"/>
          <w:sz w:val="22"/>
        </w:rPr>
        <w:t xml:space="preserve">, </w:t>
      </w:r>
      <w:proofErr w:type="gramStart"/>
      <w:r w:rsidR="00E44A0C">
        <w:rPr>
          <w:rFonts w:ascii="Calibri" w:hAnsi="Calibri"/>
          <w:sz w:val="22"/>
        </w:rPr>
        <w:t>MRes</w:t>
      </w:r>
      <w:proofErr w:type="gramEnd"/>
      <w:r w:rsidRPr="00C42ED5">
        <w:rPr>
          <w:rFonts w:ascii="Calibri" w:hAnsi="Calibri"/>
          <w:sz w:val="22"/>
        </w:rPr>
        <w:t xml:space="preserve">. </w:t>
      </w:r>
      <w:r w:rsidRPr="00C42ED5">
        <w:rPr>
          <w:rFonts w:ascii="Calibri" w:hAnsi="Calibri"/>
          <w:b/>
          <w:sz w:val="22"/>
        </w:rPr>
        <w:t>Dietitians:</w:t>
      </w:r>
      <w:r w:rsidRPr="00C42ED5">
        <w:rPr>
          <w:rFonts w:ascii="Calibri" w:hAnsi="Calibri"/>
          <w:sz w:val="22"/>
        </w:rPr>
        <w:t xml:space="preserve"> Anna Tseng,</w:t>
      </w:r>
      <w:r w:rsidR="00E44A0C">
        <w:rPr>
          <w:rFonts w:ascii="Calibri" w:hAnsi="Calibri"/>
          <w:sz w:val="22"/>
        </w:rPr>
        <w:t xml:space="preserve"> MPH Nutrition,</w:t>
      </w:r>
      <w:r w:rsidRPr="00C42ED5">
        <w:rPr>
          <w:rFonts w:ascii="Calibri" w:hAnsi="Calibri"/>
          <w:sz w:val="22"/>
        </w:rPr>
        <w:t xml:space="preserve"> Bunmi Raji,</w:t>
      </w:r>
      <w:r w:rsidR="00E44A0C">
        <w:rPr>
          <w:rFonts w:ascii="Calibri" w:hAnsi="Calibri"/>
          <w:sz w:val="22"/>
        </w:rPr>
        <w:t xml:space="preserve"> MSc Nutrition,</w:t>
      </w:r>
      <w:r w:rsidRPr="00C42ED5">
        <w:rPr>
          <w:rFonts w:ascii="Calibri" w:hAnsi="Calibri"/>
          <w:sz w:val="22"/>
        </w:rPr>
        <w:t xml:space="preserve"> Sarah </w:t>
      </w:r>
      <w:r w:rsidR="00E44A0C">
        <w:rPr>
          <w:rFonts w:ascii="Calibri" w:hAnsi="Calibri"/>
          <w:sz w:val="22"/>
        </w:rPr>
        <w:t>Byrom</w:t>
      </w:r>
      <w:r w:rsidRPr="00C42ED5">
        <w:rPr>
          <w:rFonts w:ascii="Calibri" w:hAnsi="Calibri"/>
          <w:sz w:val="22"/>
        </w:rPr>
        <w:t>,</w:t>
      </w:r>
      <w:r w:rsidR="00E44A0C">
        <w:rPr>
          <w:rFonts w:ascii="Calibri" w:hAnsi="Calibri"/>
          <w:sz w:val="22"/>
        </w:rPr>
        <w:t xml:space="preserve"> BSc Human Nutrition and Dietetics,</w:t>
      </w:r>
      <w:r w:rsidRPr="00C42ED5">
        <w:rPr>
          <w:rFonts w:ascii="Calibri" w:hAnsi="Calibri"/>
          <w:sz w:val="22"/>
        </w:rPr>
        <w:t xml:space="preserve"> Gillian Regis,</w:t>
      </w:r>
      <w:r w:rsidR="00E44A0C">
        <w:rPr>
          <w:rFonts w:ascii="Calibri" w:hAnsi="Calibri"/>
          <w:sz w:val="22"/>
        </w:rPr>
        <w:t xml:space="preserve"> BSc Human Nutrition and Dietetics, </w:t>
      </w:r>
      <w:r w:rsidRPr="00C42ED5">
        <w:rPr>
          <w:rFonts w:ascii="Calibri" w:hAnsi="Calibri"/>
          <w:sz w:val="22"/>
        </w:rPr>
        <w:t>Charlie Bigwood, Charlotte Stedman</w:t>
      </w:r>
      <w:r w:rsidR="00E44A0C">
        <w:rPr>
          <w:rFonts w:ascii="Calibri" w:hAnsi="Calibri"/>
          <w:sz w:val="22"/>
        </w:rPr>
        <w:t>, PG Dip Dietetics</w:t>
      </w:r>
      <w:r w:rsidRPr="00C42ED5">
        <w:rPr>
          <w:rFonts w:ascii="Calibri" w:hAnsi="Calibri"/>
          <w:sz w:val="22"/>
        </w:rPr>
        <w:t xml:space="preserve">. </w:t>
      </w:r>
      <w:r w:rsidRPr="00C42ED5">
        <w:rPr>
          <w:rFonts w:ascii="Calibri" w:hAnsi="Calibri"/>
          <w:b/>
          <w:sz w:val="22"/>
        </w:rPr>
        <w:t>Study management and administration:</w:t>
      </w:r>
      <w:r w:rsidRPr="00C42ED5">
        <w:rPr>
          <w:rFonts w:ascii="Calibri" w:hAnsi="Calibri"/>
          <w:sz w:val="22"/>
        </w:rPr>
        <w:t xml:space="preserve"> Sharon Tonner</w:t>
      </w:r>
      <w:r w:rsidR="00E44A0C">
        <w:rPr>
          <w:rFonts w:ascii="Calibri" w:hAnsi="Calibri"/>
          <w:sz w:val="22"/>
        </w:rPr>
        <w:t>, PhD</w:t>
      </w:r>
      <w:r w:rsidRPr="00C42ED5">
        <w:rPr>
          <w:rFonts w:ascii="Calibri" w:hAnsi="Calibri"/>
          <w:sz w:val="22"/>
        </w:rPr>
        <w:t>, Emily Banks, Yasmin Kahnum, Rachel Babic</w:t>
      </w:r>
      <w:r w:rsidR="00E44A0C">
        <w:rPr>
          <w:rFonts w:ascii="Calibri" w:hAnsi="Calibri"/>
          <w:sz w:val="22"/>
        </w:rPr>
        <w:t>, BA</w:t>
      </w:r>
      <w:r w:rsidRPr="00C42ED5">
        <w:rPr>
          <w:rFonts w:ascii="Calibri" w:hAnsi="Calibri"/>
          <w:sz w:val="22"/>
        </w:rPr>
        <w:t>, Ben Stockwell</w:t>
      </w:r>
      <w:r w:rsidR="00E44A0C">
        <w:rPr>
          <w:rFonts w:ascii="Calibri" w:hAnsi="Calibri"/>
          <w:sz w:val="22"/>
        </w:rPr>
        <w:t>, BSc</w:t>
      </w:r>
      <w:r w:rsidRPr="00C42ED5">
        <w:rPr>
          <w:rFonts w:ascii="Calibri" w:hAnsi="Calibri"/>
          <w:sz w:val="22"/>
        </w:rPr>
        <w:t>, Erin Thompson</w:t>
      </w:r>
      <w:r w:rsidR="00E44A0C">
        <w:rPr>
          <w:rFonts w:ascii="Calibri" w:hAnsi="Calibri"/>
          <w:sz w:val="22"/>
        </w:rPr>
        <w:t>, BSc</w:t>
      </w:r>
      <w:r w:rsidRPr="00C42ED5">
        <w:rPr>
          <w:rFonts w:ascii="Calibri" w:hAnsi="Calibri"/>
          <w:sz w:val="22"/>
        </w:rPr>
        <w:t>, Lorna Wheatley</w:t>
      </w:r>
      <w:r w:rsidR="00E44A0C">
        <w:rPr>
          <w:rFonts w:ascii="Calibri" w:hAnsi="Calibri"/>
          <w:sz w:val="22"/>
        </w:rPr>
        <w:t>, BSc</w:t>
      </w:r>
      <w:r w:rsidRPr="00C42ED5">
        <w:rPr>
          <w:rFonts w:ascii="Calibri" w:hAnsi="Calibri"/>
          <w:sz w:val="22"/>
        </w:rPr>
        <w:t xml:space="preserve">. </w:t>
      </w:r>
      <w:r w:rsidRPr="00C42ED5">
        <w:rPr>
          <w:rFonts w:ascii="Calibri" w:hAnsi="Calibri"/>
          <w:b/>
          <w:sz w:val="22"/>
        </w:rPr>
        <w:t>Phlebotomist:</w:t>
      </w:r>
      <w:r w:rsidRPr="00C42ED5">
        <w:rPr>
          <w:rFonts w:ascii="Calibri" w:hAnsi="Calibri"/>
          <w:sz w:val="22"/>
        </w:rPr>
        <w:t xml:space="preserve"> Devi Patkunam. </w:t>
      </w:r>
      <w:r w:rsidRPr="00C42ED5">
        <w:rPr>
          <w:rFonts w:ascii="Calibri" w:hAnsi="Calibri"/>
          <w:b/>
          <w:sz w:val="22"/>
        </w:rPr>
        <w:t>Laboratory projects:</w:t>
      </w:r>
      <w:r w:rsidRPr="00C42ED5">
        <w:rPr>
          <w:rFonts w:ascii="Calibri" w:hAnsi="Calibri"/>
          <w:sz w:val="22"/>
        </w:rPr>
        <w:t xml:space="preserve"> Kerry Richards,</w:t>
      </w:r>
      <w:r w:rsidR="00E44A0C">
        <w:rPr>
          <w:rFonts w:ascii="Calibri" w:hAnsi="Calibri"/>
          <w:sz w:val="22"/>
        </w:rPr>
        <w:t xml:space="preserve"> MSc Medicine,</w:t>
      </w:r>
      <w:r w:rsidRPr="00C42ED5">
        <w:rPr>
          <w:rFonts w:ascii="Calibri" w:hAnsi="Calibri"/>
          <w:sz w:val="22"/>
        </w:rPr>
        <w:t xml:space="preserve"> Ewa Pietraszewicz, </w:t>
      </w:r>
      <w:r w:rsidR="00E44A0C">
        <w:rPr>
          <w:rFonts w:ascii="Calibri" w:hAnsi="Calibri"/>
          <w:sz w:val="22"/>
        </w:rPr>
        <w:t xml:space="preserve">MSc, </w:t>
      </w:r>
      <w:r w:rsidRPr="00C42ED5">
        <w:rPr>
          <w:rFonts w:ascii="Calibri" w:hAnsi="Calibri"/>
          <w:sz w:val="22"/>
        </w:rPr>
        <w:t xml:space="preserve">Alick Stephens, </w:t>
      </w:r>
      <w:r w:rsidR="00E44A0C">
        <w:rPr>
          <w:rFonts w:ascii="Calibri" w:hAnsi="Calibri"/>
          <w:sz w:val="22"/>
        </w:rPr>
        <w:t xml:space="preserve">PhD, </w:t>
      </w:r>
      <w:r w:rsidRPr="00C42ED5">
        <w:rPr>
          <w:rFonts w:ascii="Calibri" w:hAnsi="Calibri"/>
          <w:sz w:val="22"/>
        </w:rPr>
        <w:t>Asha Sudra,</w:t>
      </w:r>
      <w:r w:rsidR="00E44A0C">
        <w:rPr>
          <w:rFonts w:ascii="Calibri" w:hAnsi="Calibri"/>
          <w:sz w:val="22"/>
        </w:rPr>
        <w:t xml:space="preserve"> MSc, and</w:t>
      </w:r>
      <w:r w:rsidRPr="00C42ED5">
        <w:rPr>
          <w:rFonts w:ascii="Calibri" w:hAnsi="Calibri"/>
          <w:sz w:val="22"/>
        </w:rPr>
        <w:t xml:space="preserve"> Victor Turcanu</w:t>
      </w:r>
      <w:r w:rsidR="00E44A0C">
        <w:rPr>
          <w:rFonts w:ascii="Calibri" w:hAnsi="Calibri"/>
          <w:sz w:val="22"/>
        </w:rPr>
        <w:t>, PhD</w:t>
      </w:r>
      <w:r w:rsidRPr="00C42ED5">
        <w:rPr>
          <w:rFonts w:ascii="Calibri" w:hAnsi="Calibri"/>
          <w:sz w:val="22"/>
        </w:rPr>
        <w:t>.</w:t>
      </w:r>
    </w:p>
    <w:p w14:paraId="52DA6D63" w14:textId="77777777" w:rsidR="00045D14" w:rsidRDefault="001E14E9" w:rsidP="002C4B96">
      <w:pPr>
        <w:tabs>
          <w:tab w:val="right" w:pos="360"/>
          <w:tab w:val="left" w:pos="540"/>
        </w:tabs>
        <w:spacing w:after="240"/>
        <w:ind w:left="540" w:hanging="540"/>
        <w:rPr>
          <w:rFonts w:ascii="Calibri" w:hAnsi="Calibri" w:cs="Calibri"/>
          <w:b/>
          <w:iCs/>
          <w:sz w:val="22"/>
          <w:szCs w:val="22"/>
        </w:rPr>
      </w:pPr>
      <w:r w:rsidRPr="00C63419">
        <w:rPr>
          <w:rFonts w:ascii="Calibri" w:hAnsi="Calibri" w:cs="Calibri"/>
          <w:b/>
          <w:iCs/>
          <w:sz w:val="22"/>
          <w:szCs w:val="22"/>
        </w:rPr>
        <w:br w:type="page"/>
      </w:r>
      <w:r w:rsidR="00BA3877">
        <w:rPr>
          <w:rFonts w:ascii="Calibri" w:hAnsi="Calibri" w:cs="Calibri"/>
          <w:b/>
          <w:iCs/>
          <w:sz w:val="22"/>
          <w:szCs w:val="22"/>
        </w:rPr>
        <w:lastRenderedPageBreak/>
        <w:t>References</w:t>
      </w:r>
    </w:p>
    <w:p w14:paraId="7D7F1C98" w14:textId="25E63236"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1. </w:t>
      </w:r>
      <w:r w:rsidRPr="00713BF4">
        <w:rPr>
          <w:rFonts w:ascii="Calibri" w:hAnsi="Calibri" w:cs="Calibri"/>
          <w:noProof/>
          <w:sz w:val="22"/>
          <w:szCs w:val="22"/>
        </w:rPr>
        <w:tab/>
        <w:t>Perkin MR, Logan K, Marrs T, Radulovic S, Craven J, Flohr C et al. Enquiring About Tolerance (EAT) study: Feasibility of an early allergenic food introduction regimen. J Allergy Clin Immunol 2016; 137(5):1477-86.</w:t>
      </w:r>
    </w:p>
    <w:p w14:paraId="55A49DE7"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2. </w:t>
      </w:r>
      <w:r w:rsidRPr="00713BF4">
        <w:rPr>
          <w:rFonts w:ascii="Calibri" w:hAnsi="Calibri" w:cs="Calibri"/>
          <w:noProof/>
          <w:sz w:val="22"/>
          <w:szCs w:val="22"/>
        </w:rPr>
        <w:tab/>
        <w:t>Perkin MR, Logan K, Tseng A, Raji B, Ayis S, Peacock J et al. Randomized Trial of Introduction of Allergenic Foods in Breast-Fed Infants. N Engl J Med 2016; 374(18):1733-43.</w:t>
      </w:r>
    </w:p>
    <w:p w14:paraId="1113C59A"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3. </w:t>
      </w:r>
      <w:r w:rsidRPr="00713BF4">
        <w:rPr>
          <w:rFonts w:ascii="Calibri" w:hAnsi="Calibri" w:cs="Calibri"/>
          <w:noProof/>
          <w:sz w:val="22"/>
          <w:szCs w:val="22"/>
        </w:rPr>
        <w:tab/>
        <w:t>Schnabel E, Sausenthaler S, Schaaf B, Schafer T, Lehmann I, Behrendt H et al. Prospective association between food sensitization and food allergy: results of the LISA birth cohort study. Clin Exp Allergy 2010; 40(3):450-7.</w:t>
      </w:r>
    </w:p>
    <w:p w14:paraId="6F3C4A8D"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4. </w:t>
      </w:r>
      <w:r w:rsidRPr="00713BF4">
        <w:rPr>
          <w:rFonts w:ascii="Calibri" w:hAnsi="Calibri" w:cs="Calibri"/>
          <w:noProof/>
          <w:sz w:val="22"/>
          <w:szCs w:val="22"/>
        </w:rPr>
        <w:tab/>
        <w:t>Du Toit G, Roberts G, Sayre PH, Plaut M, Bahnson HT, Mitchell H et al. Identifying infants at high risk of peanut allergy: the Learning Early About Peanut Allergy (LEAP) screening study. J Allergy Clin Immunol 2013; 131(1):135-43.</w:t>
      </w:r>
    </w:p>
    <w:p w14:paraId="17109662"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5. </w:t>
      </w:r>
      <w:r w:rsidRPr="00713BF4">
        <w:rPr>
          <w:rFonts w:ascii="Calibri" w:hAnsi="Calibri" w:cs="Calibri"/>
          <w:noProof/>
          <w:sz w:val="22"/>
          <w:szCs w:val="22"/>
        </w:rPr>
        <w:tab/>
        <w:t xml:space="preserve">Scientific Advisory Committee on Nutrition. Feeding in the first year of life.  2018. </w:t>
      </w:r>
    </w:p>
    <w:p w14:paraId="2E86B13D"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6. </w:t>
      </w:r>
      <w:r w:rsidRPr="00713BF4">
        <w:rPr>
          <w:rFonts w:ascii="Calibri" w:hAnsi="Calibri" w:cs="Calibri"/>
          <w:noProof/>
          <w:sz w:val="22"/>
          <w:szCs w:val="22"/>
        </w:rPr>
        <w:tab/>
        <w:t xml:space="preserve">Ethnicity categories and the 2011 census. Office of National Statistics . 2018. </w:t>
      </w:r>
    </w:p>
    <w:p w14:paraId="38D96277"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7. </w:t>
      </w:r>
      <w:r w:rsidRPr="00713BF4">
        <w:rPr>
          <w:rFonts w:ascii="Calibri" w:hAnsi="Calibri" w:cs="Calibri"/>
          <w:noProof/>
          <w:sz w:val="22"/>
          <w:szCs w:val="22"/>
        </w:rPr>
        <w:tab/>
        <w:t xml:space="preserve">Department of Health. Infant Feeding Recommendation.  2003. </w:t>
      </w:r>
    </w:p>
    <w:p w14:paraId="2B6C8BCE"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8. </w:t>
      </w:r>
      <w:r w:rsidRPr="00713BF4">
        <w:rPr>
          <w:rFonts w:ascii="Calibri" w:hAnsi="Calibri" w:cs="Calibri"/>
          <w:noProof/>
          <w:sz w:val="22"/>
          <w:szCs w:val="22"/>
        </w:rPr>
        <w:tab/>
        <w:t>Skevington SM, Lotfy M, O'Connell KA. The World Health Organization's WHOQOL-BREF quality of life assessment: psychometric properties and results of the international field trial. A report from the WHOQOL group. Qual Life Res 2004; 13(2):299-310.</w:t>
      </w:r>
    </w:p>
    <w:p w14:paraId="660B86B5"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9. </w:t>
      </w:r>
      <w:r w:rsidRPr="00713BF4">
        <w:rPr>
          <w:rFonts w:ascii="Calibri" w:hAnsi="Calibri" w:cs="Calibri"/>
          <w:noProof/>
          <w:sz w:val="22"/>
          <w:szCs w:val="22"/>
        </w:rPr>
        <w:tab/>
        <w:t>Sadeh A. A brief screening questionnaire for infant sleep problems: validation and findings for an Internet sample. Pediatrics 2004; 113(6):e570-e577.</w:t>
      </w:r>
    </w:p>
    <w:p w14:paraId="49EE8E4C"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10. </w:t>
      </w:r>
      <w:r w:rsidRPr="00713BF4">
        <w:rPr>
          <w:rFonts w:ascii="Calibri" w:hAnsi="Calibri" w:cs="Calibri"/>
          <w:noProof/>
          <w:sz w:val="22"/>
          <w:szCs w:val="22"/>
        </w:rPr>
        <w:tab/>
        <w:t>Knibb RC, Smith DM, Booth DA, Armstrong AM, Platts RG, Macdonald A et al. No unique role for nausea attributed to eating a food in the recalled acquisition of sensory aversion for that food. Appetite 2001; 36(3):225-34.</w:t>
      </w:r>
    </w:p>
    <w:p w14:paraId="6D503B70"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11. </w:t>
      </w:r>
      <w:r w:rsidRPr="00713BF4">
        <w:rPr>
          <w:rFonts w:ascii="Calibri" w:hAnsi="Calibri" w:cs="Calibri"/>
          <w:noProof/>
          <w:sz w:val="22"/>
          <w:szCs w:val="22"/>
        </w:rPr>
        <w:tab/>
        <w:t>Weiland SK, Bjorksten B, Brunekreef B, Cookson WO, von ME, Strachan DP. Phase II of the International Study of Asthma and Allergies in Childhood (ISAAC II): rationale and methods. Eur Respir J 2004; 24(3):406-12.</w:t>
      </w:r>
    </w:p>
    <w:p w14:paraId="6774C109"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12. </w:t>
      </w:r>
      <w:r w:rsidRPr="00713BF4">
        <w:rPr>
          <w:rFonts w:ascii="Calibri" w:hAnsi="Calibri" w:cs="Calibri"/>
          <w:noProof/>
          <w:sz w:val="22"/>
          <w:szCs w:val="22"/>
        </w:rPr>
        <w:tab/>
        <w:t>Kunz B, Oranje AP, Labrèze L, Stalder JF, Ring J, Taïeb A. Clinical Validation and Guidelines for the SCORAD Index: Consensus Report of the European Task Force on Atopic Dermatitis. Dermatology 1997; 195(1):10-9.</w:t>
      </w:r>
    </w:p>
    <w:p w14:paraId="3B48693F"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13. </w:t>
      </w:r>
      <w:r w:rsidRPr="00713BF4">
        <w:rPr>
          <w:rFonts w:ascii="Calibri" w:hAnsi="Calibri" w:cs="Calibri"/>
          <w:noProof/>
          <w:sz w:val="22"/>
          <w:szCs w:val="22"/>
        </w:rPr>
        <w:tab/>
        <w:t xml:space="preserve">Perkin MR, Logan K, Bahnson HT, Marrs T, Radulovic S, Craven J et al. Efficacy of the EAT study amongst infants at high risk of developing food allergy </w:t>
      </w:r>
      <w:r w:rsidRPr="00713BF4">
        <w:rPr>
          <w:rFonts w:ascii="Calibri" w:hAnsi="Calibri" w:cs="Calibri"/>
          <w:i/>
          <w:noProof/>
          <w:sz w:val="22"/>
          <w:szCs w:val="22"/>
        </w:rPr>
        <w:t>(in submission)</w:t>
      </w:r>
      <w:r w:rsidRPr="00713BF4">
        <w:rPr>
          <w:rFonts w:ascii="Calibri" w:hAnsi="Calibri" w:cs="Calibri"/>
          <w:noProof/>
          <w:sz w:val="22"/>
          <w:szCs w:val="22"/>
        </w:rPr>
        <w:t>. Journal of Allergy and Clinical Immunology 2019.</w:t>
      </w:r>
    </w:p>
    <w:p w14:paraId="23F900A3"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14. </w:t>
      </w:r>
      <w:r w:rsidRPr="00713BF4">
        <w:rPr>
          <w:rFonts w:ascii="Calibri" w:hAnsi="Calibri" w:cs="Calibri"/>
          <w:noProof/>
          <w:sz w:val="22"/>
          <w:szCs w:val="22"/>
        </w:rPr>
        <w:tab/>
        <w:t>Du Toit G, Roberts G, Sayre PH, Bahnson HT, Radulovic S, Santos AF et al. Randomized trial of peanut consumption in infants at risk for peanut allergy. N Engl J Med 2015; 372(9):803-13.</w:t>
      </w:r>
    </w:p>
    <w:p w14:paraId="0DD6989F"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lastRenderedPageBreak/>
        <w:t xml:space="preserve">15. </w:t>
      </w:r>
      <w:r w:rsidRPr="00713BF4">
        <w:rPr>
          <w:rFonts w:ascii="Calibri" w:hAnsi="Calibri" w:cs="Calibri"/>
          <w:noProof/>
          <w:sz w:val="22"/>
          <w:szCs w:val="22"/>
        </w:rPr>
        <w:tab/>
        <w:t xml:space="preserve">McAndrew F, Thompson J, Fellows L, Large A, Speed M, Renfrew MJ. Infant Feeding Survey 2010.  2012.  Health and Social Care Information Centre. </w:t>
      </w:r>
    </w:p>
    <w:p w14:paraId="48CC016E"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16. </w:t>
      </w:r>
      <w:r w:rsidRPr="00713BF4">
        <w:rPr>
          <w:rFonts w:ascii="Calibri" w:hAnsi="Calibri" w:cs="Calibri"/>
          <w:noProof/>
          <w:sz w:val="22"/>
          <w:szCs w:val="22"/>
        </w:rPr>
        <w:tab/>
        <w:t>Johnston GA, Bilbao RM, Graham-Brown RAC. The use of dietary manipulation by parents of children with atopic dermatitis. Br J Dermatol 2004; 150(6):1186-9.</w:t>
      </w:r>
    </w:p>
    <w:p w14:paraId="7E296A82"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17. </w:t>
      </w:r>
      <w:r w:rsidRPr="00713BF4">
        <w:rPr>
          <w:rFonts w:ascii="Calibri" w:hAnsi="Calibri" w:cs="Calibri"/>
          <w:noProof/>
          <w:sz w:val="22"/>
          <w:szCs w:val="22"/>
        </w:rPr>
        <w:tab/>
        <w:t>Perkin MR, Bahnson HT, Logan K, Marrs T, Radulovic S, Craven J et al. Association of Early Introduction of Solids With Infant Sleep: A Secondary Analysis of a Randomized Clinical Trial. JAMA Pediatr 2018;e180739.</w:t>
      </w:r>
    </w:p>
    <w:p w14:paraId="013FA7B6"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18. </w:t>
      </w:r>
      <w:r w:rsidRPr="00713BF4">
        <w:rPr>
          <w:rFonts w:ascii="Calibri" w:hAnsi="Calibri" w:cs="Calibri"/>
          <w:noProof/>
          <w:sz w:val="22"/>
          <w:szCs w:val="22"/>
        </w:rPr>
        <w:tab/>
        <w:t>Victora CG, Habicht JP, Bryce J. Evidence-Based Public Health: Moving Beyond Randomized Trials. American Journal of Public Health 2004; 94(3):400-5.</w:t>
      </w:r>
    </w:p>
    <w:p w14:paraId="129F6A03"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19. </w:t>
      </w:r>
      <w:r w:rsidRPr="00713BF4">
        <w:rPr>
          <w:rFonts w:ascii="Calibri" w:hAnsi="Calibri" w:cs="Calibri"/>
          <w:noProof/>
          <w:sz w:val="22"/>
          <w:szCs w:val="22"/>
        </w:rPr>
        <w:tab/>
        <w:t>Kirkpatrick SI, Dodd KW, Reedy J, Krebs-Smith SM. Income and Race/Ethnicity Are Associated with Adherence to Food-Based Dietary Guidance among US Adults and Children. Journal of the Academy of Nutrition and Dietetics 2012; 112(5):624-35.</w:t>
      </w:r>
    </w:p>
    <w:p w14:paraId="3196BE31"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20. </w:t>
      </w:r>
      <w:r w:rsidRPr="00713BF4">
        <w:rPr>
          <w:rFonts w:ascii="Calibri" w:hAnsi="Calibri" w:cs="Calibri"/>
          <w:noProof/>
          <w:sz w:val="22"/>
          <w:szCs w:val="22"/>
        </w:rPr>
        <w:tab/>
        <w:t>Greenhawt M, Chan ES, Fleischer DM, Hicks A, Wilson R, Shaker M et al. Caregiver and expecting caregiver support for early peanut introduction guidelines. Ann Allergy Asthma Immunol 2018; 120(6):620-5.</w:t>
      </w:r>
    </w:p>
    <w:p w14:paraId="77B22801"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21. </w:t>
      </w:r>
      <w:r w:rsidRPr="00713BF4">
        <w:rPr>
          <w:rFonts w:ascii="Calibri" w:hAnsi="Calibri" w:cs="Calibri"/>
          <w:noProof/>
          <w:sz w:val="22"/>
          <w:szCs w:val="22"/>
        </w:rPr>
        <w:tab/>
        <w:t>Tey D, Allen KJ, Peters RL, Koplin JJ, Tang ML, Gurrin LC et al. Population response to change in infant feeding guidelines for allergy prevention. J Allergy Clin Immunol 2014; 133(2):476-84.</w:t>
      </w:r>
    </w:p>
    <w:p w14:paraId="14B44AC1"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22. </w:t>
      </w:r>
      <w:r w:rsidRPr="00713BF4">
        <w:rPr>
          <w:rFonts w:ascii="Calibri" w:hAnsi="Calibri" w:cs="Calibri"/>
          <w:noProof/>
          <w:sz w:val="22"/>
          <w:szCs w:val="22"/>
        </w:rPr>
        <w:tab/>
        <w:t>Du Toit G, Katz Y, Sasieni P, Mesher D, Maleki SJ, Fisher HR et al. Early consumption of peanuts in infancy is associated with a low prevalence of peanut allergy. J Allergy Clin Immunol 2008; 122(5):984-91.</w:t>
      </w:r>
    </w:p>
    <w:p w14:paraId="382659E0"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23. </w:t>
      </w:r>
      <w:r w:rsidRPr="00713BF4">
        <w:rPr>
          <w:rFonts w:ascii="Calibri" w:hAnsi="Calibri" w:cs="Calibri"/>
          <w:noProof/>
          <w:sz w:val="22"/>
          <w:szCs w:val="22"/>
        </w:rPr>
        <w:tab/>
        <w:t>Togias A, Cooper SF, Acebal ML, Assa'ad A, Baker JR, Beck LA et al. Addendum guidelines for the prevention of peanut allergy in the United States. Pediatr Dermatol 2017; 34(1):5-12.</w:t>
      </w:r>
    </w:p>
    <w:p w14:paraId="3DE28E75"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24. </w:t>
      </w:r>
      <w:r w:rsidRPr="00713BF4">
        <w:rPr>
          <w:rFonts w:ascii="Calibri" w:hAnsi="Calibri" w:cs="Calibri"/>
          <w:noProof/>
          <w:sz w:val="22"/>
          <w:szCs w:val="22"/>
        </w:rPr>
        <w:tab/>
        <w:t xml:space="preserve">ASCIA Guidelines: Infant feeding and allergy prevention.  2016. </w:t>
      </w:r>
    </w:p>
    <w:p w14:paraId="412553A3" w14:textId="77777777" w:rsidR="00713BF4" w:rsidRPr="00713BF4" w:rsidRDefault="00713BF4" w:rsidP="00713BF4">
      <w:pPr>
        <w:tabs>
          <w:tab w:val="left" w:pos="360"/>
        </w:tabs>
        <w:spacing w:after="360"/>
        <w:ind w:left="360" w:hanging="360"/>
        <w:rPr>
          <w:rFonts w:ascii="Calibri" w:hAnsi="Calibri" w:cs="Calibri"/>
          <w:noProof/>
          <w:sz w:val="22"/>
          <w:szCs w:val="22"/>
        </w:rPr>
      </w:pPr>
      <w:r w:rsidRPr="00713BF4">
        <w:rPr>
          <w:rFonts w:ascii="Calibri" w:hAnsi="Calibri" w:cs="Calibri"/>
          <w:noProof/>
          <w:sz w:val="22"/>
          <w:szCs w:val="22"/>
        </w:rPr>
        <w:t xml:space="preserve">25. </w:t>
      </w:r>
      <w:r w:rsidRPr="00713BF4">
        <w:rPr>
          <w:rFonts w:ascii="Calibri" w:hAnsi="Calibri" w:cs="Calibri"/>
          <w:noProof/>
          <w:sz w:val="22"/>
          <w:szCs w:val="22"/>
        </w:rPr>
        <w:tab/>
        <w:t>Turner PJ, Feeney M, Meyer R, Perkin MR, Fox AT. Implementing primary prevention of food allergy in infants: New BSACI guidance published. Clin Exp Allergy 2018; 48(8):912-5.</w:t>
      </w:r>
    </w:p>
    <w:p w14:paraId="2F705D60" w14:textId="77777777" w:rsidR="00713BF4" w:rsidRPr="00713BF4" w:rsidRDefault="00713BF4" w:rsidP="00713BF4">
      <w:pPr>
        <w:tabs>
          <w:tab w:val="left" w:pos="360"/>
        </w:tabs>
        <w:ind w:left="360" w:hanging="360"/>
        <w:rPr>
          <w:rFonts w:ascii="Calibri" w:hAnsi="Calibri" w:cs="Calibri"/>
          <w:noProof/>
          <w:sz w:val="22"/>
          <w:szCs w:val="22"/>
        </w:rPr>
      </w:pPr>
      <w:r w:rsidRPr="00713BF4">
        <w:rPr>
          <w:rFonts w:ascii="Calibri" w:hAnsi="Calibri" w:cs="Calibri"/>
          <w:noProof/>
          <w:sz w:val="22"/>
          <w:szCs w:val="22"/>
        </w:rPr>
        <w:t xml:space="preserve">26. </w:t>
      </w:r>
      <w:r w:rsidRPr="00713BF4">
        <w:rPr>
          <w:rFonts w:ascii="Calibri" w:hAnsi="Calibri" w:cs="Calibri"/>
          <w:noProof/>
          <w:sz w:val="22"/>
          <w:szCs w:val="22"/>
        </w:rPr>
        <w:tab/>
        <w:t xml:space="preserve">Scientific Advisory Committee on Nutrition, Committee on Toxicity of Chemicals in Food CPatE. Assessing the health benefits and risks of the introduction of peanut and hen's egg into the infant diet before six months of age in the UK.  17-7-2017. </w:t>
      </w:r>
    </w:p>
    <w:p w14:paraId="0AE591C6" w14:textId="1F4EDC91" w:rsidR="00713BF4" w:rsidRDefault="00713BF4" w:rsidP="00713BF4">
      <w:pPr>
        <w:tabs>
          <w:tab w:val="left" w:pos="360"/>
        </w:tabs>
        <w:ind w:left="360" w:hanging="360"/>
        <w:rPr>
          <w:rFonts w:ascii="Calibri" w:hAnsi="Calibri" w:cs="Calibri"/>
          <w:noProof/>
          <w:sz w:val="22"/>
          <w:szCs w:val="22"/>
        </w:rPr>
      </w:pPr>
    </w:p>
    <w:p w14:paraId="205B0E0D" w14:textId="2A414AFA" w:rsidR="001C7370" w:rsidRDefault="001C7370" w:rsidP="001B7699">
      <w:pPr>
        <w:tabs>
          <w:tab w:val="right" w:pos="360"/>
          <w:tab w:val="left" w:pos="540"/>
        </w:tabs>
        <w:spacing w:after="240"/>
        <w:ind w:left="540" w:hanging="540"/>
        <w:rPr>
          <w:rFonts w:asciiTheme="minorHAnsi" w:hAnsiTheme="minorHAnsi" w:cs="Calibri"/>
          <w:sz w:val="22"/>
          <w:szCs w:val="22"/>
        </w:rPr>
      </w:pPr>
    </w:p>
    <w:p w14:paraId="32095DBB" w14:textId="77777777" w:rsidR="001C7370" w:rsidRDefault="001C7370">
      <w:pPr>
        <w:rPr>
          <w:rFonts w:asciiTheme="minorHAnsi" w:hAnsiTheme="minorHAnsi" w:cs="Calibri"/>
          <w:sz w:val="22"/>
          <w:szCs w:val="22"/>
        </w:rPr>
      </w:pPr>
      <w:r>
        <w:rPr>
          <w:rFonts w:asciiTheme="minorHAnsi" w:hAnsiTheme="minorHAnsi" w:cs="Calibri"/>
          <w:sz w:val="22"/>
          <w:szCs w:val="22"/>
        </w:rPr>
        <w:br w:type="page"/>
      </w:r>
    </w:p>
    <w:p w14:paraId="586CB4A4" w14:textId="6036D154" w:rsidR="00EC3E99" w:rsidRDefault="00EC3E99" w:rsidP="009C530F">
      <w:pPr>
        <w:tabs>
          <w:tab w:val="right" w:pos="360"/>
          <w:tab w:val="left" w:pos="540"/>
        </w:tabs>
        <w:spacing w:after="240"/>
        <w:ind w:left="540" w:hanging="540"/>
        <w:rPr>
          <w:rFonts w:ascii="Calibri" w:hAnsi="Calibri" w:cs="Calibri"/>
          <w:b/>
          <w:noProof/>
          <w:sz w:val="22"/>
          <w:szCs w:val="22"/>
        </w:rPr>
      </w:pPr>
      <w:r>
        <w:rPr>
          <w:rFonts w:ascii="Calibri" w:hAnsi="Calibri" w:cs="Calibri"/>
          <w:b/>
          <w:noProof/>
          <w:sz w:val="22"/>
          <w:szCs w:val="22"/>
        </w:rPr>
        <w:lastRenderedPageBreak/>
        <w:t>Figure Legends</w:t>
      </w:r>
    </w:p>
    <w:p w14:paraId="0242EEFA" w14:textId="77777777" w:rsidR="00EC3E99" w:rsidRPr="004E1108" w:rsidRDefault="00EC3E99" w:rsidP="00EC3E99">
      <w:pPr>
        <w:autoSpaceDE w:val="0"/>
        <w:autoSpaceDN w:val="0"/>
        <w:adjustRightInd w:val="0"/>
        <w:rPr>
          <w:rFonts w:asciiTheme="minorHAnsi" w:hAnsiTheme="minorHAnsi" w:cs="Calibri"/>
          <w:b/>
          <w:sz w:val="22"/>
          <w:szCs w:val="22"/>
        </w:rPr>
      </w:pPr>
      <w:r>
        <w:rPr>
          <w:rFonts w:asciiTheme="minorHAnsi" w:hAnsiTheme="minorHAnsi" w:cs="Calibri"/>
          <w:b/>
          <w:sz w:val="22"/>
          <w:szCs w:val="22"/>
        </w:rPr>
        <w:t>FIG 1</w:t>
      </w:r>
      <w:r w:rsidRPr="004E1108">
        <w:rPr>
          <w:rFonts w:asciiTheme="minorHAnsi" w:hAnsiTheme="minorHAnsi" w:cs="Calibri"/>
          <w:b/>
          <w:sz w:val="22"/>
          <w:szCs w:val="22"/>
        </w:rPr>
        <w:t xml:space="preserve">. </w:t>
      </w:r>
      <w:r>
        <w:rPr>
          <w:rFonts w:asciiTheme="minorHAnsi" w:hAnsiTheme="minorHAnsi" w:cs="Calibri"/>
          <w:b/>
          <w:sz w:val="22"/>
          <w:szCs w:val="22"/>
        </w:rPr>
        <w:t>Adherence</w:t>
      </w:r>
      <w:r w:rsidRPr="004E1108">
        <w:rPr>
          <w:rFonts w:asciiTheme="minorHAnsi" w:hAnsiTheme="minorHAnsi" w:cs="Calibri"/>
          <w:b/>
          <w:sz w:val="22"/>
          <w:szCs w:val="22"/>
        </w:rPr>
        <w:t xml:space="preserve"> with the introduction of allergenic foods in the EIG up to one year of age</w:t>
      </w:r>
    </w:p>
    <w:p w14:paraId="60A8B392" w14:textId="3860FD56" w:rsidR="005047F9" w:rsidRDefault="005047F9" w:rsidP="00EC3E99">
      <w:pPr>
        <w:pStyle w:val="Caption"/>
        <w:jc w:val="left"/>
        <w:rPr>
          <w:rFonts w:asciiTheme="minorHAnsi" w:eastAsia="Calibri" w:hAnsiTheme="minorHAnsi" w:cs="Calibri"/>
          <w:b w:val="0"/>
          <w:bCs w:val="0"/>
          <w:sz w:val="22"/>
          <w:szCs w:val="22"/>
          <w:lang w:eastAsia="en-US"/>
        </w:rPr>
      </w:pPr>
      <w:r>
        <w:rPr>
          <w:rFonts w:asciiTheme="minorHAnsi" w:eastAsia="Calibri" w:hAnsiTheme="minorHAnsi" w:cs="Calibri"/>
          <w:b w:val="0"/>
          <w:bCs w:val="0"/>
          <w:sz w:val="22"/>
          <w:szCs w:val="22"/>
          <w:lang w:eastAsia="en-US"/>
        </w:rPr>
        <w:t xml:space="preserve">The figure presents the relative proportions of the EIG consuming 100%, 75%, 50%, 25%, or not having started consuming each of the six early introduction foods, from enrollment through to 12 months of age. </w:t>
      </w:r>
      <w:r w:rsidR="00EC3E99">
        <w:rPr>
          <w:rFonts w:asciiTheme="minorHAnsi" w:eastAsia="Calibri" w:hAnsiTheme="minorHAnsi" w:cs="Calibri"/>
          <w:b w:val="0"/>
          <w:bCs w:val="0"/>
          <w:sz w:val="22"/>
          <w:szCs w:val="22"/>
          <w:lang w:eastAsia="en-US"/>
        </w:rPr>
        <w:t>The f</w:t>
      </w:r>
      <w:r w:rsidR="00EC3E99" w:rsidRPr="004E1108">
        <w:rPr>
          <w:rFonts w:asciiTheme="minorHAnsi" w:eastAsia="Calibri" w:hAnsiTheme="minorHAnsi" w:cs="Calibri"/>
          <w:b w:val="0"/>
          <w:bCs w:val="0"/>
          <w:sz w:val="22"/>
          <w:szCs w:val="22"/>
          <w:lang w:eastAsia="en-US"/>
        </w:rPr>
        <w:t xml:space="preserve">ood specific </w:t>
      </w:r>
      <w:r w:rsidR="00EC3E99">
        <w:rPr>
          <w:rFonts w:asciiTheme="minorHAnsi" w:eastAsia="Calibri" w:hAnsiTheme="minorHAnsi" w:cs="Calibri"/>
          <w:b w:val="0"/>
          <w:bCs w:val="0"/>
          <w:sz w:val="22"/>
          <w:szCs w:val="22"/>
          <w:lang w:eastAsia="en-US"/>
        </w:rPr>
        <w:t>per-protocol</w:t>
      </w:r>
      <w:r w:rsidR="00EC3E99" w:rsidRPr="004E1108">
        <w:rPr>
          <w:rFonts w:asciiTheme="minorHAnsi" w:eastAsia="Calibri" w:hAnsiTheme="minorHAnsi" w:cs="Calibri"/>
          <w:b w:val="0"/>
          <w:bCs w:val="0"/>
          <w:sz w:val="22"/>
          <w:szCs w:val="22"/>
          <w:lang w:eastAsia="en-US"/>
        </w:rPr>
        <w:t xml:space="preserve"> adherence</w:t>
      </w:r>
      <w:r w:rsidR="00EC3E99">
        <w:rPr>
          <w:rFonts w:asciiTheme="minorHAnsi" w:eastAsia="Calibri" w:hAnsiTheme="minorHAnsi" w:cs="Calibri"/>
          <w:b w:val="0"/>
          <w:bCs w:val="0"/>
          <w:sz w:val="22"/>
          <w:szCs w:val="22"/>
          <w:lang w:eastAsia="en-US"/>
        </w:rPr>
        <w:t xml:space="preserve"> percentage (amongst those whose food specific adherence status was evaluable)</w:t>
      </w:r>
      <w:r w:rsidR="00EC3E99" w:rsidRPr="004E1108">
        <w:rPr>
          <w:rFonts w:asciiTheme="minorHAnsi" w:eastAsia="Calibri" w:hAnsiTheme="minorHAnsi" w:cs="Calibri"/>
          <w:b w:val="0"/>
          <w:bCs w:val="0"/>
          <w:sz w:val="22"/>
          <w:szCs w:val="22"/>
          <w:lang w:eastAsia="en-US"/>
        </w:rPr>
        <w:t xml:space="preserve"> is shown in brackets. </w:t>
      </w:r>
    </w:p>
    <w:p w14:paraId="77A74539" w14:textId="77777777" w:rsidR="00FD7BD0" w:rsidRDefault="00FD7BD0" w:rsidP="00FD7BD0">
      <w:pPr>
        <w:rPr>
          <w:rFonts w:eastAsia="Calibri"/>
        </w:rPr>
      </w:pPr>
    </w:p>
    <w:p w14:paraId="2E637138" w14:textId="77777777" w:rsidR="00EC3E99" w:rsidRDefault="00EC3E99" w:rsidP="00EC3E99">
      <w:pPr>
        <w:rPr>
          <w:rFonts w:eastAsia="Calibri"/>
        </w:rPr>
      </w:pPr>
    </w:p>
    <w:p w14:paraId="20F821FD" w14:textId="7E8868BA" w:rsidR="005C7060" w:rsidRDefault="00FD7BD0" w:rsidP="00FD7BD0">
      <w:pPr>
        <w:rPr>
          <w:rFonts w:ascii="Calibri" w:hAnsi="Calibri" w:cs="Calibri"/>
          <w:b/>
          <w:sz w:val="22"/>
          <w:szCs w:val="22"/>
          <w:lang w:eastAsia="en-GB"/>
        </w:rPr>
      </w:pPr>
      <w:r>
        <w:rPr>
          <w:rFonts w:ascii="Calibri" w:hAnsi="Calibri" w:cs="Calibri"/>
          <w:b/>
          <w:sz w:val="22"/>
          <w:szCs w:val="22"/>
          <w:lang w:eastAsia="en-GB"/>
        </w:rPr>
        <w:t xml:space="preserve">FIG </w:t>
      </w:r>
      <w:r w:rsidR="00FB6A18">
        <w:rPr>
          <w:rFonts w:ascii="Calibri" w:hAnsi="Calibri" w:cs="Calibri"/>
          <w:b/>
          <w:sz w:val="22"/>
          <w:szCs w:val="22"/>
          <w:lang w:eastAsia="en-GB"/>
        </w:rPr>
        <w:t>2</w:t>
      </w:r>
      <w:r>
        <w:rPr>
          <w:rFonts w:ascii="Calibri" w:hAnsi="Calibri" w:cs="Calibri"/>
          <w:b/>
          <w:sz w:val="22"/>
          <w:szCs w:val="22"/>
          <w:lang w:eastAsia="en-GB"/>
        </w:rPr>
        <w:t xml:space="preserve">. </w:t>
      </w:r>
      <w:r w:rsidR="005C7060">
        <w:rPr>
          <w:rFonts w:ascii="Calibri" w:hAnsi="Calibri" w:cs="Calibri"/>
          <w:b/>
          <w:sz w:val="22"/>
          <w:szCs w:val="22"/>
          <w:lang w:eastAsia="en-GB"/>
        </w:rPr>
        <w:t>EIG enrollment IgE sensitization and overall and food-specific per-protocol adherence</w:t>
      </w:r>
    </w:p>
    <w:p w14:paraId="12A1E8A0" w14:textId="7E4E5234" w:rsidR="005047F9" w:rsidRDefault="005047F9" w:rsidP="00FD7BD0">
      <w:pPr>
        <w:rPr>
          <w:rFonts w:ascii="Calibri" w:hAnsi="Calibri" w:cs="Calibri"/>
          <w:sz w:val="22"/>
          <w:szCs w:val="22"/>
          <w:lang w:eastAsia="en-GB"/>
        </w:rPr>
      </w:pPr>
      <w:r w:rsidRPr="005047F9">
        <w:rPr>
          <w:rFonts w:ascii="Calibri" w:hAnsi="Calibri" w:cs="Calibri"/>
          <w:sz w:val="22"/>
          <w:szCs w:val="22"/>
          <w:lang w:eastAsia="en-GB"/>
        </w:rPr>
        <w:t xml:space="preserve">Penalized logistic regression of the association between enrollment IgE sensitization (0.1 kU/l or greater) to specific foods, or to one or more of the six early introduction foods, and the </w:t>
      </w:r>
      <w:r>
        <w:rPr>
          <w:rFonts w:ascii="Calibri" w:hAnsi="Calibri" w:cs="Calibri"/>
          <w:sz w:val="22"/>
          <w:szCs w:val="22"/>
          <w:lang w:eastAsia="en-GB"/>
        </w:rPr>
        <w:t>association with food specific and overall non-adherence</w:t>
      </w:r>
    </w:p>
    <w:p w14:paraId="785C1F35" w14:textId="77777777" w:rsidR="00FD7BD0" w:rsidRDefault="00FD7BD0" w:rsidP="00EC3E99">
      <w:pPr>
        <w:rPr>
          <w:rFonts w:ascii="Calibri" w:hAnsi="Calibri" w:cs="Calibri"/>
          <w:b/>
          <w:sz w:val="22"/>
          <w:szCs w:val="22"/>
          <w:lang w:eastAsia="en-GB"/>
        </w:rPr>
      </w:pPr>
    </w:p>
    <w:p w14:paraId="37FB432B" w14:textId="41C410C0" w:rsidR="00EC3E99" w:rsidRDefault="00EC3E99" w:rsidP="00EC3E99">
      <w:pPr>
        <w:rPr>
          <w:rFonts w:ascii="Calibri" w:hAnsi="Calibri" w:cs="Calibri"/>
          <w:b/>
          <w:sz w:val="22"/>
          <w:szCs w:val="22"/>
          <w:lang w:eastAsia="en-GB"/>
        </w:rPr>
      </w:pPr>
      <w:r>
        <w:rPr>
          <w:rFonts w:ascii="Calibri" w:hAnsi="Calibri" w:cs="Calibri"/>
          <w:b/>
          <w:sz w:val="22"/>
          <w:szCs w:val="22"/>
          <w:lang w:eastAsia="en-GB"/>
        </w:rPr>
        <w:t>FIG</w:t>
      </w:r>
      <w:r w:rsidR="00FD7BD0">
        <w:rPr>
          <w:rFonts w:ascii="Calibri" w:hAnsi="Calibri" w:cs="Calibri"/>
          <w:b/>
          <w:sz w:val="22"/>
          <w:szCs w:val="22"/>
          <w:lang w:eastAsia="en-GB"/>
        </w:rPr>
        <w:t xml:space="preserve"> </w:t>
      </w:r>
      <w:r w:rsidR="00FB6A18">
        <w:rPr>
          <w:rFonts w:ascii="Calibri" w:hAnsi="Calibri" w:cs="Calibri"/>
          <w:b/>
          <w:sz w:val="22"/>
          <w:szCs w:val="22"/>
          <w:lang w:eastAsia="en-GB"/>
        </w:rPr>
        <w:t>3</w:t>
      </w:r>
      <w:r>
        <w:rPr>
          <w:rFonts w:ascii="Calibri" w:hAnsi="Calibri" w:cs="Calibri"/>
          <w:b/>
          <w:sz w:val="22"/>
          <w:szCs w:val="22"/>
          <w:lang w:eastAsia="en-GB"/>
        </w:rPr>
        <w:t xml:space="preserve">. </w:t>
      </w:r>
      <w:r w:rsidR="005C7060" w:rsidRPr="005C7060">
        <w:rPr>
          <w:rFonts w:ascii="Calibri" w:hAnsi="Calibri" w:cs="Calibri"/>
          <w:b/>
          <w:sz w:val="22"/>
          <w:szCs w:val="22"/>
          <w:lang w:eastAsia="en-GB"/>
        </w:rPr>
        <w:t xml:space="preserve">The reporting in the key early introduction period (up to six months) of IgE type symptoms to specific foods, IgE or non-IgE type symptoms to any of the early introduction foods, and the </w:t>
      </w:r>
      <w:r>
        <w:rPr>
          <w:rFonts w:ascii="Calibri" w:hAnsi="Calibri" w:cs="Calibri"/>
          <w:b/>
          <w:sz w:val="22"/>
          <w:szCs w:val="22"/>
          <w:lang w:eastAsia="en-GB"/>
        </w:rPr>
        <w:t>association with food specific and overall per-protocol adherence</w:t>
      </w:r>
    </w:p>
    <w:p w14:paraId="5EC64487" w14:textId="534EDDE2" w:rsidR="005C7060" w:rsidRDefault="005C7060" w:rsidP="005C7060">
      <w:pPr>
        <w:pStyle w:val="Caption"/>
        <w:rPr>
          <w:b w:val="0"/>
          <w:sz w:val="22"/>
        </w:rPr>
      </w:pPr>
      <w:r w:rsidRPr="005C7060">
        <w:rPr>
          <w:b w:val="0"/>
          <w:sz w:val="22"/>
        </w:rPr>
        <w:t>Penalized logistic regression of the association between symptoms with consumption of the six allergenic foods</w:t>
      </w:r>
      <w:r w:rsidR="00C20078">
        <w:rPr>
          <w:b w:val="0"/>
          <w:sz w:val="22"/>
        </w:rPr>
        <w:t xml:space="preserve"> and </w:t>
      </w:r>
      <w:r w:rsidR="00C20078" w:rsidRPr="00C20078">
        <w:rPr>
          <w:b w:val="0"/>
          <w:sz w:val="22"/>
        </w:rPr>
        <w:t>food specific and overall non-adherence</w:t>
      </w:r>
      <w:r w:rsidR="00C20078">
        <w:rPr>
          <w:b w:val="0"/>
          <w:sz w:val="22"/>
        </w:rPr>
        <w:t xml:space="preserve">. </w:t>
      </w:r>
      <w:r w:rsidRPr="005C7060">
        <w:rPr>
          <w:b w:val="0"/>
          <w:sz w:val="22"/>
        </w:rPr>
        <w:t>Symptom</w:t>
      </w:r>
      <w:r w:rsidR="00C20078">
        <w:rPr>
          <w:b w:val="0"/>
          <w:sz w:val="22"/>
        </w:rPr>
        <w:t xml:space="preserve">s manifesting by six months of age are </w:t>
      </w:r>
      <w:r w:rsidRPr="005C7060">
        <w:rPr>
          <w:b w:val="0"/>
          <w:sz w:val="22"/>
        </w:rPr>
        <w:t>presented for IgE type symptoms for each specific food, IgE type symptoms to one or more of the s</w:t>
      </w:r>
      <w:r w:rsidR="00C20078">
        <w:rPr>
          <w:b w:val="0"/>
          <w:sz w:val="22"/>
        </w:rPr>
        <w:t xml:space="preserve">ix early introduction foods and </w:t>
      </w:r>
      <w:r w:rsidRPr="005C7060">
        <w:rPr>
          <w:b w:val="0"/>
          <w:sz w:val="22"/>
        </w:rPr>
        <w:t xml:space="preserve">non-IgE type symptoms to one or </w:t>
      </w:r>
      <w:r w:rsidR="00C20078">
        <w:rPr>
          <w:b w:val="0"/>
          <w:sz w:val="22"/>
        </w:rPr>
        <w:t>m</w:t>
      </w:r>
      <w:r w:rsidRPr="005C7060">
        <w:rPr>
          <w:b w:val="0"/>
          <w:sz w:val="22"/>
        </w:rPr>
        <w:t>ore of the six early introduction foods.</w:t>
      </w:r>
    </w:p>
    <w:p w14:paraId="56AAC936" w14:textId="77777777" w:rsidR="00FB6A18" w:rsidRPr="00FB6A18" w:rsidRDefault="00FB6A18" w:rsidP="00FB6A18">
      <w:pPr>
        <w:rPr>
          <w:lang w:eastAsia="en-GB"/>
        </w:rPr>
      </w:pPr>
    </w:p>
    <w:p w14:paraId="460CFF9C" w14:textId="589CB168" w:rsidR="00FB6A18" w:rsidRPr="00D31632" w:rsidRDefault="00FB6A18" w:rsidP="00FB6A18">
      <w:pPr>
        <w:rPr>
          <w:rFonts w:asciiTheme="minorHAnsi" w:hAnsiTheme="minorHAnsi" w:cs="Calibri"/>
          <w:b/>
          <w:sz w:val="22"/>
          <w:szCs w:val="22"/>
        </w:rPr>
      </w:pPr>
      <w:r>
        <w:rPr>
          <w:rFonts w:asciiTheme="minorHAnsi" w:hAnsiTheme="minorHAnsi" w:cs="Calibri"/>
          <w:b/>
          <w:sz w:val="22"/>
          <w:szCs w:val="22"/>
        </w:rPr>
        <w:t>FIG 4</w:t>
      </w:r>
      <w:r w:rsidRPr="00D31632">
        <w:rPr>
          <w:rFonts w:asciiTheme="minorHAnsi" w:hAnsiTheme="minorHAnsi" w:cs="Calibri"/>
          <w:b/>
          <w:sz w:val="22"/>
          <w:szCs w:val="22"/>
        </w:rPr>
        <w:t>. Contributions of subgroups to the proportion o</w:t>
      </w:r>
      <w:r>
        <w:rPr>
          <w:rFonts w:asciiTheme="minorHAnsi" w:hAnsiTheme="minorHAnsi" w:cs="Calibri"/>
          <w:b/>
          <w:sz w:val="22"/>
          <w:szCs w:val="22"/>
        </w:rPr>
        <w:t>f food allergy cases in the SIG</w:t>
      </w:r>
    </w:p>
    <w:p w14:paraId="3000EBE9" w14:textId="3D6FD6EC" w:rsidR="00FB6A18" w:rsidRPr="00621922" w:rsidRDefault="00FB6A18" w:rsidP="00FB6A18">
      <w:pPr>
        <w:rPr>
          <w:rFonts w:asciiTheme="minorHAnsi" w:hAnsiTheme="minorHAnsi" w:cs="Calibri"/>
          <w:sz w:val="22"/>
          <w:szCs w:val="22"/>
        </w:rPr>
      </w:pPr>
      <w:r w:rsidRPr="00D31632">
        <w:rPr>
          <w:rFonts w:asciiTheme="minorHAnsi" w:hAnsiTheme="minorHAnsi" w:cs="Calibri"/>
          <w:sz w:val="22"/>
          <w:szCs w:val="22"/>
        </w:rPr>
        <w:t>The bar charts in Part A provide the prevalence calculations used to estimate the reduction in total allergy burden and number needed to treat. The per</w:t>
      </w:r>
      <w:r>
        <w:rPr>
          <w:rFonts w:asciiTheme="minorHAnsi" w:hAnsiTheme="minorHAnsi" w:cs="Calibri"/>
          <w:sz w:val="22"/>
          <w:szCs w:val="22"/>
        </w:rPr>
        <w:t>-</w:t>
      </w:r>
      <w:r w:rsidRPr="00D31632">
        <w:rPr>
          <w:rFonts w:asciiTheme="minorHAnsi" w:hAnsiTheme="minorHAnsi" w:cs="Calibri"/>
          <w:sz w:val="22"/>
          <w:szCs w:val="22"/>
        </w:rPr>
        <w:t xml:space="preserve">protocol </w:t>
      </w:r>
      <w:r>
        <w:rPr>
          <w:rFonts w:asciiTheme="minorHAnsi" w:hAnsiTheme="minorHAnsi" w:cs="Calibri"/>
          <w:sz w:val="22"/>
          <w:szCs w:val="22"/>
        </w:rPr>
        <w:t>adherence</w:t>
      </w:r>
      <w:r w:rsidRPr="00D31632">
        <w:rPr>
          <w:rFonts w:asciiTheme="minorHAnsi" w:hAnsiTheme="minorHAnsi" w:cs="Calibri"/>
          <w:sz w:val="22"/>
          <w:szCs w:val="22"/>
        </w:rPr>
        <w:t xml:space="preserve"> rates are shown for those EIG participants whose adherence rate was evaluable and also as a proportion of the whole EIG (percentages in brackets).</w:t>
      </w:r>
      <w:r w:rsidR="00D434D4">
        <w:rPr>
          <w:rFonts w:asciiTheme="minorHAnsi" w:hAnsiTheme="minorHAnsi" w:cs="Calibri"/>
          <w:sz w:val="22"/>
          <w:szCs w:val="22"/>
        </w:rPr>
        <w:t xml:space="preserve"> </w:t>
      </w:r>
      <w:r w:rsidRPr="00D31632">
        <w:rPr>
          <w:rFonts w:asciiTheme="minorHAnsi" w:hAnsiTheme="minorHAnsi" w:cs="Calibri"/>
          <w:sz w:val="22"/>
          <w:szCs w:val="22"/>
        </w:rPr>
        <w:t>Part B assumes an 80% treatment effect and 85% adherence across all risk factors for allergy. For example, infants in EAT with visible eczema comprised 61.9% of the total food allergy burden. Hypothetically, if per-protocol adherence could be achieved in 85% of this subgroup then 5</w:t>
      </w:r>
      <w:r w:rsidR="00937C90">
        <w:rPr>
          <w:rFonts w:asciiTheme="minorHAnsi" w:hAnsiTheme="minorHAnsi" w:cs="Calibri"/>
          <w:sz w:val="22"/>
          <w:szCs w:val="22"/>
        </w:rPr>
        <w:t>2</w:t>
      </w:r>
      <w:r w:rsidRPr="00D31632">
        <w:rPr>
          <w:rFonts w:asciiTheme="minorHAnsi" w:hAnsiTheme="minorHAnsi" w:cs="Calibri"/>
          <w:sz w:val="22"/>
          <w:szCs w:val="22"/>
        </w:rPr>
        <w:t>.6% (61.9%*85%) of the allergic burden would experience the intervention. Moreover, if an intervention effect of 80% is assumed, then the total reduction in food allergy that would be realize</w:t>
      </w:r>
      <w:r>
        <w:rPr>
          <w:rFonts w:asciiTheme="minorHAnsi" w:hAnsiTheme="minorHAnsi" w:cs="Calibri"/>
          <w:sz w:val="22"/>
          <w:szCs w:val="22"/>
        </w:rPr>
        <w:t>d</w:t>
      </w:r>
      <w:r w:rsidRPr="00D31632">
        <w:rPr>
          <w:rFonts w:asciiTheme="minorHAnsi" w:hAnsiTheme="minorHAnsi" w:cs="Calibri"/>
          <w:sz w:val="22"/>
          <w:szCs w:val="22"/>
        </w:rPr>
        <w:t xml:space="preserve"> from intervening on this subgroup would be 42.1% (52.6%*80%).</w:t>
      </w:r>
    </w:p>
    <w:p w14:paraId="31149A4D" w14:textId="77777777" w:rsidR="00EC3E99" w:rsidRDefault="00EC3E99" w:rsidP="0020674B">
      <w:pPr>
        <w:jc w:val="both"/>
        <w:rPr>
          <w:rFonts w:ascii="Calibri" w:hAnsi="Calibri" w:cs="Calibri"/>
          <w:b/>
          <w:iCs/>
          <w:sz w:val="22"/>
          <w:szCs w:val="22"/>
        </w:rPr>
      </w:pPr>
    </w:p>
    <w:p w14:paraId="6F410476" w14:textId="77777777" w:rsidR="00045D14" w:rsidRDefault="00045D14" w:rsidP="00D347F0">
      <w:pPr>
        <w:tabs>
          <w:tab w:val="right" w:pos="360"/>
          <w:tab w:val="left" w:pos="540"/>
        </w:tabs>
        <w:spacing w:after="240"/>
        <w:ind w:left="540" w:hanging="540"/>
        <w:rPr>
          <w:rFonts w:ascii="Calibri" w:hAnsi="Calibri" w:cs="Calibri"/>
          <w:b/>
          <w:iCs/>
          <w:sz w:val="22"/>
          <w:szCs w:val="22"/>
        </w:rPr>
        <w:sectPr w:rsidR="00045D14" w:rsidSect="001C7370">
          <w:headerReference w:type="even" r:id="rId8"/>
          <w:headerReference w:type="default" r:id="rId9"/>
          <w:endnotePr>
            <w:numFmt w:val="decimal"/>
          </w:endnotePr>
          <w:pgSz w:w="11907" w:h="16840" w:code="9"/>
          <w:pgMar w:top="1134" w:right="1418" w:bottom="1134" w:left="1418" w:header="510" w:footer="720" w:gutter="0"/>
          <w:lnNumType w:countBy="1" w:restart="continuous"/>
          <w:cols w:space="708"/>
          <w:docGrid w:linePitch="360"/>
        </w:sectPr>
      </w:pPr>
    </w:p>
    <w:p w14:paraId="24D04607" w14:textId="5DE637E5" w:rsidR="00BE4EEE" w:rsidRPr="004E1108" w:rsidRDefault="00DF471E" w:rsidP="00BE4EEE">
      <w:pPr>
        <w:rPr>
          <w:rFonts w:asciiTheme="minorHAnsi" w:hAnsiTheme="minorHAnsi"/>
          <w:b/>
          <w:bCs/>
          <w:sz w:val="22"/>
          <w:szCs w:val="22"/>
        </w:rPr>
      </w:pPr>
      <w:bookmarkStart w:id="1" w:name="_Toc448250611"/>
      <w:r>
        <w:rPr>
          <w:rFonts w:asciiTheme="minorHAnsi" w:hAnsiTheme="minorHAnsi"/>
          <w:b/>
          <w:bCs/>
          <w:sz w:val="22"/>
          <w:szCs w:val="22"/>
        </w:rPr>
        <w:lastRenderedPageBreak/>
        <w:t>TABLE</w:t>
      </w:r>
      <w:r w:rsidR="00BE4EEE" w:rsidRPr="004E1108">
        <w:rPr>
          <w:rFonts w:asciiTheme="minorHAnsi" w:hAnsiTheme="minorHAnsi"/>
          <w:b/>
          <w:bCs/>
          <w:sz w:val="22"/>
          <w:szCs w:val="22"/>
        </w:rPr>
        <w:t xml:space="preserve"> </w:t>
      </w:r>
      <w:r>
        <w:rPr>
          <w:rFonts w:asciiTheme="minorHAnsi" w:hAnsiTheme="minorHAnsi"/>
          <w:b/>
          <w:bCs/>
          <w:sz w:val="22"/>
          <w:szCs w:val="22"/>
        </w:rPr>
        <w:t>I.</w:t>
      </w:r>
      <w:r w:rsidR="00BE4EEE" w:rsidRPr="004E1108">
        <w:rPr>
          <w:rFonts w:asciiTheme="minorHAnsi" w:hAnsiTheme="minorHAnsi"/>
          <w:b/>
          <w:bCs/>
          <w:sz w:val="22"/>
          <w:szCs w:val="22"/>
        </w:rPr>
        <w:t xml:space="preserve"> </w:t>
      </w:r>
      <w:r w:rsidR="00D07C8B">
        <w:rPr>
          <w:rFonts w:asciiTheme="minorHAnsi" w:hAnsiTheme="minorHAnsi"/>
          <w:b/>
          <w:bCs/>
          <w:sz w:val="22"/>
          <w:szCs w:val="22"/>
        </w:rPr>
        <w:t>Enrollment</w:t>
      </w:r>
      <w:r w:rsidR="00BE4EEE" w:rsidRPr="004E1108">
        <w:rPr>
          <w:rFonts w:asciiTheme="minorHAnsi" w:hAnsiTheme="minorHAnsi"/>
          <w:b/>
          <w:bCs/>
          <w:sz w:val="22"/>
          <w:szCs w:val="22"/>
        </w:rPr>
        <w:t xml:space="preserve"> </w:t>
      </w:r>
      <w:r w:rsidR="009222F0">
        <w:rPr>
          <w:rFonts w:asciiTheme="minorHAnsi" w:hAnsiTheme="minorHAnsi"/>
          <w:b/>
          <w:bCs/>
          <w:sz w:val="22"/>
          <w:szCs w:val="22"/>
        </w:rPr>
        <w:t>sensitiz</w:t>
      </w:r>
      <w:r w:rsidR="00BE4EEE" w:rsidRPr="004E1108">
        <w:rPr>
          <w:rFonts w:asciiTheme="minorHAnsi" w:hAnsiTheme="minorHAnsi"/>
          <w:b/>
          <w:bCs/>
          <w:sz w:val="22"/>
          <w:szCs w:val="22"/>
        </w:rPr>
        <w:t>ation data from the EAT study</w:t>
      </w:r>
    </w:p>
    <w:tbl>
      <w:tblPr>
        <w:tblW w:w="14912" w:type="dxa"/>
        <w:tblCellMar>
          <w:left w:w="0" w:type="dxa"/>
          <w:right w:w="0" w:type="dxa"/>
        </w:tblCellMar>
        <w:tblLook w:val="04A0" w:firstRow="1" w:lastRow="0" w:firstColumn="1" w:lastColumn="0" w:noHBand="0" w:noVBand="1"/>
      </w:tblPr>
      <w:tblGrid>
        <w:gridCol w:w="3005"/>
        <w:gridCol w:w="1701"/>
        <w:gridCol w:w="1701"/>
        <w:gridCol w:w="1701"/>
        <w:gridCol w:w="1701"/>
        <w:gridCol w:w="1701"/>
        <w:gridCol w:w="1701"/>
        <w:gridCol w:w="1701"/>
      </w:tblGrid>
      <w:tr w:rsidR="008D3371" w:rsidRPr="004E1108" w14:paraId="6537A900" w14:textId="77777777" w:rsidTr="00174F33">
        <w:tc>
          <w:tcPr>
            <w:tcW w:w="3005" w:type="dxa"/>
            <w:tcBorders>
              <w:top w:val="single" w:sz="18" w:space="0" w:color="000000"/>
              <w:left w:val="nil"/>
              <w:bottom w:val="single" w:sz="18" w:space="0" w:color="000000"/>
              <w:right w:val="nil"/>
            </w:tcBorders>
            <w:tcMar>
              <w:top w:w="0" w:type="dxa"/>
              <w:left w:w="108" w:type="dxa"/>
              <w:bottom w:w="0" w:type="dxa"/>
              <w:right w:w="108" w:type="dxa"/>
            </w:tcMar>
          </w:tcPr>
          <w:p w14:paraId="61A131E1" w14:textId="77777777" w:rsidR="008D3371" w:rsidRPr="00444BEF" w:rsidRDefault="008D3371" w:rsidP="00E022A2">
            <w:pPr>
              <w:jc w:val="center"/>
              <w:rPr>
                <w:rFonts w:asciiTheme="minorHAnsi" w:hAnsiTheme="minorHAnsi"/>
                <w:b/>
                <w:bCs/>
                <w:szCs w:val="20"/>
              </w:rPr>
            </w:pPr>
          </w:p>
        </w:tc>
        <w:tc>
          <w:tcPr>
            <w:tcW w:w="1701" w:type="dxa"/>
            <w:tcBorders>
              <w:top w:val="single" w:sz="18" w:space="0" w:color="000000"/>
              <w:left w:val="nil"/>
              <w:bottom w:val="single" w:sz="18" w:space="0" w:color="000000"/>
              <w:right w:val="nil"/>
            </w:tcBorders>
          </w:tcPr>
          <w:p w14:paraId="00037FED" w14:textId="77777777" w:rsidR="008D3371" w:rsidRPr="00444BEF" w:rsidRDefault="008D3371" w:rsidP="00E022A2">
            <w:pPr>
              <w:jc w:val="center"/>
              <w:rPr>
                <w:rFonts w:asciiTheme="minorHAnsi" w:hAnsiTheme="minorHAnsi"/>
                <w:b/>
                <w:bCs/>
                <w:szCs w:val="20"/>
              </w:rPr>
            </w:pPr>
            <w:r w:rsidRPr="00444BEF">
              <w:rPr>
                <w:rFonts w:asciiTheme="minorHAnsi" w:hAnsiTheme="minorHAnsi"/>
                <w:b/>
                <w:bCs/>
                <w:szCs w:val="20"/>
              </w:rPr>
              <w:t>Any food</w:t>
            </w:r>
          </w:p>
        </w:tc>
        <w:tc>
          <w:tcPr>
            <w:tcW w:w="1701" w:type="dxa"/>
            <w:tcBorders>
              <w:top w:val="single" w:sz="18" w:space="0" w:color="000000"/>
              <w:left w:val="nil"/>
              <w:bottom w:val="single" w:sz="18" w:space="0" w:color="000000"/>
              <w:right w:val="nil"/>
            </w:tcBorders>
            <w:tcMar>
              <w:top w:w="0" w:type="dxa"/>
              <w:left w:w="108" w:type="dxa"/>
              <w:bottom w:w="0" w:type="dxa"/>
              <w:right w:w="108" w:type="dxa"/>
            </w:tcMar>
            <w:hideMark/>
          </w:tcPr>
          <w:p w14:paraId="214F4BE4" w14:textId="77777777" w:rsidR="008D3371" w:rsidRPr="00444BEF" w:rsidRDefault="008D3371" w:rsidP="00E022A2">
            <w:pPr>
              <w:jc w:val="center"/>
              <w:rPr>
                <w:rFonts w:asciiTheme="minorHAnsi" w:hAnsiTheme="minorHAnsi"/>
                <w:b/>
                <w:bCs/>
                <w:szCs w:val="20"/>
              </w:rPr>
            </w:pPr>
            <w:r w:rsidRPr="00444BEF">
              <w:rPr>
                <w:rFonts w:asciiTheme="minorHAnsi" w:hAnsiTheme="minorHAnsi"/>
                <w:b/>
                <w:bCs/>
                <w:szCs w:val="20"/>
              </w:rPr>
              <w:t>Peanut</w:t>
            </w:r>
          </w:p>
        </w:tc>
        <w:tc>
          <w:tcPr>
            <w:tcW w:w="1701" w:type="dxa"/>
            <w:tcBorders>
              <w:top w:val="single" w:sz="18" w:space="0" w:color="000000"/>
              <w:left w:val="nil"/>
              <w:bottom w:val="single" w:sz="18" w:space="0" w:color="000000"/>
              <w:right w:val="nil"/>
            </w:tcBorders>
            <w:tcMar>
              <w:top w:w="0" w:type="dxa"/>
              <w:left w:w="108" w:type="dxa"/>
              <w:bottom w:w="0" w:type="dxa"/>
              <w:right w:w="108" w:type="dxa"/>
            </w:tcMar>
            <w:hideMark/>
          </w:tcPr>
          <w:p w14:paraId="7A1F246C" w14:textId="77777777" w:rsidR="008D3371" w:rsidRPr="00444BEF" w:rsidRDefault="008D3371" w:rsidP="00E022A2">
            <w:pPr>
              <w:jc w:val="center"/>
              <w:rPr>
                <w:rFonts w:asciiTheme="minorHAnsi" w:hAnsiTheme="minorHAnsi"/>
                <w:b/>
                <w:bCs/>
                <w:szCs w:val="20"/>
              </w:rPr>
            </w:pPr>
            <w:r w:rsidRPr="00444BEF">
              <w:rPr>
                <w:rFonts w:asciiTheme="minorHAnsi" w:hAnsiTheme="minorHAnsi"/>
                <w:b/>
                <w:bCs/>
                <w:szCs w:val="20"/>
              </w:rPr>
              <w:t>Egg</w:t>
            </w:r>
          </w:p>
        </w:tc>
        <w:tc>
          <w:tcPr>
            <w:tcW w:w="1701" w:type="dxa"/>
            <w:tcBorders>
              <w:top w:val="single" w:sz="18" w:space="0" w:color="000000"/>
              <w:left w:val="nil"/>
              <w:bottom w:val="single" w:sz="18" w:space="0" w:color="000000"/>
              <w:right w:val="nil"/>
            </w:tcBorders>
            <w:tcMar>
              <w:top w:w="0" w:type="dxa"/>
              <w:left w:w="108" w:type="dxa"/>
              <w:bottom w:w="0" w:type="dxa"/>
              <w:right w:w="108" w:type="dxa"/>
            </w:tcMar>
            <w:hideMark/>
          </w:tcPr>
          <w:p w14:paraId="17C52C8D" w14:textId="77777777" w:rsidR="008D3371" w:rsidRPr="00444BEF" w:rsidRDefault="008D3371" w:rsidP="00E022A2">
            <w:pPr>
              <w:jc w:val="center"/>
              <w:rPr>
                <w:rFonts w:asciiTheme="minorHAnsi" w:hAnsiTheme="minorHAnsi"/>
                <w:b/>
                <w:bCs/>
                <w:szCs w:val="20"/>
              </w:rPr>
            </w:pPr>
            <w:r w:rsidRPr="00444BEF">
              <w:rPr>
                <w:rFonts w:asciiTheme="minorHAnsi" w:hAnsiTheme="minorHAnsi"/>
                <w:b/>
                <w:bCs/>
                <w:szCs w:val="20"/>
              </w:rPr>
              <w:t>Milk</w:t>
            </w:r>
          </w:p>
        </w:tc>
        <w:tc>
          <w:tcPr>
            <w:tcW w:w="1701" w:type="dxa"/>
            <w:tcBorders>
              <w:top w:val="single" w:sz="18" w:space="0" w:color="000000"/>
              <w:left w:val="nil"/>
              <w:bottom w:val="single" w:sz="18" w:space="0" w:color="000000"/>
              <w:right w:val="nil"/>
            </w:tcBorders>
            <w:tcMar>
              <w:top w:w="0" w:type="dxa"/>
              <w:left w:w="108" w:type="dxa"/>
              <w:bottom w:w="0" w:type="dxa"/>
              <w:right w:w="108" w:type="dxa"/>
            </w:tcMar>
            <w:hideMark/>
          </w:tcPr>
          <w:p w14:paraId="024AC8E9" w14:textId="77777777" w:rsidR="008D3371" w:rsidRPr="00444BEF" w:rsidRDefault="008D3371" w:rsidP="00E022A2">
            <w:pPr>
              <w:jc w:val="center"/>
              <w:rPr>
                <w:rFonts w:asciiTheme="minorHAnsi" w:hAnsiTheme="minorHAnsi"/>
                <w:b/>
                <w:bCs/>
                <w:szCs w:val="20"/>
              </w:rPr>
            </w:pPr>
            <w:r w:rsidRPr="00444BEF">
              <w:rPr>
                <w:rFonts w:asciiTheme="minorHAnsi" w:hAnsiTheme="minorHAnsi"/>
                <w:b/>
                <w:bCs/>
                <w:szCs w:val="20"/>
              </w:rPr>
              <w:t>Sesame</w:t>
            </w:r>
          </w:p>
        </w:tc>
        <w:tc>
          <w:tcPr>
            <w:tcW w:w="1701" w:type="dxa"/>
            <w:tcBorders>
              <w:top w:val="single" w:sz="18" w:space="0" w:color="000000"/>
              <w:left w:val="nil"/>
              <w:bottom w:val="single" w:sz="18" w:space="0" w:color="000000"/>
              <w:right w:val="nil"/>
            </w:tcBorders>
            <w:tcMar>
              <w:top w:w="0" w:type="dxa"/>
              <w:left w:w="108" w:type="dxa"/>
              <w:bottom w:w="0" w:type="dxa"/>
              <w:right w:w="108" w:type="dxa"/>
            </w:tcMar>
            <w:hideMark/>
          </w:tcPr>
          <w:p w14:paraId="0A0A4227" w14:textId="77777777" w:rsidR="008D3371" w:rsidRPr="00444BEF" w:rsidRDefault="008D3371" w:rsidP="00E022A2">
            <w:pPr>
              <w:jc w:val="center"/>
              <w:rPr>
                <w:rFonts w:asciiTheme="minorHAnsi" w:hAnsiTheme="minorHAnsi"/>
                <w:b/>
                <w:bCs/>
                <w:szCs w:val="20"/>
              </w:rPr>
            </w:pPr>
            <w:r w:rsidRPr="00444BEF">
              <w:rPr>
                <w:rFonts w:asciiTheme="minorHAnsi" w:hAnsiTheme="minorHAnsi"/>
                <w:b/>
                <w:bCs/>
                <w:szCs w:val="20"/>
              </w:rPr>
              <w:t>Fish</w:t>
            </w:r>
          </w:p>
        </w:tc>
        <w:tc>
          <w:tcPr>
            <w:tcW w:w="1701" w:type="dxa"/>
            <w:tcBorders>
              <w:top w:val="single" w:sz="18" w:space="0" w:color="000000"/>
              <w:left w:val="nil"/>
              <w:bottom w:val="single" w:sz="18" w:space="0" w:color="000000"/>
              <w:right w:val="nil"/>
            </w:tcBorders>
            <w:tcMar>
              <w:top w:w="0" w:type="dxa"/>
              <w:left w:w="108" w:type="dxa"/>
              <w:bottom w:w="0" w:type="dxa"/>
              <w:right w:w="108" w:type="dxa"/>
            </w:tcMar>
            <w:hideMark/>
          </w:tcPr>
          <w:p w14:paraId="46988BCA" w14:textId="77777777" w:rsidR="008D3371" w:rsidRPr="00444BEF" w:rsidRDefault="008D3371" w:rsidP="00E022A2">
            <w:pPr>
              <w:jc w:val="center"/>
              <w:rPr>
                <w:rFonts w:asciiTheme="minorHAnsi" w:hAnsiTheme="minorHAnsi"/>
                <w:b/>
                <w:bCs/>
                <w:szCs w:val="20"/>
              </w:rPr>
            </w:pPr>
            <w:r w:rsidRPr="00444BEF">
              <w:rPr>
                <w:rFonts w:asciiTheme="minorHAnsi" w:hAnsiTheme="minorHAnsi"/>
                <w:b/>
                <w:bCs/>
                <w:szCs w:val="20"/>
              </w:rPr>
              <w:t>Wheat</w:t>
            </w:r>
          </w:p>
        </w:tc>
      </w:tr>
      <w:tr w:rsidR="008D3371" w:rsidRPr="004E1108" w14:paraId="6B064E78" w14:textId="77777777" w:rsidTr="00174F33">
        <w:tc>
          <w:tcPr>
            <w:tcW w:w="3005" w:type="dxa"/>
            <w:tcBorders>
              <w:top w:val="nil"/>
              <w:left w:val="nil"/>
              <w:bottom w:val="single" w:sz="8" w:space="0" w:color="000000"/>
              <w:right w:val="nil"/>
            </w:tcBorders>
            <w:tcMar>
              <w:top w:w="0" w:type="dxa"/>
              <w:left w:w="108" w:type="dxa"/>
              <w:bottom w:w="0" w:type="dxa"/>
              <w:right w:w="108" w:type="dxa"/>
            </w:tcMar>
            <w:vAlign w:val="bottom"/>
          </w:tcPr>
          <w:p w14:paraId="4F987B6F" w14:textId="0FD78341" w:rsidR="008D3371" w:rsidRPr="00444BEF" w:rsidRDefault="008D3371" w:rsidP="008D3371">
            <w:pPr>
              <w:rPr>
                <w:rFonts w:asciiTheme="minorHAnsi" w:hAnsiTheme="minorHAnsi"/>
                <w:b/>
                <w:bCs/>
                <w:szCs w:val="20"/>
              </w:rPr>
            </w:pPr>
            <w:r w:rsidRPr="00444BEF">
              <w:rPr>
                <w:rFonts w:asciiTheme="minorHAnsi" w:hAnsiTheme="minorHAnsi"/>
                <w:b/>
                <w:bCs/>
                <w:szCs w:val="20"/>
              </w:rPr>
              <w:t>SPT &gt;0mm</w:t>
            </w:r>
          </w:p>
        </w:tc>
        <w:tc>
          <w:tcPr>
            <w:tcW w:w="1701" w:type="dxa"/>
            <w:tcBorders>
              <w:top w:val="nil"/>
              <w:left w:val="nil"/>
              <w:bottom w:val="single" w:sz="8" w:space="0" w:color="000000"/>
              <w:right w:val="nil"/>
            </w:tcBorders>
            <w:vAlign w:val="bottom"/>
          </w:tcPr>
          <w:p w14:paraId="27C43355" w14:textId="77777777" w:rsidR="008D3371" w:rsidRPr="00444BEF" w:rsidRDefault="008D3371" w:rsidP="00174F33">
            <w:pPr>
              <w:tabs>
                <w:tab w:val="decimal" w:pos="369"/>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2CF20DD6"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5D0988EE"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51D70985"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41952535"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11C13FB1"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3DB5302F" w14:textId="77777777" w:rsidR="008D3371" w:rsidRPr="00444BEF" w:rsidRDefault="008D3371" w:rsidP="00174F33">
            <w:pPr>
              <w:tabs>
                <w:tab w:val="decimal" w:pos="228"/>
              </w:tabs>
              <w:rPr>
                <w:rFonts w:asciiTheme="minorHAnsi" w:hAnsiTheme="minorHAnsi"/>
                <w:szCs w:val="20"/>
              </w:rPr>
            </w:pPr>
          </w:p>
        </w:tc>
      </w:tr>
      <w:tr w:rsidR="008D3371" w:rsidRPr="004E1108" w14:paraId="1ABD262E" w14:textId="77777777" w:rsidTr="00174F33">
        <w:tc>
          <w:tcPr>
            <w:tcW w:w="3005" w:type="dxa"/>
            <w:tcBorders>
              <w:top w:val="nil"/>
              <w:left w:val="nil"/>
              <w:bottom w:val="single" w:sz="8" w:space="0" w:color="000000"/>
              <w:right w:val="nil"/>
            </w:tcBorders>
            <w:tcMar>
              <w:top w:w="0" w:type="dxa"/>
              <w:left w:w="108" w:type="dxa"/>
              <w:bottom w:w="0" w:type="dxa"/>
              <w:right w:w="108" w:type="dxa"/>
            </w:tcMar>
            <w:hideMark/>
          </w:tcPr>
          <w:p w14:paraId="01A88BB3" w14:textId="77777777" w:rsidR="008D3371" w:rsidRPr="00444BEF" w:rsidRDefault="008D3371" w:rsidP="00E022A2">
            <w:pPr>
              <w:jc w:val="right"/>
              <w:rPr>
                <w:rFonts w:asciiTheme="minorHAnsi" w:hAnsiTheme="minorHAnsi"/>
                <w:b/>
                <w:bCs/>
                <w:szCs w:val="20"/>
              </w:rPr>
            </w:pPr>
            <w:r w:rsidRPr="00444BEF">
              <w:rPr>
                <w:rFonts w:asciiTheme="minorHAnsi" w:hAnsiTheme="minorHAnsi"/>
                <w:b/>
                <w:bCs/>
                <w:szCs w:val="20"/>
              </w:rPr>
              <w:t>EIG</w:t>
            </w:r>
          </w:p>
        </w:tc>
        <w:tc>
          <w:tcPr>
            <w:tcW w:w="1701" w:type="dxa"/>
            <w:tcBorders>
              <w:top w:val="nil"/>
              <w:left w:val="nil"/>
              <w:bottom w:val="single" w:sz="8" w:space="0" w:color="000000"/>
              <w:right w:val="nil"/>
            </w:tcBorders>
            <w:vAlign w:val="bottom"/>
          </w:tcPr>
          <w:p w14:paraId="3A04062E" w14:textId="77777777" w:rsidR="008D3371" w:rsidRPr="00444BEF" w:rsidRDefault="008D3371" w:rsidP="00174F33">
            <w:pPr>
              <w:tabs>
                <w:tab w:val="decimal" w:pos="369"/>
              </w:tabs>
              <w:rPr>
                <w:rFonts w:asciiTheme="minorHAnsi" w:hAnsiTheme="minorHAnsi"/>
                <w:szCs w:val="20"/>
              </w:rPr>
            </w:pPr>
            <w:r w:rsidRPr="00444BEF">
              <w:rPr>
                <w:rFonts w:asciiTheme="minorHAnsi" w:hAnsiTheme="minorHAnsi"/>
                <w:szCs w:val="20"/>
              </w:rPr>
              <w:t>5.1% (33/652)</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476DD65F" w14:textId="7777777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1.2% (8/652)</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5BC5E0A3" w14:textId="7777777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3.7% (24/652)</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5147BD28" w14:textId="7777777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1.4% (9/652)</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0A02129E" w14:textId="1F2034A9"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(0/652)</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2C2280FC" w14:textId="23C24E51"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0.2% (1/652)</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42BAFE5E" w14:textId="7777777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0.2% (1/652)</w:t>
            </w:r>
          </w:p>
        </w:tc>
      </w:tr>
      <w:tr w:rsidR="008D3371" w:rsidRPr="004E1108" w14:paraId="46A79B52" w14:textId="77777777" w:rsidTr="00174F33">
        <w:tc>
          <w:tcPr>
            <w:tcW w:w="3005" w:type="dxa"/>
            <w:tcMar>
              <w:top w:w="0" w:type="dxa"/>
              <w:left w:w="108" w:type="dxa"/>
              <w:bottom w:w="0" w:type="dxa"/>
              <w:right w:w="108" w:type="dxa"/>
            </w:tcMar>
            <w:hideMark/>
          </w:tcPr>
          <w:p w14:paraId="59F97296" w14:textId="77777777" w:rsidR="008D3371" w:rsidRPr="00444BEF" w:rsidRDefault="008D3371" w:rsidP="00E022A2">
            <w:pPr>
              <w:jc w:val="right"/>
              <w:rPr>
                <w:rFonts w:asciiTheme="minorHAnsi" w:hAnsiTheme="minorHAnsi"/>
                <w:bCs/>
                <w:i/>
                <w:iCs/>
                <w:szCs w:val="20"/>
              </w:rPr>
            </w:pPr>
            <w:r w:rsidRPr="00444BEF">
              <w:rPr>
                <w:rFonts w:asciiTheme="minorHAnsi" w:hAnsiTheme="minorHAnsi"/>
                <w:bCs/>
                <w:i/>
                <w:iCs/>
                <w:szCs w:val="20"/>
              </w:rPr>
              <w:t>EIG Per-protocol</w:t>
            </w:r>
          </w:p>
        </w:tc>
        <w:tc>
          <w:tcPr>
            <w:tcW w:w="1701" w:type="dxa"/>
            <w:vAlign w:val="bottom"/>
          </w:tcPr>
          <w:p w14:paraId="1514AA65" w14:textId="60CA35CA" w:rsidR="008D3371" w:rsidRPr="00444BEF" w:rsidRDefault="008D3371" w:rsidP="00174F33">
            <w:pPr>
              <w:tabs>
                <w:tab w:val="decimal" w:pos="369"/>
              </w:tabs>
              <w:rPr>
                <w:rFonts w:asciiTheme="minorHAnsi" w:hAnsiTheme="minorHAnsi"/>
                <w:iCs/>
                <w:szCs w:val="20"/>
              </w:rPr>
            </w:pPr>
            <w:r w:rsidRPr="00444BEF">
              <w:rPr>
                <w:rFonts w:asciiTheme="minorHAnsi" w:hAnsiTheme="minorHAnsi"/>
                <w:iCs/>
                <w:szCs w:val="20"/>
              </w:rPr>
              <w:t>4.0% (9/223)</w:t>
            </w:r>
          </w:p>
        </w:tc>
        <w:tc>
          <w:tcPr>
            <w:tcW w:w="1701" w:type="dxa"/>
            <w:tcMar>
              <w:top w:w="0" w:type="dxa"/>
              <w:left w:w="108" w:type="dxa"/>
              <w:bottom w:w="0" w:type="dxa"/>
              <w:right w:w="108" w:type="dxa"/>
            </w:tcMar>
            <w:vAlign w:val="bottom"/>
            <w:hideMark/>
          </w:tcPr>
          <w:p w14:paraId="3A817D5D" w14:textId="34FEA834"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0.3% (1/336)</w:t>
            </w:r>
          </w:p>
        </w:tc>
        <w:tc>
          <w:tcPr>
            <w:tcW w:w="1701" w:type="dxa"/>
            <w:tcMar>
              <w:top w:w="0" w:type="dxa"/>
              <w:left w:w="108" w:type="dxa"/>
              <w:bottom w:w="0" w:type="dxa"/>
              <w:right w:w="108" w:type="dxa"/>
            </w:tcMar>
            <w:vAlign w:val="bottom"/>
            <w:hideMark/>
          </w:tcPr>
          <w:p w14:paraId="37FAC932" w14:textId="794D8458"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2.6% (6/234)</w:t>
            </w:r>
          </w:p>
        </w:tc>
        <w:tc>
          <w:tcPr>
            <w:tcW w:w="1701" w:type="dxa"/>
            <w:tcMar>
              <w:top w:w="0" w:type="dxa"/>
              <w:left w:w="108" w:type="dxa"/>
              <w:bottom w:w="0" w:type="dxa"/>
              <w:right w:w="108" w:type="dxa"/>
            </w:tcMar>
            <w:vAlign w:val="bottom"/>
            <w:hideMark/>
          </w:tcPr>
          <w:p w14:paraId="08633A50" w14:textId="39E98263"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0.4% (2/451)</w:t>
            </w:r>
            <w:r w:rsidRPr="00444BEF">
              <w:rPr>
                <w:rFonts w:asciiTheme="minorHAnsi" w:hAnsiTheme="minorHAnsi"/>
                <w:szCs w:val="20"/>
              </w:rPr>
              <w:t>†</w:t>
            </w:r>
          </w:p>
        </w:tc>
        <w:tc>
          <w:tcPr>
            <w:tcW w:w="1701" w:type="dxa"/>
            <w:tcMar>
              <w:top w:w="0" w:type="dxa"/>
              <w:left w:w="108" w:type="dxa"/>
              <w:bottom w:w="0" w:type="dxa"/>
              <w:right w:w="108" w:type="dxa"/>
            </w:tcMar>
            <w:vAlign w:val="bottom"/>
            <w:hideMark/>
          </w:tcPr>
          <w:p w14:paraId="3D441F2A" w14:textId="355372FA" w:rsidR="008D3371" w:rsidRPr="00444BEF" w:rsidRDefault="008D3371" w:rsidP="00174F33">
            <w:pPr>
              <w:tabs>
                <w:tab w:val="decimal" w:pos="228"/>
              </w:tabs>
              <w:rPr>
                <w:rFonts w:asciiTheme="minorHAnsi" w:hAnsiTheme="minorHAnsi"/>
                <w:iCs/>
                <w:szCs w:val="20"/>
              </w:rPr>
            </w:pPr>
            <w:r w:rsidRPr="00444BEF">
              <w:rPr>
                <w:rFonts w:asciiTheme="minorHAnsi" w:hAnsiTheme="minorHAnsi"/>
                <w:szCs w:val="20"/>
              </w:rPr>
              <w:t>0% (0/288)</w:t>
            </w:r>
          </w:p>
        </w:tc>
        <w:tc>
          <w:tcPr>
            <w:tcW w:w="1701" w:type="dxa"/>
            <w:tcMar>
              <w:top w:w="0" w:type="dxa"/>
              <w:left w:w="108" w:type="dxa"/>
              <w:bottom w:w="0" w:type="dxa"/>
              <w:right w:w="108" w:type="dxa"/>
            </w:tcMar>
            <w:vAlign w:val="bottom"/>
            <w:hideMark/>
          </w:tcPr>
          <w:p w14:paraId="4E136211" w14:textId="7BB99A0A" w:rsidR="008D3371" w:rsidRPr="00444BEF" w:rsidRDefault="008D3371" w:rsidP="00174F33">
            <w:pPr>
              <w:tabs>
                <w:tab w:val="decimal" w:pos="228"/>
              </w:tabs>
              <w:rPr>
                <w:rFonts w:asciiTheme="minorHAnsi" w:hAnsiTheme="minorHAnsi"/>
                <w:iCs/>
                <w:szCs w:val="20"/>
              </w:rPr>
            </w:pPr>
            <w:r w:rsidRPr="00444BEF">
              <w:rPr>
                <w:rFonts w:asciiTheme="minorHAnsi" w:hAnsiTheme="minorHAnsi"/>
                <w:szCs w:val="20"/>
              </w:rPr>
              <w:t>0% (0/318)</w:t>
            </w:r>
          </w:p>
        </w:tc>
        <w:tc>
          <w:tcPr>
            <w:tcW w:w="1701" w:type="dxa"/>
            <w:tcMar>
              <w:top w:w="0" w:type="dxa"/>
              <w:left w:w="108" w:type="dxa"/>
              <w:bottom w:w="0" w:type="dxa"/>
              <w:right w:w="108" w:type="dxa"/>
            </w:tcMar>
            <w:vAlign w:val="bottom"/>
            <w:hideMark/>
          </w:tcPr>
          <w:p w14:paraId="71C8FD3A" w14:textId="249AB464" w:rsidR="008D3371" w:rsidRPr="00444BEF" w:rsidRDefault="008D3371" w:rsidP="00174F33">
            <w:pPr>
              <w:tabs>
                <w:tab w:val="decimal" w:pos="228"/>
              </w:tabs>
              <w:rPr>
                <w:rFonts w:asciiTheme="minorHAnsi" w:hAnsiTheme="minorHAnsi"/>
                <w:iCs/>
                <w:szCs w:val="20"/>
              </w:rPr>
            </w:pPr>
            <w:r w:rsidRPr="00444BEF">
              <w:rPr>
                <w:rFonts w:asciiTheme="minorHAnsi" w:hAnsiTheme="minorHAnsi"/>
                <w:szCs w:val="20"/>
              </w:rPr>
              <w:t>0% (0/216)</w:t>
            </w:r>
          </w:p>
        </w:tc>
      </w:tr>
      <w:tr w:rsidR="008D3371" w:rsidRPr="004E1108" w14:paraId="79154C4C" w14:textId="77777777" w:rsidTr="00174F33">
        <w:tc>
          <w:tcPr>
            <w:tcW w:w="3005" w:type="dxa"/>
            <w:tcMar>
              <w:top w:w="0" w:type="dxa"/>
              <w:left w:w="108" w:type="dxa"/>
              <w:bottom w:w="0" w:type="dxa"/>
              <w:right w:w="108" w:type="dxa"/>
            </w:tcMar>
          </w:tcPr>
          <w:p w14:paraId="329D52CF" w14:textId="61DBDEDA" w:rsidR="008D3371" w:rsidRPr="00444BEF" w:rsidRDefault="008D3371" w:rsidP="005474F1">
            <w:pPr>
              <w:jc w:val="right"/>
              <w:rPr>
                <w:rFonts w:asciiTheme="minorHAnsi" w:hAnsiTheme="minorHAnsi"/>
                <w:bCs/>
                <w:i/>
                <w:iCs/>
                <w:szCs w:val="20"/>
              </w:rPr>
            </w:pPr>
            <w:r w:rsidRPr="00444BEF">
              <w:rPr>
                <w:rFonts w:asciiTheme="minorHAnsi" w:hAnsiTheme="minorHAnsi"/>
                <w:bCs/>
                <w:i/>
                <w:iCs/>
                <w:szCs w:val="20"/>
              </w:rPr>
              <w:t>EIG Non Per-protocol</w:t>
            </w:r>
          </w:p>
        </w:tc>
        <w:tc>
          <w:tcPr>
            <w:tcW w:w="1701" w:type="dxa"/>
            <w:vAlign w:val="bottom"/>
          </w:tcPr>
          <w:p w14:paraId="587E9C4D" w14:textId="512DB065" w:rsidR="008D3371" w:rsidRPr="00444BEF" w:rsidRDefault="008D3371" w:rsidP="00174F33">
            <w:pPr>
              <w:tabs>
                <w:tab w:val="decimal" w:pos="369"/>
              </w:tabs>
              <w:rPr>
                <w:rFonts w:asciiTheme="minorHAnsi" w:hAnsiTheme="minorHAnsi"/>
                <w:iCs/>
                <w:szCs w:val="20"/>
              </w:rPr>
            </w:pPr>
            <w:r w:rsidRPr="00444BEF">
              <w:rPr>
                <w:rFonts w:asciiTheme="minorHAnsi" w:hAnsiTheme="minorHAnsi"/>
                <w:iCs/>
                <w:szCs w:val="20"/>
              </w:rPr>
              <w:t>4.0% (12/302)</w:t>
            </w:r>
          </w:p>
        </w:tc>
        <w:tc>
          <w:tcPr>
            <w:tcW w:w="1701" w:type="dxa"/>
            <w:tcMar>
              <w:top w:w="0" w:type="dxa"/>
              <w:left w:w="108" w:type="dxa"/>
              <w:bottom w:w="0" w:type="dxa"/>
              <w:right w:w="108" w:type="dxa"/>
            </w:tcMar>
            <w:vAlign w:val="bottom"/>
          </w:tcPr>
          <w:p w14:paraId="0C3F0C4B" w14:textId="63F8C9C6"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1.9% (4/211)</w:t>
            </w:r>
          </w:p>
        </w:tc>
        <w:tc>
          <w:tcPr>
            <w:tcW w:w="1701" w:type="dxa"/>
            <w:tcMar>
              <w:top w:w="0" w:type="dxa"/>
              <w:left w:w="108" w:type="dxa"/>
              <w:bottom w:w="0" w:type="dxa"/>
              <w:right w:w="108" w:type="dxa"/>
            </w:tcMar>
            <w:vAlign w:val="bottom"/>
          </w:tcPr>
          <w:p w14:paraId="69C7564F" w14:textId="6E70F291"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4.4% (14/315)</w:t>
            </w:r>
          </w:p>
        </w:tc>
        <w:tc>
          <w:tcPr>
            <w:tcW w:w="1701" w:type="dxa"/>
            <w:tcMar>
              <w:top w:w="0" w:type="dxa"/>
              <w:left w:w="108" w:type="dxa"/>
              <w:bottom w:w="0" w:type="dxa"/>
              <w:right w:w="108" w:type="dxa"/>
            </w:tcMar>
            <w:vAlign w:val="bottom"/>
          </w:tcPr>
          <w:p w14:paraId="1F471654" w14:textId="44FF8613"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4.9% (4/82)</w:t>
            </w:r>
          </w:p>
        </w:tc>
        <w:tc>
          <w:tcPr>
            <w:tcW w:w="1701" w:type="dxa"/>
            <w:tcMar>
              <w:top w:w="0" w:type="dxa"/>
              <w:left w:w="108" w:type="dxa"/>
              <w:bottom w:w="0" w:type="dxa"/>
              <w:right w:w="108" w:type="dxa"/>
            </w:tcMar>
            <w:vAlign w:val="bottom"/>
          </w:tcPr>
          <w:p w14:paraId="05305123" w14:textId="11EB1E48"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(0/262)</w:t>
            </w:r>
          </w:p>
        </w:tc>
        <w:tc>
          <w:tcPr>
            <w:tcW w:w="1701" w:type="dxa"/>
            <w:tcMar>
              <w:top w:w="0" w:type="dxa"/>
              <w:left w:w="108" w:type="dxa"/>
              <w:bottom w:w="0" w:type="dxa"/>
              <w:right w:w="108" w:type="dxa"/>
            </w:tcMar>
            <w:vAlign w:val="bottom"/>
          </w:tcPr>
          <w:p w14:paraId="29A55D2B" w14:textId="7BDEA2C6" w:rsidR="008D3371" w:rsidRPr="00444BEF" w:rsidRDefault="008D3371" w:rsidP="00174F33">
            <w:pPr>
              <w:tabs>
                <w:tab w:val="decimal" w:pos="228"/>
              </w:tabs>
              <w:rPr>
                <w:rFonts w:asciiTheme="minorHAnsi" w:hAnsiTheme="minorHAnsi"/>
                <w:szCs w:val="20"/>
              </w:rPr>
            </w:pPr>
            <w:r w:rsidRPr="00444BEF">
              <w:rPr>
                <w:rFonts w:asciiTheme="minorHAnsi" w:hAnsiTheme="minorHAnsi"/>
                <w:iCs/>
                <w:szCs w:val="20"/>
              </w:rPr>
              <w:t>0% (0/225)</w:t>
            </w:r>
          </w:p>
        </w:tc>
        <w:tc>
          <w:tcPr>
            <w:tcW w:w="1701" w:type="dxa"/>
            <w:tcMar>
              <w:top w:w="0" w:type="dxa"/>
              <w:left w:w="108" w:type="dxa"/>
              <w:bottom w:w="0" w:type="dxa"/>
              <w:right w:w="108" w:type="dxa"/>
            </w:tcMar>
            <w:vAlign w:val="bottom"/>
          </w:tcPr>
          <w:p w14:paraId="47F40FF7" w14:textId="4B7923FF" w:rsidR="008D3371" w:rsidRPr="00444BEF" w:rsidRDefault="008D3371" w:rsidP="00174F33">
            <w:pPr>
              <w:tabs>
                <w:tab w:val="decimal" w:pos="228"/>
              </w:tabs>
              <w:rPr>
                <w:rFonts w:asciiTheme="minorHAnsi" w:hAnsiTheme="minorHAnsi"/>
                <w:szCs w:val="20"/>
              </w:rPr>
            </w:pPr>
            <w:r w:rsidRPr="00444BEF">
              <w:rPr>
                <w:rFonts w:asciiTheme="minorHAnsi" w:hAnsiTheme="minorHAnsi"/>
                <w:iCs/>
                <w:szCs w:val="20"/>
              </w:rPr>
              <w:t>0% (0/336)</w:t>
            </w:r>
          </w:p>
        </w:tc>
      </w:tr>
      <w:tr w:rsidR="008D3371" w:rsidRPr="004E1108" w14:paraId="7C07E02F" w14:textId="77777777" w:rsidTr="00174F33">
        <w:tc>
          <w:tcPr>
            <w:tcW w:w="3005" w:type="dxa"/>
            <w:tcBorders>
              <w:top w:val="nil"/>
              <w:left w:val="nil"/>
              <w:bottom w:val="single" w:sz="18" w:space="0" w:color="000000"/>
              <w:right w:val="nil"/>
            </w:tcBorders>
            <w:tcMar>
              <w:top w:w="0" w:type="dxa"/>
              <w:left w:w="108" w:type="dxa"/>
              <w:bottom w:w="0" w:type="dxa"/>
              <w:right w:w="108" w:type="dxa"/>
            </w:tcMar>
          </w:tcPr>
          <w:p w14:paraId="0C69062E" w14:textId="7BF59514" w:rsidR="008D3371" w:rsidRPr="00444BEF" w:rsidRDefault="008D3371" w:rsidP="008D3371">
            <w:pPr>
              <w:jc w:val="right"/>
              <w:rPr>
                <w:rFonts w:asciiTheme="minorHAnsi" w:hAnsiTheme="minorHAnsi"/>
                <w:bCs/>
                <w:i/>
                <w:iCs/>
                <w:szCs w:val="20"/>
              </w:rPr>
            </w:pPr>
            <w:r w:rsidRPr="00444BEF">
              <w:rPr>
                <w:rFonts w:asciiTheme="minorHAnsi" w:hAnsiTheme="minorHAnsi"/>
                <w:bCs/>
                <w:i/>
                <w:iCs/>
                <w:szCs w:val="20"/>
              </w:rPr>
              <w:t>EIG Adherence Non-evaluable</w:t>
            </w:r>
          </w:p>
        </w:tc>
        <w:tc>
          <w:tcPr>
            <w:tcW w:w="1701" w:type="dxa"/>
            <w:tcBorders>
              <w:top w:val="nil"/>
              <w:left w:val="nil"/>
              <w:bottom w:val="single" w:sz="18" w:space="0" w:color="000000"/>
              <w:right w:val="nil"/>
            </w:tcBorders>
            <w:vAlign w:val="bottom"/>
          </w:tcPr>
          <w:p w14:paraId="1A138338" w14:textId="324A38BF" w:rsidR="008D3371" w:rsidRPr="00444BEF" w:rsidRDefault="008D3371" w:rsidP="00174F33">
            <w:pPr>
              <w:tabs>
                <w:tab w:val="decimal" w:pos="369"/>
              </w:tabs>
              <w:rPr>
                <w:rFonts w:asciiTheme="minorHAnsi" w:hAnsiTheme="minorHAnsi"/>
                <w:iCs/>
                <w:szCs w:val="20"/>
              </w:rPr>
            </w:pPr>
            <w:r w:rsidRPr="00444BEF">
              <w:rPr>
                <w:rFonts w:asciiTheme="minorHAnsi" w:hAnsiTheme="minorHAnsi"/>
                <w:iCs/>
                <w:szCs w:val="20"/>
              </w:rPr>
              <w:t>4.2% (5/</w:t>
            </w:r>
            <w:r w:rsidR="003810C0">
              <w:rPr>
                <w:rFonts w:asciiTheme="minorHAnsi" w:hAnsiTheme="minorHAnsi"/>
                <w:iCs/>
                <w:szCs w:val="20"/>
              </w:rPr>
              <w:t>120</w:t>
            </w:r>
            <w:r w:rsidRPr="00444BEF">
              <w:rPr>
                <w:rFonts w:asciiTheme="minorHAnsi" w:hAnsiTheme="minorHAnsi"/>
                <w:iCs/>
                <w:szCs w:val="20"/>
              </w:rPr>
              <w:t>)</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3170BE27" w14:textId="23A0F1EC"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1.0% (1/103)</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0418188B" w14:textId="3DCA90B2"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2.0% (2/101)</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5B0CAE1C" w14:textId="56BAE489"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(0/115)</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22ADC78F" w14:textId="19AA341F"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(0/102)</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08748FE0" w14:textId="2230466F"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(0/109)</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3A738025" w14:textId="061494FE"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(0/99)</w:t>
            </w:r>
          </w:p>
        </w:tc>
      </w:tr>
      <w:tr w:rsidR="008D3371" w:rsidRPr="004E1108" w14:paraId="4EC453AE" w14:textId="77777777" w:rsidTr="00174F33">
        <w:tc>
          <w:tcPr>
            <w:tcW w:w="3005" w:type="dxa"/>
            <w:tcBorders>
              <w:top w:val="nil"/>
              <w:left w:val="nil"/>
              <w:bottom w:val="single" w:sz="8" w:space="0" w:color="000000"/>
              <w:right w:val="nil"/>
            </w:tcBorders>
            <w:tcMar>
              <w:top w:w="0" w:type="dxa"/>
              <w:left w:w="108" w:type="dxa"/>
              <w:bottom w:w="0" w:type="dxa"/>
              <w:right w:w="108" w:type="dxa"/>
            </w:tcMar>
            <w:vAlign w:val="bottom"/>
          </w:tcPr>
          <w:p w14:paraId="589CD8D4" w14:textId="63C98670" w:rsidR="008D3371" w:rsidRPr="00444BEF" w:rsidRDefault="008D3371" w:rsidP="008D3371">
            <w:pPr>
              <w:rPr>
                <w:rFonts w:asciiTheme="minorHAnsi" w:hAnsiTheme="minorHAnsi"/>
                <w:b/>
                <w:bCs/>
                <w:szCs w:val="20"/>
              </w:rPr>
            </w:pPr>
            <w:r w:rsidRPr="00444BEF">
              <w:rPr>
                <w:rFonts w:asciiTheme="minorHAnsi" w:hAnsiTheme="minorHAnsi"/>
                <w:b/>
                <w:bCs/>
                <w:szCs w:val="20"/>
              </w:rPr>
              <w:t>SpIgE ≥0.1 kU/l</w:t>
            </w:r>
          </w:p>
        </w:tc>
        <w:tc>
          <w:tcPr>
            <w:tcW w:w="1701" w:type="dxa"/>
            <w:tcBorders>
              <w:top w:val="nil"/>
              <w:left w:val="nil"/>
              <w:bottom w:val="single" w:sz="8" w:space="0" w:color="000000"/>
              <w:right w:val="nil"/>
            </w:tcBorders>
            <w:vAlign w:val="bottom"/>
          </w:tcPr>
          <w:p w14:paraId="1437253E" w14:textId="77777777" w:rsidR="008D3371" w:rsidRPr="00444BEF" w:rsidRDefault="008D3371" w:rsidP="00174F33">
            <w:pPr>
              <w:tabs>
                <w:tab w:val="decimal" w:pos="369"/>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229C8867"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6A2998D4"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58D8ECCF"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15019B57"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79B11FC9"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1B1D514A" w14:textId="77777777" w:rsidR="008D3371" w:rsidRPr="00444BEF" w:rsidRDefault="008D3371" w:rsidP="00174F33">
            <w:pPr>
              <w:tabs>
                <w:tab w:val="decimal" w:pos="228"/>
              </w:tabs>
              <w:rPr>
                <w:rFonts w:asciiTheme="minorHAnsi" w:hAnsiTheme="minorHAnsi"/>
                <w:szCs w:val="20"/>
              </w:rPr>
            </w:pPr>
          </w:p>
        </w:tc>
      </w:tr>
      <w:tr w:rsidR="008D3371" w:rsidRPr="004E1108" w14:paraId="089285D6" w14:textId="77777777" w:rsidTr="00174F33">
        <w:tc>
          <w:tcPr>
            <w:tcW w:w="3005" w:type="dxa"/>
            <w:tcBorders>
              <w:top w:val="nil"/>
              <w:left w:val="nil"/>
              <w:bottom w:val="single" w:sz="8" w:space="0" w:color="000000"/>
              <w:right w:val="nil"/>
            </w:tcBorders>
            <w:tcMar>
              <w:top w:w="0" w:type="dxa"/>
              <w:left w:w="108" w:type="dxa"/>
              <w:bottom w:w="0" w:type="dxa"/>
              <w:right w:w="108" w:type="dxa"/>
            </w:tcMar>
            <w:hideMark/>
          </w:tcPr>
          <w:p w14:paraId="3A5199FE" w14:textId="77777777" w:rsidR="008D3371" w:rsidRPr="00444BEF" w:rsidRDefault="008D3371" w:rsidP="00E022A2">
            <w:pPr>
              <w:jc w:val="right"/>
              <w:rPr>
                <w:rFonts w:asciiTheme="minorHAnsi" w:hAnsiTheme="minorHAnsi"/>
                <w:b/>
                <w:bCs/>
                <w:szCs w:val="20"/>
              </w:rPr>
            </w:pPr>
            <w:r w:rsidRPr="00444BEF">
              <w:rPr>
                <w:rFonts w:asciiTheme="minorHAnsi" w:hAnsiTheme="minorHAnsi"/>
                <w:b/>
                <w:bCs/>
                <w:szCs w:val="20"/>
              </w:rPr>
              <w:t>All participants</w:t>
            </w:r>
          </w:p>
        </w:tc>
        <w:tc>
          <w:tcPr>
            <w:tcW w:w="1701" w:type="dxa"/>
            <w:tcBorders>
              <w:top w:val="nil"/>
              <w:left w:val="nil"/>
              <w:bottom w:val="single" w:sz="8" w:space="0" w:color="000000"/>
              <w:right w:val="nil"/>
            </w:tcBorders>
            <w:vAlign w:val="bottom"/>
          </w:tcPr>
          <w:p w14:paraId="678D67F5" w14:textId="77777777" w:rsidR="008D3371" w:rsidRPr="00444BEF" w:rsidRDefault="008D3371" w:rsidP="00174F33">
            <w:pPr>
              <w:tabs>
                <w:tab w:val="decimal" w:pos="369"/>
              </w:tabs>
              <w:rPr>
                <w:rFonts w:asciiTheme="minorHAnsi" w:hAnsiTheme="minorHAnsi"/>
                <w:szCs w:val="20"/>
              </w:rPr>
            </w:pPr>
            <w:r w:rsidRPr="00444BEF">
              <w:rPr>
                <w:rFonts w:asciiTheme="minorHAnsi" w:hAnsiTheme="minorHAnsi"/>
                <w:szCs w:val="20"/>
              </w:rPr>
              <w:t>15.6% (182/1170)</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36DA152B" w14:textId="5C77180A"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3.6% (42/1166)</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676AF36D" w14:textId="7777777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6.7% (78/1170)</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42F9CB5B" w14:textId="6857A9A9"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6.0% (70/1169)</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55F11259" w14:textId="640056FE"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2.0% (23/1151)</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3D3BCE22" w14:textId="7D7FFEFE"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(0/1164)</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3A5FCEEF" w14:textId="7777777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4.3% (50/1165)</w:t>
            </w:r>
          </w:p>
        </w:tc>
      </w:tr>
      <w:tr w:rsidR="008D3371" w:rsidRPr="004E1108" w14:paraId="25204F01" w14:textId="77777777" w:rsidTr="00174F33">
        <w:tc>
          <w:tcPr>
            <w:tcW w:w="3005" w:type="dxa"/>
            <w:tcMar>
              <w:top w:w="0" w:type="dxa"/>
              <w:left w:w="108" w:type="dxa"/>
              <w:bottom w:w="0" w:type="dxa"/>
              <w:right w:w="108" w:type="dxa"/>
            </w:tcMar>
            <w:hideMark/>
          </w:tcPr>
          <w:p w14:paraId="43A99ECE" w14:textId="77777777" w:rsidR="008D3371" w:rsidRPr="00444BEF" w:rsidRDefault="008D3371" w:rsidP="00E022A2">
            <w:pPr>
              <w:jc w:val="right"/>
              <w:rPr>
                <w:rFonts w:asciiTheme="minorHAnsi" w:hAnsiTheme="minorHAnsi"/>
                <w:b/>
                <w:bCs/>
                <w:szCs w:val="20"/>
              </w:rPr>
            </w:pPr>
            <w:r w:rsidRPr="00444BEF">
              <w:rPr>
                <w:rFonts w:asciiTheme="minorHAnsi" w:hAnsiTheme="minorHAnsi"/>
                <w:b/>
                <w:bCs/>
                <w:szCs w:val="20"/>
              </w:rPr>
              <w:t>SIG</w:t>
            </w:r>
          </w:p>
        </w:tc>
        <w:tc>
          <w:tcPr>
            <w:tcW w:w="1701" w:type="dxa"/>
            <w:vAlign w:val="bottom"/>
          </w:tcPr>
          <w:p w14:paraId="35538BB1" w14:textId="17EB7C48" w:rsidR="008D3371" w:rsidRPr="00444BEF" w:rsidRDefault="008D3371" w:rsidP="00174F33">
            <w:pPr>
              <w:tabs>
                <w:tab w:val="decimal" w:pos="369"/>
              </w:tabs>
              <w:rPr>
                <w:rFonts w:asciiTheme="minorHAnsi" w:hAnsiTheme="minorHAnsi"/>
                <w:szCs w:val="20"/>
              </w:rPr>
            </w:pPr>
            <w:r w:rsidRPr="00444BEF">
              <w:rPr>
                <w:rFonts w:asciiTheme="minorHAnsi" w:hAnsiTheme="minorHAnsi"/>
                <w:szCs w:val="20"/>
              </w:rPr>
              <w:t>15.4% (89/577)</w:t>
            </w:r>
          </w:p>
        </w:tc>
        <w:tc>
          <w:tcPr>
            <w:tcW w:w="1701" w:type="dxa"/>
            <w:tcMar>
              <w:top w:w="0" w:type="dxa"/>
              <w:left w:w="108" w:type="dxa"/>
              <w:bottom w:w="0" w:type="dxa"/>
              <w:right w:w="108" w:type="dxa"/>
            </w:tcMar>
            <w:vAlign w:val="bottom"/>
            <w:hideMark/>
          </w:tcPr>
          <w:p w14:paraId="0E2E23EA" w14:textId="1718ED1A"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3.1% (18/576)</w:t>
            </w:r>
          </w:p>
        </w:tc>
        <w:tc>
          <w:tcPr>
            <w:tcW w:w="1701" w:type="dxa"/>
            <w:tcMar>
              <w:top w:w="0" w:type="dxa"/>
              <w:left w:w="108" w:type="dxa"/>
              <w:bottom w:w="0" w:type="dxa"/>
              <w:right w:w="108" w:type="dxa"/>
            </w:tcMar>
            <w:vAlign w:val="bottom"/>
            <w:hideMark/>
          </w:tcPr>
          <w:p w14:paraId="61AD9533" w14:textId="454F4584"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7.3% (42/577)</w:t>
            </w:r>
          </w:p>
        </w:tc>
        <w:tc>
          <w:tcPr>
            <w:tcW w:w="1701" w:type="dxa"/>
            <w:tcMar>
              <w:top w:w="0" w:type="dxa"/>
              <w:left w:w="108" w:type="dxa"/>
              <w:bottom w:w="0" w:type="dxa"/>
              <w:right w:w="108" w:type="dxa"/>
            </w:tcMar>
            <w:vAlign w:val="bottom"/>
            <w:hideMark/>
          </w:tcPr>
          <w:p w14:paraId="02C1C5D6" w14:textId="39F4891A"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6.6% (38/576)</w:t>
            </w:r>
          </w:p>
        </w:tc>
        <w:tc>
          <w:tcPr>
            <w:tcW w:w="1701" w:type="dxa"/>
            <w:tcMar>
              <w:top w:w="0" w:type="dxa"/>
              <w:left w:w="108" w:type="dxa"/>
              <w:bottom w:w="0" w:type="dxa"/>
              <w:right w:w="108" w:type="dxa"/>
            </w:tcMar>
            <w:vAlign w:val="bottom"/>
            <w:hideMark/>
          </w:tcPr>
          <w:p w14:paraId="54B2626E" w14:textId="2A223EEE"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1.4% (8/572)</w:t>
            </w:r>
          </w:p>
        </w:tc>
        <w:tc>
          <w:tcPr>
            <w:tcW w:w="1701" w:type="dxa"/>
            <w:tcMar>
              <w:top w:w="0" w:type="dxa"/>
              <w:left w:w="108" w:type="dxa"/>
              <w:bottom w:w="0" w:type="dxa"/>
              <w:right w:w="108" w:type="dxa"/>
            </w:tcMar>
            <w:vAlign w:val="bottom"/>
            <w:hideMark/>
          </w:tcPr>
          <w:p w14:paraId="1FBABE92" w14:textId="4CFC0906"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(0/575)</w:t>
            </w:r>
          </w:p>
        </w:tc>
        <w:tc>
          <w:tcPr>
            <w:tcW w:w="1701" w:type="dxa"/>
            <w:tcMar>
              <w:top w:w="0" w:type="dxa"/>
              <w:left w:w="108" w:type="dxa"/>
              <w:bottom w:w="0" w:type="dxa"/>
              <w:right w:w="108" w:type="dxa"/>
            </w:tcMar>
            <w:vAlign w:val="bottom"/>
            <w:hideMark/>
          </w:tcPr>
          <w:p w14:paraId="2387A060" w14:textId="37A3C501"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4.3% (25/576)</w:t>
            </w:r>
          </w:p>
        </w:tc>
      </w:tr>
      <w:tr w:rsidR="008D3371" w:rsidRPr="004E1108" w14:paraId="52E6D913" w14:textId="77777777" w:rsidTr="00174F33">
        <w:tc>
          <w:tcPr>
            <w:tcW w:w="3005" w:type="dxa"/>
            <w:tcBorders>
              <w:top w:val="nil"/>
              <w:left w:val="nil"/>
              <w:bottom w:val="single" w:sz="8" w:space="0" w:color="000000"/>
              <w:right w:val="nil"/>
            </w:tcBorders>
            <w:tcMar>
              <w:top w:w="0" w:type="dxa"/>
              <w:left w:w="108" w:type="dxa"/>
              <w:bottom w:w="0" w:type="dxa"/>
              <w:right w:w="108" w:type="dxa"/>
            </w:tcMar>
            <w:hideMark/>
          </w:tcPr>
          <w:p w14:paraId="4BE3C191" w14:textId="77777777" w:rsidR="008D3371" w:rsidRPr="00444BEF" w:rsidRDefault="008D3371" w:rsidP="00E022A2">
            <w:pPr>
              <w:jc w:val="right"/>
              <w:rPr>
                <w:rFonts w:asciiTheme="minorHAnsi" w:hAnsiTheme="minorHAnsi"/>
                <w:b/>
                <w:bCs/>
                <w:szCs w:val="20"/>
              </w:rPr>
            </w:pPr>
            <w:r w:rsidRPr="00444BEF">
              <w:rPr>
                <w:rFonts w:asciiTheme="minorHAnsi" w:hAnsiTheme="minorHAnsi"/>
                <w:b/>
                <w:bCs/>
                <w:szCs w:val="20"/>
              </w:rPr>
              <w:t>EIG</w:t>
            </w:r>
          </w:p>
        </w:tc>
        <w:tc>
          <w:tcPr>
            <w:tcW w:w="1701" w:type="dxa"/>
            <w:tcBorders>
              <w:top w:val="nil"/>
              <w:left w:val="nil"/>
              <w:bottom w:val="single" w:sz="8" w:space="0" w:color="000000"/>
              <w:right w:val="nil"/>
            </w:tcBorders>
            <w:vAlign w:val="bottom"/>
          </w:tcPr>
          <w:p w14:paraId="5273AC93" w14:textId="6CF46AAB" w:rsidR="008D3371" w:rsidRPr="00444BEF" w:rsidRDefault="008D3371" w:rsidP="00174F33">
            <w:pPr>
              <w:tabs>
                <w:tab w:val="decimal" w:pos="369"/>
              </w:tabs>
              <w:rPr>
                <w:rFonts w:asciiTheme="minorHAnsi" w:hAnsiTheme="minorHAnsi"/>
                <w:szCs w:val="20"/>
              </w:rPr>
            </w:pPr>
            <w:r w:rsidRPr="00444BEF">
              <w:rPr>
                <w:rFonts w:asciiTheme="minorHAnsi" w:hAnsiTheme="minorHAnsi"/>
                <w:szCs w:val="20"/>
              </w:rPr>
              <w:t>15.7% (93/593)</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1A8E69DB" w14:textId="45197DC8"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4.1% (24/590)</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0FD63684" w14:textId="2BF7F3DC"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6.1% (36/593)</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26DE66C6" w14:textId="26885DEE"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5.4% (32/593)</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15F9A443" w14:textId="7EABA46B"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2.6% (15/579)</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40D9EAD6" w14:textId="4D53AD71"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(0/589)</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060397E5" w14:textId="71309898"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4.2% (25/589)</w:t>
            </w:r>
          </w:p>
        </w:tc>
      </w:tr>
      <w:tr w:rsidR="008D3371" w:rsidRPr="004E1108" w14:paraId="6F9F435A" w14:textId="77777777" w:rsidTr="00174F33">
        <w:tc>
          <w:tcPr>
            <w:tcW w:w="3005" w:type="dxa"/>
            <w:tcMar>
              <w:top w:w="0" w:type="dxa"/>
              <w:left w:w="108" w:type="dxa"/>
              <w:bottom w:w="0" w:type="dxa"/>
              <w:right w:w="108" w:type="dxa"/>
            </w:tcMar>
            <w:hideMark/>
          </w:tcPr>
          <w:p w14:paraId="330E1F0B" w14:textId="77777777" w:rsidR="008D3371" w:rsidRPr="00444BEF" w:rsidRDefault="008D3371" w:rsidP="00E022A2">
            <w:pPr>
              <w:jc w:val="right"/>
              <w:rPr>
                <w:rFonts w:asciiTheme="minorHAnsi" w:hAnsiTheme="minorHAnsi"/>
                <w:bCs/>
                <w:i/>
                <w:iCs/>
                <w:szCs w:val="20"/>
              </w:rPr>
            </w:pPr>
            <w:r w:rsidRPr="00444BEF">
              <w:rPr>
                <w:rFonts w:asciiTheme="minorHAnsi" w:hAnsiTheme="minorHAnsi"/>
                <w:bCs/>
                <w:i/>
                <w:iCs/>
                <w:szCs w:val="20"/>
              </w:rPr>
              <w:t>EIG Per-protocol</w:t>
            </w:r>
          </w:p>
        </w:tc>
        <w:tc>
          <w:tcPr>
            <w:tcW w:w="1701" w:type="dxa"/>
            <w:vAlign w:val="bottom"/>
          </w:tcPr>
          <w:p w14:paraId="3924EA59" w14:textId="69A1B678" w:rsidR="008D3371" w:rsidRPr="00444BEF" w:rsidRDefault="008D3371" w:rsidP="00174F33">
            <w:pPr>
              <w:tabs>
                <w:tab w:val="decimal" w:pos="369"/>
              </w:tabs>
              <w:rPr>
                <w:rFonts w:asciiTheme="minorHAnsi" w:hAnsiTheme="minorHAnsi"/>
                <w:iCs/>
                <w:szCs w:val="20"/>
              </w:rPr>
            </w:pPr>
            <w:r w:rsidRPr="00444BEF">
              <w:rPr>
                <w:rFonts w:asciiTheme="minorHAnsi" w:hAnsiTheme="minorHAnsi"/>
                <w:iCs/>
                <w:szCs w:val="20"/>
              </w:rPr>
              <w:t>13.6% (28/206)</w:t>
            </w:r>
          </w:p>
        </w:tc>
        <w:tc>
          <w:tcPr>
            <w:tcW w:w="1701" w:type="dxa"/>
            <w:tcMar>
              <w:top w:w="0" w:type="dxa"/>
              <w:left w:w="108" w:type="dxa"/>
              <w:bottom w:w="0" w:type="dxa"/>
              <w:right w:w="108" w:type="dxa"/>
            </w:tcMar>
            <w:vAlign w:val="bottom"/>
            <w:hideMark/>
          </w:tcPr>
          <w:p w14:paraId="09E7E582" w14:textId="51A5550A"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2.3% (7/305)</w:t>
            </w:r>
            <w:r w:rsidRPr="00444BEF">
              <w:rPr>
                <w:rFonts w:asciiTheme="minorHAnsi" w:hAnsiTheme="minorHAnsi"/>
                <w:szCs w:val="20"/>
              </w:rPr>
              <w:t>*</w:t>
            </w:r>
          </w:p>
        </w:tc>
        <w:tc>
          <w:tcPr>
            <w:tcW w:w="1701" w:type="dxa"/>
            <w:tcMar>
              <w:top w:w="0" w:type="dxa"/>
              <w:left w:w="108" w:type="dxa"/>
              <w:bottom w:w="0" w:type="dxa"/>
              <w:right w:w="108" w:type="dxa"/>
            </w:tcMar>
            <w:vAlign w:val="bottom"/>
            <w:hideMark/>
          </w:tcPr>
          <w:p w14:paraId="11BC5A7B" w14:textId="4F5FC170"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3.3% (7/214)*</w:t>
            </w:r>
          </w:p>
        </w:tc>
        <w:tc>
          <w:tcPr>
            <w:tcW w:w="1701" w:type="dxa"/>
            <w:tcMar>
              <w:top w:w="0" w:type="dxa"/>
              <w:left w:w="108" w:type="dxa"/>
              <w:bottom w:w="0" w:type="dxa"/>
              <w:right w:w="108" w:type="dxa"/>
            </w:tcMar>
            <w:vAlign w:val="bottom"/>
            <w:hideMark/>
          </w:tcPr>
          <w:p w14:paraId="377DA6A7" w14:textId="52473BA5"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3.9% (16/414)</w:t>
            </w:r>
          </w:p>
        </w:tc>
        <w:tc>
          <w:tcPr>
            <w:tcW w:w="1701" w:type="dxa"/>
            <w:tcMar>
              <w:top w:w="0" w:type="dxa"/>
              <w:left w:w="108" w:type="dxa"/>
              <w:bottom w:w="0" w:type="dxa"/>
              <w:right w:w="108" w:type="dxa"/>
            </w:tcMar>
            <w:vAlign w:val="bottom"/>
            <w:hideMark/>
          </w:tcPr>
          <w:p w14:paraId="4327BEA1" w14:textId="40001143"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2.3% (6/263)</w:t>
            </w:r>
          </w:p>
        </w:tc>
        <w:tc>
          <w:tcPr>
            <w:tcW w:w="1701" w:type="dxa"/>
            <w:tcMar>
              <w:top w:w="0" w:type="dxa"/>
              <w:left w:w="108" w:type="dxa"/>
              <w:bottom w:w="0" w:type="dxa"/>
              <w:right w:w="108" w:type="dxa"/>
            </w:tcMar>
            <w:vAlign w:val="bottom"/>
            <w:hideMark/>
          </w:tcPr>
          <w:p w14:paraId="499CB6FD" w14:textId="524A353B"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(0/289)</w:t>
            </w:r>
          </w:p>
        </w:tc>
        <w:tc>
          <w:tcPr>
            <w:tcW w:w="1701" w:type="dxa"/>
            <w:tcMar>
              <w:top w:w="0" w:type="dxa"/>
              <w:left w:w="108" w:type="dxa"/>
              <w:bottom w:w="0" w:type="dxa"/>
              <w:right w:w="108" w:type="dxa"/>
            </w:tcMar>
            <w:vAlign w:val="bottom"/>
            <w:hideMark/>
          </w:tcPr>
          <w:p w14:paraId="4C3D8835" w14:textId="198F4585"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5.5% (11/201)</w:t>
            </w:r>
          </w:p>
        </w:tc>
      </w:tr>
      <w:tr w:rsidR="008D3371" w:rsidRPr="004E1108" w14:paraId="2EFEB297" w14:textId="77777777" w:rsidTr="00174F33">
        <w:tc>
          <w:tcPr>
            <w:tcW w:w="3005" w:type="dxa"/>
            <w:tcMar>
              <w:top w:w="0" w:type="dxa"/>
              <w:left w:w="108" w:type="dxa"/>
              <w:bottom w:w="0" w:type="dxa"/>
              <w:right w:w="108" w:type="dxa"/>
            </w:tcMar>
          </w:tcPr>
          <w:p w14:paraId="505A24CD" w14:textId="1A0707A2" w:rsidR="008D3371" w:rsidRPr="00444BEF" w:rsidRDefault="008D3371" w:rsidP="005474F1">
            <w:pPr>
              <w:jc w:val="right"/>
              <w:rPr>
                <w:rFonts w:asciiTheme="minorHAnsi" w:hAnsiTheme="minorHAnsi"/>
                <w:bCs/>
                <w:i/>
                <w:iCs/>
                <w:szCs w:val="20"/>
              </w:rPr>
            </w:pPr>
            <w:r w:rsidRPr="00444BEF">
              <w:rPr>
                <w:rFonts w:asciiTheme="minorHAnsi" w:hAnsiTheme="minorHAnsi"/>
                <w:bCs/>
                <w:i/>
                <w:iCs/>
                <w:szCs w:val="20"/>
              </w:rPr>
              <w:t>EIG Non Per-protocol</w:t>
            </w:r>
          </w:p>
        </w:tc>
        <w:tc>
          <w:tcPr>
            <w:tcW w:w="1701" w:type="dxa"/>
            <w:vAlign w:val="bottom"/>
          </w:tcPr>
          <w:p w14:paraId="2D42B06E" w14:textId="22149381" w:rsidR="008D3371" w:rsidRPr="00444BEF" w:rsidRDefault="008D3371" w:rsidP="00174F33">
            <w:pPr>
              <w:tabs>
                <w:tab w:val="decimal" w:pos="369"/>
              </w:tabs>
              <w:rPr>
                <w:rFonts w:asciiTheme="minorHAnsi" w:hAnsiTheme="minorHAnsi"/>
                <w:iCs/>
                <w:szCs w:val="20"/>
              </w:rPr>
            </w:pPr>
            <w:r w:rsidRPr="00444BEF">
              <w:rPr>
                <w:rFonts w:asciiTheme="minorHAnsi" w:hAnsiTheme="minorHAnsi"/>
                <w:iCs/>
                <w:szCs w:val="20"/>
              </w:rPr>
              <w:t>15.4% (42/273)</w:t>
            </w:r>
          </w:p>
        </w:tc>
        <w:tc>
          <w:tcPr>
            <w:tcW w:w="1701" w:type="dxa"/>
            <w:tcMar>
              <w:top w:w="0" w:type="dxa"/>
              <w:left w:w="108" w:type="dxa"/>
              <w:bottom w:w="0" w:type="dxa"/>
              <w:right w:w="108" w:type="dxa"/>
            </w:tcMar>
            <w:vAlign w:val="bottom"/>
          </w:tcPr>
          <w:p w14:paraId="72772B46" w14:textId="592A90CA"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5.7% (11/193)</w:t>
            </w:r>
          </w:p>
        </w:tc>
        <w:tc>
          <w:tcPr>
            <w:tcW w:w="1701" w:type="dxa"/>
            <w:tcMar>
              <w:top w:w="0" w:type="dxa"/>
              <w:left w:w="108" w:type="dxa"/>
              <w:bottom w:w="0" w:type="dxa"/>
              <w:right w:w="108" w:type="dxa"/>
            </w:tcMar>
            <w:vAlign w:val="bottom"/>
          </w:tcPr>
          <w:p w14:paraId="60C408ED" w14:textId="41EECE88"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8.0% (23/287)</w:t>
            </w:r>
          </w:p>
        </w:tc>
        <w:tc>
          <w:tcPr>
            <w:tcW w:w="1701" w:type="dxa"/>
            <w:tcMar>
              <w:top w:w="0" w:type="dxa"/>
              <w:left w:w="108" w:type="dxa"/>
              <w:bottom w:w="0" w:type="dxa"/>
              <w:right w:w="108" w:type="dxa"/>
            </w:tcMar>
            <w:vAlign w:val="bottom"/>
          </w:tcPr>
          <w:p w14:paraId="5B974689" w14:textId="27CB8338"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8.3% (6/72)</w:t>
            </w:r>
          </w:p>
        </w:tc>
        <w:tc>
          <w:tcPr>
            <w:tcW w:w="1701" w:type="dxa"/>
            <w:tcMar>
              <w:top w:w="0" w:type="dxa"/>
              <w:left w:w="108" w:type="dxa"/>
              <w:bottom w:w="0" w:type="dxa"/>
              <w:right w:w="108" w:type="dxa"/>
            </w:tcMar>
            <w:vAlign w:val="bottom"/>
          </w:tcPr>
          <w:p w14:paraId="5579D8D3" w14:textId="50923683"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3.1% (7/227)</w:t>
            </w:r>
          </w:p>
        </w:tc>
        <w:tc>
          <w:tcPr>
            <w:tcW w:w="1701" w:type="dxa"/>
            <w:tcMar>
              <w:top w:w="0" w:type="dxa"/>
              <w:left w:w="108" w:type="dxa"/>
              <w:bottom w:w="0" w:type="dxa"/>
              <w:right w:w="108" w:type="dxa"/>
            </w:tcMar>
            <w:vAlign w:val="bottom"/>
          </w:tcPr>
          <w:p w14:paraId="3E7FF570" w14:textId="46A584D5"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(0/204)</w:t>
            </w:r>
          </w:p>
        </w:tc>
        <w:tc>
          <w:tcPr>
            <w:tcW w:w="1701" w:type="dxa"/>
            <w:tcMar>
              <w:top w:w="0" w:type="dxa"/>
              <w:left w:w="108" w:type="dxa"/>
              <w:bottom w:w="0" w:type="dxa"/>
              <w:right w:w="108" w:type="dxa"/>
            </w:tcMar>
            <w:vAlign w:val="bottom"/>
          </w:tcPr>
          <w:p w14:paraId="4DF79AE9" w14:textId="44EE574D"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3.7% (11/301)</w:t>
            </w:r>
          </w:p>
        </w:tc>
      </w:tr>
      <w:tr w:rsidR="008D3371" w:rsidRPr="004E1108" w14:paraId="364EA586" w14:textId="77777777" w:rsidTr="00174F33">
        <w:tc>
          <w:tcPr>
            <w:tcW w:w="3005" w:type="dxa"/>
            <w:tcBorders>
              <w:top w:val="nil"/>
              <w:left w:val="nil"/>
              <w:bottom w:val="single" w:sz="18" w:space="0" w:color="000000"/>
              <w:right w:val="nil"/>
            </w:tcBorders>
            <w:tcMar>
              <w:top w:w="0" w:type="dxa"/>
              <w:left w:w="108" w:type="dxa"/>
              <w:bottom w:w="0" w:type="dxa"/>
              <w:right w:w="108" w:type="dxa"/>
            </w:tcMar>
          </w:tcPr>
          <w:p w14:paraId="13242512" w14:textId="16A828FD" w:rsidR="008D3371" w:rsidRPr="00444BEF" w:rsidRDefault="008D3371" w:rsidP="008D3371">
            <w:pPr>
              <w:jc w:val="right"/>
              <w:rPr>
                <w:rFonts w:asciiTheme="minorHAnsi" w:hAnsiTheme="minorHAnsi"/>
                <w:bCs/>
                <w:i/>
                <w:iCs/>
                <w:szCs w:val="20"/>
              </w:rPr>
            </w:pPr>
            <w:r w:rsidRPr="00444BEF">
              <w:rPr>
                <w:rFonts w:asciiTheme="minorHAnsi" w:hAnsiTheme="minorHAnsi"/>
                <w:bCs/>
                <w:i/>
                <w:iCs/>
                <w:szCs w:val="20"/>
              </w:rPr>
              <w:t>EIG Adherence Non-evaluable</w:t>
            </w:r>
          </w:p>
        </w:tc>
        <w:tc>
          <w:tcPr>
            <w:tcW w:w="1701" w:type="dxa"/>
            <w:tcBorders>
              <w:top w:val="nil"/>
              <w:left w:val="nil"/>
              <w:bottom w:val="single" w:sz="18" w:space="0" w:color="000000"/>
              <w:right w:val="nil"/>
            </w:tcBorders>
            <w:vAlign w:val="bottom"/>
          </w:tcPr>
          <w:p w14:paraId="0A78A642" w14:textId="1133D66F" w:rsidR="008D3371" w:rsidRPr="00444BEF" w:rsidRDefault="008D3371" w:rsidP="00174F33">
            <w:pPr>
              <w:tabs>
                <w:tab w:val="decimal" w:pos="369"/>
              </w:tabs>
              <w:rPr>
                <w:rFonts w:asciiTheme="minorHAnsi" w:hAnsiTheme="minorHAnsi"/>
                <w:iCs/>
                <w:szCs w:val="20"/>
              </w:rPr>
            </w:pPr>
            <w:r w:rsidRPr="00444BEF">
              <w:rPr>
                <w:rFonts w:asciiTheme="minorHAnsi" w:hAnsiTheme="minorHAnsi"/>
                <w:iCs/>
                <w:szCs w:val="20"/>
              </w:rPr>
              <w:t>15.0% (16/107)</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72951E58" w14:textId="422AB9BD"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4.4% (4/90)</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44BE0114" w14:textId="181F7B4F"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4.4% (4/90)</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4A3F0C9C" w14:textId="0B1D03BB"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5.8% (6/103)</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21286973" w14:textId="65DDA381"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2.3% (2/89)</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1C22CE1D" w14:textId="7A2A4C78"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(0/96)</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7769F0FA" w14:textId="64E139BC"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2.3% (2/86)</w:t>
            </w:r>
          </w:p>
        </w:tc>
      </w:tr>
      <w:tr w:rsidR="008D3371" w:rsidRPr="004E1108" w14:paraId="500BE851" w14:textId="77777777" w:rsidTr="00174F33">
        <w:tc>
          <w:tcPr>
            <w:tcW w:w="3005" w:type="dxa"/>
            <w:tcBorders>
              <w:top w:val="nil"/>
              <w:left w:val="nil"/>
              <w:bottom w:val="single" w:sz="8" w:space="0" w:color="000000"/>
              <w:right w:val="nil"/>
            </w:tcBorders>
            <w:tcMar>
              <w:top w:w="0" w:type="dxa"/>
              <w:left w:w="108" w:type="dxa"/>
              <w:bottom w:w="0" w:type="dxa"/>
              <w:right w:w="108" w:type="dxa"/>
            </w:tcMar>
            <w:vAlign w:val="bottom"/>
          </w:tcPr>
          <w:p w14:paraId="0792F810" w14:textId="35EDE1B1" w:rsidR="008D3371" w:rsidRPr="00444BEF" w:rsidRDefault="008D3371" w:rsidP="008D3371">
            <w:pPr>
              <w:rPr>
                <w:rFonts w:asciiTheme="minorHAnsi" w:hAnsiTheme="minorHAnsi"/>
                <w:b/>
                <w:bCs/>
                <w:szCs w:val="20"/>
              </w:rPr>
            </w:pPr>
            <w:r w:rsidRPr="00444BEF">
              <w:rPr>
                <w:rFonts w:asciiTheme="minorHAnsi" w:hAnsiTheme="minorHAnsi"/>
                <w:b/>
                <w:bCs/>
                <w:szCs w:val="20"/>
              </w:rPr>
              <w:t>SpIgE ≥0.35 kU/l</w:t>
            </w:r>
          </w:p>
        </w:tc>
        <w:tc>
          <w:tcPr>
            <w:tcW w:w="1701" w:type="dxa"/>
            <w:tcBorders>
              <w:top w:val="nil"/>
              <w:left w:val="nil"/>
              <w:bottom w:val="single" w:sz="8" w:space="0" w:color="000000"/>
              <w:right w:val="nil"/>
            </w:tcBorders>
            <w:vAlign w:val="bottom"/>
          </w:tcPr>
          <w:p w14:paraId="2C4321DB" w14:textId="77777777" w:rsidR="008D3371" w:rsidRPr="00444BEF" w:rsidRDefault="008D3371" w:rsidP="00174F33">
            <w:pPr>
              <w:tabs>
                <w:tab w:val="decimal" w:pos="369"/>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26769033"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2D86AC80"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22947847"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34D7041A"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37C517C9" w14:textId="77777777" w:rsidR="008D3371" w:rsidRPr="00444BEF" w:rsidRDefault="008D3371" w:rsidP="00174F33">
            <w:pPr>
              <w:tabs>
                <w:tab w:val="decimal" w:pos="228"/>
              </w:tabs>
              <w:rPr>
                <w:rFonts w:asciiTheme="minorHAnsi" w:hAnsiTheme="minorHAnsi"/>
                <w:szCs w:val="20"/>
              </w:rPr>
            </w:pPr>
          </w:p>
        </w:tc>
        <w:tc>
          <w:tcPr>
            <w:tcW w:w="1701" w:type="dxa"/>
            <w:tcBorders>
              <w:top w:val="nil"/>
              <w:left w:val="nil"/>
              <w:bottom w:val="single" w:sz="8" w:space="0" w:color="000000"/>
              <w:right w:val="nil"/>
            </w:tcBorders>
            <w:tcMar>
              <w:top w:w="0" w:type="dxa"/>
              <w:left w:w="108" w:type="dxa"/>
              <w:bottom w:w="0" w:type="dxa"/>
              <w:right w:w="108" w:type="dxa"/>
            </w:tcMar>
            <w:vAlign w:val="bottom"/>
          </w:tcPr>
          <w:p w14:paraId="1F2E58A8" w14:textId="77777777" w:rsidR="008D3371" w:rsidRPr="00444BEF" w:rsidRDefault="008D3371" w:rsidP="00174F33">
            <w:pPr>
              <w:tabs>
                <w:tab w:val="decimal" w:pos="228"/>
              </w:tabs>
              <w:rPr>
                <w:rFonts w:asciiTheme="minorHAnsi" w:hAnsiTheme="minorHAnsi"/>
                <w:szCs w:val="20"/>
              </w:rPr>
            </w:pPr>
          </w:p>
        </w:tc>
      </w:tr>
      <w:tr w:rsidR="008D3371" w:rsidRPr="004E1108" w14:paraId="53585ACF" w14:textId="77777777" w:rsidTr="00174F33">
        <w:tc>
          <w:tcPr>
            <w:tcW w:w="3005" w:type="dxa"/>
            <w:tcBorders>
              <w:top w:val="nil"/>
              <w:left w:val="nil"/>
              <w:bottom w:val="single" w:sz="8" w:space="0" w:color="000000"/>
              <w:right w:val="nil"/>
            </w:tcBorders>
            <w:tcMar>
              <w:top w:w="0" w:type="dxa"/>
              <w:left w:w="108" w:type="dxa"/>
              <w:bottom w:w="0" w:type="dxa"/>
              <w:right w:w="108" w:type="dxa"/>
            </w:tcMar>
            <w:hideMark/>
          </w:tcPr>
          <w:p w14:paraId="28E1B8A5" w14:textId="77777777" w:rsidR="008D3371" w:rsidRPr="00444BEF" w:rsidRDefault="008D3371" w:rsidP="005474F1">
            <w:pPr>
              <w:jc w:val="right"/>
              <w:rPr>
                <w:rFonts w:asciiTheme="minorHAnsi" w:hAnsiTheme="minorHAnsi"/>
                <w:b/>
                <w:bCs/>
                <w:szCs w:val="20"/>
              </w:rPr>
            </w:pPr>
            <w:r w:rsidRPr="00444BEF">
              <w:rPr>
                <w:rFonts w:asciiTheme="minorHAnsi" w:hAnsiTheme="minorHAnsi"/>
                <w:b/>
                <w:bCs/>
                <w:szCs w:val="20"/>
              </w:rPr>
              <w:t>All participants</w:t>
            </w:r>
          </w:p>
        </w:tc>
        <w:tc>
          <w:tcPr>
            <w:tcW w:w="1701" w:type="dxa"/>
            <w:tcBorders>
              <w:top w:val="nil"/>
              <w:left w:val="nil"/>
              <w:bottom w:val="single" w:sz="8" w:space="0" w:color="000000"/>
              <w:right w:val="nil"/>
            </w:tcBorders>
            <w:vAlign w:val="bottom"/>
          </w:tcPr>
          <w:p w14:paraId="7675548D" w14:textId="77777777" w:rsidR="008D3371" w:rsidRPr="00444BEF" w:rsidRDefault="008D3371" w:rsidP="00174F33">
            <w:pPr>
              <w:tabs>
                <w:tab w:val="decimal" w:pos="369"/>
              </w:tabs>
              <w:rPr>
                <w:rFonts w:asciiTheme="minorHAnsi" w:hAnsiTheme="minorHAnsi"/>
                <w:szCs w:val="20"/>
              </w:rPr>
            </w:pPr>
            <w:r w:rsidRPr="00444BEF">
              <w:rPr>
                <w:rFonts w:asciiTheme="minorHAnsi" w:hAnsiTheme="minorHAnsi"/>
                <w:szCs w:val="20"/>
              </w:rPr>
              <w:t>6.4% (74/1170)</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0E39A86D" w14:textId="7777777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1.6% (19/1166)</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54FF132C" w14:textId="7777777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3.9% (45/1170)</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588F53F4" w14:textId="7777777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2.8% (33/1169)</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17812EA7" w14:textId="165176A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(0/1151)</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372208FA" w14:textId="4653EB28"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(0/1164)</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2FBF276D" w14:textId="77777777"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0.9% (10/1165)</w:t>
            </w:r>
          </w:p>
        </w:tc>
      </w:tr>
      <w:tr w:rsidR="008D3371" w:rsidRPr="004E1108" w14:paraId="525F9EE0" w14:textId="77777777" w:rsidTr="00174F33">
        <w:tc>
          <w:tcPr>
            <w:tcW w:w="3005" w:type="dxa"/>
            <w:tcMar>
              <w:top w:w="0" w:type="dxa"/>
              <w:left w:w="108" w:type="dxa"/>
              <w:bottom w:w="0" w:type="dxa"/>
              <w:right w:w="108" w:type="dxa"/>
            </w:tcMar>
            <w:hideMark/>
          </w:tcPr>
          <w:p w14:paraId="51E85044" w14:textId="77777777" w:rsidR="008D3371" w:rsidRPr="00444BEF" w:rsidRDefault="008D3371" w:rsidP="005474F1">
            <w:pPr>
              <w:jc w:val="right"/>
              <w:rPr>
                <w:rFonts w:asciiTheme="minorHAnsi" w:hAnsiTheme="minorHAnsi"/>
                <w:b/>
                <w:bCs/>
                <w:szCs w:val="20"/>
              </w:rPr>
            </w:pPr>
            <w:r w:rsidRPr="00444BEF">
              <w:rPr>
                <w:rFonts w:asciiTheme="minorHAnsi" w:hAnsiTheme="minorHAnsi"/>
                <w:b/>
                <w:bCs/>
                <w:szCs w:val="20"/>
              </w:rPr>
              <w:t>SIG</w:t>
            </w:r>
          </w:p>
        </w:tc>
        <w:tc>
          <w:tcPr>
            <w:tcW w:w="1701" w:type="dxa"/>
            <w:vAlign w:val="bottom"/>
          </w:tcPr>
          <w:p w14:paraId="5F0328B8" w14:textId="3CC53BF0" w:rsidR="008D3371" w:rsidRPr="00444BEF" w:rsidRDefault="008D3371" w:rsidP="00174F33">
            <w:pPr>
              <w:tabs>
                <w:tab w:val="decimal" w:pos="369"/>
              </w:tabs>
              <w:rPr>
                <w:rFonts w:asciiTheme="minorHAnsi" w:hAnsiTheme="minorHAnsi"/>
                <w:szCs w:val="20"/>
              </w:rPr>
            </w:pPr>
            <w:r w:rsidRPr="00444BEF">
              <w:rPr>
                <w:rFonts w:asciiTheme="minorHAnsi" w:hAnsiTheme="minorHAnsi"/>
                <w:szCs w:val="20"/>
              </w:rPr>
              <w:t>6.9% (40/577)</w:t>
            </w:r>
          </w:p>
        </w:tc>
        <w:tc>
          <w:tcPr>
            <w:tcW w:w="1701" w:type="dxa"/>
            <w:tcMar>
              <w:top w:w="0" w:type="dxa"/>
              <w:left w:w="108" w:type="dxa"/>
              <w:bottom w:w="0" w:type="dxa"/>
              <w:right w:w="108" w:type="dxa"/>
            </w:tcMar>
            <w:vAlign w:val="bottom"/>
            <w:hideMark/>
          </w:tcPr>
          <w:p w14:paraId="431F3E5C" w14:textId="10B91B0F"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1.6% (9/576)</w:t>
            </w:r>
          </w:p>
        </w:tc>
        <w:tc>
          <w:tcPr>
            <w:tcW w:w="1701" w:type="dxa"/>
            <w:tcMar>
              <w:top w:w="0" w:type="dxa"/>
              <w:left w:w="108" w:type="dxa"/>
              <w:bottom w:w="0" w:type="dxa"/>
              <w:right w:w="108" w:type="dxa"/>
            </w:tcMar>
            <w:vAlign w:val="bottom"/>
            <w:hideMark/>
          </w:tcPr>
          <w:p w14:paraId="707727A9" w14:textId="167EF665"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4.7% (27/577)</w:t>
            </w:r>
          </w:p>
        </w:tc>
        <w:tc>
          <w:tcPr>
            <w:tcW w:w="1701" w:type="dxa"/>
            <w:tcMar>
              <w:top w:w="0" w:type="dxa"/>
              <w:left w:w="108" w:type="dxa"/>
              <w:bottom w:w="0" w:type="dxa"/>
              <w:right w:w="108" w:type="dxa"/>
            </w:tcMar>
            <w:vAlign w:val="bottom"/>
            <w:hideMark/>
          </w:tcPr>
          <w:p w14:paraId="0658C9BB" w14:textId="053B678E"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3.3% (19/576)</w:t>
            </w:r>
          </w:p>
        </w:tc>
        <w:tc>
          <w:tcPr>
            <w:tcW w:w="1701" w:type="dxa"/>
            <w:tcMar>
              <w:top w:w="0" w:type="dxa"/>
              <w:left w:w="108" w:type="dxa"/>
              <w:bottom w:w="0" w:type="dxa"/>
              <w:right w:w="108" w:type="dxa"/>
            </w:tcMar>
            <w:vAlign w:val="bottom"/>
            <w:hideMark/>
          </w:tcPr>
          <w:p w14:paraId="0272FF97" w14:textId="52833809"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(0/572)</w:t>
            </w:r>
          </w:p>
        </w:tc>
        <w:tc>
          <w:tcPr>
            <w:tcW w:w="1701" w:type="dxa"/>
            <w:tcMar>
              <w:top w:w="0" w:type="dxa"/>
              <w:left w:w="108" w:type="dxa"/>
              <w:bottom w:w="0" w:type="dxa"/>
              <w:right w:w="108" w:type="dxa"/>
            </w:tcMar>
            <w:vAlign w:val="bottom"/>
            <w:hideMark/>
          </w:tcPr>
          <w:p w14:paraId="47987934" w14:textId="7B1C4EFF"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(0/575)</w:t>
            </w:r>
          </w:p>
        </w:tc>
        <w:tc>
          <w:tcPr>
            <w:tcW w:w="1701" w:type="dxa"/>
            <w:tcMar>
              <w:top w:w="0" w:type="dxa"/>
              <w:left w:w="108" w:type="dxa"/>
              <w:bottom w:w="0" w:type="dxa"/>
              <w:right w:w="108" w:type="dxa"/>
            </w:tcMar>
            <w:vAlign w:val="bottom"/>
            <w:hideMark/>
          </w:tcPr>
          <w:p w14:paraId="0EAB0807" w14:textId="58196029"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0.7% (4/576)</w:t>
            </w:r>
          </w:p>
        </w:tc>
      </w:tr>
      <w:tr w:rsidR="008D3371" w:rsidRPr="004E1108" w14:paraId="7E8B25AD" w14:textId="77777777" w:rsidTr="00174F33">
        <w:tc>
          <w:tcPr>
            <w:tcW w:w="3005" w:type="dxa"/>
            <w:tcBorders>
              <w:top w:val="nil"/>
              <w:left w:val="nil"/>
              <w:bottom w:val="single" w:sz="8" w:space="0" w:color="000000"/>
              <w:right w:val="nil"/>
            </w:tcBorders>
            <w:tcMar>
              <w:top w:w="0" w:type="dxa"/>
              <w:left w:w="108" w:type="dxa"/>
              <w:bottom w:w="0" w:type="dxa"/>
              <w:right w:w="108" w:type="dxa"/>
            </w:tcMar>
            <w:hideMark/>
          </w:tcPr>
          <w:p w14:paraId="0927B324" w14:textId="77777777" w:rsidR="008D3371" w:rsidRPr="00444BEF" w:rsidRDefault="008D3371" w:rsidP="005474F1">
            <w:pPr>
              <w:jc w:val="right"/>
              <w:rPr>
                <w:rFonts w:asciiTheme="minorHAnsi" w:hAnsiTheme="minorHAnsi"/>
                <w:b/>
                <w:bCs/>
                <w:szCs w:val="20"/>
              </w:rPr>
            </w:pPr>
            <w:r w:rsidRPr="00444BEF">
              <w:rPr>
                <w:rFonts w:asciiTheme="minorHAnsi" w:hAnsiTheme="minorHAnsi"/>
                <w:b/>
                <w:bCs/>
                <w:szCs w:val="20"/>
              </w:rPr>
              <w:t>EIG</w:t>
            </w:r>
          </w:p>
        </w:tc>
        <w:tc>
          <w:tcPr>
            <w:tcW w:w="1701" w:type="dxa"/>
            <w:tcBorders>
              <w:top w:val="nil"/>
              <w:left w:val="nil"/>
              <w:bottom w:val="single" w:sz="8" w:space="0" w:color="000000"/>
              <w:right w:val="nil"/>
            </w:tcBorders>
            <w:vAlign w:val="bottom"/>
          </w:tcPr>
          <w:p w14:paraId="2F7FDAC4" w14:textId="4D1C269C" w:rsidR="008D3371" w:rsidRPr="00444BEF" w:rsidRDefault="008D3371" w:rsidP="00174F33">
            <w:pPr>
              <w:tabs>
                <w:tab w:val="decimal" w:pos="369"/>
              </w:tabs>
              <w:rPr>
                <w:rFonts w:asciiTheme="minorHAnsi" w:hAnsiTheme="minorHAnsi"/>
                <w:szCs w:val="20"/>
              </w:rPr>
            </w:pPr>
            <w:r w:rsidRPr="00444BEF">
              <w:rPr>
                <w:rFonts w:asciiTheme="minorHAnsi" w:hAnsiTheme="minorHAnsi"/>
                <w:szCs w:val="20"/>
              </w:rPr>
              <w:t>5.7% (34/593)</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0E63EDE5" w14:textId="0885934E"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1.7% (10/590)</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5A6F243C" w14:textId="0BF38CD1"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3.0% (18/593)</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19DB8924" w14:textId="28F6CC60"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2.4% (14/593)</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3AB6CC04" w14:textId="0D270665"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(0/579)</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2D606240" w14:textId="3359138B"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0% (0/589)</w:t>
            </w:r>
          </w:p>
        </w:tc>
        <w:tc>
          <w:tcPr>
            <w:tcW w:w="1701" w:type="dxa"/>
            <w:tcBorders>
              <w:top w:val="nil"/>
              <w:left w:val="nil"/>
              <w:bottom w:val="single" w:sz="8" w:space="0" w:color="000000"/>
              <w:right w:val="nil"/>
            </w:tcBorders>
            <w:tcMar>
              <w:top w:w="0" w:type="dxa"/>
              <w:left w:w="108" w:type="dxa"/>
              <w:bottom w:w="0" w:type="dxa"/>
              <w:right w:w="108" w:type="dxa"/>
            </w:tcMar>
            <w:vAlign w:val="bottom"/>
            <w:hideMark/>
          </w:tcPr>
          <w:p w14:paraId="2D1E4D60" w14:textId="3665FE52" w:rsidR="008D3371" w:rsidRPr="00444BEF" w:rsidRDefault="008D3371" w:rsidP="00174F33">
            <w:pPr>
              <w:tabs>
                <w:tab w:val="decimal" w:pos="228"/>
              </w:tabs>
              <w:rPr>
                <w:rFonts w:asciiTheme="minorHAnsi" w:hAnsiTheme="minorHAnsi"/>
                <w:szCs w:val="20"/>
              </w:rPr>
            </w:pPr>
            <w:r w:rsidRPr="00444BEF">
              <w:rPr>
                <w:rFonts w:asciiTheme="minorHAnsi" w:hAnsiTheme="minorHAnsi"/>
                <w:szCs w:val="20"/>
              </w:rPr>
              <w:t>1.0% (6/589)</w:t>
            </w:r>
          </w:p>
        </w:tc>
      </w:tr>
      <w:tr w:rsidR="008D3371" w:rsidRPr="004E1108" w14:paraId="3C9F41A0" w14:textId="77777777" w:rsidTr="00174F33">
        <w:tc>
          <w:tcPr>
            <w:tcW w:w="3005" w:type="dxa"/>
            <w:tcMar>
              <w:top w:w="0" w:type="dxa"/>
              <w:left w:w="108" w:type="dxa"/>
              <w:bottom w:w="0" w:type="dxa"/>
              <w:right w:w="108" w:type="dxa"/>
            </w:tcMar>
            <w:hideMark/>
          </w:tcPr>
          <w:p w14:paraId="6F764FF4" w14:textId="77777777" w:rsidR="008D3371" w:rsidRPr="00444BEF" w:rsidRDefault="008D3371" w:rsidP="005474F1">
            <w:pPr>
              <w:jc w:val="right"/>
              <w:rPr>
                <w:rFonts w:asciiTheme="minorHAnsi" w:hAnsiTheme="minorHAnsi"/>
                <w:bCs/>
                <w:i/>
                <w:iCs/>
                <w:szCs w:val="20"/>
              </w:rPr>
            </w:pPr>
            <w:r w:rsidRPr="00444BEF">
              <w:rPr>
                <w:rFonts w:asciiTheme="minorHAnsi" w:hAnsiTheme="minorHAnsi"/>
                <w:bCs/>
                <w:i/>
                <w:iCs/>
                <w:szCs w:val="20"/>
              </w:rPr>
              <w:t>EIG Per-protocol</w:t>
            </w:r>
          </w:p>
        </w:tc>
        <w:tc>
          <w:tcPr>
            <w:tcW w:w="1701" w:type="dxa"/>
            <w:vAlign w:val="bottom"/>
          </w:tcPr>
          <w:p w14:paraId="2283C149" w14:textId="32EAD8F9" w:rsidR="008D3371" w:rsidRPr="00444BEF" w:rsidRDefault="008D3371" w:rsidP="00174F33">
            <w:pPr>
              <w:tabs>
                <w:tab w:val="decimal" w:pos="369"/>
              </w:tabs>
              <w:rPr>
                <w:rFonts w:asciiTheme="minorHAnsi" w:hAnsiTheme="minorHAnsi"/>
                <w:iCs/>
                <w:szCs w:val="20"/>
              </w:rPr>
            </w:pPr>
            <w:r w:rsidRPr="00444BEF">
              <w:rPr>
                <w:rFonts w:asciiTheme="minorHAnsi" w:hAnsiTheme="minorHAnsi"/>
                <w:iCs/>
                <w:szCs w:val="20"/>
              </w:rPr>
              <w:t>2.9% (6/206)</w:t>
            </w:r>
          </w:p>
        </w:tc>
        <w:tc>
          <w:tcPr>
            <w:tcW w:w="1701" w:type="dxa"/>
            <w:tcMar>
              <w:top w:w="0" w:type="dxa"/>
              <w:left w:w="108" w:type="dxa"/>
              <w:bottom w:w="0" w:type="dxa"/>
              <w:right w:w="108" w:type="dxa"/>
            </w:tcMar>
            <w:vAlign w:val="bottom"/>
            <w:hideMark/>
          </w:tcPr>
          <w:p w14:paraId="585729D8" w14:textId="56418B75"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(0/305)*</w:t>
            </w:r>
          </w:p>
        </w:tc>
        <w:tc>
          <w:tcPr>
            <w:tcW w:w="1701" w:type="dxa"/>
            <w:tcMar>
              <w:top w:w="0" w:type="dxa"/>
              <w:left w:w="108" w:type="dxa"/>
              <w:bottom w:w="0" w:type="dxa"/>
              <w:right w:w="108" w:type="dxa"/>
            </w:tcMar>
            <w:vAlign w:val="bottom"/>
            <w:hideMark/>
          </w:tcPr>
          <w:p w14:paraId="22ED2148" w14:textId="0FD15127"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1.4%(3/214)</w:t>
            </w:r>
          </w:p>
        </w:tc>
        <w:tc>
          <w:tcPr>
            <w:tcW w:w="1701" w:type="dxa"/>
            <w:tcMar>
              <w:top w:w="0" w:type="dxa"/>
              <w:left w:w="108" w:type="dxa"/>
              <w:bottom w:w="0" w:type="dxa"/>
              <w:right w:w="108" w:type="dxa"/>
            </w:tcMar>
            <w:vAlign w:val="bottom"/>
            <w:hideMark/>
          </w:tcPr>
          <w:p w14:paraId="0E28CF1C" w14:textId="1C7E422F"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0.7% (3/414)</w:t>
            </w:r>
            <w:r w:rsidRPr="00444BEF">
              <w:rPr>
                <w:rFonts w:asciiTheme="minorHAnsi" w:hAnsiTheme="minorHAnsi"/>
                <w:szCs w:val="20"/>
              </w:rPr>
              <w:t>*</w:t>
            </w:r>
          </w:p>
        </w:tc>
        <w:tc>
          <w:tcPr>
            <w:tcW w:w="1701" w:type="dxa"/>
            <w:tcMar>
              <w:top w:w="0" w:type="dxa"/>
              <w:left w:w="108" w:type="dxa"/>
              <w:bottom w:w="0" w:type="dxa"/>
              <w:right w:w="108" w:type="dxa"/>
            </w:tcMar>
            <w:vAlign w:val="bottom"/>
            <w:hideMark/>
          </w:tcPr>
          <w:p w14:paraId="23665B7E" w14:textId="4A8D1210"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(0/263)</w:t>
            </w:r>
          </w:p>
        </w:tc>
        <w:tc>
          <w:tcPr>
            <w:tcW w:w="1701" w:type="dxa"/>
            <w:tcMar>
              <w:top w:w="0" w:type="dxa"/>
              <w:left w:w="108" w:type="dxa"/>
              <w:bottom w:w="0" w:type="dxa"/>
              <w:right w:w="108" w:type="dxa"/>
            </w:tcMar>
            <w:vAlign w:val="bottom"/>
            <w:hideMark/>
          </w:tcPr>
          <w:p w14:paraId="6CBA7D8D" w14:textId="530ADB54"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(0/289)</w:t>
            </w:r>
          </w:p>
        </w:tc>
        <w:tc>
          <w:tcPr>
            <w:tcW w:w="1701" w:type="dxa"/>
            <w:tcMar>
              <w:top w:w="0" w:type="dxa"/>
              <w:left w:w="108" w:type="dxa"/>
              <w:bottom w:w="0" w:type="dxa"/>
              <w:right w:w="108" w:type="dxa"/>
            </w:tcMar>
            <w:vAlign w:val="bottom"/>
            <w:hideMark/>
          </w:tcPr>
          <w:p w14:paraId="5363F448" w14:textId="54A90930"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0.5% (1/201)</w:t>
            </w:r>
          </w:p>
        </w:tc>
      </w:tr>
      <w:tr w:rsidR="008D3371" w:rsidRPr="004E1108" w14:paraId="0A1E9AE8" w14:textId="77777777" w:rsidTr="00174F33">
        <w:tc>
          <w:tcPr>
            <w:tcW w:w="3005" w:type="dxa"/>
            <w:tcMar>
              <w:top w:w="0" w:type="dxa"/>
              <w:left w:w="108" w:type="dxa"/>
              <w:bottom w:w="0" w:type="dxa"/>
              <w:right w:w="108" w:type="dxa"/>
            </w:tcMar>
          </w:tcPr>
          <w:p w14:paraId="34442846" w14:textId="2063A778" w:rsidR="008D3371" w:rsidRPr="00444BEF" w:rsidRDefault="008D3371" w:rsidP="008D3371">
            <w:pPr>
              <w:jc w:val="right"/>
              <w:rPr>
                <w:rFonts w:asciiTheme="minorHAnsi" w:hAnsiTheme="minorHAnsi"/>
                <w:bCs/>
                <w:i/>
                <w:iCs/>
                <w:szCs w:val="20"/>
              </w:rPr>
            </w:pPr>
            <w:r w:rsidRPr="00444BEF">
              <w:rPr>
                <w:rFonts w:asciiTheme="minorHAnsi" w:hAnsiTheme="minorHAnsi"/>
                <w:bCs/>
                <w:i/>
                <w:iCs/>
                <w:szCs w:val="20"/>
              </w:rPr>
              <w:t>EIG Non Per-protocol</w:t>
            </w:r>
          </w:p>
        </w:tc>
        <w:tc>
          <w:tcPr>
            <w:tcW w:w="1701" w:type="dxa"/>
            <w:vAlign w:val="bottom"/>
          </w:tcPr>
          <w:p w14:paraId="35C9C711" w14:textId="69300500" w:rsidR="008D3371" w:rsidRPr="00444BEF" w:rsidRDefault="008D3371" w:rsidP="00174F33">
            <w:pPr>
              <w:tabs>
                <w:tab w:val="decimal" w:pos="369"/>
              </w:tabs>
              <w:rPr>
                <w:rFonts w:asciiTheme="minorHAnsi" w:hAnsiTheme="minorHAnsi"/>
                <w:iCs/>
                <w:szCs w:val="20"/>
              </w:rPr>
            </w:pPr>
            <w:r w:rsidRPr="00444BEF">
              <w:rPr>
                <w:rFonts w:asciiTheme="minorHAnsi" w:hAnsiTheme="minorHAnsi"/>
                <w:iCs/>
                <w:szCs w:val="20"/>
              </w:rPr>
              <w:t>5.1% (14/273)</w:t>
            </w:r>
          </w:p>
        </w:tc>
        <w:tc>
          <w:tcPr>
            <w:tcW w:w="1701" w:type="dxa"/>
            <w:tcMar>
              <w:top w:w="0" w:type="dxa"/>
              <w:left w:w="108" w:type="dxa"/>
              <w:bottom w:w="0" w:type="dxa"/>
              <w:right w:w="108" w:type="dxa"/>
            </w:tcMar>
            <w:vAlign w:val="bottom"/>
          </w:tcPr>
          <w:p w14:paraId="18E6B583" w14:textId="225AC7C1"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2.1% (4/193)</w:t>
            </w:r>
          </w:p>
        </w:tc>
        <w:tc>
          <w:tcPr>
            <w:tcW w:w="1701" w:type="dxa"/>
            <w:tcMar>
              <w:top w:w="0" w:type="dxa"/>
              <w:left w:w="108" w:type="dxa"/>
              <w:bottom w:w="0" w:type="dxa"/>
              <w:right w:w="108" w:type="dxa"/>
            </w:tcMar>
            <w:vAlign w:val="bottom"/>
          </w:tcPr>
          <w:p w14:paraId="65CE305D" w14:textId="20D65475"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3.8% (11/287)</w:t>
            </w:r>
          </w:p>
        </w:tc>
        <w:tc>
          <w:tcPr>
            <w:tcW w:w="1701" w:type="dxa"/>
            <w:tcMar>
              <w:top w:w="0" w:type="dxa"/>
              <w:left w:w="108" w:type="dxa"/>
              <w:bottom w:w="0" w:type="dxa"/>
              <w:right w:w="108" w:type="dxa"/>
            </w:tcMar>
            <w:vAlign w:val="bottom"/>
          </w:tcPr>
          <w:p w14:paraId="32224E75" w14:textId="243B7AD6"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5.6% (4/72)</w:t>
            </w:r>
          </w:p>
        </w:tc>
        <w:tc>
          <w:tcPr>
            <w:tcW w:w="1701" w:type="dxa"/>
            <w:tcMar>
              <w:top w:w="0" w:type="dxa"/>
              <w:left w:w="108" w:type="dxa"/>
              <w:bottom w:w="0" w:type="dxa"/>
              <w:right w:w="108" w:type="dxa"/>
            </w:tcMar>
            <w:vAlign w:val="bottom"/>
          </w:tcPr>
          <w:p w14:paraId="69289CD8" w14:textId="0657D799"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(0/227)</w:t>
            </w:r>
          </w:p>
        </w:tc>
        <w:tc>
          <w:tcPr>
            <w:tcW w:w="1701" w:type="dxa"/>
            <w:tcMar>
              <w:top w:w="0" w:type="dxa"/>
              <w:left w:w="108" w:type="dxa"/>
              <w:bottom w:w="0" w:type="dxa"/>
              <w:right w:w="108" w:type="dxa"/>
            </w:tcMar>
            <w:vAlign w:val="bottom"/>
          </w:tcPr>
          <w:p w14:paraId="5615E91A" w14:textId="004889BA"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(0/204)</w:t>
            </w:r>
          </w:p>
        </w:tc>
        <w:tc>
          <w:tcPr>
            <w:tcW w:w="1701" w:type="dxa"/>
            <w:tcMar>
              <w:top w:w="0" w:type="dxa"/>
              <w:left w:w="108" w:type="dxa"/>
              <w:bottom w:w="0" w:type="dxa"/>
              <w:right w:w="108" w:type="dxa"/>
            </w:tcMar>
            <w:vAlign w:val="bottom"/>
          </w:tcPr>
          <w:p w14:paraId="219C7419" w14:textId="7AFE9E4E"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1.3% (4/301)</w:t>
            </w:r>
          </w:p>
        </w:tc>
      </w:tr>
      <w:tr w:rsidR="008D3371" w:rsidRPr="004E1108" w14:paraId="44A57276" w14:textId="77777777" w:rsidTr="00174F33">
        <w:trPr>
          <w:trHeight w:val="131"/>
        </w:trPr>
        <w:tc>
          <w:tcPr>
            <w:tcW w:w="3005" w:type="dxa"/>
            <w:tcBorders>
              <w:top w:val="nil"/>
              <w:left w:val="nil"/>
              <w:bottom w:val="single" w:sz="18" w:space="0" w:color="000000"/>
              <w:right w:val="nil"/>
            </w:tcBorders>
            <w:tcMar>
              <w:top w:w="0" w:type="dxa"/>
              <w:left w:w="108" w:type="dxa"/>
              <w:bottom w:w="0" w:type="dxa"/>
              <w:right w:w="108" w:type="dxa"/>
            </w:tcMar>
          </w:tcPr>
          <w:p w14:paraId="1BEB2E63" w14:textId="72B991AE" w:rsidR="008D3371" w:rsidRPr="00444BEF" w:rsidRDefault="008D3371" w:rsidP="008D3371">
            <w:pPr>
              <w:jc w:val="right"/>
              <w:rPr>
                <w:rFonts w:asciiTheme="minorHAnsi" w:hAnsiTheme="minorHAnsi"/>
                <w:bCs/>
                <w:i/>
                <w:iCs/>
                <w:szCs w:val="20"/>
              </w:rPr>
            </w:pPr>
            <w:r w:rsidRPr="00444BEF">
              <w:rPr>
                <w:rFonts w:asciiTheme="minorHAnsi" w:hAnsiTheme="minorHAnsi"/>
                <w:bCs/>
                <w:i/>
                <w:iCs/>
                <w:szCs w:val="20"/>
              </w:rPr>
              <w:t>EIG Adherence Non-evaluable</w:t>
            </w:r>
          </w:p>
        </w:tc>
        <w:tc>
          <w:tcPr>
            <w:tcW w:w="1701" w:type="dxa"/>
            <w:tcBorders>
              <w:top w:val="nil"/>
              <w:left w:val="nil"/>
              <w:bottom w:val="single" w:sz="18" w:space="0" w:color="000000"/>
              <w:right w:val="nil"/>
            </w:tcBorders>
            <w:vAlign w:val="bottom"/>
          </w:tcPr>
          <w:p w14:paraId="684E2C84" w14:textId="0D282E1B" w:rsidR="008D3371" w:rsidRPr="00444BEF" w:rsidRDefault="008D3371" w:rsidP="00174F33">
            <w:pPr>
              <w:tabs>
                <w:tab w:val="decimal" w:pos="369"/>
              </w:tabs>
              <w:rPr>
                <w:rFonts w:asciiTheme="minorHAnsi" w:hAnsiTheme="minorHAnsi"/>
                <w:iCs/>
                <w:szCs w:val="20"/>
              </w:rPr>
            </w:pPr>
            <w:r w:rsidRPr="00444BEF">
              <w:rPr>
                <w:rFonts w:asciiTheme="minorHAnsi" w:hAnsiTheme="minorHAnsi"/>
                <w:iCs/>
                <w:szCs w:val="20"/>
              </w:rPr>
              <w:t>6.5% (7/107)</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3F777305" w14:textId="3D681EED"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4.4% (4/90)</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44C4E6FB" w14:textId="1D42E4B8"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2.2% (2/90)</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6FAA51E7" w14:textId="6E6FC57F"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2.9% (3/103)</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63841699" w14:textId="6AF19E01"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(0/89)</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58FE01DE" w14:textId="1BC920F1"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(0/96)</w:t>
            </w:r>
          </w:p>
        </w:tc>
        <w:tc>
          <w:tcPr>
            <w:tcW w:w="1701" w:type="dxa"/>
            <w:tcBorders>
              <w:top w:val="nil"/>
              <w:left w:val="nil"/>
              <w:bottom w:val="single" w:sz="18" w:space="0" w:color="000000"/>
              <w:right w:val="nil"/>
            </w:tcBorders>
            <w:tcMar>
              <w:top w:w="0" w:type="dxa"/>
              <w:left w:w="108" w:type="dxa"/>
              <w:bottom w:w="0" w:type="dxa"/>
              <w:right w:w="108" w:type="dxa"/>
            </w:tcMar>
            <w:vAlign w:val="bottom"/>
          </w:tcPr>
          <w:p w14:paraId="7C574FD9" w14:textId="6C1CDFE3" w:rsidR="008D3371" w:rsidRPr="00444BEF" w:rsidRDefault="008D3371" w:rsidP="00174F33">
            <w:pPr>
              <w:tabs>
                <w:tab w:val="decimal" w:pos="228"/>
              </w:tabs>
              <w:rPr>
                <w:rFonts w:asciiTheme="minorHAnsi" w:hAnsiTheme="minorHAnsi"/>
                <w:iCs/>
                <w:szCs w:val="20"/>
              </w:rPr>
            </w:pPr>
            <w:r w:rsidRPr="00444BEF">
              <w:rPr>
                <w:rFonts w:asciiTheme="minorHAnsi" w:hAnsiTheme="minorHAnsi"/>
                <w:iCs/>
                <w:szCs w:val="20"/>
              </w:rPr>
              <w:t>0% (0/86)</w:t>
            </w:r>
          </w:p>
        </w:tc>
      </w:tr>
    </w:tbl>
    <w:p w14:paraId="1A2502D2" w14:textId="0D182718" w:rsidR="00BE4EEE" w:rsidRDefault="00BE4EEE" w:rsidP="00BE4EEE">
      <w:pPr>
        <w:rPr>
          <w:rFonts w:asciiTheme="minorHAnsi" w:hAnsiTheme="minorHAnsi"/>
          <w:sz w:val="22"/>
          <w:szCs w:val="22"/>
        </w:rPr>
      </w:pPr>
      <w:r w:rsidRPr="004E1108">
        <w:rPr>
          <w:rFonts w:asciiTheme="minorHAnsi" w:hAnsiTheme="minorHAnsi"/>
          <w:sz w:val="22"/>
          <w:szCs w:val="22"/>
        </w:rPr>
        <w:t>*p&lt;</w:t>
      </w:r>
      <w:r w:rsidR="003A4CCD">
        <w:rPr>
          <w:rFonts w:asciiTheme="minorHAnsi" w:hAnsiTheme="minorHAnsi"/>
          <w:sz w:val="22"/>
          <w:szCs w:val="22"/>
        </w:rPr>
        <w:t>0.05</w:t>
      </w:r>
      <w:r w:rsidR="003A4CCD">
        <w:rPr>
          <w:rFonts w:asciiTheme="minorHAnsi" w:hAnsiTheme="minorHAnsi"/>
          <w:sz w:val="22"/>
          <w:szCs w:val="22"/>
        </w:rPr>
        <w:tab/>
        <w:t>†p&lt;</w:t>
      </w:r>
      <w:proofErr w:type="gramStart"/>
      <w:r w:rsidRPr="004E1108">
        <w:rPr>
          <w:rFonts w:asciiTheme="minorHAnsi" w:hAnsiTheme="minorHAnsi"/>
          <w:sz w:val="22"/>
          <w:szCs w:val="22"/>
        </w:rPr>
        <w:t>0.0</w:t>
      </w:r>
      <w:r w:rsidR="007651B7">
        <w:rPr>
          <w:rFonts w:asciiTheme="minorHAnsi" w:hAnsiTheme="minorHAnsi"/>
          <w:sz w:val="22"/>
          <w:szCs w:val="22"/>
        </w:rPr>
        <w:t>1</w:t>
      </w:r>
      <w:r w:rsidR="00D222B3">
        <w:rPr>
          <w:rFonts w:asciiTheme="minorHAnsi" w:hAnsiTheme="minorHAnsi"/>
          <w:sz w:val="22"/>
          <w:szCs w:val="22"/>
        </w:rPr>
        <w:t xml:space="preserve">  (</w:t>
      </w:r>
      <w:proofErr w:type="gramEnd"/>
      <w:r w:rsidR="00D222B3">
        <w:rPr>
          <w:rFonts w:asciiTheme="minorHAnsi" w:hAnsiTheme="minorHAnsi"/>
          <w:sz w:val="22"/>
          <w:szCs w:val="22"/>
        </w:rPr>
        <w:t>p values EIG per-protocol and EIG non per-protocol groups)</w:t>
      </w:r>
    </w:p>
    <w:p w14:paraId="6691545D" w14:textId="77777777" w:rsidR="00E91221" w:rsidRDefault="00D222B3" w:rsidP="00E91221">
      <w:pPr>
        <w:rPr>
          <w:rFonts w:asciiTheme="minorHAnsi" w:hAnsiTheme="minorHAnsi"/>
          <w:sz w:val="22"/>
          <w:szCs w:val="22"/>
        </w:rPr>
      </w:pPr>
      <w:r>
        <w:rPr>
          <w:rFonts w:asciiTheme="minorHAnsi" w:hAnsiTheme="minorHAnsi"/>
          <w:sz w:val="22"/>
          <w:szCs w:val="22"/>
        </w:rPr>
        <w:t xml:space="preserve">The rows showing the EIG divided into the per-protocol, non per-protocol and adherence non-evaluable subgroups show overall adherence status for the any food column, and food specific adherence status for the individual food columns. </w:t>
      </w:r>
    </w:p>
    <w:p w14:paraId="63C470A3" w14:textId="705E6021" w:rsidR="00E91221" w:rsidRDefault="00E91221" w:rsidP="00E91221">
      <w:pPr>
        <w:rPr>
          <w:rFonts w:ascii="Calibri" w:hAnsi="Calibri"/>
          <w:sz w:val="22"/>
          <w:szCs w:val="22"/>
        </w:rPr>
      </w:pPr>
      <w:r w:rsidRPr="00E91221">
        <w:rPr>
          <w:rFonts w:ascii="Calibri" w:hAnsi="Calibri"/>
          <w:sz w:val="22"/>
          <w:szCs w:val="22"/>
        </w:rPr>
        <w:t>Specific IgE was measured in 1170 children. However some infants had very small amounts of serum obtained and all six individual foods could not be measured. Hence the denominator for individual foods varies (ranging from N=1151 for sesame to N=1170 for egg)</w:t>
      </w:r>
      <w:r>
        <w:rPr>
          <w:rFonts w:ascii="Calibri" w:hAnsi="Calibri"/>
          <w:sz w:val="22"/>
          <w:szCs w:val="22"/>
        </w:rPr>
        <w:t>.</w:t>
      </w:r>
    </w:p>
    <w:p w14:paraId="37115382" w14:textId="378F6636" w:rsidR="00E91221" w:rsidRDefault="00E91221" w:rsidP="00E91221">
      <w:pPr>
        <w:rPr>
          <w:rFonts w:ascii="Calibri" w:hAnsi="Calibri"/>
        </w:rPr>
      </w:pPr>
      <w:r>
        <w:rPr>
          <w:rFonts w:asciiTheme="minorHAnsi" w:hAnsiTheme="minorHAnsi"/>
          <w:sz w:val="22"/>
          <w:szCs w:val="22"/>
        </w:rPr>
        <w:t>The seven EIG participants who had positive enrollment challenges to a food are excluded from the adherence rows (4 to milk, 1 to wheat, 2 to peanut and 2 to egg) as they were unable to be adherent already being allergic to the food.</w:t>
      </w:r>
    </w:p>
    <w:p w14:paraId="7E6A927C" w14:textId="77777777" w:rsidR="00E91221" w:rsidRDefault="00E91221">
      <w:pPr>
        <w:rPr>
          <w:rFonts w:ascii="Calibri" w:hAnsi="Calibri"/>
          <w:sz w:val="22"/>
          <w:szCs w:val="22"/>
        </w:rPr>
      </w:pPr>
    </w:p>
    <w:p w14:paraId="2DB96719" w14:textId="77777777" w:rsidR="00E91221" w:rsidRPr="00E91221" w:rsidRDefault="00E91221">
      <w:pPr>
        <w:rPr>
          <w:rFonts w:ascii="Calibri" w:hAnsi="Calibri"/>
          <w:sz w:val="22"/>
          <w:szCs w:val="22"/>
        </w:rPr>
        <w:sectPr w:rsidR="00E91221" w:rsidRPr="00E91221" w:rsidSect="001C7370">
          <w:endnotePr>
            <w:numFmt w:val="decimal"/>
          </w:endnotePr>
          <w:pgSz w:w="16840" w:h="11907" w:orient="landscape" w:code="9"/>
          <w:pgMar w:top="1134" w:right="1418" w:bottom="1134" w:left="1134" w:header="720" w:footer="720" w:gutter="0"/>
          <w:cols w:space="708"/>
          <w:docGrid w:linePitch="360"/>
        </w:sectPr>
      </w:pPr>
    </w:p>
    <w:bookmarkEnd w:id="1"/>
    <w:p w14:paraId="59E21BA8" w14:textId="2E6BE860" w:rsidR="00082A66" w:rsidRPr="004E1108" w:rsidRDefault="00DF471E" w:rsidP="00082A66">
      <w:pPr>
        <w:rPr>
          <w:rFonts w:asciiTheme="minorHAnsi" w:hAnsiTheme="minorHAnsi"/>
          <w:b/>
          <w:sz w:val="22"/>
          <w:szCs w:val="22"/>
          <w:lang w:val="en-US"/>
        </w:rPr>
      </w:pPr>
      <w:r>
        <w:rPr>
          <w:rFonts w:asciiTheme="minorHAnsi" w:hAnsiTheme="minorHAnsi"/>
          <w:b/>
          <w:sz w:val="22"/>
          <w:szCs w:val="22"/>
          <w:lang w:val="en-US"/>
        </w:rPr>
        <w:lastRenderedPageBreak/>
        <w:t>TABLE II.</w:t>
      </w:r>
      <w:r w:rsidR="001023A0" w:rsidRPr="004E1108">
        <w:rPr>
          <w:rFonts w:asciiTheme="minorHAnsi" w:hAnsiTheme="minorHAnsi"/>
          <w:b/>
          <w:sz w:val="22"/>
          <w:szCs w:val="22"/>
          <w:lang w:val="en-US"/>
        </w:rPr>
        <w:t xml:space="preserve"> </w:t>
      </w:r>
      <w:r w:rsidR="00082A66" w:rsidRPr="004E1108">
        <w:rPr>
          <w:rFonts w:asciiTheme="minorHAnsi" w:hAnsiTheme="minorHAnsi"/>
          <w:b/>
          <w:sz w:val="22"/>
          <w:szCs w:val="22"/>
          <w:lang w:val="en-US"/>
        </w:rPr>
        <w:t xml:space="preserve">Logistic </w:t>
      </w:r>
      <w:r w:rsidR="00866842">
        <w:rPr>
          <w:rFonts w:asciiTheme="minorHAnsi" w:hAnsiTheme="minorHAnsi"/>
          <w:b/>
          <w:sz w:val="22"/>
          <w:szCs w:val="22"/>
          <w:lang w:val="en-US"/>
        </w:rPr>
        <w:t xml:space="preserve">regression </w:t>
      </w:r>
      <w:r w:rsidR="00082A66" w:rsidRPr="004E1108">
        <w:rPr>
          <w:rFonts w:asciiTheme="minorHAnsi" w:hAnsiTheme="minorHAnsi"/>
          <w:b/>
          <w:sz w:val="22"/>
          <w:szCs w:val="22"/>
          <w:lang w:val="en-US"/>
        </w:rPr>
        <w:t xml:space="preserve">modelling of </w:t>
      </w:r>
      <w:r w:rsidR="00D07C8B">
        <w:rPr>
          <w:rFonts w:asciiTheme="minorHAnsi" w:hAnsiTheme="minorHAnsi"/>
          <w:b/>
          <w:sz w:val="22"/>
          <w:szCs w:val="22"/>
          <w:lang w:val="en-US"/>
        </w:rPr>
        <w:t>enrollment</w:t>
      </w:r>
      <w:r w:rsidR="00082A66" w:rsidRPr="004E1108">
        <w:rPr>
          <w:rFonts w:asciiTheme="minorHAnsi" w:hAnsiTheme="minorHAnsi"/>
          <w:b/>
          <w:sz w:val="22"/>
          <w:szCs w:val="22"/>
          <w:lang w:val="en-US"/>
        </w:rPr>
        <w:t xml:space="preserve"> factors influencing EIG</w:t>
      </w:r>
      <w:r w:rsidR="004E6DC2">
        <w:rPr>
          <w:rFonts w:asciiTheme="minorHAnsi" w:hAnsiTheme="minorHAnsi"/>
          <w:b/>
          <w:sz w:val="22"/>
          <w:szCs w:val="22"/>
          <w:lang w:val="en-US"/>
        </w:rPr>
        <w:t xml:space="preserve"> overall and</w:t>
      </w:r>
      <w:r w:rsidR="00082A66" w:rsidRPr="004E1108">
        <w:rPr>
          <w:rFonts w:asciiTheme="minorHAnsi" w:hAnsiTheme="minorHAnsi"/>
          <w:b/>
          <w:sz w:val="22"/>
          <w:szCs w:val="22"/>
          <w:lang w:val="en-US"/>
        </w:rPr>
        <w:t xml:space="preserve"> food specific non-adherence</w:t>
      </w:r>
    </w:p>
    <w:tbl>
      <w:tblPr>
        <w:tblW w:w="14492" w:type="dxa"/>
        <w:tblInd w:w="-8" w:type="dxa"/>
        <w:tblBorders>
          <w:top w:val="single" w:sz="12" w:space="0" w:color="auto"/>
          <w:bottom w:val="single" w:sz="12" w:space="0" w:color="auto"/>
        </w:tblBorders>
        <w:tblLayout w:type="fixed"/>
        <w:tblCellMar>
          <w:left w:w="28" w:type="dxa"/>
          <w:right w:w="28" w:type="dxa"/>
        </w:tblCellMar>
        <w:tblLook w:val="00A0" w:firstRow="1" w:lastRow="0" w:firstColumn="1" w:lastColumn="0" w:noHBand="0" w:noVBand="0"/>
      </w:tblPr>
      <w:tblGrid>
        <w:gridCol w:w="3382"/>
        <w:gridCol w:w="906"/>
        <w:gridCol w:w="680"/>
        <w:gridCol w:w="907"/>
        <w:gridCol w:w="680"/>
        <w:gridCol w:w="907"/>
        <w:gridCol w:w="680"/>
        <w:gridCol w:w="907"/>
        <w:gridCol w:w="680"/>
        <w:gridCol w:w="907"/>
        <w:gridCol w:w="680"/>
        <w:gridCol w:w="907"/>
        <w:gridCol w:w="680"/>
        <w:gridCol w:w="907"/>
        <w:gridCol w:w="682"/>
      </w:tblGrid>
      <w:tr w:rsidR="009F725A" w:rsidRPr="009F725A" w14:paraId="238C7467" w14:textId="77777777" w:rsidTr="00AE1C22">
        <w:tc>
          <w:tcPr>
            <w:tcW w:w="3382" w:type="dxa"/>
            <w:vMerge w:val="restart"/>
            <w:tcBorders>
              <w:left w:val="single" w:sz="6" w:space="0" w:color="auto"/>
              <w:right w:val="single" w:sz="6" w:space="0" w:color="auto"/>
            </w:tcBorders>
            <w:shd w:val="clear" w:color="auto" w:fill="auto"/>
            <w:vAlign w:val="bottom"/>
          </w:tcPr>
          <w:p w14:paraId="524BD592" w14:textId="77777777" w:rsidR="009F725A" w:rsidRPr="009F725A" w:rsidRDefault="009F725A" w:rsidP="00082A66">
            <w:pPr>
              <w:rPr>
                <w:rFonts w:asciiTheme="minorHAnsi" w:hAnsiTheme="minorHAnsi"/>
                <w:b/>
                <w:sz w:val="18"/>
                <w:szCs w:val="18"/>
                <w:lang w:val="en-US"/>
              </w:rPr>
            </w:pPr>
          </w:p>
        </w:tc>
        <w:tc>
          <w:tcPr>
            <w:tcW w:w="1586" w:type="dxa"/>
            <w:gridSpan w:val="2"/>
            <w:vMerge w:val="restart"/>
            <w:tcBorders>
              <w:top w:val="single" w:sz="12" w:space="0" w:color="auto"/>
              <w:left w:val="single" w:sz="6" w:space="0" w:color="auto"/>
              <w:right w:val="single" w:sz="6" w:space="0" w:color="auto"/>
            </w:tcBorders>
            <w:vAlign w:val="bottom"/>
          </w:tcPr>
          <w:p w14:paraId="50BF7999" w14:textId="77777777" w:rsidR="004E6DC2" w:rsidRDefault="004E6DC2" w:rsidP="004E6DC2">
            <w:pPr>
              <w:jc w:val="center"/>
              <w:rPr>
                <w:rFonts w:asciiTheme="minorHAnsi" w:hAnsiTheme="minorHAnsi"/>
                <w:b/>
                <w:sz w:val="18"/>
                <w:szCs w:val="18"/>
                <w:lang w:val="en-US"/>
              </w:rPr>
            </w:pPr>
            <w:r>
              <w:rPr>
                <w:rFonts w:asciiTheme="minorHAnsi" w:hAnsiTheme="minorHAnsi"/>
                <w:b/>
                <w:sz w:val="18"/>
                <w:szCs w:val="18"/>
                <w:lang w:val="en-US"/>
              </w:rPr>
              <w:t>EIG overall</w:t>
            </w:r>
          </w:p>
          <w:p w14:paraId="4D500350" w14:textId="5CA8D4C5" w:rsidR="009F725A" w:rsidRPr="009F725A" w:rsidRDefault="004E6DC2" w:rsidP="004E6DC2">
            <w:pPr>
              <w:jc w:val="center"/>
              <w:rPr>
                <w:rFonts w:asciiTheme="minorHAnsi" w:hAnsiTheme="minorHAnsi"/>
                <w:b/>
                <w:sz w:val="18"/>
                <w:szCs w:val="18"/>
                <w:lang w:val="en-US"/>
              </w:rPr>
            </w:pPr>
            <w:r>
              <w:rPr>
                <w:rFonts w:asciiTheme="minorHAnsi" w:hAnsiTheme="minorHAnsi"/>
                <w:b/>
                <w:sz w:val="18"/>
                <w:szCs w:val="18"/>
                <w:lang w:val="en-US"/>
              </w:rPr>
              <w:t>non-adherence</w:t>
            </w:r>
          </w:p>
        </w:tc>
        <w:tc>
          <w:tcPr>
            <w:tcW w:w="9524" w:type="dxa"/>
            <w:gridSpan w:val="12"/>
            <w:tcBorders>
              <w:left w:val="single" w:sz="6" w:space="0" w:color="auto"/>
              <w:bottom w:val="single" w:sz="6" w:space="0" w:color="auto"/>
              <w:right w:val="single" w:sz="6" w:space="0" w:color="auto"/>
            </w:tcBorders>
            <w:shd w:val="clear" w:color="auto" w:fill="auto"/>
            <w:vAlign w:val="bottom"/>
          </w:tcPr>
          <w:p w14:paraId="424D1E33" w14:textId="22CA7DFC" w:rsidR="009F725A" w:rsidRPr="009F725A" w:rsidRDefault="009F725A" w:rsidP="001023A0">
            <w:pPr>
              <w:jc w:val="center"/>
              <w:rPr>
                <w:rFonts w:asciiTheme="minorHAnsi" w:hAnsiTheme="minorHAnsi"/>
                <w:b/>
                <w:sz w:val="18"/>
                <w:szCs w:val="18"/>
                <w:lang w:val="en-US"/>
              </w:rPr>
            </w:pPr>
            <w:r w:rsidRPr="009F725A">
              <w:rPr>
                <w:rFonts w:asciiTheme="minorHAnsi" w:hAnsiTheme="minorHAnsi"/>
                <w:b/>
                <w:sz w:val="18"/>
                <w:szCs w:val="18"/>
                <w:lang w:val="en-US"/>
              </w:rPr>
              <w:t>EIG specific food non-adherence</w:t>
            </w:r>
          </w:p>
        </w:tc>
      </w:tr>
      <w:tr w:rsidR="009F725A" w:rsidRPr="009F725A" w14:paraId="625E2C25" w14:textId="77777777" w:rsidTr="00AE1C22">
        <w:tc>
          <w:tcPr>
            <w:tcW w:w="3382" w:type="dxa"/>
            <w:vMerge/>
            <w:tcBorders>
              <w:left w:val="single" w:sz="6" w:space="0" w:color="auto"/>
              <w:right w:val="single" w:sz="6" w:space="0" w:color="auto"/>
            </w:tcBorders>
            <w:shd w:val="clear" w:color="auto" w:fill="auto"/>
          </w:tcPr>
          <w:p w14:paraId="5E5A6025" w14:textId="4DA03596" w:rsidR="009F725A" w:rsidRPr="009F725A" w:rsidRDefault="009F725A" w:rsidP="00082A66">
            <w:pPr>
              <w:rPr>
                <w:rFonts w:asciiTheme="minorHAnsi" w:hAnsiTheme="minorHAnsi"/>
                <w:b/>
                <w:sz w:val="18"/>
                <w:szCs w:val="18"/>
                <w:lang w:val="en-US"/>
              </w:rPr>
            </w:pPr>
          </w:p>
        </w:tc>
        <w:tc>
          <w:tcPr>
            <w:tcW w:w="1586" w:type="dxa"/>
            <w:gridSpan w:val="2"/>
            <w:vMerge/>
            <w:tcBorders>
              <w:left w:val="single" w:sz="6" w:space="0" w:color="auto"/>
              <w:bottom w:val="single" w:sz="6" w:space="0" w:color="auto"/>
              <w:right w:val="single" w:sz="6" w:space="0" w:color="auto"/>
            </w:tcBorders>
          </w:tcPr>
          <w:p w14:paraId="27F6B217" w14:textId="77777777" w:rsidR="009F725A" w:rsidRPr="009F725A" w:rsidRDefault="009F725A" w:rsidP="001023A0">
            <w:pPr>
              <w:jc w:val="center"/>
              <w:rPr>
                <w:rFonts w:asciiTheme="minorHAnsi" w:hAnsiTheme="minorHAnsi"/>
                <w:b/>
                <w:sz w:val="18"/>
                <w:szCs w:val="18"/>
                <w:lang w:val="en-US"/>
              </w:rPr>
            </w:pPr>
          </w:p>
        </w:tc>
        <w:tc>
          <w:tcPr>
            <w:tcW w:w="1587" w:type="dxa"/>
            <w:gridSpan w:val="2"/>
            <w:tcBorders>
              <w:left w:val="single" w:sz="6" w:space="0" w:color="auto"/>
              <w:bottom w:val="single" w:sz="6" w:space="0" w:color="auto"/>
            </w:tcBorders>
            <w:shd w:val="clear" w:color="auto" w:fill="auto"/>
          </w:tcPr>
          <w:p w14:paraId="4C274548" w14:textId="119BFAF1" w:rsidR="009F725A" w:rsidRPr="009F725A" w:rsidRDefault="009F725A" w:rsidP="001023A0">
            <w:pPr>
              <w:jc w:val="center"/>
              <w:rPr>
                <w:rFonts w:asciiTheme="minorHAnsi" w:hAnsiTheme="minorHAnsi"/>
                <w:b/>
                <w:sz w:val="18"/>
                <w:szCs w:val="18"/>
                <w:lang w:val="en-US"/>
              </w:rPr>
            </w:pPr>
            <w:r w:rsidRPr="009F725A">
              <w:rPr>
                <w:rFonts w:asciiTheme="minorHAnsi" w:hAnsiTheme="minorHAnsi"/>
                <w:b/>
                <w:sz w:val="18"/>
                <w:szCs w:val="18"/>
                <w:lang w:val="en-US"/>
              </w:rPr>
              <w:t>Peanut</w:t>
            </w:r>
          </w:p>
        </w:tc>
        <w:tc>
          <w:tcPr>
            <w:tcW w:w="1587" w:type="dxa"/>
            <w:gridSpan w:val="2"/>
            <w:tcBorders>
              <w:bottom w:val="single" w:sz="6" w:space="0" w:color="auto"/>
            </w:tcBorders>
            <w:shd w:val="clear" w:color="auto" w:fill="auto"/>
          </w:tcPr>
          <w:p w14:paraId="1999ACD5" w14:textId="77777777" w:rsidR="009F725A" w:rsidRPr="009F725A" w:rsidRDefault="009F725A" w:rsidP="001023A0">
            <w:pPr>
              <w:jc w:val="center"/>
              <w:rPr>
                <w:rFonts w:asciiTheme="minorHAnsi" w:hAnsiTheme="minorHAnsi"/>
                <w:b/>
                <w:sz w:val="18"/>
                <w:szCs w:val="18"/>
                <w:lang w:val="en-US"/>
              </w:rPr>
            </w:pPr>
            <w:r w:rsidRPr="009F725A">
              <w:rPr>
                <w:rFonts w:asciiTheme="minorHAnsi" w:hAnsiTheme="minorHAnsi"/>
                <w:b/>
                <w:sz w:val="18"/>
                <w:szCs w:val="18"/>
                <w:lang w:val="en-US"/>
              </w:rPr>
              <w:t>Egg</w:t>
            </w:r>
          </w:p>
        </w:tc>
        <w:tc>
          <w:tcPr>
            <w:tcW w:w="1587" w:type="dxa"/>
            <w:gridSpan w:val="2"/>
            <w:tcBorders>
              <w:bottom w:val="single" w:sz="6" w:space="0" w:color="auto"/>
            </w:tcBorders>
            <w:shd w:val="clear" w:color="auto" w:fill="auto"/>
          </w:tcPr>
          <w:p w14:paraId="37881A68" w14:textId="77777777" w:rsidR="009F725A" w:rsidRPr="009F725A" w:rsidRDefault="009F725A" w:rsidP="001023A0">
            <w:pPr>
              <w:jc w:val="center"/>
              <w:rPr>
                <w:rFonts w:asciiTheme="minorHAnsi" w:hAnsiTheme="minorHAnsi"/>
                <w:b/>
                <w:sz w:val="18"/>
                <w:szCs w:val="18"/>
                <w:lang w:val="en-US"/>
              </w:rPr>
            </w:pPr>
            <w:r w:rsidRPr="009F725A">
              <w:rPr>
                <w:rFonts w:asciiTheme="minorHAnsi" w:hAnsiTheme="minorHAnsi"/>
                <w:b/>
                <w:sz w:val="18"/>
                <w:szCs w:val="18"/>
                <w:lang w:val="en-US"/>
              </w:rPr>
              <w:t>Milk</w:t>
            </w:r>
          </w:p>
        </w:tc>
        <w:tc>
          <w:tcPr>
            <w:tcW w:w="1587" w:type="dxa"/>
            <w:gridSpan w:val="2"/>
            <w:tcBorders>
              <w:bottom w:val="single" w:sz="6" w:space="0" w:color="auto"/>
            </w:tcBorders>
          </w:tcPr>
          <w:p w14:paraId="7B69D601" w14:textId="77777777" w:rsidR="009F725A" w:rsidRPr="009F725A" w:rsidRDefault="009F725A" w:rsidP="001023A0">
            <w:pPr>
              <w:jc w:val="center"/>
              <w:rPr>
                <w:rFonts w:asciiTheme="minorHAnsi" w:hAnsiTheme="minorHAnsi"/>
                <w:b/>
                <w:sz w:val="18"/>
                <w:szCs w:val="18"/>
                <w:lang w:val="en-US"/>
              </w:rPr>
            </w:pPr>
            <w:r w:rsidRPr="009F725A">
              <w:rPr>
                <w:rFonts w:asciiTheme="minorHAnsi" w:hAnsiTheme="minorHAnsi"/>
                <w:b/>
                <w:sz w:val="18"/>
                <w:szCs w:val="18"/>
                <w:lang w:val="en-US"/>
              </w:rPr>
              <w:t>Sesame</w:t>
            </w:r>
          </w:p>
        </w:tc>
        <w:tc>
          <w:tcPr>
            <w:tcW w:w="1587" w:type="dxa"/>
            <w:gridSpan w:val="2"/>
            <w:tcBorders>
              <w:bottom w:val="single" w:sz="6" w:space="0" w:color="auto"/>
            </w:tcBorders>
          </w:tcPr>
          <w:p w14:paraId="2643D67B" w14:textId="77777777" w:rsidR="009F725A" w:rsidRPr="009F725A" w:rsidRDefault="009F725A" w:rsidP="001023A0">
            <w:pPr>
              <w:jc w:val="center"/>
              <w:rPr>
                <w:rFonts w:asciiTheme="minorHAnsi" w:hAnsiTheme="minorHAnsi"/>
                <w:b/>
                <w:sz w:val="18"/>
                <w:szCs w:val="18"/>
                <w:lang w:val="en-US"/>
              </w:rPr>
            </w:pPr>
            <w:r w:rsidRPr="009F725A">
              <w:rPr>
                <w:rFonts w:asciiTheme="minorHAnsi" w:hAnsiTheme="minorHAnsi"/>
                <w:b/>
                <w:sz w:val="18"/>
                <w:szCs w:val="18"/>
                <w:lang w:val="en-US"/>
              </w:rPr>
              <w:t>Fish</w:t>
            </w:r>
          </w:p>
        </w:tc>
        <w:tc>
          <w:tcPr>
            <w:tcW w:w="1589" w:type="dxa"/>
            <w:gridSpan w:val="2"/>
            <w:tcBorders>
              <w:bottom w:val="single" w:sz="6" w:space="0" w:color="auto"/>
              <w:right w:val="single" w:sz="6" w:space="0" w:color="auto"/>
            </w:tcBorders>
          </w:tcPr>
          <w:p w14:paraId="1387F8BD" w14:textId="77777777" w:rsidR="009F725A" w:rsidRPr="009F725A" w:rsidRDefault="009F725A" w:rsidP="001023A0">
            <w:pPr>
              <w:jc w:val="center"/>
              <w:rPr>
                <w:rFonts w:asciiTheme="minorHAnsi" w:hAnsiTheme="minorHAnsi"/>
                <w:b/>
                <w:sz w:val="18"/>
                <w:szCs w:val="18"/>
                <w:lang w:val="en-US"/>
              </w:rPr>
            </w:pPr>
            <w:r w:rsidRPr="009F725A">
              <w:rPr>
                <w:rFonts w:asciiTheme="minorHAnsi" w:hAnsiTheme="minorHAnsi"/>
                <w:b/>
                <w:sz w:val="18"/>
                <w:szCs w:val="18"/>
                <w:lang w:val="en-US"/>
              </w:rPr>
              <w:t>Wheat</w:t>
            </w:r>
          </w:p>
        </w:tc>
      </w:tr>
      <w:tr w:rsidR="004E6DC2" w:rsidRPr="009F725A" w14:paraId="50FD5814" w14:textId="77777777" w:rsidTr="00AE1C22">
        <w:tc>
          <w:tcPr>
            <w:tcW w:w="3382" w:type="dxa"/>
            <w:vMerge/>
            <w:tcBorders>
              <w:left w:val="single" w:sz="6" w:space="0" w:color="auto"/>
              <w:right w:val="single" w:sz="6" w:space="0" w:color="auto"/>
            </w:tcBorders>
            <w:shd w:val="clear" w:color="auto" w:fill="auto"/>
          </w:tcPr>
          <w:p w14:paraId="51D07E34" w14:textId="77777777" w:rsidR="004E6DC2" w:rsidRPr="009F725A" w:rsidRDefault="004E6DC2" w:rsidP="004E6DC2">
            <w:pPr>
              <w:rPr>
                <w:rFonts w:asciiTheme="minorHAnsi" w:hAnsiTheme="minorHAnsi"/>
                <w:sz w:val="18"/>
                <w:szCs w:val="18"/>
                <w:lang w:val="en-US"/>
              </w:rPr>
            </w:pPr>
          </w:p>
        </w:tc>
        <w:tc>
          <w:tcPr>
            <w:tcW w:w="906" w:type="dxa"/>
            <w:tcBorders>
              <w:top w:val="single" w:sz="6" w:space="0" w:color="auto"/>
              <w:left w:val="single" w:sz="6" w:space="0" w:color="auto"/>
            </w:tcBorders>
          </w:tcPr>
          <w:p w14:paraId="58581653" w14:textId="64B6DBD1"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OR</w:t>
            </w:r>
          </w:p>
        </w:tc>
        <w:tc>
          <w:tcPr>
            <w:tcW w:w="680" w:type="dxa"/>
            <w:tcBorders>
              <w:top w:val="single" w:sz="6" w:space="0" w:color="auto"/>
              <w:right w:val="single" w:sz="6" w:space="0" w:color="auto"/>
            </w:tcBorders>
          </w:tcPr>
          <w:p w14:paraId="2758DC65" w14:textId="561BDE81"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p value</w:t>
            </w:r>
          </w:p>
        </w:tc>
        <w:tc>
          <w:tcPr>
            <w:tcW w:w="907" w:type="dxa"/>
            <w:tcBorders>
              <w:top w:val="single" w:sz="6" w:space="0" w:color="auto"/>
              <w:left w:val="single" w:sz="6" w:space="0" w:color="auto"/>
            </w:tcBorders>
            <w:shd w:val="clear" w:color="auto" w:fill="auto"/>
          </w:tcPr>
          <w:p w14:paraId="468666E9" w14:textId="3E1ADB39"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OR</w:t>
            </w:r>
          </w:p>
        </w:tc>
        <w:tc>
          <w:tcPr>
            <w:tcW w:w="680" w:type="dxa"/>
            <w:tcBorders>
              <w:top w:val="single" w:sz="6" w:space="0" w:color="auto"/>
            </w:tcBorders>
            <w:shd w:val="clear" w:color="auto" w:fill="auto"/>
          </w:tcPr>
          <w:p w14:paraId="2D26C034"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p value</w:t>
            </w:r>
          </w:p>
        </w:tc>
        <w:tc>
          <w:tcPr>
            <w:tcW w:w="907" w:type="dxa"/>
            <w:tcBorders>
              <w:top w:val="single" w:sz="6" w:space="0" w:color="auto"/>
            </w:tcBorders>
            <w:shd w:val="clear" w:color="auto" w:fill="auto"/>
          </w:tcPr>
          <w:p w14:paraId="42A85046"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OR</w:t>
            </w:r>
          </w:p>
        </w:tc>
        <w:tc>
          <w:tcPr>
            <w:tcW w:w="680" w:type="dxa"/>
            <w:tcBorders>
              <w:top w:val="single" w:sz="6" w:space="0" w:color="auto"/>
            </w:tcBorders>
            <w:shd w:val="clear" w:color="auto" w:fill="auto"/>
          </w:tcPr>
          <w:p w14:paraId="4E1C6EE9"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p value</w:t>
            </w:r>
          </w:p>
        </w:tc>
        <w:tc>
          <w:tcPr>
            <w:tcW w:w="907" w:type="dxa"/>
            <w:tcBorders>
              <w:top w:val="single" w:sz="6" w:space="0" w:color="auto"/>
            </w:tcBorders>
            <w:shd w:val="clear" w:color="auto" w:fill="auto"/>
          </w:tcPr>
          <w:p w14:paraId="33D7C68C"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OR</w:t>
            </w:r>
          </w:p>
        </w:tc>
        <w:tc>
          <w:tcPr>
            <w:tcW w:w="680" w:type="dxa"/>
            <w:tcBorders>
              <w:top w:val="single" w:sz="6" w:space="0" w:color="auto"/>
            </w:tcBorders>
            <w:shd w:val="clear" w:color="auto" w:fill="auto"/>
          </w:tcPr>
          <w:p w14:paraId="77E8C3E5"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p value</w:t>
            </w:r>
          </w:p>
        </w:tc>
        <w:tc>
          <w:tcPr>
            <w:tcW w:w="907" w:type="dxa"/>
            <w:tcBorders>
              <w:top w:val="single" w:sz="6" w:space="0" w:color="auto"/>
            </w:tcBorders>
            <w:shd w:val="clear" w:color="auto" w:fill="auto"/>
          </w:tcPr>
          <w:p w14:paraId="37B01CA1"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OR</w:t>
            </w:r>
          </w:p>
        </w:tc>
        <w:tc>
          <w:tcPr>
            <w:tcW w:w="680" w:type="dxa"/>
            <w:tcBorders>
              <w:top w:val="single" w:sz="6" w:space="0" w:color="auto"/>
            </w:tcBorders>
            <w:shd w:val="clear" w:color="auto" w:fill="auto"/>
          </w:tcPr>
          <w:p w14:paraId="7A4730D0"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p value</w:t>
            </w:r>
          </w:p>
        </w:tc>
        <w:tc>
          <w:tcPr>
            <w:tcW w:w="907" w:type="dxa"/>
            <w:tcBorders>
              <w:top w:val="single" w:sz="6" w:space="0" w:color="auto"/>
            </w:tcBorders>
            <w:shd w:val="clear" w:color="auto" w:fill="auto"/>
          </w:tcPr>
          <w:p w14:paraId="1828A416"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OR</w:t>
            </w:r>
          </w:p>
        </w:tc>
        <w:tc>
          <w:tcPr>
            <w:tcW w:w="680" w:type="dxa"/>
            <w:tcBorders>
              <w:top w:val="single" w:sz="6" w:space="0" w:color="auto"/>
            </w:tcBorders>
            <w:shd w:val="clear" w:color="auto" w:fill="auto"/>
          </w:tcPr>
          <w:p w14:paraId="6A2B91AB"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p value</w:t>
            </w:r>
          </w:p>
        </w:tc>
        <w:tc>
          <w:tcPr>
            <w:tcW w:w="907" w:type="dxa"/>
            <w:tcBorders>
              <w:top w:val="single" w:sz="6" w:space="0" w:color="auto"/>
            </w:tcBorders>
            <w:shd w:val="clear" w:color="auto" w:fill="auto"/>
          </w:tcPr>
          <w:p w14:paraId="2480375F"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OR</w:t>
            </w:r>
          </w:p>
        </w:tc>
        <w:tc>
          <w:tcPr>
            <w:tcW w:w="682" w:type="dxa"/>
            <w:tcBorders>
              <w:top w:val="single" w:sz="6" w:space="0" w:color="auto"/>
              <w:right w:val="single" w:sz="6" w:space="0" w:color="auto"/>
            </w:tcBorders>
            <w:shd w:val="clear" w:color="auto" w:fill="auto"/>
          </w:tcPr>
          <w:p w14:paraId="65D900B7" w14:textId="77777777" w:rsidR="004E6DC2" w:rsidRPr="009F725A" w:rsidRDefault="004E6DC2" w:rsidP="004E6DC2">
            <w:pPr>
              <w:jc w:val="center"/>
              <w:rPr>
                <w:rFonts w:asciiTheme="minorHAnsi" w:hAnsiTheme="minorHAnsi"/>
                <w:b/>
                <w:sz w:val="18"/>
                <w:szCs w:val="18"/>
                <w:lang w:val="en-US"/>
              </w:rPr>
            </w:pPr>
            <w:r w:rsidRPr="009F725A">
              <w:rPr>
                <w:rFonts w:asciiTheme="minorHAnsi" w:hAnsiTheme="minorHAnsi"/>
                <w:b/>
                <w:sz w:val="18"/>
                <w:szCs w:val="18"/>
                <w:lang w:val="en-US"/>
              </w:rPr>
              <w:t>p value</w:t>
            </w:r>
          </w:p>
        </w:tc>
      </w:tr>
      <w:tr w:rsidR="004E6DC2" w:rsidRPr="009F725A" w14:paraId="760515AF" w14:textId="77777777" w:rsidTr="00AE1C22">
        <w:tc>
          <w:tcPr>
            <w:tcW w:w="3382" w:type="dxa"/>
            <w:tcBorders>
              <w:top w:val="single" w:sz="6" w:space="0" w:color="000000"/>
              <w:left w:val="single" w:sz="6" w:space="0" w:color="auto"/>
              <w:bottom w:val="single" w:sz="2" w:space="0" w:color="auto"/>
              <w:right w:val="single" w:sz="6" w:space="0" w:color="auto"/>
            </w:tcBorders>
            <w:shd w:val="clear" w:color="auto" w:fill="auto"/>
          </w:tcPr>
          <w:p w14:paraId="2228CAD0" w14:textId="77777777"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Ethnicity</w:t>
            </w:r>
          </w:p>
          <w:p w14:paraId="11F95559" w14:textId="77777777"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(non-white)</w:t>
            </w:r>
          </w:p>
        </w:tc>
        <w:tc>
          <w:tcPr>
            <w:tcW w:w="906" w:type="dxa"/>
            <w:tcBorders>
              <w:top w:val="single" w:sz="6" w:space="0" w:color="000000"/>
              <w:left w:val="single" w:sz="6" w:space="0" w:color="auto"/>
              <w:bottom w:val="single" w:sz="2" w:space="0" w:color="auto"/>
            </w:tcBorders>
            <w:vAlign w:val="bottom"/>
          </w:tcPr>
          <w:p w14:paraId="79F2E113" w14:textId="77777777" w:rsidR="004E6DC2" w:rsidRDefault="004E6DC2" w:rsidP="004E6DC2">
            <w:pPr>
              <w:jc w:val="center"/>
              <w:rPr>
                <w:rFonts w:asciiTheme="minorHAnsi" w:hAnsiTheme="minorHAnsi"/>
                <w:sz w:val="18"/>
                <w:szCs w:val="18"/>
              </w:rPr>
            </w:pPr>
            <w:r w:rsidRPr="009F725A">
              <w:rPr>
                <w:rFonts w:asciiTheme="minorHAnsi" w:hAnsiTheme="minorHAnsi"/>
                <w:sz w:val="18"/>
                <w:szCs w:val="18"/>
              </w:rPr>
              <w:t>2.19</w:t>
            </w:r>
          </w:p>
          <w:p w14:paraId="0288D97E" w14:textId="3C953427" w:rsidR="004E6DC2" w:rsidRPr="009F725A" w:rsidRDefault="004E6DC2">
            <w:pPr>
              <w:jc w:val="center"/>
              <w:rPr>
                <w:rFonts w:asciiTheme="minorHAnsi" w:hAnsiTheme="minorHAnsi"/>
                <w:sz w:val="18"/>
                <w:szCs w:val="18"/>
                <w:lang w:val="en-US"/>
              </w:rPr>
            </w:pPr>
            <w:r w:rsidRPr="009F725A">
              <w:rPr>
                <w:rFonts w:asciiTheme="minorHAnsi" w:hAnsiTheme="minorHAnsi"/>
                <w:sz w:val="18"/>
                <w:szCs w:val="18"/>
              </w:rPr>
              <w:t>(1.13-4.2</w:t>
            </w:r>
            <w:r w:rsidR="00470081">
              <w:rPr>
                <w:rFonts w:asciiTheme="minorHAnsi" w:hAnsiTheme="minorHAnsi"/>
                <w:sz w:val="18"/>
                <w:szCs w:val="18"/>
              </w:rPr>
              <w:t>5</w:t>
            </w:r>
            <w:r w:rsidRPr="009F725A">
              <w:rPr>
                <w:rFonts w:asciiTheme="minorHAnsi" w:hAnsiTheme="minorHAnsi"/>
                <w:sz w:val="18"/>
                <w:szCs w:val="18"/>
              </w:rPr>
              <w:t>)</w:t>
            </w:r>
          </w:p>
        </w:tc>
        <w:tc>
          <w:tcPr>
            <w:tcW w:w="680" w:type="dxa"/>
            <w:tcBorders>
              <w:top w:val="single" w:sz="6" w:space="0" w:color="000000"/>
              <w:bottom w:val="single" w:sz="2" w:space="0" w:color="auto"/>
              <w:right w:val="single" w:sz="6" w:space="0" w:color="auto"/>
            </w:tcBorders>
            <w:vAlign w:val="center"/>
          </w:tcPr>
          <w:p w14:paraId="3CF05195" w14:textId="5ABC7291"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rPr>
              <w:t>0.02</w:t>
            </w:r>
          </w:p>
        </w:tc>
        <w:tc>
          <w:tcPr>
            <w:tcW w:w="907" w:type="dxa"/>
            <w:tcBorders>
              <w:top w:val="single" w:sz="6" w:space="0" w:color="000000"/>
              <w:left w:val="single" w:sz="6" w:space="0" w:color="auto"/>
              <w:bottom w:val="single" w:sz="2" w:space="0" w:color="auto"/>
            </w:tcBorders>
            <w:shd w:val="clear" w:color="auto" w:fill="auto"/>
            <w:vAlign w:val="bottom"/>
          </w:tcPr>
          <w:p w14:paraId="254BEB42" w14:textId="46128BEA"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2.</w:t>
            </w:r>
            <w:r w:rsidR="00470081">
              <w:rPr>
                <w:rFonts w:asciiTheme="minorHAnsi" w:hAnsiTheme="minorHAnsi"/>
                <w:sz w:val="18"/>
                <w:szCs w:val="18"/>
                <w:lang w:val="en-US"/>
              </w:rPr>
              <w:t>16</w:t>
            </w:r>
          </w:p>
          <w:p w14:paraId="6C8D1818" w14:textId="1B930F08" w:rsidR="004E6DC2" w:rsidRPr="009F725A" w:rsidRDefault="00470081" w:rsidP="00470081">
            <w:pPr>
              <w:jc w:val="center"/>
              <w:rPr>
                <w:rFonts w:asciiTheme="minorHAnsi" w:hAnsiTheme="minorHAnsi"/>
                <w:sz w:val="18"/>
                <w:szCs w:val="18"/>
                <w:lang w:val="en-US"/>
              </w:rPr>
            </w:pPr>
            <w:r>
              <w:rPr>
                <w:rFonts w:asciiTheme="minorHAnsi" w:hAnsiTheme="minorHAnsi"/>
                <w:sz w:val="18"/>
                <w:szCs w:val="18"/>
                <w:lang w:val="en-US"/>
              </w:rPr>
              <w:t>(1.20</w:t>
            </w:r>
            <w:r w:rsidR="004E6DC2" w:rsidRPr="009F725A">
              <w:rPr>
                <w:rFonts w:asciiTheme="minorHAnsi" w:hAnsiTheme="minorHAnsi"/>
                <w:sz w:val="18"/>
                <w:szCs w:val="18"/>
                <w:lang w:val="en-US"/>
              </w:rPr>
              <w:t>-</w:t>
            </w:r>
            <w:r>
              <w:rPr>
                <w:rFonts w:asciiTheme="minorHAnsi" w:hAnsiTheme="minorHAnsi"/>
                <w:sz w:val="18"/>
                <w:szCs w:val="18"/>
                <w:lang w:val="en-US"/>
              </w:rPr>
              <w:t>3.91</w:t>
            </w:r>
            <w:r w:rsidR="004E6DC2" w:rsidRPr="009F725A">
              <w:rPr>
                <w:rFonts w:asciiTheme="minorHAnsi" w:hAnsiTheme="minorHAnsi"/>
                <w:sz w:val="18"/>
                <w:szCs w:val="18"/>
                <w:lang w:val="en-US"/>
              </w:rPr>
              <w:t>)</w:t>
            </w:r>
          </w:p>
        </w:tc>
        <w:tc>
          <w:tcPr>
            <w:tcW w:w="680" w:type="dxa"/>
            <w:tcBorders>
              <w:top w:val="single" w:sz="6" w:space="0" w:color="000000"/>
              <w:bottom w:val="single" w:sz="2" w:space="0" w:color="auto"/>
            </w:tcBorders>
            <w:shd w:val="clear" w:color="auto" w:fill="auto"/>
            <w:vAlign w:val="center"/>
          </w:tcPr>
          <w:p w14:paraId="7BE237BE" w14:textId="60BD6418" w:rsidR="004E6DC2" w:rsidRPr="009F725A" w:rsidRDefault="004E6DC2" w:rsidP="00470081">
            <w:pPr>
              <w:jc w:val="center"/>
              <w:rPr>
                <w:rFonts w:asciiTheme="minorHAnsi" w:hAnsiTheme="minorHAnsi"/>
                <w:sz w:val="18"/>
                <w:szCs w:val="18"/>
                <w:lang w:val="en-US"/>
              </w:rPr>
            </w:pPr>
            <w:r w:rsidRPr="009F725A">
              <w:rPr>
                <w:rFonts w:asciiTheme="minorHAnsi" w:hAnsiTheme="minorHAnsi"/>
                <w:sz w:val="18"/>
                <w:szCs w:val="18"/>
                <w:lang w:val="en-US"/>
              </w:rPr>
              <w:t>0.0</w:t>
            </w:r>
            <w:r w:rsidR="00470081">
              <w:rPr>
                <w:rFonts w:asciiTheme="minorHAnsi" w:hAnsiTheme="minorHAnsi"/>
                <w:sz w:val="18"/>
                <w:szCs w:val="18"/>
                <w:lang w:val="en-US"/>
              </w:rPr>
              <w:t>1</w:t>
            </w:r>
          </w:p>
        </w:tc>
        <w:tc>
          <w:tcPr>
            <w:tcW w:w="907" w:type="dxa"/>
            <w:tcBorders>
              <w:top w:val="single" w:sz="6" w:space="0" w:color="000000"/>
              <w:bottom w:val="single" w:sz="2" w:space="0" w:color="auto"/>
            </w:tcBorders>
            <w:shd w:val="clear" w:color="auto" w:fill="auto"/>
          </w:tcPr>
          <w:p w14:paraId="30816AF0" w14:textId="7988BCA1"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AD5FF3">
              <w:rPr>
                <w:rFonts w:asciiTheme="minorHAnsi" w:hAnsiTheme="minorHAnsi"/>
                <w:sz w:val="18"/>
                <w:szCs w:val="18"/>
                <w:lang w:val="en-US"/>
              </w:rPr>
              <w:t>.67</w:t>
            </w:r>
          </w:p>
          <w:p w14:paraId="6FF036DA" w14:textId="53FC169B" w:rsidR="004E6DC2" w:rsidRPr="009F725A" w:rsidRDefault="00AD5FF3" w:rsidP="00AD5FF3">
            <w:pPr>
              <w:jc w:val="center"/>
              <w:rPr>
                <w:rFonts w:asciiTheme="minorHAnsi" w:hAnsiTheme="minorHAnsi"/>
                <w:sz w:val="18"/>
                <w:szCs w:val="18"/>
                <w:lang w:val="en-US"/>
              </w:rPr>
            </w:pPr>
            <w:r>
              <w:rPr>
                <w:rFonts w:asciiTheme="minorHAnsi" w:hAnsiTheme="minorHAnsi"/>
                <w:sz w:val="18"/>
                <w:szCs w:val="18"/>
                <w:lang w:val="en-US"/>
              </w:rPr>
              <w:t>(0.90</w:t>
            </w:r>
            <w:r w:rsidR="004E6DC2" w:rsidRPr="009F725A">
              <w:rPr>
                <w:rFonts w:asciiTheme="minorHAnsi" w:hAnsiTheme="minorHAnsi"/>
                <w:sz w:val="18"/>
                <w:szCs w:val="18"/>
                <w:lang w:val="en-US"/>
              </w:rPr>
              <w:t>-3.1</w:t>
            </w:r>
            <w:r>
              <w:rPr>
                <w:rFonts w:asciiTheme="minorHAnsi" w:hAnsiTheme="minorHAnsi"/>
                <w:sz w:val="18"/>
                <w:szCs w:val="18"/>
                <w:lang w:val="en-US"/>
              </w:rPr>
              <w:t>0</w:t>
            </w:r>
            <w:r w:rsidR="004E6DC2" w:rsidRPr="009F725A">
              <w:rPr>
                <w:rFonts w:asciiTheme="minorHAnsi" w:hAnsiTheme="minorHAnsi"/>
                <w:sz w:val="18"/>
                <w:szCs w:val="18"/>
                <w:lang w:val="en-US"/>
              </w:rPr>
              <w:t>)</w:t>
            </w:r>
          </w:p>
        </w:tc>
        <w:tc>
          <w:tcPr>
            <w:tcW w:w="680" w:type="dxa"/>
            <w:tcBorders>
              <w:top w:val="single" w:sz="6" w:space="0" w:color="000000"/>
              <w:bottom w:val="single" w:sz="2" w:space="0" w:color="auto"/>
            </w:tcBorders>
            <w:shd w:val="clear" w:color="auto" w:fill="auto"/>
            <w:vAlign w:val="center"/>
          </w:tcPr>
          <w:p w14:paraId="6D7535D7" w14:textId="4AB85D4F"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0.1</w:t>
            </w:r>
            <w:r w:rsidR="00AD5FF3">
              <w:rPr>
                <w:rFonts w:asciiTheme="minorHAnsi" w:hAnsiTheme="minorHAnsi"/>
                <w:sz w:val="18"/>
                <w:szCs w:val="18"/>
                <w:lang w:val="en-US"/>
              </w:rPr>
              <w:t>1</w:t>
            </w:r>
          </w:p>
        </w:tc>
        <w:tc>
          <w:tcPr>
            <w:tcW w:w="907" w:type="dxa"/>
            <w:tcBorders>
              <w:top w:val="single" w:sz="6" w:space="0" w:color="000000"/>
              <w:bottom w:val="single" w:sz="2" w:space="0" w:color="auto"/>
            </w:tcBorders>
            <w:shd w:val="clear" w:color="auto" w:fill="auto"/>
          </w:tcPr>
          <w:p w14:paraId="449F61A1" w14:textId="065CBCC2"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AD5FF3">
              <w:rPr>
                <w:rFonts w:asciiTheme="minorHAnsi" w:hAnsiTheme="minorHAnsi"/>
                <w:sz w:val="18"/>
                <w:szCs w:val="18"/>
                <w:lang w:val="en-US"/>
              </w:rPr>
              <w:t>67</w:t>
            </w:r>
          </w:p>
          <w:p w14:paraId="31714650" w14:textId="06916475"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79</w:t>
            </w:r>
            <w:r w:rsidRPr="009F725A">
              <w:rPr>
                <w:rFonts w:asciiTheme="minorHAnsi" w:hAnsiTheme="minorHAnsi"/>
                <w:sz w:val="18"/>
                <w:szCs w:val="18"/>
                <w:lang w:val="en-US"/>
              </w:rPr>
              <w:t>-3.</w:t>
            </w:r>
            <w:r w:rsidR="00AD5FF3">
              <w:rPr>
                <w:rFonts w:asciiTheme="minorHAnsi" w:hAnsiTheme="minorHAnsi"/>
                <w:sz w:val="18"/>
                <w:szCs w:val="18"/>
                <w:lang w:val="en-US"/>
              </w:rPr>
              <w:t>5</w:t>
            </w:r>
            <w:r w:rsidRPr="009F725A">
              <w:rPr>
                <w:rFonts w:asciiTheme="minorHAnsi" w:hAnsiTheme="minorHAnsi"/>
                <w:sz w:val="18"/>
                <w:szCs w:val="18"/>
                <w:lang w:val="en-US"/>
              </w:rPr>
              <w:t>0)</w:t>
            </w:r>
          </w:p>
        </w:tc>
        <w:tc>
          <w:tcPr>
            <w:tcW w:w="680" w:type="dxa"/>
            <w:tcBorders>
              <w:top w:val="single" w:sz="6" w:space="0" w:color="000000"/>
              <w:bottom w:val="single" w:sz="2" w:space="0" w:color="auto"/>
            </w:tcBorders>
            <w:shd w:val="clear" w:color="auto" w:fill="auto"/>
            <w:vAlign w:val="center"/>
          </w:tcPr>
          <w:p w14:paraId="61A34952" w14:textId="0F63C568"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0.1</w:t>
            </w:r>
            <w:r w:rsidR="00AD5FF3">
              <w:rPr>
                <w:rFonts w:asciiTheme="minorHAnsi" w:hAnsiTheme="minorHAnsi"/>
                <w:sz w:val="18"/>
                <w:szCs w:val="18"/>
                <w:lang w:val="en-US"/>
              </w:rPr>
              <w:t>8</w:t>
            </w:r>
          </w:p>
        </w:tc>
        <w:tc>
          <w:tcPr>
            <w:tcW w:w="907" w:type="dxa"/>
            <w:tcBorders>
              <w:top w:val="single" w:sz="6" w:space="0" w:color="000000"/>
              <w:bottom w:val="single" w:sz="2" w:space="0" w:color="auto"/>
            </w:tcBorders>
            <w:shd w:val="clear" w:color="auto" w:fill="auto"/>
          </w:tcPr>
          <w:p w14:paraId="5040BBF5" w14:textId="3702DFAD"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AD5FF3">
              <w:rPr>
                <w:rFonts w:asciiTheme="minorHAnsi" w:hAnsiTheme="minorHAnsi"/>
                <w:sz w:val="18"/>
                <w:szCs w:val="18"/>
                <w:lang w:val="en-US"/>
              </w:rPr>
              <w:t>68</w:t>
            </w:r>
          </w:p>
          <w:p w14:paraId="5E7798CB" w14:textId="680BFB90"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w:t>
            </w:r>
            <w:r w:rsidR="00AD5FF3">
              <w:rPr>
                <w:rFonts w:asciiTheme="minorHAnsi" w:hAnsiTheme="minorHAnsi"/>
                <w:sz w:val="18"/>
                <w:szCs w:val="18"/>
                <w:lang w:val="en-US"/>
              </w:rPr>
              <w:t>0.93</w:t>
            </w:r>
            <w:r w:rsidRPr="009F725A">
              <w:rPr>
                <w:rFonts w:asciiTheme="minorHAnsi" w:hAnsiTheme="minorHAnsi"/>
                <w:sz w:val="18"/>
                <w:szCs w:val="18"/>
                <w:lang w:val="en-US"/>
              </w:rPr>
              <w:t>-3.</w:t>
            </w:r>
            <w:r w:rsidR="00AD5FF3">
              <w:rPr>
                <w:rFonts w:asciiTheme="minorHAnsi" w:hAnsiTheme="minorHAnsi"/>
                <w:sz w:val="18"/>
                <w:szCs w:val="18"/>
                <w:lang w:val="en-US"/>
              </w:rPr>
              <w:t>02</w:t>
            </w:r>
            <w:r w:rsidRPr="009F725A">
              <w:rPr>
                <w:rFonts w:asciiTheme="minorHAnsi" w:hAnsiTheme="minorHAnsi"/>
                <w:sz w:val="18"/>
                <w:szCs w:val="18"/>
                <w:lang w:val="en-US"/>
              </w:rPr>
              <w:t>)</w:t>
            </w:r>
          </w:p>
        </w:tc>
        <w:tc>
          <w:tcPr>
            <w:tcW w:w="680" w:type="dxa"/>
            <w:tcBorders>
              <w:top w:val="single" w:sz="6" w:space="0" w:color="000000"/>
              <w:bottom w:val="single" w:sz="2" w:space="0" w:color="auto"/>
            </w:tcBorders>
            <w:shd w:val="clear" w:color="auto" w:fill="auto"/>
            <w:vAlign w:val="center"/>
          </w:tcPr>
          <w:p w14:paraId="2D2D8814" w14:textId="1A75F910"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08</w:t>
            </w:r>
          </w:p>
        </w:tc>
        <w:tc>
          <w:tcPr>
            <w:tcW w:w="907" w:type="dxa"/>
            <w:tcBorders>
              <w:top w:val="single" w:sz="6" w:space="0" w:color="000000"/>
              <w:bottom w:val="single" w:sz="2" w:space="0" w:color="auto"/>
            </w:tcBorders>
            <w:shd w:val="clear" w:color="auto" w:fill="auto"/>
          </w:tcPr>
          <w:p w14:paraId="46CA230F" w14:textId="206BFF4E"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2</w:t>
            </w:r>
            <w:r w:rsidR="0020148A">
              <w:rPr>
                <w:rFonts w:asciiTheme="minorHAnsi" w:hAnsiTheme="minorHAnsi"/>
                <w:sz w:val="18"/>
                <w:szCs w:val="18"/>
                <w:lang w:val="en-US"/>
              </w:rPr>
              <w:t>.0</w:t>
            </w:r>
            <w:r w:rsidRPr="009F725A">
              <w:rPr>
                <w:rFonts w:asciiTheme="minorHAnsi" w:hAnsiTheme="minorHAnsi"/>
                <w:sz w:val="18"/>
                <w:szCs w:val="18"/>
                <w:lang w:val="en-US"/>
              </w:rPr>
              <w:t>6</w:t>
            </w:r>
          </w:p>
          <w:p w14:paraId="53AFCE57" w14:textId="03A49F36" w:rsidR="004E6DC2" w:rsidRPr="009F725A" w:rsidRDefault="0020148A" w:rsidP="0020148A">
            <w:pPr>
              <w:jc w:val="center"/>
              <w:rPr>
                <w:rFonts w:asciiTheme="minorHAnsi" w:hAnsiTheme="minorHAnsi"/>
                <w:sz w:val="18"/>
                <w:szCs w:val="18"/>
                <w:lang w:val="en-US"/>
              </w:rPr>
            </w:pPr>
            <w:r>
              <w:rPr>
                <w:rFonts w:asciiTheme="minorHAnsi" w:hAnsiTheme="minorHAnsi"/>
                <w:sz w:val="18"/>
                <w:szCs w:val="18"/>
                <w:lang w:val="en-US"/>
              </w:rPr>
              <w:t>(1.14</w:t>
            </w:r>
            <w:r w:rsidR="004E6DC2" w:rsidRPr="009F725A">
              <w:rPr>
                <w:rFonts w:asciiTheme="minorHAnsi" w:hAnsiTheme="minorHAnsi"/>
                <w:sz w:val="18"/>
                <w:szCs w:val="18"/>
                <w:lang w:val="en-US"/>
              </w:rPr>
              <w:t>-3.</w:t>
            </w:r>
            <w:r>
              <w:rPr>
                <w:rFonts w:asciiTheme="minorHAnsi" w:hAnsiTheme="minorHAnsi"/>
                <w:sz w:val="18"/>
                <w:szCs w:val="18"/>
                <w:lang w:val="en-US"/>
              </w:rPr>
              <w:t>73</w:t>
            </w:r>
            <w:r w:rsidR="004E6DC2" w:rsidRPr="009F725A">
              <w:rPr>
                <w:rFonts w:asciiTheme="minorHAnsi" w:hAnsiTheme="minorHAnsi"/>
                <w:sz w:val="18"/>
                <w:szCs w:val="18"/>
                <w:lang w:val="en-US"/>
              </w:rPr>
              <w:t>)</w:t>
            </w:r>
          </w:p>
        </w:tc>
        <w:tc>
          <w:tcPr>
            <w:tcW w:w="680" w:type="dxa"/>
            <w:tcBorders>
              <w:top w:val="single" w:sz="6" w:space="0" w:color="000000"/>
              <w:bottom w:val="single" w:sz="2" w:space="0" w:color="auto"/>
            </w:tcBorders>
            <w:shd w:val="clear" w:color="auto" w:fill="auto"/>
            <w:vAlign w:val="center"/>
          </w:tcPr>
          <w:p w14:paraId="1A8BBBEB" w14:textId="0FCCC02A"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0.0</w:t>
            </w:r>
            <w:r w:rsidR="0020148A">
              <w:rPr>
                <w:rFonts w:asciiTheme="minorHAnsi" w:hAnsiTheme="minorHAnsi"/>
                <w:sz w:val="18"/>
                <w:szCs w:val="18"/>
                <w:lang w:val="en-US"/>
              </w:rPr>
              <w:t>2</w:t>
            </w:r>
          </w:p>
        </w:tc>
        <w:tc>
          <w:tcPr>
            <w:tcW w:w="907" w:type="dxa"/>
            <w:tcBorders>
              <w:top w:val="single" w:sz="6" w:space="0" w:color="000000"/>
              <w:bottom w:val="single" w:sz="2" w:space="0" w:color="auto"/>
            </w:tcBorders>
            <w:shd w:val="clear" w:color="auto" w:fill="auto"/>
          </w:tcPr>
          <w:p w14:paraId="7DB4F7D1" w14:textId="25B727F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20148A">
              <w:rPr>
                <w:rFonts w:asciiTheme="minorHAnsi" w:hAnsiTheme="minorHAnsi"/>
                <w:sz w:val="18"/>
                <w:szCs w:val="18"/>
                <w:lang w:val="en-US"/>
              </w:rPr>
              <w:t>68</w:t>
            </w:r>
          </w:p>
          <w:p w14:paraId="2293F7C7" w14:textId="7E5B30A3" w:rsidR="004E6DC2" w:rsidRPr="009F725A" w:rsidRDefault="0020148A" w:rsidP="0020148A">
            <w:pPr>
              <w:jc w:val="center"/>
              <w:rPr>
                <w:rFonts w:asciiTheme="minorHAnsi" w:hAnsiTheme="minorHAnsi"/>
                <w:sz w:val="18"/>
                <w:szCs w:val="18"/>
                <w:lang w:val="en-US"/>
              </w:rPr>
            </w:pPr>
            <w:r>
              <w:rPr>
                <w:rFonts w:asciiTheme="minorHAnsi" w:hAnsiTheme="minorHAnsi"/>
                <w:sz w:val="18"/>
                <w:szCs w:val="18"/>
                <w:lang w:val="en-US"/>
              </w:rPr>
              <w:t>(0.90</w:t>
            </w:r>
            <w:r w:rsidR="004E6DC2" w:rsidRPr="009F725A">
              <w:rPr>
                <w:rFonts w:asciiTheme="minorHAnsi" w:hAnsiTheme="minorHAnsi"/>
                <w:sz w:val="18"/>
                <w:szCs w:val="18"/>
                <w:lang w:val="en-US"/>
              </w:rPr>
              <w:t>-3.</w:t>
            </w:r>
            <w:r>
              <w:rPr>
                <w:rFonts w:asciiTheme="minorHAnsi" w:hAnsiTheme="minorHAnsi"/>
                <w:sz w:val="18"/>
                <w:szCs w:val="18"/>
                <w:lang w:val="en-US"/>
              </w:rPr>
              <w:t>14</w:t>
            </w:r>
            <w:r w:rsidR="004E6DC2" w:rsidRPr="009F725A">
              <w:rPr>
                <w:rFonts w:asciiTheme="minorHAnsi" w:hAnsiTheme="minorHAnsi"/>
                <w:sz w:val="18"/>
                <w:szCs w:val="18"/>
                <w:lang w:val="en-US"/>
              </w:rPr>
              <w:t>)</w:t>
            </w:r>
          </w:p>
        </w:tc>
        <w:tc>
          <w:tcPr>
            <w:tcW w:w="682" w:type="dxa"/>
            <w:tcBorders>
              <w:top w:val="single" w:sz="6" w:space="0" w:color="000000"/>
              <w:bottom w:val="single" w:sz="2" w:space="0" w:color="auto"/>
              <w:right w:val="single" w:sz="6" w:space="0" w:color="auto"/>
            </w:tcBorders>
            <w:shd w:val="clear" w:color="auto" w:fill="auto"/>
            <w:vAlign w:val="center"/>
          </w:tcPr>
          <w:p w14:paraId="219541AC" w14:textId="1068F5B0"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w:t>
            </w:r>
            <w:r w:rsidR="0020148A">
              <w:rPr>
                <w:rFonts w:asciiTheme="minorHAnsi" w:hAnsiTheme="minorHAnsi"/>
                <w:sz w:val="18"/>
                <w:szCs w:val="18"/>
                <w:lang w:val="en-US"/>
              </w:rPr>
              <w:t>10</w:t>
            </w:r>
          </w:p>
        </w:tc>
      </w:tr>
      <w:tr w:rsidR="004E6DC2" w:rsidRPr="009F725A" w14:paraId="69EF3C51" w14:textId="77777777" w:rsidTr="00AE1C22">
        <w:tc>
          <w:tcPr>
            <w:tcW w:w="3382" w:type="dxa"/>
            <w:tcBorders>
              <w:top w:val="single" w:sz="2" w:space="0" w:color="auto"/>
              <w:left w:val="single" w:sz="6" w:space="0" w:color="auto"/>
              <w:bottom w:val="single" w:sz="2" w:space="0" w:color="auto"/>
              <w:right w:val="single" w:sz="6" w:space="0" w:color="auto"/>
            </w:tcBorders>
            <w:shd w:val="clear" w:color="auto" w:fill="auto"/>
          </w:tcPr>
          <w:p w14:paraId="3C1DCF3D" w14:textId="4A4AC99E" w:rsidR="004E6DC2" w:rsidRPr="009F725A" w:rsidRDefault="003B1649" w:rsidP="004E6DC2">
            <w:pPr>
              <w:rPr>
                <w:rFonts w:asciiTheme="minorHAnsi" w:hAnsiTheme="minorHAnsi"/>
                <w:sz w:val="18"/>
                <w:szCs w:val="18"/>
                <w:lang w:val="en-US"/>
              </w:rPr>
            </w:pPr>
            <w:r>
              <w:rPr>
                <w:rFonts w:asciiTheme="minorHAnsi" w:hAnsiTheme="minorHAnsi"/>
                <w:sz w:val="18"/>
                <w:szCs w:val="18"/>
                <w:lang w:val="en-US"/>
              </w:rPr>
              <w:t>Visible eczema at enrollment</w:t>
            </w:r>
          </w:p>
          <w:p w14:paraId="5EA429F4" w14:textId="5D8DFFEA" w:rsidR="004E6DC2" w:rsidRPr="009F725A" w:rsidRDefault="004E6DC2" w:rsidP="00470081">
            <w:pPr>
              <w:rPr>
                <w:rFonts w:asciiTheme="minorHAnsi" w:hAnsiTheme="minorHAnsi"/>
                <w:sz w:val="18"/>
                <w:szCs w:val="18"/>
                <w:lang w:val="en-US"/>
              </w:rPr>
            </w:pPr>
            <w:r w:rsidRPr="009F725A">
              <w:rPr>
                <w:rFonts w:asciiTheme="minorHAnsi" w:hAnsiTheme="minorHAnsi"/>
                <w:sz w:val="18"/>
                <w:szCs w:val="18"/>
                <w:lang w:val="en-US"/>
              </w:rPr>
              <w:t>(</w:t>
            </w:r>
            <w:r w:rsidR="001A6484">
              <w:rPr>
                <w:rFonts w:asciiTheme="minorHAnsi" w:hAnsiTheme="minorHAnsi"/>
                <w:sz w:val="18"/>
                <w:szCs w:val="18"/>
                <w:lang w:val="en-US"/>
              </w:rPr>
              <w:t xml:space="preserve">continuous </w:t>
            </w:r>
            <w:r w:rsidR="00470081">
              <w:rPr>
                <w:rFonts w:asciiTheme="minorHAnsi" w:hAnsiTheme="minorHAnsi"/>
                <w:sz w:val="18"/>
                <w:szCs w:val="18"/>
                <w:lang w:val="en-US"/>
              </w:rPr>
              <w:t>SCORAD</w:t>
            </w:r>
            <w:r w:rsidRPr="009F725A">
              <w:rPr>
                <w:rFonts w:asciiTheme="minorHAnsi" w:hAnsiTheme="minorHAnsi"/>
                <w:sz w:val="18"/>
                <w:szCs w:val="18"/>
                <w:lang w:val="en-US"/>
              </w:rPr>
              <w:t>)</w:t>
            </w:r>
          </w:p>
        </w:tc>
        <w:tc>
          <w:tcPr>
            <w:tcW w:w="906" w:type="dxa"/>
            <w:tcBorders>
              <w:top w:val="single" w:sz="2" w:space="0" w:color="auto"/>
              <w:left w:val="single" w:sz="6" w:space="0" w:color="auto"/>
              <w:bottom w:val="single" w:sz="2" w:space="0" w:color="auto"/>
            </w:tcBorders>
            <w:vAlign w:val="bottom"/>
          </w:tcPr>
          <w:p w14:paraId="37A4C952" w14:textId="1CFE4EBB" w:rsidR="004E6DC2" w:rsidRDefault="004E6DC2" w:rsidP="004E6DC2">
            <w:pPr>
              <w:jc w:val="center"/>
              <w:rPr>
                <w:rFonts w:asciiTheme="minorHAnsi" w:hAnsiTheme="minorHAnsi"/>
                <w:sz w:val="18"/>
                <w:szCs w:val="18"/>
              </w:rPr>
            </w:pPr>
            <w:r w:rsidRPr="009F725A">
              <w:rPr>
                <w:rFonts w:asciiTheme="minorHAnsi" w:hAnsiTheme="minorHAnsi"/>
                <w:sz w:val="18"/>
                <w:szCs w:val="18"/>
              </w:rPr>
              <w:t>1.</w:t>
            </w:r>
            <w:r w:rsidR="00470081">
              <w:rPr>
                <w:rFonts w:asciiTheme="minorHAnsi" w:hAnsiTheme="minorHAnsi"/>
                <w:sz w:val="18"/>
                <w:szCs w:val="18"/>
              </w:rPr>
              <w:t>02</w:t>
            </w:r>
          </w:p>
          <w:p w14:paraId="14ADAFE6" w14:textId="7D6F90A2" w:rsidR="004E6DC2" w:rsidRPr="009F725A" w:rsidRDefault="004E6DC2">
            <w:pPr>
              <w:jc w:val="center"/>
              <w:rPr>
                <w:rFonts w:asciiTheme="minorHAnsi" w:hAnsiTheme="minorHAnsi"/>
                <w:sz w:val="18"/>
                <w:szCs w:val="18"/>
                <w:lang w:val="en-US"/>
              </w:rPr>
            </w:pPr>
            <w:r w:rsidRPr="009F725A">
              <w:rPr>
                <w:rFonts w:asciiTheme="minorHAnsi" w:hAnsiTheme="minorHAnsi"/>
                <w:sz w:val="18"/>
                <w:szCs w:val="18"/>
              </w:rPr>
              <w:t>(0.</w:t>
            </w:r>
            <w:r w:rsidR="00470081">
              <w:rPr>
                <w:rFonts w:asciiTheme="minorHAnsi" w:hAnsiTheme="minorHAnsi"/>
                <w:sz w:val="18"/>
                <w:szCs w:val="18"/>
              </w:rPr>
              <w:t>99</w:t>
            </w:r>
            <w:r w:rsidRPr="009F725A">
              <w:rPr>
                <w:rFonts w:asciiTheme="minorHAnsi" w:hAnsiTheme="minorHAnsi"/>
                <w:sz w:val="18"/>
                <w:szCs w:val="18"/>
              </w:rPr>
              <w:t>-</w:t>
            </w:r>
            <w:r w:rsidR="00470081">
              <w:rPr>
                <w:rFonts w:asciiTheme="minorHAnsi" w:hAnsiTheme="minorHAnsi"/>
                <w:sz w:val="18"/>
                <w:szCs w:val="18"/>
              </w:rPr>
              <w:t>1.06</w:t>
            </w:r>
            <w:r w:rsidRPr="009F725A">
              <w:rPr>
                <w:rFonts w:asciiTheme="minorHAnsi" w:hAnsiTheme="minorHAnsi"/>
                <w:sz w:val="18"/>
                <w:szCs w:val="18"/>
              </w:rPr>
              <w:t>)</w:t>
            </w:r>
          </w:p>
        </w:tc>
        <w:tc>
          <w:tcPr>
            <w:tcW w:w="680" w:type="dxa"/>
            <w:tcBorders>
              <w:top w:val="single" w:sz="2" w:space="0" w:color="auto"/>
              <w:bottom w:val="single" w:sz="2" w:space="0" w:color="auto"/>
              <w:right w:val="single" w:sz="6" w:space="0" w:color="auto"/>
            </w:tcBorders>
            <w:vAlign w:val="center"/>
          </w:tcPr>
          <w:p w14:paraId="614C82F9" w14:textId="722F740B" w:rsidR="004E6DC2" w:rsidRPr="009F725A" w:rsidRDefault="004E6DC2">
            <w:pPr>
              <w:jc w:val="center"/>
              <w:rPr>
                <w:rFonts w:asciiTheme="minorHAnsi" w:hAnsiTheme="minorHAnsi"/>
                <w:sz w:val="18"/>
                <w:szCs w:val="18"/>
                <w:lang w:val="en-US"/>
              </w:rPr>
            </w:pPr>
            <w:r w:rsidRPr="009F725A">
              <w:rPr>
                <w:rFonts w:asciiTheme="minorHAnsi" w:hAnsiTheme="minorHAnsi"/>
                <w:sz w:val="18"/>
                <w:szCs w:val="18"/>
              </w:rPr>
              <w:t>0.</w:t>
            </w:r>
            <w:r w:rsidR="00470081">
              <w:rPr>
                <w:rFonts w:asciiTheme="minorHAnsi" w:hAnsiTheme="minorHAnsi"/>
                <w:sz w:val="18"/>
                <w:szCs w:val="18"/>
              </w:rPr>
              <w:t>16</w:t>
            </w:r>
          </w:p>
        </w:tc>
        <w:tc>
          <w:tcPr>
            <w:tcW w:w="907" w:type="dxa"/>
            <w:tcBorders>
              <w:top w:val="single" w:sz="2" w:space="0" w:color="auto"/>
              <w:left w:val="single" w:sz="6" w:space="0" w:color="auto"/>
              <w:bottom w:val="single" w:sz="2" w:space="0" w:color="auto"/>
            </w:tcBorders>
            <w:shd w:val="clear" w:color="auto" w:fill="auto"/>
            <w:vAlign w:val="bottom"/>
          </w:tcPr>
          <w:p w14:paraId="5AEA6AD4" w14:textId="4B9AADA4" w:rsidR="004E6DC2" w:rsidRPr="009F725A" w:rsidRDefault="00470081" w:rsidP="004E6DC2">
            <w:pPr>
              <w:jc w:val="center"/>
              <w:rPr>
                <w:rFonts w:asciiTheme="minorHAnsi" w:hAnsiTheme="minorHAnsi"/>
                <w:sz w:val="18"/>
                <w:szCs w:val="18"/>
                <w:lang w:val="en-US"/>
              </w:rPr>
            </w:pPr>
            <w:r>
              <w:rPr>
                <w:rFonts w:asciiTheme="minorHAnsi" w:hAnsiTheme="minorHAnsi"/>
                <w:sz w:val="18"/>
                <w:szCs w:val="18"/>
                <w:lang w:val="en-US"/>
              </w:rPr>
              <w:t>1.02</w:t>
            </w:r>
          </w:p>
          <w:p w14:paraId="6E112426" w14:textId="7C9DADBC" w:rsidR="004E6DC2" w:rsidRPr="009F725A" w:rsidRDefault="004E6DC2" w:rsidP="00470081">
            <w:pPr>
              <w:jc w:val="center"/>
              <w:rPr>
                <w:rFonts w:asciiTheme="minorHAnsi" w:hAnsiTheme="minorHAnsi"/>
                <w:sz w:val="18"/>
                <w:szCs w:val="18"/>
                <w:lang w:val="en-US"/>
              </w:rPr>
            </w:pPr>
            <w:r w:rsidRPr="009F725A">
              <w:rPr>
                <w:rFonts w:asciiTheme="minorHAnsi" w:hAnsiTheme="minorHAnsi"/>
                <w:sz w:val="18"/>
                <w:szCs w:val="18"/>
                <w:lang w:val="en-US"/>
              </w:rPr>
              <w:t>(0.</w:t>
            </w:r>
            <w:r w:rsidR="00470081">
              <w:rPr>
                <w:rFonts w:asciiTheme="minorHAnsi" w:hAnsiTheme="minorHAnsi"/>
                <w:sz w:val="18"/>
                <w:szCs w:val="18"/>
                <w:lang w:val="en-US"/>
              </w:rPr>
              <w:t>99</w:t>
            </w:r>
            <w:r w:rsidRPr="009F725A">
              <w:rPr>
                <w:rFonts w:asciiTheme="minorHAnsi" w:hAnsiTheme="minorHAnsi"/>
                <w:sz w:val="18"/>
                <w:szCs w:val="18"/>
                <w:lang w:val="en-US"/>
              </w:rPr>
              <w:t>-1.</w:t>
            </w:r>
            <w:r w:rsidR="00470081">
              <w:rPr>
                <w:rFonts w:asciiTheme="minorHAnsi" w:hAnsiTheme="minorHAnsi"/>
                <w:sz w:val="18"/>
                <w:szCs w:val="18"/>
                <w:lang w:val="en-US"/>
              </w:rPr>
              <w:t>05</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22A4BD8B" w14:textId="42B49906" w:rsidR="004E6DC2" w:rsidRPr="009F725A" w:rsidRDefault="004E6DC2" w:rsidP="00470081">
            <w:pPr>
              <w:jc w:val="center"/>
              <w:rPr>
                <w:rFonts w:asciiTheme="minorHAnsi" w:hAnsiTheme="minorHAnsi"/>
                <w:sz w:val="18"/>
                <w:szCs w:val="18"/>
                <w:lang w:val="en-US"/>
              </w:rPr>
            </w:pPr>
            <w:r w:rsidRPr="009F725A">
              <w:rPr>
                <w:rFonts w:asciiTheme="minorHAnsi" w:hAnsiTheme="minorHAnsi"/>
                <w:sz w:val="18"/>
                <w:szCs w:val="18"/>
                <w:lang w:val="en-US"/>
              </w:rPr>
              <w:t>0.</w:t>
            </w:r>
            <w:r w:rsidR="00470081">
              <w:rPr>
                <w:rFonts w:asciiTheme="minorHAnsi" w:hAnsiTheme="minorHAnsi"/>
                <w:sz w:val="18"/>
                <w:szCs w:val="18"/>
                <w:lang w:val="en-US"/>
              </w:rPr>
              <w:t>21</w:t>
            </w:r>
          </w:p>
        </w:tc>
        <w:tc>
          <w:tcPr>
            <w:tcW w:w="907" w:type="dxa"/>
            <w:tcBorders>
              <w:top w:val="single" w:sz="2" w:space="0" w:color="auto"/>
              <w:bottom w:val="single" w:sz="2" w:space="0" w:color="auto"/>
            </w:tcBorders>
            <w:shd w:val="clear" w:color="auto" w:fill="auto"/>
          </w:tcPr>
          <w:p w14:paraId="25083B2A" w14:textId="05B592D9"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AD5FF3">
              <w:rPr>
                <w:rFonts w:asciiTheme="minorHAnsi" w:hAnsiTheme="minorHAnsi"/>
                <w:sz w:val="18"/>
                <w:szCs w:val="18"/>
                <w:lang w:val="en-US"/>
              </w:rPr>
              <w:t>02</w:t>
            </w:r>
          </w:p>
          <w:p w14:paraId="47D2808A" w14:textId="7393EB33"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99</w:t>
            </w:r>
            <w:r w:rsidRPr="009F725A">
              <w:rPr>
                <w:rFonts w:asciiTheme="minorHAnsi" w:hAnsiTheme="minorHAnsi"/>
                <w:sz w:val="18"/>
                <w:szCs w:val="18"/>
                <w:lang w:val="en-US"/>
              </w:rPr>
              <w:t>-</w:t>
            </w:r>
            <w:r w:rsidR="00AD5FF3">
              <w:rPr>
                <w:rFonts w:asciiTheme="minorHAnsi" w:hAnsiTheme="minorHAnsi"/>
                <w:sz w:val="18"/>
                <w:szCs w:val="18"/>
                <w:lang w:val="en-US"/>
              </w:rPr>
              <w:t>1.05</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719A1681" w14:textId="01DA5BB0"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27</w:t>
            </w:r>
          </w:p>
        </w:tc>
        <w:tc>
          <w:tcPr>
            <w:tcW w:w="907" w:type="dxa"/>
            <w:tcBorders>
              <w:top w:val="single" w:sz="2" w:space="0" w:color="auto"/>
              <w:bottom w:val="single" w:sz="2" w:space="0" w:color="auto"/>
            </w:tcBorders>
            <w:shd w:val="clear" w:color="auto" w:fill="auto"/>
          </w:tcPr>
          <w:p w14:paraId="3F5E540A" w14:textId="7747ECCB"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AD5FF3">
              <w:rPr>
                <w:rFonts w:asciiTheme="minorHAnsi" w:hAnsiTheme="minorHAnsi"/>
                <w:sz w:val="18"/>
                <w:szCs w:val="18"/>
                <w:lang w:val="en-US"/>
              </w:rPr>
              <w:t>01</w:t>
            </w:r>
          </w:p>
          <w:p w14:paraId="20CAE32B" w14:textId="16A5D66B"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98</w:t>
            </w:r>
            <w:r w:rsidRPr="009F725A">
              <w:rPr>
                <w:rFonts w:asciiTheme="minorHAnsi" w:hAnsiTheme="minorHAnsi"/>
                <w:sz w:val="18"/>
                <w:szCs w:val="18"/>
                <w:lang w:val="en-US"/>
              </w:rPr>
              <w:t>-</w:t>
            </w:r>
            <w:r w:rsidR="00AD5FF3">
              <w:rPr>
                <w:rFonts w:asciiTheme="minorHAnsi" w:hAnsiTheme="minorHAnsi"/>
                <w:sz w:val="18"/>
                <w:szCs w:val="18"/>
                <w:lang w:val="en-US"/>
              </w:rPr>
              <w:t>1.05</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2279B2CD" w14:textId="13F2CE58"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41</w:t>
            </w:r>
          </w:p>
        </w:tc>
        <w:tc>
          <w:tcPr>
            <w:tcW w:w="907" w:type="dxa"/>
            <w:tcBorders>
              <w:top w:val="single" w:sz="2" w:space="0" w:color="auto"/>
              <w:bottom w:val="single" w:sz="2" w:space="0" w:color="auto"/>
            </w:tcBorders>
            <w:shd w:val="clear" w:color="auto" w:fill="auto"/>
          </w:tcPr>
          <w:p w14:paraId="31CD3592" w14:textId="53E1FD00"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AD5FF3">
              <w:rPr>
                <w:rFonts w:asciiTheme="minorHAnsi" w:hAnsiTheme="minorHAnsi"/>
                <w:sz w:val="18"/>
                <w:szCs w:val="18"/>
                <w:lang w:val="en-US"/>
              </w:rPr>
              <w:t>.04</w:t>
            </w:r>
          </w:p>
          <w:p w14:paraId="288CE660" w14:textId="6228F135" w:rsidR="004E6DC2" w:rsidRPr="009F725A" w:rsidRDefault="00AD5FF3" w:rsidP="00AD5FF3">
            <w:pPr>
              <w:jc w:val="center"/>
              <w:rPr>
                <w:rFonts w:asciiTheme="minorHAnsi" w:hAnsiTheme="minorHAnsi"/>
                <w:sz w:val="18"/>
                <w:szCs w:val="18"/>
                <w:lang w:val="en-US"/>
              </w:rPr>
            </w:pPr>
            <w:r>
              <w:rPr>
                <w:rFonts w:asciiTheme="minorHAnsi" w:hAnsiTheme="minorHAnsi"/>
                <w:sz w:val="18"/>
                <w:szCs w:val="18"/>
                <w:lang w:val="en-US"/>
              </w:rPr>
              <w:t>(1.01</w:t>
            </w:r>
            <w:r w:rsidR="004E6DC2" w:rsidRPr="009F725A">
              <w:rPr>
                <w:rFonts w:asciiTheme="minorHAnsi" w:hAnsiTheme="minorHAnsi"/>
                <w:sz w:val="18"/>
                <w:szCs w:val="18"/>
                <w:lang w:val="en-US"/>
              </w:rPr>
              <w:t>-</w:t>
            </w:r>
            <w:r>
              <w:rPr>
                <w:rFonts w:asciiTheme="minorHAnsi" w:hAnsiTheme="minorHAnsi"/>
                <w:sz w:val="18"/>
                <w:szCs w:val="18"/>
                <w:lang w:val="en-US"/>
              </w:rPr>
              <w:t>1.07)</w:t>
            </w:r>
          </w:p>
        </w:tc>
        <w:tc>
          <w:tcPr>
            <w:tcW w:w="680" w:type="dxa"/>
            <w:tcBorders>
              <w:top w:val="single" w:sz="2" w:space="0" w:color="auto"/>
              <w:bottom w:val="single" w:sz="2" w:space="0" w:color="auto"/>
            </w:tcBorders>
            <w:shd w:val="clear" w:color="auto" w:fill="auto"/>
            <w:vAlign w:val="center"/>
          </w:tcPr>
          <w:p w14:paraId="406EBD87" w14:textId="3B02E094"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02</w:t>
            </w:r>
          </w:p>
        </w:tc>
        <w:tc>
          <w:tcPr>
            <w:tcW w:w="907" w:type="dxa"/>
            <w:tcBorders>
              <w:top w:val="single" w:sz="2" w:space="0" w:color="auto"/>
              <w:bottom w:val="single" w:sz="2" w:space="0" w:color="auto"/>
            </w:tcBorders>
            <w:shd w:val="clear" w:color="auto" w:fill="auto"/>
          </w:tcPr>
          <w:p w14:paraId="7369B6E9" w14:textId="144EA395"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20148A">
              <w:rPr>
                <w:rFonts w:asciiTheme="minorHAnsi" w:hAnsiTheme="minorHAnsi"/>
                <w:sz w:val="18"/>
                <w:szCs w:val="18"/>
                <w:lang w:val="en-US"/>
              </w:rPr>
              <w:t>.04</w:t>
            </w:r>
          </w:p>
          <w:p w14:paraId="399B04CD" w14:textId="21580A0E" w:rsidR="004E6DC2" w:rsidRPr="009F725A" w:rsidRDefault="0020148A" w:rsidP="0020148A">
            <w:pPr>
              <w:jc w:val="center"/>
              <w:rPr>
                <w:rFonts w:asciiTheme="minorHAnsi" w:hAnsiTheme="minorHAnsi"/>
                <w:sz w:val="18"/>
                <w:szCs w:val="18"/>
                <w:lang w:val="en-US"/>
              </w:rPr>
            </w:pPr>
            <w:r>
              <w:rPr>
                <w:rFonts w:asciiTheme="minorHAnsi" w:hAnsiTheme="minorHAnsi"/>
                <w:sz w:val="18"/>
                <w:szCs w:val="18"/>
                <w:lang w:val="en-US"/>
              </w:rPr>
              <w:t>(1.01</w:t>
            </w:r>
            <w:r w:rsidR="004E6DC2" w:rsidRPr="009F725A">
              <w:rPr>
                <w:rFonts w:asciiTheme="minorHAnsi" w:hAnsiTheme="minorHAnsi"/>
                <w:sz w:val="18"/>
                <w:szCs w:val="18"/>
                <w:lang w:val="en-US"/>
              </w:rPr>
              <w:t>-</w:t>
            </w:r>
            <w:r>
              <w:rPr>
                <w:rFonts w:asciiTheme="minorHAnsi" w:hAnsiTheme="minorHAnsi"/>
                <w:sz w:val="18"/>
                <w:szCs w:val="18"/>
                <w:lang w:val="en-US"/>
              </w:rPr>
              <w:t>1.07</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0B140591" w14:textId="474C04F7"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0.0</w:t>
            </w:r>
            <w:r w:rsidR="0020148A">
              <w:rPr>
                <w:rFonts w:asciiTheme="minorHAnsi" w:hAnsiTheme="minorHAnsi"/>
                <w:sz w:val="18"/>
                <w:szCs w:val="18"/>
                <w:lang w:val="en-US"/>
              </w:rPr>
              <w:t>1</w:t>
            </w:r>
          </w:p>
        </w:tc>
        <w:tc>
          <w:tcPr>
            <w:tcW w:w="907" w:type="dxa"/>
            <w:tcBorders>
              <w:top w:val="single" w:sz="2" w:space="0" w:color="auto"/>
              <w:bottom w:val="single" w:sz="2" w:space="0" w:color="auto"/>
            </w:tcBorders>
            <w:shd w:val="clear" w:color="auto" w:fill="auto"/>
          </w:tcPr>
          <w:p w14:paraId="1A263E08"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1.01</w:t>
            </w:r>
          </w:p>
          <w:p w14:paraId="48266EC8" w14:textId="3240F9D1" w:rsidR="004E6DC2" w:rsidRPr="009F725A" w:rsidRDefault="0020148A" w:rsidP="0020148A">
            <w:pPr>
              <w:jc w:val="center"/>
              <w:rPr>
                <w:rFonts w:asciiTheme="minorHAnsi" w:hAnsiTheme="minorHAnsi"/>
                <w:sz w:val="18"/>
                <w:szCs w:val="18"/>
                <w:lang w:val="en-US"/>
              </w:rPr>
            </w:pPr>
            <w:r>
              <w:rPr>
                <w:rFonts w:asciiTheme="minorHAnsi" w:hAnsiTheme="minorHAnsi"/>
                <w:sz w:val="18"/>
                <w:szCs w:val="18"/>
                <w:lang w:val="en-US"/>
              </w:rPr>
              <w:t>(0.98</w:t>
            </w:r>
            <w:r w:rsidR="004E6DC2" w:rsidRPr="009F725A">
              <w:rPr>
                <w:rFonts w:asciiTheme="minorHAnsi" w:hAnsiTheme="minorHAnsi"/>
                <w:sz w:val="18"/>
                <w:szCs w:val="18"/>
                <w:lang w:val="en-US"/>
              </w:rPr>
              <w:t>-1.</w:t>
            </w:r>
            <w:r>
              <w:rPr>
                <w:rFonts w:asciiTheme="minorHAnsi" w:hAnsiTheme="minorHAnsi"/>
                <w:sz w:val="18"/>
                <w:szCs w:val="18"/>
                <w:lang w:val="en-US"/>
              </w:rPr>
              <w:t>04</w:t>
            </w:r>
            <w:r w:rsidR="004E6DC2" w:rsidRPr="009F725A">
              <w:rPr>
                <w:rFonts w:asciiTheme="minorHAnsi" w:hAnsiTheme="minorHAnsi"/>
                <w:sz w:val="18"/>
                <w:szCs w:val="18"/>
                <w:lang w:val="en-US"/>
              </w:rPr>
              <w:t>)</w:t>
            </w:r>
          </w:p>
        </w:tc>
        <w:tc>
          <w:tcPr>
            <w:tcW w:w="682" w:type="dxa"/>
            <w:tcBorders>
              <w:top w:val="single" w:sz="2" w:space="0" w:color="auto"/>
              <w:bottom w:val="single" w:sz="2" w:space="0" w:color="auto"/>
              <w:right w:val="single" w:sz="6" w:space="0" w:color="auto"/>
            </w:tcBorders>
            <w:shd w:val="clear" w:color="auto" w:fill="auto"/>
            <w:vAlign w:val="center"/>
          </w:tcPr>
          <w:p w14:paraId="0574B924" w14:textId="769FD3AB"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w:t>
            </w:r>
            <w:r w:rsidR="0020148A">
              <w:rPr>
                <w:rFonts w:asciiTheme="minorHAnsi" w:hAnsiTheme="minorHAnsi"/>
                <w:sz w:val="18"/>
                <w:szCs w:val="18"/>
                <w:lang w:val="en-US"/>
              </w:rPr>
              <w:t>43</w:t>
            </w:r>
          </w:p>
        </w:tc>
      </w:tr>
      <w:tr w:rsidR="004E6DC2" w:rsidRPr="009F725A" w14:paraId="403C3917" w14:textId="77777777" w:rsidTr="00AE1C22">
        <w:tc>
          <w:tcPr>
            <w:tcW w:w="3382" w:type="dxa"/>
            <w:tcBorders>
              <w:top w:val="single" w:sz="2" w:space="0" w:color="auto"/>
              <w:left w:val="single" w:sz="6" w:space="0" w:color="auto"/>
              <w:bottom w:val="single" w:sz="2" w:space="0" w:color="auto"/>
              <w:right w:val="single" w:sz="6" w:space="0" w:color="auto"/>
            </w:tcBorders>
            <w:shd w:val="clear" w:color="auto" w:fill="auto"/>
          </w:tcPr>
          <w:p w14:paraId="19E9F001" w14:textId="77777777"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QOL psychological domain</w:t>
            </w:r>
          </w:p>
          <w:p w14:paraId="3EA92484" w14:textId="77777777"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(&lt;mean)</w:t>
            </w:r>
          </w:p>
        </w:tc>
        <w:tc>
          <w:tcPr>
            <w:tcW w:w="906" w:type="dxa"/>
            <w:tcBorders>
              <w:top w:val="single" w:sz="2" w:space="0" w:color="auto"/>
              <w:left w:val="single" w:sz="6" w:space="0" w:color="auto"/>
              <w:bottom w:val="single" w:sz="2" w:space="0" w:color="auto"/>
            </w:tcBorders>
            <w:vAlign w:val="bottom"/>
          </w:tcPr>
          <w:p w14:paraId="7B489C4D" w14:textId="77777777" w:rsidR="004E6DC2" w:rsidRDefault="004E6DC2" w:rsidP="004E6DC2">
            <w:pPr>
              <w:jc w:val="center"/>
              <w:rPr>
                <w:rFonts w:asciiTheme="minorHAnsi" w:hAnsiTheme="minorHAnsi"/>
                <w:sz w:val="18"/>
                <w:szCs w:val="18"/>
              </w:rPr>
            </w:pPr>
            <w:r w:rsidRPr="009F725A">
              <w:rPr>
                <w:rFonts w:asciiTheme="minorHAnsi" w:hAnsiTheme="minorHAnsi"/>
                <w:sz w:val="18"/>
                <w:szCs w:val="18"/>
              </w:rPr>
              <w:t>1.51</w:t>
            </w:r>
          </w:p>
          <w:p w14:paraId="03ED4187" w14:textId="2BA11D2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rPr>
              <w:t>(1.02-2.22)</w:t>
            </w:r>
          </w:p>
        </w:tc>
        <w:tc>
          <w:tcPr>
            <w:tcW w:w="680" w:type="dxa"/>
            <w:tcBorders>
              <w:top w:val="single" w:sz="2" w:space="0" w:color="auto"/>
              <w:bottom w:val="single" w:sz="2" w:space="0" w:color="auto"/>
              <w:right w:val="single" w:sz="6" w:space="0" w:color="auto"/>
            </w:tcBorders>
            <w:vAlign w:val="center"/>
          </w:tcPr>
          <w:p w14:paraId="5114A131" w14:textId="096B0A38"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rPr>
              <w:t>0.04</w:t>
            </w:r>
          </w:p>
        </w:tc>
        <w:tc>
          <w:tcPr>
            <w:tcW w:w="907" w:type="dxa"/>
            <w:tcBorders>
              <w:top w:val="single" w:sz="2" w:space="0" w:color="auto"/>
              <w:left w:val="single" w:sz="6" w:space="0" w:color="auto"/>
              <w:bottom w:val="single" w:sz="2" w:space="0" w:color="auto"/>
            </w:tcBorders>
            <w:shd w:val="clear" w:color="auto" w:fill="auto"/>
            <w:vAlign w:val="bottom"/>
          </w:tcPr>
          <w:p w14:paraId="79EAA0BC" w14:textId="55367386" w:rsidR="004E6DC2" w:rsidRPr="009F725A" w:rsidRDefault="00470081" w:rsidP="004E6DC2">
            <w:pPr>
              <w:jc w:val="center"/>
              <w:rPr>
                <w:rFonts w:asciiTheme="minorHAnsi" w:hAnsiTheme="minorHAnsi"/>
                <w:sz w:val="18"/>
                <w:szCs w:val="18"/>
                <w:lang w:val="en-US"/>
              </w:rPr>
            </w:pPr>
            <w:r>
              <w:rPr>
                <w:rFonts w:asciiTheme="minorHAnsi" w:hAnsiTheme="minorHAnsi"/>
                <w:sz w:val="18"/>
                <w:szCs w:val="18"/>
                <w:lang w:val="en-US"/>
              </w:rPr>
              <w:t>1.17</w:t>
            </w:r>
          </w:p>
          <w:p w14:paraId="392542C2" w14:textId="44413F62" w:rsidR="004E6DC2" w:rsidRPr="009F725A" w:rsidRDefault="00470081" w:rsidP="00470081">
            <w:pPr>
              <w:jc w:val="center"/>
              <w:rPr>
                <w:rFonts w:asciiTheme="minorHAnsi" w:hAnsiTheme="minorHAnsi"/>
                <w:sz w:val="18"/>
                <w:szCs w:val="18"/>
                <w:lang w:val="en-US"/>
              </w:rPr>
            </w:pPr>
            <w:r>
              <w:rPr>
                <w:rFonts w:asciiTheme="minorHAnsi" w:hAnsiTheme="minorHAnsi"/>
                <w:sz w:val="18"/>
                <w:szCs w:val="18"/>
                <w:lang w:val="en-US"/>
              </w:rPr>
              <w:t>(0.79</w:t>
            </w:r>
            <w:r w:rsidR="004E6DC2" w:rsidRPr="009F725A">
              <w:rPr>
                <w:rFonts w:asciiTheme="minorHAnsi" w:hAnsiTheme="minorHAnsi"/>
                <w:sz w:val="18"/>
                <w:szCs w:val="18"/>
                <w:lang w:val="en-US"/>
              </w:rPr>
              <w:t>-1.7</w:t>
            </w:r>
            <w:r>
              <w:rPr>
                <w:rFonts w:asciiTheme="minorHAnsi" w:hAnsiTheme="minorHAnsi"/>
                <w:sz w:val="18"/>
                <w:szCs w:val="18"/>
                <w:lang w:val="en-US"/>
              </w:rPr>
              <w:t>2</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657EED0F" w14:textId="4D014A6E" w:rsidR="004E6DC2" w:rsidRPr="009F725A" w:rsidRDefault="004E6DC2" w:rsidP="00470081">
            <w:pPr>
              <w:jc w:val="center"/>
              <w:rPr>
                <w:rFonts w:asciiTheme="minorHAnsi" w:hAnsiTheme="minorHAnsi"/>
                <w:sz w:val="18"/>
                <w:szCs w:val="18"/>
                <w:lang w:val="en-US"/>
              </w:rPr>
            </w:pPr>
            <w:r w:rsidRPr="009F725A">
              <w:rPr>
                <w:rFonts w:asciiTheme="minorHAnsi" w:hAnsiTheme="minorHAnsi"/>
                <w:sz w:val="18"/>
                <w:szCs w:val="18"/>
                <w:lang w:val="en-US"/>
              </w:rPr>
              <w:t>0.4</w:t>
            </w:r>
            <w:r w:rsidR="00470081">
              <w:rPr>
                <w:rFonts w:asciiTheme="minorHAnsi" w:hAnsiTheme="minorHAnsi"/>
                <w:sz w:val="18"/>
                <w:szCs w:val="18"/>
                <w:lang w:val="en-US"/>
              </w:rPr>
              <w:t>4</w:t>
            </w:r>
          </w:p>
        </w:tc>
        <w:tc>
          <w:tcPr>
            <w:tcW w:w="907" w:type="dxa"/>
            <w:tcBorders>
              <w:top w:val="single" w:sz="2" w:space="0" w:color="auto"/>
              <w:bottom w:val="single" w:sz="2" w:space="0" w:color="auto"/>
            </w:tcBorders>
            <w:shd w:val="clear" w:color="auto" w:fill="auto"/>
          </w:tcPr>
          <w:p w14:paraId="51593775" w14:textId="63ED20B0"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AD5FF3">
              <w:rPr>
                <w:rFonts w:asciiTheme="minorHAnsi" w:hAnsiTheme="minorHAnsi"/>
                <w:sz w:val="18"/>
                <w:szCs w:val="18"/>
                <w:lang w:val="en-US"/>
              </w:rPr>
              <w:t>21</w:t>
            </w:r>
          </w:p>
          <w:p w14:paraId="66B169A1" w14:textId="1B6526BD" w:rsidR="004E6DC2" w:rsidRPr="009F725A" w:rsidRDefault="00AD5FF3" w:rsidP="00AD5FF3">
            <w:pPr>
              <w:jc w:val="center"/>
              <w:rPr>
                <w:rFonts w:asciiTheme="minorHAnsi" w:hAnsiTheme="minorHAnsi"/>
                <w:sz w:val="18"/>
                <w:szCs w:val="18"/>
                <w:lang w:val="en-US"/>
              </w:rPr>
            </w:pPr>
            <w:r>
              <w:rPr>
                <w:rFonts w:asciiTheme="minorHAnsi" w:hAnsiTheme="minorHAnsi"/>
                <w:sz w:val="18"/>
                <w:szCs w:val="18"/>
                <w:lang w:val="en-US"/>
              </w:rPr>
              <w:t>(0.82</w:t>
            </w:r>
            <w:r w:rsidR="004E6DC2" w:rsidRPr="009F725A">
              <w:rPr>
                <w:rFonts w:asciiTheme="minorHAnsi" w:hAnsiTheme="minorHAnsi"/>
                <w:sz w:val="18"/>
                <w:szCs w:val="18"/>
                <w:lang w:val="en-US"/>
              </w:rPr>
              <w:t>-1.7</w:t>
            </w:r>
            <w:r>
              <w:rPr>
                <w:rFonts w:asciiTheme="minorHAnsi" w:hAnsiTheme="minorHAnsi"/>
                <w:sz w:val="18"/>
                <w:szCs w:val="18"/>
                <w:lang w:val="en-US"/>
              </w:rPr>
              <w:t>7</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3F2E356E" w14:textId="1B7DFB8F"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0.3</w:t>
            </w:r>
            <w:r w:rsidR="00AD5FF3">
              <w:rPr>
                <w:rFonts w:asciiTheme="minorHAnsi" w:hAnsiTheme="minorHAnsi"/>
                <w:sz w:val="18"/>
                <w:szCs w:val="18"/>
                <w:lang w:val="en-US"/>
              </w:rPr>
              <w:t>4</w:t>
            </w:r>
          </w:p>
        </w:tc>
        <w:tc>
          <w:tcPr>
            <w:tcW w:w="907" w:type="dxa"/>
            <w:tcBorders>
              <w:top w:val="single" w:sz="2" w:space="0" w:color="auto"/>
              <w:bottom w:val="single" w:sz="2" w:space="0" w:color="auto"/>
            </w:tcBorders>
            <w:shd w:val="clear" w:color="auto" w:fill="auto"/>
          </w:tcPr>
          <w:p w14:paraId="6AC4A509" w14:textId="6CB410C2"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.99</w:t>
            </w:r>
          </w:p>
          <w:p w14:paraId="14FC2F93" w14:textId="7EBEE959" w:rsidR="004E6DC2" w:rsidRPr="009F725A" w:rsidRDefault="00AD5FF3" w:rsidP="004E6DC2">
            <w:pPr>
              <w:jc w:val="center"/>
              <w:rPr>
                <w:rFonts w:asciiTheme="minorHAnsi" w:hAnsiTheme="minorHAnsi"/>
                <w:sz w:val="18"/>
                <w:szCs w:val="18"/>
                <w:lang w:val="en-US"/>
              </w:rPr>
            </w:pPr>
            <w:r>
              <w:rPr>
                <w:rFonts w:asciiTheme="minorHAnsi" w:hAnsiTheme="minorHAnsi"/>
                <w:sz w:val="18"/>
                <w:szCs w:val="18"/>
                <w:lang w:val="en-US"/>
              </w:rPr>
              <w:t>(0.57-1.69</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29B9E40F" w14:textId="28D68EBA" w:rsidR="004E6DC2" w:rsidRPr="009F725A" w:rsidRDefault="00AD5FF3" w:rsidP="004E6DC2">
            <w:pPr>
              <w:jc w:val="center"/>
              <w:rPr>
                <w:rFonts w:asciiTheme="minorHAnsi" w:hAnsiTheme="minorHAnsi"/>
                <w:sz w:val="18"/>
                <w:szCs w:val="18"/>
                <w:lang w:val="en-US"/>
              </w:rPr>
            </w:pPr>
            <w:r>
              <w:rPr>
                <w:rFonts w:asciiTheme="minorHAnsi" w:hAnsiTheme="minorHAnsi"/>
                <w:sz w:val="18"/>
                <w:szCs w:val="18"/>
                <w:lang w:val="en-US"/>
              </w:rPr>
              <w:t>0.96</w:t>
            </w:r>
          </w:p>
        </w:tc>
        <w:tc>
          <w:tcPr>
            <w:tcW w:w="907" w:type="dxa"/>
            <w:tcBorders>
              <w:top w:val="single" w:sz="2" w:space="0" w:color="auto"/>
              <w:bottom w:val="single" w:sz="2" w:space="0" w:color="auto"/>
            </w:tcBorders>
            <w:shd w:val="clear" w:color="auto" w:fill="auto"/>
          </w:tcPr>
          <w:p w14:paraId="5B6EDC21" w14:textId="3F6F6CA2" w:rsidR="004E6DC2" w:rsidRPr="009F725A" w:rsidRDefault="00AD5FF3" w:rsidP="004E6DC2">
            <w:pPr>
              <w:jc w:val="center"/>
              <w:rPr>
                <w:rFonts w:asciiTheme="minorHAnsi" w:hAnsiTheme="minorHAnsi"/>
                <w:sz w:val="18"/>
                <w:szCs w:val="18"/>
                <w:lang w:val="en-US"/>
              </w:rPr>
            </w:pPr>
            <w:r>
              <w:rPr>
                <w:rFonts w:asciiTheme="minorHAnsi" w:hAnsiTheme="minorHAnsi"/>
                <w:sz w:val="18"/>
                <w:szCs w:val="18"/>
                <w:lang w:val="en-US"/>
              </w:rPr>
              <w:t>1.06</w:t>
            </w:r>
          </w:p>
          <w:p w14:paraId="46FFBF2C" w14:textId="21E62998"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(0.72-1.5</w:t>
            </w:r>
            <w:r w:rsidR="00AD5FF3">
              <w:rPr>
                <w:rFonts w:asciiTheme="minorHAnsi" w:hAnsiTheme="minorHAnsi"/>
                <w:sz w:val="18"/>
                <w:szCs w:val="18"/>
                <w:lang w:val="en-US"/>
              </w:rPr>
              <w:t>4</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5C55C503" w14:textId="7E0DD179"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77</w:t>
            </w:r>
          </w:p>
        </w:tc>
        <w:tc>
          <w:tcPr>
            <w:tcW w:w="907" w:type="dxa"/>
            <w:tcBorders>
              <w:top w:val="single" w:sz="2" w:space="0" w:color="auto"/>
              <w:bottom w:val="single" w:sz="2" w:space="0" w:color="auto"/>
            </w:tcBorders>
            <w:shd w:val="clear" w:color="auto" w:fill="auto"/>
          </w:tcPr>
          <w:p w14:paraId="6173EF9C" w14:textId="77EDA881"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20148A">
              <w:rPr>
                <w:rFonts w:asciiTheme="minorHAnsi" w:hAnsiTheme="minorHAnsi"/>
                <w:sz w:val="18"/>
                <w:szCs w:val="18"/>
                <w:lang w:val="en-US"/>
              </w:rPr>
              <w:t>.02</w:t>
            </w:r>
          </w:p>
          <w:p w14:paraId="37BC269D" w14:textId="5B1A4F18" w:rsidR="004E6DC2" w:rsidRPr="009F725A" w:rsidRDefault="0020148A" w:rsidP="0020148A">
            <w:pPr>
              <w:jc w:val="center"/>
              <w:rPr>
                <w:rFonts w:asciiTheme="minorHAnsi" w:hAnsiTheme="minorHAnsi"/>
                <w:sz w:val="18"/>
                <w:szCs w:val="18"/>
                <w:lang w:val="en-US"/>
              </w:rPr>
            </w:pPr>
            <w:r>
              <w:rPr>
                <w:rFonts w:asciiTheme="minorHAnsi" w:hAnsiTheme="minorHAnsi"/>
                <w:sz w:val="18"/>
                <w:szCs w:val="18"/>
                <w:lang w:val="en-US"/>
              </w:rPr>
              <w:t>(0.70</w:t>
            </w:r>
            <w:r w:rsidR="004E6DC2" w:rsidRPr="009F725A">
              <w:rPr>
                <w:rFonts w:asciiTheme="minorHAnsi" w:hAnsiTheme="minorHAnsi"/>
                <w:sz w:val="18"/>
                <w:szCs w:val="18"/>
                <w:lang w:val="en-US"/>
              </w:rPr>
              <w:t>-1.</w:t>
            </w:r>
            <w:r>
              <w:rPr>
                <w:rFonts w:asciiTheme="minorHAnsi" w:hAnsiTheme="minorHAnsi"/>
                <w:sz w:val="18"/>
                <w:szCs w:val="18"/>
                <w:lang w:val="en-US"/>
              </w:rPr>
              <w:t>50</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482220F0" w14:textId="45F45145"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0.9</w:t>
            </w:r>
            <w:r w:rsidR="0020148A">
              <w:rPr>
                <w:rFonts w:asciiTheme="minorHAnsi" w:hAnsiTheme="minorHAnsi"/>
                <w:sz w:val="18"/>
                <w:szCs w:val="18"/>
                <w:lang w:val="en-US"/>
              </w:rPr>
              <w:t>1</w:t>
            </w:r>
          </w:p>
        </w:tc>
        <w:tc>
          <w:tcPr>
            <w:tcW w:w="907" w:type="dxa"/>
            <w:tcBorders>
              <w:top w:val="single" w:sz="2" w:space="0" w:color="auto"/>
              <w:bottom w:val="single" w:sz="2" w:space="0" w:color="auto"/>
            </w:tcBorders>
            <w:shd w:val="clear" w:color="auto" w:fill="auto"/>
          </w:tcPr>
          <w:p w14:paraId="6056711A" w14:textId="3F87768B"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20148A">
              <w:rPr>
                <w:rFonts w:asciiTheme="minorHAnsi" w:hAnsiTheme="minorHAnsi"/>
                <w:sz w:val="18"/>
                <w:szCs w:val="18"/>
                <w:lang w:val="en-US"/>
              </w:rPr>
              <w:t>.42</w:t>
            </w:r>
          </w:p>
          <w:p w14:paraId="6F3DCB15" w14:textId="6244E0B1"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(0.97-2.0</w:t>
            </w:r>
            <w:r w:rsidR="0020148A">
              <w:rPr>
                <w:rFonts w:asciiTheme="minorHAnsi" w:hAnsiTheme="minorHAnsi"/>
                <w:sz w:val="18"/>
                <w:szCs w:val="18"/>
                <w:lang w:val="en-US"/>
              </w:rPr>
              <w:t>7</w:t>
            </w:r>
            <w:r w:rsidRPr="009F725A">
              <w:rPr>
                <w:rFonts w:asciiTheme="minorHAnsi" w:hAnsiTheme="minorHAnsi"/>
                <w:sz w:val="18"/>
                <w:szCs w:val="18"/>
                <w:lang w:val="en-US"/>
              </w:rPr>
              <w:t>)</w:t>
            </w:r>
          </w:p>
        </w:tc>
        <w:tc>
          <w:tcPr>
            <w:tcW w:w="682" w:type="dxa"/>
            <w:tcBorders>
              <w:top w:val="single" w:sz="2" w:space="0" w:color="auto"/>
              <w:bottom w:val="single" w:sz="2" w:space="0" w:color="auto"/>
              <w:right w:val="single" w:sz="6" w:space="0" w:color="auto"/>
            </w:tcBorders>
            <w:shd w:val="clear" w:color="auto" w:fill="auto"/>
            <w:vAlign w:val="center"/>
          </w:tcPr>
          <w:p w14:paraId="30A4E043"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0.07</w:t>
            </w:r>
          </w:p>
        </w:tc>
      </w:tr>
      <w:tr w:rsidR="004E6DC2" w:rsidRPr="009F725A" w14:paraId="722CEB30" w14:textId="77777777" w:rsidTr="00AE1C22">
        <w:tc>
          <w:tcPr>
            <w:tcW w:w="3382" w:type="dxa"/>
            <w:tcBorders>
              <w:top w:val="single" w:sz="2" w:space="0" w:color="auto"/>
              <w:left w:val="single" w:sz="6" w:space="0" w:color="auto"/>
              <w:bottom w:val="single" w:sz="2" w:space="0" w:color="auto"/>
              <w:right w:val="single" w:sz="6" w:space="0" w:color="auto"/>
            </w:tcBorders>
            <w:shd w:val="clear" w:color="auto" w:fill="auto"/>
          </w:tcPr>
          <w:p w14:paraId="6166FD85" w14:textId="4B607410"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Food specific IgE at enrollment</w:t>
            </w:r>
            <w:r w:rsidR="00470081">
              <w:rPr>
                <w:rFonts w:asciiTheme="minorHAnsi" w:hAnsiTheme="minorHAnsi"/>
                <w:szCs w:val="20"/>
              </w:rPr>
              <w:t>*</w:t>
            </w:r>
          </w:p>
          <w:p w14:paraId="4718D32C" w14:textId="39ED3FB4" w:rsidR="004E6DC2" w:rsidRPr="009F725A" w:rsidRDefault="004E6DC2" w:rsidP="00937C90">
            <w:pPr>
              <w:rPr>
                <w:rFonts w:asciiTheme="minorHAnsi" w:hAnsiTheme="minorHAnsi"/>
                <w:sz w:val="18"/>
                <w:szCs w:val="18"/>
                <w:lang w:val="en-US"/>
              </w:rPr>
            </w:pPr>
            <w:r w:rsidRPr="009F725A">
              <w:rPr>
                <w:rFonts w:asciiTheme="minorHAnsi" w:hAnsiTheme="minorHAnsi"/>
                <w:sz w:val="18"/>
                <w:szCs w:val="18"/>
                <w:lang w:val="en-US"/>
              </w:rPr>
              <w:t>(≥0.1 kU/</w:t>
            </w:r>
            <w:r w:rsidR="00937C90">
              <w:rPr>
                <w:rFonts w:asciiTheme="minorHAnsi" w:hAnsiTheme="minorHAnsi"/>
                <w:sz w:val="18"/>
                <w:szCs w:val="18"/>
                <w:lang w:val="en-US"/>
              </w:rPr>
              <w:t>l</w:t>
            </w:r>
            <w:r w:rsidRPr="009F725A">
              <w:rPr>
                <w:rFonts w:asciiTheme="minorHAnsi" w:hAnsiTheme="minorHAnsi"/>
                <w:sz w:val="18"/>
                <w:szCs w:val="18"/>
                <w:lang w:val="en-US"/>
              </w:rPr>
              <w:t>)</w:t>
            </w:r>
          </w:p>
        </w:tc>
        <w:tc>
          <w:tcPr>
            <w:tcW w:w="906" w:type="dxa"/>
            <w:tcBorders>
              <w:top w:val="single" w:sz="2" w:space="0" w:color="auto"/>
              <w:left w:val="single" w:sz="6" w:space="0" w:color="auto"/>
              <w:bottom w:val="single" w:sz="2" w:space="0" w:color="auto"/>
            </w:tcBorders>
            <w:vAlign w:val="bottom"/>
          </w:tcPr>
          <w:p w14:paraId="5EE8194A" w14:textId="558571C1" w:rsidR="004E6DC2" w:rsidRDefault="004E6DC2" w:rsidP="004E6DC2">
            <w:pPr>
              <w:jc w:val="center"/>
              <w:rPr>
                <w:rFonts w:asciiTheme="minorHAnsi" w:hAnsiTheme="minorHAnsi"/>
                <w:sz w:val="18"/>
                <w:szCs w:val="18"/>
              </w:rPr>
            </w:pPr>
            <w:r w:rsidRPr="009F725A">
              <w:rPr>
                <w:rFonts w:asciiTheme="minorHAnsi" w:hAnsiTheme="minorHAnsi"/>
                <w:sz w:val="18"/>
                <w:szCs w:val="18"/>
              </w:rPr>
              <w:t>0.</w:t>
            </w:r>
            <w:r w:rsidR="00470081">
              <w:rPr>
                <w:rFonts w:asciiTheme="minorHAnsi" w:hAnsiTheme="minorHAnsi"/>
                <w:sz w:val="18"/>
                <w:szCs w:val="18"/>
              </w:rPr>
              <w:t>88</w:t>
            </w:r>
          </w:p>
          <w:p w14:paraId="19621FF4" w14:textId="3C696A2F" w:rsidR="004E6DC2" w:rsidRPr="009F725A" w:rsidRDefault="00470081">
            <w:pPr>
              <w:jc w:val="center"/>
              <w:rPr>
                <w:rFonts w:asciiTheme="minorHAnsi" w:hAnsiTheme="minorHAnsi"/>
                <w:sz w:val="18"/>
                <w:szCs w:val="18"/>
                <w:lang w:val="en-US"/>
              </w:rPr>
            </w:pPr>
            <w:r>
              <w:rPr>
                <w:rFonts w:asciiTheme="minorHAnsi" w:hAnsiTheme="minorHAnsi"/>
                <w:sz w:val="18"/>
                <w:szCs w:val="18"/>
              </w:rPr>
              <w:t>(0.48</w:t>
            </w:r>
            <w:r w:rsidR="004E6DC2" w:rsidRPr="009F725A">
              <w:rPr>
                <w:rFonts w:asciiTheme="minorHAnsi" w:hAnsiTheme="minorHAnsi"/>
                <w:sz w:val="18"/>
                <w:szCs w:val="18"/>
              </w:rPr>
              <w:t>-1.6</w:t>
            </w:r>
            <w:r>
              <w:rPr>
                <w:rFonts w:asciiTheme="minorHAnsi" w:hAnsiTheme="minorHAnsi"/>
                <w:sz w:val="18"/>
                <w:szCs w:val="18"/>
              </w:rPr>
              <w:t>0</w:t>
            </w:r>
            <w:r w:rsidR="004E6DC2" w:rsidRPr="009F725A">
              <w:rPr>
                <w:rFonts w:asciiTheme="minorHAnsi" w:hAnsiTheme="minorHAnsi"/>
                <w:sz w:val="18"/>
                <w:szCs w:val="18"/>
              </w:rPr>
              <w:t>)</w:t>
            </w:r>
          </w:p>
        </w:tc>
        <w:tc>
          <w:tcPr>
            <w:tcW w:w="680" w:type="dxa"/>
            <w:tcBorders>
              <w:top w:val="single" w:sz="2" w:space="0" w:color="auto"/>
              <w:bottom w:val="single" w:sz="2" w:space="0" w:color="auto"/>
              <w:right w:val="single" w:sz="6" w:space="0" w:color="auto"/>
            </w:tcBorders>
            <w:vAlign w:val="center"/>
          </w:tcPr>
          <w:p w14:paraId="7204AFF0" w14:textId="3DA56E1F" w:rsidR="004E6DC2" w:rsidRPr="009F725A" w:rsidRDefault="004E6DC2">
            <w:pPr>
              <w:jc w:val="center"/>
              <w:rPr>
                <w:rFonts w:asciiTheme="minorHAnsi" w:hAnsiTheme="minorHAnsi"/>
                <w:sz w:val="18"/>
                <w:szCs w:val="18"/>
                <w:lang w:val="en-US"/>
              </w:rPr>
            </w:pPr>
            <w:r w:rsidRPr="009F725A">
              <w:rPr>
                <w:rFonts w:asciiTheme="minorHAnsi" w:hAnsiTheme="minorHAnsi"/>
                <w:sz w:val="18"/>
                <w:szCs w:val="18"/>
              </w:rPr>
              <w:t>0.</w:t>
            </w:r>
            <w:r w:rsidR="00470081">
              <w:rPr>
                <w:rFonts w:asciiTheme="minorHAnsi" w:hAnsiTheme="minorHAnsi"/>
                <w:sz w:val="18"/>
                <w:szCs w:val="18"/>
              </w:rPr>
              <w:t>68</w:t>
            </w:r>
          </w:p>
        </w:tc>
        <w:tc>
          <w:tcPr>
            <w:tcW w:w="907" w:type="dxa"/>
            <w:tcBorders>
              <w:top w:val="single" w:sz="2" w:space="0" w:color="auto"/>
              <w:left w:val="single" w:sz="6" w:space="0" w:color="auto"/>
              <w:bottom w:val="single" w:sz="2" w:space="0" w:color="auto"/>
            </w:tcBorders>
            <w:shd w:val="clear" w:color="auto" w:fill="auto"/>
            <w:vAlign w:val="bottom"/>
          </w:tcPr>
          <w:p w14:paraId="1E6A227E" w14:textId="02CE20D8"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470081">
              <w:rPr>
                <w:rFonts w:asciiTheme="minorHAnsi" w:hAnsiTheme="minorHAnsi"/>
                <w:sz w:val="18"/>
                <w:szCs w:val="18"/>
                <w:lang w:val="en-US"/>
              </w:rPr>
              <w:t>18</w:t>
            </w:r>
          </w:p>
          <w:p w14:paraId="68B9F7A4" w14:textId="714F9EB0" w:rsidR="004E6DC2" w:rsidRPr="009F725A" w:rsidRDefault="004E6DC2" w:rsidP="00470081">
            <w:pPr>
              <w:jc w:val="center"/>
              <w:rPr>
                <w:rFonts w:asciiTheme="minorHAnsi" w:hAnsiTheme="minorHAnsi"/>
                <w:sz w:val="18"/>
                <w:szCs w:val="18"/>
                <w:lang w:val="en-US"/>
              </w:rPr>
            </w:pPr>
            <w:r w:rsidRPr="009F725A">
              <w:rPr>
                <w:rFonts w:asciiTheme="minorHAnsi" w:hAnsiTheme="minorHAnsi"/>
                <w:sz w:val="18"/>
                <w:szCs w:val="18"/>
                <w:lang w:val="en-US"/>
              </w:rPr>
              <w:t>(0.</w:t>
            </w:r>
            <w:r w:rsidR="00470081">
              <w:rPr>
                <w:rFonts w:asciiTheme="minorHAnsi" w:hAnsiTheme="minorHAnsi"/>
                <w:sz w:val="18"/>
                <w:szCs w:val="18"/>
                <w:lang w:val="en-US"/>
              </w:rPr>
              <w:t>39</w:t>
            </w:r>
            <w:r w:rsidRPr="009F725A">
              <w:rPr>
                <w:rFonts w:asciiTheme="minorHAnsi" w:hAnsiTheme="minorHAnsi"/>
                <w:sz w:val="18"/>
                <w:szCs w:val="18"/>
                <w:lang w:val="en-US"/>
              </w:rPr>
              <w:t>-3.</w:t>
            </w:r>
            <w:r w:rsidR="00470081">
              <w:rPr>
                <w:rFonts w:asciiTheme="minorHAnsi" w:hAnsiTheme="minorHAnsi"/>
                <w:sz w:val="18"/>
                <w:szCs w:val="18"/>
                <w:lang w:val="en-US"/>
              </w:rPr>
              <w:t>59</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415E2D70" w14:textId="141B5CDB" w:rsidR="004E6DC2" w:rsidRPr="009F725A" w:rsidRDefault="004E6DC2" w:rsidP="00470081">
            <w:pPr>
              <w:jc w:val="center"/>
              <w:rPr>
                <w:rFonts w:asciiTheme="minorHAnsi" w:hAnsiTheme="minorHAnsi"/>
                <w:sz w:val="18"/>
                <w:szCs w:val="18"/>
                <w:lang w:val="en-US"/>
              </w:rPr>
            </w:pPr>
            <w:r w:rsidRPr="009F725A">
              <w:rPr>
                <w:rFonts w:asciiTheme="minorHAnsi" w:hAnsiTheme="minorHAnsi"/>
                <w:sz w:val="18"/>
                <w:szCs w:val="18"/>
                <w:lang w:val="en-US"/>
              </w:rPr>
              <w:t>0.</w:t>
            </w:r>
            <w:r w:rsidR="00470081">
              <w:rPr>
                <w:rFonts w:asciiTheme="minorHAnsi" w:hAnsiTheme="minorHAnsi"/>
                <w:sz w:val="18"/>
                <w:szCs w:val="18"/>
                <w:lang w:val="en-US"/>
              </w:rPr>
              <w:t>77</w:t>
            </w:r>
          </w:p>
        </w:tc>
        <w:tc>
          <w:tcPr>
            <w:tcW w:w="907" w:type="dxa"/>
            <w:tcBorders>
              <w:top w:val="single" w:sz="2" w:space="0" w:color="auto"/>
              <w:bottom w:val="single" w:sz="2" w:space="0" w:color="auto"/>
            </w:tcBorders>
            <w:shd w:val="clear" w:color="auto" w:fill="auto"/>
          </w:tcPr>
          <w:p w14:paraId="5501F9E1" w14:textId="66B8DF36"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2</w:t>
            </w:r>
            <w:r w:rsidR="00AD5FF3">
              <w:rPr>
                <w:rFonts w:asciiTheme="minorHAnsi" w:hAnsiTheme="minorHAnsi"/>
                <w:sz w:val="18"/>
                <w:szCs w:val="18"/>
                <w:lang w:val="en-US"/>
              </w:rPr>
              <w:t>.32</w:t>
            </w:r>
          </w:p>
          <w:p w14:paraId="47DBFE8F" w14:textId="7E211282"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(0.8</w:t>
            </w:r>
            <w:r w:rsidR="00AD5FF3">
              <w:rPr>
                <w:rFonts w:asciiTheme="minorHAnsi" w:hAnsiTheme="minorHAnsi"/>
                <w:sz w:val="18"/>
                <w:szCs w:val="18"/>
                <w:lang w:val="en-US"/>
              </w:rPr>
              <w:t>5</w:t>
            </w:r>
            <w:r w:rsidRPr="009F725A">
              <w:rPr>
                <w:rFonts w:asciiTheme="minorHAnsi" w:hAnsiTheme="minorHAnsi"/>
                <w:sz w:val="18"/>
                <w:szCs w:val="18"/>
                <w:lang w:val="en-US"/>
              </w:rPr>
              <w:t>-6.3</w:t>
            </w:r>
            <w:r w:rsidR="00AD5FF3">
              <w:rPr>
                <w:rFonts w:asciiTheme="minorHAnsi" w:hAnsiTheme="minorHAnsi"/>
                <w:sz w:val="18"/>
                <w:szCs w:val="18"/>
                <w:lang w:val="en-US"/>
              </w:rPr>
              <w:t>1</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5DC19B46" w14:textId="1462D354"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10</w:t>
            </w:r>
          </w:p>
        </w:tc>
        <w:tc>
          <w:tcPr>
            <w:tcW w:w="907" w:type="dxa"/>
            <w:tcBorders>
              <w:top w:val="single" w:sz="2" w:space="0" w:color="auto"/>
              <w:bottom w:val="single" w:sz="2" w:space="0" w:color="auto"/>
            </w:tcBorders>
            <w:shd w:val="clear" w:color="auto" w:fill="auto"/>
          </w:tcPr>
          <w:p w14:paraId="676EB8C6" w14:textId="69CC6D4D"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AD5FF3">
              <w:rPr>
                <w:rFonts w:asciiTheme="minorHAnsi" w:hAnsiTheme="minorHAnsi"/>
                <w:sz w:val="18"/>
                <w:szCs w:val="18"/>
                <w:lang w:val="en-US"/>
              </w:rPr>
              <w:t>.33</w:t>
            </w:r>
          </w:p>
          <w:p w14:paraId="1DB376CC" w14:textId="1488E45F" w:rsidR="004E6DC2" w:rsidRPr="009F725A" w:rsidRDefault="00AD5FF3" w:rsidP="00AD5FF3">
            <w:pPr>
              <w:jc w:val="center"/>
              <w:rPr>
                <w:rFonts w:asciiTheme="minorHAnsi" w:hAnsiTheme="minorHAnsi"/>
                <w:sz w:val="18"/>
                <w:szCs w:val="18"/>
                <w:lang w:val="en-US"/>
              </w:rPr>
            </w:pPr>
            <w:r>
              <w:rPr>
                <w:rFonts w:asciiTheme="minorHAnsi" w:hAnsiTheme="minorHAnsi"/>
                <w:sz w:val="18"/>
                <w:szCs w:val="18"/>
                <w:lang w:val="en-US"/>
              </w:rPr>
              <w:t>(0.39</w:t>
            </w:r>
            <w:r w:rsidR="004E6DC2" w:rsidRPr="009F725A">
              <w:rPr>
                <w:rFonts w:asciiTheme="minorHAnsi" w:hAnsiTheme="minorHAnsi"/>
                <w:sz w:val="18"/>
                <w:szCs w:val="18"/>
                <w:lang w:val="en-US"/>
              </w:rPr>
              <w:t>-4.</w:t>
            </w:r>
            <w:r>
              <w:rPr>
                <w:rFonts w:asciiTheme="minorHAnsi" w:hAnsiTheme="minorHAnsi"/>
                <w:sz w:val="18"/>
                <w:szCs w:val="18"/>
                <w:lang w:val="en-US"/>
              </w:rPr>
              <w:t>56</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08E1350C" w14:textId="0FC9AF68"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65</w:t>
            </w:r>
          </w:p>
        </w:tc>
        <w:tc>
          <w:tcPr>
            <w:tcW w:w="907" w:type="dxa"/>
            <w:tcBorders>
              <w:top w:val="single" w:sz="2" w:space="0" w:color="auto"/>
              <w:bottom w:val="single" w:sz="2" w:space="0" w:color="auto"/>
            </w:tcBorders>
            <w:shd w:val="clear" w:color="auto" w:fill="auto"/>
          </w:tcPr>
          <w:p w14:paraId="42BCC508" w14:textId="7F48F30D" w:rsidR="004E6DC2" w:rsidRPr="009F725A" w:rsidRDefault="00AD5FF3" w:rsidP="004E6DC2">
            <w:pPr>
              <w:jc w:val="center"/>
              <w:rPr>
                <w:rFonts w:asciiTheme="minorHAnsi" w:hAnsiTheme="minorHAnsi"/>
                <w:sz w:val="18"/>
                <w:szCs w:val="18"/>
                <w:lang w:val="en-US"/>
              </w:rPr>
            </w:pPr>
            <w:r>
              <w:rPr>
                <w:rFonts w:asciiTheme="minorHAnsi" w:hAnsiTheme="minorHAnsi"/>
                <w:sz w:val="18"/>
                <w:szCs w:val="18"/>
                <w:lang w:val="en-US"/>
              </w:rPr>
              <w:t>0.94</w:t>
            </w:r>
          </w:p>
          <w:p w14:paraId="5EDF9C2C" w14:textId="74DE1AB2" w:rsidR="004E6DC2" w:rsidRPr="009F725A" w:rsidRDefault="00AD5FF3" w:rsidP="00AD5FF3">
            <w:pPr>
              <w:jc w:val="center"/>
              <w:rPr>
                <w:rFonts w:asciiTheme="minorHAnsi" w:hAnsiTheme="minorHAnsi"/>
                <w:sz w:val="18"/>
                <w:szCs w:val="18"/>
                <w:lang w:val="en-US"/>
              </w:rPr>
            </w:pPr>
            <w:r>
              <w:rPr>
                <w:rFonts w:asciiTheme="minorHAnsi" w:hAnsiTheme="minorHAnsi"/>
                <w:sz w:val="18"/>
                <w:szCs w:val="18"/>
                <w:lang w:val="en-US"/>
              </w:rPr>
              <w:t>(0.28</w:t>
            </w:r>
            <w:r w:rsidR="004E6DC2" w:rsidRPr="009F725A">
              <w:rPr>
                <w:rFonts w:asciiTheme="minorHAnsi" w:hAnsiTheme="minorHAnsi"/>
                <w:sz w:val="18"/>
                <w:szCs w:val="18"/>
                <w:lang w:val="en-US"/>
              </w:rPr>
              <w:t>-3.</w:t>
            </w:r>
            <w:r>
              <w:rPr>
                <w:rFonts w:asciiTheme="minorHAnsi" w:hAnsiTheme="minorHAnsi"/>
                <w:sz w:val="18"/>
                <w:szCs w:val="18"/>
                <w:lang w:val="en-US"/>
              </w:rPr>
              <w:t>14</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43771CC6" w14:textId="06CA965E" w:rsidR="004E6DC2" w:rsidRPr="009F725A" w:rsidRDefault="00AD5FF3" w:rsidP="00AD5FF3">
            <w:pPr>
              <w:jc w:val="center"/>
              <w:rPr>
                <w:rFonts w:asciiTheme="minorHAnsi" w:hAnsiTheme="minorHAnsi"/>
                <w:sz w:val="18"/>
                <w:szCs w:val="18"/>
                <w:lang w:val="en-US"/>
              </w:rPr>
            </w:pPr>
            <w:r>
              <w:rPr>
                <w:rFonts w:asciiTheme="minorHAnsi" w:hAnsiTheme="minorHAnsi"/>
                <w:sz w:val="18"/>
                <w:szCs w:val="18"/>
                <w:lang w:val="en-US"/>
              </w:rPr>
              <w:t>0.92</w:t>
            </w:r>
          </w:p>
        </w:tc>
        <w:tc>
          <w:tcPr>
            <w:tcW w:w="907" w:type="dxa"/>
            <w:tcBorders>
              <w:top w:val="single" w:sz="2" w:space="0" w:color="auto"/>
              <w:bottom w:val="single" w:sz="2" w:space="0" w:color="auto"/>
            </w:tcBorders>
            <w:shd w:val="clear" w:color="auto" w:fill="auto"/>
          </w:tcPr>
          <w:p w14:paraId="4B97BB22"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16F2F413"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w:t>
            </w:r>
          </w:p>
        </w:tc>
        <w:tc>
          <w:tcPr>
            <w:tcW w:w="907" w:type="dxa"/>
            <w:tcBorders>
              <w:top w:val="single" w:sz="2" w:space="0" w:color="auto"/>
              <w:bottom w:val="single" w:sz="2" w:space="0" w:color="auto"/>
            </w:tcBorders>
            <w:shd w:val="clear" w:color="auto" w:fill="auto"/>
          </w:tcPr>
          <w:p w14:paraId="018A45E3" w14:textId="729DF08A" w:rsidR="004E6DC2" w:rsidRPr="009F725A" w:rsidRDefault="0020148A" w:rsidP="004E6DC2">
            <w:pPr>
              <w:jc w:val="center"/>
              <w:rPr>
                <w:rFonts w:asciiTheme="minorHAnsi" w:hAnsiTheme="minorHAnsi"/>
                <w:sz w:val="18"/>
                <w:szCs w:val="18"/>
                <w:lang w:val="en-US"/>
              </w:rPr>
            </w:pPr>
            <w:r>
              <w:rPr>
                <w:rFonts w:asciiTheme="minorHAnsi" w:hAnsiTheme="minorHAnsi"/>
                <w:sz w:val="18"/>
                <w:szCs w:val="18"/>
                <w:lang w:val="en-US"/>
              </w:rPr>
              <w:t>0.47</w:t>
            </w:r>
          </w:p>
          <w:p w14:paraId="30A7C5CB" w14:textId="580F3BBB"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(0.1</w:t>
            </w:r>
            <w:r w:rsidR="0020148A">
              <w:rPr>
                <w:rFonts w:asciiTheme="minorHAnsi" w:hAnsiTheme="minorHAnsi"/>
                <w:sz w:val="18"/>
                <w:szCs w:val="18"/>
                <w:lang w:val="en-US"/>
              </w:rPr>
              <w:t>8</w:t>
            </w:r>
            <w:r w:rsidRPr="009F725A">
              <w:rPr>
                <w:rFonts w:asciiTheme="minorHAnsi" w:hAnsiTheme="minorHAnsi"/>
                <w:sz w:val="18"/>
                <w:szCs w:val="18"/>
                <w:lang w:val="en-US"/>
              </w:rPr>
              <w:t>-1.2</w:t>
            </w:r>
            <w:r w:rsidR="0020148A">
              <w:rPr>
                <w:rFonts w:asciiTheme="minorHAnsi" w:hAnsiTheme="minorHAnsi"/>
                <w:sz w:val="18"/>
                <w:szCs w:val="18"/>
                <w:lang w:val="en-US"/>
              </w:rPr>
              <w:t>4</w:t>
            </w:r>
            <w:r w:rsidRPr="009F725A">
              <w:rPr>
                <w:rFonts w:asciiTheme="minorHAnsi" w:hAnsiTheme="minorHAnsi"/>
                <w:sz w:val="18"/>
                <w:szCs w:val="18"/>
                <w:lang w:val="en-US"/>
              </w:rPr>
              <w:t>)</w:t>
            </w:r>
          </w:p>
        </w:tc>
        <w:tc>
          <w:tcPr>
            <w:tcW w:w="682" w:type="dxa"/>
            <w:tcBorders>
              <w:top w:val="single" w:sz="2" w:space="0" w:color="auto"/>
              <w:bottom w:val="single" w:sz="2" w:space="0" w:color="auto"/>
              <w:right w:val="single" w:sz="6" w:space="0" w:color="auto"/>
            </w:tcBorders>
            <w:shd w:val="clear" w:color="auto" w:fill="auto"/>
            <w:vAlign w:val="center"/>
          </w:tcPr>
          <w:p w14:paraId="2F5BDCA8" w14:textId="74B85009"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0.1</w:t>
            </w:r>
            <w:r w:rsidR="0020148A">
              <w:rPr>
                <w:rFonts w:asciiTheme="minorHAnsi" w:hAnsiTheme="minorHAnsi"/>
                <w:sz w:val="18"/>
                <w:szCs w:val="18"/>
                <w:lang w:val="en-US"/>
              </w:rPr>
              <w:t>3</w:t>
            </w:r>
          </w:p>
        </w:tc>
      </w:tr>
      <w:tr w:rsidR="004E6DC2" w:rsidRPr="009F725A" w14:paraId="4263DB9C" w14:textId="77777777" w:rsidTr="00AE1C22">
        <w:tc>
          <w:tcPr>
            <w:tcW w:w="3382" w:type="dxa"/>
            <w:tcBorders>
              <w:top w:val="single" w:sz="2" w:space="0" w:color="auto"/>
              <w:left w:val="single" w:sz="6" w:space="0" w:color="auto"/>
              <w:bottom w:val="single" w:sz="2" w:space="0" w:color="auto"/>
              <w:right w:val="single" w:sz="6" w:space="0" w:color="auto"/>
            </w:tcBorders>
            <w:shd w:val="clear" w:color="auto" w:fill="auto"/>
          </w:tcPr>
          <w:p w14:paraId="404783F1" w14:textId="77777777"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Maternal age</w:t>
            </w:r>
          </w:p>
          <w:p w14:paraId="129D7B36" w14:textId="77777777"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(≥median - 33 years)</w:t>
            </w:r>
          </w:p>
        </w:tc>
        <w:tc>
          <w:tcPr>
            <w:tcW w:w="906" w:type="dxa"/>
            <w:tcBorders>
              <w:top w:val="single" w:sz="2" w:space="0" w:color="auto"/>
              <w:left w:val="single" w:sz="6" w:space="0" w:color="auto"/>
              <w:bottom w:val="single" w:sz="2" w:space="0" w:color="auto"/>
            </w:tcBorders>
            <w:vAlign w:val="bottom"/>
          </w:tcPr>
          <w:p w14:paraId="067338A6" w14:textId="3BA1CB60" w:rsidR="004E6DC2" w:rsidRDefault="00470081" w:rsidP="004E6DC2">
            <w:pPr>
              <w:jc w:val="center"/>
              <w:rPr>
                <w:rFonts w:asciiTheme="minorHAnsi" w:hAnsiTheme="minorHAnsi"/>
                <w:sz w:val="18"/>
                <w:szCs w:val="18"/>
              </w:rPr>
            </w:pPr>
            <w:r>
              <w:rPr>
                <w:rFonts w:asciiTheme="minorHAnsi" w:hAnsiTheme="minorHAnsi"/>
                <w:sz w:val="18"/>
                <w:szCs w:val="18"/>
              </w:rPr>
              <w:t>1.59</w:t>
            </w:r>
          </w:p>
          <w:p w14:paraId="4D2D0DDC" w14:textId="2C0EC255" w:rsidR="004E6DC2" w:rsidRPr="009F725A" w:rsidRDefault="00470081">
            <w:pPr>
              <w:jc w:val="center"/>
              <w:rPr>
                <w:rFonts w:asciiTheme="minorHAnsi" w:hAnsiTheme="minorHAnsi"/>
                <w:sz w:val="18"/>
                <w:szCs w:val="18"/>
                <w:lang w:val="en-US"/>
              </w:rPr>
            </w:pPr>
            <w:r>
              <w:rPr>
                <w:rFonts w:asciiTheme="minorHAnsi" w:hAnsiTheme="minorHAnsi"/>
                <w:sz w:val="18"/>
                <w:szCs w:val="18"/>
              </w:rPr>
              <w:t>(1.08</w:t>
            </w:r>
            <w:r w:rsidR="004E6DC2" w:rsidRPr="009F725A">
              <w:rPr>
                <w:rFonts w:asciiTheme="minorHAnsi" w:hAnsiTheme="minorHAnsi"/>
                <w:sz w:val="18"/>
                <w:szCs w:val="18"/>
              </w:rPr>
              <w:t>-2.3</w:t>
            </w:r>
            <w:r>
              <w:rPr>
                <w:rFonts w:asciiTheme="minorHAnsi" w:hAnsiTheme="minorHAnsi"/>
                <w:sz w:val="18"/>
                <w:szCs w:val="18"/>
              </w:rPr>
              <w:t>3</w:t>
            </w:r>
            <w:r w:rsidR="004E6DC2" w:rsidRPr="009F725A">
              <w:rPr>
                <w:rFonts w:asciiTheme="minorHAnsi" w:hAnsiTheme="minorHAnsi"/>
                <w:sz w:val="18"/>
                <w:szCs w:val="18"/>
              </w:rPr>
              <w:t>)</w:t>
            </w:r>
          </w:p>
        </w:tc>
        <w:tc>
          <w:tcPr>
            <w:tcW w:w="680" w:type="dxa"/>
            <w:tcBorders>
              <w:top w:val="single" w:sz="2" w:space="0" w:color="auto"/>
              <w:bottom w:val="single" w:sz="2" w:space="0" w:color="auto"/>
              <w:right w:val="single" w:sz="6" w:space="0" w:color="auto"/>
            </w:tcBorders>
            <w:vAlign w:val="center"/>
          </w:tcPr>
          <w:p w14:paraId="4D72A46F" w14:textId="7281B7EB"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rPr>
              <w:t>0.02</w:t>
            </w:r>
          </w:p>
        </w:tc>
        <w:tc>
          <w:tcPr>
            <w:tcW w:w="907" w:type="dxa"/>
            <w:tcBorders>
              <w:top w:val="single" w:sz="2" w:space="0" w:color="auto"/>
              <w:left w:val="single" w:sz="6" w:space="0" w:color="auto"/>
              <w:bottom w:val="single" w:sz="2" w:space="0" w:color="auto"/>
            </w:tcBorders>
            <w:shd w:val="clear" w:color="auto" w:fill="auto"/>
            <w:vAlign w:val="bottom"/>
          </w:tcPr>
          <w:p w14:paraId="3E8C851C" w14:textId="38DE9122"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1.85</w:t>
            </w:r>
          </w:p>
          <w:p w14:paraId="2FDB4962" w14:textId="3A8694E8" w:rsidR="004E6DC2" w:rsidRPr="009F725A" w:rsidRDefault="00470081" w:rsidP="004E6DC2">
            <w:pPr>
              <w:jc w:val="center"/>
              <w:rPr>
                <w:rFonts w:asciiTheme="minorHAnsi" w:hAnsiTheme="minorHAnsi"/>
                <w:sz w:val="18"/>
                <w:szCs w:val="18"/>
                <w:lang w:val="en-US"/>
              </w:rPr>
            </w:pPr>
            <w:r>
              <w:rPr>
                <w:rFonts w:asciiTheme="minorHAnsi" w:hAnsiTheme="minorHAnsi"/>
                <w:sz w:val="18"/>
                <w:szCs w:val="18"/>
                <w:lang w:val="en-US"/>
              </w:rPr>
              <w:t>(1.25-2.76</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0A9AEFA6"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0.002</w:t>
            </w:r>
          </w:p>
        </w:tc>
        <w:tc>
          <w:tcPr>
            <w:tcW w:w="907" w:type="dxa"/>
            <w:tcBorders>
              <w:top w:val="single" w:sz="2" w:space="0" w:color="auto"/>
              <w:bottom w:val="single" w:sz="2" w:space="0" w:color="auto"/>
            </w:tcBorders>
            <w:shd w:val="clear" w:color="auto" w:fill="auto"/>
          </w:tcPr>
          <w:p w14:paraId="74E86BDF" w14:textId="1ABEF91E"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2.3</w:t>
            </w:r>
            <w:r w:rsidR="00AD5FF3">
              <w:rPr>
                <w:rFonts w:asciiTheme="minorHAnsi" w:hAnsiTheme="minorHAnsi"/>
                <w:sz w:val="18"/>
                <w:szCs w:val="18"/>
                <w:lang w:val="en-US"/>
              </w:rPr>
              <w:t>2</w:t>
            </w:r>
          </w:p>
          <w:p w14:paraId="137F4F89" w14:textId="31280EB5"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(1.5</w:t>
            </w:r>
            <w:r w:rsidR="00AD5FF3">
              <w:rPr>
                <w:rFonts w:asciiTheme="minorHAnsi" w:hAnsiTheme="minorHAnsi"/>
                <w:sz w:val="18"/>
                <w:szCs w:val="18"/>
                <w:lang w:val="en-US"/>
              </w:rPr>
              <w:t>8</w:t>
            </w:r>
            <w:r w:rsidRPr="009F725A">
              <w:rPr>
                <w:rFonts w:asciiTheme="minorHAnsi" w:hAnsiTheme="minorHAnsi"/>
                <w:sz w:val="18"/>
                <w:szCs w:val="18"/>
                <w:lang w:val="en-US"/>
              </w:rPr>
              <w:t>-3.</w:t>
            </w:r>
            <w:r w:rsidR="00AD5FF3">
              <w:rPr>
                <w:rFonts w:asciiTheme="minorHAnsi" w:hAnsiTheme="minorHAnsi"/>
                <w:sz w:val="18"/>
                <w:szCs w:val="18"/>
                <w:lang w:val="en-US"/>
              </w:rPr>
              <w:t>41</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161B089F"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&lt;0.001</w:t>
            </w:r>
          </w:p>
        </w:tc>
        <w:tc>
          <w:tcPr>
            <w:tcW w:w="907" w:type="dxa"/>
            <w:tcBorders>
              <w:top w:val="single" w:sz="2" w:space="0" w:color="auto"/>
              <w:bottom w:val="single" w:sz="2" w:space="0" w:color="auto"/>
            </w:tcBorders>
            <w:shd w:val="clear" w:color="auto" w:fill="auto"/>
          </w:tcPr>
          <w:p w14:paraId="26268B0A"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1.85</w:t>
            </w:r>
          </w:p>
          <w:p w14:paraId="2FB0B8DA" w14:textId="06614364"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(1.04-3.3</w:t>
            </w:r>
            <w:r w:rsidR="00AD5FF3">
              <w:rPr>
                <w:rFonts w:asciiTheme="minorHAnsi" w:hAnsiTheme="minorHAnsi"/>
                <w:sz w:val="18"/>
                <w:szCs w:val="18"/>
                <w:lang w:val="en-US"/>
              </w:rPr>
              <w:t>0</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29B06235"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0.04</w:t>
            </w:r>
          </w:p>
        </w:tc>
        <w:tc>
          <w:tcPr>
            <w:tcW w:w="907" w:type="dxa"/>
            <w:tcBorders>
              <w:top w:val="single" w:sz="2" w:space="0" w:color="auto"/>
              <w:bottom w:val="single" w:sz="2" w:space="0" w:color="auto"/>
            </w:tcBorders>
            <w:shd w:val="clear" w:color="auto" w:fill="auto"/>
          </w:tcPr>
          <w:p w14:paraId="6EB44B04" w14:textId="3F3E42E2" w:rsidR="004E6DC2" w:rsidRPr="009F725A" w:rsidRDefault="00AD5FF3" w:rsidP="004E6DC2">
            <w:pPr>
              <w:jc w:val="center"/>
              <w:rPr>
                <w:rFonts w:asciiTheme="minorHAnsi" w:hAnsiTheme="minorHAnsi"/>
                <w:sz w:val="18"/>
                <w:szCs w:val="18"/>
                <w:lang w:val="en-US"/>
              </w:rPr>
            </w:pPr>
            <w:r>
              <w:rPr>
                <w:rFonts w:asciiTheme="minorHAnsi" w:hAnsiTheme="minorHAnsi"/>
                <w:sz w:val="18"/>
                <w:szCs w:val="18"/>
                <w:lang w:val="en-US"/>
              </w:rPr>
              <w:t>1.27</w:t>
            </w:r>
          </w:p>
          <w:p w14:paraId="15AEC866" w14:textId="6F30E685" w:rsidR="004E6DC2" w:rsidRPr="009F725A" w:rsidRDefault="00AD5FF3" w:rsidP="0020148A">
            <w:pPr>
              <w:jc w:val="center"/>
              <w:rPr>
                <w:rFonts w:asciiTheme="minorHAnsi" w:hAnsiTheme="minorHAnsi"/>
                <w:sz w:val="18"/>
                <w:szCs w:val="18"/>
                <w:lang w:val="en-US"/>
              </w:rPr>
            </w:pPr>
            <w:r>
              <w:rPr>
                <w:rFonts w:asciiTheme="minorHAnsi" w:hAnsiTheme="minorHAnsi"/>
                <w:sz w:val="18"/>
                <w:szCs w:val="18"/>
                <w:lang w:val="en-US"/>
              </w:rPr>
              <w:t>(0.87</w:t>
            </w:r>
            <w:r w:rsidR="004E6DC2" w:rsidRPr="009F725A">
              <w:rPr>
                <w:rFonts w:asciiTheme="minorHAnsi" w:hAnsiTheme="minorHAnsi"/>
                <w:sz w:val="18"/>
                <w:szCs w:val="18"/>
                <w:lang w:val="en-US"/>
              </w:rPr>
              <w:t>-1.8</w:t>
            </w:r>
            <w:r w:rsidR="0020148A">
              <w:rPr>
                <w:rFonts w:asciiTheme="minorHAnsi" w:hAnsiTheme="minorHAnsi"/>
                <w:sz w:val="18"/>
                <w:szCs w:val="18"/>
                <w:lang w:val="en-US"/>
              </w:rPr>
              <w:t>5</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6D4AB2EA" w14:textId="5A810D5B"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0.2</w:t>
            </w:r>
            <w:r w:rsidR="0020148A">
              <w:rPr>
                <w:rFonts w:asciiTheme="minorHAnsi" w:hAnsiTheme="minorHAnsi"/>
                <w:sz w:val="18"/>
                <w:szCs w:val="18"/>
                <w:lang w:val="en-US"/>
              </w:rPr>
              <w:t>2</w:t>
            </w:r>
          </w:p>
        </w:tc>
        <w:tc>
          <w:tcPr>
            <w:tcW w:w="907" w:type="dxa"/>
            <w:tcBorders>
              <w:top w:val="single" w:sz="2" w:space="0" w:color="auto"/>
              <w:bottom w:val="single" w:sz="2" w:space="0" w:color="auto"/>
            </w:tcBorders>
            <w:shd w:val="clear" w:color="auto" w:fill="auto"/>
          </w:tcPr>
          <w:p w14:paraId="65BEAE3F" w14:textId="1CA21E62"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20148A">
              <w:rPr>
                <w:rFonts w:asciiTheme="minorHAnsi" w:hAnsiTheme="minorHAnsi"/>
                <w:sz w:val="18"/>
                <w:szCs w:val="18"/>
                <w:lang w:val="en-US"/>
              </w:rPr>
              <w:t>.54</w:t>
            </w:r>
          </w:p>
          <w:p w14:paraId="5F2F8ED0" w14:textId="52090285"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(1.0</w:t>
            </w:r>
            <w:r w:rsidR="0020148A">
              <w:rPr>
                <w:rFonts w:asciiTheme="minorHAnsi" w:hAnsiTheme="minorHAnsi"/>
                <w:sz w:val="18"/>
                <w:szCs w:val="18"/>
                <w:lang w:val="en-US"/>
              </w:rPr>
              <w:t>4</w:t>
            </w:r>
            <w:r w:rsidRPr="009F725A">
              <w:rPr>
                <w:rFonts w:asciiTheme="minorHAnsi" w:hAnsiTheme="minorHAnsi"/>
                <w:sz w:val="18"/>
                <w:szCs w:val="18"/>
                <w:lang w:val="en-US"/>
              </w:rPr>
              <w:t>-2.2</w:t>
            </w:r>
            <w:r w:rsidR="0020148A">
              <w:rPr>
                <w:rFonts w:asciiTheme="minorHAnsi" w:hAnsiTheme="minorHAnsi"/>
                <w:sz w:val="18"/>
                <w:szCs w:val="18"/>
                <w:lang w:val="en-US"/>
              </w:rPr>
              <w:t>7</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3E8698EE" w14:textId="630C951F"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0.0</w:t>
            </w:r>
            <w:r w:rsidR="0020148A">
              <w:rPr>
                <w:rFonts w:asciiTheme="minorHAnsi" w:hAnsiTheme="minorHAnsi"/>
                <w:sz w:val="18"/>
                <w:szCs w:val="18"/>
                <w:lang w:val="en-US"/>
              </w:rPr>
              <w:t>3</w:t>
            </w:r>
          </w:p>
        </w:tc>
        <w:tc>
          <w:tcPr>
            <w:tcW w:w="907" w:type="dxa"/>
            <w:tcBorders>
              <w:top w:val="single" w:sz="2" w:space="0" w:color="auto"/>
              <w:bottom w:val="single" w:sz="2" w:space="0" w:color="auto"/>
            </w:tcBorders>
            <w:shd w:val="clear" w:color="auto" w:fill="auto"/>
          </w:tcPr>
          <w:p w14:paraId="4CA5B45B" w14:textId="75249D3A"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20148A">
              <w:rPr>
                <w:rFonts w:asciiTheme="minorHAnsi" w:hAnsiTheme="minorHAnsi"/>
                <w:sz w:val="18"/>
                <w:szCs w:val="18"/>
                <w:lang w:val="en-US"/>
              </w:rPr>
              <w:t>.28</w:t>
            </w:r>
          </w:p>
          <w:p w14:paraId="0C04F55B" w14:textId="4B6329BB"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(0.88-1.8</w:t>
            </w:r>
            <w:r w:rsidR="0020148A">
              <w:rPr>
                <w:rFonts w:asciiTheme="minorHAnsi" w:hAnsiTheme="minorHAnsi"/>
                <w:sz w:val="18"/>
                <w:szCs w:val="18"/>
                <w:lang w:val="en-US"/>
              </w:rPr>
              <w:t>7</w:t>
            </w:r>
            <w:r w:rsidRPr="009F725A">
              <w:rPr>
                <w:rFonts w:asciiTheme="minorHAnsi" w:hAnsiTheme="minorHAnsi"/>
                <w:sz w:val="18"/>
                <w:szCs w:val="18"/>
                <w:lang w:val="en-US"/>
              </w:rPr>
              <w:t>)</w:t>
            </w:r>
          </w:p>
        </w:tc>
        <w:tc>
          <w:tcPr>
            <w:tcW w:w="682" w:type="dxa"/>
            <w:tcBorders>
              <w:top w:val="single" w:sz="2" w:space="0" w:color="auto"/>
              <w:bottom w:val="single" w:sz="2" w:space="0" w:color="auto"/>
              <w:right w:val="single" w:sz="6" w:space="0" w:color="auto"/>
            </w:tcBorders>
            <w:shd w:val="clear" w:color="auto" w:fill="auto"/>
            <w:vAlign w:val="center"/>
          </w:tcPr>
          <w:p w14:paraId="354565EC"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0.19</w:t>
            </w:r>
          </w:p>
        </w:tc>
      </w:tr>
      <w:tr w:rsidR="004E6DC2" w:rsidRPr="009F725A" w14:paraId="5B4CF1A1" w14:textId="77777777" w:rsidTr="00AE1C22">
        <w:tc>
          <w:tcPr>
            <w:tcW w:w="3382" w:type="dxa"/>
            <w:tcBorders>
              <w:top w:val="single" w:sz="2" w:space="0" w:color="auto"/>
              <w:left w:val="single" w:sz="6" w:space="0" w:color="auto"/>
              <w:bottom w:val="single" w:sz="2" w:space="0" w:color="auto"/>
              <w:right w:val="single" w:sz="6" w:space="0" w:color="auto"/>
            </w:tcBorders>
            <w:shd w:val="clear" w:color="auto" w:fill="auto"/>
          </w:tcPr>
          <w:p w14:paraId="0BECD773" w14:textId="38916B24"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 xml:space="preserve">Nocturnal sleep duration at enrollment </w:t>
            </w:r>
          </w:p>
          <w:p w14:paraId="18122036" w14:textId="77777777"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(hours)</w:t>
            </w:r>
          </w:p>
        </w:tc>
        <w:tc>
          <w:tcPr>
            <w:tcW w:w="906" w:type="dxa"/>
            <w:tcBorders>
              <w:top w:val="single" w:sz="2" w:space="0" w:color="auto"/>
              <w:left w:val="single" w:sz="6" w:space="0" w:color="auto"/>
              <w:bottom w:val="single" w:sz="2" w:space="0" w:color="auto"/>
            </w:tcBorders>
            <w:vAlign w:val="bottom"/>
          </w:tcPr>
          <w:p w14:paraId="762FB548" w14:textId="77777777" w:rsidR="004E6DC2" w:rsidRDefault="004E6DC2" w:rsidP="004E6DC2">
            <w:pPr>
              <w:jc w:val="center"/>
              <w:rPr>
                <w:rFonts w:asciiTheme="minorHAnsi" w:hAnsiTheme="minorHAnsi"/>
                <w:sz w:val="18"/>
                <w:szCs w:val="18"/>
              </w:rPr>
            </w:pPr>
            <w:r w:rsidRPr="009F725A">
              <w:rPr>
                <w:rFonts w:asciiTheme="minorHAnsi" w:hAnsiTheme="minorHAnsi"/>
                <w:sz w:val="18"/>
                <w:szCs w:val="18"/>
              </w:rPr>
              <w:t>0.92</w:t>
            </w:r>
          </w:p>
          <w:p w14:paraId="594284AE" w14:textId="1F4A71F6"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rPr>
              <w:t>(0.79-1.06)</w:t>
            </w:r>
          </w:p>
        </w:tc>
        <w:tc>
          <w:tcPr>
            <w:tcW w:w="680" w:type="dxa"/>
            <w:tcBorders>
              <w:top w:val="single" w:sz="2" w:space="0" w:color="auto"/>
              <w:bottom w:val="single" w:sz="2" w:space="0" w:color="auto"/>
              <w:right w:val="single" w:sz="6" w:space="0" w:color="auto"/>
            </w:tcBorders>
            <w:vAlign w:val="center"/>
          </w:tcPr>
          <w:p w14:paraId="262AABB2" w14:textId="79E73BC1" w:rsidR="004E6DC2" w:rsidRPr="009F725A" w:rsidRDefault="004E6DC2">
            <w:pPr>
              <w:jc w:val="center"/>
              <w:rPr>
                <w:rFonts w:asciiTheme="minorHAnsi" w:hAnsiTheme="minorHAnsi"/>
                <w:sz w:val="18"/>
                <w:szCs w:val="18"/>
                <w:lang w:val="en-US"/>
              </w:rPr>
            </w:pPr>
            <w:r w:rsidRPr="009F725A">
              <w:rPr>
                <w:rFonts w:asciiTheme="minorHAnsi" w:hAnsiTheme="minorHAnsi"/>
                <w:sz w:val="18"/>
                <w:szCs w:val="18"/>
              </w:rPr>
              <w:t>0.2</w:t>
            </w:r>
            <w:r w:rsidR="00470081">
              <w:rPr>
                <w:rFonts w:asciiTheme="minorHAnsi" w:hAnsiTheme="minorHAnsi"/>
                <w:sz w:val="18"/>
                <w:szCs w:val="18"/>
              </w:rPr>
              <w:t>3</w:t>
            </w:r>
          </w:p>
        </w:tc>
        <w:tc>
          <w:tcPr>
            <w:tcW w:w="907" w:type="dxa"/>
            <w:tcBorders>
              <w:top w:val="single" w:sz="2" w:space="0" w:color="auto"/>
              <w:left w:val="single" w:sz="6" w:space="0" w:color="auto"/>
              <w:bottom w:val="single" w:sz="2" w:space="0" w:color="auto"/>
            </w:tcBorders>
            <w:shd w:val="clear" w:color="auto" w:fill="auto"/>
            <w:vAlign w:val="bottom"/>
          </w:tcPr>
          <w:p w14:paraId="0A6A6B65" w14:textId="421B236C"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0.88</w:t>
            </w:r>
          </w:p>
          <w:p w14:paraId="2FA6C8E0" w14:textId="6A6DD130" w:rsidR="004E6DC2" w:rsidRPr="009F725A" w:rsidRDefault="00470081" w:rsidP="00470081">
            <w:pPr>
              <w:jc w:val="center"/>
              <w:rPr>
                <w:rFonts w:asciiTheme="minorHAnsi" w:hAnsiTheme="minorHAnsi"/>
                <w:sz w:val="18"/>
                <w:szCs w:val="18"/>
                <w:lang w:val="en-US"/>
              </w:rPr>
            </w:pPr>
            <w:r>
              <w:rPr>
                <w:rFonts w:asciiTheme="minorHAnsi" w:hAnsiTheme="minorHAnsi"/>
                <w:sz w:val="18"/>
                <w:szCs w:val="18"/>
                <w:lang w:val="en-US"/>
              </w:rPr>
              <w:t>(0.76</w:t>
            </w:r>
            <w:r w:rsidR="004E6DC2" w:rsidRPr="009F725A">
              <w:rPr>
                <w:rFonts w:asciiTheme="minorHAnsi" w:hAnsiTheme="minorHAnsi"/>
                <w:sz w:val="18"/>
                <w:szCs w:val="18"/>
                <w:lang w:val="en-US"/>
              </w:rPr>
              <w:t>-1.0</w:t>
            </w:r>
            <w:r>
              <w:rPr>
                <w:rFonts w:asciiTheme="minorHAnsi" w:hAnsiTheme="minorHAnsi"/>
                <w:sz w:val="18"/>
                <w:szCs w:val="18"/>
                <w:lang w:val="en-US"/>
              </w:rPr>
              <w:t>1</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2C750248" w14:textId="03588A7A" w:rsidR="004E6DC2" w:rsidRPr="009F725A" w:rsidRDefault="004E6DC2" w:rsidP="00470081">
            <w:pPr>
              <w:jc w:val="center"/>
              <w:rPr>
                <w:rFonts w:asciiTheme="minorHAnsi" w:hAnsiTheme="minorHAnsi"/>
                <w:sz w:val="18"/>
                <w:szCs w:val="18"/>
                <w:lang w:val="en-US"/>
              </w:rPr>
            </w:pPr>
            <w:r w:rsidRPr="009F725A">
              <w:rPr>
                <w:rFonts w:asciiTheme="minorHAnsi" w:hAnsiTheme="minorHAnsi"/>
                <w:sz w:val="18"/>
                <w:szCs w:val="18"/>
                <w:lang w:val="en-US"/>
              </w:rPr>
              <w:t>0.0</w:t>
            </w:r>
            <w:r w:rsidR="00470081">
              <w:rPr>
                <w:rFonts w:asciiTheme="minorHAnsi" w:hAnsiTheme="minorHAnsi"/>
                <w:sz w:val="18"/>
                <w:szCs w:val="18"/>
                <w:lang w:val="en-US"/>
              </w:rPr>
              <w:t>7</w:t>
            </w:r>
          </w:p>
        </w:tc>
        <w:tc>
          <w:tcPr>
            <w:tcW w:w="907" w:type="dxa"/>
            <w:tcBorders>
              <w:top w:val="single" w:sz="2" w:space="0" w:color="auto"/>
              <w:bottom w:val="single" w:sz="2" w:space="0" w:color="auto"/>
            </w:tcBorders>
            <w:shd w:val="clear" w:color="auto" w:fill="auto"/>
          </w:tcPr>
          <w:p w14:paraId="1FE553E2" w14:textId="02E3FD5B"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.91</w:t>
            </w:r>
          </w:p>
          <w:p w14:paraId="3BCFC2C5" w14:textId="3352FE33"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(0.7</w:t>
            </w:r>
            <w:r w:rsidR="00AD5FF3">
              <w:rPr>
                <w:rFonts w:asciiTheme="minorHAnsi" w:hAnsiTheme="minorHAnsi"/>
                <w:sz w:val="18"/>
                <w:szCs w:val="18"/>
                <w:lang w:val="en-US"/>
              </w:rPr>
              <w:t>9</w:t>
            </w:r>
            <w:r w:rsidRPr="009F725A">
              <w:rPr>
                <w:rFonts w:asciiTheme="minorHAnsi" w:hAnsiTheme="minorHAnsi"/>
                <w:sz w:val="18"/>
                <w:szCs w:val="18"/>
                <w:lang w:val="en-US"/>
              </w:rPr>
              <w:t>-1.04)</w:t>
            </w:r>
          </w:p>
        </w:tc>
        <w:tc>
          <w:tcPr>
            <w:tcW w:w="680" w:type="dxa"/>
            <w:tcBorders>
              <w:top w:val="single" w:sz="2" w:space="0" w:color="auto"/>
              <w:bottom w:val="single" w:sz="2" w:space="0" w:color="auto"/>
            </w:tcBorders>
            <w:shd w:val="clear" w:color="auto" w:fill="auto"/>
            <w:vAlign w:val="center"/>
          </w:tcPr>
          <w:p w14:paraId="2C6FC5DA" w14:textId="0DC834A7"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0.1</w:t>
            </w:r>
            <w:r w:rsidR="00AD5FF3">
              <w:rPr>
                <w:rFonts w:asciiTheme="minorHAnsi" w:hAnsiTheme="minorHAnsi"/>
                <w:sz w:val="18"/>
                <w:szCs w:val="18"/>
                <w:lang w:val="en-US"/>
              </w:rPr>
              <w:t>7</w:t>
            </w:r>
          </w:p>
        </w:tc>
        <w:tc>
          <w:tcPr>
            <w:tcW w:w="907" w:type="dxa"/>
            <w:tcBorders>
              <w:top w:val="single" w:sz="2" w:space="0" w:color="auto"/>
              <w:bottom w:val="single" w:sz="2" w:space="0" w:color="auto"/>
            </w:tcBorders>
            <w:shd w:val="clear" w:color="auto" w:fill="auto"/>
          </w:tcPr>
          <w:p w14:paraId="5705FE35" w14:textId="5D2E6856"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0.9</w:t>
            </w:r>
            <w:r w:rsidR="00AD5FF3">
              <w:rPr>
                <w:rFonts w:asciiTheme="minorHAnsi" w:hAnsiTheme="minorHAnsi"/>
                <w:sz w:val="18"/>
                <w:szCs w:val="18"/>
                <w:lang w:val="en-US"/>
              </w:rPr>
              <w:t>4</w:t>
            </w:r>
          </w:p>
          <w:p w14:paraId="1BF61212" w14:textId="0DB0ACD4" w:rsidR="004E6DC2" w:rsidRPr="009F725A" w:rsidRDefault="00AD5FF3" w:rsidP="00AD5FF3">
            <w:pPr>
              <w:jc w:val="center"/>
              <w:rPr>
                <w:rFonts w:asciiTheme="minorHAnsi" w:hAnsiTheme="minorHAnsi"/>
                <w:sz w:val="18"/>
                <w:szCs w:val="18"/>
                <w:lang w:val="en-US"/>
              </w:rPr>
            </w:pPr>
            <w:r>
              <w:rPr>
                <w:rFonts w:asciiTheme="minorHAnsi" w:hAnsiTheme="minorHAnsi"/>
                <w:sz w:val="18"/>
                <w:szCs w:val="18"/>
                <w:lang w:val="en-US"/>
              </w:rPr>
              <w:t>(0.78</w:t>
            </w:r>
            <w:r w:rsidR="004E6DC2" w:rsidRPr="009F725A">
              <w:rPr>
                <w:rFonts w:asciiTheme="minorHAnsi" w:hAnsiTheme="minorHAnsi"/>
                <w:sz w:val="18"/>
                <w:szCs w:val="18"/>
                <w:lang w:val="en-US"/>
              </w:rPr>
              <w:t>-1.1</w:t>
            </w:r>
            <w:r>
              <w:rPr>
                <w:rFonts w:asciiTheme="minorHAnsi" w:hAnsiTheme="minorHAnsi"/>
                <w:sz w:val="18"/>
                <w:szCs w:val="18"/>
                <w:lang w:val="en-US"/>
              </w:rPr>
              <w:t>4</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4A1FF5B6" w14:textId="06A67721"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w:t>
            </w:r>
            <w:r w:rsidR="00AD5FF3">
              <w:rPr>
                <w:rFonts w:asciiTheme="minorHAnsi" w:hAnsiTheme="minorHAnsi"/>
                <w:sz w:val="18"/>
                <w:szCs w:val="18"/>
                <w:lang w:val="en-US"/>
              </w:rPr>
              <w:t>54</w:t>
            </w:r>
          </w:p>
        </w:tc>
        <w:tc>
          <w:tcPr>
            <w:tcW w:w="907" w:type="dxa"/>
            <w:tcBorders>
              <w:top w:val="single" w:sz="2" w:space="0" w:color="auto"/>
              <w:bottom w:val="single" w:sz="2" w:space="0" w:color="auto"/>
            </w:tcBorders>
            <w:shd w:val="clear" w:color="auto" w:fill="auto"/>
          </w:tcPr>
          <w:p w14:paraId="4722114C"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0.95</w:t>
            </w:r>
          </w:p>
          <w:p w14:paraId="00FE63B6"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(0.83-1.09)</w:t>
            </w:r>
          </w:p>
        </w:tc>
        <w:tc>
          <w:tcPr>
            <w:tcW w:w="680" w:type="dxa"/>
            <w:tcBorders>
              <w:top w:val="single" w:sz="2" w:space="0" w:color="auto"/>
              <w:bottom w:val="single" w:sz="2" w:space="0" w:color="auto"/>
            </w:tcBorders>
            <w:shd w:val="clear" w:color="auto" w:fill="auto"/>
            <w:vAlign w:val="center"/>
          </w:tcPr>
          <w:p w14:paraId="3A43DB17" w14:textId="6C89DA0F"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0.4</w:t>
            </w:r>
            <w:r w:rsidR="0020148A">
              <w:rPr>
                <w:rFonts w:asciiTheme="minorHAnsi" w:hAnsiTheme="minorHAnsi"/>
                <w:sz w:val="18"/>
                <w:szCs w:val="18"/>
                <w:lang w:val="en-US"/>
              </w:rPr>
              <w:t>7</w:t>
            </w:r>
          </w:p>
        </w:tc>
        <w:tc>
          <w:tcPr>
            <w:tcW w:w="907" w:type="dxa"/>
            <w:tcBorders>
              <w:top w:val="single" w:sz="2" w:space="0" w:color="auto"/>
              <w:bottom w:val="single" w:sz="2" w:space="0" w:color="auto"/>
            </w:tcBorders>
            <w:shd w:val="clear" w:color="auto" w:fill="auto"/>
          </w:tcPr>
          <w:p w14:paraId="5838CE02"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0.92</w:t>
            </w:r>
          </w:p>
          <w:p w14:paraId="16440110"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(0.80-1.06)</w:t>
            </w:r>
          </w:p>
        </w:tc>
        <w:tc>
          <w:tcPr>
            <w:tcW w:w="680" w:type="dxa"/>
            <w:tcBorders>
              <w:top w:val="single" w:sz="2" w:space="0" w:color="auto"/>
              <w:bottom w:val="single" w:sz="2" w:space="0" w:color="auto"/>
            </w:tcBorders>
            <w:shd w:val="clear" w:color="auto" w:fill="auto"/>
            <w:vAlign w:val="center"/>
          </w:tcPr>
          <w:p w14:paraId="49E99096" w14:textId="45E8176F"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0.2</w:t>
            </w:r>
            <w:r w:rsidR="0020148A">
              <w:rPr>
                <w:rFonts w:asciiTheme="minorHAnsi" w:hAnsiTheme="minorHAnsi"/>
                <w:sz w:val="18"/>
                <w:szCs w:val="18"/>
                <w:lang w:val="en-US"/>
              </w:rPr>
              <w:t>6</w:t>
            </w:r>
          </w:p>
        </w:tc>
        <w:tc>
          <w:tcPr>
            <w:tcW w:w="907" w:type="dxa"/>
            <w:tcBorders>
              <w:top w:val="single" w:sz="2" w:space="0" w:color="auto"/>
              <w:bottom w:val="single" w:sz="2" w:space="0" w:color="auto"/>
            </w:tcBorders>
            <w:shd w:val="clear" w:color="auto" w:fill="auto"/>
          </w:tcPr>
          <w:p w14:paraId="205CB92A"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0.90</w:t>
            </w:r>
          </w:p>
          <w:p w14:paraId="20383E9A"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(0.79-1.04)</w:t>
            </w:r>
          </w:p>
        </w:tc>
        <w:tc>
          <w:tcPr>
            <w:tcW w:w="682" w:type="dxa"/>
            <w:tcBorders>
              <w:top w:val="single" w:sz="2" w:space="0" w:color="auto"/>
              <w:bottom w:val="single" w:sz="2" w:space="0" w:color="auto"/>
              <w:right w:val="single" w:sz="6" w:space="0" w:color="auto"/>
            </w:tcBorders>
            <w:shd w:val="clear" w:color="auto" w:fill="auto"/>
            <w:vAlign w:val="center"/>
          </w:tcPr>
          <w:p w14:paraId="28C65238" w14:textId="07185349"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0.1</w:t>
            </w:r>
            <w:r w:rsidR="0020148A">
              <w:rPr>
                <w:rFonts w:asciiTheme="minorHAnsi" w:hAnsiTheme="minorHAnsi"/>
                <w:sz w:val="18"/>
                <w:szCs w:val="18"/>
                <w:lang w:val="en-US"/>
              </w:rPr>
              <w:t>5</w:t>
            </w:r>
          </w:p>
        </w:tc>
      </w:tr>
      <w:tr w:rsidR="004E6DC2" w:rsidRPr="009F725A" w14:paraId="08F4653E" w14:textId="77777777" w:rsidTr="00AE1C22">
        <w:tc>
          <w:tcPr>
            <w:tcW w:w="3382" w:type="dxa"/>
            <w:tcBorders>
              <w:top w:val="single" w:sz="2" w:space="0" w:color="auto"/>
              <w:left w:val="single" w:sz="6" w:space="0" w:color="auto"/>
              <w:bottom w:val="single" w:sz="2" w:space="0" w:color="auto"/>
              <w:right w:val="single" w:sz="6" w:space="0" w:color="auto"/>
            </w:tcBorders>
            <w:shd w:val="clear" w:color="auto" w:fill="auto"/>
          </w:tcPr>
          <w:p w14:paraId="31DE8BAD" w14:textId="3DC828B5"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Night time wakings at enrollment</w:t>
            </w:r>
          </w:p>
          <w:p w14:paraId="41A12BB0" w14:textId="77777777"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(number of wakings)</w:t>
            </w:r>
          </w:p>
        </w:tc>
        <w:tc>
          <w:tcPr>
            <w:tcW w:w="906" w:type="dxa"/>
            <w:tcBorders>
              <w:top w:val="single" w:sz="2" w:space="0" w:color="auto"/>
              <w:left w:val="single" w:sz="6" w:space="0" w:color="auto"/>
              <w:bottom w:val="single" w:sz="2" w:space="0" w:color="auto"/>
            </w:tcBorders>
            <w:vAlign w:val="bottom"/>
          </w:tcPr>
          <w:p w14:paraId="0602A5F0" w14:textId="77777777" w:rsidR="004E6DC2" w:rsidRDefault="004E6DC2" w:rsidP="004E6DC2">
            <w:pPr>
              <w:jc w:val="center"/>
              <w:rPr>
                <w:rFonts w:asciiTheme="minorHAnsi" w:hAnsiTheme="minorHAnsi"/>
                <w:sz w:val="18"/>
                <w:szCs w:val="18"/>
              </w:rPr>
            </w:pPr>
            <w:r w:rsidRPr="009F725A">
              <w:rPr>
                <w:rFonts w:asciiTheme="minorHAnsi" w:hAnsiTheme="minorHAnsi"/>
                <w:sz w:val="18"/>
                <w:szCs w:val="18"/>
              </w:rPr>
              <w:t>1.14</w:t>
            </w:r>
          </w:p>
          <w:p w14:paraId="6B7EC7DC" w14:textId="02B7582E" w:rsidR="004E6DC2" w:rsidRPr="009F725A" w:rsidRDefault="004E6DC2">
            <w:pPr>
              <w:jc w:val="center"/>
              <w:rPr>
                <w:rFonts w:asciiTheme="minorHAnsi" w:hAnsiTheme="minorHAnsi"/>
                <w:sz w:val="18"/>
                <w:szCs w:val="18"/>
                <w:lang w:val="en-US"/>
              </w:rPr>
            </w:pPr>
            <w:r w:rsidRPr="009F725A">
              <w:rPr>
                <w:rFonts w:asciiTheme="minorHAnsi" w:hAnsiTheme="minorHAnsi"/>
                <w:sz w:val="18"/>
                <w:szCs w:val="18"/>
              </w:rPr>
              <w:t>(0.9</w:t>
            </w:r>
            <w:r w:rsidR="00470081">
              <w:rPr>
                <w:rFonts w:asciiTheme="minorHAnsi" w:hAnsiTheme="minorHAnsi"/>
                <w:sz w:val="18"/>
                <w:szCs w:val="18"/>
              </w:rPr>
              <w:t>7-</w:t>
            </w:r>
            <w:r w:rsidRPr="009F725A">
              <w:rPr>
                <w:rFonts w:asciiTheme="minorHAnsi" w:hAnsiTheme="minorHAnsi"/>
                <w:sz w:val="18"/>
                <w:szCs w:val="18"/>
              </w:rPr>
              <w:t>1.34)</w:t>
            </w:r>
          </w:p>
        </w:tc>
        <w:tc>
          <w:tcPr>
            <w:tcW w:w="680" w:type="dxa"/>
            <w:tcBorders>
              <w:top w:val="single" w:sz="2" w:space="0" w:color="auto"/>
              <w:bottom w:val="single" w:sz="2" w:space="0" w:color="auto"/>
              <w:right w:val="single" w:sz="6" w:space="0" w:color="auto"/>
            </w:tcBorders>
            <w:vAlign w:val="center"/>
          </w:tcPr>
          <w:p w14:paraId="5F8FE088" w14:textId="57297591"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rPr>
              <w:t>0.11</w:t>
            </w:r>
          </w:p>
        </w:tc>
        <w:tc>
          <w:tcPr>
            <w:tcW w:w="907" w:type="dxa"/>
            <w:tcBorders>
              <w:top w:val="single" w:sz="2" w:space="0" w:color="auto"/>
              <w:left w:val="single" w:sz="6" w:space="0" w:color="auto"/>
              <w:bottom w:val="single" w:sz="2" w:space="0" w:color="auto"/>
            </w:tcBorders>
            <w:shd w:val="clear" w:color="auto" w:fill="auto"/>
            <w:vAlign w:val="bottom"/>
          </w:tcPr>
          <w:p w14:paraId="5F15CF7C" w14:textId="1508884A" w:rsidR="004E6DC2" w:rsidRPr="009F725A" w:rsidRDefault="00DA2671" w:rsidP="004E6DC2">
            <w:pPr>
              <w:jc w:val="center"/>
              <w:rPr>
                <w:rFonts w:asciiTheme="minorHAnsi" w:hAnsiTheme="minorHAnsi"/>
                <w:sz w:val="18"/>
                <w:szCs w:val="18"/>
                <w:lang w:val="en-US"/>
              </w:rPr>
            </w:pPr>
            <w:r>
              <w:rPr>
                <w:rFonts w:asciiTheme="minorHAnsi" w:hAnsiTheme="minorHAnsi"/>
                <w:sz w:val="18"/>
                <w:szCs w:val="18"/>
                <w:lang w:val="en-US"/>
              </w:rPr>
              <w:t>1.06</w:t>
            </w:r>
          </w:p>
          <w:p w14:paraId="62C5AC00"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(0.91-1.25)</w:t>
            </w:r>
          </w:p>
        </w:tc>
        <w:tc>
          <w:tcPr>
            <w:tcW w:w="680" w:type="dxa"/>
            <w:tcBorders>
              <w:top w:val="single" w:sz="2" w:space="0" w:color="auto"/>
              <w:bottom w:val="single" w:sz="2" w:space="0" w:color="auto"/>
            </w:tcBorders>
            <w:shd w:val="clear" w:color="auto" w:fill="auto"/>
            <w:vAlign w:val="center"/>
          </w:tcPr>
          <w:p w14:paraId="546461AD" w14:textId="44E3CD6D"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0.4</w:t>
            </w:r>
            <w:r w:rsidR="00DA2671">
              <w:rPr>
                <w:rFonts w:asciiTheme="minorHAnsi" w:hAnsiTheme="minorHAnsi"/>
                <w:sz w:val="18"/>
                <w:szCs w:val="18"/>
                <w:lang w:val="en-US"/>
              </w:rPr>
              <w:t>4</w:t>
            </w:r>
          </w:p>
        </w:tc>
        <w:tc>
          <w:tcPr>
            <w:tcW w:w="907" w:type="dxa"/>
            <w:tcBorders>
              <w:top w:val="single" w:sz="2" w:space="0" w:color="auto"/>
              <w:bottom w:val="single" w:sz="2" w:space="0" w:color="auto"/>
            </w:tcBorders>
            <w:shd w:val="clear" w:color="auto" w:fill="auto"/>
          </w:tcPr>
          <w:p w14:paraId="2A041658" w14:textId="017E5A82"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1.1</w:t>
            </w:r>
            <w:r w:rsidR="00AD5FF3">
              <w:rPr>
                <w:rFonts w:asciiTheme="minorHAnsi" w:hAnsiTheme="minorHAnsi"/>
                <w:sz w:val="18"/>
                <w:szCs w:val="18"/>
                <w:lang w:val="en-US"/>
              </w:rPr>
              <w:t>8</w:t>
            </w:r>
          </w:p>
          <w:p w14:paraId="79DA0867" w14:textId="08F6833D"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(1.01-1.</w:t>
            </w:r>
            <w:r w:rsidR="00AD5FF3">
              <w:rPr>
                <w:rFonts w:asciiTheme="minorHAnsi" w:hAnsiTheme="minorHAnsi"/>
                <w:sz w:val="18"/>
                <w:szCs w:val="18"/>
                <w:lang w:val="en-US"/>
              </w:rPr>
              <w:t>39</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3C8160D6"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0.04</w:t>
            </w:r>
          </w:p>
        </w:tc>
        <w:tc>
          <w:tcPr>
            <w:tcW w:w="907" w:type="dxa"/>
            <w:tcBorders>
              <w:top w:val="single" w:sz="2" w:space="0" w:color="auto"/>
              <w:bottom w:val="single" w:sz="2" w:space="0" w:color="auto"/>
            </w:tcBorders>
            <w:shd w:val="clear" w:color="auto" w:fill="auto"/>
          </w:tcPr>
          <w:p w14:paraId="4A6CD0AD" w14:textId="7709E199" w:rsidR="004E6DC2" w:rsidRPr="009F725A" w:rsidRDefault="00AD5FF3" w:rsidP="004E6DC2">
            <w:pPr>
              <w:jc w:val="center"/>
              <w:rPr>
                <w:rFonts w:asciiTheme="minorHAnsi" w:hAnsiTheme="minorHAnsi"/>
                <w:sz w:val="18"/>
                <w:szCs w:val="18"/>
                <w:lang w:val="en-US"/>
              </w:rPr>
            </w:pPr>
            <w:r>
              <w:rPr>
                <w:rFonts w:asciiTheme="minorHAnsi" w:hAnsiTheme="minorHAnsi"/>
                <w:sz w:val="18"/>
                <w:szCs w:val="18"/>
                <w:lang w:val="en-US"/>
              </w:rPr>
              <w:t>1.00</w:t>
            </w:r>
          </w:p>
          <w:p w14:paraId="4B8E5C02"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(0.81-1.25)</w:t>
            </w:r>
          </w:p>
        </w:tc>
        <w:tc>
          <w:tcPr>
            <w:tcW w:w="680" w:type="dxa"/>
            <w:tcBorders>
              <w:top w:val="single" w:sz="2" w:space="0" w:color="auto"/>
              <w:bottom w:val="single" w:sz="2" w:space="0" w:color="auto"/>
            </w:tcBorders>
            <w:shd w:val="clear" w:color="auto" w:fill="auto"/>
            <w:vAlign w:val="center"/>
          </w:tcPr>
          <w:p w14:paraId="2F6C866E" w14:textId="6AE06E63"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0.9</w:t>
            </w:r>
            <w:r w:rsidR="00AD5FF3">
              <w:rPr>
                <w:rFonts w:asciiTheme="minorHAnsi" w:hAnsiTheme="minorHAnsi"/>
                <w:sz w:val="18"/>
                <w:szCs w:val="18"/>
                <w:lang w:val="en-US"/>
              </w:rPr>
              <w:t>8</w:t>
            </w:r>
          </w:p>
        </w:tc>
        <w:tc>
          <w:tcPr>
            <w:tcW w:w="907" w:type="dxa"/>
            <w:tcBorders>
              <w:top w:val="single" w:sz="2" w:space="0" w:color="auto"/>
              <w:bottom w:val="single" w:sz="2" w:space="0" w:color="auto"/>
            </w:tcBorders>
            <w:shd w:val="clear" w:color="auto" w:fill="auto"/>
          </w:tcPr>
          <w:p w14:paraId="716DEB4C"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1.09</w:t>
            </w:r>
          </w:p>
          <w:p w14:paraId="20E8AB70" w14:textId="54B12296" w:rsidR="004E6DC2" w:rsidRPr="009F725A" w:rsidRDefault="0020148A" w:rsidP="004E6DC2">
            <w:pPr>
              <w:jc w:val="center"/>
              <w:rPr>
                <w:rFonts w:asciiTheme="minorHAnsi" w:hAnsiTheme="minorHAnsi"/>
                <w:sz w:val="18"/>
                <w:szCs w:val="18"/>
                <w:lang w:val="en-US"/>
              </w:rPr>
            </w:pPr>
            <w:r>
              <w:rPr>
                <w:rFonts w:asciiTheme="minorHAnsi" w:hAnsiTheme="minorHAnsi"/>
                <w:sz w:val="18"/>
                <w:szCs w:val="18"/>
                <w:lang w:val="en-US"/>
              </w:rPr>
              <w:t>(0.93-1.27</w:t>
            </w:r>
            <w:r w:rsidR="004E6DC2"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19059FA9" w14:textId="4FFC094F"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w:t>
            </w:r>
            <w:r w:rsidR="0020148A">
              <w:rPr>
                <w:rFonts w:asciiTheme="minorHAnsi" w:hAnsiTheme="minorHAnsi"/>
                <w:sz w:val="18"/>
                <w:szCs w:val="18"/>
                <w:lang w:val="en-US"/>
              </w:rPr>
              <w:t>31</w:t>
            </w:r>
          </w:p>
        </w:tc>
        <w:tc>
          <w:tcPr>
            <w:tcW w:w="907" w:type="dxa"/>
            <w:tcBorders>
              <w:top w:val="single" w:sz="2" w:space="0" w:color="auto"/>
              <w:bottom w:val="single" w:sz="2" w:space="0" w:color="auto"/>
            </w:tcBorders>
            <w:shd w:val="clear" w:color="auto" w:fill="auto"/>
          </w:tcPr>
          <w:p w14:paraId="07CAE42D" w14:textId="38834DA8"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20148A">
              <w:rPr>
                <w:rFonts w:asciiTheme="minorHAnsi" w:hAnsiTheme="minorHAnsi"/>
                <w:sz w:val="18"/>
                <w:szCs w:val="18"/>
                <w:lang w:val="en-US"/>
              </w:rPr>
              <w:t>.13</w:t>
            </w:r>
          </w:p>
          <w:p w14:paraId="0DA0344B" w14:textId="5F0C5D18"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(0.97-1.3</w:t>
            </w:r>
            <w:r w:rsidR="0020148A">
              <w:rPr>
                <w:rFonts w:asciiTheme="minorHAnsi" w:hAnsiTheme="minorHAnsi"/>
                <w:sz w:val="18"/>
                <w:szCs w:val="18"/>
                <w:lang w:val="en-US"/>
              </w:rPr>
              <w:t>2</w:t>
            </w:r>
            <w:r w:rsidRPr="009F725A">
              <w:rPr>
                <w:rFonts w:asciiTheme="minorHAnsi" w:hAnsiTheme="minorHAnsi"/>
                <w:sz w:val="18"/>
                <w:szCs w:val="18"/>
                <w:lang w:val="en-US"/>
              </w:rPr>
              <w:t>)</w:t>
            </w:r>
          </w:p>
        </w:tc>
        <w:tc>
          <w:tcPr>
            <w:tcW w:w="680" w:type="dxa"/>
            <w:tcBorders>
              <w:top w:val="single" w:sz="2" w:space="0" w:color="auto"/>
              <w:bottom w:val="single" w:sz="2" w:space="0" w:color="auto"/>
            </w:tcBorders>
            <w:shd w:val="clear" w:color="auto" w:fill="auto"/>
            <w:vAlign w:val="center"/>
          </w:tcPr>
          <w:p w14:paraId="5602DF96" w14:textId="0A39B704"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0.1</w:t>
            </w:r>
            <w:r w:rsidR="0020148A">
              <w:rPr>
                <w:rFonts w:asciiTheme="minorHAnsi" w:hAnsiTheme="minorHAnsi"/>
                <w:sz w:val="18"/>
                <w:szCs w:val="18"/>
                <w:lang w:val="en-US"/>
              </w:rPr>
              <w:t>3</w:t>
            </w:r>
          </w:p>
        </w:tc>
        <w:tc>
          <w:tcPr>
            <w:tcW w:w="907" w:type="dxa"/>
            <w:tcBorders>
              <w:top w:val="single" w:sz="2" w:space="0" w:color="auto"/>
              <w:bottom w:val="single" w:sz="2" w:space="0" w:color="auto"/>
            </w:tcBorders>
            <w:shd w:val="clear" w:color="auto" w:fill="auto"/>
          </w:tcPr>
          <w:p w14:paraId="47485C20" w14:textId="77777777"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1.10</w:t>
            </w:r>
          </w:p>
          <w:p w14:paraId="3E032146" w14:textId="1B411D51" w:rsidR="004E6DC2" w:rsidRPr="009F725A" w:rsidRDefault="0020148A" w:rsidP="0020148A">
            <w:pPr>
              <w:jc w:val="center"/>
              <w:rPr>
                <w:rFonts w:asciiTheme="minorHAnsi" w:hAnsiTheme="minorHAnsi"/>
                <w:sz w:val="18"/>
                <w:szCs w:val="18"/>
                <w:lang w:val="en-US"/>
              </w:rPr>
            </w:pPr>
            <w:r>
              <w:rPr>
                <w:rFonts w:asciiTheme="minorHAnsi" w:hAnsiTheme="minorHAnsi"/>
                <w:sz w:val="18"/>
                <w:szCs w:val="18"/>
                <w:lang w:val="en-US"/>
              </w:rPr>
              <w:t>(0.93</w:t>
            </w:r>
            <w:r w:rsidR="004E6DC2" w:rsidRPr="009F725A">
              <w:rPr>
                <w:rFonts w:asciiTheme="minorHAnsi" w:hAnsiTheme="minorHAnsi"/>
                <w:sz w:val="18"/>
                <w:szCs w:val="18"/>
                <w:lang w:val="en-US"/>
              </w:rPr>
              <w:t>-1.</w:t>
            </w:r>
            <w:r>
              <w:rPr>
                <w:rFonts w:asciiTheme="minorHAnsi" w:hAnsiTheme="minorHAnsi"/>
                <w:sz w:val="18"/>
                <w:szCs w:val="18"/>
                <w:lang w:val="en-US"/>
              </w:rPr>
              <w:t>29</w:t>
            </w:r>
            <w:r w:rsidR="004E6DC2" w:rsidRPr="009F725A">
              <w:rPr>
                <w:rFonts w:asciiTheme="minorHAnsi" w:hAnsiTheme="minorHAnsi"/>
                <w:sz w:val="18"/>
                <w:szCs w:val="18"/>
                <w:lang w:val="en-US"/>
              </w:rPr>
              <w:t>)</w:t>
            </w:r>
          </w:p>
        </w:tc>
        <w:tc>
          <w:tcPr>
            <w:tcW w:w="682" w:type="dxa"/>
            <w:tcBorders>
              <w:top w:val="single" w:sz="2" w:space="0" w:color="auto"/>
              <w:bottom w:val="single" w:sz="2" w:space="0" w:color="auto"/>
              <w:right w:val="single" w:sz="6" w:space="0" w:color="auto"/>
            </w:tcBorders>
            <w:shd w:val="clear" w:color="auto" w:fill="auto"/>
            <w:vAlign w:val="center"/>
          </w:tcPr>
          <w:p w14:paraId="1920589E" w14:textId="420E49B9"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0.2</w:t>
            </w:r>
            <w:r w:rsidR="0020148A">
              <w:rPr>
                <w:rFonts w:asciiTheme="minorHAnsi" w:hAnsiTheme="minorHAnsi"/>
                <w:sz w:val="18"/>
                <w:szCs w:val="18"/>
                <w:lang w:val="en-US"/>
              </w:rPr>
              <w:t>6</w:t>
            </w:r>
          </w:p>
        </w:tc>
      </w:tr>
      <w:tr w:rsidR="004E6DC2" w:rsidRPr="009F725A" w14:paraId="68B0F3E1" w14:textId="77777777" w:rsidTr="00AE1C22">
        <w:tc>
          <w:tcPr>
            <w:tcW w:w="3382" w:type="dxa"/>
            <w:tcBorders>
              <w:top w:val="single" w:sz="2" w:space="0" w:color="auto"/>
              <w:left w:val="single" w:sz="6" w:space="0" w:color="auto"/>
              <w:right w:val="single" w:sz="6" w:space="0" w:color="auto"/>
            </w:tcBorders>
            <w:shd w:val="clear" w:color="auto" w:fill="auto"/>
          </w:tcPr>
          <w:p w14:paraId="22DCA5B6" w14:textId="42CE7F6C"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Parent reported sleep problem at enrollment</w:t>
            </w:r>
          </w:p>
          <w:p w14:paraId="05CDF4B6" w14:textId="77777777" w:rsidR="004E6DC2" w:rsidRPr="009F725A" w:rsidRDefault="004E6DC2" w:rsidP="004E6DC2">
            <w:pPr>
              <w:rPr>
                <w:rFonts w:asciiTheme="minorHAnsi" w:hAnsiTheme="minorHAnsi"/>
                <w:sz w:val="18"/>
                <w:szCs w:val="18"/>
                <w:lang w:val="en-US"/>
              </w:rPr>
            </w:pPr>
            <w:r w:rsidRPr="009F725A">
              <w:rPr>
                <w:rFonts w:asciiTheme="minorHAnsi" w:hAnsiTheme="minorHAnsi"/>
                <w:sz w:val="18"/>
                <w:szCs w:val="18"/>
                <w:lang w:val="en-US"/>
              </w:rPr>
              <w:t>(None/Small problem/Very serious problem)</w:t>
            </w:r>
          </w:p>
        </w:tc>
        <w:tc>
          <w:tcPr>
            <w:tcW w:w="906" w:type="dxa"/>
            <w:tcBorders>
              <w:top w:val="single" w:sz="2" w:space="0" w:color="auto"/>
              <w:left w:val="single" w:sz="6" w:space="0" w:color="auto"/>
            </w:tcBorders>
            <w:vAlign w:val="bottom"/>
          </w:tcPr>
          <w:p w14:paraId="7E479FA8" w14:textId="6FAF19E3" w:rsidR="004E6DC2" w:rsidRDefault="004E6DC2" w:rsidP="004E6DC2">
            <w:pPr>
              <w:jc w:val="center"/>
              <w:rPr>
                <w:rFonts w:asciiTheme="minorHAnsi" w:hAnsiTheme="minorHAnsi"/>
                <w:sz w:val="18"/>
                <w:szCs w:val="18"/>
              </w:rPr>
            </w:pPr>
            <w:r w:rsidRPr="009F725A">
              <w:rPr>
                <w:rFonts w:asciiTheme="minorHAnsi" w:hAnsiTheme="minorHAnsi"/>
                <w:sz w:val="18"/>
                <w:szCs w:val="18"/>
              </w:rPr>
              <w:t>1.</w:t>
            </w:r>
            <w:r w:rsidR="00470081">
              <w:rPr>
                <w:rFonts w:asciiTheme="minorHAnsi" w:hAnsiTheme="minorHAnsi"/>
                <w:sz w:val="18"/>
                <w:szCs w:val="18"/>
              </w:rPr>
              <w:t>11</w:t>
            </w:r>
          </w:p>
          <w:p w14:paraId="425B1ECA" w14:textId="435CC913" w:rsidR="004E6DC2" w:rsidRPr="009F725A" w:rsidRDefault="004E6DC2">
            <w:pPr>
              <w:jc w:val="center"/>
              <w:rPr>
                <w:rFonts w:asciiTheme="minorHAnsi" w:hAnsiTheme="minorHAnsi"/>
                <w:sz w:val="18"/>
                <w:szCs w:val="18"/>
                <w:lang w:val="en-US"/>
              </w:rPr>
            </w:pPr>
            <w:r w:rsidRPr="009F725A">
              <w:rPr>
                <w:rFonts w:asciiTheme="minorHAnsi" w:hAnsiTheme="minorHAnsi"/>
                <w:sz w:val="18"/>
                <w:szCs w:val="18"/>
              </w:rPr>
              <w:t>(0.7</w:t>
            </w:r>
            <w:r w:rsidR="00470081">
              <w:rPr>
                <w:rFonts w:asciiTheme="minorHAnsi" w:hAnsiTheme="minorHAnsi"/>
                <w:sz w:val="18"/>
                <w:szCs w:val="18"/>
              </w:rPr>
              <w:t>3</w:t>
            </w:r>
            <w:r w:rsidRPr="009F725A">
              <w:rPr>
                <w:rFonts w:asciiTheme="minorHAnsi" w:hAnsiTheme="minorHAnsi"/>
                <w:sz w:val="18"/>
                <w:szCs w:val="18"/>
              </w:rPr>
              <w:t>-1.6</w:t>
            </w:r>
            <w:r w:rsidR="00470081">
              <w:rPr>
                <w:rFonts w:asciiTheme="minorHAnsi" w:hAnsiTheme="minorHAnsi"/>
                <w:sz w:val="18"/>
                <w:szCs w:val="18"/>
              </w:rPr>
              <w:t>7</w:t>
            </w:r>
            <w:r w:rsidRPr="009F725A">
              <w:rPr>
                <w:rFonts w:asciiTheme="minorHAnsi" w:hAnsiTheme="minorHAnsi"/>
                <w:sz w:val="18"/>
                <w:szCs w:val="18"/>
              </w:rPr>
              <w:t>)</w:t>
            </w:r>
          </w:p>
        </w:tc>
        <w:tc>
          <w:tcPr>
            <w:tcW w:w="680" w:type="dxa"/>
            <w:tcBorders>
              <w:top w:val="single" w:sz="2" w:space="0" w:color="auto"/>
              <w:bottom w:val="single" w:sz="12" w:space="0" w:color="auto"/>
              <w:right w:val="single" w:sz="6" w:space="0" w:color="auto"/>
            </w:tcBorders>
            <w:vAlign w:val="center"/>
          </w:tcPr>
          <w:p w14:paraId="457DEED8" w14:textId="3AA4FC4A" w:rsidR="004E6DC2" w:rsidRPr="009F725A" w:rsidRDefault="004E6DC2">
            <w:pPr>
              <w:jc w:val="center"/>
              <w:rPr>
                <w:rFonts w:asciiTheme="minorHAnsi" w:hAnsiTheme="minorHAnsi"/>
                <w:sz w:val="18"/>
                <w:szCs w:val="18"/>
                <w:lang w:val="en-US"/>
              </w:rPr>
            </w:pPr>
            <w:r w:rsidRPr="009F725A">
              <w:rPr>
                <w:rFonts w:asciiTheme="minorHAnsi" w:hAnsiTheme="minorHAnsi"/>
                <w:sz w:val="18"/>
                <w:szCs w:val="18"/>
              </w:rPr>
              <w:t>0.</w:t>
            </w:r>
            <w:r w:rsidR="00470081">
              <w:rPr>
                <w:rFonts w:asciiTheme="minorHAnsi" w:hAnsiTheme="minorHAnsi"/>
                <w:sz w:val="18"/>
                <w:szCs w:val="18"/>
              </w:rPr>
              <w:t>63</w:t>
            </w:r>
          </w:p>
        </w:tc>
        <w:tc>
          <w:tcPr>
            <w:tcW w:w="907" w:type="dxa"/>
            <w:tcBorders>
              <w:top w:val="single" w:sz="2" w:space="0" w:color="auto"/>
              <w:left w:val="single" w:sz="6" w:space="0" w:color="auto"/>
            </w:tcBorders>
            <w:shd w:val="clear" w:color="auto" w:fill="auto"/>
            <w:vAlign w:val="bottom"/>
          </w:tcPr>
          <w:p w14:paraId="4931A96E" w14:textId="2DA59CD2"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1.27</w:t>
            </w:r>
          </w:p>
          <w:p w14:paraId="113DCD76" w14:textId="03CC6C82" w:rsidR="004E6DC2" w:rsidRPr="009F725A" w:rsidRDefault="00DA2671" w:rsidP="004E6DC2">
            <w:pPr>
              <w:jc w:val="center"/>
              <w:rPr>
                <w:rFonts w:asciiTheme="minorHAnsi" w:hAnsiTheme="minorHAnsi"/>
                <w:sz w:val="18"/>
                <w:szCs w:val="18"/>
                <w:lang w:val="en-US"/>
              </w:rPr>
            </w:pPr>
            <w:r>
              <w:rPr>
                <w:rFonts w:asciiTheme="minorHAnsi" w:hAnsiTheme="minorHAnsi"/>
                <w:sz w:val="18"/>
                <w:szCs w:val="18"/>
                <w:lang w:val="en-US"/>
              </w:rPr>
              <w:t>(0.85-1.90</w:t>
            </w:r>
            <w:r w:rsidR="004E6DC2" w:rsidRPr="009F725A">
              <w:rPr>
                <w:rFonts w:asciiTheme="minorHAnsi" w:hAnsiTheme="minorHAnsi"/>
                <w:sz w:val="18"/>
                <w:szCs w:val="18"/>
                <w:lang w:val="en-US"/>
              </w:rPr>
              <w:t>)</w:t>
            </w:r>
          </w:p>
        </w:tc>
        <w:tc>
          <w:tcPr>
            <w:tcW w:w="680" w:type="dxa"/>
            <w:tcBorders>
              <w:top w:val="single" w:sz="2" w:space="0" w:color="auto"/>
            </w:tcBorders>
            <w:shd w:val="clear" w:color="auto" w:fill="auto"/>
            <w:vAlign w:val="center"/>
          </w:tcPr>
          <w:p w14:paraId="0AFFDBF2" w14:textId="36F7D7ED" w:rsidR="004E6DC2" w:rsidRPr="009F725A" w:rsidRDefault="00DA2671" w:rsidP="004E6DC2">
            <w:pPr>
              <w:jc w:val="center"/>
              <w:rPr>
                <w:rFonts w:asciiTheme="minorHAnsi" w:hAnsiTheme="minorHAnsi"/>
                <w:sz w:val="18"/>
                <w:szCs w:val="18"/>
                <w:lang w:val="en-US"/>
              </w:rPr>
            </w:pPr>
            <w:r>
              <w:rPr>
                <w:rFonts w:asciiTheme="minorHAnsi" w:hAnsiTheme="minorHAnsi"/>
                <w:sz w:val="18"/>
                <w:szCs w:val="18"/>
                <w:lang w:val="en-US"/>
              </w:rPr>
              <w:t>0.25</w:t>
            </w:r>
          </w:p>
        </w:tc>
        <w:tc>
          <w:tcPr>
            <w:tcW w:w="907" w:type="dxa"/>
            <w:tcBorders>
              <w:top w:val="single" w:sz="2" w:space="0" w:color="auto"/>
            </w:tcBorders>
            <w:shd w:val="clear" w:color="auto" w:fill="auto"/>
          </w:tcPr>
          <w:p w14:paraId="14A58F9C" w14:textId="73FA83A1"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0.8</w:t>
            </w:r>
            <w:r w:rsidR="00AD5FF3">
              <w:rPr>
                <w:rFonts w:asciiTheme="minorHAnsi" w:hAnsiTheme="minorHAnsi"/>
                <w:sz w:val="18"/>
                <w:szCs w:val="18"/>
                <w:lang w:val="en-US"/>
              </w:rPr>
              <w:t>7</w:t>
            </w:r>
          </w:p>
          <w:p w14:paraId="2E830C18" w14:textId="6CD36ECC" w:rsidR="004E6DC2" w:rsidRPr="009F725A" w:rsidRDefault="00AD5FF3" w:rsidP="00AD5FF3">
            <w:pPr>
              <w:jc w:val="center"/>
              <w:rPr>
                <w:rFonts w:asciiTheme="minorHAnsi" w:hAnsiTheme="minorHAnsi"/>
                <w:sz w:val="18"/>
                <w:szCs w:val="18"/>
                <w:lang w:val="en-US"/>
              </w:rPr>
            </w:pPr>
            <w:r>
              <w:rPr>
                <w:rFonts w:asciiTheme="minorHAnsi" w:hAnsiTheme="minorHAnsi"/>
                <w:sz w:val="18"/>
                <w:szCs w:val="18"/>
                <w:lang w:val="en-US"/>
              </w:rPr>
              <w:t>(0.58</w:t>
            </w:r>
            <w:r w:rsidR="004E6DC2" w:rsidRPr="009F725A">
              <w:rPr>
                <w:rFonts w:asciiTheme="minorHAnsi" w:hAnsiTheme="minorHAnsi"/>
                <w:sz w:val="18"/>
                <w:szCs w:val="18"/>
                <w:lang w:val="en-US"/>
              </w:rPr>
              <w:t>-1.</w:t>
            </w:r>
            <w:r>
              <w:rPr>
                <w:rFonts w:asciiTheme="minorHAnsi" w:hAnsiTheme="minorHAnsi"/>
                <w:sz w:val="18"/>
                <w:szCs w:val="18"/>
                <w:lang w:val="en-US"/>
              </w:rPr>
              <w:t>30</w:t>
            </w:r>
            <w:r w:rsidR="004E6DC2" w:rsidRPr="009F725A">
              <w:rPr>
                <w:rFonts w:asciiTheme="minorHAnsi" w:hAnsiTheme="minorHAnsi"/>
                <w:sz w:val="18"/>
                <w:szCs w:val="18"/>
                <w:lang w:val="en-US"/>
              </w:rPr>
              <w:t>)</w:t>
            </w:r>
          </w:p>
        </w:tc>
        <w:tc>
          <w:tcPr>
            <w:tcW w:w="680" w:type="dxa"/>
            <w:tcBorders>
              <w:top w:val="single" w:sz="2" w:space="0" w:color="auto"/>
            </w:tcBorders>
            <w:shd w:val="clear" w:color="auto" w:fill="auto"/>
            <w:vAlign w:val="center"/>
          </w:tcPr>
          <w:p w14:paraId="7473C5F0" w14:textId="0ABF7A32"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0.4</w:t>
            </w:r>
            <w:r w:rsidR="00AD5FF3">
              <w:rPr>
                <w:rFonts w:asciiTheme="minorHAnsi" w:hAnsiTheme="minorHAnsi"/>
                <w:sz w:val="18"/>
                <w:szCs w:val="18"/>
                <w:lang w:val="en-US"/>
              </w:rPr>
              <w:t>9</w:t>
            </w:r>
          </w:p>
        </w:tc>
        <w:tc>
          <w:tcPr>
            <w:tcW w:w="907" w:type="dxa"/>
            <w:tcBorders>
              <w:top w:val="single" w:sz="2" w:space="0" w:color="auto"/>
            </w:tcBorders>
            <w:shd w:val="clear" w:color="auto" w:fill="auto"/>
          </w:tcPr>
          <w:p w14:paraId="187D847F" w14:textId="3EF6B245"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1</w:t>
            </w:r>
            <w:r w:rsidR="00AD5FF3">
              <w:rPr>
                <w:rFonts w:asciiTheme="minorHAnsi" w:hAnsiTheme="minorHAnsi"/>
                <w:sz w:val="18"/>
                <w:szCs w:val="18"/>
                <w:lang w:val="en-US"/>
              </w:rPr>
              <w:t>.21</w:t>
            </w:r>
          </w:p>
          <w:p w14:paraId="2250BCCD" w14:textId="38554B32"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(0.69-2.</w:t>
            </w:r>
            <w:r w:rsidR="00AD5FF3">
              <w:rPr>
                <w:rFonts w:asciiTheme="minorHAnsi" w:hAnsiTheme="minorHAnsi"/>
                <w:sz w:val="18"/>
                <w:szCs w:val="18"/>
                <w:lang w:val="en-US"/>
              </w:rPr>
              <w:t>10</w:t>
            </w:r>
            <w:r w:rsidRPr="009F725A">
              <w:rPr>
                <w:rFonts w:asciiTheme="minorHAnsi" w:hAnsiTheme="minorHAnsi"/>
                <w:sz w:val="18"/>
                <w:szCs w:val="18"/>
                <w:lang w:val="en-US"/>
              </w:rPr>
              <w:t>)</w:t>
            </w:r>
          </w:p>
        </w:tc>
        <w:tc>
          <w:tcPr>
            <w:tcW w:w="680" w:type="dxa"/>
            <w:tcBorders>
              <w:top w:val="single" w:sz="2" w:space="0" w:color="auto"/>
            </w:tcBorders>
            <w:shd w:val="clear" w:color="auto" w:fill="auto"/>
            <w:vAlign w:val="center"/>
          </w:tcPr>
          <w:p w14:paraId="0E67D4F3" w14:textId="1C31718F" w:rsidR="004E6DC2" w:rsidRPr="009F725A" w:rsidRDefault="004E6DC2" w:rsidP="00AD5FF3">
            <w:pPr>
              <w:jc w:val="center"/>
              <w:rPr>
                <w:rFonts w:asciiTheme="minorHAnsi" w:hAnsiTheme="minorHAnsi"/>
                <w:sz w:val="18"/>
                <w:szCs w:val="18"/>
                <w:lang w:val="en-US"/>
              </w:rPr>
            </w:pPr>
            <w:r w:rsidRPr="009F725A">
              <w:rPr>
                <w:rFonts w:asciiTheme="minorHAnsi" w:hAnsiTheme="minorHAnsi"/>
                <w:sz w:val="18"/>
                <w:szCs w:val="18"/>
                <w:lang w:val="en-US"/>
              </w:rPr>
              <w:t>0.5</w:t>
            </w:r>
            <w:r w:rsidR="00AD5FF3">
              <w:rPr>
                <w:rFonts w:asciiTheme="minorHAnsi" w:hAnsiTheme="minorHAnsi"/>
                <w:sz w:val="18"/>
                <w:szCs w:val="18"/>
                <w:lang w:val="en-US"/>
              </w:rPr>
              <w:t>0</w:t>
            </w:r>
          </w:p>
        </w:tc>
        <w:tc>
          <w:tcPr>
            <w:tcW w:w="907" w:type="dxa"/>
            <w:tcBorders>
              <w:top w:val="single" w:sz="2" w:space="0" w:color="auto"/>
            </w:tcBorders>
            <w:shd w:val="clear" w:color="auto" w:fill="auto"/>
          </w:tcPr>
          <w:p w14:paraId="406124E6" w14:textId="35904BFC"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w:t>
            </w:r>
            <w:r w:rsidR="0020148A">
              <w:rPr>
                <w:rFonts w:asciiTheme="minorHAnsi" w:hAnsiTheme="minorHAnsi"/>
                <w:sz w:val="18"/>
                <w:szCs w:val="18"/>
                <w:lang w:val="en-US"/>
              </w:rPr>
              <w:t>.95</w:t>
            </w:r>
          </w:p>
          <w:p w14:paraId="69D1755A" w14:textId="3D25657B" w:rsidR="004E6DC2" w:rsidRPr="009F725A" w:rsidRDefault="0020148A" w:rsidP="0020148A">
            <w:pPr>
              <w:jc w:val="center"/>
              <w:rPr>
                <w:rFonts w:asciiTheme="minorHAnsi" w:hAnsiTheme="minorHAnsi"/>
                <w:sz w:val="18"/>
                <w:szCs w:val="18"/>
                <w:lang w:val="en-US"/>
              </w:rPr>
            </w:pPr>
            <w:r>
              <w:rPr>
                <w:rFonts w:asciiTheme="minorHAnsi" w:hAnsiTheme="minorHAnsi"/>
                <w:sz w:val="18"/>
                <w:szCs w:val="18"/>
                <w:lang w:val="en-US"/>
              </w:rPr>
              <w:t>(0.64</w:t>
            </w:r>
            <w:r w:rsidR="004E6DC2" w:rsidRPr="009F725A">
              <w:rPr>
                <w:rFonts w:asciiTheme="minorHAnsi" w:hAnsiTheme="minorHAnsi"/>
                <w:sz w:val="18"/>
                <w:szCs w:val="18"/>
                <w:lang w:val="en-US"/>
              </w:rPr>
              <w:t>-1.</w:t>
            </w:r>
            <w:r>
              <w:rPr>
                <w:rFonts w:asciiTheme="minorHAnsi" w:hAnsiTheme="minorHAnsi"/>
                <w:sz w:val="18"/>
                <w:szCs w:val="18"/>
                <w:lang w:val="en-US"/>
              </w:rPr>
              <w:t>42</w:t>
            </w:r>
            <w:r w:rsidR="004E6DC2" w:rsidRPr="009F725A">
              <w:rPr>
                <w:rFonts w:asciiTheme="minorHAnsi" w:hAnsiTheme="minorHAnsi"/>
                <w:sz w:val="18"/>
                <w:szCs w:val="18"/>
                <w:lang w:val="en-US"/>
              </w:rPr>
              <w:t>)</w:t>
            </w:r>
          </w:p>
        </w:tc>
        <w:tc>
          <w:tcPr>
            <w:tcW w:w="680" w:type="dxa"/>
            <w:tcBorders>
              <w:top w:val="single" w:sz="2" w:space="0" w:color="auto"/>
            </w:tcBorders>
            <w:shd w:val="clear" w:color="auto" w:fill="auto"/>
            <w:vAlign w:val="center"/>
          </w:tcPr>
          <w:p w14:paraId="238FE9D2" w14:textId="01F90483"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w:t>
            </w:r>
            <w:r w:rsidR="0020148A">
              <w:rPr>
                <w:rFonts w:asciiTheme="minorHAnsi" w:hAnsiTheme="minorHAnsi"/>
                <w:sz w:val="18"/>
                <w:szCs w:val="18"/>
                <w:lang w:val="en-US"/>
              </w:rPr>
              <w:t>80</w:t>
            </w:r>
          </w:p>
        </w:tc>
        <w:tc>
          <w:tcPr>
            <w:tcW w:w="907" w:type="dxa"/>
            <w:tcBorders>
              <w:top w:val="single" w:sz="2" w:space="0" w:color="auto"/>
            </w:tcBorders>
            <w:shd w:val="clear" w:color="auto" w:fill="auto"/>
          </w:tcPr>
          <w:p w14:paraId="6309D4E2" w14:textId="138DD496"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0.8</w:t>
            </w:r>
            <w:r w:rsidR="0020148A">
              <w:rPr>
                <w:rFonts w:asciiTheme="minorHAnsi" w:hAnsiTheme="minorHAnsi"/>
                <w:sz w:val="18"/>
                <w:szCs w:val="18"/>
                <w:lang w:val="en-US"/>
              </w:rPr>
              <w:t>4</w:t>
            </w:r>
          </w:p>
          <w:p w14:paraId="0B38D9C4" w14:textId="72B6A625"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(0.5</w:t>
            </w:r>
            <w:r w:rsidR="0020148A">
              <w:rPr>
                <w:rFonts w:asciiTheme="minorHAnsi" w:hAnsiTheme="minorHAnsi"/>
                <w:sz w:val="18"/>
                <w:szCs w:val="18"/>
                <w:lang w:val="en-US"/>
              </w:rPr>
              <w:t>6</w:t>
            </w:r>
            <w:r w:rsidRPr="009F725A">
              <w:rPr>
                <w:rFonts w:asciiTheme="minorHAnsi" w:hAnsiTheme="minorHAnsi"/>
                <w:sz w:val="18"/>
                <w:szCs w:val="18"/>
                <w:lang w:val="en-US"/>
              </w:rPr>
              <w:t>-1.2</w:t>
            </w:r>
            <w:r w:rsidR="0020148A">
              <w:rPr>
                <w:rFonts w:asciiTheme="minorHAnsi" w:hAnsiTheme="minorHAnsi"/>
                <w:sz w:val="18"/>
                <w:szCs w:val="18"/>
                <w:lang w:val="en-US"/>
              </w:rPr>
              <w:t>6</w:t>
            </w:r>
            <w:r w:rsidRPr="009F725A">
              <w:rPr>
                <w:rFonts w:asciiTheme="minorHAnsi" w:hAnsiTheme="minorHAnsi"/>
                <w:sz w:val="18"/>
                <w:szCs w:val="18"/>
                <w:lang w:val="en-US"/>
              </w:rPr>
              <w:t>)</w:t>
            </w:r>
          </w:p>
        </w:tc>
        <w:tc>
          <w:tcPr>
            <w:tcW w:w="680" w:type="dxa"/>
            <w:tcBorders>
              <w:top w:val="single" w:sz="2" w:space="0" w:color="auto"/>
            </w:tcBorders>
            <w:shd w:val="clear" w:color="auto" w:fill="auto"/>
            <w:vAlign w:val="center"/>
          </w:tcPr>
          <w:p w14:paraId="1F06EAC1" w14:textId="26BD9019" w:rsidR="004E6DC2" w:rsidRPr="009F725A" w:rsidRDefault="004E6DC2" w:rsidP="0020148A">
            <w:pPr>
              <w:jc w:val="center"/>
              <w:rPr>
                <w:rFonts w:asciiTheme="minorHAnsi" w:hAnsiTheme="minorHAnsi"/>
                <w:sz w:val="18"/>
                <w:szCs w:val="18"/>
                <w:lang w:val="en-US"/>
              </w:rPr>
            </w:pPr>
            <w:r w:rsidRPr="009F725A">
              <w:rPr>
                <w:rFonts w:asciiTheme="minorHAnsi" w:hAnsiTheme="minorHAnsi"/>
                <w:sz w:val="18"/>
                <w:szCs w:val="18"/>
                <w:lang w:val="en-US"/>
              </w:rPr>
              <w:t>0.</w:t>
            </w:r>
            <w:r w:rsidR="0020148A">
              <w:rPr>
                <w:rFonts w:asciiTheme="minorHAnsi" w:hAnsiTheme="minorHAnsi"/>
                <w:sz w:val="18"/>
                <w:szCs w:val="18"/>
                <w:lang w:val="en-US"/>
              </w:rPr>
              <w:t>40</w:t>
            </w:r>
          </w:p>
        </w:tc>
        <w:tc>
          <w:tcPr>
            <w:tcW w:w="907" w:type="dxa"/>
            <w:tcBorders>
              <w:top w:val="single" w:sz="2" w:space="0" w:color="auto"/>
            </w:tcBorders>
            <w:shd w:val="clear" w:color="auto" w:fill="auto"/>
          </w:tcPr>
          <w:p w14:paraId="6768AA94" w14:textId="5EF9932F"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w:t>
            </w:r>
            <w:r w:rsidR="0020148A">
              <w:rPr>
                <w:rFonts w:asciiTheme="minorHAnsi" w:hAnsiTheme="minorHAnsi"/>
                <w:sz w:val="18"/>
                <w:szCs w:val="18"/>
                <w:lang w:val="en-US"/>
              </w:rPr>
              <w:t>.98</w:t>
            </w:r>
          </w:p>
          <w:p w14:paraId="3564E002" w14:textId="6954F84B" w:rsidR="004E6DC2" w:rsidRPr="009F725A" w:rsidRDefault="0020148A" w:rsidP="004E6DC2">
            <w:pPr>
              <w:jc w:val="center"/>
              <w:rPr>
                <w:rFonts w:asciiTheme="minorHAnsi" w:hAnsiTheme="minorHAnsi"/>
                <w:sz w:val="18"/>
                <w:szCs w:val="18"/>
                <w:lang w:val="en-US"/>
              </w:rPr>
            </w:pPr>
            <w:r>
              <w:rPr>
                <w:rFonts w:asciiTheme="minorHAnsi" w:hAnsiTheme="minorHAnsi"/>
                <w:sz w:val="18"/>
                <w:szCs w:val="18"/>
                <w:lang w:val="en-US"/>
              </w:rPr>
              <w:t>(0.66</w:t>
            </w:r>
            <w:r w:rsidR="004E6DC2" w:rsidRPr="009F725A">
              <w:rPr>
                <w:rFonts w:asciiTheme="minorHAnsi" w:hAnsiTheme="minorHAnsi"/>
                <w:sz w:val="18"/>
                <w:szCs w:val="18"/>
                <w:lang w:val="en-US"/>
              </w:rPr>
              <w:t>-1.46)</w:t>
            </w:r>
          </w:p>
        </w:tc>
        <w:tc>
          <w:tcPr>
            <w:tcW w:w="682" w:type="dxa"/>
            <w:tcBorders>
              <w:top w:val="single" w:sz="2" w:space="0" w:color="auto"/>
              <w:right w:val="single" w:sz="6" w:space="0" w:color="auto"/>
            </w:tcBorders>
            <w:shd w:val="clear" w:color="auto" w:fill="auto"/>
            <w:vAlign w:val="center"/>
          </w:tcPr>
          <w:p w14:paraId="79F28A4F" w14:textId="008FC80F" w:rsidR="004E6DC2" w:rsidRPr="009F725A" w:rsidRDefault="004E6DC2" w:rsidP="004E6DC2">
            <w:pPr>
              <w:jc w:val="center"/>
              <w:rPr>
                <w:rFonts w:asciiTheme="minorHAnsi" w:hAnsiTheme="minorHAnsi"/>
                <w:sz w:val="18"/>
                <w:szCs w:val="18"/>
                <w:lang w:val="en-US"/>
              </w:rPr>
            </w:pPr>
            <w:r w:rsidRPr="009F725A">
              <w:rPr>
                <w:rFonts w:asciiTheme="minorHAnsi" w:hAnsiTheme="minorHAnsi"/>
                <w:sz w:val="18"/>
                <w:szCs w:val="18"/>
                <w:lang w:val="en-US"/>
              </w:rPr>
              <w:t>0.9</w:t>
            </w:r>
            <w:r w:rsidR="0020148A">
              <w:rPr>
                <w:rFonts w:asciiTheme="minorHAnsi" w:hAnsiTheme="minorHAnsi"/>
                <w:sz w:val="18"/>
                <w:szCs w:val="18"/>
                <w:lang w:val="en-US"/>
              </w:rPr>
              <w:t>2</w:t>
            </w:r>
          </w:p>
        </w:tc>
      </w:tr>
    </w:tbl>
    <w:p w14:paraId="39772FAD" w14:textId="77777777" w:rsidR="001B7699" w:rsidRDefault="004E6DC2" w:rsidP="004E6DC2">
      <w:pPr>
        <w:rPr>
          <w:rFonts w:asciiTheme="minorHAnsi" w:hAnsiTheme="minorHAnsi"/>
          <w:szCs w:val="20"/>
        </w:rPr>
      </w:pPr>
      <w:r w:rsidRPr="00501C72">
        <w:rPr>
          <w:rFonts w:asciiTheme="minorHAnsi" w:hAnsiTheme="minorHAnsi"/>
          <w:szCs w:val="20"/>
        </w:rPr>
        <w:t>*</w:t>
      </w:r>
      <w:r w:rsidR="00470081">
        <w:rPr>
          <w:rFonts w:asciiTheme="minorHAnsi" w:hAnsiTheme="minorHAnsi"/>
          <w:szCs w:val="20"/>
        </w:rPr>
        <w:t xml:space="preserve"> </w:t>
      </w:r>
      <w:r>
        <w:rPr>
          <w:rFonts w:asciiTheme="minorHAnsi" w:hAnsiTheme="minorHAnsi"/>
          <w:szCs w:val="20"/>
        </w:rPr>
        <w:t xml:space="preserve">Food </w:t>
      </w:r>
      <w:r w:rsidR="00E67760">
        <w:rPr>
          <w:rFonts w:asciiTheme="minorHAnsi" w:hAnsiTheme="minorHAnsi"/>
          <w:szCs w:val="20"/>
        </w:rPr>
        <w:t>specific</w:t>
      </w:r>
      <w:r>
        <w:rPr>
          <w:rFonts w:asciiTheme="minorHAnsi" w:hAnsiTheme="minorHAnsi"/>
          <w:szCs w:val="20"/>
        </w:rPr>
        <w:t xml:space="preserve"> IgE </w:t>
      </w:r>
      <w:r w:rsidRPr="004E6DC2">
        <w:rPr>
          <w:rFonts w:asciiTheme="minorHAnsi" w:hAnsiTheme="minorHAnsi"/>
          <w:szCs w:val="20"/>
        </w:rPr>
        <w:t>(≥0.1 kU/</w:t>
      </w:r>
      <w:r w:rsidR="00937C90">
        <w:rPr>
          <w:rFonts w:asciiTheme="minorHAnsi" w:hAnsiTheme="minorHAnsi"/>
          <w:szCs w:val="20"/>
        </w:rPr>
        <w:t>l</w:t>
      </w:r>
      <w:r w:rsidRPr="004E6DC2">
        <w:rPr>
          <w:rFonts w:asciiTheme="minorHAnsi" w:hAnsiTheme="minorHAnsi"/>
          <w:szCs w:val="20"/>
        </w:rPr>
        <w:t>)</w:t>
      </w:r>
      <w:r>
        <w:rPr>
          <w:rFonts w:asciiTheme="minorHAnsi" w:hAnsiTheme="minorHAnsi"/>
          <w:szCs w:val="20"/>
        </w:rPr>
        <w:t xml:space="preserve"> to any food for EIG overall non-adherence, and to the specific food for individual specific food non-adherence</w:t>
      </w:r>
      <w:r w:rsidR="00957EBD">
        <w:rPr>
          <w:rFonts w:asciiTheme="minorHAnsi" w:hAnsiTheme="minorHAnsi"/>
          <w:szCs w:val="20"/>
        </w:rPr>
        <w:t xml:space="preserve">. </w:t>
      </w:r>
    </w:p>
    <w:p w14:paraId="288ABE17" w14:textId="7EC9E8CA" w:rsidR="00470081" w:rsidRDefault="00957EBD" w:rsidP="004E6DC2">
      <w:pPr>
        <w:rPr>
          <w:rFonts w:asciiTheme="minorHAnsi" w:hAnsiTheme="minorHAnsi"/>
          <w:szCs w:val="20"/>
        </w:rPr>
      </w:pPr>
      <w:r>
        <w:rPr>
          <w:rFonts w:asciiTheme="minorHAnsi" w:hAnsiTheme="minorHAnsi"/>
          <w:szCs w:val="20"/>
        </w:rPr>
        <w:t>I</w:t>
      </w:r>
      <w:r w:rsidR="00470081">
        <w:rPr>
          <w:rFonts w:asciiTheme="minorHAnsi" w:hAnsiTheme="minorHAnsi"/>
          <w:szCs w:val="20"/>
        </w:rPr>
        <w:t xml:space="preserve">f </w:t>
      </w:r>
      <w:r w:rsidR="00350F03">
        <w:rPr>
          <w:rFonts w:asciiTheme="minorHAnsi" w:hAnsiTheme="minorHAnsi"/>
          <w:szCs w:val="20"/>
        </w:rPr>
        <w:t>sensitization</w:t>
      </w:r>
      <w:r w:rsidR="00470081">
        <w:rPr>
          <w:rFonts w:asciiTheme="minorHAnsi" w:hAnsiTheme="minorHAnsi"/>
          <w:szCs w:val="20"/>
        </w:rPr>
        <w:t xml:space="preserve"> status was included in the model based on skin prick test response at enrollment</w:t>
      </w:r>
      <w:r w:rsidR="00FE0080">
        <w:rPr>
          <w:rFonts w:asciiTheme="minorHAnsi" w:hAnsiTheme="minorHAnsi"/>
          <w:szCs w:val="20"/>
        </w:rPr>
        <w:t xml:space="preserve"> </w:t>
      </w:r>
      <w:r w:rsidR="00470081">
        <w:rPr>
          <w:rFonts w:asciiTheme="minorHAnsi" w:hAnsiTheme="minorHAnsi"/>
          <w:szCs w:val="20"/>
        </w:rPr>
        <w:t>the result was statistically non-significant for overall non-adherence and food specific non-adherence to any i</w:t>
      </w:r>
      <w:r w:rsidR="00243D33">
        <w:rPr>
          <w:rFonts w:asciiTheme="minorHAnsi" w:hAnsiTheme="minorHAnsi"/>
          <w:szCs w:val="20"/>
        </w:rPr>
        <w:t xml:space="preserve">ndividual food, with the exception of milk (milk positive skin prick test response OR </w:t>
      </w:r>
      <w:r w:rsidR="00FE0080">
        <w:rPr>
          <w:rFonts w:asciiTheme="minorHAnsi" w:hAnsiTheme="minorHAnsi"/>
          <w:szCs w:val="20"/>
        </w:rPr>
        <w:t>13.8</w:t>
      </w:r>
      <w:r w:rsidR="00243D33">
        <w:rPr>
          <w:rFonts w:asciiTheme="minorHAnsi" w:hAnsiTheme="minorHAnsi"/>
          <w:szCs w:val="20"/>
        </w:rPr>
        <w:t>, 95% CI 1.</w:t>
      </w:r>
      <w:r w:rsidR="00FE0080">
        <w:rPr>
          <w:rFonts w:asciiTheme="minorHAnsi" w:hAnsiTheme="minorHAnsi"/>
          <w:szCs w:val="20"/>
        </w:rPr>
        <w:t>68</w:t>
      </w:r>
      <w:r w:rsidR="00243D33">
        <w:rPr>
          <w:rFonts w:asciiTheme="minorHAnsi" w:hAnsiTheme="minorHAnsi"/>
          <w:szCs w:val="20"/>
        </w:rPr>
        <w:t>-</w:t>
      </w:r>
      <w:r w:rsidR="00FE0080">
        <w:rPr>
          <w:rFonts w:asciiTheme="minorHAnsi" w:hAnsiTheme="minorHAnsi"/>
          <w:szCs w:val="20"/>
        </w:rPr>
        <w:t>112</w:t>
      </w:r>
      <w:r w:rsidR="00243D33">
        <w:rPr>
          <w:rFonts w:asciiTheme="minorHAnsi" w:hAnsiTheme="minorHAnsi"/>
          <w:szCs w:val="20"/>
        </w:rPr>
        <w:t>, p=0.0</w:t>
      </w:r>
      <w:r w:rsidR="00FE0080">
        <w:rPr>
          <w:rFonts w:asciiTheme="minorHAnsi" w:hAnsiTheme="minorHAnsi"/>
          <w:szCs w:val="20"/>
        </w:rPr>
        <w:t>1</w:t>
      </w:r>
      <w:r w:rsidR="00243D33">
        <w:rPr>
          <w:rFonts w:asciiTheme="minorHAnsi" w:hAnsiTheme="minorHAnsi"/>
          <w:szCs w:val="20"/>
        </w:rPr>
        <w:t>).</w:t>
      </w:r>
    </w:p>
    <w:p w14:paraId="0B75CE93" w14:textId="77777777" w:rsidR="00082A66" w:rsidRPr="004E6DC2" w:rsidRDefault="00082A66" w:rsidP="00082A66">
      <w:pPr>
        <w:rPr>
          <w:rFonts w:asciiTheme="minorHAnsi" w:hAnsiTheme="minorHAnsi"/>
          <w:szCs w:val="20"/>
          <w:lang w:val="en-US"/>
        </w:rPr>
      </w:pPr>
    </w:p>
    <w:p w14:paraId="262B03DE" w14:textId="42046D6C" w:rsidR="00A360AB" w:rsidRPr="00621922" w:rsidRDefault="00082A66" w:rsidP="00D31632">
      <w:pPr>
        <w:rPr>
          <w:rFonts w:asciiTheme="minorHAnsi" w:hAnsiTheme="minorHAnsi" w:cs="Calibri"/>
          <w:b/>
          <w:sz w:val="22"/>
          <w:szCs w:val="22"/>
        </w:rPr>
      </w:pPr>
      <w:r w:rsidRPr="004E6DC2">
        <w:rPr>
          <w:rFonts w:asciiTheme="minorHAnsi" w:hAnsiTheme="minorHAnsi"/>
          <w:szCs w:val="20"/>
          <w:lang w:val="en-US"/>
        </w:rPr>
        <w:t xml:space="preserve">For each </w:t>
      </w:r>
      <w:r w:rsidR="004E6DC2">
        <w:rPr>
          <w:rFonts w:asciiTheme="minorHAnsi" w:hAnsiTheme="minorHAnsi"/>
          <w:szCs w:val="20"/>
          <w:lang w:val="en-US"/>
        </w:rPr>
        <w:t>outcome</w:t>
      </w:r>
      <w:r w:rsidRPr="004E6DC2">
        <w:rPr>
          <w:rFonts w:asciiTheme="minorHAnsi" w:hAnsiTheme="minorHAnsi"/>
          <w:szCs w:val="20"/>
          <w:lang w:val="en-US"/>
        </w:rPr>
        <w:t xml:space="preserve"> all the variables listed were included in the same</w:t>
      </w:r>
      <w:r w:rsidR="004E6DC2">
        <w:rPr>
          <w:rFonts w:asciiTheme="minorHAnsi" w:hAnsiTheme="minorHAnsi"/>
          <w:szCs w:val="20"/>
          <w:lang w:val="en-US"/>
        </w:rPr>
        <w:t xml:space="preserve"> logistic regression</w:t>
      </w:r>
      <w:r w:rsidRPr="004E6DC2">
        <w:rPr>
          <w:rFonts w:asciiTheme="minorHAnsi" w:hAnsiTheme="minorHAnsi"/>
          <w:szCs w:val="20"/>
          <w:lang w:val="en-US"/>
        </w:rPr>
        <w:t xml:space="preserve"> model.</w:t>
      </w:r>
    </w:p>
    <w:sectPr w:rsidR="00A360AB" w:rsidRPr="00621922" w:rsidSect="001C7370">
      <w:endnotePr>
        <w:numFmt w:val="decimal"/>
      </w:endnotePr>
      <w:pgSz w:w="16840" w:h="11907" w:orient="landscape" w:code="9"/>
      <w:pgMar w:top="1134" w:right="1418" w:bottom="1134" w:left="567" w:header="720" w:footer="39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82D6C2" w16cid:durableId="1E5D489F"/>
  <w16cid:commentId w16cid:paraId="4B62B2EE" w16cid:durableId="1E5D029A"/>
  <w16cid:commentId w16cid:paraId="03F6B090" w16cid:durableId="1E5D033C"/>
  <w16cid:commentId w16cid:paraId="18C7B336" w16cid:durableId="1E5D03A9"/>
  <w16cid:commentId w16cid:paraId="15825EC0" w16cid:durableId="1E5D05C6"/>
  <w16cid:commentId w16cid:paraId="3D306FD8" w16cid:durableId="1E5D0723"/>
  <w16cid:commentId w16cid:paraId="788109D6" w16cid:durableId="1E5D49B9"/>
  <w16cid:commentId w16cid:paraId="685E627D" w16cid:durableId="1E5D0796"/>
  <w16cid:commentId w16cid:paraId="11AEBA2F" w16cid:durableId="1E5D07D2"/>
  <w16cid:commentId w16cid:paraId="19D39AD8" w16cid:durableId="1E5D6A79"/>
  <w16cid:commentId w16cid:paraId="100CA962" w16cid:durableId="1E5D0A4B"/>
  <w16cid:commentId w16cid:paraId="027C35BD" w16cid:durableId="1E5D0A76"/>
  <w16cid:commentId w16cid:paraId="75DE4FD8" w16cid:durableId="1E5D08A5"/>
  <w16cid:commentId w16cid:paraId="240DEA25" w16cid:durableId="1E5D0B08"/>
  <w16cid:commentId w16cid:paraId="007D1362" w16cid:durableId="1E5D6C45"/>
  <w16cid:commentId w16cid:paraId="104BCDC7" w16cid:durableId="1E5D4AA6"/>
  <w16cid:commentId w16cid:paraId="21239AEA" w16cid:durableId="1E5D45E3"/>
  <w16cid:commentId w16cid:paraId="63BBDEFE" w16cid:durableId="1E5D69F3"/>
  <w16cid:commentId w16cid:paraId="101C6BB5" w16cid:durableId="1E5D529C"/>
  <w16cid:commentId w16cid:paraId="6DEB596E" w16cid:durableId="1E5D53C0"/>
  <w16cid:commentId w16cid:paraId="7692650B" w16cid:durableId="1E5D52F4"/>
  <w16cid:commentId w16cid:paraId="5B2192AD" w16cid:durableId="1E5D6BC1"/>
  <w16cid:commentId w16cid:paraId="554C5B18" w16cid:durableId="1E5D6D87"/>
  <w16cid:commentId w16cid:paraId="39D8AA73" w16cid:durableId="1E5D6E59"/>
  <w16cid:commentId w16cid:paraId="3D10ABCC" w16cid:durableId="1E5D6F15"/>
  <w16cid:commentId w16cid:paraId="163B0A17" w16cid:durableId="1E5D6FA3"/>
  <w16cid:commentId w16cid:paraId="33DE5B9F" w16cid:durableId="1E5D6FFC"/>
  <w16cid:commentId w16cid:paraId="38CE5582" w16cid:durableId="1E5D7069"/>
  <w16cid:commentId w16cid:paraId="5B9122FB" w16cid:durableId="1E5D71F7"/>
  <w16cid:commentId w16cid:paraId="1C222DE3" w16cid:durableId="1E5D7176"/>
  <w16cid:commentId w16cid:paraId="1439AECF" w16cid:durableId="1E5D71B7"/>
  <w16cid:commentId w16cid:paraId="0ADB680B" w16cid:durableId="1E5D5B52"/>
  <w16cid:commentId w16cid:paraId="5FFA5866" w16cid:durableId="1E5D5A19"/>
  <w16cid:commentId w16cid:paraId="01A90164" w16cid:durableId="1E5D4C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89D1C" w14:textId="77777777" w:rsidR="00563FAF" w:rsidRDefault="00563FAF">
      <w:r>
        <w:separator/>
      </w:r>
    </w:p>
  </w:endnote>
  <w:endnote w:type="continuationSeparator" w:id="0">
    <w:p w14:paraId="44F9538B" w14:textId="77777777" w:rsidR="00563FAF" w:rsidRDefault="00563FAF">
      <w:r>
        <w:continuationSeparator/>
      </w:r>
    </w:p>
  </w:endnote>
  <w:endnote w:type="continuationNotice" w:id="1">
    <w:p w14:paraId="1D4A14E2" w14:textId="77777777" w:rsidR="00563FAF" w:rsidRDefault="00563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7EDA6" w14:textId="77777777" w:rsidR="00563FAF" w:rsidRDefault="00563FAF">
      <w:r>
        <w:separator/>
      </w:r>
    </w:p>
  </w:footnote>
  <w:footnote w:type="continuationSeparator" w:id="0">
    <w:p w14:paraId="32772124" w14:textId="77777777" w:rsidR="00563FAF" w:rsidRDefault="00563FAF">
      <w:r>
        <w:continuationSeparator/>
      </w:r>
    </w:p>
  </w:footnote>
  <w:footnote w:type="continuationNotice" w:id="1">
    <w:p w14:paraId="552477FC" w14:textId="77777777" w:rsidR="00563FAF" w:rsidRDefault="00563F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54A08" w14:textId="77777777" w:rsidR="00563FAF" w:rsidRDefault="00563F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C61B40" w14:textId="77777777" w:rsidR="00563FAF" w:rsidRDefault="00563FA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66BE1" w14:textId="596C7325" w:rsidR="00563FAF" w:rsidRPr="003D0C95" w:rsidRDefault="00563FAF">
    <w:pPr>
      <w:pStyle w:val="Header"/>
      <w:jc w:val="right"/>
      <w:rPr>
        <w:rFonts w:asciiTheme="minorHAnsi" w:hAnsiTheme="minorHAnsi"/>
      </w:rPr>
    </w:pPr>
    <w:r w:rsidRPr="001F74D8">
      <w:rPr>
        <w:rFonts w:asciiTheme="minorHAnsi" w:hAnsiTheme="minorHAnsi"/>
      </w:rPr>
      <w:t xml:space="preserve">EAT Adherence Analysis - </w:t>
    </w:r>
    <w:r>
      <w:rPr>
        <w:rFonts w:asciiTheme="minorHAnsi" w:hAnsiTheme="minorHAnsi"/>
      </w:rPr>
      <w:t>Paper</w:t>
    </w:r>
    <w:r w:rsidRPr="001F74D8">
      <w:rPr>
        <w:rFonts w:asciiTheme="minorHAnsi" w:hAnsiTheme="minorHAnsi"/>
      </w:rPr>
      <w:t xml:space="preserve"> (JACI) </w:t>
    </w:r>
    <w:r>
      <w:rPr>
        <w:rFonts w:asciiTheme="minorHAnsi" w:hAnsiTheme="minorHAnsi"/>
      </w:rPr>
      <w:t>- Resubmission R1 (0</w:t>
    </w:r>
    <w:r w:rsidR="00713BF4">
      <w:rPr>
        <w:rFonts w:asciiTheme="minorHAnsi" w:hAnsiTheme="minorHAnsi"/>
      </w:rPr>
      <w:t>7.05.</w:t>
    </w:r>
    <w:r>
      <w:rPr>
        <w:rFonts w:asciiTheme="minorHAnsi" w:hAnsiTheme="minorHAnsi"/>
      </w:rPr>
      <w:t>19)</w:t>
    </w:r>
    <w:r w:rsidR="0040749C">
      <w:rPr>
        <w:rFonts w:asciiTheme="minorHAnsi" w:hAnsiTheme="minorHAnsi"/>
      </w:rPr>
      <w:t xml:space="preserve"> (</w:t>
    </w:r>
    <w:r w:rsidR="00C623F3">
      <w:rPr>
        <w:rFonts w:asciiTheme="minorHAnsi" w:hAnsiTheme="minorHAnsi"/>
      </w:rPr>
      <w:t>clean</w:t>
    </w:r>
    <w:r w:rsidR="0040749C">
      <w:rPr>
        <w:rFonts w:asciiTheme="minorHAnsi" w:hAnsiTheme="minorHAnsi"/>
      </w:rPr>
      <w:t>)</w:t>
    </w:r>
    <w:r w:rsidRPr="003D0C95">
      <w:rPr>
        <w:rFonts w:asciiTheme="minorHAnsi" w:hAnsiTheme="minorHAnsi"/>
      </w:rPr>
      <w:t xml:space="preserve">     Perkin </w:t>
    </w:r>
    <w:sdt>
      <w:sdtPr>
        <w:rPr>
          <w:rFonts w:asciiTheme="minorHAnsi" w:hAnsiTheme="minorHAnsi"/>
        </w:rPr>
        <w:id w:val="1092053071"/>
        <w:docPartObj>
          <w:docPartGallery w:val="Page Numbers (Top of Page)"/>
          <w:docPartUnique/>
        </w:docPartObj>
      </w:sdtPr>
      <w:sdtEndPr>
        <w:rPr>
          <w:noProof/>
        </w:rPr>
      </w:sdtEndPr>
      <w:sdtContent>
        <w:r w:rsidRPr="003D0C95">
          <w:rPr>
            <w:rFonts w:asciiTheme="minorHAnsi" w:hAnsiTheme="minorHAnsi"/>
          </w:rPr>
          <w:fldChar w:fldCharType="begin"/>
        </w:r>
        <w:r w:rsidRPr="003D0C95">
          <w:rPr>
            <w:rFonts w:asciiTheme="minorHAnsi" w:hAnsiTheme="minorHAnsi"/>
          </w:rPr>
          <w:instrText xml:space="preserve"> PAGE   \* MERGEFORMAT </w:instrText>
        </w:r>
        <w:r w:rsidRPr="003D0C95">
          <w:rPr>
            <w:rFonts w:asciiTheme="minorHAnsi" w:hAnsiTheme="minorHAnsi"/>
          </w:rPr>
          <w:fldChar w:fldCharType="separate"/>
        </w:r>
        <w:r w:rsidR="00C623F3">
          <w:rPr>
            <w:rFonts w:asciiTheme="minorHAnsi" w:hAnsiTheme="minorHAnsi"/>
            <w:noProof/>
          </w:rPr>
          <w:t>6</w:t>
        </w:r>
        <w:r w:rsidRPr="003D0C95">
          <w:rPr>
            <w:rFonts w:asciiTheme="minorHAnsi" w:hAnsiTheme="minorHAnsi"/>
            <w:noProof/>
          </w:rPr>
          <w:fldChar w:fldCharType="end"/>
        </w:r>
      </w:sdtContent>
    </w:sdt>
  </w:p>
  <w:p w14:paraId="0B4B6D6C" w14:textId="77777777" w:rsidR="00563FAF" w:rsidRDefault="00563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638"/>
    <w:multiLevelType w:val="multilevel"/>
    <w:tmpl w:val="7F92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A09CF"/>
    <w:multiLevelType w:val="singleLevel"/>
    <w:tmpl w:val="DDF6C232"/>
    <w:lvl w:ilvl="0">
      <w:start w:val="1"/>
      <w:numFmt w:val="decimal"/>
      <w:lvlText w:val="%1"/>
      <w:lvlJc w:val="left"/>
      <w:pPr>
        <w:tabs>
          <w:tab w:val="num" w:pos="720"/>
        </w:tabs>
        <w:ind w:left="720" w:hanging="720"/>
      </w:pPr>
      <w:rPr>
        <w:rFonts w:hint="default"/>
        <w:sz w:val="24"/>
      </w:rPr>
    </w:lvl>
  </w:abstractNum>
  <w:abstractNum w:abstractNumId="2" w15:restartNumberingAfterBreak="0">
    <w:nsid w:val="1A487F9A"/>
    <w:multiLevelType w:val="singleLevel"/>
    <w:tmpl w:val="7A9AE5C2"/>
    <w:lvl w:ilvl="0">
      <w:start w:val="33"/>
      <w:numFmt w:val="decimal"/>
      <w:lvlText w:val="%1"/>
      <w:lvlJc w:val="left"/>
      <w:pPr>
        <w:tabs>
          <w:tab w:val="num" w:pos="720"/>
        </w:tabs>
        <w:ind w:left="720" w:hanging="720"/>
      </w:pPr>
      <w:rPr>
        <w:rFonts w:hint="default"/>
      </w:rPr>
    </w:lvl>
  </w:abstractNum>
  <w:abstractNum w:abstractNumId="3" w15:restartNumberingAfterBreak="0">
    <w:nsid w:val="296B2744"/>
    <w:multiLevelType w:val="hybridMultilevel"/>
    <w:tmpl w:val="39A85ABC"/>
    <w:lvl w:ilvl="0" w:tplc="5E4AC6A4">
      <w:start w:val="1"/>
      <w:numFmt w:val="bullet"/>
      <w:lvlText w:val="•"/>
      <w:lvlJc w:val="left"/>
      <w:pPr>
        <w:tabs>
          <w:tab w:val="num" w:pos="720"/>
        </w:tabs>
        <w:ind w:left="720" w:hanging="360"/>
      </w:pPr>
      <w:rPr>
        <w:rFonts w:ascii="Arial" w:hAnsi="Arial" w:hint="default"/>
      </w:rPr>
    </w:lvl>
    <w:lvl w:ilvl="1" w:tplc="0F4E8DE4" w:tentative="1">
      <w:start w:val="1"/>
      <w:numFmt w:val="bullet"/>
      <w:lvlText w:val="•"/>
      <w:lvlJc w:val="left"/>
      <w:pPr>
        <w:tabs>
          <w:tab w:val="num" w:pos="1440"/>
        </w:tabs>
        <w:ind w:left="1440" w:hanging="360"/>
      </w:pPr>
      <w:rPr>
        <w:rFonts w:ascii="Arial" w:hAnsi="Arial" w:hint="default"/>
      </w:rPr>
    </w:lvl>
    <w:lvl w:ilvl="2" w:tplc="FD380D48" w:tentative="1">
      <w:start w:val="1"/>
      <w:numFmt w:val="bullet"/>
      <w:lvlText w:val="•"/>
      <w:lvlJc w:val="left"/>
      <w:pPr>
        <w:tabs>
          <w:tab w:val="num" w:pos="2160"/>
        </w:tabs>
        <w:ind w:left="2160" w:hanging="360"/>
      </w:pPr>
      <w:rPr>
        <w:rFonts w:ascii="Arial" w:hAnsi="Arial" w:hint="default"/>
      </w:rPr>
    </w:lvl>
    <w:lvl w:ilvl="3" w:tplc="C99269AE" w:tentative="1">
      <w:start w:val="1"/>
      <w:numFmt w:val="bullet"/>
      <w:lvlText w:val="•"/>
      <w:lvlJc w:val="left"/>
      <w:pPr>
        <w:tabs>
          <w:tab w:val="num" w:pos="2880"/>
        </w:tabs>
        <w:ind w:left="2880" w:hanging="360"/>
      </w:pPr>
      <w:rPr>
        <w:rFonts w:ascii="Arial" w:hAnsi="Arial" w:hint="default"/>
      </w:rPr>
    </w:lvl>
    <w:lvl w:ilvl="4" w:tplc="BA48E0EA" w:tentative="1">
      <w:start w:val="1"/>
      <w:numFmt w:val="bullet"/>
      <w:lvlText w:val="•"/>
      <w:lvlJc w:val="left"/>
      <w:pPr>
        <w:tabs>
          <w:tab w:val="num" w:pos="3600"/>
        </w:tabs>
        <w:ind w:left="3600" w:hanging="360"/>
      </w:pPr>
      <w:rPr>
        <w:rFonts w:ascii="Arial" w:hAnsi="Arial" w:hint="default"/>
      </w:rPr>
    </w:lvl>
    <w:lvl w:ilvl="5" w:tplc="F4F64A6C" w:tentative="1">
      <w:start w:val="1"/>
      <w:numFmt w:val="bullet"/>
      <w:lvlText w:val="•"/>
      <w:lvlJc w:val="left"/>
      <w:pPr>
        <w:tabs>
          <w:tab w:val="num" w:pos="4320"/>
        </w:tabs>
        <w:ind w:left="4320" w:hanging="360"/>
      </w:pPr>
      <w:rPr>
        <w:rFonts w:ascii="Arial" w:hAnsi="Arial" w:hint="default"/>
      </w:rPr>
    </w:lvl>
    <w:lvl w:ilvl="6" w:tplc="A84C11B8" w:tentative="1">
      <w:start w:val="1"/>
      <w:numFmt w:val="bullet"/>
      <w:lvlText w:val="•"/>
      <w:lvlJc w:val="left"/>
      <w:pPr>
        <w:tabs>
          <w:tab w:val="num" w:pos="5040"/>
        </w:tabs>
        <w:ind w:left="5040" w:hanging="360"/>
      </w:pPr>
      <w:rPr>
        <w:rFonts w:ascii="Arial" w:hAnsi="Arial" w:hint="default"/>
      </w:rPr>
    </w:lvl>
    <w:lvl w:ilvl="7" w:tplc="0A4C7046" w:tentative="1">
      <w:start w:val="1"/>
      <w:numFmt w:val="bullet"/>
      <w:lvlText w:val="•"/>
      <w:lvlJc w:val="left"/>
      <w:pPr>
        <w:tabs>
          <w:tab w:val="num" w:pos="5760"/>
        </w:tabs>
        <w:ind w:left="5760" w:hanging="360"/>
      </w:pPr>
      <w:rPr>
        <w:rFonts w:ascii="Arial" w:hAnsi="Arial" w:hint="default"/>
      </w:rPr>
    </w:lvl>
    <w:lvl w:ilvl="8" w:tplc="870436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E311F6"/>
    <w:multiLevelType w:val="hybridMultilevel"/>
    <w:tmpl w:val="786AFF48"/>
    <w:lvl w:ilvl="0" w:tplc="05D2AF2A">
      <w:start w:val="1"/>
      <w:numFmt w:val="decimal"/>
      <w:lvlText w:val="%1."/>
      <w:lvlJc w:val="left"/>
      <w:pPr>
        <w:ind w:left="720" w:hanging="360"/>
      </w:pPr>
      <w:rPr>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659D2"/>
    <w:multiLevelType w:val="hybridMultilevel"/>
    <w:tmpl w:val="786AFF48"/>
    <w:lvl w:ilvl="0" w:tplc="05D2AF2A">
      <w:start w:val="1"/>
      <w:numFmt w:val="decimal"/>
      <w:lvlText w:val="%1."/>
      <w:lvlJc w:val="left"/>
      <w:pPr>
        <w:ind w:left="720" w:hanging="360"/>
      </w:pPr>
      <w:rPr>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36C8A"/>
    <w:multiLevelType w:val="multilevel"/>
    <w:tmpl w:val="5FAA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10207"/>
    <w:multiLevelType w:val="singleLevel"/>
    <w:tmpl w:val="DCFC3F10"/>
    <w:lvl w:ilvl="0">
      <w:start w:val="32"/>
      <w:numFmt w:val="bullet"/>
      <w:lvlText w:val="-"/>
      <w:lvlJc w:val="left"/>
      <w:pPr>
        <w:tabs>
          <w:tab w:val="num" w:pos="360"/>
        </w:tabs>
        <w:ind w:left="360" w:hanging="360"/>
      </w:pPr>
      <w:rPr>
        <w:rFonts w:hint="default"/>
      </w:rPr>
    </w:lvl>
  </w:abstractNum>
  <w:abstractNum w:abstractNumId="8" w15:restartNumberingAfterBreak="0">
    <w:nsid w:val="327917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9E3CBE"/>
    <w:multiLevelType w:val="singleLevel"/>
    <w:tmpl w:val="F6525A28"/>
    <w:lvl w:ilvl="0">
      <w:start w:val="1"/>
      <w:numFmt w:val="decimal"/>
      <w:lvlText w:val="%1"/>
      <w:lvlJc w:val="left"/>
      <w:pPr>
        <w:tabs>
          <w:tab w:val="num" w:pos="720"/>
        </w:tabs>
        <w:ind w:left="720" w:hanging="720"/>
      </w:pPr>
      <w:rPr>
        <w:rFonts w:hint="default"/>
      </w:rPr>
    </w:lvl>
  </w:abstractNum>
  <w:abstractNum w:abstractNumId="10" w15:restartNumberingAfterBreak="0">
    <w:nsid w:val="43141286"/>
    <w:multiLevelType w:val="hybridMultilevel"/>
    <w:tmpl w:val="C51C434C"/>
    <w:lvl w:ilvl="0" w:tplc="1C7C197A">
      <w:start w:val="1"/>
      <w:numFmt w:val="bullet"/>
      <w:lvlText w:val="•"/>
      <w:lvlJc w:val="left"/>
      <w:pPr>
        <w:tabs>
          <w:tab w:val="num" w:pos="720"/>
        </w:tabs>
        <w:ind w:left="720" w:hanging="360"/>
      </w:pPr>
      <w:rPr>
        <w:rFonts w:ascii="Arial" w:hAnsi="Arial" w:hint="default"/>
      </w:rPr>
    </w:lvl>
    <w:lvl w:ilvl="1" w:tplc="D3C4B0AC">
      <w:start w:val="1"/>
      <w:numFmt w:val="bullet"/>
      <w:lvlText w:val="•"/>
      <w:lvlJc w:val="left"/>
      <w:pPr>
        <w:tabs>
          <w:tab w:val="num" w:pos="1440"/>
        </w:tabs>
        <w:ind w:left="1440" w:hanging="360"/>
      </w:pPr>
      <w:rPr>
        <w:rFonts w:ascii="Arial" w:hAnsi="Arial" w:hint="default"/>
      </w:rPr>
    </w:lvl>
    <w:lvl w:ilvl="2" w:tplc="48765772" w:tentative="1">
      <w:start w:val="1"/>
      <w:numFmt w:val="bullet"/>
      <w:lvlText w:val="•"/>
      <w:lvlJc w:val="left"/>
      <w:pPr>
        <w:tabs>
          <w:tab w:val="num" w:pos="2160"/>
        </w:tabs>
        <w:ind w:left="2160" w:hanging="360"/>
      </w:pPr>
      <w:rPr>
        <w:rFonts w:ascii="Arial" w:hAnsi="Arial" w:hint="default"/>
      </w:rPr>
    </w:lvl>
    <w:lvl w:ilvl="3" w:tplc="0B88CF68" w:tentative="1">
      <w:start w:val="1"/>
      <w:numFmt w:val="bullet"/>
      <w:lvlText w:val="•"/>
      <w:lvlJc w:val="left"/>
      <w:pPr>
        <w:tabs>
          <w:tab w:val="num" w:pos="2880"/>
        </w:tabs>
        <w:ind w:left="2880" w:hanging="360"/>
      </w:pPr>
      <w:rPr>
        <w:rFonts w:ascii="Arial" w:hAnsi="Arial" w:hint="default"/>
      </w:rPr>
    </w:lvl>
    <w:lvl w:ilvl="4" w:tplc="77185EF4" w:tentative="1">
      <w:start w:val="1"/>
      <w:numFmt w:val="bullet"/>
      <w:lvlText w:val="•"/>
      <w:lvlJc w:val="left"/>
      <w:pPr>
        <w:tabs>
          <w:tab w:val="num" w:pos="3600"/>
        </w:tabs>
        <w:ind w:left="3600" w:hanging="360"/>
      </w:pPr>
      <w:rPr>
        <w:rFonts w:ascii="Arial" w:hAnsi="Arial" w:hint="default"/>
      </w:rPr>
    </w:lvl>
    <w:lvl w:ilvl="5" w:tplc="1788340C" w:tentative="1">
      <w:start w:val="1"/>
      <w:numFmt w:val="bullet"/>
      <w:lvlText w:val="•"/>
      <w:lvlJc w:val="left"/>
      <w:pPr>
        <w:tabs>
          <w:tab w:val="num" w:pos="4320"/>
        </w:tabs>
        <w:ind w:left="4320" w:hanging="360"/>
      </w:pPr>
      <w:rPr>
        <w:rFonts w:ascii="Arial" w:hAnsi="Arial" w:hint="default"/>
      </w:rPr>
    </w:lvl>
    <w:lvl w:ilvl="6" w:tplc="023E7340" w:tentative="1">
      <w:start w:val="1"/>
      <w:numFmt w:val="bullet"/>
      <w:lvlText w:val="•"/>
      <w:lvlJc w:val="left"/>
      <w:pPr>
        <w:tabs>
          <w:tab w:val="num" w:pos="5040"/>
        </w:tabs>
        <w:ind w:left="5040" w:hanging="360"/>
      </w:pPr>
      <w:rPr>
        <w:rFonts w:ascii="Arial" w:hAnsi="Arial" w:hint="default"/>
      </w:rPr>
    </w:lvl>
    <w:lvl w:ilvl="7" w:tplc="DD328A0A" w:tentative="1">
      <w:start w:val="1"/>
      <w:numFmt w:val="bullet"/>
      <w:lvlText w:val="•"/>
      <w:lvlJc w:val="left"/>
      <w:pPr>
        <w:tabs>
          <w:tab w:val="num" w:pos="5760"/>
        </w:tabs>
        <w:ind w:left="5760" w:hanging="360"/>
      </w:pPr>
      <w:rPr>
        <w:rFonts w:ascii="Arial" w:hAnsi="Arial" w:hint="default"/>
      </w:rPr>
    </w:lvl>
    <w:lvl w:ilvl="8" w:tplc="3C448A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90057F"/>
    <w:multiLevelType w:val="hybridMultilevel"/>
    <w:tmpl w:val="97007D2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49E64BFE"/>
    <w:multiLevelType w:val="singleLevel"/>
    <w:tmpl w:val="0809000F"/>
    <w:lvl w:ilvl="0">
      <w:start w:val="1"/>
      <w:numFmt w:val="decimal"/>
      <w:lvlText w:val="%1."/>
      <w:lvlJc w:val="left"/>
      <w:pPr>
        <w:tabs>
          <w:tab w:val="num" w:pos="360"/>
        </w:tabs>
        <w:ind w:left="360" w:hanging="360"/>
      </w:pPr>
      <w:rPr>
        <w:rFonts w:hint="default"/>
      </w:rPr>
    </w:lvl>
  </w:abstractNum>
  <w:abstractNum w:abstractNumId="13" w15:restartNumberingAfterBreak="0">
    <w:nsid w:val="4DE20F1B"/>
    <w:multiLevelType w:val="singleLevel"/>
    <w:tmpl w:val="40100142"/>
    <w:lvl w:ilvl="0">
      <w:start w:val="1"/>
      <w:numFmt w:val="decimal"/>
      <w:lvlText w:val="%1"/>
      <w:lvlJc w:val="left"/>
      <w:pPr>
        <w:tabs>
          <w:tab w:val="num" w:pos="360"/>
        </w:tabs>
        <w:ind w:left="360" w:hanging="360"/>
      </w:pPr>
    </w:lvl>
  </w:abstractNum>
  <w:abstractNum w:abstractNumId="14" w15:restartNumberingAfterBreak="0">
    <w:nsid w:val="50977834"/>
    <w:multiLevelType w:val="hybridMultilevel"/>
    <w:tmpl w:val="81783A7C"/>
    <w:lvl w:ilvl="0" w:tplc="39E20856">
      <w:start w:val="1"/>
      <w:numFmt w:val="bullet"/>
      <w:lvlText w:val="•"/>
      <w:lvlJc w:val="left"/>
      <w:pPr>
        <w:tabs>
          <w:tab w:val="num" w:pos="720"/>
        </w:tabs>
        <w:ind w:left="720" w:hanging="360"/>
      </w:pPr>
      <w:rPr>
        <w:rFonts w:ascii="Times New Roman" w:hAnsi="Times New Roman" w:hint="default"/>
      </w:rPr>
    </w:lvl>
    <w:lvl w:ilvl="1" w:tplc="3B20ADB2" w:tentative="1">
      <w:start w:val="1"/>
      <w:numFmt w:val="bullet"/>
      <w:lvlText w:val="•"/>
      <w:lvlJc w:val="left"/>
      <w:pPr>
        <w:tabs>
          <w:tab w:val="num" w:pos="1440"/>
        </w:tabs>
        <w:ind w:left="1440" w:hanging="360"/>
      </w:pPr>
      <w:rPr>
        <w:rFonts w:ascii="Times New Roman" w:hAnsi="Times New Roman" w:hint="default"/>
      </w:rPr>
    </w:lvl>
    <w:lvl w:ilvl="2" w:tplc="3AB82E86" w:tentative="1">
      <w:start w:val="1"/>
      <w:numFmt w:val="bullet"/>
      <w:lvlText w:val="•"/>
      <w:lvlJc w:val="left"/>
      <w:pPr>
        <w:tabs>
          <w:tab w:val="num" w:pos="2160"/>
        </w:tabs>
        <w:ind w:left="2160" w:hanging="360"/>
      </w:pPr>
      <w:rPr>
        <w:rFonts w:ascii="Times New Roman" w:hAnsi="Times New Roman" w:hint="default"/>
      </w:rPr>
    </w:lvl>
    <w:lvl w:ilvl="3" w:tplc="486A916C" w:tentative="1">
      <w:start w:val="1"/>
      <w:numFmt w:val="bullet"/>
      <w:lvlText w:val="•"/>
      <w:lvlJc w:val="left"/>
      <w:pPr>
        <w:tabs>
          <w:tab w:val="num" w:pos="2880"/>
        </w:tabs>
        <w:ind w:left="2880" w:hanging="360"/>
      </w:pPr>
      <w:rPr>
        <w:rFonts w:ascii="Times New Roman" w:hAnsi="Times New Roman" w:hint="default"/>
      </w:rPr>
    </w:lvl>
    <w:lvl w:ilvl="4" w:tplc="86DACC60" w:tentative="1">
      <w:start w:val="1"/>
      <w:numFmt w:val="bullet"/>
      <w:lvlText w:val="•"/>
      <w:lvlJc w:val="left"/>
      <w:pPr>
        <w:tabs>
          <w:tab w:val="num" w:pos="3600"/>
        </w:tabs>
        <w:ind w:left="3600" w:hanging="360"/>
      </w:pPr>
      <w:rPr>
        <w:rFonts w:ascii="Times New Roman" w:hAnsi="Times New Roman" w:hint="default"/>
      </w:rPr>
    </w:lvl>
    <w:lvl w:ilvl="5" w:tplc="F7B0C676" w:tentative="1">
      <w:start w:val="1"/>
      <w:numFmt w:val="bullet"/>
      <w:lvlText w:val="•"/>
      <w:lvlJc w:val="left"/>
      <w:pPr>
        <w:tabs>
          <w:tab w:val="num" w:pos="4320"/>
        </w:tabs>
        <w:ind w:left="4320" w:hanging="360"/>
      </w:pPr>
      <w:rPr>
        <w:rFonts w:ascii="Times New Roman" w:hAnsi="Times New Roman" w:hint="default"/>
      </w:rPr>
    </w:lvl>
    <w:lvl w:ilvl="6" w:tplc="4B964AE6" w:tentative="1">
      <w:start w:val="1"/>
      <w:numFmt w:val="bullet"/>
      <w:lvlText w:val="•"/>
      <w:lvlJc w:val="left"/>
      <w:pPr>
        <w:tabs>
          <w:tab w:val="num" w:pos="5040"/>
        </w:tabs>
        <w:ind w:left="5040" w:hanging="360"/>
      </w:pPr>
      <w:rPr>
        <w:rFonts w:ascii="Times New Roman" w:hAnsi="Times New Roman" w:hint="default"/>
      </w:rPr>
    </w:lvl>
    <w:lvl w:ilvl="7" w:tplc="AFA85AAE" w:tentative="1">
      <w:start w:val="1"/>
      <w:numFmt w:val="bullet"/>
      <w:lvlText w:val="•"/>
      <w:lvlJc w:val="left"/>
      <w:pPr>
        <w:tabs>
          <w:tab w:val="num" w:pos="5760"/>
        </w:tabs>
        <w:ind w:left="5760" w:hanging="360"/>
      </w:pPr>
      <w:rPr>
        <w:rFonts w:ascii="Times New Roman" w:hAnsi="Times New Roman" w:hint="default"/>
      </w:rPr>
    </w:lvl>
    <w:lvl w:ilvl="8" w:tplc="423661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241EBB"/>
    <w:multiLevelType w:val="singleLevel"/>
    <w:tmpl w:val="40100142"/>
    <w:lvl w:ilvl="0">
      <w:start w:val="1"/>
      <w:numFmt w:val="decimal"/>
      <w:lvlText w:val="%1"/>
      <w:lvlJc w:val="left"/>
      <w:pPr>
        <w:tabs>
          <w:tab w:val="num" w:pos="360"/>
        </w:tabs>
        <w:ind w:left="360" w:hanging="360"/>
      </w:pPr>
    </w:lvl>
  </w:abstractNum>
  <w:abstractNum w:abstractNumId="16" w15:restartNumberingAfterBreak="0">
    <w:nsid w:val="5A5B1610"/>
    <w:multiLevelType w:val="hybridMultilevel"/>
    <w:tmpl w:val="628283EC"/>
    <w:lvl w:ilvl="0" w:tplc="EF6EEE9C">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5D3A41EF"/>
    <w:multiLevelType w:val="hybridMultilevel"/>
    <w:tmpl w:val="3C6C5B3E"/>
    <w:lvl w:ilvl="0" w:tplc="005282F4">
      <w:start w:val="1"/>
      <w:numFmt w:val="decimal"/>
      <w:lvlText w:val="%1."/>
      <w:lvlJc w:val="left"/>
      <w:pPr>
        <w:tabs>
          <w:tab w:val="num" w:pos="720"/>
        </w:tabs>
        <w:ind w:left="720" w:hanging="360"/>
      </w:pPr>
      <w:rPr>
        <w:rFonts w:hint="default"/>
      </w:rPr>
    </w:lvl>
    <w:lvl w:ilvl="1" w:tplc="5C3CCD1E" w:tentative="1">
      <w:start w:val="1"/>
      <w:numFmt w:val="lowerLetter"/>
      <w:lvlText w:val="%2."/>
      <w:lvlJc w:val="left"/>
      <w:pPr>
        <w:tabs>
          <w:tab w:val="num" w:pos="1440"/>
        </w:tabs>
        <w:ind w:left="1440" w:hanging="360"/>
      </w:pPr>
    </w:lvl>
    <w:lvl w:ilvl="2" w:tplc="8F7AA9BC" w:tentative="1">
      <w:start w:val="1"/>
      <w:numFmt w:val="lowerRoman"/>
      <w:lvlText w:val="%3."/>
      <w:lvlJc w:val="right"/>
      <w:pPr>
        <w:tabs>
          <w:tab w:val="num" w:pos="2160"/>
        </w:tabs>
        <w:ind w:left="2160" w:hanging="180"/>
      </w:pPr>
    </w:lvl>
    <w:lvl w:ilvl="3" w:tplc="42541332" w:tentative="1">
      <w:start w:val="1"/>
      <w:numFmt w:val="decimal"/>
      <w:lvlText w:val="%4."/>
      <w:lvlJc w:val="left"/>
      <w:pPr>
        <w:tabs>
          <w:tab w:val="num" w:pos="2880"/>
        </w:tabs>
        <w:ind w:left="2880" w:hanging="360"/>
      </w:pPr>
    </w:lvl>
    <w:lvl w:ilvl="4" w:tplc="C99614B2" w:tentative="1">
      <w:start w:val="1"/>
      <w:numFmt w:val="lowerLetter"/>
      <w:lvlText w:val="%5."/>
      <w:lvlJc w:val="left"/>
      <w:pPr>
        <w:tabs>
          <w:tab w:val="num" w:pos="3600"/>
        </w:tabs>
        <w:ind w:left="3600" w:hanging="360"/>
      </w:pPr>
    </w:lvl>
    <w:lvl w:ilvl="5" w:tplc="771A9ACA" w:tentative="1">
      <w:start w:val="1"/>
      <w:numFmt w:val="lowerRoman"/>
      <w:lvlText w:val="%6."/>
      <w:lvlJc w:val="right"/>
      <w:pPr>
        <w:tabs>
          <w:tab w:val="num" w:pos="4320"/>
        </w:tabs>
        <w:ind w:left="4320" w:hanging="180"/>
      </w:pPr>
    </w:lvl>
    <w:lvl w:ilvl="6" w:tplc="DA4049EA" w:tentative="1">
      <w:start w:val="1"/>
      <w:numFmt w:val="decimal"/>
      <w:lvlText w:val="%7."/>
      <w:lvlJc w:val="left"/>
      <w:pPr>
        <w:tabs>
          <w:tab w:val="num" w:pos="5040"/>
        </w:tabs>
        <w:ind w:left="5040" w:hanging="360"/>
      </w:pPr>
    </w:lvl>
    <w:lvl w:ilvl="7" w:tplc="22B28124" w:tentative="1">
      <w:start w:val="1"/>
      <w:numFmt w:val="lowerLetter"/>
      <w:lvlText w:val="%8."/>
      <w:lvlJc w:val="left"/>
      <w:pPr>
        <w:tabs>
          <w:tab w:val="num" w:pos="5760"/>
        </w:tabs>
        <w:ind w:left="5760" w:hanging="360"/>
      </w:pPr>
    </w:lvl>
    <w:lvl w:ilvl="8" w:tplc="BAD0332C" w:tentative="1">
      <w:start w:val="1"/>
      <w:numFmt w:val="lowerRoman"/>
      <w:lvlText w:val="%9."/>
      <w:lvlJc w:val="right"/>
      <w:pPr>
        <w:tabs>
          <w:tab w:val="num" w:pos="6480"/>
        </w:tabs>
        <w:ind w:left="6480" w:hanging="180"/>
      </w:pPr>
    </w:lvl>
  </w:abstractNum>
  <w:abstractNum w:abstractNumId="18" w15:restartNumberingAfterBreak="0">
    <w:nsid w:val="5FDC3BA6"/>
    <w:multiLevelType w:val="hybridMultilevel"/>
    <w:tmpl w:val="786AFF48"/>
    <w:lvl w:ilvl="0" w:tplc="05D2AF2A">
      <w:start w:val="1"/>
      <w:numFmt w:val="decimal"/>
      <w:lvlText w:val="%1."/>
      <w:lvlJc w:val="left"/>
      <w:pPr>
        <w:ind w:left="720" w:hanging="360"/>
      </w:pPr>
      <w:rPr>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E4696C"/>
    <w:multiLevelType w:val="hybridMultilevel"/>
    <w:tmpl w:val="2C12FFAC"/>
    <w:lvl w:ilvl="0" w:tplc="13226128">
      <w:start w:val="1"/>
      <w:numFmt w:val="bullet"/>
      <w:lvlText w:val="•"/>
      <w:lvlJc w:val="left"/>
      <w:pPr>
        <w:tabs>
          <w:tab w:val="num" w:pos="720"/>
        </w:tabs>
        <w:ind w:left="720" w:hanging="360"/>
      </w:pPr>
      <w:rPr>
        <w:rFonts w:ascii="Arial" w:hAnsi="Arial" w:hint="default"/>
      </w:rPr>
    </w:lvl>
    <w:lvl w:ilvl="1" w:tplc="D42C2C7C">
      <w:start w:val="1"/>
      <w:numFmt w:val="decimal"/>
      <w:lvlText w:val="%2."/>
      <w:lvlJc w:val="left"/>
      <w:pPr>
        <w:tabs>
          <w:tab w:val="num" w:pos="1440"/>
        </w:tabs>
        <w:ind w:left="1440" w:hanging="360"/>
      </w:pPr>
    </w:lvl>
    <w:lvl w:ilvl="2" w:tplc="D86E9BC4" w:tentative="1">
      <w:start w:val="1"/>
      <w:numFmt w:val="bullet"/>
      <w:lvlText w:val="•"/>
      <w:lvlJc w:val="left"/>
      <w:pPr>
        <w:tabs>
          <w:tab w:val="num" w:pos="2160"/>
        </w:tabs>
        <w:ind w:left="2160" w:hanging="360"/>
      </w:pPr>
      <w:rPr>
        <w:rFonts w:ascii="Arial" w:hAnsi="Arial" w:hint="default"/>
      </w:rPr>
    </w:lvl>
    <w:lvl w:ilvl="3" w:tplc="598CECBE" w:tentative="1">
      <w:start w:val="1"/>
      <w:numFmt w:val="bullet"/>
      <w:lvlText w:val="•"/>
      <w:lvlJc w:val="left"/>
      <w:pPr>
        <w:tabs>
          <w:tab w:val="num" w:pos="2880"/>
        </w:tabs>
        <w:ind w:left="2880" w:hanging="360"/>
      </w:pPr>
      <w:rPr>
        <w:rFonts w:ascii="Arial" w:hAnsi="Arial" w:hint="default"/>
      </w:rPr>
    </w:lvl>
    <w:lvl w:ilvl="4" w:tplc="CE0297A8" w:tentative="1">
      <w:start w:val="1"/>
      <w:numFmt w:val="bullet"/>
      <w:lvlText w:val="•"/>
      <w:lvlJc w:val="left"/>
      <w:pPr>
        <w:tabs>
          <w:tab w:val="num" w:pos="3600"/>
        </w:tabs>
        <w:ind w:left="3600" w:hanging="360"/>
      </w:pPr>
      <w:rPr>
        <w:rFonts w:ascii="Arial" w:hAnsi="Arial" w:hint="default"/>
      </w:rPr>
    </w:lvl>
    <w:lvl w:ilvl="5" w:tplc="8CECA0A2" w:tentative="1">
      <w:start w:val="1"/>
      <w:numFmt w:val="bullet"/>
      <w:lvlText w:val="•"/>
      <w:lvlJc w:val="left"/>
      <w:pPr>
        <w:tabs>
          <w:tab w:val="num" w:pos="4320"/>
        </w:tabs>
        <w:ind w:left="4320" w:hanging="360"/>
      </w:pPr>
      <w:rPr>
        <w:rFonts w:ascii="Arial" w:hAnsi="Arial" w:hint="default"/>
      </w:rPr>
    </w:lvl>
    <w:lvl w:ilvl="6" w:tplc="D4BE3C86" w:tentative="1">
      <w:start w:val="1"/>
      <w:numFmt w:val="bullet"/>
      <w:lvlText w:val="•"/>
      <w:lvlJc w:val="left"/>
      <w:pPr>
        <w:tabs>
          <w:tab w:val="num" w:pos="5040"/>
        </w:tabs>
        <w:ind w:left="5040" w:hanging="360"/>
      </w:pPr>
      <w:rPr>
        <w:rFonts w:ascii="Arial" w:hAnsi="Arial" w:hint="default"/>
      </w:rPr>
    </w:lvl>
    <w:lvl w:ilvl="7" w:tplc="55423E6A" w:tentative="1">
      <w:start w:val="1"/>
      <w:numFmt w:val="bullet"/>
      <w:lvlText w:val="•"/>
      <w:lvlJc w:val="left"/>
      <w:pPr>
        <w:tabs>
          <w:tab w:val="num" w:pos="5760"/>
        </w:tabs>
        <w:ind w:left="5760" w:hanging="360"/>
      </w:pPr>
      <w:rPr>
        <w:rFonts w:ascii="Arial" w:hAnsi="Arial" w:hint="default"/>
      </w:rPr>
    </w:lvl>
    <w:lvl w:ilvl="8" w:tplc="D36C84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AC28F7"/>
    <w:multiLevelType w:val="hybridMultilevel"/>
    <w:tmpl w:val="73A294F4"/>
    <w:lvl w:ilvl="0" w:tplc="C576ECAC">
      <w:start w:val="1"/>
      <w:numFmt w:val="bullet"/>
      <w:lvlText w:val=""/>
      <w:lvlJc w:val="left"/>
      <w:pPr>
        <w:tabs>
          <w:tab w:val="num" w:pos="720"/>
        </w:tabs>
        <w:ind w:left="720" w:hanging="360"/>
      </w:pPr>
      <w:rPr>
        <w:rFonts w:ascii="Wingdings" w:hAnsi="Wingdings" w:hint="default"/>
      </w:rPr>
    </w:lvl>
    <w:lvl w:ilvl="1" w:tplc="4768D094" w:tentative="1">
      <w:start w:val="1"/>
      <w:numFmt w:val="bullet"/>
      <w:lvlText w:val=""/>
      <w:lvlJc w:val="left"/>
      <w:pPr>
        <w:tabs>
          <w:tab w:val="num" w:pos="1440"/>
        </w:tabs>
        <w:ind w:left="1440" w:hanging="360"/>
      </w:pPr>
      <w:rPr>
        <w:rFonts w:ascii="Wingdings" w:hAnsi="Wingdings" w:hint="default"/>
      </w:rPr>
    </w:lvl>
    <w:lvl w:ilvl="2" w:tplc="720CBCEC" w:tentative="1">
      <w:start w:val="1"/>
      <w:numFmt w:val="bullet"/>
      <w:lvlText w:val=""/>
      <w:lvlJc w:val="left"/>
      <w:pPr>
        <w:tabs>
          <w:tab w:val="num" w:pos="2160"/>
        </w:tabs>
        <w:ind w:left="2160" w:hanging="360"/>
      </w:pPr>
      <w:rPr>
        <w:rFonts w:ascii="Wingdings" w:hAnsi="Wingdings" w:hint="default"/>
      </w:rPr>
    </w:lvl>
    <w:lvl w:ilvl="3" w:tplc="5CAE1768" w:tentative="1">
      <w:start w:val="1"/>
      <w:numFmt w:val="bullet"/>
      <w:lvlText w:val=""/>
      <w:lvlJc w:val="left"/>
      <w:pPr>
        <w:tabs>
          <w:tab w:val="num" w:pos="2880"/>
        </w:tabs>
        <w:ind w:left="2880" w:hanging="360"/>
      </w:pPr>
      <w:rPr>
        <w:rFonts w:ascii="Wingdings" w:hAnsi="Wingdings" w:hint="default"/>
      </w:rPr>
    </w:lvl>
    <w:lvl w:ilvl="4" w:tplc="308CF15E" w:tentative="1">
      <w:start w:val="1"/>
      <w:numFmt w:val="bullet"/>
      <w:lvlText w:val=""/>
      <w:lvlJc w:val="left"/>
      <w:pPr>
        <w:tabs>
          <w:tab w:val="num" w:pos="3600"/>
        </w:tabs>
        <w:ind w:left="3600" w:hanging="360"/>
      </w:pPr>
      <w:rPr>
        <w:rFonts w:ascii="Wingdings" w:hAnsi="Wingdings" w:hint="default"/>
      </w:rPr>
    </w:lvl>
    <w:lvl w:ilvl="5" w:tplc="55BED2C0" w:tentative="1">
      <w:start w:val="1"/>
      <w:numFmt w:val="bullet"/>
      <w:lvlText w:val=""/>
      <w:lvlJc w:val="left"/>
      <w:pPr>
        <w:tabs>
          <w:tab w:val="num" w:pos="4320"/>
        </w:tabs>
        <w:ind w:left="4320" w:hanging="360"/>
      </w:pPr>
      <w:rPr>
        <w:rFonts w:ascii="Wingdings" w:hAnsi="Wingdings" w:hint="default"/>
      </w:rPr>
    </w:lvl>
    <w:lvl w:ilvl="6" w:tplc="92E4BEAE" w:tentative="1">
      <w:start w:val="1"/>
      <w:numFmt w:val="bullet"/>
      <w:lvlText w:val=""/>
      <w:lvlJc w:val="left"/>
      <w:pPr>
        <w:tabs>
          <w:tab w:val="num" w:pos="5040"/>
        </w:tabs>
        <w:ind w:left="5040" w:hanging="360"/>
      </w:pPr>
      <w:rPr>
        <w:rFonts w:ascii="Wingdings" w:hAnsi="Wingdings" w:hint="default"/>
      </w:rPr>
    </w:lvl>
    <w:lvl w:ilvl="7" w:tplc="8DC2BE0C" w:tentative="1">
      <w:start w:val="1"/>
      <w:numFmt w:val="bullet"/>
      <w:lvlText w:val=""/>
      <w:lvlJc w:val="left"/>
      <w:pPr>
        <w:tabs>
          <w:tab w:val="num" w:pos="5760"/>
        </w:tabs>
        <w:ind w:left="5760" w:hanging="360"/>
      </w:pPr>
      <w:rPr>
        <w:rFonts w:ascii="Wingdings" w:hAnsi="Wingdings" w:hint="default"/>
      </w:rPr>
    </w:lvl>
    <w:lvl w:ilvl="8" w:tplc="681EDD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45D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4A53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BC4E04"/>
    <w:multiLevelType w:val="hybridMultilevel"/>
    <w:tmpl w:val="82486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310604"/>
    <w:multiLevelType w:val="hybridMultilevel"/>
    <w:tmpl w:val="FB3CB3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7"/>
  </w:num>
  <w:num w:numId="2">
    <w:abstractNumId w:val="21"/>
  </w:num>
  <w:num w:numId="3">
    <w:abstractNumId w:val="8"/>
  </w:num>
  <w:num w:numId="4">
    <w:abstractNumId w:val="22"/>
  </w:num>
  <w:num w:numId="5">
    <w:abstractNumId w:val="12"/>
  </w:num>
  <w:num w:numId="6">
    <w:abstractNumId w:val="7"/>
  </w:num>
  <w:num w:numId="7">
    <w:abstractNumId w:val="9"/>
  </w:num>
  <w:num w:numId="8">
    <w:abstractNumId w:val="2"/>
  </w:num>
  <w:num w:numId="9">
    <w:abstractNumId w:val="13"/>
  </w:num>
  <w:num w:numId="10">
    <w:abstractNumId w:val="15"/>
  </w:num>
  <w:num w:numId="11">
    <w:abstractNumId w:val="1"/>
  </w:num>
  <w:num w:numId="12">
    <w:abstractNumId w:val="23"/>
  </w:num>
  <w:num w:numId="13">
    <w:abstractNumId w:val="16"/>
  </w:num>
  <w:num w:numId="14">
    <w:abstractNumId w:val="14"/>
  </w:num>
  <w:num w:numId="15">
    <w:abstractNumId w:val="2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24"/>
  </w:num>
  <w:num w:numId="20">
    <w:abstractNumId w:val="4"/>
  </w:num>
  <w:num w:numId="21">
    <w:abstractNumId w:val="5"/>
  </w:num>
  <w:num w:numId="22">
    <w:abstractNumId w:val="18"/>
  </w:num>
  <w:num w:numId="23">
    <w:abstractNumId w:val="3"/>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60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east5a0defe5uex023vr5t4psvdzevser5r&quot;&gt;Water hardness and AD risk&lt;record-ids&gt;&lt;item&gt;847&lt;/item&gt;&lt;item&gt;1054&lt;/item&gt;&lt;item&gt;1106&lt;/item&gt;&lt;item&gt;1107&lt;/item&gt;&lt;item&gt;1108&lt;/item&gt;&lt;item&gt;1110&lt;/item&gt;&lt;item&gt;1111&lt;/item&gt;&lt;item&gt;1114&lt;/item&gt;&lt;item&gt;1122&lt;/item&gt;&lt;item&gt;1131&lt;/item&gt;&lt;item&gt;1133&lt;/item&gt;&lt;/record-ids&gt;&lt;/item&gt;&lt;/Libraries&gt;"/>
    <w:docVar w:name="REFMGR.InstantFormat" w:val="&lt;ENInstantFormat&gt;&lt;Enabled&gt;0&lt;/Enabled&gt;&lt;ScanUnformatted&gt;1&lt;/ScanUnformatted&gt;&lt;ScanChanges&gt;1&lt;/ScanChanges&gt;&lt;/ENInstantFormat&gt;"/>
    <w:docVar w:name="REFMGR.Layout" w:val="&lt;ENLayout&gt;&lt;Style&gt;Journal of Allergy and Clinical Immunology&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2&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EAT Study References&lt;/item&gt;&lt;/Libraries&gt;&lt;/ENLibraries&gt;"/>
  </w:docVars>
  <w:rsids>
    <w:rsidRoot w:val="00B976D6"/>
    <w:rsid w:val="000008E0"/>
    <w:rsid w:val="00002196"/>
    <w:rsid w:val="000028F1"/>
    <w:rsid w:val="00002B14"/>
    <w:rsid w:val="00002CDB"/>
    <w:rsid w:val="00004202"/>
    <w:rsid w:val="00004BF3"/>
    <w:rsid w:val="00004ED1"/>
    <w:rsid w:val="0000506F"/>
    <w:rsid w:val="000050B7"/>
    <w:rsid w:val="00007349"/>
    <w:rsid w:val="00007A69"/>
    <w:rsid w:val="00007EDA"/>
    <w:rsid w:val="00012FC8"/>
    <w:rsid w:val="00013363"/>
    <w:rsid w:val="00013FF0"/>
    <w:rsid w:val="00014D6B"/>
    <w:rsid w:val="0001581A"/>
    <w:rsid w:val="00015E21"/>
    <w:rsid w:val="000161BF"/>
    <w:rsid w:val="00016D3A"/>
    <w:rsid w:val="00016DA1"/>
    <w:rsid w:val="00020368"/>
    <w:rsid w:val="00020A29"/>
    <w:rsid w:val="00020B5C"/>
    <w:rsid w:val="00020EF1"/>
    <w:rsid w:val="0002183A"/>
    <w:rsid w:val="000226CA"/>
    <w:rsid w:val="00022728"/>
    <w:rsid w:val="000238B2"/>
    <w:rsid w:val="00023DE3"/>
    <w:rsid w:val="000240C1"/>
    <w:rsid w:val="00024A48"/>
    <w:rsid w:val="00026BAA"/>
    <w:rsid w:val="00027514"/>
    <w:rsid w:val="00027554"/>
    <w:rsid w:val="0002786A"/>
    <w:rsid w:val="0003085F"/>
    <w:rsid w:val="000317A7"/>
    <w:rsid w:val="00031922"/>
    <w:rsid w:val="00031E00"/>
    <w:rsid w:val="0003257C"/>
    <w:rsid w:val="00032732"/>
    <w:rsid w:val="0003276B"/>
    <w:rsid w:val="00032CDB"/>
    <w:rsid w:val="000331B3"/>
    <w:rsid w:val="0003428F"/>
    <w:rsid w:val="0003453E"/>
    <w:rsid w:val="00034DDB"/>
    <w:rsid w:val="00034F1D"/>
    <w:rsid w:val="000351DE"/>
    <w:rsid w:val="00035BCA"/>
    <w:rsid w:val="00035CE5"/>
    <w:rsid w:val="00035D48"/>
    <w:rsid w:val="00036991"/>
    <w:rsid w:val="00037B25"/>
    <w:rsid w:val="00037BF8"/>
    <w:rsid w:val="000406CD"/>
    <w:rsid w:val="00040A13"/>
    <w:rsid w:val="00040C7D"/>
    <w:rsid w:val="00040F45"/>
    <w:rsid w:val="000417AE"/>
    <w:rsid w:val="00042463"/>
    <w:rsid w:val="00043906"/>
    <w:rsid w:val="00043C23"/>
    <w:rsid w:val="00043CC1"/>
    <w:rsid w:val="00044243"/>
    <w:rsid w:val="00044506"/>
    <w:rsid w:val="00044E5C"/>
    <w:rsid w:val="000456D7"/>
    <w:rsid w:val="000457C2"/>
    <w:rsid w:val="00045D14"/>
    <w:rsid w:val="00047A53"/>
    <w:rsid w:val="0005054B"/>
    <w:rsid w:val="0005074A"/>
    <w:rsid w:val="000510CE"/>
    <w:rsid w:val="00052666"/>
    <w:rsid w:val="00052F91"/>
    <w:rsid w:val="00053179"/>
    <w:rsid w:val="000531BF"/>
    <w:rsid w:val="00053562"/>
    <w:rsid w:val="00053623"/>
    <w:rsid w:val="00053C77"/>
    <w:rsid w:val="00053D42"/>
    <w:rsid w:val="00054D0B"/>
    <w:rsid w:val="0005541A"/>
    <w:rsid w:val="00055464"/>
    <w:rsid w:val="000554E9"/>
    <w:rsid w:val="000557AF"/>
    <w:rsid w:val="000557E4"/>
    <w:rsid w:val="00055DAE"/>
    <w:rsid w:val="00055EC0"/>
    <w:rsid w:val="00056051"/>
    <w:rsid w:val="000606A1"/>
    <w:rsid w:val="00060ADD"/>
    <w:rsid w:val="0006104F"/>
    <w:rsid w:val="00063239"/>
    <w:rsid w:val="00063699"/>
    <w:rsid w:val="00063881"/>
    <w:rsid w:val="00063A8B"/>
    <w:rsid w:val="00065DA1"/>
    <w:rsid w:val="000667B7"/>
    <w:rsid w:val="00067041"/>
    <w:rsid w:val="00067254"/>
    <w:rsid w:val="000674E9"/>
    <w:rsid w:val="00067C68"/>
    <w:rsid w:val="000701EF"/>
    <w:rsid w:val="00073316"/>
    <w:rsid w:val="0007336B"/>
    <w:rsid w:val="00073BB4"/>
    <w:rsid w:val="00074049"/>
    <w:rsid w:val="00074748"/>
    <w:rsid w:val="00074A88"/>
    <w:rsid w:val="00074C92"/>
    <w:rsid w:val="00074E5A"/>
    <w:rsid w:val="00075506"/>
    <w:rsid w:val="00075C61"/>
    <w:rsid w:val="00077278"/>
    <w:rsid w:val="00077E7B"/>
    <w:rsid w:val="00080826"/>
    <w:rsid w:val="00081DED"/>
    <w:rsid w:val="00082A66"/>
    <w:rsid w:val="00082FCF"/>
    <w:rsid w:val="000839BD"/>
    <w:rsid w:val="000841B1"/>
    <w:rsid w:val="000848EC"/>
    <w:rsid w:val="00084AE8"/>
    <w:rsid w:val="00084FCF"/>
    <w:rsid w:val="00085450"/>
    <w:rsid w:val="00085D60"/>
    <w:rsid w:val="00086800"/>
    <w:rsid w:val="000868C2"/>
    <w:rsid w:val="00087546"/>
    <w:rsid w:val="000875B5"/>
    <w:rsid w:val="000876A9"/>
    <w:rsid w:val="00087B54"/>
    <w:rsid w:val="00087BFA"/>
    <w:rsid w:val="00087EF0"/>
    <w:rsid w:val="00087FD9"/>
    <w:rsid w:val="00090160"/>
    <w:rsid w:val="000912ED"/>
    <w:rsid w:val="000916F4"/>
    <w:rsid w:val="0009429E"/>
    <w:rsid w:val="000948B7"/>
    <w:rsid w:val="0009524F"/>
    <w:rsid w:val="000952D4"/>
    <w:rsid w:val="0009571B"/>
    <w:rsid w:val="00097347"/>
    <w:rsid w:val="00097722"/>
    <w:rsid w:val="000977C1"/>
    <w:rsid w:val="00097C94"/>
    <w:rsid w:val="000A04A7"/>
    <w:rsid w:val="000A1625"/>
    <w:rsid w:val="000A1BE3"/>
    <w:rsid w:val="000A22B6"/>
    <w:rsid w:val="000A2ED0"/>
    <w:rsid w:val="000A544B"/>
    <w:rsid w:val="000A61B3"/>
    <w:rsid w:val="000A62F7"/>
    <w:rsid w:val="000A758E"/>
    <w:rsid w:val="000A7786"/>
    <w:rsid w:val="000A7AD6"/>
    <w:rsid w:val="000A7AF6"/>
    <w:rsid w:val="000B0BE8"/>
    <w:rsid w:val="000B1375"/>
    <w:rsid w:val="000B1F5E"/>
    <w:rsid w:val="000B2652"/>
    <w:rsid w:val="000B290B"/>
    <w:rsid w:val="000B339E"/>
    <w:rsid w:val="000B42F1"/>
    <w:rsid w:val="000B46E8"/>
    <w:rsid w:val="000B5B52"/>
    <w:rsid w:val="000B6857"/>
    <w:rsid w:val="000B719B"/>
    <w:rsid w:val="000B71D9"/>
    <w:rsid w:val="000B7975"/>
    <w:rsid w:val="000B7AA5"/>
    <w:rsid w:val="000B7B6E"/>
    <w:rsid w:val="000C0B23"/>
    <w:rsid w:val="000C12EB"/>
    <w:rsid w:val="000C1310"/>
    <w:rsid w:val="000C3557"/>
    <w:rsid w:val="000C69FC"/>
    <w:rsid w:val="000C7DA3"/>
    <w:rsid w:val="000D168C"/>
    <w:rsid w:val="000D1804"/>
    <w:rsid w:val="000D2C18"/>
    <w:rsid w:val="000D3CE5"/>
    <w:rsid w:val="000D3EA0"/>
    <w:rsid w:val="000D5988"/>
    <w:rsid w:val="000D5A6C"/>
    <w:rsid w:val="000D6353"/>
    <w:rsid w:val="000D6677"/>
    <w:rsid w:val="000D73D1"/>
    <w:rsid w:val="000E0398"/>
    <w:rsid w:val="000E18C8"/>
    <w:rsid w:val="000E1C96"/>
    <w:rsid w:val="000E1D36"/>
    <w:rsid w:val="000E22E7"/>
    <w:rsid w:val="000E2369"/>
    <w:rsid w:val="000E325F"/>
    <w:rsid w:val="000E4129"/>
    <w:rsid w:val="000E518A"/>
    <w:rsid w:val="000E6E0F"/>
    <w:rsid w:val="000E6EEE"/>
    <w:rsid w:val="000E71D5"/>
    <w:rsid w:val="000E7D09"/>
    <w:rsid w:val="000E7D5A"/>
    <w:rsid w:val="000F000D"/>
    <w:rsid w:val="000F0467"/>
    <w:rsid w:val="000F0B72"/>
    <w:rsid w:val="000F17ED"/>
    <w:rsid w:val="000F2AD8"/>
    <w:rsid w:val="000F2C69"/>
    <w:rsid w:val="000F2DFB"/>
    <w:rsid w:val="000F2F57"/>
    <w:rsid w:val="000F4686"/>
    <w:rsid w:val="000F4F30"/>
    <w:rsid w:val="000F63AB"/>
    <w:rsid w:val="000F6800"/>
    <w:rsid w:val="000F7F2F"/>
    <w:rsid w:val="00100523"/>
    <w:rsid w:val="00101259"/>
    <w:rsid w:val="00102186"/>
    <w:rsid w:val="001023A0"/>
    <w:rsid w:val="001024B0"/>
    <w:rsid w:val="00103232"/>
    <w:rsid w:val="001038A6"/>
    <w:rsid w:val="00103D33"/>
    <w:rsid w:val="001048A6"/>
    <w:rsid w:val="0010591B"/>
    <w:rsid w:val="00106E9B"/>
    <w:rsid w:val="00112913"/>
    <w:rsid w:val="00112E03"/>
    <w:rsid w:val="00112EBD"/>
    <w:rsid w:val="00112F4E"/>
    <w:rsid w:val="00113072"/>
    <w:rsid w:val="00113B4A"/>
    <w:rsid w:val="0011441A"/>
    <w:rsid w:val="00120D9A"/>
    <w:rsid w:val="0012115C"/>
    <w:rsid w:val="0012203A"/>
    <w:rsid w:val="001243F2"/>
    <w:rsid w:val="00124C4A"/>
    <w:rsid w:val="0012545C"/>
    <w:rsid w:val="00125C15"/>
    <w:rsid w:val="0012694A"/>
    <w:rsid w:val="00127EDE"/>
    <w:rsid w:val="00127F23"/>
    <w:rsid w:val="00131220"/>
    <w:rsid w:val="001338D0"/>
    <w:rsid w:val="00133E2A"/>
    <w:rsid w:val="001359B0"/>
    <w:rsid w:val="001366F8"/>
    <w:rsid w:val="00137199"/>
    <w:rsid w:val="001376D9"/>
    <w:rsid w:val="00140005"/>
    <w:rsid w:val="0014012A"/>
    <w:rsid w:val="00140851"/>
    <w:rsid w:val="00140A43"/>
    <w:rsid w:val="00141455"/>
    <w:rsid w:val="00141649"/>
    <w:rsid w:val="00142B5A"/>
    <w:rsid w:val="00144173"/>
    <w:rsid w:val="0014544D"/>
    <w:rsid w:val="0014601A"/>
    <w:rsid w:val="001462C2"/>
    <w:rsid w:val="00146510"/>
    <w:rsid w:val="001466BD"/>
    <w:rsid w:val="00147B81"/>
    <w:rsid w:val="00151AF4"/>
    <w:rsid w:val="0015343E"/>
    <w:rsid w:val="001534EB"/>
    <w:rsid w:val="001538D5"/>
    <w:rsid w:val="001546E5"/>
    <w:rsid w:val="00155DDA"/>
    <w:rsid w:val="00156F41"/>
    <w:rsid w:val="00161A6A"/>
    <w:rsid w:val="00162FCB"/>
    <w:rsid w:val="00163918"/>
    <w:rsid w:val="00163E47"/>
    <w:rsid w:val="001642A4"/>
    <w:rsid w:val="00164B77"/>
    <w:rsid w:val="0016632D"/>
    <w:rsid w:val="00167C8E"/>
    <w:rsid w:val="00170584"/>
    <w:rsid w:val="0017093F"/>
    <w:rsid w:val="00170F56"/>
    <w:rsid w:val="00171C08"/>
    <w:rsid w:val="00172E95"/>
    <w:rsid w:val="0017361D"/>
    <w:rsid w:val="00173DBA"/>
    <w:rsid w:val="00174F33"/>
    <w:rsid w:val="0017592B"/>
    <w:rsid w:val="00175C4F"/>
    <w:rsid w:val="00176623"/>
    <w:rsid w:val="00176B47"/>
    <w:rsid w:val="00176BDF"/>
    <w:rsid w:val="00177DFA"/>
    <w:rsid w:val="00180361"/>
    <w:rsid w:val="001804FC"/>
    <w:rsid w:val="00180A6D"/>
    <w:rsid w:val="001810F9"/>
    <w:rsid w:val="001822FD"/>
    <w:rsid w:val="001823F3"/>
    <w:rsid w:val="00182772"/>
    <w:rsid w:val="00182DF3"/>
    <w:rsid w:val="001831AA"/>
    <w:rsid w:val="001833CB"/>
    <w:rsid w:val="001837B5"/>
    <w:rsid w:val="001843E2"/>
    <w:rsid w:val="00184680"/>
    <w:rsid w:val="00184698"/>
    <w:rsid w:val="00185841"/>
    <w:rsid w:val="001869D4"/>
    <w:rsid w:val="0019049C"/>
    <w:rsid w:val="001910CE"/>
    <w:rsid w:val="001922D9"/>
    <w:rsid w:val="00192AA0"/>
    <w:rsid w:val="00193FBB"/>
    <w:rsid w:val="0019489A"/>
    <w:rsid w:val="00194B68"/>
    <w:rsid w:val="001957F8"/>
    <w:rsid w:val="00196396"/>
    <w:rsid w:val="001971F6"/>
    <w:rsid w:val="00197618"/>
    <w:rsid w:val="001A0A5E"/>
    <w:rsid w:val="001A13FF"/>
    <w:rsid w:val="001A1470"/>
    <w:rsid w:val="001A1533"/>
    <w:rsid w:val="001A28D2"/>
    <w:rsid w:val="001A2FCF"/>
    <w:rsid w:val="001A3731"/>
    <w:rsid w:val="001A3916"/>
    <w:rsid w:val="001A42D6"/>
    <w:rsid w:val="001A492A"/>
    <w:rsid w:val="001A527E"/>
    <w:rsid w:val="001A5AAE"/>
    <w:rsid w:val="001A6484"/>
    <w:rsid w:val="001A6739"/>
    <w:rsid w:val="001A6828"/>
    <w:rsid w:val="001A72FB"/>
    <w:rsid w:val="001A7B17"/>
    <w:rsid w:val="001B04B6"/>
    <w:rsid w:val="001B0831"/>
    <w:rsid w:val="001B1300"/>
    <w:rsid w:val="001B2467"/>
    <w:rsid w:val="001B2CA0"/>
    <w:rsid w:val="001B398D"/>
    <w:rsid w:val="001B5ACF"/>
    <w:rsid w:val="001B6E6D"/>
    <w:rsid w:val="001B7699"/>
    <w:rsid w:val="001C116A"/>
    <w:rsid w:val="001C1401"/>
    <w:rsid w:val="001C18FC"/>
    <w:rsid w:val="001C1AC3"/>
    <w:rsid w:val="001C2A16"/>
    <w:rsid w:val="001C2B7B"/>
    <w:rsid w:val="001C2C67"/>
    <w:rsid w:val="001C2EE4"/>
    <w:rsid w:val="001C33E7"/>
    <w:rsid w:val="001C36DD"/>
    <w:rsid w:val="001C3B70"/>
    <w:rsid w:val="001C3D7F"/>
    <w:rsid w:val="001C40DB"/>
    <w:rsid w:val="001C4194"/>
    <w:rsid w:val="001C51FA"/>
    <w:rsid w:val="001C5876"/>
    <w:rsid w:val="001C640D"/>
    <w:rsid w:val="001C6D53"/>
    <w:rsid w:val="001C7370"/>
    <w:rsid w:val="001C761D"/>
    <w:rsid w:val="001D03D9"/>
    <w:rsid w:val="001D1404"/>
    <w:rsid w:val="001D1F89"/>
    <w:rsid w:val="001D2389"/>
    <w:rsid w:val="001D374F"/>
    <w:rsid w:val="001D3755"/>
    <w:rsid w:val="001D3F9E"/>
    <w:rsid w:val="001D3FF7"/>
    <w:rsid w:val="001D4672"/>
    <w:rsid w:val="001D4715"/>
    <w:rsid w:val="001D607E"/>
    <w:rsid w:val="001E00BB"/>
    <w:rsid w:val="001E0AFD"/>
    <w:rsid w:val="001E0B04"/>
    <w:rsid w:val="001E14E9"/>
    <w:rsid w:val="001E169C"/>
    <w:rsid w:val="001E1CB9"/>
    <w:rsid w:val="001E2AD8"/>
    <w:rsid w:val="001E3D6E"/>
    <w:rsid w:val="001E516E"/>
    <w:rsid w:val="001E5279"/>
    <w:rsid w:val="001E55F9"/>
    <w:rsid w:val="001E58EA"/>
    <w:rsid w:val="001E73D6"/>
    <w:rsid w:val="001F0C0D"/>
    <w:rsid w:val="001F0C83"/>
    <w:rsid w:val="001F11B5"/>
    <w:rsid w:val="001F159F"/>
    <w:rsid w:val="001F2735"/>
    <w:rsid w:val="001F3A26"/>
    <w:rsid w:val="001F40A4"/>
    <w:rsid w:val="001F48FB"/>
    <w:rsid w:val="001F6165"/>
    <w:rsid w:val="001F64DC"/>
    <w:rsid w:val="001F65A1"/>
    <w:rsid w:val="001F74D8"/>
    <w:rsid w:val="0020148A"/>
    <w:rsid w:val="00201553"/>
    <w:rsid w:val="00201776"/>
    <w:rsid w:val="00201A29"/>
    <w:rsid w:val="002021E0"/>
    <w:rsid w:val="00203777"/>
    <w:rsid w:val="00204A0F"/>
    <w:rsid w:val="002050C9"/>
    <w:rsid w:val="0020602D"/>
    <w:rsid w:val="0020674B"/>
    <w:rsid w:val="00206B49"/>
    <w:rsid w:val="00206E2C"/>
    <w:rsid w:val="00210039"/>
    <w:rsid w:val="002110A0"/>
    <w:rsid w:val="00211533"/>
    <w:rsid w:val="00213286"/>
    <w:rsid w:val="00213F24"/>
    <w:rsid w:val="002141CB"/>
    <w:rsid w:val="002142D7"/>
    <w:rsid w:val="00214FC4"/>
    <w:rsid w:val="00217762"/>
    <w:rsid w:val="00221A73"/>
    <w:rsid w:val="00221B09"/>
    <w:rsid w:val="00221C3C"/>
    <w:rsid w:val="0022394F"/>
    <w:rsid w:val="00223A94"/>
    <w:rsid w:val="00223B1F"/>
    <w:rsid w:val="0022470F"/>
    <w:rsid w:val="002256DA"/>
    <w:rsid w:val="00226D83"/>
    <w:rsid w:val="00226EB7"/>
    <w:rsid w:val="00227731"/>
    <w:rsid w:val="0022785E"/>
    <w:rsid w:val="002278B3"/>
    <w:rsid w:val="00227A23"/>
    <w:rsid w:val="00230C59"/>
    <w:rsid w:val="002313B7"/>
    <w:rsid w:val="00231B4C"/>
    <w:rsid w:val="002320E2"/>
    <w:rsid w:val="0023243D"/>
    <w:rsid w:val="00233C5D"/>
    <w:rsid w:val="00234779"/>
    <w:rsid w:val="00234794"/>
    <w:rsid w:val="00234A2D"/>
    <w:rsid w:val="00234DEA"/>
    <w:rsid w:val="00234EF5"/>
    <w:rsid w:val="00236B6A"/>
    <w:rsid w:val="00236D0E"/>
    <w:rsid w:val="002374A3"/>
    <w:rsid w:val="002379C7"/>
    <w:rsid w:val="00240030"/>
    <w:rsid w:val="002405D0"/>
    <w:rsid w:val="00241472"/>
    <w:rsid w:val="00243D33"/>
    <w:rsid w:val="002444C6"/>
    <w:rsid w:val="00245479"/>
    <w:rsid w:val="00246FDA"/>
    <w:rsid w:val="0024757F"/>
    <w:rsid w:val="00247D48"/>
    <w:rsid w:val="00250AF5"/>
    <w:rsid w:val="0025131C"/>
    <w:rsid w:val="00251422"/>
    <w:rsid w:val="00251A0B"/>
    <w:rsid w:val="00251BBA"/>
    <w:rsid w:val="00251BFE"/>
    <w:rsid w:val="00251C75"/>
    <w:rsid w:val="00253E53"/>
    <w:rsid w:val="002540CA"/>
    <w:rsid w:val="00254655"/>
    <w:rsid w:val="00254883"/>
    <w:rsid w:val="002550F2"/>
    <w:rsid w:val="00255A69"/>
    <w:rsid w:val="00255E90"/>
    <w:rsid w:val="0025680A"/>
    <w:rsid w:val="00256B41"/>
    <w:rsid w:val="00256FCF"/>
    <w:rsid w:val="002573EE"/>
    <w:rsid w:val="00257C26"/>
    <w:rsid w:val="00257C51"/>
    <w:rsid w:val="00257DCA"/>
    <w:rsid w:val="00260606"/>
    <w:rsid w:val="00260BD0"/>
    <w:rsid w:val="0026137C"/>
    <w:rsid w:val="00262B65"/>
    <w:rsid w:val="00262D34"/>
    <w:rsid w:val="00262DA2"/>
    <w:rsid w:val="00263761"/>
    <w:rsid w:val="0026390D"/>
    <w:rsid w:val="00263C9A"/>
    <w:rsid w:val="002646D3"/>
    <w:rsid w:val="00264707"/>
    <w:rsid w:val="00265CB5"/>
    <w:rsid w:val="00265FCE"/>
    <w:rsid w:val="00266306"/>
    <w:rsid w:val="002672A8"/>
    <w:rsid w:val="0026755D"/>
    <w:rsid w:val="0027062B"/>
    <w:rsid w:val="00270788"/>
    <w:rsid w:val="00272647"/>
    <w:rsid w:val="002727F8"/>
    <w:rsid w:val="002733B5"/>
    <w:rsid w:val="0027353D"/>
    <w:rsid w:val="002737E1"/>
    <w:rsid w:val="00273904"/>
    <w:rsid w:val="00274EED"/>
    <w:rsid w:val="00274EF5"/>
    <w:rsid w:val="00274F5C"/>
    <w:rsid w:val="00274F82"/>
    <w:rsid w:val="002751A1"/>
    <w:rsid w:val="00275415"/>
    <w:rsid w:val="002759EB"/>
    <w:rsid w:val="00275D81"/>
    <w:rsid w:val="0027606B"/>
    <w:rsid w:val="002762B6"/>
    <w:rsid w:val="002763B2"/>
    <w:rsid w:val="00276844"/>
    <w:rsid w:val="00276AE4"/>
    <w:rsid w:val="00276B01"/>
    <w:rsid w:val="0027742D"/>
    <w:rsid w:val="002774DA"/>
    <w:rsid w:val="002777FB"/>
    <w:rsid w:val="00277C01"/>
    <w:rsid w:val="002801F1"/>
    <w:rsid w:val="002805D5"/>
    <w:rsid w:val="00281A3F"/>
    <w:rsid w:val="0028200E"/>
    <w:rsid w:val="00282115"/>
    <w:rsid w:val="00282BB6"/>
    <w:rsid w:val="00282F82"/>
    <w:rsid w:val="00283219"/>
    <w:rsid w:val="00283DF1"/>
    <w:rsid w:val="00285392"/>
    <w:rsid w:val="00285AE7"/>
    <w:rsid w:val="00285E32"/>
    <w:rsid w:val="00286757"/>
    <w:rsid w:val="00286823"/>
    <w:rsid w:val="00286CE3"/>
    <w:rsid w:val="002871B5"/>
    <w:rsid w:val="00287400"/>
    <w:rsid w:val="0029095D"/>
    <w:rsid w:val="00290C38"/>
    <w:rsid w:val="0029142A"/>
    <w:rsid w:val="002917FE"/>
    <w:rsid w:val="00291E5A"/>
    <w:rsid w:val="00293F74"/>
    <w:rsid w:val="0029407A"/>
    <w:rsid w:val="00295A13"/>
    <w:rsid w:val="00296567"/>
    <w:rsid w:val="0029690D"/>
    <w:rsid w:val="00296C7B"/>
    <w:rsid w:val="002A0184"/>
    <w:rsid w:val="002A0261"/>
    <w:rsid w:val="002A1CAF"/>
    <w:rsid w:val="002A1EC8"/>
    <w:rsid w:val="002A2733"/>
    <w:rsid w:val="002A2BCC"/>
    <w:rsid w:val="002A4362"/>
    <w:rsid w:val="002A4CC6"/>
    <w:rsid w:val="002A4FFF"/>
    <w:rsid w:val="002A563A"/>
    <w:rsid w:val="002A5E0B"/>
    <w:rsid w:val="002A6007"/>
    <w:rsid w:val="002A66CE"/>
    <w:rsid w:val="002A670E"/>
    <w:rsid w:val="002A6C07"/>
    <w:rsid w:val="002A7D3D"/>
    <w:rsid w:val="002B0714"/>
    <w:rsid w:val="002B0EA7"/>
    <w:rsid w:val="002B2489"/>
    <w:rsid w:val="002B2547"/>
    <w:rsid w:val="002B4DDA"/>
    <w:rsid w:val="002B635E"/>
    <w:rsid w:val="002B6D81"/>
    <w:rsid w:val="002B7066"/>
    <w:rsid w:val="002B7FDD"/>
    <w:rsid w:val="002C0588"/>
    <w:rsid w:val="002C12E5"/>
    <w:rsid w:val="002C1E88"/>
    <w:rsid w:val="002C2FA7"/>
    <w:rsid w:val="002C3123"/>
    <w:rsid w:val="002C39C3"/>
    <w:rsid w:val="002C3A95"/>
    <w:rsid w:val="002C4B96"/>
    <w:rsid w:val="002C4C96"/>
    <w:rsid w:val="002C57FD"/>
    <w:rsid w:val="002C58B1"/>
    <w:rsid w:val="002C5A5F"/>
    <w:rsid w:val="002C5A6C"/>
    <w:rsid w:val="002C5A77"/>
    <w:rsid w:val="002C6325"/>
    <w:rsid w:val="002C6760"/>
    <w:rsid w:val="002C6840"/>
    <w:rsid w:val="002C6B3D"/>
    <w:rsid w:val="002C7AA1"/>
    <w:rsid w:val="002C7BAC"/>
    <w:rsid w:val="002D033B"/>
    <w:rsid w:val="002D255B"/>
    <w:rsid w:val="002D27D9"/>
    <w:rsid w:val="002D290A"/>
    <w:rsid w:val="002D3C95"/>
    <w:rsid w:val="002D3CB2"/>
    <w:rsid w:val="002D4039"/>
    <w:rsid w:val="002D4638"/>
    <w:rsid w:val="002D486C"/>
    <w:rsid w:val="002E033F"/>
    <w:rsid w:val="002E18BA"/>
    <w:rsid w:val="002E1C6D"/>
    <w:rsid w:val="002E2AB1"/>
    <w:rsid w:val="002E3B67"/>
    <w:rsid w:val="002E405F"/>
    <w:rsid w:val="002E4CEB"/>
    <w:rsid w:val="002E4EC6"/>
    <w:rsid w:val="002E4FF7"/>
    <w:rsid w:val="002E54A6"/>
    <w:rsid w:val="002E6D49"/>
    <w:rsid w:val="002E6EC4"/>
    <w:rsid w:val="002E79D9"/>
    <w:rsid w:val="002F0045"/>
    <w:rsid w:val="002F2F4A"/>
    <w:rsid w:val="002F4C8B"/>
    <w:rsid w:val="002F528C"/>
    <w:rsid w:val="002F5373"/>
    <w:rsid w:val="002F53D9"/>
    <w:rsid w:val="002F5734"/>
    <w:rsid w:val="002F5E84"/>
    <w:rsid w:val="002F68D8"/>
    <w:rsid w:val="002F747A"/>
    <w:rsid w:val="003001F6"/>
    <w:rsid w:val="00300295"/>
    <w:rsid w:val="00300411"/>
    <w:rsid w:val="00300AAD"/>
    <w:rsid w:val="00301BC4"/>
    <w:rsid w:val="00303EF3"/>
    <w:rsid w:val="0030741B"/>
    <w:rsid w:val="003074AE"/>
    <w:rsid w:val="003108DD"/>
    <w:rsid w:val="00311531"/>
    <w:rsid w:val="00311586"/>
    <w:rsid w:val="0031299A"/>
    <w:rsid w:val="0031326C"/>
    <w:rsid w:val="00314466"/>
    <w:rsid w:val="00314C87"/>
    <w:rsid w:val="00314D89"/>
    <w:rsid w:val="00315925"/>
    <w:rsid w:val="003161E1"/>
    <w:rsid w:val="003167DA"/>
    <w:rsid w:val="00316D47"/>
    <w:rsid w:val="00317560"/>
    <w:rsid w:val="00317C9C"/>
    <w:rsid w:val="00320D73"/>
    <w:rsid w:val="00321261"/>
    <w:rsid w:val="00321338"/>
    <w:rsid w:val="00321505"/>
    <w:rsid w:val="00321BF3"/>
    <w:rsid w:val="0032211C"/>
    <w:rsid w:val="0032245F"/>
    <w:rsid w:val="00322517"/>
    <w:rsid w:val="00322870"/>
    <w:rsid w:val="00322E03"/>
    <w:rsid w:val="00323F4C"/>
    <w:rsid w:val="00324C73"/>
    <w:rsid w:val="00325654"/>
    <w:rsid w:val="00325942"/>
    <w:rsid w:val="00325AE9"/>
    <w:rsid w:val="00325E87"/>
    <w:rsid w:val="00325EED"/>
    <w:rsid w:val="00326528"/>
    <w:rsid w:val="003266F4"/>
    <w:rsid w:val="00326861"/>
    <w:rsid w:val="003268F5"/>
    <w:rsid w:val="003269E7"/>
    <w:rsid w:val="00330368"/>
    <w:rsid w:val="00330765"/>
    <w:rsid w:val="003307EC"/>
    <w:rsid w:val="0033108A"/>
    <w:rsid w:val="003311C8"/>
    <w:rsid w:val="00332450"/>
    <w:rsid w:val="003332F0"/>
    <w:rsid w:val="003337D2"/>
    <w:rsid w:val="003338BF"/>
    <w:rsid w:val="003344A1"/>
    <w:rsid w:val="00334BC6"/>
    <w:rsid w:val="003369F5"/>
    <w:rsid w:val="00337EAF"/>
    <w:rsid w:val="00337F61"/>
    <w:rsid w:val="00340926"/>
    <w:rsid w:val="00341BB9"/>
    <w:rsid w:val="00344108"/>
    <w:rsid w:val="003447A4"/>
    <w:rsid w:val="00345324"/>
    <w:rsid w:val="00345FFC"/>
    <w:rsid w:val="00346EBE"/>
    <w:rsid w:val="00350917"/>
    <w:rsid w:val="00350F03"/>
    <w:rsid w:val="003521C5"/>
    <w:rsid w:val="003533A7"/>
    <w:rsid w:val="00353828"/>
    <w:rsid w:val="00353DFF"/>
    <w:rsid w:val="00354336"/>
    <w:rsid w:val="003544E9"/>
    <w:rsid w:val="00354F51"/>
    <w:rsid w:val="0035561E"/>
    <w:rsid w:val="0035563A"/>
    <w:rsid w:val="00355964"/>
    <w:rsid w:val="0035609F"/>
    <w:rsid w:val="003569A1"/>
    <w:rsid w:val="00356DBF"/>
    <w:rsid w:val="003612B3"/>
    <w:rsid w:val="003618D9"/>
    <w:rsid w:val="00362155"/>
    <w:rsid w:val="00362B6B"/>
    <w:rsid w:val="00362F4F"/>
    <w:rsid w:val="00363120"/>
    <w:rsid w:val="00363A43"/>
    <w:rsid w:val="00364054"/>
    <w:rsid w:val="003647F2"/>
    <w:rsid w:val="00364DD1"/>
    <w:rsid w:val="00365130"/>
    <w:rsid w:val="00365558"/>
    <w:rsid w:val="00365730"/>
    <w:rsid w:val="0036574A"/>
    <w:rsid w:val="00365B52"/>
    <w:rsid w:val="00366257"/>
    <w:rsid w:val="00366314"/>
    <w:rsid w:val="0036684B"/>
    <w:rsid w:val="00367A37"/>
    <w:rsid w:val="00367E3F"/>
    <w:rsid w:val="00370025"/>
    <w:rsid w:val="00370EAA"/>
    <w:rsid w:val="00371496"/>
    <w:rsid w:val="00373032"/>
    <w:rsid w:val="003737FC"/>
    <w:rsid w:val="0037406F"/>
    <w:rsid w:val="00374631"/>
    <w:rsid w:val="00375223"/>
    <w:rsid w:val="003766F5"/>
    <w:rsid w:val="00376E04"/>
    <w:rsid w:val="00377D6E"/>
    <w:rsid w:val="00377F0D"/>
    <w:rsid w:val="00380990"/>
    <w:rsid w:val="00380A29"/>
    <w:rsid w:val="003810C0"/>
    <w:rsid w:val="00381117"/>
    <w:rsid w:val="00381956"/>
    <w:rsid w:val="00382281"/>
    <w:rsid w:val="00383156"/>
    <w:rsid w:val="00383768"/>
    <w:rsid w:val="00383A47"/>
    <w:rsid w:val="00384448"/>
    <w:rsid w:val="00384D45"/>
    <w:rsid w:val="00384F10"/>
    <w:rsid w:val="00385166"/>
    <w:rsid w:val="00385F94"/>
    <w:rsid w:val="003912B6"/>
    <w:rsid w:val="003914A0"/>
    <w:rsid w:val="0039184F"/>
    <w:rsid w:val="00391DDB"/>
    <w:rsid w:val="00392314"/>
    <w:rsid w:val="00392881"/>
    <w:rsid w:val="0039337F"/>
    <w:rsid w:val="00393383"/>
    <w:rsid w:val="003936E2"/>
    <w:rsid w:val="00395026"/>
    <w:rsid w:val="003978D5"/>
    <w:rsid w:val="00397934"/>
    <w:rsid w:val="003A228B"/>
    <w:rsid w:val="003A2380"/>
    <w:rsid w:val="003A283D"/>
    <w:rsid w:val="003A3656"/>
    <w:rsid w:val="003A4CCD"/>
    <w:rsid w:val="003A4F53"/>
    <w:rsid w:val="003A535E"/>
    <w:rsid w:val="003A606D"/>
    <w:rsid w:val="003A66F1"/>
    <w:rsid w:val="003A7679"/>
    <w:rsid w:val="003A7945"/>
    <w:rsid w:val="003B0D4F"/>
    <w:rsid w:val="003B1012"/>
    <w:rsid w:val="003B137D"/>
    <w:rsid w:val="003B1649"/>
    <w:rsid w:val="003B20CC"/>
    <w:rsid w:val="003B28AE"/>
    <w:rsid w:val="003B2A86"/>
    <w:rsid w:val="003B2E39"/>
    <w:rsid w:val="003B2EEB"/>
    <w:rsid w:val="003B38B8"/>
    <w:rsid w:val="003B483E"/>
    <w:rsid w:val="003B4D6F"/>
    <w:rsid w:val="003B56B6"/>
    <w:rsid w:val="003B5811"/>
    <w:rsid w:val="003B6538"/>
    <w:rsid w:val="003B6B03"/>
    <w:rsid w:val="003B7E9C"/>
    <w:rsid w:val="003C0371"/>
    <w:rsid w:val="003C106B"/>
    <w:rsid w:val="003C118A"/>
    <w:rsid w:val="003C1257"/>
    <w:rsid w:val="003C133B"/>
    <w:rsid w:val="003C1475"/>
    <w:rsid w:val="003C1628"/>
    <w:rsid w:val="003C1BED"/>
    <w:rsid w:val="003C1DFC"/>
    <w:rsid w:val="003C228A"/>
    <w:rsid w:val="003C308C"/>
    <w:rsid w:val="003C339F"/>
    <w:rsid w:val="003C3436"/>
    <w:rsid w:val="003C3D30"/>
    <w:rsid w:val="003C4106"/>
    <w:rsid w:val="003C4457"/>
    <w:rsid w:val="003C50EE"/>
    <w:rsid w:val="003C5A25"/>
    <w:rsid w:val="003C5DBA"/>
    <w:rsid w:val="003C6137"/>
    <w:rsid w:val="003C7622"/>
    <w:rsid w:val="003D0868"/>
    <w:rsid w:val="003D0B80"/>
    <w:rsid w:val="003D0C95"/>
    <w:rsid w:val="003D13BC"/>
    <w:rsid w:val="003D2F75"/>
    <w:rsid w:val="003D4895"/>
    <w:rsid w:val="003D4923"/>
    <w:rsid w:val="003D57B6"/>
    <w:rsid w:val="003D7435"/>
    <w:rsid w:val="003D7E0B"/>
    <w:rsid w:val="003E0053"/>
    <w:rsid w:val="003E0BC7"/>
    <w:rsid w:val="003E151B"/>
    <w:rsid w:val="003E1CE6"/>
    <w:rsid w:val="003E40BE"/>
    <w:rsid w:val="003E453C"/>
    <w:rsid w:val="003E4B14"/>
    <w:rsid w:val="003E4D1F"/>
    <w:rsid w:val="003E57E7"/>
    <w:rsid w:val="003E79EF"/>
    <w:rsid w:val="003F025E"/>
    <w:rsid w:val="003F0C2D"/>
    <w:rsid w:val="003F107E"/>
    <w:rsid w:val="003F2A73"/>
    <w:rsid w:val="003F3541"/>
    <w:rsid w:val="003F3BFA"/>
    <w:rsid w:val="003F47F3"/>
    <w:rsid w:val="003F5706"/>
    <w:rsid w:val="003F65AB"/>
    <w:rsid w:val="003F780E"/>
    <w:rsid w:val="003F7E56"/>
    <w:rsid w:val="004027C6"/>
    <w:rsid w:val="0040459E"/>
    <w:rsid w:val="00404BAE"/>
    <w:rsid w:val="00404F68"/>
    <w:rsid w:val="004056D2"/>
    <w:rsid w:val="0040608C"/>
    <w:rsid w:val="004066F8"/>
    <w:rsid w:val="0040749C"/>
    <w:rsid w:val="00410253"/>
    <w:rsid w:val="00410A02"/>
    <w:rsid w:val="00410F12"/>
    <w:rsid w:val="00411350"/>
    <w:rsid w:val="0041168C"/>
    <w:rsid w:val="00411A04"/>
    <w:rsid w:val="00411C99"/>
    <w:rsid w:val="00411E94"/>
    <w:rsid w:val="00412183"/>
    <w:rsid w:val="0041259D"/>
    <w:rsid w:val="00412619"/>
    <w:rsid w:val="00413390"/>
    <w:rsid w:val="00413832"/>
    <w:rsid w:val="004140BF"/>
    <w:rsid w:val="004155CF"/>
    <w:rsid w:val="00415A55"/>
    <w:rsid w:val="00415E2D"/>
    <w:rsid w:val="00416305"/>
    <w:rsid w:val="00417594"/>
    <w:rsid w:val="00417D65"/>
    <w:rsid w:val="00420850"/>
    <w:rsid w:val="00420A9A"/>
    <w:rsid w:val="00421268"/>
    <w:rsid w:val="004221F1"/>
    <w:rsid w:val="00422338"/>
    <w:rsid w:val="004224DE"/>
    <w:rsid w:val="00422967"/>
    <w:rsid w:val="00423EE8"/>
    <w:rsid w:val="00423F9E"/>
    <w:rsid w:val="00424521"/>
    <w:rsid w:val="004258BC"/>
    <w:rsid w:val="004260BB"/>
    <w:rsid w:val="00427219"/>
    <w:rsid w:val="00427D62"/>
    <w:rsid w:val="0043084C"/>
    <w:rsid w:val="00430E0D"/>
    <w:rsid w:val="00430E1F"/>
    <w:rsid w:val="00431365"/>
    <w:rsid w:val="00432335"/>
    <w:rsid w:val="00432C2A"/>
    <w:rsid w:val="0043341A"/>
    <w:rsid w:val="0043345D"/>
    <w:rsid w:val="00433A7D"/>
    <w:rsid w:val="004353B8"/>
    <w:rsid w:val="00435895"/>
    <w:rsid w:val="00435A84"/>
    <w:rsid w:val="00435FD8"/>
    <w:rsid w:val="00437534"/>
    <w:rsid w:val="00437AAD"/>
    <w:rsid w:val="00437E18"/>
    <w:rsid w:val="00437FB7"/>
    <w:rsid w:val="00440034"/>
    <w:rsid w:val="004406E3"/>
    <w:rsid w:val="00440BBC"/>
    <w:rsid w:val="0044218D"/>
    <w:rsid w:val="00444BEF"/>
    <w:rsid w:val="00446C90"/>
    <w:rsid w:val="00447578"/>
    <w:rsid w:val="00450FA4"/>
    <w:rsid w:val="0045150B"/>
    <w:rsid w:val="00451B0A"/>
    <w:rsid w:val="004523F2"/>
    <w:rsid w:val="0045307A"/>
    <w:rsid w:val="004533EF"/>
    <w:rsid w:val="0045350E"/>
    <w:rsid w:val="004549C8"/>
    <w:rsid w:val="0045524C"/>
    <w:rsid w:val="004552D9"/>
    <w:rsid w:val="0045637A"/>
    <w:rsid w:val="00456515"/>
    <w:rsid w:val="00456D6C"/>
    <w:rsid w:val="00457205"/>
    <w:rsid w:val="00457899"/>
    <w:rsid w:val="004579C7"/>
    <w:rsid w:val="00457B30"/>
    <w:rsid w:val="0046042F"/>
    <w:rsid w:val="00460F90"/>
    <w:rsid w:val="00461F4A"/>
    <w:rsid w:val="00463A45"/>
    <w:rsid w:val="00464580"/>
    <w:rsid w:val="004667D9"/>
    <w:rsid w:val="00466869"/>
    <w:rsid w:val="004669C2"/>
    <w:rsid w:val="00466B5F"/>
    <w:rsid w:val="004677F5"/>
    <w:rsid w:val="00467814"/>
    <w:rsid w:val="0046786B"/>
    <w:rsid w:val="00470081"/>
    <w:rsid w:val="00470728"/>
    <w:rsid w:val="00470B55"/>
    <w:rsid w:val="00471686"/>
    <w:rsid w:val="0047389A"/>
    <w:rsid w:val="00473FD5"/>
    <w:rsid w:val="004740F3"/>
    <w:rsid w:val="004749CF"/>
    <w:rsid w:val="00476272"/>
    <w:rsid w:val="004767AA"/>
    <w:rsid w:val="0047685B"/>
    <w:rsid w:val="00477E4D"/>
    <w:rsid w:val="00480042"/>
    <w:rsid w:val="0048069F"/>
    <w:rsid w:val="004815FE"/>
    <w:rsid w:val="00481B2D"/>
    <w:rsid w:val="004823AA"/>
    <w:rsid w:val="00482669"/>
    <w:rsid w:val="004829A8"/>
    <w:rsid w:val="00482DF2"/>
    <w:rsid w:val="00482E8B"/>
    <w:rsid w:val="00483FEB"/>
    <w:rsid w:val="00484131"/>
    <w:rsid w:val="00484327"/>
    <w:rsid w:val="00484A49"/>
    <w:rsid w:val="00485B7E"/>
    <w:rsid w:val="00485D3D"/>
    <w:rsid w:val="00485ED1"/>
    <w:rsid w:val="00486131"/>
    <w:rsid w:val="004871AD"/>
    <w:rsid w:val="00487CD2"/>
    <w:rsid w:val="00487F30"/>
    <w:rsid w:val="004914E4"/>
    <w:rsid w:val="004917F7"/>
    <w:rsid w:val="00491971"/>
    <w:rsid w:val="00491F23"/>
    <w:rsid w:val="00493240"/>
    <w:rsid w:val="00494382"/>
    <w:rsid w:val="004943C2"/>
    <w:rsid w:val="0049611B"/>
    <w:rsid w:val="004961C5"/>
    <w:rsid w:val="0049642A"/>
    <w:rsid w:val="0049649C"/>
    <w:rsid w:val="004969F6"/>
    <w:rsid w:val="00496AD3"/>
    <w:rsid w:val="00497C6D"/>
    <w:rsid w:val="004A0212"/>
    <w:rsid w:val="004A0258"/>
    <w:rsid w:val="004A032E"/>
    <w:rsid w:val="004A060D"/>
    <w:rsid w:val="004A3129"/>
    <w:rsid w:val="004A3888"/>
    <w:rsid w:val="004A3B00"/>
    <w:rsid w:val="004A3CEC"/>
    <w:rsid w:val="004A3F21"/>
    <w:rsid w:val="004A4715"/>
    <w:rsid w:val="004A4FDE"/>
    <w:rsid w:val="004A6495"/>
    <w:rsid w:val="004A79F7"/>
    <w:rsid w:val="004A7B3A"/>
    <w:rsid w:val="004B1346"/>
    <w:rsid w:val="004B153F"/>
    <w:rsid w:val="004B1EB0"/>
    <w:rsid w:val="004B27D6"/>
    <w:rsid w:val="004B3058"/>
    <w:rsid w:val="004B3625"/>
    <w:rsid w:val="004B4661"/>
    <w:rsid w:val="004B4780"/>
    <w:rsid w:val="004B50D7"/>
    <w:rsid w:val="004B5178"/>
    <w:rsid w:val="004B6612"/>
    <w:rsid w:val="004B6E90"/>
    <w:rsid w:val="004B7525"/>
    <w:rsid w:val="004B7831"/>
    <w:rsid w:val="004C044B"/>
    <w:rsid w:val="004C0565"/>
    <w:rsid w:val="004C2670"/>
    <w:rsid w:val="004C39C6"/>
    <w:rsid w:val="004C45AB"/>
    <w:rsid w:val="004C5534"/>
    <w:rsid w:val="004C568D"/>
    <w:rsid w:val="004C5DED"/>
    <w:rsid w:val="004C72CB"/>
    <w:rsid w:val="004D09BA"/>
    <w:rsid w:val="004D0B1A"/>
    <w:rsid w:val="004D160A"/>
    <w:rsid w:val="004D2A04"/>
    <w:rsid w:val="004D5223"/>
    <w:rsid w:val="004D55F5"/>
    <w:rsid w:val="004D5EFC"/>
    <w:rsid w:val="004D6117"/>
    <w:rsid w:val="004D6A27"/>
    <w:rsid w:val="004D795A"/>
    <w:rsid w:val="004E0B1B"/>
    <w:rsid w:val="004E1108"/>
    <w:rsid w:val="004E268E"/>
    <w:rsid w:val="004E36B7"/>
    <w:rsid w:val="004E5CB3"/>
    <w:rsid w:val="004E6DA6"/>
    <w:rsid w:val="004E6DC2"/>
    <w:rsid w:val="004E6E20"/>
    <w:rsid w:val="004E74C6"/>
    <w:rsid w:val="004E76D0"/>
    <w:rsid w:val="004E78D1"/>
    <w:rsid w:val="004F0548"/>
    <w:rsid w:val="004F0799"/>
    <w:rsid w:val="004F09BC"/>
    <w:rsid w:val="004F0F95"/>
    <w:rsid w:val="004F1076"/>
    <w:rsid w:val="004F194F"/>
    <w:rsid w:val="004F2159"/>
    <w:rsid w:val="004F2C96"/>
    <w:rsid w:val="004F4077"/>
    <w:rsid w:val="004F790C"/>
    <w:rsid w:val="004F7AF5"/>
    <w:rsid w:val="004F7FC1"/>
    <w:rsid w:val="004F7FC8"/>
    <w:rsid w:val="005001CE"/>
    <w:rsid w:val="005003FA"/>
    <w:rsid w:val="00501243"/>
    <w:rsid w:val="00501ADF"/>
    <w:rsid w:val="00501C72"/>
    <w:rsid w:val="005029B2"/>
    <w:rsid w:val="00502C2F"/>
    <w:rsid w:val="005036CC"/>
    <w:rsid w:val="00503849"/>
    <w:rsid w:val="005038DE"/>
    <w:rsid w:val="005047F9"/>
    <w:rsid w:val="005048BE"/>
    <w:rsid w:val="00504ACE"/>
    <w:rsid w:val="00505F77"/>
    <w:rsid w:val="00506184"/>
    <w:rsid w:val="00506650"/>
    <w:rsid w:val="00506C45"/>
    <w:rsid w:val="00506D0E"/>
    <w:rsid w:val="00506ED2"/>
    <w:rsid w:val="00507A84"/>
    <w:rsid w:val="00507B9E"/>
    <w:rsid w:val="00511299"/>
    <w:rsid w:val="00511E32"/>
    <w:rsid w:val="00512D9A"/>
    <w:rsid w:val="005133BF"/>
    <w:rsid w:val="0051367B"/>
    <w:rsid w:val="00513EE2"/>
    <w:rsid w:val="00514420"/>
    <w:rsid w:val="00515C57"/>
    <w:rsid w:val="00515D7F"/>
    <w:rsid w:val="00516292"/>
    <w:rsid w:val="005164E5"/>
    <w:rsid w:val="0051757B"/>
    <w:rsid w:val="00517669"/>
    <w:rsid w:val="00517701"/>
    <w:rsid w:val="005179F5"/>
    <w:rsid w:val="00517AEE"/>
    <w:rsid w:val="0052009D"/>
    <w:rsid w:val="00520E07"/>
    <w:rsid w:val="005220F5"/>
    <w:rsid w:val="00523081"/>
    <w:rsid w:val="005230E5"/>
    <w:rsid w:val="005246F6"/>
    <w:rsid w:val="00524EFA"/>
    <w:rsid w:val="005254CD"/>
    <w:rsid w:val="005257CC"/>
    <w:rsid w:val="00526089"/>
    <w:rsid w:val="0052624F"/>
    <w:rsid w:val="0052640B"/>
    <w:rsid w:val="0052697F"/>
    <w:rsid w:val="00526F14"/>
    <w:rsid w:val="00527085"/>
    <w:rsid w:val="005300C4"/>
    <w:rsid w:val="005319F6"/>
    <w:rsid w:val="00531C96"/>
    <w:rsid w:val="005328CF"/>
    <w:rsid w:val="005329AB"/>
    <w:rsid w:val="00534322"/>
    <w:rsid w:val="00534A8C"/>
    <w:rsid w:val="00534CF7"/>
    <w:rsid w:val="0053544F"/>
    <w:rsid w:val="0053590C"/>
    <w:rsid w:val="00536403"/>
    <w:rsid w:val="005364B1"/>
    <w:rsid w:val="0053681F"/>
    <w:rsid w:val="0053722F"/>
    <w:rsid w:val="005376F7"/>
    <w:rsid w:val="00537C17"/>
    <w:rsid w:val="00537E76"/>
    <w:rsid w:val="00540709"/>
    <w:rsid w:val="00541FD8"/>
    <w:rsid w:val="005428E8"/>
    <w:rsid w:val="00542BB7"/>
    <w:rsid w:val="00543032"/>
    <w:rsid w:val="0054434F"/>
    <w:rsid w:val="00544CCC"/>
    <w:rsid w:val="00544CCF"/>
    <w:rsid w:val="00545359"/>
    <w:rsid w:val="0054564B"/>
    <w:rsid w:val="0054573E"/>
    <w:rsid w:val="00545D3E"/>
    <w:rsid w:val="00546EF9"/>
    <w:rsid w:val="00546F95"/>
    <w:rsid w:val="005474F1"/>
    <w:rsid w:val="00547893"/>
    <w:rsid w:val="005503AE"/>
    <w:rsid w:val="0055057A"/>
    <w:rsid w:val="00550616"/>
    <w:rsid w:val="0055084B"/>
    <w:rsid w:val="00551C16"/>
    <w:rsid w:val="005521BA"/>
    <w:rsid w:val="005521DD"/>
    <w:rsid w:val="00553058"/>
    <w:rsid w:val="005533C3"/>
    <w:rsid w:val="0055359B"/>
    <w:rsid w:val="00553A0A"/>
    <w:rsid w:val="00553B92"/>
    <w:rsid w:val="005543F5"/>
    <w:rsid w:val="00554412"/>
    <w:rsid w:val="00554A9B"/>
    <w:rsid w:val="005557CC"/>
    <w:rsid w:val="0055605A"/>
    <w:rsid w:val="00556982"/>
    <w:rsid w:val="005569C7"/>
    <w:rsid w:val="0056012F"/>
    <w:rsid w:val="00560D98"/>
    <w:rsid w:val="00561044"/>
    <w:rsid w:val="00561AD6"/>
    <w:rsid w:val="005620C6"/>
    <w:rsid w:val="00562A1F"/>
    <w:rsid w:val="00562D00"/>
    <w:rsid w:val="00562D63"/>
    <w:rsid w:val="00562E4B"/>
    <w:rsid w:val="00563FAF"/>
    <w:rsid w:val="005654CE"/>
    <w:rsid w:val="00565804"/>
    <w:rsid w:val="00566E95"/>
    <w:rsid w:val="005672F5"/>
    <w:rsid w:val="0057019E"/>
    <w:rsid w:val="00570B93"/>
    <w:rsid w:val="00570D5A"/>
    <w:rsid w:val="0057182F"/>
    <w:rsid w:val="00571C29"/>
    <w:rsid w:val="00571D29"/>
    <w:rsid w:val="005726DE"/>
    <w:rsid w:val="00574AED"/>
    <w:rsid w:val="00575131"/>
    <w:rsid w:val="00575FF2"/>
    <w:rsid w:val="005762D0"/>
    <w:rsid w:val="005776E0"/>
    <w:rsid w:val="0057784A"/>
    <w:rsid w:val="00577F14"/>
    <w:rsid w:val="005804E5"/>
    <w:rsid w:val="005810DF"/>
    <w:rsid w:val="00581FBA"/>
    <w:rsid w:val="00582370"/>
    <w:rsid w:val="00582396"/>
    <w:rsid w:val="005825CB"/>
    <w:rsid w:val="00582DD1"/>
    <w:rsid w:val="005833C1"/>
    <w:rsid w:val="00583515"/>
    <w:rsid w:val="00583FEB"/>
    <w:rsid w:val="00585BBF"/>
    <w:rsid w:val="00586792"/>
    <w:rsid w:val="00587016"/>
    <w:rsid w:val="005907A2"/>
    <w:rsid w:val="005909BA"/>
    <w:rsid w:val="0059101F"/>
    <w:rsid w:val="00591533"/>
    <w:rsid w:val="00592A61"/>
    <w:rsid w:val="00593A96"/>
    <w:rsid w:val="00594055"/>
    <w:rsid w:val="00594306"/>
    <w:rsid w:val="00595D2A"/>
    <w:rsid w:val="00596821"/>
    <w:rsid w:val="00597DEB"/>
    <w:rsid w:val="005A01D9"/>
    <w:rsid w:val="005A0C12"/>
    <w:rsid w:val="005A0DE7"/>
    <w:rsid w:val="005A1532"/>
    <w:rsid w:val="005A16C3"/>
    <w:rsid w:val="005A196F"/>
    <w:rsid w:val="005A1FB3"/>
    <w:rsid w:val="005A2B90"/>
    <w:rsid w:val="005A36E7"/>
    <w:rsid w:val="005A433F"/>
    <w:rsid w:val="005A4B71"/>
    <w:rsid w:val="005A5122"/>
    <w:rsid w:val="005A56DE"/>
    <w:rsid w:val="005A5D94"/>
    <w:rsid w:val="005A632C"/>
    <w:rsid w:val="005A6DD9"/>
    <w:rsid w:val="005A6EB8"/>
    <w:rsid w:val="005A723B"/>
    <w:rsid w:val="005A72D6"/>
    <w:rsid w:val="005A783C"/>
    <w:rsid w:val="005B03C7"/>
    <w:rsid w:val="005B18BF"/>
    <w:rsid w:val="005B1DA8"/>
    <w:rsid w:val="005B2209"/>
    <w:rsid w:val="005B2311"/>
    <w:rsid w:val="005B29FB"/>
    <w:rsid w:val="005B2BB5"/>
    <w:rsid w:val="005B32E4"/>
    <w:rsid w:val="005B466F"/>
    <w:rsid w:val="005B4B3A"/>
    <w:rsid w:val="005B6187"/>
    <w:rsid w:val="005B662D"/>
    <w:rsid w:val="005B7863"/>
    <w:rsid w:val="005B7C93"/>
    <w:rsid w:val="005C0E04"/>
    <w:rsid w:val="005C1358"/>
    <w:rsid w:val="005C1635"/>
    <w:rsid w:val="005C2BA0"/>
    <w:rsid w:val="005C30EA"/>
    <w:rsid w:val="005C337D"/>
    <w:rsid w:val="005C4E43"/>
    <w:rsid w:val="005C508C"/>
    <w:rsid w:val="005C50BB"/>
    <w:rsid w:val="005C6203"/>
    <w:rsid w:val="005C6428"/>
    <w:rsid w:val="005C7060"/>
    <w:rsid w:val="005C7822"/>
    <w:rsid w:val="005D0484"/>
    <w:rsid w:val="005D0FD2"/>
    <w:rsid w:val="005D13C9"/>
    <w:rsid w:val="005D1A69"/>
    <w:rsid w:val="005D1B13"/>
    <w:rsid w:val="005D1F5D"/>
    <w:rsid w:val="005D254D"/>
    <w:rsid w:val="005D2E1E"/>
    <w:rsid w:val="005D2F35"/>
    <w:rsid w:val="005D39DE"/>
    <w:rsid w:val="005D47E2"/>
    <w:rsid w:val="005D4D44"/>
    <w:rsid w:val="005D5E57"/>
    <w:rsid w:val="005D6D27"/>
    <w:rsid w:val="005D6E74"/>
    <w:rsid w:val="005D743B"/>
    <w:rsid w:val="005D7F91"/>
    <w:rsid w:val="005E11B0"/>
    <w:rsid w:val="005E186E"/>
    <w:rsid w:val="005E1CBA"/>
    <w:rsid w:val="005E2823"/>
    <w:rsid w:val="005E2DB3"/>
    <w:rsid w:val="005E5835"/>
    <w:rsid w:val="005E5F76"/>
    <w:rsid w:val="005E64B6"/>
    <w:rsid w:val="005E75D0"/>
    <w:rsid w:val="005E7924"/>
    <w:rsid w:val="005F0124"/>
    <w:rsid w:val="005F33F0"/>
    <w:rsid w:val="005F43C9"/>
    <w:rsid w:val="005F6AB8"/>
    <w:rsid w:val="005F6CAD"/>
    <w:rsid w:val="005F7509"/>
    <w:rsid w:val="006004E9"/>
    <w:rsid w:val="0060065C"/>
    <w:rsid w:val="0060085D"/>
    <w:rsid w:val="00600CA3"/>
    <w:rsid w:val="00600E3E"/>
    <w:rsid w:val="00601870"/>
    <w:rsid w:val="0060276D"/>
    <w:rsid w:val="006029FE"/>
    <w:rsid w:val="006032BE"/>
    <w:rsid w:val="006032D2"/>
    <w:rsid w:val="006037C8"/>
    <w:rsid w:val="0060381D"/>
    <w:rsid w:val="00603D1B"/>
    <w:rsid w:val="00604164"/>
    <w:rsid w:val="006050A1"/>
    <w:rsid w:val="006051B2"/>
    <w:rsid w:val="006051CE"/>
    <w:rsid w:val="0060545A"/>
    <w:rsid w:val="00606DD3"/>
    <w:rsid w:val="00607789"/>
    <w:rsid w:val="00607A77"/>
    <w:rsid w:val="00607BDA"/>
    <w:rsid w:val="00607DBE"/>
    <w:rsid w:val="00610AC7"/>
    <w:rsid w:val="00610B66"/>
    <w:rsid w:val="00611214"/>
    <w:rsid w:val="00612182"/>
    <w:rsid w:val="006123BC"/>
    <w:rsid w:val="00613F8B"/>
    <w:rsid w:val="00614556"/>
    <w:rsid w:val="00614727"/>
    <w:rsid w:val="00614F09"/>
    <w:rsid w:val="006163AF"/>
    <w:rsid w:val="00616FC5"/>
    <w:rsid w:val="00617ADE"/>
    <w:rsid w:val="00617E40"/>
    <w:rsid w:val="006203B3"/>
    <w:rsid w:val="00620E44"/>
    <w:rsid w:val="00621922"/>
    <w:rsid w:val="00621CB1"/>
    <w:rsid w:val="006220E5"/>
    <w:rsid w:val="00622897"/>
    <w:rsid w:val="00622DB6"/>
    <w:rsid w:val="00625B70"/>
    <w:rsid w:val="00625C02"/>
    <w:rsid w:val="00631EA7"/>
    <w:rsid w:val="00632447"/>
    <w:rsid w:val="0063274D"/>
    <w:rsid w:val="006333DD"/>
    <w:rsid w:val="0063479B"/>
    <w:rsid w:val="00635181"/>
    <w:rsid w:val="00635548"/>
    <w:rsid w:val="00636050"/>
    <w:rsid w:val="00636E8C"/>
    <w:rsid w:val="0063733F"/>
    <w:rsid w:val="006378F9"/>
    <w:rsid w:val="00640B56"/>
    <w:rsid w:val="0064174E"/>
    <w:rsid w:val="00641B75"/>
    <w:rsid w:val="00641BEB"/>
    <w:rsid w:val="0064217F"/>
    <w:rsid w:val="0064370F"/>
    <w:rsid w:val="0064432B"/>
    <w:rsid w:val="006444B6"/>
    <w:rsid w:val="006454DA"/>
    <w:rsid w:val="00645724"/>
    <w:rsid w:val="00645F84"/>
    <w:rsid w:val="0064613B"/>
    <w:rsid w:val="00647725"/>
    <w:rsid w:val="006501BD"/>
    <w:rsid w:val="006504B7"/>
    <w:rsid w:val="006511C2"/>
    <w:rsid w:val="00651E72"/>
    <w:rsid w:val="006520C7"/>
    <w:rsid w:val="00655476"/>
    <w:rsid w:val="0065587A"/>
    <w:rsid w:val="00655BA4"/>
    <w:rsid w:val="006571BA"/>
    <w:rsid w:val="00657289"/>
    <w:rsid w:val="00657868"/>
    <w:rsid w:val="00657CC4"/>
    <w:rsid w:val="00657E80"/>
    <w:rsid w:val="0066094C"/>
    <w:rsid w:val="00660AD8"/>
    <w:rsid w:val="00660AF8"/>
    <w:rsid w:val="00660BD6"/>
    <w:rsid w:val="00662285"/>
    <w:rsid w:val="00662F0F"/>
    <w:rsid w:val="00664AFE"/>
    <w:rsid w:val="00664F01"/>
    <w:rsid w:val="006650FE"/>
    <w:rsid w:val="00665A12"/>
    <w:rsid w:val="00666DFC"/>
    <w:rsid w:val="006676DA"/>
    <w:rsid w:val="0067007E"/>
    <w:rsid w:val="00670ECD"/>
    <w:rsid w:val="00673553"/>
    <w:rsid w:val="00673A4D"/>
    <w:rsid w:val="00673C09"/>
    <w:rsid w:val="00675DA8"/>
    <w:rsid w:val="006767BF"/>
    <w:rsid w:val="00677149"/>
    <w:rsid w:val="006773D3"/>
    <w:rsid w:val="00677F30"/>
    <w:rsid w:val="006800C4"/>
    <w:rsid w:val="00680780"/>
    <w:rsid w:val="00680CA9"/>
    <w:rsid w:val="00680CEF"/>
    <w:rsid w:val="00680DDD"/>
    <w:rsid w:val="006827B7"/>
    <w:rsid w:val="00682892"/>
    <w:rsid w:val="00683D65"/>
    <w:rsid w:val="00683E3D"/>
    <w:rsid w:val="00684988"/>
    <w:rsid w:val="00684A19"/>
    <w:rsid w:val="006855A0"/>
    <w:rsid w:val="00685D2D"/>
    <w:rsid w:val="006861E6"/>
    <w:rsid w:val="00687BE4"/>
    <w:rsid w:val="00690981"/>
    <w:rsid w:val="00690E79"/>
    <w:rsid w:val="0069118C"/>
    <w:rsid w:val="006920E5"/>
    <w:rsid w:val="006921CF"/>
    <w:rsid w:val="00692ABF"/>
    <w:rsid w:val="006930F4"/>
    <w:rsid w:val="006933C2"/>
    <w:rsid w:val="006944E6"/>
    <w:rsid w:val="006952E7"/>
    <w:rsid w:val="006955B1"/>
    <w:rsid w:val="006964BD"/>
    <w:rsid w:val="0069724E"/>
    <w:rsid w:val="006978DF"/>
    <w:rsid w:val="006A0863"/>
    <w:rsid w:val="006A0ED1"/>
    <w:rsid w:val="006A1ADF"/>
    <w:rsid w:val="006A1D2E"/>
    <w:rsid w:val="006A2294"/>
    <w:rsid w:val="006A28BB"/>
    <w:rsid w:val="006A2C6E"/>
    <w:rsid w:val="006A2DC4"/>
    <w:rsid w:val="006A37C5"/>
    <w:rsid w:val="006A59B0"/>
    <w:rsid w:val="006A5C82"/>
    <w:rsid w:val="006B0340"/>
    <w:rsid w:val="006B17DA"/>
    <w:rsid w:val="006B19AE"/>
    <w:rsid w:val="006B22C9"/>
    <w:rsid w:val="006B2A46"/>
    <w:rsid w:val="006B3756"/>
    <w:rsid w:val="006B58EE"/>
    <w:rsid w:val="006B6194"/>
    <w:rsid w:val="006B694C"/>
    <w:rsid w:val="006B7760"/>
    <w:rsid w:val="006B782A"/>
    <w:rsid w:val="006C14FD"/>
    <w:rsid w:val="006C2326"/>
    <w:rsid w:val="006C23D0"/>
    <w:rsid w:val="006C2A51"/>
    <w:rsid w:val="006C2E29"/>
    <w:rsid w:val="006C33EF"/>
    <w:rsid w:val="006C36B5"/>
    <w:rsid w:val="006C3782"/>
    <w:rsid w:val="006C3F9E"/>
    <w:rsid w:val="006C52CA"/>
    <w:rsid w:val="006C5C6D"/>
    <w:rsid w:val="006C605F"/>
    <w:rsid w:val="006C6099"/>
    <w:rsid w:val="006C68BE"/>
    <w:rsid w:val="006C6B28"/>
    <w:rsid w:val="006C6C1D"/>
    <w:rsid w:val="006C7234"/>
    <w:rsid w:val="006C729D"/>
    <w:rsid w:val="006D0EC0"/>
    <w:rsid w:val="006D0F61"/>
    <w:rsid w:val="006D12E0"/>
    <w:rsid w:val="006D1B0B"/>
    <w:rsid w:val="006D3215"/>
    <w:rsid w:val="006D44AF"/>
    <w:rsid w:val="006D4508"/>
    <w:rsid w:val="006D4D77"/>
    <w:rsid w:val="006D5818"/>
    <w:rsid w:val="006D6FE9"/>
    <w:rsid w:val="006D716C"/>
    <w:rsid w:val="006D79AC"/>
    <w:rsid w:val="006D7A6E"/>
    <w:rsid w:val="006E04BE"/>
    <w:rsid w:val="006E096E"/>
    <w:rsid w:val="006E32F9"/>
    <w:rsid w:val="006E3923"/>
    <w:rsid w:val="006E4336"/>
    <w:rsid w:val="006E4780"/>
    <w:rsid w:val="006E52E0"/>
    <w:rsid w:val="006E5A28"/>
    <w:rsid w:val="006E71A9"/>
    <w:rsid w:val="006E74DE"/>
    <w:rsid w:val="006E79CF"/>
    <w:rsid w:val="006E7C90"/>
    <w:rsid w:val="006F1C7C"/>
    <w:rsid w:val="006F2CF9"/>
    <w:rsid w:val="006F2D1C"/>
    <w:rsid w:val="006F2DA6"/>
    <w:rsid w:val="006F39CA"/>
    <w:rsid w:val="006F3C6A"/>
    <w:rsid w:val="006F4EB0"/>
    <w:rsid w:val="006F710E"/>
    <w:rsid w:val="006F78B4"/>
    <w:rsid w:val="00701430"/>
    <w:rsid w:val="00701969"/>
    <w:rsid w:val="0070199C"/>
    <w:rsid w:val="00703FFC"/>
    <w:rsid w:val="00704540"/>
    <w:rsid w:val="00704B2B"/>
    <w:rsid w:val="00705540"/>
    <w:rsid w:val="00705775"/>
    <w:rsid w:val="00706B34"/>
    <w:rsid w:val="00706B6B"/>
    <w:rsid w:val="00706C1C"/>
    <w:rsid w:val="00707CE8"/>
    <w:rsid w:val="00707E7D"/>
    <w:rsid w:val="00710197"/>
    <w:rsid w:val="00710AD8"/>
    <w:rsid w:val="00711CDB"/>
    <w:rsid w:val="00711ED0"/>
    <w:rsid w:val="00713687"/>
    <w:rsid w:val="0071368D"/>
    <w:rsid w:val="00713BF4"/>
    <w:rsid w:val="007151D6"/>
    <w:rsid w:val="0071605B"/>
    <w:rsid w:val="00716CDE"/>
    <w:rsid w:val="007178B5"/>
    <w:rsid w:val="00717B39"/>
    <w:rsid w:val="00720058"/>
    <w:rsid w:val="00721E32"/>
    <w:rsid w:val="00722328"/>
    <w:rsid w:val="007226D9"/>
    <w:rsid w:val="00722CDC"/>
    <w:rsid w:val="00723394"/>
    <w:rsid w:val="00724409"/>
    <w:rsid w:val="00725400"/>
    <w:rsid w:val="00725C24"/>
    <w:rsid w:val="00727EBE"/>
    <w:rsid w:val="0073022C"/>
    <w:rsid w:val="0073083E"/>
    <w:rsid w:val="00730C1A"/>
    <w:rsid w:val="007328D5"/>
    <w:rsid w:val="00732E47"/>
    <w:rsid w:val="00732F87"/>
    <w:rsid w:val="00733F47"/>
    <w:rsid w:val="00733F81"/>
    <w:rsid w:val="007349E5"/>
    <w:rsid w:val="00735512"/>
    <w:rsid w:val="007355D6"/>
    <w:rsid w:val="00735FB8"/>
    <w:rsid w:val="007360E3"/>
    <w:rsid w:val="00737057"/>
    <w:rsid w:val="00737700"/>
    <w:rsid w:val="00740AFD"/>
    <w:rsid w:val="007411B5"/>
    <w:rsid w:val="007414D8"/>
    <w:rsid w:val="0074183E"/>
    <w:rsid w:val="007425FD"/>
    <w:rsid w:val="00742D91"/>
    <w:rsid w:val="00743CC0"/>
    <w:rsid w:val="00743DA2"/>
    <w:rsid w:val="00746204"/>
    <w:rsid w:val="00746717"/>
    <w:rsid w:val="00746721"/>
    <w:rsid w:val="007468FF"/>
    <w:rsid w:val="00746A49"/>
    <w:rsid w:val="00747028"/>
    <w:rsid w:val="007473E1"/>
    <w:rsid w:val="00750147"/>
    <w:rsid w:val="007506F4"/>
    <w:rsid w:val="0075115E"/>
    <w:rsid w:val="00752C85"/>
    <w:rsid w:val="00752FDC"/>
    <w:rsid w:val="007533BF"/>
    <w:rsid w:val="00753CAD"/>
    <w:rsid w:val="007545F6"/>
    <w:rsid w:val="00755460"/>
    <w:rsid w:val="007554BA"/>
    <w:rsid w:val="007556C2"/>
    <w:rsid w:val="00757738"/>
    <w:rsid w:val="00757A02"/>
    <w:rsid w:val="00757B3A"/>
    <w:rsid w:val="00757BB6"/>
    <w:rsid w:val="007606F2"/>
    <w:rsid w:val="00760B46"/>
    <w:rsid w:val="00761844"/>
    <w:rsid w:val="0076334A"/>
    <w:rsid w:val="0076451F"/>
    <w:rsid w:val="0076491B"/>
    <w:rsid w:val="007651B7"/>
    <w:rsid w:val="00765D25"/>
    <w:rsid w:val="00766201"/>
    <w:rsid w:val="0076677F"/>
    <w:rsid w:val="00767BC1"/>
    <w:rsid w:val="0077060A"/>
    <w:rsid w:val="00770AB0"/>
    <w:rsid w:val="00771FCF"/>
    <w:rsid w:val="00772BBB"/>
    <w:rsid w:val="00772E0F"/>
    <w:rsid w:val="00772EC3"/>
    <w:rsid w:val="00772EC7"/>
    <w:rsid w:val="00774468"/>
    <w:rsid w:val="007744AC"/>
    <w:rsid w:val="00774620"/>
    <w:rsid w:val="00774788"/>
    <w:rsid w:val="0077512A"/>
    <w:rsid w:val="00775682"/>
    <w:rsid w:val="0077573C"/>
    <w:rsid w:val="00782C7D"/>
    <w:rsid w:val="00782CCD"/>
    <w:rsid w:val="00784854"/>
    <w:rsid w:val="00784BD2"/>
    <w:rsid w:val="00784FF6"/>
    <w:rsid w:val="007857F7"/>
    <w:rsid w:val="0078582D"/>
    <w:rsid w:val="00785C50"/>
    <w:rsid w:val="00785E6F"/>
    <w:rsid w:val="00787F87"/>
    <w:rsid w:val="00790968"/>
    <w:rsid w:val="00791FF0"/>
    <w:rsid w:val="007928CF"/>
    <w:rsid w:val="00793690"/>
    <w:rsid w:val="00793F51"/>
    <w:rsid w:val="00793F64"/>
    <w:rsid w:val="00794C88"/>
    <w:rsid w:val="00794F14"/>
    <w:rsid w:val="00795518"/>
    <w:rsid w:val="00795A79"/>
    <w:rsid w:val="007967BC"/>
    <w:rsid w:val="00796F17"/>
    <w:rsid w:val="0079728C"/>
    <w:rsid w:val="007972AC"/>
    <w:rsid w:val="007A218D"/>
    <w:rsid w:val="007A2341"/>
    <w:rsid w:val="007A31B7"/>
    <w:rsid w:val="007A3B21"/>
    <w:rsid w:val="007A3CBB"/>
    <w:rsid w:val="007B1AD6"/>
    <w:rsid w:val="007B1B3C"/>
    <w:rsid w:val="007B1FFA"/>
    <w:rsid w:val="007B2225"/>
    <w:rsid w:val="007B2890"/>
    <w:rsid w:val="007B45FF"/>
    <w:rsid w:val="007B4D75"/>
    <w:rsid w:val="007B53CB"/>
    <w:rsid w:val="007B5AFA"/>
    <w:rsid w:val="007B63AE"/>
    <w:rsid w:val="007B63D1"/>
    <w:rsid w:val="007B651C"/>
    <w:rsid w:val="007B7BBE"/>
    <w:rsid w:val="007B7FC4"/>
    <w:rsid w:val="007C1ED2"/>
    <w:rsid w:val="007C2144"/>
    <w:rsid w:val="007C23B6"/>
    <w:rsid w:val="007C3085"/>
    <w:rsid w:val="007C3901"/>
    <w:rsid w:val="007C3D1E"/>
    <w:rsid w:val="007C4166"/>
    <w:rsid w:val="007C43B5"/>
    <w:rsid w:val="007C44EE"/>
    <w:rsid w:val="007C4D53"/>
    <w:rsid w:val="007C512A"/>
    <w:rsid w:val="007C6462"/>
    <w:rsid w:val="007C6465"/>
    <w:rsid w:val="007C7053"/>
    <w:rsid w:val="007C7CCC"/>
    <w:rsid w:val="007D02D7"/>
    <w:rsid w:val="007D0F21"/>
    <w:rsid w:val="007D1533"/>
    <w:rsid w:val="007D1833"/>
    <w:rsid w:val="007D2221"/>
    <w:rsid w:val="007D3D7E"/>
    <w:rsid w:val="007D442B"/>
    <w:rsid w:val="007D45BC"/>
    <w:rsid w:val="007D45EB"/>
    <w:rsid w:val="007D4E2A"/>
    <w:rsid w:val="007D50FE"/>
    <w:rsid w:val="007D5A2C"/>
    <w:rsid w:val="007D6104"/>
    <w:rsid w:val="007D62AC"/>
    <w:rsid w:val="007D6CEA"/>
    <w:rsid w:val="007E03D9"/>
    <w:rsid w:val="007E1FC6"/>
    <w:rsid w:val="007E2E3B"/>
    <w:rsid w:val="007E2FE4"/>
    <w:rsid w:val="007E3127"/>
    <w:rsid w:val="007E3244"/>
    <w:rsid w:val="007E376F"/>
    <w:rsid w:val="007E3BC4"/>
    <w:rsid w:val="007E3DDB"/>
    <w:rsid w:val="007E47B2"/>
    <w:rsid w:val="007E4B6A"/>
    <w:rsid w:val="007E51BF"/>
    <w:rsid w:val="007E5C95"/>
    <w:rsid w:val="007F0507"/>
    <w:rsid w:val="007F11C6"/>
    <w:rsid w:val="007F1733"/>
    <w:rsid w:val="007F1E25"/>
    <w:rsid w:val="007F2040"/>
    <w:rsid w:val="007F31C0"/>
    <w:rsid w:val="007F4533"/>
    <w:rsid w:val="007F4E8A"/>
    <w:rsid w:val="007F6862"/>
    <w:rsid w:val="007F6FF4"/>
    <w:rsid w:val="007F7264"/>
    <w:rsid w:val="007F7866"/>
    <w:rsid w:val="007F788F"/>
    <w:rsid w:val="00800F2C"/>
    <w:rsid w:val="0080104B"/>
    <w:rsid w:val="00801DC1"/>
    <w:rsid w:val="00802760"/>
    <w:rsid w:val="008027F7"/>
    <w:rsid w:val="00804C37"/>
    <w:rsid w:val="0080577C"/>
    <w:rsid w:val="00807E07"/>
    <w:rsid w:val="00807EB7"/>
    <w:rsid w:val="00810DA5"/>
    <w:rsid w:val="00811971"/>
    <w:rsid w:val="00811A4A"/>
    <w:rsid w:val="00811CF7"/>
    <w:rsid w:val="008138CF"/>
    <w:rsid w:val="008146C2"/>
    <w:rsid w:val="008148BA"/>
    <w:rsid w:val="00814E1E"/>
    <w:rsid w:val="00814FEC"/>
    <w:rsid w:val="00815321"/>
    <w:rsid w:val="0082006A"/>
    <w:rsid w:val="008204C0"/>
    <w:rsid w:val="00821043"/>
    <w:rsid w:val="008216F5"/>
    <w:rsid w:val="00821926"/>
    <w:rsid w:val="00821AC2"/>
    <w:rsid w:val="008224D8"/>
    <w:rsid w:val="00822CA2"/>
    <w:rsid w:val="008230A7"/>
    <w:rsid w:val="0082330C"/>
    <w:rsid w:val="00825735"/>
    <w:rsid w:val="00825B50"/>
    <w:rsid w:val="0083031B"/>
    <w:rsid w:val="008318D6"/>
    <w:rsid w:val="00831A6B"/>
    <w:rsid w:val="00831E66"/>
    <w:rsid w:val="00832633"/>
    <w:rsid w:val="00833473"/>
    <w:rsid w:val="008339C3"/>
    <w:rsid w:val="008340BC"/>
    <w:rsid w:val="00834269"/>
    <w:rsid w:val="00834661"/>
    <w:rsid w:val="008348FB"/>
    <w:rsid w:val="00834DE5"/>
    <w:rsid w:val="00834E2B"/>
    <w:rsid w:val="008351DF"/>
    <w:rsid w:val="00835F71"/>
    <w:rsid w:val="0083663A"/>
    <w:rsid w:val="00837AD9"/>
    <w:rsid w:val="00840C70"/>
    <w:rsid w:val="0084187F"/>
    <w:rsid w:val="00841E01"/>
    <w:rsid w:val="008425B2"/>
    <w:rsid w:val="00844130"/>
    <w:rsid w:val="00844C7B"/>
    <w:rsid w:val="00844EEF"/>
    <w:rsid w:val="00845044"/>
    <w:rsid w:val="008478DB"/>
    <w:rsid w:val="00850D04"/>
    <w:rsid w:val="00851208"/>
    <w:rsid w:val="0085184A"/>
    <w:rsid w:val="00851EE8"/>
    <w:rsid w:val="00855883"/>
    <w:rsid w:val="0085655C"/>
    <w:rsid w:val="008566A6"/>
    <w:rsid w:val="00856E5E"/>
    <w:rsid w:val="00856F01"/>
    <w:rsid w:val="00857E1A"/>
    <w:rsid w:val="00861735"/>
    <w:rsid w:val="00861DD4"/>
    <w:rsid w:val="00862160"/>
    <w:rsid w:val="008623D8"/>
    <w:rsid w:val="008626A4"/>
    <w:rsid w:val="00862E9B"/>
    <w:rsid w:val="0086389A"/>
    <w:rsid w:val="00864380"/>
    <w:rsid w:val="0086470D"/>
    <w:rsid w:val="00864A27"/>
    <w:rsid w:val="0086555B"/>
    <w:rsid w:val="00865935"/>
    <w:rsid w:val="008665C7"/>
    <w:rsid w:val="00866842"/>
    <w:rsid w:val="00867EAA"/>
    <w:rsid w:val="00867F7A"/>
    <w:rsid w:val="00867FFE"/>
    <w:rsid w:val="008700B6"/>
    <w:rsid w:val="00870A58"/>
    <w:rsid w:val="0087144D"/>
    <w:rsid w:val="00871864"/>
    <w:rsid w:val="00871980"/>
    <w:rsid w:val="00872578"/>
    <w:rsid w:val="0087371B"/>
    <w:rsid w:val="00873BC5"/>
    <w:rsid w:val="00874847"/>
    <w:rsid w:val="00874918"/>
    <w:rsid w:val="008757FA"/>
    <w:rsid w:val="00875841"/>
    <w:rsid w:val="008765A5"/>
    <w:rsid w:val="00876E2F"/>
    <w:rsid w:val="00876F3D"/>
    <w:rsid w:val="00877E8F"/>
    <w:rsid w:val="00881826"/>
    <w:rsid w:val="00881B00"/>
    <w:rsid w:val="00881BE9"/>
    <w:rsid w:val="00881D4B"/>
    <w:rsid w:val="00881E5F"/>
    <w:rsid w:val="00882EBD"/>
    <w:rsid w:val="00883101"/>
    <w:rsid w:val="0088336E"/>
    <w:rsid w:val="008839D7"/>
    <w:rsid w:val="0088426F"/>
    <w:rsid w:val="008858AF"/>
    <w:rsid w:val="00885943"/>
    <w:rsid w:val="00885EB9"/>
    <w:rsid w:val="00886A2F"/>
    <w:rsid w:val="00886CC6"/>
    <w:rsid w:val="00887566"/>
    <w:rsid w:val="008875A0"/>
    <w:rsid w:val="0089078E"/>
    <w:rsid w:val="00890D38"/>
    <w:rsid w:val="00890D9D"/>
    <w:rsid w:val="0089175D"/>
    <w:rsid w:val="008917DB"/>
    <w:rsid w:val="00893792"/>
    <w:rsid w:val="00893F7B"/>
    <w:rsid w:val="00894B91"/>
    <w:rsid w:val="00894EE5"/>
    <w:rsid w:val="00895450"/>
    <w:rsid w:val="00895B9D"/>
    <w:rsid w:val="00896798"/>
    <w:rsid w:val="00896B55"/>
    <w:rsid w:val="008A01D2"/>
    <w:rsid w:val="008A0DFF"/>
    <w:rsid w:val="008A1315"/>
    <w:rsid w:val="008A142C"/>
    <w:rsid w:val="008A2988"/>
    <w:rsid w:val="008A3031"/>
    <w:rsid w:val="008A3E72"/>
    <w:rsid w:val="008A4FEA"/>
    <w:rsid w:val="008A7721"/>
    <w:rsid w:val="008A7864"/>
    <w:rsid w:val="008B0D90"/>
    <w:rsid w:val="008B2343"/>
    <w:rsid w:val="008B2F68"/>
    <w:rsid w:val="008B3CF1"/>
    <w:rsid w:val="008B4067"/>
    <w:rsid w:val="008B4728"/>
    <w:rsid w:val="008B487B"/>
    <w:rsid w:val="008B4A20"/>
    <w:rsid w:val="008B4B4C"/>
    <w:rsid w:val="008B60AF"/>
    <w:rsid w:val="008C01AD"/>
    <w:rsid w:val="008C255C"/>
    <w:rsid w:val="008C29D3"/>
    <w:rsid w:val="008C2D34"/>
    <w:rsid w:val="008C36DC"/>
    <w:rsid w:val="008C3B0A"/>
    <w:rsid w:val="008C3C7B"/>
    <w:rsid w:val="008C3EB7"/>
    <w:rsid w:val="008C40C4"/>
    <w:rsid w:val="008C5079"/>
    <w:rsid w:val="008C5195"/>
    <w:rsid w:val="008C540B"/>
    <w:rsid w:val="008C59FC"/>
    <w:rsid w:val="008C5A1F"/>
    <w:rsid w:val="008C5C8D"/>
    <w:rsid w:val="008C6479"/>
    <w:rsid w:val="008D0D4C"/>
    <w:rsid w:val="008D1A1E"/>
    <w:rsid w:val="008D2BD0"/>
    <w:rsid w:val="008D2DE5"/>
    <w:rsid w:val="008D3371"/>
    <w:rsid w:val="008D3657"/>
    <w:rsid w:val="008D3B1E"/>
    <w:rsid w:val="008D4CA1"/>
    <w:rsid w:val="008D583D"/>
    <w:rsid w:val="008D595E"/>
    <w:rsid w:val="008D621E"/>
    <w:rsid w:val="008D6779"/>
    <w:rsid w:val="008D7042"/>
    <w:rsid w:val="008E1688"/>
    <w:rsid w:val="008E18B9"/>
    <w:rsid w:val="008E2BEE"/>
    <w:rsid w:val="008E3C4B"/>
    <w:rsid w:val="008E3FF2"/>
    <w:rsid w:val="008E4AAA"/>
    <w:rsid w:val="008E4FE0"/>
    <w:rsid w:val="008E5B80"/>
    <w:rsid w:val="008E5FBF"/>
    <w:rsid w:val="008E72E3"/>
    <w:rsid w:val="008E7597"/>
    <w:rsid w:val="008F0625"/>
    <w:rsid w:val="008F2316"/>
    <w:rsid w:val="008F299A"/>
    <w:rsid w:val="008F2CBD"/>
    <w:rsid w:val="008F33CB"/>
    <w:rsid w:val="008F4E20"/>
    <w:rsid w:val="008F6BB1"/>
    <w:rsid w:val="008F7064"/>
    <w:rsid w:val="008F73F2"/>
    <w:rsid w:val="009004D2"/>
    <w:rsid w:val="00900757"/>
    <w:rsid w:val="00900EBB"/>
    <w:rsid w:val="00901EA6"/>
    <w:rsid w:val="00903993"/>
    <w:rsid w:val="00904509"/>
    <w:rsid w:val="009054EE"/>
    <w:rsid w:val="00907559"/>
    <w:rsid w:val="00911AC5"/>
    <w:rsid w:val="00912776"/>
    <w:rsid w:val="00912834"/>
    <w:rsid w:val="00912A44"/>
    <w:rsid w:val="00912B3E"/>
    <w:rsid w:val="00912C3C"/>
    <w:rsid w:val="009132F9"/>
    <w:rsid w:val="00914003"/>
    <w:rsid w:val="00914064"/>
    <w:rsid w:val="00914B20"/>
    <w:rsid w:val="00914D21"/>
    <w:rsid w:val="00916F73"/>
    <w:rsid w:val="00917048"/>
    <w:rsid w:val="0091705F"/>
    <w:rsid w:val="00917417"/>
    <w:rsid w:val="00917A84"/>
    <w:rsid w:val="00917B16"/>
    <w:rsid w:val="009204DF"/>
    <w:rsid w:val="009205C1"/>
    <w:rsid w:val="00921096"/>
    <w:rsid w:val="0092150D"/>
    <w:rsid w:val="009222F0"/>
    <w:rsid w:val="009240C6"/>
    <w:rsid w:val="009252B1"/>
    <w:rsid w:val="0092534D"/>
    <w:rsid w:val="009262D4"/>
    <w:rsid w:val="00926E87"/>
    <w:rsid w:val="00930773"/>
    <w:rsid w:val="00930C39"/>
    <w:rsid w:val="00930DCE"/>
    <w:rsid w:val="00931595"/>
    <w:rsid w:val="00931BC8"/>
    <w:rsid w:val="009321D6"/>
    <w:rsid w:val="009324D3"/>
    <w:rsid w:val="0093494B"/>
    <w:rsid w:val="009356F4"/>
    <w:rsid w:val="009364E3"/>
    <w:rsid w:val="00937C90"/>
    <w:rsid w:val="009405F0"/>
    <w:rsid w:val="00940BAA"/>
    <w:rsid w:val="00943FFE"/>
    <w:rsid w:val="00944AAC"/>
    <w:rsid w:val="00945030"/>
    <w:rsid w:val="009455C0"/>
    <w:rsid w:val="00945ACF"/>
    <w:rsid w:val="009469E2"/>
    <w:rsid w:val="00946CBC"/>
    <w:rsid w:val="00946F44"/>
    <w:rsid w:val="009478DA"/>
    <w:rsid w:val="00947941"/>
    <w:rsid w:val="00947CD1"/>
    <w:rsid w:val="00950DE7"/>
    <w:rsid w:val="0095146B"/>
    <w:rsid w:val="009517E5"/>
    <w:rsid w:val="00951F3B"/>
    <w:rsid w:val="00951FCF"/>
    <w:rsid w:val="00952114"/>
    <w:rsid w:val="00953A68"/>
    <w:rsid w:val="0095448C"/>
    <w:rsid w:val="00956C51"/>
    <w:rsid w:val="009572B4"/>
    <w:rsid w:val="00957325"/>
    <w:rsid w:val="00957D47"/>
    <w:rsid w:val="00957EBD"/>
    <w:rsid w:val="00960B21"/>
    <w:rsid w:val="00960D75"/>
    <w:rsid w:val="009625CF"/>
    <w:rsid w:val="00963095"/>
    <w:rsid w:val="0096531D"/>
    <w:rsid w:val="00965390"/>
    <w:rsid w:val="009660CE"/>
    <w:rsid w:val="00966B9C"/>
    <w:rsid w:val="0096768C"/>
    <w:rsid w:val="00967C48"/>
    <w:rsid w:val="00967EFD"/>
    <w:rsid w:val="00970770"/>
    <w:rsid w:val="00970B9A"/>
    <w:rsid w:val="00970CB6"/>
    <w:rsid w:val="00970D07"/>
    <w:rsid w:val="00972B7D"/>
    <w:rsid w:val="00973491"/>
    <w:rsid w:val="00973601"/>
    <w:rsid w:val="00973A91"/>
    <w:rsid w:val="00975C46"/>
    <w:rsid w:val="009761E8"/>
    <w:rsid w:val="009778D0"/>
    <w:rsid w:val="009805F5"/>
    <w:rsid w:val="009806A6"/>
    <w:rsid w:val="00980AC9"/>
    <w:rsid w:val="009811DE"/>
    <w:rsid w:val="00981AD4"/>
    <w:rsid w:val="009820C6"/>
    <w:rsid w:val="00982BD8"/>
    <w:rsid w:val="00983063"/>
    <w:rsid w:val="0098367F"/>
    <w:rsid w:val="00983C37"/>
    <w:rsid w:val="00983CB4"/>
    <w:rsid w:val="00984769"/>
    <w:rsid w:val="00984844"/>
    <w:rsid w:val="00986819"/>
    <w:rsid w:val="009873AA"/>
    <w:rsid w:val="00987EDF"/>
    <w:rsid w:val="00990036"/>
    <w:rsid w:val="00990FCA"/>
    <w:rsid w:val="00991FB6"/>
    <w:rsid w:val="00992B96"/>
    <w:rsid w:val="00993474"/>
    <w:rsid w:val="00993ECE"/>
    <w:rsid w:val="00993F1B"/>
    <w:rsid w:val="00994F57"/>
    <w:rsid w:val="00995331"/>
    <w:rsid w:val="0099567F"/>
    <w:rsid w:val="009975EB"/>
    <w:rsid w:val="009976B7"/>
    <w:rsid w:val="00997C0C"/>
    <w:rsid w:val="009A06A0"/>
    <w:rsid w:val="009A086C"/>
    <w:rsid w:val="009A0C67"/>
    <w:rsid w:val="009A1203"/>
    <w:rsid w:val="009A126C"/>
    <w:rsid w:val="009A136A"/>
    <w:rsid w:val="009A1C08"/>
    <w:rsid w:val="009A3051"/>
    <w:rsid w:val="009A5E3B"/>
    <w:rsid w:val="009A633F"/>
    <w:rsid w:val="009A771C"/>
    <w:rsid w:val="009A7996"/>
    <w:rsid w:val="009A7CAC"/>
    <w:rsid w:val="009B0585"/>
    <w:rsid w:val="009B0638"/>
    <w:rsid w:val="009B067E"/>
    <w:rsid w:val="009B1957"/>
    <w:rsid w:val="009B1BA9"/>
    <w:rsid w:val="009B22D6"/>
    <w:rsid w:val="009B3DCC"/>
    <w:rsid w:val="009B4343"/>
    <w:rsid w:val="009B53D2"/>
    <w:rsid w:val="009B5482"/>
    <w:rsid w:val="009B5CA5"/>
    <w:rsid w:val="009B6036"/>
    <w:rsid w:val="009B6B66"/>
    <w:rsid w:val="009B77F1"/>
    <w:rsid w:val="009B7B11"/>
    <w:rsid w:val="009C028B"/>
    <w:rsid w:val="009C0567"/>
    <w:rsid w:val="009C0F56"/>
    <w:rsid w:val="009C1381"/>
    <w:rsid w:val="009C22F2"/>
    <w:rsid w:val="009C239A"/>
    <w:rsid w:val="009C2A30"/>
    <w:rsid w:val="009C319F"/>
    <w:rsid w:val="009C32AF"/>
    <w:rsid w:val="009C3661"/>
    <w:rsid w:val="009C42E7"/>
    <w:rsid w:val="009C530F"/>
    <w:rsid w:val="009C6AC2"/>
    <w:rsid w:val="009C70B3"/>
    <w:rsid w:val="009C77C4"/>
    <w:rsid w:val="009D06A5"/>
    <w:rsid w:val="009D10FF"/>
    <w:rsid w:val="009D1436"/>
    <w:rsid w:val="009D2AD8"/>
    <w:rsid w:val="009D3B2F"/>
    <w:rsid w:val="009D4910"/>
    <w:rsid w:val="009D4DAC"/>
    <w:rsid w:val="009D5563"/>
    <w:rsid w:val="009D5F37"/>
    <w:rsid w:val="009D6316"/>
    <w:rsid w:val="009D64AD"/>
    <w:rsid w:val="009D7089"/>
    <w:rsid w:val="009E0A6F"/>
    <w:rsid w:val="009E0BBE"/>
    <w:rsid w:val="009E121E"/>
    <w:rsid w:val="009E4247"/>
    <w:rsid w:val="009E5D54"/>
    <w:rsid w:val="009E6149"/>
    <w:rsid w:val="009E633A"/>
    <w:rsid w:val="009E7E2D"/>
    <w:rsid w:val="009F0808"/>
    <w:rsid w:val="009F19D8"/>
    <w:rsid w:val="009F1B47"/>
    <w:rsid w:val="009F2559"/>
    <w:rsid w:val="009F496B"/>
    <w:rsid w:val="009F5210"/>
    <w:rsid w:val="009F5937"/>
    <w:rsid w:val="009F5CF7"/>
    <w:rsid w:val="009F6372"/>
    <w:rsid w:val="009F725A"/>
    <w:rsid w:val="009F7FD3"/>
    <w:rsid w:val="00A007CB"/>
    <w:rsid w:val="00A011B8"/>
    <w:rsid w:val="00A015C2"/>
    <w:rsid w:val="00A01E62"/>
    <w:rsid w:val="00A021E1"/>
    <w:rsid w:val="00A02400"/>
    <w:rsid w:val="00A03841"/>
    <w:rsid w:val="00A03D3C"/>
    <w:rsid w:val="00A04AAD"/>
    <w:rsid w:val="00A04AFD"/>
    <w:rsid w:val="00A05416"/>
    <w:rsid w:val="00A05521"/>
    <w:rsid w:val="00A06F5D"/>
    <w:rsid w:val="00A07859"/>
    <w:rsid w:val="00A07FDE"/>
    <w:rsid w:val="00A11483"/>
    <w:rsid w:val="00A11543"/>
    <w:rsid w:val="00A11948"/>
    <w:rsid w:val="00A11B7D"/>
    <w:rsid w:val="00A11E3A"/>
    <w:rsid w:val="00A1314C"/>
    <w:rsid w:val="00A132BD"/>
    <w:rsid w:val="00A134F8"/>
    <w:rsid w:val="00A135C1"/>
    <w:rsid w:val="00A13F72"/>
    <w:rsid w:val="00A143E0"/>
    <w:rsid w:val="00A146CE"/>
    <w:rsid w:val="00A14A70"/>
    <w:rsid w:val="00A1678E"/>
    <w:rsid w:val="00A1688E"/>
    <w:rsid w:val="00A17928"/>
    <w:rsid w:val="00A17B1C"/>
    <w:rsid w:val="00A17C39"/>
    <w:rsid w:val="00A17E14"/>
    <w:rsid w:val="00A207A8"/>
    <w:rsid w:val="00A20CF0"/>
    <w:rsid w:val="00A21687"/>
    <w:rsid w:val="00A2174B"/>
    <w:rsid w:val="00A219A2"/>
    <w:rsid w:val="00A220B1"/>
    <w:rsid w:val="00A220C9"/>
    <w:rsid w:val="00A2224B"/>
    <w:rsid w:val="00A22D98"/>
    <w:rsid w:val="00A231C8"/>
    <w:rsid w:val="00A234AC"/>
    <w:rsid w:val="00A241E5"/>
    <w:rsid w:val="00A24AF7"/>
    <w:rsid w:val="00A255D6"/>
    <w:rsid w:val="00A27C0D"/>
    <w:rsid w:val="00A31F35"/>
    <w:rsid w:val="00A32E2A"/>
    <w:rsid w:val="00A3375F"/>
    <w:rsid w:val="00A349AD"/>
    <w:rsid w:val="00A34DEB"/>
    <w:rsid w:val="00A34F23"/>
    <w:rsid w:val="00A3545B"/>
    <w:rsid w:val="00A359B2"/>
    <w:rsid w:val="00A360AB"/>
    <w:rsid w:val="00A3633E"/>
    <w:rsid w:val="00A367FE"/>
    <w:rsid w:val="00A37108"/>
    <w:rsid w:val="00A377AA"/>
    <w:rsid w:val="00A37BA9"/>
    <w:rsid w:val="00A41EFF"/>
    <w:rsid w:val="00A41F30"/>
    <w:rsid w:val="00A42DE2"/>
    <w:rsid w:val="00A441A4"/>
    <w:rsid w:val="00A44B0A"/>
    <w:rsid w:val="00A4543C"/>
    <w:rsid w:val="00A45ABE"/>
    <w:rsid w:val="00A45B6E"/>
    <w:rsid w:val="00A47D3D"/>
    <w:rsid w:val="00A500EB"/>
    <w:rsid w:val="00A51A71"/>
    <w:rsid w:val="00A52174"/>
    <w:rsid w:val="00A525C9"/>
    <w:rsid w:val="00A52949"/>
    <w:rsid w:val="00A53697"/>
    <w:rsid w:val="00A538F1"/>
    <w:rsid w:val="00A53D76"/>
    <w:rsid w:val="00A54DAF"/>
    <w:rsid w:val="00A554C0"/>
    <w:rsid w:val="00A55819"/>
    <w:rsid w:val="00A55B44"/>
    <w:rsid w:val="00A55EB8"/>
    <w:rsid w:val="00A5639B"/>
    <w:rsid w:val="00A56AA2"/>
    <w:rsid w:val="00A60470"/>
    <w:rsid w:val="00A612FE"/>
    <w:rsid w:val="00A61520"/>
    <w:rsid w:val="00A62153"/>
    <w:rsid w:val="00A639A5"/>
    <w:rsid w:val="00A63DDA"/>
    <w:rsid w:val="00A6701D"/>
    <w:rsid w:val="00A67357"/>
    <w:rsid w:val="00A67CCE"/>
    <w:rsid w:val="00A67ECD"/>
    <w:rsid w:val="00A7040E"/>
    <w:rsid w:val="00A709C2"/>
    <w:rsid w:val="00A7109A"/>
    <w:rsid w:val="00A71469"/>
    <w:rsid w:val="00A71BB2"/>
    <w:rsid w:val="00A720AF"/>
    <w:rsid w:val="00A72236"/>
    <w:rsid w:val="00A726C6"/>
    <w:rsid w:val="00A7291E"/>
    <w:rsid w:val="00A72B4C"/>
    <w:rsid w:val="00A732FC"/>
    <w:rsid w:val="00A73797"/>
    <w:rsid w:val="00A73C71"/>
    <w:rsid w:val="00A73C73"/>
    <w:rsid w:val="00A74CBE"/>
    <w:rsid w:val="00A7552E"/>
    <w:rsid w:val="00A76250"/>
    <w:rsid w:val="00A76501"/>
    <w:rsid w:val="00A76A38"/>
    <w:rsid w:val="00A76D0D"/>
    <w:rsid w:val="00A76F41"/>
    <w:rsid w:val="00A80944"/>
    <w:rsid w:val="00A81BC1"/>
    <w:rsid w:val="00A81C29"/>
    <w:rsid w:val="00A82AD8"/>
    <w:rsid w:val="00A82D04"/>
    <w:rsid w:val="00A840B6"/>
    <w:rsid w:val="00A84F32"/>
    <w:rsid w:val="00A8754E"/>
    <w:rsid w:val="00A87A54"/>
    <w:rsid w:val="00A87B62"/>
    <w:rsid w:val="00A907E7"/>
    <w:rsid w:val="00A9099F"/>
    <w:rsid w:val="00A9106E"/>
    <w:rsid w:val="00A92652"/>
    <w:rsid w:val="00A93765"/>
    <w:rsid w:val="00A94205"/>
    <w:rsid w:val="00A9468A"/>
    <w:rsid w:val="00A94816"/>
    <w:rsid w:val="00A9618A"/>
    <w:rsid w:val="00A96702"/>
    <w:rsid w:val="00A96A09"/>
    <w:rsid w:val="00A96C39"/>
    <w:rsid w:val="00A96DB6"/>
    <w:rsid w:val="00AA02EC"/>
    <w:rsid w:val="00AA16D6"/>
    <w:rsid w:val="00AA1CC4"/>
    <w:rsid w:val="00AA39DB"/>
    <w:rsid w:val="00AA3B0D"/>
    <w:rsid w:val="00AA3E39"/>
    <w:rsid w:val="00AA44AF"/>
    <w:rsid w:val="00AA4A21"/>
    <w:rsid w:val="00AA70FE"/>
    <w:rsid w:val="00AA77B7"/>
    <w:rsid w:val="00AA788F"/>
    <w:rsid w:val="00AB13BF"/>
    <w:rsid w:val="00AB1A3C"/>
    <w:rsid w:val="00AB2328"/>
    <w:rsid w:val="00AB26C9"/>
    <w:rsid w:val="00AB3753"/>
    <w:rsid w:val="00AB37A8"/>
    <w:rsid w:val="00AB401C"/>
    <w:rsid w:val="00AB44B5"/>
    <w:rsid w:val="00AB4DE6"/>
    <w:rsid w:val="00AB5299"/>
    <w:rsid w:val="00AB5B6F"/>
    <w:rsid w:val="00AB6C2F"/>
    <w:rsid w:val="00AB6CCE"/>
    <w:rsid w:val="00AB7841"/>
    <w:rsid w:val="00AB7DCA"/>
    <w:rsid w:val="00AC0402"/>
    <w:rsid w:val="00AC06D4"/>
    <w:rsid w:val="00AC124C"/>
    <w:rsid w:val="00AC146F"/>
    <w:rsid w:val="00AC15EE"/>
    <w:rsid w:val="00AC20D0"/>
    <w:rsid w:val="00AC20E6"/>
    <w:rsid w:val="00AC22FD"/>
    <w:rsid w:val="00AC34FB"/>
    <w:rsid w:val="00AC3CC4"/>
    <w:rsid w:val="00AC427C"/>
    <w:rsid w:val="00AC43E0"/>
    <w:rsid w:val="00AC4DDB"/>
    <w:rsid w:val="00AC5032"/>
    <w:rsid w:val="00AC6A3E"/>
    <w:rsid w:val="00AC6A5D"/>
    <w:rsid w:val="00AD047B"/>
    <w:rsid w:val="00AD14F7"/>
    <w:rsid w:val="00AD1F0F"/>
    <w:rsid w:val="00AD375C"/>
    <w:rsid w:val="00AD4559"/>
    <w:rsid w:val="00AD471B"/>
    <w:rsid w:val="00AD4AC3"/>
    <w:rsid w:val="00AD5178"/>
    <w:rsid w:val="00AD5D4F"/>
    <w:rsid w:val="00AD5FF3"/>
    <w:rsid w:val="00AD70F2"/>
    <w:rsid w:val="00AD7918"/>
    <w:rsid w:val="00AE050D"/>
    <w:rsid w:val="00AE1C22"/>
    <w:rsid w:val="00AE2553"/>
    <w:rsid w:val="00AE57CE"/>
    <w:rsid w:val="00AE5B60"/>
    <w:rsid w:val="00AE7DDF"/>
    <w:rsid w:val="00AF0030"/>
    <w:rsid w:val="00AF0101"/>
    <w:rsid w:val="00AF125E"/>
    <w:rsid w:val="00AF2A78"/>
    <w:rsid w:val="00AF2A81"/>
    <w:rsid w:val="00AF3502"/>
    <w:rsid w:val="00AF400C"/>
    <w:rsid w:val="00AF4360"/>
    <w:rsid w:val="00AF4710"/>
    <w:rsid w:val="00AF4A9E"/>
    <w:rsid w:val="00AF597E"/>
    <w:rsid w:val="00AF6126"/>
    <w:rsid w:val="00B001E5"/>
    <w:rsid w:val="00B01462"/>
    <w:rsid w:val="00B017D7"/>
    <w:rsid w:val="00B01E4A"/>
    <w:rsid w:val="00B02159"/>
    <w:rsid w:val="00B0279F"/>
    <w:rsid w:val="00B030EB"/>
    <w:rsid w:val="00B03D67"/>
    <w:rsid w:val="00B0498D"/>
    <w:rsid w:val="00B051F4"/>
    <w:rsid w:val="00B05E16"/>
    <w:rsid w:val="00B062A8"/>
    <w:rsid w:val="00B07319"/>
    <w:rsid w:val="00B07537"/>
    <w:rsid w:val="00B0783C"/>
    <w:rsid w:val="00B10165"/>
    <w:rsid w:val="00B107A7"/>
    <w:rsid w:val="00B11727"/>
    <w:rsid w:val="00B12392"/>
    <w:rsid w:val="00B1327C"/>
    <w:rsid w:val="00B14EF1"/>
    <w:rsid w:val="00B15EB9"/>
    <w:rsid w:val="00B16277"/>
    <w:rsid w:val="00B16748"/>
    <w:rsid w:val="00B16913"/>
    <w:rsid w:val="00B176A8"/>
    <w:rsid w:val="00B176E3"/>
    <w:rsid w:val="00B179F1"/>
    <w:rsid w:val="00B17ECF"/>
    <w:rsid w:val="00B20031"/>
    <w:rsid w:val="00B20451"/>
    <w:rsid w:val="00B20715"/>
    <w:rsid w:val="00B207A3"/>
    <w:rsid w:val="00B2157D"/>
    <w:rsid w:val="00B21AA5"/>
    <w:rsid w:val="00B233DA"/>
    <w:rsid w:val="00B23524"/>
    <w:rsid w:val="00B236B0"/>
    <w:rsid w:val="00B242E0"/>
    <w:rsid w:val="00B2445A"/>
    <w:rsid w:val="00B24A33"/>
    <w:rsid w:val="00B24E7D"/>
    <w:rsid w:val="00B25669"/>
    <w:rsid w:val="00B25BA8"/>
    <w:rsid w:val="00B26C8E"/>
    <w:rsid w:val="00B271BA"/>
    <w:rsid w:val="00B2785C"/>
    <w:rsid w:val="00B305F8"/>
    <w:rsid w:val="00B329D4"/>
    <w:rsid w:val="00B33058"/>
    <w:rsid w:val="00B346AC"/>
    <w:rsid w:val="00B346F1"/>
    <w:rsid w:val="00B357EC"/>
    <w:rsid w:val="00B35EF3"/>
    <w:rsid w:val="00B35F80"/>
    <w:rsid w:val="00B37798"/>
    <w:rsid w:val="00B40045"/>
    <w:rsid w:val="00B40F98"/>
    <w:rsid w:val="00B40FA2"/>
    <w:rsid w:val="00B411B6"/>
    <w:rsid w:val="00B414E3"/>
    <w:rsid w:val="00B41BD3"/>
    <w:rsid w:val="00B42946"/>
    <w:rsid w:val="00B42FEE"/>
    <w:rsid w:val="00B4369E"/>
    <w:rsid w:val="00B43A8D"/>
    <w:rsid w:val="00B467EC"/>
    <w:rsid w:val="00B47109"/>
    <w:rsid w:val="00B47307"/>
    <w:rsid w:val="00B476A1"/>
    <w:rsid w:val="00B4775F"/>
    <w:rsid w:val="00B5004F"/>
    <w:rsid w:val="00B506B7"/>
    <w:rsid w:val="00B5332D"/>
    <w:rsid w:val="00B53553"/>
    <w:rsid w:val="00B536B6"/>
    <w:rsid w:val="00B5417E"/>
    <w:rsid w:val="00B5426E"/>
    <w:rsid w:val="00B546BD"/>
    <w:rsid w:val="00B54FC0"/>
    <w:rsid w:val="00B55610"/>
    <w:rsid w:val="00B5600B"/>
    <w:rsid w:val="00B56A41"/>
    <w:rsid w:val="00B56F74"/>
    <w:rsid w:val="00B57765"/>
    <w:rsid w:val="00B57A52"/>
    <w:rsid w:val="00B616BC"/>
    <w:rsid w:val="00B62556"/>
    <w:rsid w:val="00B627AD"/>
    <w:rsid w:val="00B64A8F"/>
    <w:rsid w:val="00B65055"/>
    <w:rsid w:val="00B65239"/>
    <w:rsid w:val="00B65312"/>
    <w:rsid w:val="00B66605"/>
    <w:rsid w:val="00B6671A"/>
    <w:rsid w:val="00B66AC0"/>
    <w:rsid w:val="00B66BC0"/>
    <w:rsid w:val="00B674FC"/>
    <w:rsid w:val="00B67EC6"/>
    <w:rsid w:val="00B70053"/>
    <w:rsid w:val="00B70D43"/>
    <w:rsid w:val="00B71302"/>
    <w:rsid w:val="00B71C4D"/>
    <w:rsid w:val="00B724BC"/>
    <w:rsid w:val="00B72B0E"/>
    <w:rsid w:val="00B72E55"/>
    <w:rsid w:val="00B72F60"/>
    <w:rsid w:val="00B733DF"/>
    <w:rsid w:val="00B75629"/>
    <w:rsid w:val="00B75D23"/>
    <w:rsid w:val="00B763BA"/>
    <w:rsid w:val="00B767C4"/>
    <w:rsid w:val="00B76C9B"/>
    <w:rsid w:val="00B772A8"/>
    <w:rsid w:val="00B777B1"/>
    <w:rsid w:val="00B77C01"/>
    <w:rsid w:val="00B77DD3"/>
    <w:rsid w:val="00B8067B"/>
    <w:rsid w:val="00B80F89"/>
    <w:rsid w:val="00B8242E"/>
    <w:rsid w:val="00B833BB"/>
    <w:rsid w:val="00B83429"/>
    <w:rsid w:val="00B83EC7"/>
    <w:rsid w:val="00B845CA"/>
    <w:rsid w:val="00B85601"/>
    <w:rsid w:val="00B85B48"/>
    <w:rsid w:val="00B86083"/>
    <w:rsid w:val="00B869C4"/>
    <w:rsid w:val="00B87D40"/>
    <w:rsid w:val="00B9100D"/>
    <w:rsid w:val="00B91457"/>
    <w:rsid w:val="00B91DD5"/>
    <w:rsid w:val="00B92924"/>
    <w:rsid w:val="00B9306D"/>
    <w:rsid w:val="00B93E31"/>
    <w:rsid w:val="00B94079"/>
    <w:rsid w:val="00B948FF"/>
    <w:rsid w:val="00B955B7"/>
    <w:rsid w:val="00B95F70"/>
    <w:rsid w:val="00B95FFD"/>
    <w:rsid w:val="00B96E39"/>
    <w:rsid w:val="00B976D6"/>
    <w:rsid w:val="00BA06B3"/>
    <w:rsid w:val="00BA1322"/>
    <w:rsid w:val="00BA132C"/>
    <w:rsid w:val="00BA183F"/>
    <w:rsid w:val="00BA19DB"/>
    <w:rsid w:val="00BA1FA2"/>
    <w:rsid w:val="00BA3877"/>
    <w:rsid w:val="00BA3CEE"/>
    <w:rsid w:val="00BA3F92"/>
    <w:rsid w:val="00BA40A2"/>
    <w:rsid w:val="00BA41A3"/>
    <w:rsid w:val="00BA429C"/>
    <w:rsid w:val="00BA53E9"/>
    <w:rsid w:val="00BA5F75"/>
    <w:rsid w:val="00BA61C1"/>
    <w:rsid w:val="00BA6878"/>
    <w:rsid w:val="00BA742E"/>
    <w:rsid w:val="00BA7A9E"/>
    <w:rsid w:val="00BB01FA"/>
    <w:rsid w:val="00BB03D9"/>
    <w:rsid w:val="00BB0684"/>
    <w:rsid w:val="00BB19F4"/>
    <w:rsid w:val="00BB223A"/>
    <w:rsid w:val="00BB315E"/>
    <w:rsid w:val="00BB35BC"/>
    <w:rsid w:val="00BB3A98"/>
    <w:rsid w:val="00BB4A32"/>
    <w:rsid w:val="00BB5ADC"/>
    <w:rsid w:val="00BB6305"/>
    <w:rsid w:val="00BB64E5"/>
    <w:rsid w:val="00BC019D"/>
    <w:rsid w:val="00BC087B"/>
    <w:rsid w:val="00BC0CD1"/>
    <w:rsid w:val="00BC0F71"/>
    <w:rsid w:val="00BC2350"/>
    <w:rsid w:val="00BC261F"/>
    <w:rsid w:val="00BC28A7"/>
    <w:rsid w:val="00BC325A"/>
    <w:rsid w:val="00BC4333"/>
    <w:rsid w:val="00BC45DE"/>
    <w:rsid w:val="00BC4E14"/>
    <w:rsid w:val="00BC5825"/>
    <w:rsid w:val="00BC5CB6"/>
    <w:rsid w:val="00BC624E"/>
    <w:rsid w:val="00BC6BDB"/>
    <w:rsid w:val="00BC7700"/>
    <w:rsid w:val="00BC774D"/>
    <w:rsid w:val="00BC7F03"/>
    <w:rsid w:val="00BD0132"/>
    <w:rsid w:val="00BD0359"/>
    <w:rsid w:val="00BD0373"/>
    <w:rsid w:val="00BD0997"/>
    <w:rsid w:val="00BD19D9"/>
    <w:rsid w:val="00BD40DD"/>
    <w:rsid w:val="00BD446D"/>
    <w:rsid w:val="00BD4966"/>
    <w:rsid w:val="00BD4A88"/>
    <w:rsid w:val="00BD60BB"/>
    <w:rsid w:val="00BD628E"/>
    <w:rsid w:val="00BD6CFE"/>
    <w:rsid w:val="00BD6D3E"/>
    <w:rsid w:val="00BD6F76"/>
    <w:rsid w:val="00BD6FCD"/>
    <w:rsid w:val="00BD761A"/>
    <w:rsid w:val="00BD7F10"/>
    <w:rsid w:val="00BE1C7F"/>
    <w:rsid w:val="00BE2283"/>
    <w:rsid w:val="00BE22E9"/>
    <w:rsid w:val="00BE2305"/>
    <w:rsid w:val="00BE34CE"/>
    <w:rsid w:val="00BE3826"/>
    <w:rsid w:val="00BE4113"/>
    <w:rsid w:val="00BE4EEE"/>
    <w:rsid w:val="00BE53F5"/>
    <w:rsid w:val="00BE56D0"/>
    <w:rsid w:val="00BE68F0"/>
    <w:rsid w:val="00BE6BB8"/>
    <w:rsid w:val="00BE6CC0"/>
    <w:rsid w:val="00BE7890"/>
    <w:rsid w:val="00BE7C74"/>
    <w:rsid w:val="00BF0977"/>
    <w:rsid w:val="00BF1059"/>
    <w:rsid w:val="00BF11A8"/>
    <w:rsid w:val="00BF412C"/>
    <w:rsid w:val="00BF41F8"/>
    <w:rsid w:val="00BF4358"/>
    <w:rsid w:val="00BF489F"/>
    <w:rsid w:val="00BF4A31"/>
    <w:rsid w:val="00BF4EE1"/>
    <w:rsid w:val="00BF54B4"/>
    <w:rsid w:val="00BF604E"/>
    <w:rsid w:val="00BF77D9"/>
    <w:rsid w:val="00BF7D9E"/>
    <w:rsid w:val="00C001B8"/>
    <w:rsid w:val="00C003AB"/>
    <w:rsid w:val="00C00464"/>
    <w:rsid w:val="00C005C0"/>
    <w:rsid w:val="00C015ED"/>
    <w:rsid w:val="00C01699"/>
    <w:rsid w:val="00C021FC"/>
    <w:rsid w:val="00C02B07"/>
    <w:rsid w:val="00C03477"/>
    <w:rsid w:val="00C049AF"/>
    <w:rsid w:val="00C07717"/>
    <w:rsid w:val="00C10360"/>
    <w:rsid w:val="00C1071E"/>
    <w:rsid w:val="00C119DA"/>
    <w:rsid w:val="00C12680"/>
    <w:rsid w:val="00C12C10"/>
    <w:rsid w:val="00C137B9"/>
    <w:rsid w:val="00C15008"/>
    <w:rsid w:val="00C15E32"/>
    <w:rsid w:val="00C163D7"/>
    <w:rsid w:val="00C16762"/>
    <w:rsid w:val="00C17287"/>
    <w:rsid w:val="00C20078"/>
    <w:rsid w:val="00C204D0"/>
    <w:rsid w:val="00C206A2"/>
    <w:rsid w:val="00C21734"/>
    <w:rsid w:val="00C228D6"/>
    <w:rsid w:val="00C22FF1"/>
    <w:rsid w:val="00C24220"/>
    <w:rsid w:val="00C24753"/>
    <w:rsid w:val="00C24CBB"/>
    <w:rsid w:val="00C255AB"/>
    <w:rsid w:val="00C260A5"/>
    <w:rsid w:val="00C26546"/>
    <w:rsid w:val="00C270FB"/>
    <w:rsid w:val="00C2768F"/>
    <w:rsid w:val="00C30E0A"/>
    <w:rsid w:val="00C31704"/>
    <w:rsid w:val="00C318D3"/>
    <w:rsid w:val="00C32A7C"/>
    <w:rsid w:val="00C3431D"/>
    <w:rsid w:val="00C34586"/>
    <w:rsid w:val="00C34BB8"/>
    <w:rsid w:val="00C35F93"/>
    <w:rsid w:val="00C3621F"/>
    <w:rsid w:val="00C36676"/>
    <w:rsid w:val="00C368F1"/>
    <w:rsid w:val="00C36C0F"/>
    <w:rsid w:val="00C36DF9"/>
    <w:rsid w:val="00C37B06"/>
    <w:rsid w:val="00C415F1"/>
    <w:rsid w:val="00C423B7"/>
    <w:rsid w:val="00C4292E"/>
    <w:rsid w:val="00C42ED5"/>
    <w:rsid w:val="00C430C4"/>
    <w:rsid w:val="00C43ECC"/>
    <w:rsid w:val="00C4400F"/>
    <w:rsid w:val="00C445DA"/>
    <w:rsid w:val="00C45403"/>
    <w:rsid w:val="00C4656A"/>
    <w:rsid w:val="00C46A5E"/>
    <w:rsid w:val="00C47C93"/>
    <w:rsid w:val="00C47D66"/>
    <w:rsid w:val="00C50335"/>
    <w:rsid w:val="00C52104"/>
    <w:rsid w:val="00C52205"/>
    <w:rsid w:val="00C52E7C"/>
    <w:rsid w:val="00C52FEF"/>
    <w:rsid w:val="00C53381"/>
    <w:rsid w:val="00C53443"/>
    <w:rsid w:val="00C54411"/>
    <w:rsid w:val="00C552A8"/>
    <w:rsid w:val="00C56BFD"/>
    <w:rsid w:val="00C5736A"/>
    <w:rsid w:val="00C57537"/>
    <w:rsid w:val="00C6019A"/>
    <w:rsid w:val="00C60C5B"/>
    <w:rsid w:val="00C613AD"/>
    <w:rsid w:val="00C62368"/>
    <w:rsid w:val="00C623F3"/>
    <w:rsid w:val="00C62A91"/>
    <w:rsid w:val="00C63419"/>
    <w:rsid w:val="00C65585"/>
    <w:rsid w:val="00C66734"/>
    <w:rsid w:val="00C67BE9"/>
    <w:rsid w:val="00C67DDF"/>
    <w:rsid w:val="00C703FD"/>
    <w:rsid w:val="00C70B24"/>
    <w:rsid w:val="00C70CE3"/>
    <w:rsid w:val="00C72634"/>
    <w:rsid w:val="00C736B0"/>
    <w:rsid w:val="00C736F5"/>
    <w:rsid w:val="00C73E4B"/>
    <w:rsid w:val="00C74AA1"/>
    <w:rsid w:val="00C74AD8"/>
    <w:rsid w:val="00C75197"/>
    <w:rsid w:val="00C75DDC"/>
    <w:rsid w:val="00C76A64"/>
    <w:rsid w:val="00C773D6"/>
    <w:rsid w:val="00C77F7C"/>
    <w:rsid w:val="00C8007F"/>
    <w:rsid w:val="00C8044C"/>
    <w:rsid w:val="00C8115A"/>
    <w:rsid w:val="00C81E4F"/>
    <w:rsid w:val="00C820B3"/>
    <w:rsid w:val="00C824DD"/>
    <w:rsid w:val="00C82662"/>
    <w:rsid w:val="00C829DD"/>
    <w:rsid w:val="00C83253"/>
    <w:rsid w:val="00C83C17"/>
    <w:rsid w:val="00C84069"/>
    <w:rsid w:val="00C85133"/>
    <w:rsid w:val="00C85AF4"/>
    <w:rsid w:val="00C871E6"/>
    <w:rsid w:val="00C90395"/>
    <w:rsid w:val="00C90440"/>
    <w:rsid w:val="00C9090C"/>
    <w:rsid w:val="00C90BB7"/>
    <w:rsid w:val="00C90ECF"/>
    <w:rsid w:val="00C90F26"/>
    <w:rsid w:val="00C91415"/>
    <w:rsid w:val="00C93CD6"/>
    <w:rsid w:val="00C94940"/>
    <w:rsid w:val="00C95B4B"/>
    <w:rsid w:val="00C962C3"/>
    <w:rsid w:val="00C9645E"/>
    <w:rsid w:val="00C97000"/>
    <w:rsid w:val="00C97152"/>
    <w:rsid w:val="00C9752A"/>
    <w:rsid w:val="00C975B1"/>
    <w:rsid w:val="00C979DB"/>
    <w:rsid w:val="00CA05CE"/>
    <w:rsid w:val="00CA0CDE"/>
    <w:rsid w:val="00CA1D78"/>
    <w:rsid w:val="00CA1E5D"/>
    <w:rsid w:val="00CA1F0E"/>
    <w:rsid w:val="00CA214E"/>
    <w:rsid w:val="00CA22DA"/>
    <w:rsid w:val="00CA26E7"/>
    <w:rsid w:val="00CA3303"/>
    <w:rsid w:val="00CA3511"/>
    <w:rsid w:val="00CA40DC"/>
    <w:rsid w:val="00CA419E"/>
    <w:rsid w:val="00CA5403"/>
    <w:rsid w:val="00CA58B6"/>
    <w:rsid w:val="00CA58B9"/>
    <w:rsid w:val="00CA62DA"/>
    <w:rsid w:val="00CA7844"/>
    <w:rsid w:val="00CB016B"/>
    <w:rsid w:val="00CB04D3"/>
    <w:rsid w:val="00CB0546"/>
    <w:rsid w:val="00CB11E8"/>
    <w:rsid w:val="00CB1542"/>
    <w:rsid w:val="00CB21D0"/>
    <w:rsid w:val="00CB4762"/>
    <w:rsid w:val="00CB5B2A"/>
    <w:rsid w:val="00CB5C05"/>
    <w:rsid w:val="00CB6779"/>
    <w:rsid w:val="00CB78F0"/>
    <w:rsid w:val="00CB79CE"/>
    <w:rsid w:val="00CB7EDE"/>
    <w:rsid w:val="00CC0106"/>
    <w:rsid w:val="00CC0E66"/>
    <w:rsid w:val="00CC16CB"/>
    <w:rsid w:val="00CC19DB"/>
    <w:rsid w:val="00CC39FE"/>
    <w:rsid w:val="00CC3AE4"/>
    <w:rsid w:val="00CC41BE"/>
    <w:rsid w:val="00CC5F23"/>
    <w:rsid w:val="00CC677E"/>
    <w:rsid w:val="00CC754D"/>
    <w:rsid w:val="00CC7615"/>
    <w:rsid w:val="00CC7A17"/>
    <w:rsid w:val="00CC7B7E"/>
    <w:rsid w:val="00CC7E70"/>
    <w:rsid w:val="00CD037D"/>
    <w:rsid w:val="00CD1E7A"/>
    <w:rsid w:val="00CD27CE"/>
    <w:rsid w:val="00CD284D"/>
    <w:rsid w:val="00CD2CCE"/>
    <w:rsid w:val="00CD3B03"/>
    <w:rsid w:val="00CD4AC1"/>
    <w:rsid w:val="00CD4C0A"/>
    <w:rsid w:val="00CD4E67"/>
    <w:rsid w:val="00CD5B5C"/>
    <w:rsid w:val="00CD6318"/>
    <w:rsid w:val="00CD6C38"/>
    <w:rsid w:val="00CD7A9D"/>
    <w:rsid w:val="00CE00C4"/>
    <w:rsid w:val="00CE0D45"/>
    <w:rsid w:val="00CE0D56"/>
    <w:rsid w:val="00CE0FC3"/>
    <w:rsid w:val="00CE2957"/>
    <w:rsid w:val="00CE2E43"/>
    <w:rsid w:val="00CE4A40"/>
    <w:rsid w:val="00CE5000"/>
    <w:rsid w:val="00CE5A4C"/>
    <w:rsid w:val="00CE5D2C"/>
    <w:rsid w:val="00CE6A3D"/>
    <w:rsid w:val="00CE72B4"/>
    <w:rsid w:val="00CE76E0"/>
    <w:rsid w:val="00CF0749"/>
    <w:rsid w:val="00CF07E4"/>
    <w:rsid w:val="00CF0B59"/>
    <w:rsid w:val="00CF23E9"/>
    <w:rsid w:val="00CF2A98"/>
    <w:rsid w:val="00CF2C1F"/>
    <w:rsid w:val="00CF356F"/>
    <w:rsid w:val="00CF38B4"/>
    <w:rsid w:val="00CF3C12"/>
    <w:rsid w:val="00CF4BC3"/>
    <w:rsid w:val="00CF5B92"/>
    <w:rsid w:val="00CF5C89"/>
    <w:rsid w:val="00CF622A"/>
    <w:rsid w:val="00CF6AD8"/>
    <w:rsid w:val="00CF6AFD"/>
    <w:rsid w:val="00CF7BE8"/>
    <w:rsid w:val="00CF7FFA"/>
    <w:rsid w:val="00D00AB0"/>
    <w:rsid w:val="00D00CB7"/>
    <w:rsid w:val="00D00F1E"/>
    <w:rsid w:val="00D01001"/>
    <w:rsid w:val="00D01109"/>
    <w:rsid w:val="00D013BA"/>
    <w:rsid w:val="00D02C58"/>
    <w:rsid w:val="00D0370A"/>
    <w:rsid w:val="00D0374A"/>
    <w:rsid w:val="00D05014"/>
    <w:rsid w:val="00D050AF"/>
    <w:rsid w:val="00D065D8"/>
    <w:rsid w:val="00D07C8B"/>
    <w:rsid w:val="00D07E49"/>
    <w:rsid w:val="00D107E2"/>
    <w:rsid w:val="00D1145E"/>
    <w:rsid w:val="00D116BF"/>
    <w:rsid w:val="00D12224"/>
    <w:rsid w:val="00D12B12"/>
    <w:rsid w:val="00D1330B"/>
    <w:rsid w:val="00D136E6"/>
    <w:rsid w:val="00D138FB"/>
    <w:rsid w:val="00D155FB"/>
    <w:rsid w:val="00D16568"/>
    <w:rsid w:val="00D1722F"/>
    <w:rsid w:val="00D2005C"/>
    <w:rsid w:val="00D20767"/>
    <w:rsid w:val="00D21270"/>
    <w:rsid w:val="00D222B3"/>
    <w:rsid w:val="00D22E0A"/>
    <w:rsid w:val="00D23888"/>
    <w:rsid w:val="00D24400"/>
    <w:rsid w:val="00D24AD9"/>
    <w:rsid w:val="00D257A4"/>
    <w:rsid w:val="00D25D25"/>
    <w:rsid w:val="00D27125"/>
    <w:rsid w:val="00D27EB7"/>
    <w:rsid w:val="00D302C5"/>
    <w:rsid w:val="00D307DE"/>
    <w:rsid w:val="00D309B3"/>
    <w:rsid w:val="00D30B16"/>
    <w:rsid w:val="00D31010"/>
    <w:rsid w:val="00D31632"/>
    <w:rsid w:val="00D31FFE"/>
    <w:rsid w:val="00D32156"/>
    <w:rsid w:val="00D321D6"/>
    <w:rsid w:val="00D32B23"/>
    <w:rsid w:val="00D3310C"/>
    <w:rsid w:val="00D3321F"/>
    <w:rsid w:val="00D33E61"/>
    <w:rsid w:val="00D3441C"/>
    <w:rsid w:val="00D34621"/>
    <w:rsid w:val="00D347F0"/>
    <w:rsid w:val="00D3495D"/>
    <w:rsid w:val="00D34E4B"/>
    <w:rsid w:val="00D368A3"/>
    <w:rsid w:val="00D37436"/>
    <w:rsid w:val="00D37BCD"/>
    <w:rsid w:val="00D409A8"/>
    <w:rsid w:val="00D40FA0"/>
    <w:rsid w:val="00D4125E"/>
    <w:rsid w:val="00D4183E"/>
    <w:rsid w:val="00D41EE4"/>
    <w:rsid w:val="00D4201A"/>
    <w:rsid w:val="00D42947"/>
    <w:rsid w:val="00D42AEC"/>
    <w:rsid w:val="00D42E52"/>
    <w:rsid w:val="00D4304A"/>
    <w:rsid w:val="00D434D4"/>
    <w:rsid w:val="00D446EE"/>
    <w:rsid w:val="00D469D6"/>
    <w:rsid w:val="00D47137"/>
    <w:rsid w:val="00D500B2"/>
    <w:rsid w:val="00D50DCB"/>
    <w:rsid w:val="00D512D4"/>
    <w:rsid w:val="00D51BE6"/>
    <w:rsid w:val="00D52421"/>
    <w:rsid w:val="00D525EC"/>
    <w:rsid w:val="00D52C89"/>
    <w:rsid w:val="00D53076"/>
    <w:rsid w:val="00D5307B"/>
    <w:rsid w:val="00D53C92"/>
    <w:rsid w:val="00D55C83"/>
    <w:rsid w:val="00D57AAD"/>
    <w:rsid w:val="00D57CC8"/>
    <w:rsid w:val="00D57E59"/>
    <w:rsid w:val="00D60108"/>
    <w:rsid w:val="00D60865"/>
    <w:rsid w:val="00D608AE"/>
    <w:rsid w:val="00D623DF"/>
    <w:rsid w:val="00D62A85"/>
    <w:rsid w:val="00D631E6"/>
    <w:rsid w:val="00D63388"/>
    <w:rsid w:val="00D65027"/>
    <w:rsid w:val="00D652E8"/>
    <w:rsid w:val="00D657CF"/>
    <w:rsid w:val="00D661E3"/>
    <w:rsid w:val="00D671F5"/>
    <w:rsid w:val="00D675A2"/>
    <w:rsid w:val="00D70055"/>
    <w:rsid w:val="00D71684"/>
    <w:rsid w:val="00D716D6"/>
    <w:rsid w:val="00D71C54"/>
    <w:rsid w:val="00D72D6A"/>
    <w:rsid w:val="00D73780"/>
    <w:rsid w:val="00D750F5"/>
    <w:rsid w:val="00D75189"/>
    <w:rsid w:val="00D769B3"/>
    <w:rsid w:val="00D77D3F"/>
    <w:rsid w:val="00D8024D"/>
    <w:rsid w:val="00D80582"/>
    <w:rsid w:val="00D80626"/>
    <w:rsid w:val="00D80F3C"/>
    <w:rsid w:val="00D81C4B"/>
    <w:rsid w:val="00D848A8"/>
    <w:rsid w:val="00D84BC0"/>
    <w:rsid w:val="00D85896"/>
    <w:rsid w:val="00D858E2"/>
    <w:rsid w:val="00D870BE"/>
    <w:rsid w:val="00D874DB"/>
    <w:rsid w:val="00D87BFB"/>
    <w:rsid w:val="00D87CC2"/>
    <w:rsid w:val="00D9068E"/>
    <w:rsid w:val="00D91408"/>
    <w:rsid w:val="00D91B32"/>
    <w:rsid w:val="00D92990"/>
    <w:rsid w:val="00D92D5A"/>
    <w:rsid w:val="00D938B2"/>
    <w:rsid w:val="00D94188"/>
    <w:rsid w:val="00D9492A"/>
    <w:rsid w:val="00D95043"/>
    <w:rsid w:val="00DA0247"/>
    <w:rsid w:val="00DA0A90"/>
    <w:rsid w:val="00DA211E"/>
    <w:rsid w:val="00DA2671"/>
    <w:rsid w:val="00DA3267"/>
    <w:rsid w:val="00DA33EB"/>
    <w:rsid w:val="00DA37EB"/>
    <w:rsid w:val="00DA3FCD"/>
    <w:rsid w:val="00DA485E"/>
    <w:rsid w:val="00DA4B8C"/>
    <w:rsid w:val="00DA4D96"/>
    <w:rsid w:val="00DA571E"/>
    <w:rsid w:val="00DA62D1"/>
    <w:rsid w:val="00DA6387"/>
    <w:rsid w:val="00DA6CA2"/>
    <w:rsid w:val="00DA6F77"/>
    <w:rsid w:val="00DB03EA"/>
    <w:rsid w:val="00DB04F0"/>
    <w:rsid w:val="00DB17F4"/>
    <w:rsid w:val="00DB29B7"/>
    <w:rsid w:val="00DB2B6C"/>
    <w:rsid w:val="00DB39AB"/>
    <w:rsid w:val="00DB3D99"/>
    <w:rsid w:val="00DB417D"/>
    <w:rsid w:val="00DB4DD2"/>
    <w:rsid w:val="00DB551D"/>
    <w:rsid w:val="00DB5589"/>
    <w:rsid w:val="00DB56B3"/>
    <w:rsid w:val="00DB6525"/>
    <w:rsid w:val="00DB6988"/>
    <w:rsid w:val="00DB6FAE"/>
    <w:rsid w:val="00DB78DC"/>
    <w:rsid w:val="00DB7B7D"/>
    <w:rsid w:val="00DB7F53"/>
    <w:rsid w:val="00DC09B6"/>
    <w:rsid w:val="00DC1058"/>
    <w:rsid w:val="00DC243C"/>
    <w:rsid w:val="00DC2677"/>
    <w:rsid w:val="00DC39BF"/>
    <w:rsid w:val="00DC3CC4"/>
    <w:rsid w:val="00DC4679"/>
    <w:rsid w:val="00DC5893"/>
    <w:rsid w:val="00DC61BB"/>
    <w:rsid w:val="00DC6404"/>
    <w:rsid w:val="00DC6BD1"/>
    <w:rsid w:val="00DC71FD"/>
    <w:rsid w:val="00DC77D0"/>
    <w:rsid w:val="00DD18C1"/>
    <w:rsid w:val="00DD26D8"/>
    <w:rsid w:val="00DD3540"/>
    <w:rsid w:val="00DD3603"/>
    <w:rsid w:val="00DD3D40"/>
    <w:rsid w:val="00DD3E49"/>
    <w:rsid w:val="00DD43EB"/>
    <w:rsid w:val="00DD48FC"/>
    <w:rsid w:val="00DD5E44"/>
    <w:rsid w:val="00DD5F95"/>
    <w:rsid w:val="00DD606C"/>
    <w:rsid w:val="00DD69C1"/>
    <w:rsid w:val="00DD6C6E"/>
    <w:rsid w:val="00DD70E1"/>
    <w:rsid w:val="00DD741F"/>
    <w:rsid w:val="00DE0584"/>
    <w:rsid w:val="00DE07E1"/>
    <w:rsid w:val="00DE0FE0"/>
    <w:rsid w:val="00DE10A4"/>
    <w:rsid w:val="00DE110C"/>
    <w:rsid w:val="00DE18D6"/>
    <w:rsid w:val="00DE2AC5"/>
    <w:rsid w:val="00DE40D3"/>
    <w:rsid w:val="00DE517F"/>
    <w:rsid w:val="00DE546E"/>
    <w:rsid w:val="00DE5A83"/>
    <w:rsid w:val="00DE5E6F"/>
    <w:rsid w:val="00DE5F7C"/>
    <w:rsid w:val="00DF02B8"/>
    <w:rsid w:val="00DF0636"/>
    <w:rsid w:val="00DF0DAA"/>
    <w:rsid w:val="00DF1139"/>
    <w:rsid w:val="00DF182F"/>
    <w:rsid w:val="00DF3F75"/>
    <w:rsid w:val="00DF437B"/>
    <w:rsid w:val="00DF471E"/>
    <w:rsid w:val="00DF4730"/>
    <w:rsid w:val="00DF4CD5"/>
    <w:rsid w:val="00DF60B3"/>
    <w:rsid w:val="00DF67BD"/>
    <w:rsid w:val="00DF6CA0"/>
    <w:rsid w:val="00DF72E4"/>
    <w:rsid w:val="00DF7C36"/>
    <w:rsid w:val="00E000FD"/>
    <w:rsid w:val="00E0072A"/>
    <w:rsid w:val="00E0093C"/>
    <w:rsid w:val="00E00B86"/>
    <w:rsid w:val="00E00D91"/>
    <w:rsid w:val="00E00EF6"/>
    <w:rsid w:val="00E016F6"/>
    <w:rsid w:val="00E01A5E"/>
    <w:rsid w:val="00E022A2"/>
    <w:rsid w:val="00E028D2"/>
    <w:rsid w:val="00E03CE6"/>
    <w:rsid w:val="00E05760"/>
    <w:rsid w:val="00E05E0F"/>
    <w:rsid w:val="00E061CA"/>
    <w:rsid w:val="00E062D7"/>
    <w:rsid w:val="00E063A4"/>
    <w:rsid w:val="00E06F48"/>
    <w:rsid w:val="00E07DB0"/>
    <w:rsid w:val="00E10E4A"/>
    <w:rsid w:val="00E1100A"/>
    <w:rsid w:val="00E11142"/>
    <w:rsid w:val="00E1200B"/>
    <w:rsid w:val="00E12385"/>
    <w:rsid w:val="00E13E95"/>
    <w:rsid w:val="00E143BF"/>
    <w:rsid w:val="00E147E5"/>
    <w:rsid w:val="00E14C60"/>
    <w:rsid w:val="00E15009"/>
    <w:rsid w:val="00E15749"/>
    <w:rsid w:val="00E16AFE"/>
    <w:rsid w:val="00E1727A"/>
    <w:rsid w:val="00E17BF5"/>
    <w:rsid w:val="00E17D2D"/>
    <w:rsid w:val="00E2059D"/>
    <w:rsid w:val="00E21FC5"/>
    <w:rsid w:val="00E23B15"/>
    <w:rsid w:val="00E242B8"/>
    <w:rsid w:val="00E24970"/>
    <w:rsid w:val="00E2568A"/>
    <w:rsid w:val="00E3036C"/>
    <w:rsid w:val="00E307D7"/>
    <w:rsid w:val="00E338E3"/>
    <w:rsid w:val="00E33B2A"/>
    <w:rsid w:val="00E33ED6"/>
    <w:rsid w:val="00E346C9"/>
    <w:rsid w:val="00E3523F"/>
    <w:rsid w:val="00E35B01"/>
    <w:rsid w:val="00E35D9C"/>
    <w:rsid w:val="00E362ED"/>
    <w:rsid w:val="00E36575"/>
    <w:rsid w:val="00E37141"/>
    <w:rsid w:val="00E40871"/>
    <w:rsid w:val="00E40CBD"/>
    <w:rsid w:val="00E41676"/>
    <w:rsid w:val="00E42B8C"/>
    <w:rsid w:val="00E44053"/>
    <w:rsid w:val="00E44A0C"/>
    <w:rsid w:val="00E44C29"/>
    <w:rsid w:val="00E44D7A"/>
    <w:rsid w:val="00E4542D"/>
    <w:rsid w:val="00E461B9"/>
    <w:rsid w:val="00E461F6"/>
    <w:rsid w:val="00E46774"/>
    <w:rsid w:val="00E477A1"/>
    <w:rsid w:val="00E5055D"/>
    <w:rsid w:val="00E51148"/>
    <w:rsid w:val="00E559AA"/>
    <w:rsid w:val="00E5639D"/>
    <w:rsid w:val="00E5699D"/>
    <w:rsid w:val="00E56A7F"/>
    <w:rsid w:val="00E608CB"/>
    <w:rsid w:val="00E634E4"/>
    <w:rsid w:val="00E637F1"/>
    <w:rsid w:val="00E64143"/>
    <w:rsid w:val="00E65285"/>
    <w:rsid w:val="00E6542F"/>
    <w:rsid w:val="00E6549C"/>
    <w:rsid w:val="00E6604E"/>
    <w:rsid w:val="00E660F1"/>
    <w:rsid w:val="00E66CD1"/>
    <w:rsid w:val="00E66D9F"/>
    <w:rsid w:val="00E66EE6"/>
    <w:rsid w:val="00E67760"/>
    <w:rsid w:val="00E67F02"/>
    <w:rsid w:val="00E701F8"/>
    <w:rsid w:val="00E70B17"/>
    <w:rsid w:val="00E70DCA"/>
    <w:rsid w:val="00E71564"/>
    <w:rsid w:val="00E71C73"/>
    <w:rsid w:val="00E72147"/>
    <w:rsid w:val="00E72212"/>
    <w:rsid w:val="00E74776"/>
    <w:rsid w:val="00E81255"/>
    <w:rsid w:val="00E8187C"/>
    <w:rsid w:val="00E81884"/>
    <w:rsid w:val="00E819BF"/>
    <w:rsid w:val="00E81FBE"/>
    <w:rsid w:val="00E823CD"/>
    <w:rsid w:val="00E824E2"/>
    <w:rsid w:val="00E82F3D"/>
    <w:rsid w:val="00E8387F"/>
    <w:rsid w:val="00E84AFA"/>
    <w:rsid w:val="00E84C04"/>
    <w:rsid w:val="00E85224"/>
    <w:rsid w:val="00E855C9"/>
    <w:rsid w:val="00E8605B"/>
    <w:rsid w:val="00E8626B"/>
    <w:rsid w:val="00E87581"/>
    <w:rsid w:val="00E87919"/>
    <w:rsid w:val="00E879BC"/>
    <w:rsid w:val="00E87E6A"/>
    <w:rsid w:val="00E9103C"/>
    <w:rsid w:val="00E91221"/>
    <w:rsid w:val="00E91678"/>
    <w:rsid w:val="00E92D72"/>
    <w:rsid w:val="00E93528"/>
    <w:rsid w:val="00E95F35"/>
    <w:rsid w:val="00E97446"/>
    <w:rsid w:val="00E97A15"/>
    <w:rsid w:val="00E97F80"/>
    <w:rsid w:val="00EA01BE"/>
    <w:rsid w:val="00EA04B0"/>
    <w:rsid w:val="00EA2967"/>
    <w:rsid w:val="00EA2F7D"/>
    <w:rsid w:val="00EA343F"/>
    <w:rsid w:val="00EA42A6"/>
    <w:rsid w:val="00EA45CF"/>
    <w:rsid w:val="00EA5654"/>
    <w:rsid w:val="00EA7459"/>
    <w:rsid w:val="00EB10BC"/>
    <w:rsid w:val="00EB1184"/>
    <w:rsid w:val="00EB1850"/>
    <w:rsid w:val="00EB1B83"/>
    <w:rsid w:val="00EB27F7"/>
    <w:rsid w:val="00EB2CCF"/>
    <w:rsid w:val="00EB3276"/>
    <w:rsid w:val="00EB3513"/>
    <w:rsid w:val="00EB3A82"/>
    <w:rsid w:val="00EB5F1F"/>
    <w:rsid w:val="00EB62C8"/>
    <w:rsid w:val="00EB6B07"/>
    <w:rsid w:val="00EB6CBB"/>
    <w:rsid w:val="00EB7B7B"/>
    <w:rsid w:val="00EB7F78"/>
    <w:rsid w:val="00EC18E3"/>
    <w:rsid w:val="00EC1AA8"/>
    <w:rsid w:val="00EC1BD3"/>
    <w:rsid w:val="00EC2B9A"/>
    <w:rsid w:val="00EC3597"/>
    <w:rsid w:val="00EC3D39"/>
    <w:rsid w:val="00EC3E99"/>
    <w:rsid w:val="00EC596D"/>
    <w:rsid w:val="00EC5FA9"/>
    <w:rsid w:val="00EC6180"/>
    <w:rsid w:val="00EC6704"/>
    <w:rsid w:val="00EC6884"/>
    <w:rsid w:val="00EC6AA0"/>
    <w:rsid w:val="00EC75D8"/>
    <w:rsid w:val="00EC7F7E"/>
    <w:rsid w:val="00EC7FAF"/>
    <w:rsid w:val="00ED0331"/>
    <w:rsid w:val="00ED254A"/>
    <w:rsid w:val="00ED2869"/>
    <w:rsid w:val="00ED33E2"/>
    <w:rsid w:val="00ED42E2"/>
    <w:rsid w:val="00ED4652"/>
    <w:rsid w:val="00ED4CD0"/>
    <w:rsid w:val="00ED5535"/>
    <w:rsid w:val="00ED6E63"/>
    <w:rsid w:val="00ED7021"/>
    <w:rsid w:val="00ED78D0"/>
    <w:rsid w:val="00ED7BF0"/>
    <w:rsid w:val="00EE07EB"/>
    <w:rsid w:val="00EE46AE"/>
    <w:rsid w:val="00EE4A9D"/>
    <w:rsid w:val="00EE4BB7"/>
    <w:rsid w:val="00EE4E2F"/>
    <w:rsid w:val="00EE53CA"/>
    <w:rsid w:val="00EE542D"/>
    <w:rsid w:val="00EE5D12"/>
    <w:rsid w:val="00EE6032"/>
    <w:rsid w:val="00EE6391"/>
    <w:rsid w:val="00EE75F9"/>
    <w:rsid w:val="00EF0B0C"/>
    <w:rsid w:val="00EF1646"/>
    <w:rsid w:val="00EF1C35"/>
    <w:rsid w:val="00EF2A24"/>
    <w:rsid w:val="00EF2C6C"/>
    <w:rsid w:val="00EF31F0"/>
    <w:rsid w:val="00EF3957"/>
    <w:rsid w:val="00EF4C24"/>
    <w:rsid w:val="00EF4D0E"/>
    <w:rsid w:val="00EF4DBF"/>
    <w:rsid w:val="00EF521D"/>
    <w:rsid w:val="00EF62F5"/>
    <w:rsid w:val="00EF666E"/>
    <w:rsid w:val="00EF70D4"/>
    <w:rsid w:val="00F00261"/>
    <w:rsid w:val="00F00507"/>
    <w:rsid w:val="00F00B21"/>
    <w:rsid w:val="00F015AF"/>
    <w:rsid w:val="00F01A2F"/>
    <w:rsid w:val="00F02641"/>
    <w:rsid w:val="00F02722"/>
    <w:rsid w:val="00F028A3"/>
    <w:rsid w:val="00F047A9"/>
    <w:rsid w:val="00F04A86"/>
    <w:rsid w:val="00F050F9"/>
    <w:rsid w:val="00F0543A"/>
    <w:rsid w:val="00F06507"/>
    <w:rsid w:val="00F07557"/>
    <w:rsid w:val="00F0779B"/>
    <w:rsid w:val="00F07B9A"/>
    <w:rsid w:val="00F07EB0"/>
    <w:rsid w:val="00F104EA"/>
    <w:rsid w:val="00F105A3"/>
    <w:rsid w:val="00F107BD"/>
    <w:rsid w:val="00F1120D"/>
    <w:rsid w:val="00F11E31"/>
    <w:rsid w:val="00F12817"/>
    <w:rsid w:val="00F13065"/>
    <w:rsid w:val="00F14692"/>
    <w:rsid w:val="00F15375"/>
    <w:rsid w:val="00F15739"/>
    <w:rsid w:val="00F16FE8"/>
    <w:rsid w:val="00F1728D"/>
    <w:rsid w:val="00F176C7"/>
    <w:rsid w:val="00F17E40"/>
    <w:rsid w:val="00F202C9"/>
    <w:rsid w:val="00F206D6"/>
    <w:rsid w:val="00F20BC3"/>
    <w:rsid w:val="00F20EEF"/>
    <w:rsid w:val="00F20F5F"/>
    <w:rsid w:val="00F221AF"/>
    <w:rsid w:val="00F22944"/>
    <w:rsid w:val="00F22C3F"/>
    <w:rsid w:val="00F23F93"/>
    <w:rsid w:val="00F242C0"/>
    <w:rsid w:val="00F24909"/>
    <w:rsid w:val="00F24FAA"/>
    <w:rsid w:val="00F250C7"/>
    <w:rsid w:val="00F253F5"/>
    <w:rsid w:val="00F25AF2"/>
    <w:rsid w:val="00F279AF"/>
    <w:rsid w:val="00F30A64"/>
    <w:rsid w:val="00F320E9"/>
    <w:rsid w:val="00F32762"/>
    <w:rsid w:val="00F32C96"/>
    <w:rsid w:val="00F33E41"/>
    <w:rsid w:val="00F34285"/>
    <w:rsid w:val="00F3464C"/>
    <w:rsid w:val="00F36A95"/>
    <w:rsid w:val="00F4000B"/>
    <w:rsid w:val="00F400AD"/>
    <w:rsid w:val="00F427AE"/>
    <w:rsid w:val="00F4284A"/>
    <w:rsid w:val="00F429D2"/>
    <w:rsid w:val="00F42CAE"/>
    <w:rsid w:val="00F42E18"/>
    <w:rsid w:val="00F43408"/>
    <w:rsid w:val="00F43A73"/>
    <w:rsid w:val="00F43D5E"/>
    <w:rsid w:val="00F43D91"/>
    <w:rsid w:val="00F45EA7"/>
    <w:rsid w:val="00F46CE6"/>
    <w:rsid w:val="00F4792C"/>
    <w:rsid w:val="00F5011C"/>
    <w:rsid w:val="00F50219"/>
    <w:rsid w:val="00F50FBC"/>
    <w:rsid w:val="00F510BF"/>
    <w:rsid w:val="00F5122E"/>
    <w:rsid w:val="00F51242"/>
    <w:rsid w:val="00F5374C"/>
    <w:rsid w:val="00F54CBE"/>
    <w:rsid w:val="00F56B7D"/>
    <w:rsid w:val="00F57762"/>
    <w:rsid w:val="00F603C8"/>
    <w:rsid w:val="00F617BA"/>
    <w:rsid w:val="00F61CE2"/>
    <w:rsid w:val="00F62C0C"/>
    <w:rsid w:val="00F62F3C"/>
    <w:rsid w:val="00F6325B"/>
    <w:rsid w:val="00F633E6"/>
    <w:rsid w:val="00F6358C"/>
    <w:rsid w:val="00F63B21"/>
    <w:rsid w:val="00F63F3A"/>
    <w:rsid w:val="00F63F48"/>
    <w:rsid w:val="00F64BAC"/>
    <w:rsid w:val="00F64C06"/>
    <w:rsid w:val="00F65449"/>
    <w:rsid w:val="00F65705"/>
    <w:rsid w:val="00F66A83"/>
    <w:rsid w:val="00F66D45"/>
    <w:rsid w:val="00F678C5"/>
    <w:rsid w:val="00F67986"/>
    <w:rsid w:val="00F7176C"/>
    <w:rsid w:val="00F71CC8"/>
    <w:rsid w:val="00F7265C"/>
    <w:rsid w:val="00F74D14"/>
    <w:rsid w:val="00F7502B"/>
    <w:rsid w:val="00F759BF"/>
    <w:rsid w:val="00F766D3"/>
    <w:rsid w:val="00F812E0"/>
    <w:rsid w:val="00F814D2"/>
    <w:rsid w:val="00F819EA"/>
    <w:rsid w:val="00F81BF2"/>
    <w:rsid w:val="00F81C1C"/>
    <w:rsid w:val="00F8218E"/>
    <w:rsid w:val="00F8292D"/>
    <w:rsid w:val="00F8405E"/>
    <w:rsid w:val="00F84879"/>
    <w:rsid w:val="00F84FD8"/>
    <w:rsid w:val="00F850B3"/>
    <w:rsid w:val="00F8695F"/>
    <w:rsid w:val="00F8796B"/>
    <w:rsid w:val="00F90467"/>
    <w:rsid w:val="00F91365"/>
    <w:rsid w:val="00F918D5"/>
    <w:rsid w:val="00F91B93"/>
    <w:rsid w:val="00F930E2"/>
    <w:rsid w:val="00F94E4D"/>
    <w:rsid w:val="00F94F15"/>
    <w:rsid w:val="00F95CDA"/>
    <w:rsid w:val="00FA05AF"/>
    <w:rsid w:val="00FA2084"/>
    <w:rsid w:val="00FA21B4"/>
    <w:rsid w:val="00FA2813"/>
    <w:rsid w:val="00FA2E68"/>
    <w:rsid w:val="00FA3BE0"/>
    <w:rsid w:val="00FA3D9D"/>
    <w:rsid w:val="00FA40B9"/>
    <w:rsid w:val="00FA4320"/>
    <w:rsid w:val="00FA4F63"/>
    <w:rsid w:val="00FA5C71"/>
    <w:rsid w:val="00FA60E5"/>
    <w:rsid w:val="00FA7AAD"/>
    <w:rsid w:val="00FB05C9"/>
    <w:rsid w:val="00FB0827"/>
    <w:rsid w:val="00FB0FC1"/>
    <w:rsid w:val="00FB1130"/>
    <w:rsid w:val="00FB375D"/>
    <w:rsid w:val="00FB3A09"/>
    <w:rsid w:val="00FB4D95"/>
    <w:rsid w:val="00FB50E8"/>
    <w:rsid w:val="00FB52E9"/>
    <w:rsid w:val="00FB52F9"/>
    <w:rsid w:val="00FB5B74"/>
    <w:rsid w:val="00FB5EAE"/>
    <w:rsid w:val="00FB6116"/>
    <w:rsid w:val="00FB6A18"/>
    <w:rsid w:val="00FB706E"/>
    <w:rsid w:val="00FB7FCE"/>
    <w:rsid w:val="00FC01C3"/>
    <w:rsid w:val="00FC04BB"/>
    <w:rsid w:val="00FC3563"/>
    <w:rsid w:val="00FC430D"/>
    <w:rsid w:val="00FC488D"/>
    <w:rsid w:val="00FC53E1"/>
    <w:rsid w:val="00FC5427"/>
    <w:rsid w:val="00FC55AE"/>
    <w:rsid w:val="00FC5940"/>
    <w:rsid w:val="00FC62AF"/>
    <w:rsid w:val="00FC6432"/>
    <w:rsid w:val="00FC67FE"/>
    <w:rsid w:val="00FC7376"/>
    <w:rsid w:val="00FC7414"/>
    <w:rsid w:val="00FC774D"/>
    <w:rsid w:val="00FC79CE"/>
    <w:rsid w:val="00FC7E63"/>
    <w:rsid w:val="00FD03C0"/>
    <w:rsid w:val="00FD227B"/>
    <w:rsid w:val="00FD255C"/>
    <w:rsid w:val="00FD317A"/>
    <w:rsid w:val="00FD3A5E"/>
    <w:rsid w:val="00FD40E2"/>
    <w:rsid w:val="00FD45B7"/>
    <w:rsid w:val="00FD4EA7"/>
    <w:rsid w:val="00FD52D8"/>
    <w:rsid w:val="00FD622F"/>
    <w:rsid w:val="00FD639C"/>
    <w:rsid w:val="00FD6643"/>
    <w:rsid w:val="00FD690A"/>
    <w:rsid w:val="00FD6E93"/>
    <w:rsid w:val="00FD7082"/>
    <w:rsid w:val="00FD7592"/>
    <w:rsid w:val="00FD759B"/>
    <w:rsid w:val="00FD7BD0"/>
    <w:rsid w:val="00FE0080"/>
    <w:rsid w:val="00FE0F9F"/>
    <w:rsid w:val="00FE177F"/>
    <w:rsid w:val="00FE1CE4"/>
    <w:rsid w:val="00FE374B"/>
    <w:rsid w:val="00FE4197"/>
    <w:rsid w:val="00FE442A"/>
    <w:rsid w:val="00FE4725"/>
    <w:rsid w:val="00FE50F3"/>
    <w:rsid w:val="00FE5FF8"/>
    <w:rsid w:val="00FE6844"/>
    <w:rsid w:val="00FE6C8F"/>
    <w:rsid w:val="00FE7D25"/>
    <w:rsid w:val="00FE7F66"/>
    <w:rsid w:val="00FF038D"/>
    <w:rsid w:val="00FF06E3"/>
    <w:rsid w:val="00FF3761"/>
    <w:rsid w:val="00FF53F0"/>
    <w:rsid w:val="00FF56F7"/>
    <w:rsid w:val="00FF61F4"/>
    <w:rsid w:val="00FF72E8"/>
    <w:rsid w:val="00FF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75D5B21D"/>
  <w15:docId w15:val="{7EDD6E4F-32AF-40D5-B87D-9694D966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41"/>
    <w:rPr>
      <w:szCs w:val="24"/>
      <w:lang w:eastAsia="en-US"/>
    </w:rPr>
  </w:style>
  <w:style w:type="paragraph" w:styleId="Heading1">
    <w:name w:val="heading 1"/>
    <w:basedOn w:val="Normal"/>
    <w:next w:val="Normal"/>
    <w:qFormat/>
    <w:rsid w:val="000B46E8"/>
    <w:pPr>
      <w:keepNext/>
      <w:outlineLvl w:val="0"/>
    </w:pPr>
    <w:rPr>
      <w:b/>
      <w:bCs/>
    </w:rPr>
  </w:style>
  <w:style w:type="paragraph" w:styleId="Heading2">
    <w:name w:val="heading 2"/>
    <w:basedOn w:val="Normal"/>
    <w:next w:val="Normal"/>
    <w:qFormat/>
    <w:rsid w:val="000B46E8"/>
    <w:pPr>
      <w:keepNext/>
      <w:jc w:val="both"/>
      <w:outlineLvl w:val="1"/>
    </w:pPr>
    <w:rPr>
      <w:i/>
    </w:rPr>
  </w:style>
  <w:style w:type="paragraph" w:styleId="Heading3">
    <w:name w:val="heading 3"/>
    <w:basedOn w:val="Normal"/>
    <w:next w:val="Normal"/>
    <w:qFormat/>
    <w:rsid w:val="000B46E8"/>
    <w:pPr>
      <w:keepNext/>
      <w:jc w:val="center"/>
      <w:outlineLvl w:val="2"/>
    </w:pPr>
    <w:rPr>
      <w:b/>
    </w:rPr>
  </w:style>
  <w:style w:type="paragraph" w:styleId="Heading4">
    <w:name w:val="heading 4"/>
    <w:basedOn w:val="Normal"/>
    <w:next w:val="Normal"/>
    <w:qFormat/>
    <w:rsid w:val="000B46E8"/>
    <w:pPr>
      <w:keepNext/>
      <w:jc w:val="center"/>
      <w:outlineLvl w:val="3"/>
    </w:pPr>
    <w:rPr>
      <w:b/>
    </w:rPr>
  </w:style>
  <w:style w:type="paragraph" w:styleId="Heading5">
    <w:name w:val="heading 5"/>
    <w:basedOn w:val="Normal"/>
    <w:next w:val="Normal"/>
    <w:qFormat/>
    <w:rsid w:val="000B46E8"/>
    <w:pPr>
      <w:keepNext/>
      <w:jc w:val="center"/>
      <w:outlineLvl w:val="4"/>
    </w:pPr>
    <w:rPr>
      <w:b/>
      <w:color w:val="000000"/>
      <w:lang w:val="de-DE"/>
    </w:rPr>
  </w:style>
  <w:style w:type="paragraph" w:styleId="Heading6">
    <w:name w:val="heading 6"/>
    <w:basedOn w:val="Normal"/>
    <w:next w:val="Normal"/>
    <w:qFormat/>
    <w:rsid w:val="000B46E8"/>
    <w:pPr>
      <w:keepNext/>
      <w:outlineLvl w:val="5"/>
    </w:pPr>
    <w:rPr>
      <w:rFonts w:ascii="Arial" w:hAnsi="Arial" w:cs="Arial"/>
      <w:b/>
      <w:bCs/>
      <w:sz w:val="16"/>
      <w:szCs w:val="16"/>
    </w:rPr>
  </w:style>
  <w:style w:type="paragraph" w:styleId="Heading7">
    <w:name w:val="heading 7"/>
    <w:basedOn w:val="Normal"/>
    <w:next w:val="Normal"/>
    <w:qFormat/>
    <w:rsid w:val="000B46E8"/>
    <w:pPr>
      <w:keepNext/>
      <w:jc w:val="both"/>
      <w:outlineLvl w:val="6"/>
    </w:pPr>
    <w:rPr>
      <w:b/>
      <w:bCs/>
      <w:color w:val="000000"/>
    </w:rPr>
  </w:style>
  <w:style w:type="paragraph" w:styleId="Heading8">
    <w:name w:val="heading 8"/>
    <w:basedOn w:val="Normal"/>
    <w:next w:val="Normal"/>
    <w:qFormat/>
    <w:rsid w:val="000B46E8"/>
    <w:pPr>
      <w:keepNext/>
      <w:outlineLvl w:val="7"/>
    </w:pPr>
    <w:rPr>
      <w:color w:val="000000"/>
      <w:sz w:val="22"/>
    </w:rPr>
  </w:style>
  <w:style w:type="paragraph" w:styleId="Heading9">
    <w:name w:val="heading 9"/>
    <w:basedOn w:val="Normal"/>
    <w:next w:val="Normal"/>
    <w:qFormat/>
    <w:rsid w:val="000B46E8"/>
    <w:pPr>
      <w:keepNext/>
      <w:spacing w:line="480" w:lineRule="auto"/>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B46E8"/>
    <w:pPr>
      <w:jc w:val="both"/>
    </w:pPr>
    <w:rPr>
      <w:lang w:val="de-DE"/>
    </w:rPr>
  </w:style>
  <w:style w:type="paragraph" w:styleId="BodyText">
    <w:name w:val="Body Text"/>
    <w:basedOn w:val="Normal"/>
    <w:rsid w:val="000B46E8"/>
    <w:rPr>
      <w:b/>
    </w:rPr>
  </w:style>
  <w:style w:type="paragraph" w:styleId="Header">
    <w:name w:val="header"/>
    <w:basedOn w:val="Normal"/>
    <w:link w:val="HeaderChar"/>
    <w:uiPriority w:val="99"/>
    <w:rsid w:val="000B46E8"/>
    <w:pPr>
      <w:tabs>
        <w:tab w:val="center" w:pos="4153"/>
        <w:tab w:val="right" w:pos="8306"/>
      </w:tabs>
    </w:pPr>
  </w:style>
  <w:style w:type="character" w:styleId="PageNumber">
    <w:name w:val="page number"/>
    <w:basedOn w:val="DefaultParagraphFont"/>
    <w:rsid w:val="000B46E8"/>
  </w:style>
  <w:style w:type="paragraph" w:styleId="EndnoteText">
    <w:name w:val="endnote text"/>
    <w:basedOn w:val="Normal"/>
    <w:link w:val="EndnoteTextChar"/>
    <w:uiPriority w:val="99"/>
    <w:semiHidden/>
    <w:rsid w:val="000B46E8"/>
  </w:style>
  <w:style w:type="character" w:styleId="EndnoteReference">
    <w:name w:val="endnote reference"/>
    <w:uiPriority w:val="99"/>
    <w:semiHidden/>
    <w:rsid w:val="000B46E8"/>
    <w:rPr>
      <w:vertAlign w:val="superscript"/>
    </w:rPr>
  </w:style>
  <w:style w:type="paragraph" w:styleId="FootnoteText">
    <w:name w:val="footnote text"/>
    <w:basedOn w:val="Normal"/>
    <w:semiHidden/>
    <w:rsid w:val="000B46E8"/>
  </w:style>
  <w:style w:type="character" w:styleId="FootnoteReference">
    <w:name w:val="footnote reference"/>
    <w:uiPriority w:val="99"/>
    <w:semiHidden/>
    <w:rsid w:val="000B46E8"/>
    <w:rPr>
      <w:vertAlign w:val="superscript"/>
    </w:rPr>
  </w:style>
  <w:style w:type="paragraph" w:styleId="Footer">
    <w:name w:val="footer"/>
    <w:basedOn w:val="Normal"/>
    <w:rsid w:val="000B46E8"/>
    <w:pPr>
      <w:tabs>
        <w:tab w:val="center" w:pos="4153"/>
        <w:tab w:val="right" w:pos="8306"/>
      </w:tabs>
    </w:pPr>
  </w:style>
  <w:style w:type="character" w:styleId="Hyperlink">
    <w:name w:val="Hyperlink"/>
    <w:rsid w:val="000B46E8"/>
    <w:rPr>
      <w:color w:val="0000FF"/>
      <w:u w:val="single"/>
    </w:rPr>
  </w:style>
  <w:style w:type="paragraph" w:styleId="BalloonText">
    <w:name w:val="Balloon Text"/>
    <w:basedOn w:val="Normal"/>
    <w:semiHidden/>
    <w:rsid w:val="000B46E8"/>
    <w:rPr>
      <w:rFonts w:ascii="Tahoma" w:hAnsi="Tahoma" w:cs="Tahoma"/>
      <w:sz w:val="16"/>
      <w:szCs w:val="16"/>
    </w:rPr>
  </w:style>
  <w:style w:type="paragraph" w:styleId="PlainText">
    <w:name w:val="Plain Text"/>
    <w:basedOn w:val="Normal"/>
    <w:link w:val="PlainTextChar"/>
    <w:uiPriority w:val="99"/>
    <w:rsid w:val="000B46E8"/>
    <w:rPr>
      <w:rFonts w:ascii="Courier New" w:hAnsi="Courier New"/>
    </w:rPr>
  </w:style>
  <w:style w:type="paragraph" w:styleId="BodyText3">
    <w:name w:val="Body Text 3"/>
    <w:basedOn w:val="Normal"/>
    <w:rsid w:val="000B46E8"/>
    <w:pPr>
      <w:jc w:val="both"/>
    </w:pPr>
    <w:rPr>
      <w:color w:val="000000"/>
    </w:rPr>
  </w:style>
  <w:style w:type="paragraph" w:customStyle="1" w:styleId="Ballongtext">
    <w:name w:val="Ballongtext"/>
    <w:basedOn w:val="Normal"/>
    <w:semiHidden/>
    <w:rsid w:val="000B46E8"/>
    <w:rPr>
      <w:rFonts w:ascii="Tahoma" w:hAnsi="Tahoma" w:cs="Tahoma"/>
      <w:sz w:val="16"/>
      <w:szCs w:val="16"/>
    </w:rPr>
  </w:style>
  <w:style w:type="character" w:styleId="LineNumber">
    <w:name w:val="line number"/>
    <w:basedOn w:val="DefaultParagraphFont"/>
    <w:rsid w:val="000B46E8"/>
  </w:style>
  <w:style w:type="character" w:styleId="FollowedHyperlink">
    <w:name w:val="FollowedHyperlink"/>
    <w:rsid w:val="000B46E8"/>
    <w:rPr>
      <w:color w:val="800080"/>
      <w:u w:val="single"/>
    </w:rPr>
  </w:style>
  <w:style w:type="character" w:styleId="CommentReference">
    <w:name w:val="annotation reference"/>
    <w:uiPriority w:val="99"/>
    <w:semiHidden/>
    <w:rsid w:val="000B46E8"/>
    <w:rPr>
      <w:sz w:val="16"/>
      <w:szCs w:val="16"/>
    </w:rPr>
  </w:style>
  <w:style w:type="paragraph" w:styleId="CommentText">
    <w:name w:val="annotation text"/>
    <w:basedOn w:val="Normal"/>
    <w:link w:val="CommentTextChar"/>
    <w:uiPriority w:val="99"/>
    <w:semiHidden/>
    <w:rsid w:val="000B46E8"/>
    <w:rPr>
      <w:szCs w:val="20"/>
    </w:rPr>
  </w:style>
  <w:style w:type="paragraph" w:styleId="CommentSubject">
    <w:name w:val="annotation subject"/>
    <w:basedOn w:val="CommentText"/>
    <w:next w:val="CommentText"/>
    <w:semiHidden/>
    <w:rsid w:val="000B46E8"/>
    <w:rPr>
      <w:b/>
      <w:bCs/>
    </w:rPr>
  </w:style>
  <w:style w:type="paragraph" w:customStyle="1" w:styleId="Sprechblasentext1">
    <w:name w:val="Sprechblasentext1"/>
    <w:basedOn w:val="Normal"/>
    <w:semiHidden/>
    <w:rsid w:val="000B46E8"/>
    <w:rPr>
      <w:rFonts w:ascii="Tahoma" w:hAnsi="Tahoma" w:cs="Tahoma"/>
      <w:sz w:val="16"/>
      <w:szCs w:val="16"/>
    </w:rPr>
  </w:style>
  <w:style w:type="paragraph" w:styleId="NormalWeb">
    <w:name w:val="Normal (Web)"/>
    <w:basedOn w:val="Normal"/>
    <w:uiPriority w:val="99"/>
    <w:rsid w:val="00366257"/>
    <w:pPr>
      <w:spacing w:before="100" w:beforeAutospacing="1" w:after="100" w:afterAutospacing="1"/>
    </w:pPr>
  </w:style>
  <w:style w:type="paragraph" w:customStyle="1" w:styleId="IDdfvaltC2CharCharCharCharCharCharCharCharCharCharChar">
    <w:name w:val="ID dfv alt+C2 Char Char Char Char Char Char Char Char Char Char Char"/>
    <w:basedOn w:val="Normal"/>
    <w:rsid w:val="008839D7"/>
    <w:pPr>
      <w:tabs>
        <w:tab w:val="center" w:pos="425"/>
        <w:tab w:val="left" w:pos="992"/>
        <w:tab w:val="left" w:pos="2126"/>
        <w:tab w:val="left" w:pos="3402"/>
        <w:tab w:val="left" w:pos="4253"/>
        <w:tab w:val="center" w:pos="7229"/>
        <w:tab w:val="right" w:pos="8222"/>
      </w:tabs>
      <w:spacing w:line="260" w:lineRule="exact"/>
    </w:pPr>
    <w:rPr>
      <w:noProof/>
      <w:szCs w:val="20"/>
      <w:lang w:eastAsia="de-DE"/>
    </w:rPr>
  </w:style>
  <w:style w:type="character" w:customStyle="1" w:styleId="apple-style-span">
    <w:name w:val="apple-style-span"/>
    <w:basedOn w:val="DefaultParagraphFont"/>
    <w:rsid w:val="00F5374C"/>
  </w:style>
  <w:style w:type="paragraph" w:customStyle="1" w:styleId="Text1">
    <w:name w:val="Text 1"/>
    <w:next w:val="Normal"/>
    <w:rsid w:val="00837AD9"/>
    <w:pPr>
      <w:autoSpaceDE w:val="0"/>
      <w:autoSpaceDN w:val="0"/>
      <w:spacing w:line="480" w:lineRule="auto"/>
    </w:pPr>
    <w:rPr>
      <w:rFonts w:ascii="Times" w:hAnsi="Times" w:cs="Times"/>
      <w:lang w:val="en-US" w:eastAsia="en-US"/>
    </w:rPr>
  </w:style>
  <w:style w:type="paragraph" w:customStyle="1" w:styleId="References">
    <w:name w:val="References"/>
    <w:next w:val="Normal"/>
    <w:rsid w:val="00837AD9"/>
    <w:pPr>
      <w:autoSpaceDE w:val="0"/>
      <w:autoSpaceDN w:val="0"/>
      <w:spacing w:line="480" w:lineRule="auto"/>
      <w:ind w:left="216" w:hanging="216"/>
    </w:pPr>
    <w:rPr>
      <w:rFonts w:ascii="Times" w:hAnsi="Times" w:cs="Times"/>
      <w:sz w:val="14"/>
      <w:szCs w:val="14"/>
      <w:lang w:val="en-US" w:eastAsia="en-US"/>
    </w:rPr>
  </w:style>
  <w:style w:type="table" w:styleId="TableGrid">
    <w:name w:val="Table Grid"/>
    <w:basedOn w:val="TableNormal"/>
    <w:uiPriority w:val="59"/>
    <w:rsid w:val="000E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aliases w:val="Tabelle Einfach 1s"/>
    <w:basedOn w:val="TableNormal"/>
    <w:rsid w:val="00087B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rc">
    <w:name w:val="src"/>
    <w:basedOn w:val="DefaultParagraphFont"/>
    <w:rsid w:val="002A2BCC"/>
  </w:style>
  <w:style w:type="character" w:customStyle="1" w:styleId="jrnl">
    <w:name w:val="jrnl"/>
    <w:basedOn w:val="DefaultParagraphFont"/>
    <w:rsid w:val="002A2BCC"/>
  </w:style>
  <w:style w:type="paragraph" w:customStyle="1" w:styleId="rprtbody">
    <w:name w:val="rprtbody"/>
    <w:basedOn w:val="Normal"/>
    <w:rsid w:val="0019489A"/>
    <w:pPr>
      <w:spacing w:before="100" w:beforeAutospacing="1" w:after="100" w:afterAutospacing="1"/>
    </w:pPr>
  </w:style>
  <w:style w:type="character" w:customStyle="1" w:styleId="EndnoteTextChar">
    <w:name w:val="Endnote Text Char"/>
    <w:link w:val="EndnoteText"/>
    <w:uiPriority w:val="99"/>
    <w:semiHidden/>
    <w:rsid w:val="001F0C83"/>
    <w:rPr>
      <w:szCs w:val="24"/>
      <w:lang w:val="en-US" w:eastAsia="en-US"/>
    </w:rPr>
  </w:style>
  <w:style w:type="paragraph" w:customStyle="1" w:styleId="Default">
    <w:name w:val="Default"/>
    <w:rsid w:val="00725C24"/>
    <w:pPr>
      <w:autoSpaceDE w:val="0"/>
      <w:autoSpaceDN w:val="0"/>
      <w:adjustRightInd w:val="0"/>
    </w:pPr>
    <w:rPr>
      <w:color w:val="000000"/>
      <w:sz w:val="24"/>
      <w:szCs w:val="24"/>
    </w:rPr>
  </w:style>
  <w:style w:type="character" w:styleId="Emphasis">
    <w:name w:val="Emphasis"/>
    <w:uiPriority w:val="20"/>
    <w:qFormat/>
    <w:rsid w:val="000606A1"/>
    <w:rPr>
      <w:b/>
      <w:bCs/>
      <w:i w:val="0"/>
      <w:iCs w:val="0"/>
    </w:rPr>
  </w:style>
  <w:style w:type="character" w:customStyle="1" w:styleId="ft">
    <w:name w:val="ft"/>
    <w:basedOn w:val="DefaultParagraphFont"/>
    <w:rsid w:val="000606A1"/>
  </w:style>
  <w:style w:type="paragraph" w:styleId="ListParagraph">
    <w:name w:val="List Paragraph"/>
    <w:basedOn w:val="Normal"/>
    <w:uiPriority w:val="34"/>
    <w:qFormat/>
    <w:rsid w:val="00084FCF"/>
    <w:pPr>
      <w:ind w:left="720"/>
    </w:pPr>
    <w:rPr>
      <w:rFonts w:ascii="Calibri" w:eastAsia="Calibri" w:hAnsi="Calibri"/>
      <w:sz w:val="22"/>
      <w:szCs w:val="22"/>
      <w:lang w:eastAsia="en-GB"/>
    </w:rPr>
  </w:style>
  <w:style w:type="character" w:customStyle="1" w:styleId="PlainTextChar">
    <w:name w:val="Plain Text Char"/>
    <w:link w:val="PlainText"/>
    <w:uiPriority w:val="99"/>
    <w:rsid w:val="0087144D"/>
    <w:rPr>
      <w:rFonts w:ascii="Courier New" w:hAnsi="Courier New"/>
      <w:szCs w:val="24"/>
      <w:lang w:val="en-US" w:eastAsia="en-US"/>
    </w:rPr>
  </w:style>
  <w:style w:type="character" w:styleId="Strong">
    <w:name w:val="Strong"/>
    <w:uiPriority w:val="22"/>
    <w:qFormat/>
    <w:rsid w:val="00DB56B3"/>
    <w:rPr>
      <w:b/>
      <w:bCs/>
    </w:rPr>
  </w:style>
  <w:style w:type="paragraph" w:styleId="Title">
    <w:name w:val="Title"/>
    <w:basedOn w:val="Normal"/>
    <w:next w:val="Normal"/>
    <w:link w:val="TitleChar"/>
    <w:qFormat/>
    <w:rsid w:val="00217762"/>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rsid w:val="00217762"/>
    <w:rPr>
      <w:rFonts w:ascii="Cambria" w:eastAsia="MS Gothic" w:hAnsi="Cambria" w:cs="Times New Roman"/>
      <w:b/>
      <w:bCs/>
      <w:kern w:val="28"/>
      <w:sz w:val="32"/>
      <w:szCs w:val="32"/>
      <w:lang w:val="en-US" w:eastAsia="en-US"/>
    </w:rPr>
  </w:style>
  <w:style w:type="paragraph" w:styleId="Caption">
    <w:name w:val="caption"/>
    <w:basedOn w:val="Normal"/>
    <w:next w:val="Normal"/>
    <w:link w:val="CaptionChar"/>
    <w:qFormat/>
    <w:rsid w:val="00C820B3"/>
    <w:pPr>
      <w:jc w:val="both"/>
    </w:pPr>
    <w:rPr>
      <w:rFonts w:ascii="Calibri" w:hAnsi="Calibri" w:cs="Arial"/>
      <w:b/>
      <w:bCs/>
      <w:sz w:val="24"/>
      <w:szCs w:val="20"/>
      <w:lang w:eastAsia="en-GB"/>
    </w:rPr>
  </w:style>
  <w:style w:type="character" w:customStyle="1" w:styleId="CaptionChar">
    <w:name w:val="Caption Char"/>
    <w:link w:val="Caption"/>
    <w:locked/>
    <w:rsid w:val="009805F5"/>
    <w:rPr>
      <w:rFonts w:ascii="Calibri" w:hAnsi="Calibri" w:cs="Arial"/>
      <w:b/>
      <w:bCs/>
      <w:sz w:val="24"/>
    </w:rPr>
  </w:style>
  <w:style w:type="character" w:customStyle="1" w:styleId="CommentTextChar">
    <w:name w:val="Comment Text Char"/>
    <w:link w:val="CommentText"/>
    <w:uiPriority w:val="99"/>
    <w:semiHidden/>
    <w:rsid w:val="009805F5"/>
    <w:rPr>
      <w:lang w:val="en-US" w:eastAsia="en-US"/>
    </w:rPr>
  </w:style>
  <w:style w:type="paragraph" w:customStyle="1" w:styleId="xmsonormal">
    <w:name w:val="x_msonormal"/>
    <w:basedOn w:val="Normal"/>
    <w:rsid w:val="00052666"/>
    <w:pPr>
      <w:spacing w:before="100" w:beforeAutospacing="1" w:after="100" w:afterAutospacing="1"/>
    </w:pPr>
    <w:rPr>
      <w:sz w:val="24"/>
    </w:rPr>
  </w:style>
  <w:style w:type="character" w:customStyle="1" w:styleId="apple-converted-space">
    <w:name w:val="apple-converted-space"/>
    <w:basedOn w:val="DefaultParagraphFont"/>
    <w:rsid w:val="00052666"/>
  </w:style>
  <w:style w:type="paragraph" w:styleId="Revision">
    <w:name w:val="Revision"/>
    <w:hidden/>
    <w:uiPriority w:val="99"/>
    <w:semiHidden/>
    <w:rsid w:val="00052666"/>
    <w:rPr>
      <w:szCs w:val="24"/>
      <w:lang w:val="en-US" w:eastAsia="en-US"/>
    </w:rPr>
  </w:style>
  <w:style w:type="character" w:customStyle="1" w:styleId="HeaderChar">
    <w:name w:val="Header Char"/>
    <w:basedOn w:val="DefaultParagraphFont"/>
    <w:link w:val="Header"/>
    <w:uiPriority w:val="99"/>
    <w:rsid w:val="003D0C9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9176">
      <w:bodyDiv w:val="1"/>
      <w:marLeft w:val="0"/>
      <w:marRight w:val="0"/>
      <w:marTop w:val="0"/>
      <w:marBottom w:val="0"/>
      <w:divBdr>
        <w:top w:val="none" w:sz="0" w:space="0" w:color="auto"/>
        <w:left w:val="none" w:sz="0" w:space="0" w:color="auto"/>
        <w:bottom w:val="none" w:sz="0" w:space="0" w:color="auto"/>
        <w:right w:val="none" w:sz="0" w:space="0" w:color="auto"/>
      </w:divBdr>
      <w:divsChild>
        <w:div w:id="313992912">
          <w:marLeft w:val="1080"/>
          <w:marRight w:val="0"/>
          <w:marTop w:val="100"/>
          <w:marBottom w:val="0"/>
          <w:divBdr>
            <w:top w:val="none" w:sz="0" w:space="0" w:color="auto"/>
            <w:left w:val="none" w:sz="0" w:space="0" w:color="auto"/>
            <w:bottom w:val="none" w:sz="0" w:space="0" w:color="auto"/>
            <w:right w:val="none" w:sz="0" w:space="0" w:color="auto"/>
          </w:divBdr>
        </w:div>
        <w:div w:id="545602958">
          <w:marLeft w:val="1080"/>
          <w:marRight w:val="0"/>
          <w:marTop w:val="100"/>
          <w:marBottom w:val="0"/>
          <w:divBdr>
            <w:top w:val="none" w:sz="0" w:space="0" w:color="auto"/>
            <w:left w:val="none" w:sz="0" w:space="0" w:color="auto"/>
            <w:bottom w:val="none" w:sz="0" w:space="0" w:color="auto"/>
            <w:right w:val="none" w:sz="0" w:space="0" w:color="auto"/>
          </w:divBdr>
        </w:div>
        <w:div w:id="741949956">
          <w:marLeft w:val="1080"/>
          <w:marRight w:val="0"/>
          <w:marTop w:val="100"/>
          <w:marBottom w:val="0"/>
          <w:divBdr>
            <w:top w:val="none" w:sz="0" w:space="0" w:color="auto"/>
            <w:left w:val="none" w:sz="0" w:space="0" w:color="auto"/>
            <w:bottom w:val="none" w:sz="0" w:space="0" w:color="auto"/>
            <w:right w:val="none" w:sz="0" w:space="0" w:color="auto"/>
          </w:divBdr>
        </w:div>
        <w:div w:id="1899396485">
          <w:marLeft w:val="1080"/>
          <w:marRight w:val="0"/>
          <w:marTop w:val="100"/>
          <w:marBottom w:val="0"/>
          <w:divBdr>
            <w:top w:val="none" w:sz="0" w:space="0" w:color="auto"/>
            <w:left w:val="none" w:sz="0" w:space="0" w:color="auto"/>
            <w:bottom w:val="none" w:sz="0" w:space="0" w:color="auto"/>
            <w:right w:val="none" w:sz="0" w:space="0" w:color="auto"/>
          </w:divBdr>
        </w:div>
      </w:divsChild>
    </w:div>
    <w:div w:id="134183073">
      <w:bodyDiv w:val="1"/>
      <w:marLeft w:val="0"/>
      <w:marRight w:val="0"/>
      <w:marTop w:val="0"/>
      <w:marBottom w:val="0"/>
      <w:divBdr>
        <w:top w:val="none" w:sz="0" w:space="0" w:color="auto"/>
        <w:left w:val="none" w:sz="0" w:space="0" w:color="auto"/>
        <w:bottom w:val="none" w:sz="0" w:space="0" w:color="auto"/>
        <w:right w:val="none" w:sz="0" w:space="0" w:color="auto"/>
      </w:divBdr>
    </w:div>
    <w:div w:id="151524846">
      <w:bodyDiv w:val="1"/>
      <w:marLeft w:val="0"/>
      <w:marRight w:val="0"/>
      <w:marTop w:val="0"/>
      <w:marBottom w:val="0"/>
      <w:divBdr>
        <w:top w:val="none" w:sz="0" w:space="0" w:color="auto"/>
        <w:left w:val="none" w:sz="0" w:space="0" w:color="auto"/>
        <w:bottom w:val="none" w:sz="0" w:space="0" w:color="auto"/>
        <w:right w:val="none" w:sz="0" w:space="0" w:color="auto"/>
      </w:divBdr>
    </w:div>
    <w:div w:id="160509304">
      <w:bodyDiv w:val="1"/>
      <w:marLeft w:val="0"/>
      <w:marRight w:val="0"/>
      <w:marTop w:val="0"/>
      <w:marBottom w:val="0"/>
      <w:divBdr>
        <w:top w:val="none" w:sz="0" w:space="0" w:color="auto"/>
        <w:left w:val="none" w:sz="0" w:space="0" w:color="auto"/>
        <w:bottom w:val="none" w:sz="0" w:space="0" w:color="auto"/>
        <w:right w:val="none" w:sz="0" w:space="0" w:color="auto"/>
      </w:divBdr>
    </w:div>
    <w:div w:id="211045887">
      <w:bodyDiv w:val="1"/>
      <w:marLeft w:val="0"/>
      <w:marRight w:val="0"/>
      <w:marTop w:val="0"/>
      <w:marBottom w:val="0"/>
      <w:divBdr>
        <w:top w:val="none" w:sz="0" w:space="0" w:color="auto"/>
        <w:left w:val="none" w:sz="0" w:space="0" w:color="auto"/>
        <w:bottom w:val="none" w:sz="0" w:space="0" w:color="auto"/>
        <w:right w:val="none" w:sz="0" w:space="0" w:color="auto"/>
      </w:divBdr>
      <w:divsChild>
        <w:div w:id="327515358">
          <w:marLeft w:val="547"/>
          <w:marRight w:val="0"/>
          <w:marTop w:val="134"/>
          <w:marBottom w:val="0"/>
          <w:divBdr>
            <w:top w:val="none" w:sz="0" w:space="0" w:color="auto"/>
            <w:left w:val="none" w:sz="0" w:space="0" w:color="auto"/>
            <w:bottom w:val="none" w:sz="0" w:space="0" w:color="auto"/>
            <w:right w:val="none" w:sz="0" w:space="0" w:color="auto"/>
          </w:divBdr>
        </w:div>
        <w:div w:id="919483005">
          <w:marLeft w:val="547"/>
          <w:marRight w:val="0"/>
          <w:marTop w:val="134"/>
          <w:marBottom w:val="0"/>
          <w:divBdr>
            <w:top w:val="none" w:sz="0" w:space="0" w:color="auto"/>
            <w:left w:val="none" w:sz="0" w:space="0" w:color="auto"/>
            <w:bottom w:val="none" w:sz="0" w:space="0" w:color="auto"/>
            <w:right w:val="none" w:sz="0" w:space="0" w:color="auto"/>
          </w:divBdr>
        </w:div>
        <w:div w:id="1877500554">
          <w:marLeft w:val="547"/>
          <w:marRight w:val="0"/>
          <w:marTop w:val="134"/>
          <w:marBottom w:val="0"/>
          <w:divBdr>
            <w:top w:val="none" w:sz="0" w:space="0" w:color="auto"/>
            <w:left w:val="none" w:sz="0" w:space="0" w:color="auto"/>
            <w:bottom w:val="none" w:sz="0" w:space="0" w:color="auto"/>
            <w:right w:val="none" w:sz="0" w:space="0" w:color="auto"/>
          </w:divBdr>
        </w:div>
        <w:div w:id="2099057602">
          <w:marLeft w:val="547"/>
          <w:marRight w:val="0"/>
          <w:marTop w:val="134"/>
          <w:marBottom w:val="0"/>
          <w:divBdr>
            <w:top w:val="none" w:sz="0" w:space="0" w:color="auto"/>
            <w:left w:val="none" w:sz="0" w:space="0" w:color="auto"/>
            <w:bottom w:val="none" w:sz="0" w:space="0" w:color="auto"/>
            <w:right w:val="none" w:sz="0" w:space="0" w:color="auto"/>
          </w:divBdr>
        </w:div>
        <w:div w:id="2142923279">
          <w:marLeft w:val="547"/>
          <w:marRight w:val="0"/>
          <w:marTop w:val="134"/>
          <w:marBottom w:val="0"/>
          <w:divBdr>
            <w:top w:val="none" w:sz="0" w:space="0" w:color="auto"/>
            <w:left w:val="none" w:sz="0" w:space="0" w:color="auto"/>
            <w:bottom w:val="none" w:sz="0" w:space="0" w:color="auto"/>
            <w:right w:val="none" w:sz="0" w:space="0" w:color="auto"/>
          </w:divBdr>
        </w:div>
      </w:divsChild>
    </w:div>
    <w:div w:id="270429918">
      <w:bodyDiv w:val="1"/>
      <w:marLeft w:val="0"/>
      <w:marRight w:val="0"/>
      <w:marTop w:val="0"/>
      <w:marBottom w:val="0"/>
      <w:divBdr>
        <w:top w:val="none" w:sz="0" w:space="0" w:color="auto"/>
        <w:left w:val="none" w:sz="0" w:space="0" w:color="auto"/>
        <w:bottom w:val="none" w:sz="0" w:space="0" w:color="auto"/>
        <w:right w:val="none" w:sz="0" w:space="0" w:color="auto"/>
      </w:divBdr>
      <w:divsChild>
        <w:div w:id="1523127545">
          <w:marLeft w:val="0"/>
          <w:marRight w:val="0"/>
          <w:marTop w:val="0"/>
          <w:marBottom w:val="0"/>
          <w:divBdr>
            <w:top w:val="none" w:sz="0" w:space="0" w:color="auto"/>
            <w:left w:val="none" w:sz="0" w:space="0" w:color="auto"/>
            <w:bottom w:val="none" w:sz="0" w:space="0" w:color="auto"/>
            <w:right w:val="none" w:sz="0" w:space="0" w:color="auto"/>
          </w:divBdr>
        </w:div>
      </w:divsChild>
    </w:div>
    <w:div w:id="277298867">
      <w:bodyDiv w:val="1"/>
      <w:marLeft w:val="0"/>
      <w:marRight w:val="0"/>
      <w:marTop w:val="0"/>
      <w:marBottom w:val="0"/>
      <w:divBdr>
        <w:top w:val="none" w:sz="0" w:space="0" w:color="auto"/>
        <w:left w:val="none" w:sz="0" w:space="0" w:color="auto"/>
        <w:bottom w:val="none" w:sz="0" w:space="0" w:color="auto"/>
        <w:right w:val="none" w:sz="0" w:space="0" w:color="auto"/>
      </w:divBdr>
      <w:divsChild>
        <w:div w:id="1582255497">
          <w:marLeft w:val="360"/>
          <w:marRight w:val="0"/>
          <w:marTop w:val="200"/>
          <w:marBottom w:val="0"/>
          <w:divBdr>
            <w:top w:val="none" w:sz="0" w:space="0" w:color="auto"/>
            <w:left w:val="none" w:sz="0" w:space="0" w:color="auto"/>
            <w:bottom w:val="none" w:sz="0" w:space="0" w:color="auto"/>
            <w:right w:val="none" w:sz="0" w:space="0" w:color="auto"/>
          </w:divBdr>
        </w:div>
      </w:divsChild>
    </w:div>
    <w:div w:id="284427049">
      <w:bodyDiv w:val="1"/>
      <w:marLeft w:val="0"/>
      <w:marRight w:val="0"/>
      <w:marTop w:val="0"/>
      <w:marBottom w:val="0"/>
      <w:divBdr>
        <w:top w:val="none" w:sz="0" w:space="0" w:color="auto"/>
        <w:left w:val="none" w:sz="0" w:space="0" w:color="auto"/>
        <w:bottom w:val="none" w:sz="0" w:space="0" w:color="auto"/>
        <w:right w:val="none" w:sz="0" w:space="0" w:color="auto"/>
      </w:divBdr>
      <w:divsChild>
        <w:div w:id="545263047">
          <w:marLeft w:val="0"/>
          <w:marRight w:val="0"/>
          <w:marTop w:val="100"/>
          <w:marBottom w:val="100"/>
          <w:divBdr>
            <w:top w:val="none" w:sz="0" w:space="0" w:color="auto"/>
            <w:left w:val="none" w:sz="0" w:space="0" w:color="auto"/>
            <w:bottom w:val="none" w:sz="0" w:space="0" w:color="auto"/>
            <w:right w:val="none" w:sz="0" w:space="0" w:color="auto"/>
          </w:divBdr>
          <w:divsChild>
            <w:div w:id="1941991332">
              <w:marLeft w:val="0"/>
              <w:marRight w:val="0"/>
              <w:marTop w:val="0"/>
              <w:marBottom w:val="0"/>
              <w:divBdr>
                <w:top w:val="none" w:sz="0" w:space="0" w:color="auto"/>
                <w:left w:val="none" w:sz="0" w:space="0" w:color="auto"/>
                <w:bottom w:val="none" w:sz="0" w:space="0" w:color="auto"/>
                <w:right w:val="none" w:sz="0" w:space="0" w:color="auto"/>
              </w:divBdr>
              <w:divsChild>
                <w:div w:id="1835105295">
                  <w:marLeft w:val="105"/>
                  <w:marRight w:val="105"/>
                  <w:marTop w:val="150"/>
                  <w:marBottom w:val="150"/>
                  <w:divBdr>
                    <w:top w:val="none" w:sz="0" w:space="0" w:color="auto"/>
                    <w:left w:val="none" w:sz="0" w:space="0" w:color="auto"/>
                    <w:bottom w:val="none" w:sz="0" w:space="0" w:color="auto"/>
                    <w:right w:val="none" w:sz="0" w:space="0" w:color="auto"/>
                  </w:divBdr>
                  <w:divsChild>
                    <w:div w:id="447167622">
                      <w:marLeft w:val="0"/>
                      <w:marRight w:val="0"/>
                      <w:marTop w:val="0"/>
                      <w:marBottom w:val="0"/>
                      <w:divBdr>
                        <w:top w:val="none" w:sz="0" w:space="0" w:color="auto"/>
                        <w:left w:val="none" w:sz="0" w:space="0" w:color="auto"/>
                        <w:bottom w:val="none" w:sz="0" w:space="0" w:color="auto"/>
                        <w:right w:val="none" w:sz="0" w:space="0" w:color="auto"/>
                      </w:divBdr>
                      <w:divsChild>
                        <w:div w:id="335041055">
                          <w:marLeft w:val="0"/>
                          <w:marRight w:val="0"/>
                          <w:marTop w:val="0"/>
                          <w:marBottom w:val="0"/>
                          <w:divBdr>
                            <w:top w:val="none" w:sz="0" w:space="0" w:color="auto"/>
                            <w:left w:val="none" w:sz="0" w:space="0" w:color="auto"/>
                            <w:bottom w:val="none" w:sz="0" w:space="0" w:color="auto"/>
                            <w:right w:val="none" w:sz="0" w:space="0" w:color="auto"/>
                          </w:divBdr>
                          <w:divsChild>
                            <w:div w:id="170531829">
                              <w:marLeft w:val="0"/>
                              <w:marRight w:val="0"/>
                              <w:marTop w:val="0"/>
                              <w:marBottom w:val="0"/>
                              <w:divBdr>
                                <w:top w:val="none" w:sz="0" w:space="0" w:color="auto"/>
                                <w:left w:val="none" w:sz="0" w:space="0" w:color="auto"/>
                                <w:bottom w:val="none" w:sz="0" w:space="0" w:color="auto"/>
                                <w:right w:val="none" w:sz="0" w:space="0" w:color="auto"/>
                              </w:divBdr>
                              <w:divsChild>
                                <w:div w:id="596443256">
                                  <w:marLeft w:val="105"/>
                                  <w:marRight w:val="105"/>
                                  <w:marTop w:val="150"/>
                                  <w:marBottom w:val="150"/>
                                  <w:divBdr>
                                    <w:top w:val="none" w:sz="0" w:space="0" w:color="auto"/>
                                    <w:left w:val="none" w:sz="0" w:space="0" w:color="auto"/>
                                    <w:bottom w:val="none" w:sz="0" w:space="0" w:color="auto"/>
                                    <w:right w:val="none" w:sz="0" w:space="0" w:color="auto"/>
                                  </w:divBdr>
                                  <w:divsChild>
                                    <w:div w:id="768887334">
                                      <w:marLeft w:val="0"/>
                                      <w:marRight w:val="0"/>
                                      <w:marTop w:val="0"/>
                                      <w:marBottom w:val="0"/>
                                      <w:divBdr>
                                        <w:top w:val="none" w:sz="0" w:space="0" w:color="auto"/>
                                        <w:left w:val="none" w:sz="0" w:space="0" w:color="auto"/>
                                        <w:bottom w:val="none" w:sz="0" w:space="0" w:color="auto"/>
                                        <w:right w:val="none" w:sz="0" w:space="0" w:color="auto"/>
                                      </w:divBdr>
                                      <w:divsChild>
                                        <w:div w:id="1093281285">
                                          <w:marLeft w:val="0"/>
                                          <w:marRight w:val="0"/>
                                          <w:marTop w:val="0"/>
                                          <w:marBottom w:val="0"/>
                                          <w:divBdr>
                                            <w:top w:val="none" w:sz="0" w:space="0" w:color="auto"/>
                                            <w:left w:val="none" w:sz="0" w:space="0" w:color="auto"/>
                                            <w:bottom w:val="none" w:sz="0" w:space="0" w:color="auto"/>
                                            <w:right w:val="none" w:sz="0" w:space="0" w:color="auto"/>
                                          </w:divBdr>
                                          <w:divsChild>
                                            <w:div w:id="1212840867">
                                              <w:marLeft w:val="0"/>
                                              <w:marRight w:val="0"/>
                                              <w:marTop w:val="0"/>
                                              <w:marBottom w:val="0"/>
                                              <w:divBdr>
                                                <w:top w:val="none" w:sz="0" w:space="0" w:color="auto"/>
                                                <w:left w:val="none" w:sz="0" w:space="0" w:color="auto"/>
                                                <w:bottom w:val="none" w:sz="0" w:space="0" w:color="auto"/>
                                                <w:right w:val="none" w:sz="0" w:space="0" w:color="auto"/>
                                              </w:divBdr>
                                              <w:divsChild>
                                                <w:div w:id="2047287260">
                                                  <w:marLeft w:val="0"/>
                                                  <w:marRight w:val="0"/>
                                                  <w:marTop w:val="0"/>
                                                  <w:marBottom w:val="0"/>
                                                  <w:divBdr>
                                                    <w:top w:val="none" w:sz="0" w:space="0" w:color="auto"/>
                                                    <w:left w:val="none" w:sz="0" w:space="0" w:color="auto"/>
                                                    <w:bottom w:val="none" w:sz="0" w:space="0" w:color="auto"/>
                                                    <w:right w:val="none" w:sz="0" w:space="0" w:color="auto"/>
                                                  </w:divBdr>
                                                  <w:divsChild>
                                                    <w:div w:id="1522082374">
                                                      <w:marLeft w:val="105"/>
                                                      <w:marRight w:val="105"/>
                                                      <w:marTop w:val="150"/>
                                                      <w:marBottom w:val="150"/>
                                                      <w:divBdr>
                                                        <w:top w:val="none" w:sz="0" w:space="0" w:color="auto"/>
                                                        <w:left w:val="none" w:sz="0" w:space="0" w:color="auto"/>
                                                        <w:bottom w:val="none" w:sz="0" w:space="0" w:color="auto"/>
                                                        <w:right w:val="none" w:sz="0" w:space="0" w:color="auto"/>
                                                      </w:divBdr>
                                                      <w:divsChild>
                                                        <w:div w:id="20326365">
                                                          <w:marLeft w:val="0"/>
                                                          <w:marRight w:val="0"/>
                                                          <w:marTop w:val="0"/>
                                                          <w:marBottom w:val="0"/>
                                                          <w:divBdr>
                                                            <w:top w:val="none" w:sz="0" w:space="0" w:color="auto"/>
                                                            <w:left w:val="none" w:sz="0" w:space="0" w:color="auto"/>
                                                            <w:bottom w:val="none" w:sz="0" w:space="0" w:color="auto"/>
                                                            <w:right w:val="none" w:sz="0" w:space="0" w:color="auto"/>
                                                          </w:divBdr>
                                                          <w:divsChild>
                                                            <w:div w:id="392776506">
                                                              <w:marLeft w:val="0"/>
                                                              <w:marRight w:val="0"/>
                                                              <w:marTop w:val="0"/>
                                                              <w:marBottom w:val="0"/>
                                                              <w:divBdr>
                                                                <w:top w:val="none" w:sz="0" w:space="0" w:color="auto"/>
                                                                <w:left w:val="none" w:sz="0" w:space="0" w:color="auto"/>
                                                                <w:bottom w:val="none" w:sz="0" w:space="0" w:color="auto"/>
                                                                <w:right w:val="none" w:sz="0" w:space="0" w:color="auto"/>
                                                              </w:divBdr>
                                                              <w:divsChild>
                                                                <w:div w:id="795637285">
                                                                  <w:marLeft w:val="0"/>
                                                                  <w:marRight w:val="0"/>
                                                                  <w:marTop w:val="0"/>
                                                                  <w:marBottom w:val="0"/>
                                                                  <w:divBdr>
                                                                    <w:top w:val="none" w:sz="0" w:space="0" w:color="auto"/>
                                                                    <w:left w:val="none" w:sz="0" w:space="0" w:color="auto"/>
                                                                    <w:bottom w:val="none" w:sz="0" w:space="0" w:color="auto"/>
                                                                    <w:right w:val="none" w:sz="0" w:space="0" w:color="auto"/>
                                                                  </w:divBdr>
                                                                  <w:divsChild>
                                                                    <w:div w:id="663626185">
                                                                      <w:marLeft w:val="0"/>
                                                                      <w:marRight w:val="0"/>
                                                                      <w:marTop w:val="0"/>
                                                                      <w:marBottom w:val="0"/>
                                                                      <w:divBdr>
                                                                        <w:top w:val="none" w:sz="0" w:space="0" w:color="auto"/>
                                                                        <w:left w:val="none" w:sz="0" w:space="0" w:color="auto"/>
                                                                        <w:bottom w:val="none" w:sz="0" w:space="0" w:color="auto"/>
                                                                        <w:right w:val="none" w:sz="0" w:space="0" w:color="auto"/>
                                                                      </w:divBdr>
                                                                      <w:divsChild>
                                                                        <w:div w:id="1573541775">
                                                                          <w:marLeft w:val="105"/>
                                                                          <w:marRight w:val="105"/>
                                                                          <w:marTop w:val="150"/>
                                                                          <w:marBottom w:val="150"/>
                                                                          <w:divBdr>
                                                                            <w:top w:val="none" w:sz="0" w:space="0" w:color="auto"/>
                                                                            <w:left w:val="none" w:sz="0" w:space="0" w:color="auto"/>
                                                                            <w:bottom w:val="none" w:sz="0" w:space="0" w:color="auto"/>
                                                                            <w:right w:val="none" w:sz="0" w:space="0" w:color="auto"/>
                                                                          </w:divBdr>
                                                                          <w:divsChild>
                                                                            <w:div w:id="413474167">
                                                                              <w:marLeft w:val="0"/>
                                                                              <w:marRight w:val="0"/>
                                                                              <w:marTop w:val="0"/>
                                                                              <w:marBottom w:val="0"/>
                                                                              <w:divBdr>
                                                                                <w:top w:val="none" w:sz="0" w:space="0" w:color="auto"/>
                                                                                <w:left w:val="none" w:sz="0" w:space="0" w:color="auto"/>
                                                                                <w:bottom w:val="none" w:sz="0" w:space="0" w:color="auto"/>
                                                                                <w:right w:val="none" w:sz="0" w:space="0" w:color="auto"/>
                                                                              </w:divBdr>
                                                                              <w:divsChild>
                                                                                <w:div w:id="769592018">
                                                                                  <w:marLeft w:val="0"/>
                                                                                  <w:marRight w:val="0"/>
                                                                                  <w:marTop w:val="0"/>
                                                                                  <w:marBottom w:val="0"/>
                                                                                  <w:divBdr>
                                                                                    <w:top w:val="none" w:sz="0" w:space="0" w:color="auto"/>
                                                                                    <w:left w:val="none" w:sz="0" w:space="0" w:color="auto"/>
                                                                                    <w:bottom w:val="none" w:sz="0" w:space="0" w:color="auto"/>
                                                                                    <w:right w:val="none" w:sz="0" w:space="0" w:color="auto"/>
                                                                                  </w:divBdr>
                                                                                  <w:divsChild>
                                                                                    <w:div w:id="1859659566">
                                                                                      <w:marLeft w:val="0"/>
                                                                                      <w:marRight w:val="0"/>
                                                                                      <w:marTop w:val="0"/>
                                                                                      <w:marBottom w:val="0"/>
                                                                                      <w:divBdr>
                                                                                        <w:top w:val="none" w:sz="0" w:space="0" w:color="auto"/>
                                                                                        <w:left w:val="none" w:sz="0" w:space="0" w:color="auto"/>
                                                                                        <w:bottom w:val="none" w:sz="0" w:space="0" w:color="auto"/>
                                                                                        <w:right w:val="none" w:sz="0" w:space="0" w:color="auto"/>
                                                                                      </w:divBdr>
                                                                                      <w:divsChild>
                                                                                        <w:div w:id="921767026">
                                                                                          <w:marLeft w:val="105"/>
                                                                                          <w:marRight w:val="105"/>
                                                                                          <w:marTop w:val="150"/>
                                                                                          <w:marBottom w:val="150"/>
                                                                                          <w:divBdr>
                                                                                            <w:top w:val="none" w:sz="0" w:space="0" w:color="auto"/>
                                                                                            <w:left w:val="none" w:sz="0" w:space="0" w:color="auto"/>
                                                                                            <w:bottom w:val="none" w:sz="0" w:space="0" w:color="auto"/>
                                                                                            <w:right w:val="none" w:sz="0" w:space="0" w:color="auto"/>
                                                                                          </w:divBdr>
                                                                                          <w:divsChild>
                                                                                            <w:div w:id="1618104787">
                                                                                              <w:marLeft w:val="0"/>
                                                                                              <w:marRight w:val="0"/>
                                                                                              <w:marTop w:val="0"/>
                                                                                              <w:marBottom w:val="0"/>
                                                                                              <w:divBdr>
                                                                                                <w:top w:val="none" w:sz="0" w:space="0" w:color="auto"/>
                                                                                                <w:left w:val="none" w:sz="0" w:space="0" w:color="auto"/>
                                                                                                <w:bottom w:val="none" w:sz="0" w:space="0" w:color="auto"/>
                                                                                                <w:right w:val="none" w:sz="0" w:space="0" w:color="auto"/>
                                                                                              </w:divBdr>
                                                                                              <w:divsChild>
                                                                                                <w:div w:id="139157239">
                                                                                                  <w:marLeft w:val="0"/>
                                                                                                  <w:marRight w:val="0"/>
                                                                                                  <w:marTop w:val="0"/>
                                                                                                  <w:marBottom w:val="0"/>
                                                                                                  <w:divBdr>
                                                                                                    <w:top w:val="none" w:sz="0" w:space="0" w:color="auto"/>
                                                                                                    <w:left w:val="none" w:sz="0" w:space="0" w:color="auto"/>
                                                                                                    <w:bottom w:val="none" w:sz="0" w:space="0" w:color="auto"/>
                                                                                                    <w:right w:val="none" w:sz="0" w:space="0" w:color="auto"/>
                                                                                                  </w:divBdr>
                                                                                                  <w:divsChild>
                                                                                                    <w:div w:id="1897668330">
                                                                                                      <w:marLeft w:val="0"/>
                                                                                                      <w:marRight w:val="0"/>
                                                                                                      <w:marTop w:val="0"/>
                                                                                                      <w:marBottom w:val="0"/>
                                                                                                      <w:divBdr>
                                                                                                        <w:top w:val="none" w:sz="0" w:space="0" w:color="auto"/>
                                                                                                        <w:left w:val="none" w:sz="0" w:space="0" w:color="auto"/>
                                                                                                        <w:bottom w:val="none" w:sz="0" w:space="0" w:color="auto"/>
                                                                                                        <w:right w:val="none" w:sz="0" w:space="0" w:color="auto"/>
                                                                                                      </w:divBdr>
                                                                                                      <w:divsChild>
                                                                                                        <w:div w:id="1282029418">
                                                                                                          <w:marLeft w:val="0"/>
                                                                                                          <w:marRight w:val="0"/>
                                                                                                          <w:marTop w:val="0"/>
                                                                                                          <w:marBottom w:val="0"/>
                                                                                                          <w:divBdr>
                                                                                                            <w:top w:val="none" w:sz="0" w:space="0" w:color="auto"/>
                                                                                                            <w:left w:val="none" w:sz="0" w:space="0" w:color="auto"/>
                                                                                                            <w:bottom w:val="none" w:sz="0" w:space="0" w:color="auto"/>
                                                                                                            <w:right w:val="none" w:sz="0" w:space="0" w:color="auto"/>
                                                                                                          </w:divBdr>
                                                                                                          <w:divsChild>
                                                                                                            <w:div w:id="1875192613">
                                                                                                              <w:marLeft w:val="0"/>
                                                                                                              <w:marRight w:val="0"/>
                                                                                                              <w:marTop w:val="0"/>
                                                                                                              <w:marBottom w:val="0"/>
                                                                                                              <w:divBdr>
                                                                                                                <w:top w:val="none" w:sz="0" w:space="0" w:color="auto"/>
                                                                                                                <w:left w:val="none" w:sz="0" w:space="0" w:color="auto"/>
                                                                                                                <w:bottom w:val="none" w:sz="0" w:space="0" w:color="auto"/>
                                                                                                                <w:right w:val="none" w:sz="0" w:space="0" w:color="auto"/>
                                                                                                              </w:divBdr>
                                                                                                              <w:divsChild>
                                                                                                                <w:div w:id="423720281">
                                                                                                                  <w:marLeft w:val="105"/>
                                                                                                                  <w:marRight w:val="105"/>
                                                                                                                  <w:marTop w:val="150"/>
                                                                                                                  <w:marBottom w:val="150"/>
                                                                                                                  <w:divBdr>
                                                                                                                    <w:top w:val="none" w:sz="0" w:space="0" w:color="auto"/>
                                                                                                                    <w:left w:val="none" w:sz="0" w:space="0" w:color="auto"/>
                                                                                                                    <w:bottom w:val="none" w:sz="0" w:space="0" w:color="auto"/>
                                                                                                                    <w:right w:val="none" w:sz="0" w:space="0" w:color="auto"/>
                                                                                                                  </w:divBdr>
                                                                                                                  <w:divsChild>
                                                                                                                    <w:div w:id="29839396">
                                                                                                                      <w:marLeft w:val="0"/>
                                                                                                                      <w:marRight w:val="0"/>
                                                                                                                      <w:marTop w:val="0"/>
                                                                                                                      <w:marBottom w:val="0"/>
                                                                                                                      <w:divBdr>
                                                                                                                        <w:top w:val="none" w:sz="0" w:space="0" w:color="auto"/>
                                                                                                                        <w:left w:val="none" w:sz="0" w:space="0" w:color="auto"/>
                                                                                                                        <w:bottom w:val="none" w:sz="0" w:space="0" w:color="auto"/>
                                                                                                                        <w:right w:val="none" w:sz="0" w:space="0" w:color="auto"/>
                                                                                                                      </w:divBdr>
                                                                                                                      <w:divsChild>
                                                                                                                        <w:div w:id="177432159">
                                                                                                                          <w:marLeft w:val="0"/>
                                                                                                                          <w:marRight w:val="0"/>
                                                                                                                          <w:marTop w:val="0"/>
                                                                                                                          <w:marBottom w:val="0"/>
                                                                                                                          <w:divBdr>
                                                                                                                            <w:top w:val="none" w:sz="0" w:space="0" w:color="auto"/>
                                                                                                                            <w:left w:val="none" w:sz="0" w:space="0" w:color="auto"/>
                                                                                                                            <w:bottom w:val="none" w:sz="0" w:space="0" w:color="auto"/>
                                                                                                                            <w:right w:val="none" w:sz="0" w:space="0" w:color="auto"/>
                                                                                                                          </w:divBdr>
                                                                                                                          <w:divsChild>
                                                                                                                            <w:div w:id="1796020790">
                                                                                                                              <w:marLeft w:val="0"/>
                                                                                                                              <w:marRight w:val="0"/>
                                                                                                                              <w:marTop w:val="0"/>
                                                                                                                              <w:marBottom w:val="0"/>
                                                                                                                              <w:divBdr>
                                                                                                                                <w:top w:val="none" w:sz="0" w:space="0" w:color="auto"/>
                                                                                                                                <w:left w:val="none" w:sz="0" w:space="0" w:color="auto"/>
                                                                                                                                <w:bottom w:val="none" w:sz="0" w:space="0" w:color="auto"/>
                                                                                                                                <w:right w:val="none" w:sz="0" w:space="0" w:color="auto"/>
                                                                                                                              </w:divBdr>
                                                                                                                              <w:divsChild>
                                                                                                                                <w:div w:id="10436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91527">
      <w:bodyDiv w:val="1"/>
      <w:marLeft w:val="0"/>
      <w:marRight w:val="0"/>
      <w:marTop w:val="0"/>
      <w:marBottom w:val="0"/>
      <w:divBdr>
        <w:top w:val="none" w:sz="0" w:space="0" w:color="auto"/>
        <w:left w:val="none" w:sz="0" w:space="0" w:color="auto"/>
        <w:bottom w:val="none" w:sz="0" w:space="0" w:color="auto"/>
        <w:right w:val="none" w:sz="0" w:space="0" w:color="auto"/>
      </w:divBdr>
      <w:divsChild>
        <w:div w:id="273027357">
          <w:marLeft w:val="360"/>
          <w:marRight w:val="0"/>
          <w:marTop w:val="200"/>
          <w:marBottom w:val="0"/>
          <w:divBdr>
            <w:top w:val="none" w:sz="0" w:space="0" w:color="auto"/>
            <w:left w:val="none" w:sz="0" w:space="0" w:color="auto"/>
            <w:bottom w:val="none" w:sz="0" w:space="0" w:color="auto"/>
            <w:right w:val="none" w:sz="0" w:space="0" w:color="auto"/>
          </w:divBdr>
        </w:div>
        <w:div w:id="341592873">
          <w:marLeft w:val="360"/>
          <w:marRight w:val="0"/>
          <w:marTop w:val="200"/>
          <w:marBottom w:val="0"/>
          <w:divBdr>
            <w:top w:val="none" w:sz="0" w:space="0" w:color="auto"/>
            <w:left w:val="none" w:sz="0" w:space="0" w:color="auto"/>
            <w:bottom w:val="none" w:sz="0" w:space="0" w:color="auto"/>
            <w:right w:val="none" w:sz="0" w:space="0" w:color="auto"/>
          </w:divBdr>
        </w:div>
        <w:div w:id="359161320">
          <w:marLeft w:val="360"/>
          <w:marRight w:val="0"/>
          <w:marTop w:val="200"/>
          <w:marBottom w:val="0"/>
          <w:divBdr>
            <w:top w:val="none" w:sz="0" w:space="0" w:color="auto"/>
            <w:left w:val="none" w:sz="0" w:space="0" w:color="auto"/>
            <w:bottom w:val="none" w:sz="0" w:space="0" w:color="auto"/>
            <w:right w:val="none" w:sz="0" w:space="0" w:color="auto"/>
          </w:divBdr>
        </w:div>
      </w:divsChild>
    </w:div>
    <w:div w:id="308484477">
      <w:bodyDiv w:val="1"/>
      <w:marLeft w:val="0"/>
      <w:marRight w:val="0"/>
      <w:marTop w:val="0"/>
      <w:marBottom w:val="0"/>
      <w:divBdr>
        <w:top w:val="none" w:sz="0" w:space="0" w:color="auto"/>
        <w:left w:val="none" w:sz="0" w:space="0" w:color="auto"/>
        <w:bottom w:val="none" w:sz="0" w:space="0" w:color="auto"/>
        <w:right w:val="none" w:sz="0" w:space="0" w:color="auto"/>
      </w:divBdr>
    </w:div>
    <w:div w:id="445008631">
      <w:bodyDiv w:val="1"/>
      <w:marLeft w:val="0"/>
      <w:marRight w:val="0"/>
      <w:marTop w:val="0"/>
      <w:marBottom w:val="0"/>
      <w:divBdr>
        <w:top w:val="none" w:sz="0" w:space="0" w:color="auto"/>
        <w:left w:val="none" w:sz="0" w:space="0" w:color="auto"/>
        <w:bottom w:val="none" w:sz="0" w:space="0" w:color="auto"/>
        <w:right w:val="none" w:sz="0" w:space="0" w:color="auto"/>
      </w:divBdr>
      <w:divsChild>
        <w:div w:id="1212230303">
          <w:marLeft w:val="0"/>
          <w:marRight w:val="0"/>
          <w:marTop w:val="0"/>
          <w:marBottom w:val="0"/>
          <w:divBdr>
            <w:top w:val="none" w:sz="0" w:space="0" w:color="auto"/>
            <w:left w:val="none" w:sz="0" w:space="0" w:color="auto"/>
            <w:bottom w:val="none" w:sz="0" w:space="0" w:color="auto"/>
            <w:right w:val="none" w:sz="0" w:space="0" w:color="auto"/>
          </w:divBdr>
        </w:div>
      </w:divsChild>
    </w:div>
    <w:div w:id="648369099">
      <w:bodyDiv w:val="1"/>
      <w:marLeft w:val="0"/>
      <w:marRight w:val="0"/>
      <w:marTop w:val="0"/>
      <w:marBottom w:val="0"/>
      <w:divBdr>
        <w:top w:val="none" w:sz="0" w:space="0" w:color="auto"/>
        <w:left w:val="none" w:sz="0" w:space="0" w:color="auto"/>
        <w:bottom w:val="none" w:sz="0" w:space="0" w:color="auto"/>
        <w:right w:val="none" w:sz="0" w:space="0" w:color="auto"/>
      </w:divBdr>
    </w:div>
    <w:div w:id="773091511">
      <w:bodyDiv w:val="1"/>
      <w:marLeft w:val="0"/>
      <w:marRight w:val="0"/>
      <w:marTop w:val="0"/>
      <w:marBottom w:val="0"/>
      <w:divBdr>
        <w:top w:val="none" w:sz="0" w:space="0" w:color="auto"/>
        <w:left w:val="none" w:sz="0" w:space="0" w:color="auto"/>
        <w:bottom w:val="none" w:sz="0" w:space="0" w:color="auto"/>
        <w:right w:val="none" w:sz="0" w:space="0" w:color="auto"/>
      </w:divBdr>
    </w:div>
    <w:div w:id="774518237">
      <w:bodyDiv w:val="1"/>
      <w:marLeft w:val="0"/>
      <w:marRight w:val="0"/>
      <w:marTop w:val="0"/>
      <w:marBottom w:val="0"/>
      <w:divBdr>
        <w:top w:val="none" w:sz="0" w:space="0" w:color="auto"/>
        <w:left w:val="none" w:sz="0" w:space="0" w:color="auto"/>
        <w:bottom w:val="none" w:sz="0" w:space="0" w:color="auto"/>
        <w:right w:val="none" w:sz="0" w:space="0" w:color="auto"/>
      </w:divBdr>
    </w:div>
    <w:div w:id="976838894">
      <w:bodyDiv w:val="1"/>
      <w:marLeft w:val="0"/>
      <w:marRight w:val="0"/>
      <w:marTop w:val="0"/>
      <w:marBottom w:val="0"/>
      <w:divBdr>
        <w:top w:val="none" w:sz="0" w:space="0" w:color="auto"/>
        <w:left w:val="none" w:sz="0" w:space="0" w:color="auto"/>
        <w:bottom w:val="none" w:sz="0" w:space="0" w:color="auto"/>
        <w:right w:val="none" w:sz="0" w:space="0" w:color="auto"/>
      </w:divBdr>
      <w:divsChild>
        <w:div w:id="1835679907">
          <w:marLeft w:val="360"/>
          <w:marRight w:val="0"/>
          <w:marTop w:val="200"/>
          <w:marBottom w:val="0"/>
          <w:divBdr>
            <w:top w:val="none" w:sz="0" w:space="0" w:color="auto"/>
            <w:left w:val="none" w:sz="0" w:space="0" w:color="auto"/>
            <w:bottom w:val="none" w:sz="0" w:space="0" w:color="auto"/>
            <w:right w:val="none" w:sz="0" w:space="0" w:color="auto"/>
          </w:divBdr>
        </w:div>
      </w:divsChild>
    </w:div>
    <w:div w:id="1040401805">
      <w:bodyDiv w:val="1"/>
      <w:marLeft w:val="0"/>
      <w:marRight w:val="0"/>
      <w:marTop w:val="0"/>
      <w:marBottom w:val="0"/>
      <w:divBdr>
        <w:top w:val="none" w:sz="0" w:space="0" w:color="auto"/>
        <w:left w:val="none" w:sz="0" w:space="0" w:color="auto"/>
        <w:bottom w:val="none" w:sz="0" w:space="0" w:color="auto"/>
        <w:right w:val="none" w:sz="0" w:space="0" w:color="auto"/>
      </w:divBdr>
    </w:div>
    <w:div w:id="1172451953">
      <w:bodyDiv w:val="1"/>
      <w:marLeft w:val="0"/>
      <w:marRight w:val="0"/>
      <w:marTop w:val="0"/>
      <w:marBottom w:val="0"/>
      <w:divBdr>
        <w:top w:val="none" w:sz="0" w:space="0" w:color="auto"/>
        <w:left w:val="none" w:sz="0" w:space="0" w:color="auto"/>
        <w:bottom w:val="none" w:sz="0" w:space="0" w:color="auto"/>
        <w:right w:val="none" w:sz="0" w:space="0" w:color="auto"/>
      </w:divBdr>
    </w:div>
    <w:div w:id="1199659022">
      <w:bodyDiv w:val="1"/>
      <w:marLeft w:val="0"/>
      <w:marRight w:val="0"/>
      <w:marTop w:val="0"/>
      <w:marBottom w:val="0"/>
      <w:divBdr>
        <w:top w:val="none" w:sz="0" w:space="0" w:color="auto"/>
        <w:left w:val="none" w:sz="0" w:space="0" w:color="auto"/>
        <w:bottom w:val="none" w:sz="0" w:space="0" w:color="auto"/>
        <w:right w:val="none" w:sz="0" w:space="0" w:color="auto"/>
      </w:divBdr>
      <w:divsChild>
        <w:div w:id="2146659624">
          <w:marLeft w:val="0"/>
          <w:marRight w:val="0"/>
          <w:marTop w:val="100"/>
          <w:marBottom w:val="100"/>
          <w:divBdr>
            <w:top w:val="none" w:sz="0" w:space="0" w:color="auto"/>
            <w:left w:val="none" w:sz="0" w:space="0" w:color="auto"/>
            <w:bottom w:val="none" w:sz="0" w:space="0" w:color="auto"/>
            <w:right w:val="none" w:sz="0" w:space="0" w:color="auto"/>
          </w:divBdr>
          <w:divsChild>
            <w:div w:id="30031846">
              <w:marLeft w:val="0"/>
              <w:marRight w:val="0"/>
              <w:marTop w:val="0"/>
              <w:marBottom w:val="0"/>
              <w:divBdr>
                <w:top w:val="none" w:sz="0" w:space="0" w:color="auto"/>
                <w:left w:val="none" w:sz="0" w:space="0" w:color="auto"/>
                <w:bottom w:val="none" w:sz="0" w:space="0" w:color="auto"/>
                <w:right w:val="none" w:sz="0" w:space="0" w:color="auto"/>
              </w:divBdr>
              <w:divsChild>
                <w:div w:id="1643656683">
                  <w:marLeft w:val="105"/>
                  <w:marRight w:val="105"/>
                  <w:marTop w:val="150"/>
                  <w:marBottom w:val="150"/>
                  <w:divBdr>
                    <w:top w:val="none" w:sz="0" w:space="0" w:color="auto"/>
                    <w:left w:val="none" w:sz="0" w:space="0" w:color="auto"/>
                    <w:bottom w:val="none" w:sz="0" w:space="0" w:color="auto"/>
                    <w:right w:val="none" w:sz="0" w:space="0" w:color="auto"/>
                  </w:divBdr>
                  <w:divsChild>
                    <w:div w:id="515075649">
                      <w:marLeft w:val="0"/>
                      <w:marRight w:val="0"/>
                      <w:marTop w:val="0"/>
                      <w:marBottom w:val="0"/>
                      <w:divBdr>
                        <w:top w:val="none" w:sz="0" w:space="0" w:color="auto"/>
                        <w:left w:val="none" w:sz="0" w:space="0" w:color="auto"/>
                        <w:bottom w:val="none" w:sz="0" w:space="0" w:color="auto"/>
                        <w:right w:val="none" w:sz="0" w:space="0" w:color="auto"/>
                      </w:divBdr>
                      <w:divsChild>
                        <w:div w:id="1085422680">
                          <w:marLeft w:val="0"/>
                          <w:marRight w:val="0"/>
                          <w:marTop w:val="0"/>
                          <w:marBottom w:val="0"/>
                          <w:divBdr>
                            <w:top w:val="none" w:sz="0" w:space="0" w:color="auto"/>
                            <w:left w:val="none" w:sz="0" w:space="0" w:color="auto"/>
                            <w:bottom w:val="none" w:sz="0" w:space="0" w:color="auto"/>
                            <w:right w:val="none" w:sz="0" w:space="0" w:color="auto"/>
                          </w:divBdr>
                          <w:divsChild>
                            <w:div w:id="99108690">
                              <w:marLeft w:val="0"/>
                              <w:marRight w:val="0"/>
                              <w:marTop w:val="0"/>
                              <w:marBottom w:val="0"/>
                              <w:divBdr>
                                <w:top w:val="none" w:sz="0" w:space="0" w:color="auto"/>
                                <w:left w:val="none" w:sz="0" w:space="0" w:color="auto"/>
                                <w:bottom w:val="none" w:sz="0" w:space="0" w:color="auto"/>
                                <w:right w:val="none" w:sz="0" w:space="0" w:color="auto"/>
                              </w:divBdr>
                              <w:divsChild>
                                <w:div w:id="246840252">
                                  <w:marLeft w:val="105"/>
                                  <w:marRight w:val="105"/>
                                  <w:marTop w:val="150"/>
                                  <w:marBottom w:val="150"/>
                                  <w:divBdr>
                                    <w:top w:val="none" w:sz="0" w:space="0" w:color="auto"/>
                                    <w:left w:val="none" w:sz="0" w:space="0" w:color="auto"/>
                                    <w:bottom w:val="none" w:sz="0" w:space="0" w:color="auto"/>
                                    <w:right w:val="none" w:sz="0" w:space="0" w:color="auto"/>
                                  </w:divBdr>
                                  <w:divsChild>
                                    <w:div w:id="1096441493">
                                      <w:marLeft w:val="0"/>
                                      <w:marRight w:val="0"/>
                                      <w:marTop w:val="0"/>
                                      <w:marBottom w:val="0"/>
                                      <w:divBdr>
                                        <w:top w:val="none" w:sz="0" w:space="0" w:color="auto"/>
                                        <w:left w:val="none" w:sz="0" w:space="0" w:color="auto"/>
                                        <w:bottom w:val="none" w:sz="0" w:space="0" w:color="auto"/>
                                        <w:right w:val="none" w:sz="0" w:space="0" w:color="auto"/>
                                      </w:divBdr>
                                      <w:divsChild>
                                        <w:div w:id="1873761771">
                                          <w:marLeft w:val="0"/>
                                          <w:marRight w:val="0"/>
                                          <w:marTop w:val="0"/>
                                          <w:marBottom w:val="0"/>
                                          <w:divBdr>
                                            <w:top w:val="none" w:sz="0" w:space="0" w:color="auto"/>
                                            <w:left w:val="none" w:sz="0" w:space="0" w:color="auto"/>
                                            <w:bottom w:val="none" w:sz="0" w:space="0" w:color="auto"/>
                                            <w:right w:val="none" w:sz="0" w:space="0" w:color="auto"/>
                                          </w:divBdr>
                                          <w:divsChild>
                                            <w:div w:id="213468494">
                                              <w:marLeft w:val="0"/>
                                              <w:marRight w:val="0"/>
                                              <w:marTop w:val="0"/>
                                              <w:marBottom w:val="0"/>
                                              <w:divBdr>
                                                <w:top w:val="none" w:sz="0" w:space="0" w:color="auto"/>
                                                <w:left w:val="none" w:sz="0" w:space="0" w:color="auto"/>
                                                <w:bottom w:val="none" w:sz="0" w:space="0" w:color="auto"/>
                                                <w:right w:val="none" w:sz="0" w:space="0" w:color="auto"/>
                                              </w:divBdr>
                                              <w:divsChild>
                                                <w:div w:id="2013750916">
                                                  <w:marLeft w:val="0"/>
                                                  <w:marRight w:val="0"/>
                                                  <w:marTop w:val="0"/>
                                                  <w:marBottom w:val="0"/>
                                                  <w:divBdr>
                                                    <w:top w:val="none" w:sz="0" w:space="0" w:color="auto"/>
                                                    <w:left w:val="none" w:sz="0" w:space="0" w:color="auto"/>
                                                    <w:bottom w:val="none" w:sz="0" w:space="0" w:color="auto"/>
                                                    <w:right w:val="none" w:sz="0" w:space="0" w:color="auto"/>
                                                  </w:divBdr>
                                                  <w:divsChild>
                                                    <w:div w:id="526454384">
                                                      <w:marLeft w:val="105"/>
                                                      <w:marRight w:val="105"/>
                                                      <w:marTop w:val="150"/>
                                                      <w:marBottom w:val="150"/>
                                                      <w:divBdr>
                                                        <w:top w:val="none" w:sz="0" w:space="0" w:color="auto"/>
                                                        <w:left w:val="none" w:sz="0" w:space="0" w:color="auto"/>
                                                        <w:bottom w:val="none" w:sz="0" w:space="0" w:color="auto"/>
                                                        <w:right w:val="none" w:sz="0" w:space="0" w:color="auto"/>
                                                      </w:divBdr>
                                                      <w:divsChild>
                                                        <w:div w:id="1254313914">
                                                          <w:marLeft w:val="0"/>
                                                          <w:marRight w:val="0"/>
                                                          <w:marTop w:val="0"/>
                                                          <w:marBottom w:val="0"/>
                                                          <w:divBdr>
                                                            <w:top w:val="none" w:sz="0" w:space="0" w:color="auto"/>
                                                            <w:left w:val="none" w:sz="0" w:space="0" w:color="auto"/>
                                                            <w:bottom w:val="none" w:sz="0" w:space="0" w:color="auto"/>
                                                            <w:right w:val="none" w:sz="0" w:space="0" w:color="auto"/>
                                                          </w:divBdr>
                                                          <w:divsChild>
                                                            <w:div w:id="1377006986">
                                                              <w:marLeft w:val="0"/>
                                                              <w:marRight w:val="0"/>
                                                              <w:marTop w:val="0"/>
                                                              <w:marBottom w:val="0"/>
                                                              <w:divBdr>
                                                                <w:top w:val="none" w:sz="0" w:space="0" w:color="auto"/>
                                                                <w:left w:val="none" w:sz="0" w:space="0" w:color="auto"/>
                                                                <w:bottom w:val="none" w:sz="0" w:space="0" w:color="auto"/>
                                                                <w:right w:val="none" w:sz="0" w:space="0" w:color="auto"/>
                                                              </w:divBdr>
                                                              <w:divsChild>
                                                                <w:div w:id="1697807708">
                                                                  <w:marLeft w:val="0"/>
                                                                  <w:marRight w:val="0"/>
                                                                  <w:marTop w:val="0"/>
                                                                  <w:marBottom w:val="0"/>
                                                                  <w:divBdr>
                                                                    <w:top w:val="none" w:sz="0" w:space="0" w:color="auto"/>
                                                                    <w:left w:val="none" w:sz="0" w:space="0" w:color="auto"/>
                                                                    <w:bottom w:val="none" w:sz="0" w:space="0" w:color="auto"/>
                                                                    <w:right w:val="none" w:sz="0" w:space="0" w:color="auto"/>
                                                                  </w:divBdr>
                                                                  <w:divsChild>
                                                                    <w:div w:id="425469377">
                                                                      <w:marLeft w:val="0"/>
                                                                      <w:marRight w:val="0"/>
                                                                      <w:marTop w:val="0"/>
                                                                      <w:marBottom w:val="0"/>
                                                                      <w:divBdr>
                                                                        <w:top w:val="none" w:sz="0" w:space="0" w:color="auto"/>
                                                                        <w:left w:val="none" w:sz="0" w:space="0" w:color="auto"/>
                                                                        <w:bottom w:val="none" w:sz="0" w:space="0" w:color="auto"/>
                                                                        <w:right w:val="none" w:sz="0" w:space="0" w:color="auto"/>
                                                                      </w:divBdr>
                                                                      <w:divsChild>
                                                                        <w:div w:id="124855386">
                                                                          <w:marLeft w:val="105"/>
                                                                          <w:marRight w:val="105"/>
                                                                          <w:marTop w:val="150"/>
                                                                          <w:marBottom w:val="150"/>
                                                                          <w:divBdr>
                                                                            <w:top w:val="none" w:sz="0" w:space="0" w:color="auto"/>
                                                                            <w:left w:val="none" w:sz="0" w:space="0" w:color="auto"/>
                                                                            <w:bottom w:val="none" w:sz="0" w:space="0" w:color="auto"/>
                                                                            <w:right w:val="none" w:sz="0" w:space="0" w:color="auto"/>
                                                                          </w:divBdr>
                                                                          <w:divsChild>
                                                                            <w:div w:id="1460957609">
                                                                              <w:marLeft w:val="0"/>
                                                                              <w:marRight w:val="0"/>
                                                                              <w:marTop w:val="0"/>
                                                                              <w:marBottom w:val="0"/>
                                                                              <w:divBdr>
                                                                                <w:top w:val="none" w:sz="0" w:space="0" w:color="auto"/>
                                                                                <w:left w:val="none" w:sz="0" w:space="0" w:color="auto"/>
                                                                                <w:bottom w:val="none" w:sz="0" w:space="0" w:color="auto"/>
                                                                                <w:right w:val="none" w:sz="0" w:space="0" w:color="auto"/>
                                                                              </w:divBdr>
                                                                              <w:divsChild>
                                                                                <w:div w:id="876891487">
                                                                                  <w:marLeft w:val="0"/>
                                                                                  <w:marRight w:val="0"/>
                                                                                  <w:marTop w:val="0"/>
                                                                                  <w:marBottom w:val="0"/>
                                                                                  <w:divBdr>
                                                                                    <w:top w:val="none" w:sz="0" w:space="0" w:color="auto"/>
                                                                                    <w:left w:val="none" w:sz="0" w:space="0" w:color="auto"/>
                                                                                    <w:bottom w:val="none" w:sz="0" w:space="0" w:color="auto"/>
                                                                                    <w:right w:val="none" w:sz="0" w:space="0" w:color="auto"/>
                                                                                  </w:divBdr>
                                                                                  <w:divsChild>
                                                                                    <w:div w:id="1437092030">
                                                                                      <w:marLeft w:val="0"/>
                                                                                      <w:marRight w:val="0"/>
                                                                                      <w:marTop w:val="0"/>
                                                                                      <w:marBottom w:val="0"/>
                                                                                      <w:divBdr>
                                                                                        <w:top w:val="none" w:sz="0" w:space="0" w:color="auto"/>
                                                                                        <w:left w:val="none" w:sz="0" w:space="0" w:color="auto"/>
                                                                                        <w:bottom w:val="none" w:sz="0" w:space="0" w:color="auto"/>
                                                                                        <w:right w:val="none" w:sz="0" w:space="0" w:color="auto"/>
                                                                                      </w:divBdr>
                                                                                      <w:divsChild>
                                                                                        <w:div w:id="1825733826">
                                                                                          <w:marLeft w:val="105"/>
                                                                                          <w:marRight w:val="105"/>
                                                                                          <w:marTop w:val="150"/>
                                                                                          <w:marBottom w:val="150"/>
                                                                                          <w:divBdr>
                                                                                            <w:top w:val="none" w:sz="0" w:space="0" w:color="auto"/>
                                                                                            <w:left w:val="none" w:sz="0" w:space="0" w:color="auto"/>
                                                                                            <w:bottom w:val="none" w:sz="0" w:space="0" w:color="auto"/>
                                                                                            <w:right w:val="none" w:sz="0" w:space="0" w:color="auto"/>
                                                                                          </w:divBdr>
                                                                                          <w:divsChild>
                                                                                            <w:div w:id="2091926489">
                                                                                              <w:marLeft w:val="0"/>
                                                                                              <w:marRight w:val="0"/>
                                                                                              <w:marTop w:val="0"/>
                                                                                              <w:marBottom w:val="0"/>
                                                                                              <w:divBdr>
                                                                                                <w:top w:val="none" w:sz="0" w:space="0" w:color="auto"/>
                                                                                                <w:left w:val="none" w:sz="0" w:space="0" w:color="auto"/>
                                                                                                <w:bottom w:val="none" w:sz="0" w:space="0" w:color="auto"/>
                                                                                                <w:right w:val="none" w:sz="0" w:space="0" w:color="auto"/>
                                                                                              </w:divBdr>
                                                                                              <w:divsChild>
                                                                                                <w:div w:id="728186350">
                                                                                                  <w:marLeft w:val="0"/>
                                                                                                  <w:marRight w:val="0"/>
                                                                                                  <w:marTop w:val="0"/>
                                                                                                  <w:marBottom w:val="0"/>
                                                                                                  <w:divBdr>
                                                                                                    <w:top w:val="none" w:sz="0" w:space="0" w:color="auto"/>
                                                                                                    <w:left w:val="none" w:sz="0" w:space="0" w:color="auto"/>
                                                                                                    <w:bottom w:val="none" w:sz="0" w:space="0" w:color="auto"/>
                                                                                                    <w:right w:val="none" w:sz="0" w:space="0" w:color="auto"/>
                                                                                                  </w:divBdr>
                                                                                                  <w:divsChild>
                                                                                                    <w:div w:id="2134400451">
                                                                                                      <w:marLeft w:val="0"/>
                                                                                                      <w:marRight w:val="0"/>
                                                                                                      <w:marTop w:val="0"/>
                                                                                                      <w:marBottom w:val="0"/>
                                                                                                      <w:divBdr>
                                                                                                        <w:top w:val="none" w:sz="0" w:space="0" w:color="auto"/>
                                                                                                        <w:left w:val="none" w:sz="0" w:space="0" w:color="auto"/>
                                                                                                        <w:bottom w:val="none" w:sz="0" w:space="0" w:color="auto"/>
                                                                                                        <w:right w:val="none" w:sz="0" w:space="0" w:color="auto"/>
                                                                                                      </w:divBdr>
                                                                                                      <w:divsChild>
                                                                                                        <w:div w:id="209222077">
                                                                                                          <w:marLeft w:val="0"/>
                                                                                                          <w:marRight w:val="0"/>
                                                                                                          <w:marTop w:val="0"/>
                                                                                                          <w:marBottom w:val="0"/>
                                                                                                          <w:divBdr>
                                                                                                            <w:top w:val="none" w:sz="0" w:space="0" w:color="auto"/>
                                                                                                            <w:left w:val="none" w:sz="0" w:space="0" w:color="auto"/>
                                                                                                            <w:bottom w:val="none" w:sz="0" w:space="0" w:color="auto"/>
                                                                                                            <w:right w:val="none" w:sz="0" w:space="0" w:color="auto"/>
                                                                                                          </w:divBdr>
                                                                                                          <w:divsChild>
                                                                                                            <w:div w:id="127674581">
                                                                                                              <w:marLeft w:val="0"/>
                                                                                                              <w:marRight w:val="0"/>
                                                                                                              <w:marTop w:val="0"/>
                                                                                                              <w:marBottom w:val="0"/>
                                                                                                              <w:divBdr>
                                                                                                                <w:top w:val="none" w:sz="0" w:space="0" w:color="auto"/>
                                                                                                                <w:left w:val="none" w:sz="0" w:space="0" w:color="auto"/>
                                                                                                                <w:bottom w:val="none" w:sz="0" w:space="0" w:color="auto"/>
                                                                                                                <w:right w:val="none" w:sz="0" w:space="0" w:color="auto"/>
                                                                                                              </w:divBdr>
                                                                                                              <w:divsChild>
                                                                                                                <w:div w:id="2002196048">
                                                                                                                  <w:marLeft w:val="105"/>
                                                                                                                  <w:marRight w:val="105"/>
                                                                                                                  <w:marTop w:val="150"/>
                                                                                                                  <w:marBottom w:val="150"/>
                                                                                                                  <w:divBdr>
                                                                                                                    <w:top w:val="none" w:sz="0" w:space="0" w:color="auto"/>
                                                                                                                    <w:left w:val="none" w:sz="0" w:space="0" w:color="auto"/>
                                                                                                                    <w:bottom w:val="none" w:sz="0" w:space="0" w:color="auto"/>
                                                                                                                    <w:right w:val="none" w:sz="0" w:space="0" w:color="auto"/>
                                                                                                                  </w:divBdr>
                                                                                                                  <w:divsChild>
                                                                                                                    <w:div w:id="1357268760">
                                                                                                                      <w:marLeft w:val="0"/>
                                                                                                                      <w:marRight w:val="0"/>
                                                                                                                      <w:marTop w:val="0"/>
                                                                                                                      <w:marBottom w:val="0"/>
                                                                                                                      <w:divBdr>
                                                                                                                        <w:top w:val="none" w:sz="0" w:space="0" w:color="auto"/>
                                                                                                                        <w:left w:val="none" w:sz="0" w:space="0" w:color="auto"/>
                                                                                                                        <w:bottom w:val="none" w:sz="0" w:space="0" w:color="auto"/>
                                                                                                                        <w:right w:val="none" w:sz="0" w:space="0" w:color="auto"/>
                                                                                                                      </w:divBdr>
                                                                                                                      <w:divsChild>
                                                                                                                        <w:div w:id="1442144635">
                                                                                                                          <w:marLeft w:val="0"/>
                                                                                                                          <w:marRight w:val="0"/>
                                                                                                                          <w:marTop w:val="0"/>
                                                                                                                          <w:marBottom w:val="0"/>
                                                                                                                          <w:divBdr>
                                                                                                                            <w:top w:val="none" w:sz="0" w:space="0" w:color="auto"/>
                                                                                                                            <w:left w:val="none" w:sz="0" w:space="0" w:color="auto"/>
                                                                                                                            <w:bottom w:val="none" w:sz="0" w:space="0" w:color="auto"/>
                                                                                                                            <w:right w:val="none" w:sz="0" w:space="0" w:color="auto"/>
                                                                                                                          </w:divBdr>
                                                                                                                          <w:divsChild>
                                                                                                                            <w:div w:id="1460876254">
                                                                                                                              <w:marLeft w:val="0"/>
                                                                                                                              <w:marRight w:val="0"/>
                                                                                                                              <w:marTop w:val="0"/>
                                                                                                                              <w:marBottom w:val="0"/>
                                                                                                                              <w:divBdr>
                                                                                                                                <w:top w:val="none" w:sz="0" w:space="0" w:color="auto"/>
                                                                                                                                <w:left w:val="none" w:sz="0" w:space="0" w:color="auto"/>
                                                                                                                                <w:bottom w:val="none" w:sz="0" w:space="0" w:color="auto"/>
                                                                                                                                <w:right w:val="none" w:sz="0" w:space="0" w:color="auto"/>
                                                                                                                              </w:divBdr>
                                                                                                                              <w:divsChild>
                                                                                                                                <w:div w:id="13463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365786">
      <w:bodyDiv w:val="1"/>
      <w:marLeft w:val="0"/>
      <w:marRight w:val="0"/>
      <w:marTop w:val="0"/>
      <w:marBottom w:val="0"/>
      <w:divBdr>
        <w:top w:val="none" w:sz="0" w:space="0" w:color="auto"/>
        <w:left w:val="none" w:sz="0" w:space="0" w:color="auto"/>
        <w:bottom w:val="none" w:sz="0" w:space="0" w:color="auto"/>
        <w:right w:val="none" w:sz="0" w:space="0" w:color="auto"/>
      </w:divBdr>
      <w:divsChild>
        <w:div w:id="1673727239">
          <w:marLeft w:val="360"/>
          <w:marRight w:val="0"/>
          <w:marTop w:val="200"/>
          <w:marBottom w:val="0"/>
          <w:divBdr>
            <w:top w:val="none" w:sz="0" w:space="0" w:color="auto"/>
            <w:left w:val="none" w:sz="0" w:space="0" w:color="auto"/>
            <w:bottom w:val="none" w:sz="0" w:space="0" w:color="auto"/>
            <w:right w:val="none" w:sz="0" w:space="0" w:color="auto"/>
          </w:divBdr>
        </w:div>
      </w:divsChild>
    </w:div>
    <w:div w:id="1358703621">
      <w:bodyDiv w:val="1"/>
      <w:marLeft w:val="0"/>
      <w:marRight w:val="0"/>
      <w:marTop w:val="0"/>
      <w:marBottom w:val="0"/>
      <w:divBdr>
        <w:top w:val="none" w:sz="0" w:space="0" w:color="auto"/>
        <w:left w:val="none" w:sz="0" w:space="0" w:color="auto"/>
        <w:bottom w:val="none" w:sz="0" w:space="0" w:color="auto"/>
        <w:right w:val="none" w:sz="0" w:space="0" w:color="auto"/>
      </w:divBdr>
    </w:div>
    <w:div w:id="1363171060">
      <w:bodyDiv w:val="1"/>
      <w:marLeft w:val="0"/>
      <w:marRight w:val="0"/>
      <w:marTop w:val="0"/>
      <w:marBottom w:val="0"/>
      <w:divBdr>
        <w:top w:val="none" w:sz="0" w:space="0" w:color="auto"/>
        <w:left w:val="none" w:sz="0" w:space="0" w:color="auto"/>
        <w:bottom w:val="none" w:sz="0" w:space="0" w:color="auto"/>
        <w:right w:val="none" w:sz="0" w:space="0" w:color="auto"/>
      </w:divBdr>
      <w:divsChild>
        <w:div w:id="73626571">
          <w:marLeft w:val="360"/>
          <w:marRight w:val="0"/>
          <w:marTop w:val="200"/>
          <w:marBottom w:val="0"/>
          <w:divBdr>
            <w:top w:val="none" w:sz="0" w:space="0" w:color="auto"/>
            <w:left w:val="none" w:sz="0" w:space="0" w:color="auto"/>
            <w:bottom w:val="none" w:sz="0" w:space="0" w:color="auto"/>
            <w:right w:val="none" w:sz="0" w:space="0" w:color="auto"/>
          </w:divBdr>
        </w:div>
        <w:div w:id="239101713">
          <w:marLeft w:val="1440"/>
          <w:marRight w:val="0"/>
          <w:marTop w:val="100"/>
          <w:marBottom w:val="0"/>
          <w:divBdr>
            <w:top w:val="none" w:sz="0" w:space="0" w:color="auto"/>
            <w:left w:val="none" w:sz="0" w:space="0" w:color="auto"/>
            <w:bottom w:val="none" w:sz="0" w:space="0" w:color="auto"/>
            <w:right w:val="none" w:sz="0" w:space="0" w:color="auto"/>
          </w:divBdr>
        </w:div>
        <w:div w:id="434324090">
          <w:marLeft w:val="1440"/>
          <w:marRight w:val="0"/>
          <w:marTop w:val="100"/>
          <w:marBottom w:val="0"/>
          <w:divBdr>
            <w:top w:val="none" w:sz="0" w:space="0" w:color="auto"/>
            <w:left w:val="none" w:sz="0" w:space="0" w:color="auto"/>
            <w:bottom w:val="none" w:sz="0" w:space="0" w:color="auto"/>
            <w:right w:val="none" w:sz="0" w:space="0" w:color="auto"/>
          </w:divBdr>
        </w:div>
        <w:div w:id="618343815">
          <w:marLeft w:val="360"/>
          <w:marRight w:val="0"/>
          <w:marTop w:val="200"/>
          <w:marBottom w:val="0"/>
          <w:divBdr>
            <w:top w:val="none" w:sz="0" w:space="0" w:color="auto"/>
            <w:left w:val="none" w:sz="0" w:space="0" w:color="auto"/>
            <w:bottom w:val="none" w:sz="0" w:space="0" w:color="auto"/>
            <w:right w:val="none" w:sz="0" w:space="0" w:color="auto"/>
          </w:divBdr>
        </w:div>
        <w:div w:id="1705054086">
          <w:marLeft w:val="360"/>
          <w:marRight w:val="0"/>
          <w:marTop w:val="200"/>
          <w:marBottom w:val="0"/>
          <w:divBdr>
            <w:top w:val="none" w:sz="0" w:space="0" w:color="auto"/>
            <w:left w:val="none" w:sz="0" w:space="0" w:color="auto"/>
            <w:bottom w:val="none" w:sz="0" w:space="0" w:color="auto"/>
            <w:right w:val="none" w:sz="0" w:space="0" w:color="auto"/>
          </w:divBdr>
        </w:div>
        <w:div w:id="1722092943">
          <w:marLeft w:val="1440"/>
          <w:marRight w:val="0"/>
          <w:marTop w:val="100"/>
          <w:marBottom w:val="0"/>
          <w:divBdr>
            <w:top w:val="none" w:sz="0" w:space="0" w:color="auto"/>
            <w:left w:val="none" w:sz="0" w:space="0" w:color="auto"/>
            <w:bottom w:val="none" w:sz="0" w:space="0" w:color="auto"/>
            <w:right w:val="none" w:sz="0" w:space="0" w:color="auto"/>
          </w:divBdr>
        </w:div>
        <w:div w:id="2041785513">
          <w:marLeft w:val="360"/>
          <w:marRight w:val="0"/>
          <w:marTop w:val="200"/>
          <w:marBottom w:val="0"/>
          <w:divBdr>
            <w:top w:val="none" w:sz="0" w:space="0" w:color="auto"/>
            <w:left w:val="none" w:sz="0" w:space="0" w:color="auto"/>
            <w:bottom w:val="none" w:sz="0" w:space="0" w:color="auto"/>
            <w:right w:val="none" w:sz="0" w:space="0" w:color="auto"/>
          </w:divBdr>
        </w:div>
      </w:divsChild>
    </w:div>
    <w:div w:id="1389188969">
      <w:bodyDiv w:val="1"/>
      <w:marLeft w:val="0"/>
      <w:marRight w:val="0"/>
      <w:marTop w:val="0"/>
      <w:marBottom w:val="0"/>
      <w:divBdr>
        <w:top w:val="none" w:sz="0" w:space="0" w:color="auto"/>
        <w:left w:val="none" w:sz="0" w:space="0" w:color="auto"/>
        <w:bottom w:val="none" w:sz="0" w:space="0" w:color="auto"/>
        <w:right w:val="none" w:sz="0" w:space="0" w:color="auto"/>
      </w:divBdr>
      <w:divsChild>
        <w:div w:id="2068871299">
          <w:marLeft w:val="0"/>
          <w:marRight w:val="0"/>
          <w:marTop w:val="100"/>
          <w:marBottom w:val="100"/>
          <w:divBdr>
            <w:top w:val="none" w:sz="0" w:space="0" w:color="auto"/>
            <w:left w:val="none" w:sz="0" w:space="0" w:color="auto"/>
            <w:bottom w:val="none" w:sz="0" w:space="0" w:color="auto"/>
            <w:right w:val="none" w:sz="0" w:space="0" w:color="auto"/>
          </w:divBdr>
          <w:divsChild>
            <w:div w:id="958947838">
              <w:marLeft w:val="0"/>
              <w:marRight w:val="0"/>
              <w:marTop w:val="0"/>
              <w:marBottom w:val="0"/>
              <w:divBdr>
                <w:top w:val="none" w:sz="0" w:space="0" w:color="auto"/>
                <w:left w:val="none" w:sz="0" w:space="0" w:color="auto"/>
                <w:bottom w:val="none" w:sz="0" w:space="0" w:color="auto"/>
                <w:right w:val="none" w:sz="0" w:space="0" w:color="auto"/>
              </w:divBdr>
              <w:divsChild>
                <w:div w:id="1636521671">
                  <w:marLeft w:val="105"/>
                  <w:marRight w:val="105"/>
                  <w:marTop w:val="150"/>
                  <w:marBottom w:val="150"/>
                  <w:divBdr>
                    <w:top w:val="none" w:sz="0" w:space="0" w:color="auto"/>
                    <w:left w:val="none" w:sz="0" w:space="0" w:color="auto"/>
                    <w:bottom w:val="none" w:sz="0" w:space="0" w:color="auto"/>
                    <w:right w:val="none" w:sz="0" w:space="0" w:color="auto"/>
                  </w:divBdr>
                  <w:divsChild>
                    <w:div w:id="163862927">
                      <w:marLeft w:val="0"/>
                      <w:marRight w:val="0"/>
                      <w:marTop w:val="0"/>
                      <w:marBottom w:val="0"/>
                      <w:divBdr>
                        <w:top w:val="none" w:sz="0" w:space="0" w:color="auto"/>
                        <w:left w:val="none" w:sz="0" w:space="0" w:color="auto"/>
                        <w:bottom w:val="none" w:sz="0" w:space="0" w:color="auto"/>
                        <w:right w:val="none" w:sz="0" w:space="0" w:color="auto"/>
                      </w:divBdr>
                      <w:divsChild>
                        <w:div w:id="1265529444">
                          <w:marLeft w:val="0"/>
                          <w:marRight w:val="0"/>
                          <w:marTop w:val="0"/>
                          <w:marBottom w:val="0"/>
                          <w:divBdr>
                            <w:top w:val="none" w:sz="0" w:space="0" w:color="auto"/>
                            <w:left w:val="none" w:sz="0" w:space="0" w:color="auto"/>
                            <w:bottom w:val="none" w:sz="0" w:space="0" w:color="auto"/>
                            <w:right w:val="none" w:sz="0" w:space="0" w:color="auto"/>
                          </w:divBdr>
                          <w:divsChild>
                            <w:div w:id="114950212">
                              <w:marLeft w:val="0"/>
                              <w:marRight w:val="0"/>
                              <w:marTop w:val="0"/>
                              <w:marBottom w:val="0"/>
                              <w:divBdr>
                                <w:top w:val="none" w:sz="0" w:space="0" w:color="auto"/>
                                <w:left w:val="none" w:sz="0" w:space="0" w:color="auto"/>
                                <w:bottom w:val="none" w:sz="0" w:space="0" w:color="auto"/>
                                <w:right w:val="none" w:sz="0" w:space="0" w:color="auto"/>
                              </w:divBdr>
                              <w:divsChild>
                                <w:div w:id="761101307">
                                  <w:marLeft w:val="105"/>
                                  <w:marRight w:val="105"/>
                                  <w:marTop w:val="150"/>
                                  <w:marBottom w:val="150"/>
                                  <w:divBdr>
                                    <w:top w:val="none" w:sz="0" w:space="0" w:color="auto"/>
                                    <w:left w:val="none" w:sz="0" w:space="0" w:color="auto"/>
                                    <w:bottom w:val="none" w:sz="0" w:space="0" w:color="auto"/>
                                    <w:right w:val="none" w:sz="0" w:space="0" w:color="auto"/>
                                  </w:divBdr>
                                  <w:divsChild>
                                    <w:div w:id="1164782683">
                                      <w:marLeft w:val="0"/>
                                      <w:marRight w:val="0"/>
                                      <w:marTop w:val="0"/>
                                      <w:marBottom w:val="0"/>
                                      <w:divBdr>
                                        <w:top w:val="none" w:sz="0" w:space="0" w:color="auto"/>
                                        <w:left w:val="none" w:sz="0" w:space="0" w:color="auto"/>
                                        <w:bottom w:val="none" w:sz="0" w:space="0" w:color="auto"/>
                                        <w:right w:val="none" w:sz="0" w:space="0" w:color="auto"/>
                                      </w:divBdr>
                                      <w:divsChild>
                                        <w:div w:id="1303002345">
                                          <w:marLeft w:val="0"/>
                                          <w:marRight w:val="0"/>
                                          <w:marTop w:val="0"/>
                                          <w:marBottom w:val="0"/>
                                          <w:divBdr>
                                            <w:top w:val="none" w:sz="0" w:space="0" w:color="auto"/>
                                            <w:left w:val="none" w:sz="0" w:space="0" w:color="auto"/>
                                            <w:bottom w:val="none" w:sz="0" w:space="0" w:color="auto"/>
                                            <w:right w:val="none" w:sz="0" w:space="0" w:color="auto"/>
                                          </w:divBdr>
                                          <w:divsChild>
                                            <w:div w:id="1293973661">
                                              <w:marLeft w:val="0"/>
                                              <w:marRight w:val="0"/>
                                              <w:marTop w:val="0"/>
                                              <w:marBottom w:val="0"/>
                                              <w:divBdr>
                                                <w:top w:val="none" w:sz="0" w:space="0" w:color="auto"/>
                                                <w:left w:val="none" w:sz="0" w:space="0" w:color="auto"/>
                                                <w:bottom w:val="none" w:sz="0" w:space="0" w:color="auto"/>
                                                <w:right w:val="none" w:sz="0" w:space="0" w:color="auto"/>
                                              </w:divBdr>
                                              <w:divsChild>
                                                <w:div w:id="760679610">
                                                  <w:marLeft w:val="0"/>
                                                  <w:marRight w:val="0"/>
                                                  <w:marTop w:val="0"/>
                                                  <w:marBottom w:val="0"/>
                                                  <w:divBdr>
                                                    <w:top w:val="none" w:sz="0" w:space="0" w:color="auto"/>
                                                    <w:left w:val="none" w:sz="0" w:space="0" w:color="auto"/>
                                                    <w:bottom w:val="none" w:sz="0" w:space="0" w:color="auto"/>
                                                    <w:right w:val="none" w:sz="0" w:space="0" w:color="auto"/>
                                                  </w:divBdr>
                                                  <w:divsChild>
                                                    <w:div w:id="269319238">
                                                      <w:marLeft w:val="105"/>
                                                      <w:marRight w:val="105"/>
                                                      <w:marTop w:val="150"/>
                                                      <w:marBottom w:val="150"/>
                                                      <w:divBdr>
                                                        <w:top w:val="none" w:sz="0" w:space="0" w:color="auto"/>
                                                        <w:left w:val="none" w:sz="0" w:space="0" w:color="auto"/>
                                                        <w:bottom w:val="none" w:sz="0" w:space="0" w:color="auto"/>
                                                        <w:right w:val="none" w:sz="0" w:space="0" w:color="auto"/>
                                                      </w:divBdr>
                                                      <w:divsChild>
                                                        <w:div w:id="82577115">
                                                          <w:marLeft w:val="0"/>
                                                          <w:marRight w:val="0"/>
                                                          <w:marTop w:val="0"/>
                                                          <w:marBottom w:val="0"/>
                                                          <w:divBdr>
                                                            <w:top w:val="none" w:sz="0" w:space="0" w:color="auto"/>
                                                            <w:left w:val="none" w:sz="0" w:space="0" w:color="auto"/>
                                                            <w:bottom w:val="none" w:sz="0" w:space="0" w:color="auto"/>
                                                            <w:right w:val="none" w:sz="0" w:space="0" w:color="auto"/>
                                                          </w:divBdr>
                                                          <w:divsChild>
                                                            <w:div w:id="1376933087">
                                                              <w:marLeft w:val="0"/>
                                                              <w:marRight w:val="0"/>
                                                              <w:marTop w:val="0"/>
                                                              <w:marBottom w:val="0"/>
                                                              <w:divBdr>
                                                                <w:top w:val="none" w:sz="0" w:space="0" w:color="auto"/>
                                                                <w:left w:val="none" w:sz="0" w:space="0" w:color="auto"/>
                                                                <w:bottom w:val="none" w:sz="0" w:space="0" w:color="auto"/>
                                                                <w:right w:val="none" w:sz="0" w:space="0" w:color="auto"/>
                                                              </w:divBdr>
                                                              <w:divsChild>
                                                                <w:div w:id="906764432">
                                                                  <w:marLeft w:val="0"/>
                                                                  <w:marRight w:val="0"/>
                                                                  <w:marTop w:val="0"/>
                                                                  <w:marBottom w:val="0"/>
                                                                  <w:divBdr>
                                                                    <w:top w:val="none" w:sz="0" w:space="0" w:color="auto"/>
                                                                    <w:left w:val="none" w:sz="0" w:space="0" w:color="auto"/>
                                                                    <w:bottom w:val="none" w:sz="0" w:space="0" w:color="auto"/>
                                                                    <w:right w:val="none" w:sz="0" w:space="0" w:color="auto"/>
                                                                  </w:divBdr>
                                                                  <w:divsChild>
                                                                    <w:div w:id="378165502">
                                                                      <w:marLeft w:val="0"/>
                                                                      <w:marRight w:val="0"/>
                                                                      <w:marTop w:val="0"/>
                                                                      <w:marBottom w:val="0"/>
                                                                      <w:divBdr>
                                                                        <w:top w:val="none" w:sz="0" w:space="0" w:color="auto"/>
                                                                        <w:left w:val="none" w:sz="0" w:space="0" w:color="auto"/>
                                                                        <w:bottom w:val="none" w:sz="0" w:space="0" w:color="auto"/>
                                                                        <w:right w:val="none" w:sz="0" w:space="0" w:color="auto"/>
                                                                      </w:divBdr>
                                                                      <w:divsChild>
                                                                        <w:div w:id="92435655">
                                                                          <w:marLeft w:val="105"/>
                                                                          <w:marRight w:val="105"/>
                                                                          <w:marTop w:val="150"/>
                                                                          <w:marBottom w:val="150"/>
                                                                          <w:divBdr>
                                                                            <w:top w:val="none" w:sz="0" w:space="0" w:color="auto"/>
                                                                            <w:left w:val="none" w:sz="0" w:space="0" w:color="auto"/>
                                                                            <w:bottom w:val="none" w:sz="0" w:space="0" w:color="auto"/>
                                                                            <w:right w:val="none" w:sz="0" w:space="0" w:color="auto"/>
                                                                          </w:divBdr>
                                                                          <w:divsChild>
                                                                            <w:div w:id="76752912">
                                                                              <w:marLeft w:val="0"/>
                                                                              <w:marRight w:val="0"/>
                                                                              <w:marTop w:val="0"/>
                                                                              <w:marBottom w:val="0"/>
                                                                              <w:divBdr>
                                                                                <w:top w:val="none" w:sz="0" w:space="0" w:color="auto"/>
                                                                                <w:left w:val="none" w:sz="0" w:space="0" w:color="auto"/>
                                                                                <w:bottom w:val="none" w:sz="0" w:space="0" w:color="auto"/>
                                                                                <w:right w:val="none" w:sz="0" w:space="0" w:color="auto"/>
                                                                              </w:divBdr>
                                                                              <w:divsChild>
                                                                                <w:div w:id="1189758751">
                                                                                  <w:marLeft w:val="0"/>
                                                                                  <w:marRight w:val="0"/>
                                                                                  <w:marTop w:val="0"/>
                                                                                  <w:marBottom w:val="0"/>
                                                                                  <w:divBdr>
                                                                                    <w:top w:val="none" w:sz="0" w:space="0" w:color="auto"/>
                                                                                    <w:left w:val="none" w:sz="0" w:space="0" w:color="auto"/>
                                                                                    <w:bottom w:val="none" w:sz="0" w:space="0" w:color="auto"/>
                                                                                    <w:right w:val="none" w:sz="0" w:space="0" w:color="auto"/>
                                                                                  </w:divBdr>
                                                                                  <w:divsChild>
                                                                                    <w:div w:id="1990942401">
                                                                                      <w:marLeft w:val="0"/>
                                                                                      <w:marRight w:val="0"/>
                                                                                      <w:marTop w:val="0"/>
                                                                                      <w:marBottom w:val="0"/>
                                                                                      <w:divBdr>
                                                                                        <w:top w:val="none" w:sz="0" w:space="0" w:color="auto"/>
                                                                                        <w:left w:val="none" w:sz="0" w:space="0" w:color="auto"/>
                                                                                        <w:bottom w:val="none" w:sz="0" w:space="0" w:color="auto"/>
                                                                                        <w:right w:val="none" w:sz="0" w:space="0" w:color="auto"/>
                                                                                      </w:divBdr>
                                                                                      <w:divsChild>
                                                                                        <w:div w:id="1083725213">
                                                                                          <w:marLeft w:val="105"/>
                                                                                          <w:marRight w:val="105"/>
                                                                                          <w:marTop w:val="150"/>
                                                                                          <w:marBottom w:val="150"/>
                                                                                          <w:divBdr>
                                                                                            <w:top w:val="none" w:sz="0" w:space="0" w:color="auto"/>
                                                                                            <w:left w:val="none" w:sz="0" w:space="0" w:color="auto"/>
                                                                                            <w:bottom w:val="none" w:sz="0" w:space="0" w:color="auto"/>
                                                                                            <w:right w:val="none" w:sz="0" w:space="0" w:color="auto"/>
                                                                                          </w:divBdr>
                                                                                          <w:divsChild>
                                                                                            <w:div w:id="1069303895">
                                                                                              <w:marLeft w:val="0"/>
                                                                                              <w:marRight w:val="0"/>
                                                                                              <w:marTop w:val="0"/>
                                                                                              <w:marBottom w:val="0"/>
                                                                                              <w:divBdr>
                                                                                                <w:top w:val="none" w:sz="0" w:space="0" w:color="auto"/>
                                                                                                <w:left w:val="none" w:sz="0" w:space="0" w:color="auto"/>
                                                                                                <w:bottom w:val="none" w:sz="0" w:space="0" w:color="auto"/>
                                                                                                <w:right w:val="none" w:sz="0" w:space="0" w:color="auto"/>
                                                                                              </w:divBdr>
                                                                                              <w:divsChild>
                                                                                                <w:div w:id="1664310413">
                                                                                                  <w:marLeft w:val="0"/>
                                                                                                  <w:marRight w:val="0"/>
                                                                                                  <w:marTop w:val="0"/>
                                                                                                  <w:marBottom w:val="0"/>
                                                                                                  <w:divBdr>
                                                                                                    <w:top w:val="none" w:sz="0" w:space="0" w:color="auto"/>
                                                                                                    <w:left w:val="none" w:sz="0" w:space="0" w:color="auto"/>
                                                                                                    <w:bottom w:val="none" w:sz="0" w:space="0" w:color="auto"/>
                                                                                                    <w:right w:val="none" w:sz="0" w:space="0" w:color="auto"/>
                                                                                                  </w:divBdr>
                                                                                                  <w:divsChild>
                                                                                                    <w:div w:id="2105223951">
                                                                                                      <w:marLeft w:val="0"/>
                                                                                                      <w:marRight w:val="0"/>
                                                                                                      <w:marTop w:val="0"/>
                                                                                                      <w:marBottom w:val="0"/>
                                                                                                      <w:divBdr>
                                                                                                        <w:top w:val="none" w:sz="0" w:space="0" w:color="auto"/>
                                                                                                        <w:left w:val="none" w:sz="0" w:space="0" w:color="auto"/>
                                                                                                        <w:bottom w:val="none" w:sz="0" w:space="0" w:color="auto"/>
                                                                                                        <w:right w:val="none" w:sz="0" w:space="0" w:color="auto"/>
                                                                                                      </w:divBdr>
                                                                                                      <w:divsChild>
                                                                                                        <w:div w:id="712074564">
                                                                                                          <w:marLeft w:val="0"/>
                                                                                                          <w:marRight w:val="0"/>
                                                                                                          <w:marTop w:val="0"/>
                                                                                                          <w:marBottom w:val="0"/>
                                                                                                          <w:divBdr>
                                                                                                            <w:top w:val="none" w:sz="0" w:space="0" w:color="auto"/>
                                                                                                            <w:left w:val="none" w:sz="0" w:space="0" w:color="auto"/>
                                                                                                            <w:bottom w:val="none" w:sz="0" w:space="0" w:color="auto"/>
                                                                                                            <w:right w:val="none" w:sz="0" w:space="0" w:color="auto"/>
                                                                                                          </w:divBdr>
                                                                                                          <w:divsChild>
                                                                                                            <w:div w:id="1288245947">
                                                                                                              <w:marLeft w:val="0"/>
                                                                                                              <w:marRight w:val="0"/>
                                                                                                              <w:marTop w:val="0"/>
                                                                                                              <w:marBottom w:val="0"/>
                                                                                                              <w:divBdr>
                                                                                                                <w:top w:val="none" w:sz="0" w:space="0" w:color="auto"/>
                                                                                                                <w:left w:val="none" w:sz="0" w:space="0" w:color="auto"/>
                                                                                                                <w:bottom w:val="none" w:sz="0" w:space="0" w:color="auto"/>
                                                                                                                <w:right w:val="none" w:sz="0" w:space="0" w:color="auto"/>
                                                                                                              </w:divBdr>
                                                                                                              <w:divsChild>
                                                                                                                <w:div w:id="71900531">
                                                                                                                  <w:marLeft w:val="105"/>
                                                                                                                  <w:marRight w:val="105"/>
                                                                                                                  <w:marTop w:val="150"/>
                                                                                                                  <w:marBottom w:val="150"/>
                                                                                                                  <w:divBdr>
                                                                                                                    <w:top w:val="none" w:sz="0" w:space="0" w:color="auto"/>
                                                                                                                    <w:left w:val="none" w:sz="0" w:space="0" w:color="auto"/>
                                                                                                                    <w:bottom w:val="none" w:sz="0" w:space="0" w:color="auto"/>
                                                                                                                    <w:right w:val="none" w:sz="0" w:space="0" w:color="auto"/>
                                                                                                                  </w:divBdr>
                                                                                                                  <w:divsChild>
                                                                                                                    <w:div w:id="288979386">
                                                                                                                      <w:marLeft w:val="0"/>
                                                                                                                      <w:marRight w:val="0"/>
                                                                                                                      <w:marTop w:val="0"/>
                                                                                                                      <w:marBottom w:val="0"/>
                                                                                                                      <w:divBdr>
                                                                                                                        <w:top w:val="none" w:sz="0" w:space="0" w:color="auto"/>
                                                                                                                        <w:left w:val="none" w:sz="0" w:space="0" w:color="auto"/>
                                                                                                                        <w:bottom w:val="none" w:sz="0" w:space="0" w:color="auto"/>
                                                                                                                        <w:right w:val="none" w:sz="0" w:space="0" w:color="auto"/>
                                                                                                                      </w:divBdr>
                                                                                                                      <w:divsChild>
                                                                                                                        <w:div w:id="1963730016">
                                                                                                                          <w:marLeft w:val="0"/>
                                                                                                                          <w:marRight w:val="0"/>
                                                                                                                          <w:marTop w:val="0"/>
                                                                                                                          <w:marBottom w:val="0"/>
                                                                                                                          <w:divBdr>
                                                                                                                            <w:top w:val="none" w:sz="0" w:space="0" w:color="auto"/>
                                                                                                                            <w:left w:val="none" w:sz="0" w:space="0" w:color="auto"/>
                                                                                                                            <w:bottom w:val="none" w:sz="0" w:space="0" w:color="auto"/>
                                                                                                                            <w:right w:val="none" w:sz="0" w:space="0" w:color="auto"/>
                                                                                                                          </w:divBdr>
                                                                                                                          <w:divsChild>
                                                                                                                            <w:div w:id="21085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84055">
      <w:bodyDiv w:val="1"/>
      <w:marLeft w:val="0"/>
      <w:marRight w:val="0"/>
      <w:marTop w:val="0"/>
      <w:marBottom w:val="0"/>
      <w:divBdr>
        <w:top w:val="none" w:sz="0" w:space="0" w:color="auto"/>
        <w:left w:val="none" w:sz="0" w:space="0" w:color="auto"/>
        <w:bottom w:val="none" w:sz="0" w:space="0" w:color="auto"/>
        <w:right w:val="none" w:sz="0" w:space="0" w:color="auto"/>
      </w:divBdr>
    </w:div>
    <w:div w:id="1523011146">
      <w:bodyDiv w:val="1"/>
      <w:marLeft w:val="0"/>
      <w:marRight w:val="0"/>
      <w:marTop w:val="0"/>
      <w:marBottom w:val="0"/>
      <w:divBdr>
        <w:top w:val="none" w:sz="0" w:space="0" w:color="auto"/>
        <w:left w:val="none" w:sz="0" w:space="0" w:color="auto"/>
        <w:bottom w:val="none" w:sz="0" w:space="0" w:color="auto"/>
        <w:right w:val="none" w:sz="0" w:space="0" w:color="auto"/>
      </w:divBdr>
      <w:divsChild>
        <w:div w:id="1891187802">
          <w:marLeft w:val="360"/>
          <w:marRight w:val="0"/>
          <w:marTop w:val="200"/>
          <w:marBottom w:val="0"/>
          <w:divBdr>
            <w:top w:val="none" w:sz="0" w:space="0" w:color="auto"/>
            <w:left w:val="none" w:sz="0" w:space="0" w:color="auto"/>
            <w:bottom w:val="none" w:sz="0" w:space="0" w:color="auto"/>
            <w:right w:val="none" w:sz="0" w:space="0" w:color="auto"/>
          </w:divBdr>
        </w:div>
      </w:divsChild>
    </w:div>
    <w:div w:id="1666544312">
      <w:bodyDiv w:val="1"/>
      <w:marLeft w:val="0"/>
      <w:marRight w:val="0"/>
      <w:marTop w:val="0"/>
      <w:marBottom w:val="0"/>
      <w:divBdr>
        <w:top w:val="none" w:sz="0" w:space="0" w:color="auto"/>
        <w:left w:val="none" w:sz="0" w:space="0" w:color="auto"/>
        <w:bottom w:val="none" w:sz="0" w:space="0" w:color="auto"/>
        <w:right w:val="none" w:sz="0" w:space="0" w:color="auto"/>
      </w:divBdr>
    </w:div>
    <w:div w:id="1701778731">
      <w:bodyDiv w:val="1"/>
      <w:marLeft w:val="0"/>
      <w:marRight w:val="0"/>
      <w:marTop w:val="0"/>
      <w:marBottom w:val="0"/>
      <w:divBdr>
        <w:top w:val="none" w:sz="0" w:space="0" w:color="auto"/>
        <w:left w:val="none" w:sz="0" w:space="0" w:color="auto"/>
        <w:bottom w:val="none" w:sz="0" w:space="0" w:color="auto"/>
        <w:right w:val="none" w:sz="0" w:space="0" w:color="auto"/>
      </w:divBdr>
      <w:divsChild>
        <w:div w:id="1762337697">
          <w:marLeft w:val="0"/>
          <w:marRight w:val="0"/>
          <w:marTop w:val="0"/>
          <w:marBottom w:val="0"/>
          <w:divBdr>
            <w:top w:val="none" w:sz="0" w:space="0" w:color="auto"/>
            <w:left w:val="none" w:sz="0" w:space="0" w:color="auto"/>
            <w:bottom w:val="none" w:sz="0" w:space="0" w:color="auto"/>
            <w:right w:val="none" w:sz="0" w:space="0" w:color="auto"/>
          </w:divBdr>
          <w:divsChild>
            <w:div w:id="1125465462">
              <w:marLeft w:val="0"/>
              <w:marRight w:val="0"/>
              <w:marTop w:val="0"/>
              <w:marBottom w:val="0"/>
              <w:divBdr>
                <w:top w:val="none" w:sz="0" w:space="0" w:color="auto"/>
                <w:left w:val="none" w:sz="0" w:space="0" w:color="auto"/>
                <w:bottom w:val="none" w:sz="0" w:space="0" w:color="auto"/>
                <w:right w:val="none" w:sz="0" w:space="0" w:color="auto"/>
              </w:divBdr>
              <w:divsChild>
                <w:div w:id="684135480">
                  <w:marLeft w:val="200"/>
                  <w:marRight w:val="200"/>
                  <w:marTop w:val="0"/>
                  <w:marBottom w:val="0"/>
                  <w:divBdr>
                    <w:top w:val="none" w:sz="0" w:space="0" w:color="auto"/>
                    <w:left w:val="none" w:sz="0" w:space="0" w:color="auto"/>
                    <w:bottom w:val="none" w:sz="0" w:space="0" w:color="auto"/>
                    <w:right w:val="none" w:sz="0" w:space="0" w:color="auto"/>
                  </w:divBdr>
                  <w:divsChild>
                    <w:div w:id="76177439">
                      <w:marLeft w:val="200"/>
                      <w:marRight w:val="200"/>
                      <w:marTop w:val="0"/>
                      <w:marBottom w:val="0"/>
                      <w:divBdr>
                        <w:top w:val="none" w:sz="0" w:space="0" w:color="auto"/>
                        <w:left w:val="none" w:sz="0" w:space="0" w:color="auto"/>
                        <w:bottom w:val="none" w:sz="0" w:space="0" w:color="auto"/>
                        <w:right w:val="none" w:sz="0" w:space="0" w:color="auto"/>
                      </w:divBdr>
                      <w:divsChild>
                        <w:div w:id="1064910682">
                          <w:marLeft w:val="0"/>
                          <w:marRight w:val="0"/>
                          <w:marTop w:val="0"/>
                          <w:marBottom w:val="0"/>
                          <w:divBdr>
                            <w:top w:val="none" w:sz="0" w:space="0" w:color="auto"/>
                            <w:left w:val="none" w:sz="0" w:space="0" w:color="auto"/>
                            <w:bottom w:val="none" w:sz="0" w:space="0" w:color="auto"/>
                            <w:right w:val="none" w:sz="0" w:space="0" w:color="auto"/>
                          </w:divBdr>
                          <w:divsChild>
                            <w:div w:id="2115132411">
                              <w:marLeft w:val="0"/>
                              <w:marRight w:val="0"/>
                              <w:marTop w:val="0"/>
                              <w:marBottom w:val="0"/>
                              <w:divBdr>
                                <w:top w:val="none" w:sz="0" w:space="0" w:color="auto"/>
                                <w:left w:val="none" w:sz="0" w:space="0" w:color="auto"/>
                                <w:bottom w:val="none" w:sz="0" w:space="0" w:color="auto"/>
                                <w:right w:val="none" w:sz="0" w:space="0" w:color="auto"/>
                              </w:divBdr>
                              <w:divsChild>
                                <w:div w:id="780760789">
                                  <w:marLeft w:val="0"/>
                                  <w:marRight w:val="0"/>
                                  <w:marTop w:val="0"/>
                                  <w:marBottom w:val="0"/>
                                  <w:divBdr>
                                    <w:top w:val="none" w:sz="0" w:space="0" w:color="auto"/>
                                    <w:left w:val="none" w:sz="0" w:space="0" w:color="auto"/>
                                    <w:bottom w:val="none" w:sz="0" w:space="0" w:color="auto"/>
                                    <w:right w:val="none" w:sz="0" w:space="0" w:color="auto"/>
                                  </w:divBdr>
                                  <w:divsChild>
                                    <w:div w:id="589504422">
                                      <w:marLeft w:val="0"/>
                                      <w:marRight w:val="0"/>
                                      <w:marTop w:val="0"/>
                                      <w:marBottom w:val="0"/>
                                      <w:divBdr>
                                        <w:top w:val="none" w:sz="0" w:space="0" w:color="auto"/>
                                        <w:left w:val="none" w:sz="0" w:space="0" w:color="auto"/>
                                        <w:bottom w:val="none" w:sz="0" w:space="0" w:color="auto"/>
                                        <w:right w:val="none" w:sz="0" w:space="0" w:color="auto"/>
                                      </w:divBdr>
                                      <w:divsChild>
                                        <w:div w:id="1406342200">
                                          <w:marLeft w:val="0"/>
                                          <w:marRight w:val="0"/>
                                          <w:marTop w:val="0"/>
                                          <w:marBottom w:val="0"/>
                                          <w:divBdr>
                                            <w:top w:val="none" w:sz="0" w:space="0" w:color="auto"/>
                                            <w:left w:val="none" w:sz="0" w:space="0" w:color="auto"/>
                                            <w:bottom w:val="none" w:sz="0" w:space="0" w:color="auto"/>
                                            <w:right w:val="none" w:sz="0" w:space="0" w:color="auto"/>
                                          </w:divBdr>
                                          <w:divsChild>
                                            <w:div w:id="795216709">
                                              <w:marLeft w:val="0"/>
                                              <w:marRight w:val="0"/>
                                              <w:marTop w:val="0"/>
                                              <w:marBottom w:val="0"/>
                                              <w:divBdr>
                                                <w:top w:val="none" w:sz="0" w:space="0" w:color="auto"/>
                                                <w:left w:val="none" w:sz="0" w:space="0" w:color="auto"/>
                                                <w:bottom w:val="none" w:sz="0" w:space="0" w:color="auto"/>
                                                <w:right w:val="none" w:sz="0" w:space="0" w:color="auto"/>
                                              </w:divBdr>
                                              <w:divsChild>
                                                <w:div w:id="2670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700324">
      <w:bodyDiv w:val="1"/>
      <w:marLeft w:val="0"/>
      <w:marRight w:val="0"/>
      <w:marTop w:val="0"/>
      <w:marBottom w:val="0"/>
      <w:divBdr>
        <w:top w:val="none" w:sz="0" w:space="0" w:color="auto"/>
        <w:left w:val="none" w:sz="0" w:space="0" w:color="auto"/>
        <w:bottom w:val="none" w:sz="0" w:space="0" w:color="auto"/>
        <w:right w:val="none" w:sz="0" w:space="0" w:color="auto"/>
      </w:divBdr>
    </w:div>
    <w:div w:id="1750813360">
      <w:bodyDiv w:val="1"/>
      <w:marLeft w:val="0"/>
      <w:marRight w:val="0"/>
      <w:marTop w:val="0"/>
      <w:marBottom w:val="0"/>
      <w:divBdr>
        <w:top w:val="none" w:sz="0" w:space="0" w:color="auto"/>
        <w:left w:val="none" w:sz="0" w:space="0" w:color="auto"/>
        <w:bottom w:val="none" w:sz="0" w:space="0" w:color="auto"/>
        <w:right w:val="none" w:sz="0" w:space="0" w:color="auto"/>
      </w:divBdr>
    </w:div>
    <w:div w:id="1788311260">
      <w:bodyDiv w:val="1"/>
      <w:marLeft w:val="0"/>
      <w:marRight w:val="0"/>
      <w:marTop w:val="0"/>
      <w:marBottom w:val="0"/>
      <w:divBdr>
        <w:top w:val="none" w:sz="0" w:space="0" w:color="auto"/>
        <w:left w:val="none" w:sz="0" w:space="0" w:color="auto"/>
        <w:bottom w:val="none" w:sz="0" w:space="0" w:color="auto"/>
        <w:right w:val="none" w:sz="0" w:space="0" w:color="auto"/>
      </w:divBdr>
    </w:div>
    <w:div w:id="1996102592">
      <w:bodyDiv w:val="1"/>
      <w:marLeft w:val="0"/>
      <w:marRight w:val="0"/>
      <w:marTop w:val="0"/>
      <w:marBottom w:val="0"/>
      <w:divBdr>
        <w:top w:val="none" w:sz="0" w:space="0" w:color="auto"/>
        <w:left w:val="none" w:sz="0" w:space="0" w:color="auto"/>
        <w:bottom w:val="none" w:sz="0" w:space="0" w:color="auto"/>
        <w:right w:val="none" w:sz="0" w:space="0" w:color="auto"/>
      </w:divBdr>
    </w:div>
    <w:div w:id="2014187475">
      <w:bodyDiv w:val="1"/>
      <w:marLeft w:val="0"/>
      <w:marRight w:val="0"/>
      <w:marTop w:val="0"/>
      <w:marBottom w:val="0"/>
      <w:divBdr>
        <w:top w:val="none" w:sz="0" w:space="0" w:color="auto"/>
        <w:left w:val="none" w:sz="0" w:space="0" w:color="auto"/>
        <w:bottom w:val="none" w:sz="0" w:space="0" w:color="auto"/>
        <w:right w:val="none" w:sz="0" w:space="0" w:color="auto"/>
      </w:divBdr>
    </w:div>
    <w:div w:id="2078244460">
      <w:bodyDiv w:val="1"/>
      <w:marLeft w:val="0"/>
      <w:marRight w:val="0"/>
      <w:marTop w:val="0"/>
      <w:marBottom w:val="0"/>
      <w:divBdr>
        <w:top w:val="none" w:sz="0" w:space="0" w:color="auto"/>
        <w:left w:val="none" w:sz="0" w:space="0" w:color="auto"/>
        <w:bottom w:val="none" w:sz="0" w:space="0" w:color="auto"/>
        <w:right w:val="none" w:sz="0" w:space="0" w:color="auto"/>
      </w:divBdr>
      <w:divsChild>
        <w:div w:id="26877747">
          <w:marLeft w:val="1080"/>
          <w:marRight w:val="0"/>
          <w:marTop w:val="100"/>
          <w:marBottom w:val="0"/>
          <w:divBdr>
            <w:top w:val="none" w:sz="0" w:space="0" w:color="auto"/>
            <w:left w:val="none" w:sz="0" w:space="0" w:color="auto"/>
            <w:bottom w:val="none" w:sz="0" w:space="0" w:color="auto"/>
            <w:right w:val="none" w:sz="0" w:space="0" w:color="auto"/>
          </w:divBdr>
        </w:div>
        <w:div w:id="363795301">
          <w:marLeft w:val="1080"/>
          <w:marRight w:val="0"/>
          <w:marTop w:val="100"/>
          <w:marBottom w:val="0"/>
          <w:divBdr>
            <w:top w:val="none" w:sz="0" w:space="0" w:color="auto"/>
            <w:left w:val="none" w:sz="0" w:space="0" w:color="auto"/>
            <w:bottom w:val="none" w:sz="0" w:space="0" w:color="auto"/>
            <w:right w:val="none" w:sz="0" w:space="0" w:color="auto"/>
          </w:divBdr>
        </w:div>
        <w:div w:id="1006634348">
          <w:marLeft w:val="1080"/>
          <w:marRight w:val="0"/>
          <w:marTop w:val="100"/>
          <w:marBottom w:val="0"/>
          <w:divBdr>
            <w:top w:val="none" w:sz="0" w:space="0" w:color="auto"/>
            <w:left w:val="none" w:sz="0" w:space="0" w:color="auto"/>
            <w:bottom w:val="none" w:sz="0" w:space="0" w:color="auto"/>
            <w:right w:val="none" w:sz="0" w:space="0" w:color="auto"/>
          </w:divBdr>
        </w:div>
        <w:div w:id="1055785439">
          <w:marLeft w:val="1080"/>
          <w:marRight w:val="0"/>
          <w:marTop w:val="100"/>
          <w:marBottom w:val="0"/>
          <w:divBdr>
            <w:top w:val="none" w:sz="0" w:space="0" w:color="auto"/>
            <w:left w:val="none" w:sz="0" w:space="0" w:color="auto"/>
            <w:bottom w:val="none" w:sz="0" w:space="0" w:color="auto"/>
            <w:right w:val="none" w:sz="0" w:space="0" w:color="auto"/>
          </w:divBdr>
        </w:div>
      </w:divsChild>
    </w:div>
    <w:div w:id="21094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5DAA-75C3-44B4-8377-6762B2BC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7293</Words>
  <Characters>40742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Skeleton for IgE paper</vt:lpstr>
    </vt:vector>
  </TitlesOfParts>
  <Company>Microsoft</Company>
  <LinksUpToDate>false</LinksUpToDate>
  <CharactersWithSpaces>47940</CharactersWithSpaces>
  <SharedDoc>false</SharedDoc>
  <HLinks>
    <vt:vector size="102" baseType="variant">
      <vt:variant>
        <vt:i4>4521995</vt:i4>
      </vt:variant>
      <vt:variant>
        <vt:i4>104</vt:i4>
      </vt:variant>
      <vt:variant>
        <vt:i4>0</vt:i4>
      </vt:variant>
      <vt:variant>
        <vt:i4>5</vt:i4>
      </vt:variant>
      <vt:variant>
        <vt:lpwstr/>
      </vt:variant>
      <vt:variant>
        <vt:lpwstr>_ENREF_4</vt:lpwstr>
      </vt:variant>
      <vt:variant>
        <vt:i4>4194315</vt:i4>
      </vt:variant>
      <vt:variant>
        <vt:i4>98</vt:i4>
      </vt:variant>
      <vt:variant>
        <vt:i4>0</vt:i4>
      </vt:variant>
      <vt:variant>
        <vt:i4>5</vt:i4>
      </vt:variant>
      <vt:variant>
        <vt:lpwstr/>
      </vt:variant>
      <vt:variant>
        <vt:lpwstr>_ENREF_13</vt:lpwstr>
      </vt:variant>
      <vt:variant>
        <vt:i4>4456459</vt:i4>
      </vt:variant>
      <vt:variant>
        <vt:i4>94</vt:i4>
      </vt:variant>
      <vt:variant>
        <vt:i4>0</vt:i4>
      </vt:variant>
      <vt:variant>
        <vt:i4>5</vt:i4>
      </vt:variant>
      <vt:variant>
        <vt:lpwstr/>
      </vt:variant>
      <vt:variant>
        <vt:lpwstr>_ENREF_5</vt:lpwstr>
      </vt:variant>
      <vt:variant>
        <vt:i4>4521995</vt:i4>
      </vt:variant>
      <vt:variant>
        <vt:i4>91</vt:i4>
      </vt:variant>
      <vt:variant>
        <vt:i4>0</vt:i4>
      </vt:variant>
      <vt:variant>
        <vt:i4>5</vt:i4>
      </vt:variant>
      <vt:variant>
        <vt:lpwstr/>
      </vt:variant>
      <vt:variant>
        <vt:lpwstr>_ENREF_4</vt:lpwstr>
      </vt:variant>
      <vt:variant>
        <vt:i4>4194315</vt:i4>
      </vt:variant>
      <vt:variant>
        <vt:i4>81</vt:i4>
      </vt:variant>
      <vt:variant>
        <vt:i4>0</vt:i4>
      </vt:variant>
      <vt:variant>
        <vt:i4>5</vt:i4>
      </vt:variant>
      <vt:variant>
        <vt:lpwstr/>
      </vt:variant>
      <vt:variant>
        <vt:lpwstr>_ENREF_12</vt:lpwstr>
      </vt:variant>
      <vt:variant>
        <vt:i4>4521995</vt:i4>
      </vt:variant>
      <vt:variant>
        <vt:i4>73</vt:i4>
      </vt:variant>
      <vt:variant>
        <vt:i4>0</vt:i4>
      </vt:variant>
      <vt:variant>
        <vt:i4>5</vt:i4>
      </vt:variant>
      <vt:variant>
        <vt:lpwstr/>
      </vt:variant>
      <vt:variant>
        <vt:lpwstr>_ENREF_4</vt:lpwstr>
      </vt:variant>
      <vt:variant>
        <vt:i4>4194315</vt:i4>
      </vt:variant>
      <vt:variant>
        <vt:i4>65</vt:i4>
      </vt:variant>
      <vt:variant>
        <vt:i4>0</vt:i4>
      </vt:variant>
      <vt:variant>
        <vt:i4>5</vt:i4>
      </vt:variant>
      <vt:variant>
        <vt:lpwstr/>
      </vt:variant>
      <vt:variant>
        <vt:lpwstr>_ENREF_11</vt:lpwstr>
      </vt:variant>
      <vt:variant>
        <vt:i4>4194315</vt:i4>
      </vt:variant>
      <vt:variant>
        <vt:i4>57</vt:i4>
      </vt:variant>
      <vt:variant>
        <vt:i4>0</vt:i4>
      </vt:variant>
      <vt:variant>
        <vt:i4>5</vt:i4>
      </vt:variant>
      <vt:variant>
        <vt:lpwstr/>
      </vt:variant>
      <vt:variant>
        <vt:lpwstr>_ENREF_10</vt:lpwstr>
      </vt:variant>
      <vt:variant>
        <vt:i4>4718603</vt:i4>
      </vt:variant>
      <vt:variant>
        <vt:i4>49</vt:i4>
      </vt:variant>
      <vt:variant>
        <vt:i4>0</vt:i4>
      </vt:variant>
      <vt:variant>
        <vt:i4>5</vt:i4>
      </vt:variant>
      <vt:variant>
        <vt:lpwstr/>
      </vt:variant>
      <vt:variant>
        <vt:lpwstr>_ENREF_9</vt:lpwstr>
      </vt:variant>
      <vt:variant>
        <vt:i4>4784139</vt:i4>
      </vt:variant>
      <vt:variant>
        <vt:i4>43</vt:i4>
      </vt:variant>
      <vt:variant>
        <vt:i4>0</vt:i4>
      </vt:variant>
      <vt:variant>
        <vt:i4>5</vt:i4>
      </vt:variant>
      <vt:variant>
        <vt:lpwstr/>
      </vt:variant>
      <vt:variant>
        <vt:lpwstr>_ENREF_8</vt:lpwstr>
      </vt:variant>
      <vt:variant>
        <vt:i4>4587531</vt:i4>
      </vt:variant>
      <vt:variant>
        <vt:i4>37</vt:i4>
      </vt:variant>
      <vt:variant>
        <vt:i4>0</vt:i4>
      </vt:variant>
      <vt:variant>
        <vt:i4>5</vt:i4>
      </vt:variant>
      <vt:variant>
        <vt:lpwstr/>
      </vt:variant>
      <vt:variant>
        <vt:lpwstr>_ENREF_7</vt:lpwstr>
      </vt:variant>
      <vt:variant>
        <vt:i4>4521995</vt:i4>
      </vt:variant>
      <vt:variant>
        <vt:i4>29</vt:i4>
      </vt:variant>
      <vt:variant>
        <vt:i4>0</vt:i4>
      </vt:variant>
      <vt:variant>
        <vt:i4>5</vt:i4>
      </vt:variant>
      <vt:variant>
        <vt:lpwstr/>
      </vt:variant>
      <vt:variant>
        <vt:lpwstr>_ENREF_4</vt:lpwstr>
      </vt:variant>
      <vt:variant>
        <vt:i4>4325387</vt:i4>
      </vt:variant>
      <vt:variant>
        <vt:i4>23</vt:i4>
      </vt:variant>
      <vt:variant>
        <vt:i4>0</vt:i4>
      </vt:variant>
      <vt:variant>
        <vt:i4>5</vt:i4>
      </vt:variant>
      <vt:variant>
        <vt:lpwstr/>
      </vt:variant>
      <vt:variant>
        <vt:lpwstr>_ENREF_3</vt:lpwstr>
      </vt:variant>
      <vt:variant>
        <vt:i4>4194315</vt:i4>
      </vt:variant>
      <vt:variant>
        <vt:i4>17</vt:i4>
      </vt:variant>
      <vt:variant>
        <vt:i4>0</vt:i4>
      </vt:variant>
      <vt:variant>
        <vt:i4>5</vt:i4>
      </vt:variant>
      <vt:variant>
        <vt:lpwstr/>
      </vt:variant>
      <vt:variant>
        <vt:lpwstr>_ENREF_1</vt:lpwstr>
      </vt:variant>
      <vt:variant>
        <vt:i4>4390923</vt:i4>
      </vt:variant>
      <vt:variant>
        <vt:i4>9</vt:i4>
      </vt:variant>
      <vt:variant>
        <vt:i4>0</vt:i4>
      </vt:variant>
      <vt:variant>
        <vt:i4>5</vt:i4>
      </vt:variant>
      <vt:variant>
        <vt:lpwstr/>
      </vt:variant>
      <vt:variant>
        <vt:lpwstr>_ENREF_2</vt:lpwstr>
      </vt:variant>
      <vt:variant>
        <vt:i4>4194315</vt:i4>
      </vt:variant>
      <vt:variant>
        <vt:i4>3</vt:i4>
      </vt:variant>
      <vt:variant>
        <vt:i4>0</vt:i4>
      </vt:variant>
      <vt:variant>
        <vt:i4>5</vt:i4>
      </vt:variant>
      <vt:variant>
        <vt:lpwstr/>
      </vt:variant>
      <vt:variant>
        <vt:lpwstr>_ENREF_1</vt:lpwstr>
      </vt:variant>
      <vt:variant>
        <vt:i4>3211276</vt:i4>
      </vt:variant>
      <vt:variant>
        <vt:i4>0</vt:i4>
      </vt:variant>
      <vt:variant>
        <vt:i4>0</vt:i4>
      </vt:variant>
      <vt:variant>
        <vt:i4>5</vt:i4>
      </vt:variant>
      <vt:variant>
        <vt:lpwstr>mailto:carsten.flohr@kcl.ac.uk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Skeleton for IgE paper</dc:title>
  <dc:subject/>
  <dc:creator>Dermatology</dc:creator>
  <cp:keywords/>
  <dc:description/>
  <cp:lastModifiedBy>Michael Perkin</cp:lastModifiedBy>
  <cp:revision>3</cp:revision>
  <cp:lastPrinted>2019-02-20T12:59:00Z</cp:lastPrinted>
  <dcterms:created xsi:type="dcterms:W3CDTF">2019-05-07T16:13:00Z</dcterms:created>
  <dcterms:modified xsi:type="dcterms:W3CDTF">2019-05-07T16:14:00Z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