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9A434" w14:textId="5C53607A" w:rsidR="000474A1" w:rsidRPr="000B2EFB" w:rsidRDefault="000474A1" w:rsidP="00C6703D">
      <w:pPr>
        <w:spacing w:after="240" w:line="360" w:lineRule="auto"/>
        <w:jc w:val="both"/>
        <w:rPr>
          <w:rFonts w:cs="Times New Roman"/>
          <w:b/>
          <w:sz w:val="32"/>
        </w:rPr>
      </w:pPr>
      <w:r w:rsidRPr="000474A1">
        <w:rPr>
          <w:rFonts w:cs="Times New Roman"/>
          <w:b/>
          <w:sz w:val="32"/>
        </w:rPr>
        <w:t>Studying Mars and Clio:</w:t>
      </w:r>
      <w:r w:rsidR="00573AA2">
        <w:rPr>
          <w:rFonts w:cs="Times New Roman"/>
          <w:b/>
          <w:sz w:val="32"/>
        </w:rPr>
        <w:t xml:space="preserve"> Or How N</w:t>
      </w:r>
      <w:r w:rsidR="00354A38">
        <w:rPr>
          <w:rFonts w:cs="Times New Roman"/>
          <w:b/>
          <w:sz w:val="32"/>
        </w:rPr>
        <w:t xml:space="preserve">ot to </w:t>
      </w:r>
      <w:r w:rsidR="00573AA2">
        <w:rPr>
          <w:rFonts w:cs="Times New Roman"/>
          <w:b/>
          <w:sz w:val="32"/>
        </w:rPr>
        <w:t>W</w:t>
      </w:r>
      <w:r w:rsidR="00354A38">
        <w:rPr>
          <w:rFonts w:cs="Times New Roman"/>
          <w:b/>
          <w:sz w:val="32"/>
        </w:rPr>
        <w:t>rite about the Ethics of Military Conduct and Military History</w:t>
      </w:r>
    </w:p>
    <w:p w14:paraId="3152D9A5" w14:textId="51A555D8" w:rsidR="004C7959" w:rsidRDefault="000474A1" w:rsidP="00C6703D">
      <w:pPr>
        <w:spacing w:after="240" w:line="360" w:lineRule="auto"/>
        <w:jc w:val="both"/>
        <w:rPr>
          <w:rFonts w:cs="Times New Roman"/>
        </w:rPr>
      </w:pPr>
      <w:r w:rsidRPr="000474A1">
        <w:rPr>
          <w:rFonts w:cs="Times New Roman"/>
        </w:rPr>
        <w:t xml:space="preserve">In </w:t>
      </w:r>
      <w:r w:rsidR="004F121F">
        <w:rPr>
          <w:rFonts w:cs="Times New Roman"/>
        </w:rPr>
        <w:t>a</w:t>
      </w:r>
      <w:r w:rsidR="004F121F" w:rsidRPr="000474A1">
        <w:rPr>
          <w:rFonts w:cs="Times New Roman"/>
        </w:rPr>
        <w:t xml:space="preserve"> </w:t>
      </w:r>
      <w:r w:rsidRPr="000474A1">
        <w:rPr>
          <w:rFonts w:cs="Times New Roman"/>
        </w:rPr>
        <w:t>recent article</w:t>
      </w:r>
      <w:r w:rsidR="004F121F">
        <w:rPr>
          <w:rFonts w:cs="Times New Roman"/>
        </w:rPr>
        <w:t>,</w:t>
      </w:r>
      <w:r w:rsidRPr="000474A1">
        <w:rPr>
          <w:rFonts w:cs="Times New Roman"/>
        </w:rPr>
        <w:t xml:space="preserve"> ‘Savage Warfare: Violence and the Rule of Colonial Difference in Early British Counterinsurgency’, Kim Wagner </w:t>
      </w:r>
      <w:r w:rsidR="004F121F">
        <w:rPr>
          <w:rFonts w:cs="Times New Roman"/>
        </w:rPr>
        <w:t xml:space="preserve">rightly argues that violence </w:t>
      </w:r>
      <w:r w:rsidR="00354A38">
        <w:rPr>
          <w:rFonts w:cs="Times New Roman"/>
        </w:rPr>
        <w:t>was</w:t>
      </w:r>
      <w:r w:rsidR="004F121F">
        <w:rPr>
          <w:rFonts w:cs="Times New Roman"/>
        </w:rPr>
        <w:t xml:space="preserve"> </w:t>
      </w:r>
      <w:r w:rsidR="00E62162">
        <w:rPr>
          <w:rFonts w:cs="Times New Roman"/>
        </w:rPr>
        <w:t xml:space="preserve">a </w:t>
      </w:r>
      <w:r w:rsidR="00D26F3D">
        <w:rPr>
          <w:rFonts w:cs="Times New Roman"/>
        </w:rPr>
        <w:t xml:space="preserve">ubiquitous </w:t>
      </w:r>
      <w:r w:rsidR="00E62162">
        <w:rPr>
          <w:rFonts w:cs="Times New Roman"/>
        </w:rPr>
        <w:t>feature of</w:t>
      </w:r>
      <w:r w:rsidR="00AB397E">
        <w:rPr>
          <w:rFonts w:cs="Times New Roman"/>
        </w:rPr>
        <w:t xml:space="preserve"> colonial </w:t>
      </w:r>
      <w:r w:rsidR="00E62162">
        <w:rPr>
          <w:rFonts w:cs="Times New Roman"/>
        </w:rPr>
        <w:t>rule</w:t>
      </w:r>
      <w:r w:rsidR="00AB397E">
        <w:rPr>
          <w:rFonts w:cs="Times New Roman"/>
        </w:rPr>
        <w:t xml:space="preserve"> </w:t>
      </w:r>
      <w:r w:rsidR="004F121F">
        <w:rPr>
          <w:rFonts w:cs="Times New Roman"/>
        </w:rPr>
        <w:t xml:space="preserve">and that this </w:t>
      </w:r>
      <w:r w:rsidR="006738B7">
        <w:rPr>
          <w:rFonts w:cs="Times New Roman"/>
        </w:rPr>
        <w:t>fact</w:t>
      </w:r>
      <w:r w:rsidR="004F121F">
        <w:rPr>
          <w:rFonts w:cs="Times New Roman"/>
        </w:rPr>
        <w:t xml:space="preserve"> must be </w:t>
      </w:r>
      <w:r w:rsidR="006738B7">
        <w:rPr>
          <w:rFonts w:cs="Times New Roman"/>
        </w:rPr>
        <w:t xml:space="preserve">acknowledged if we are to fully confront the </w:t>
      </w:r>
      <w:r w:rsidR="006738B7" w:rsidRPr="000474A1">
        <w:rPr>
          <w:rFonts w:cs="Times New Roman"/>
        </w:rPr>
        <w:t>legacies</w:t>
      </w:r>
      <w:r w:rsidR="006738B7">
        <w:rPr>
          <w:rFonts w:cs="Times New Roman"/>
        </w:rPr>
        <w:t xml:space="preserve"> of </w:t>
      </w:r>
      <w:r w:rsidR="00AB397E">
        <w:rPr>
          <w:rFonts w:cs="Times New Roman"/>
        </w:rPr>
        <w:t>empire</w:t>
      </w:r>
      <w:r w:rsidR="006738B7">
        <w:rPr>
          <w:rFonts w:cs="Times New Roman"/>
        </w:rPr>
        <w:t xml:space="preserve">, </w:t>
      </w:r>
      <w:r w:rsidR="00E62162">
        <w:rPr>
          <w:rFonts w:cs="Times New Roman"/>
        </w:rPr>
        <w:t>and</w:t>
      </w:r>
      <w:r w:rsidRPr="000474A1">
        <w:rPr>
          <w:rFonts w:cs="Times New Roman"/>
        </w:rPr>
        <w:t xml:space="preserve"> </w:t>
      </w:r>
      <w:r w:rsidR="00AB397E">
        <w:rPr>
          <w:rFonts w:cs="Times New Roman"/>
        </w:rPr>
        <w:t>their implications for</w:t>
      </w:r>
      <w:r w:rsidRPr="000474A1">
        <w:rPr>
          <w:rFonts w:cs="Times New Roman"/>
        </w:rPr>
        <w:t xml:space="preserve"> </w:t>
      </w:r>
      <w:r w:rsidR="00E62162">
        <w:rPr>
          <w:rFonts w:cs="Times New Roman"/>
        </w:rPr>
        <w:t>conflict today</w:t>
      </w:r>
      <w:r w:rsidRPr="000474A1">
        <w:rPr>
          <w:rFonts w:cs="Times New Roman"/>
        </w:rPr>
        <w:t>.</w:t>
      </w:r>
      <w:r w:rsidR="003652DF" w:rsidRPr="000474A1">
        <w:rPr>
          <w:rStyle w:val="FootnoteReference"/>
          <w:rFonts w:cs="Times New Roman"/>
        </w:rPr>
        <w:footnoteReference w:id="1"/>
      </w:r>
      <w:r w:rsidRPr="000474A1">
        <w:rPr>
          <w:rFonts w:cs="Times New Roman"/>
        </w:rPr>
        <w:t xml:space="preserve"> In </w:t>
      </w:r>
      <w:r w:rsidR="00DD2513">
        <w:rPr>
          <w:rFonts w:cs="Times New Roman"/>
        </w:rPr>
        <w:t>presenting</w:t>
      </w:r>
      <w:r w:rsidR="00DD2513" w:rsidRPr="000474A1">
        <w:rPr>
          <w:rFonts w:cs="Times New Roman"/>
        </w:rPr>
        <w:t xml:space="preserve"> </w:t>
      </w:r>
      <w:r w:rsidRPr="000474A1">
        <w:rPr>
          <w:rFonts w:cs="Times New Roman"/>
        </w:rPr>
        <w:t>his case, however, Wagner</w:t>
      </w:r>
      <w:r w:rsidR="000F4A5A">
        <w:rPr>
          <w:rFonts w:cs="Times New Roman"/>
        </w:rPr>
        <w:t xml:space="preserve"> </w:t>
      </w:r>
      <w:r w:rsidR="001D367E">
        <w:rPr>
          <w:rFonts w:cs="Times New Roman"/>
        </w:rPr>
        <w:t>makes</w:t>
      </w:r>
      <w:r w:rsidR="00DD2513">
        <w:rPr>
          <w:rFonts w:cs="Times New Roman"/>
        </w:rPr>
        <w:t xml:space="preserve"> serious historical errors as well as</w:t>
      </w:r>
      <w:r w:rsidR="001D367E">
        <w:rPr>
          <w:rFonts w:cs="Times New Roman"/>
        </w:rPr>
        <w:t xml:space="preserve"> the sweeping accusation</w:t>
      </w:r>
      <w:r w:rsidR="000F4A5A">
        <w:rPr>
          <w:rFonts w:cs="Times New Roman"/>
        </w:rPr>
        <w:t xml:space="preserve"> that</w:t>
      </w:r>
      <w:r w:rsidRPr="000474A1">
        <w:rPr>
          <w:rFonts w:cs="Times New Roman"/>
        </w:rPr>
        <w:t xml:space="preserve"> </w:t>
      </w:r>
      <w:r w:rsidR="00354A38">
        <w:rPr>
          <w:rFonts w:cs="Times New Roman"/>
        </w:rPr>
        <w:t>military historians, especially those working in military education,</w:t>
      </w:r>
      <w:r w:rsidR="000F4A5A">
        <w:rPr>
          <w:rFonts w:cs="Times New Roman"/>
        </w:rPr>
        <w:t xml:space="preserve"> are guilty</w:t>
      </w:r>
      <w:r w:rsidR="001D367E">
        <w:rPr>
          <w:rFonts w:cs="Times New Roman"/>
        </w:rPr>
        <w:t xml:space="preserve"> of abandoning the scholarly standards of the historical discipline,</w:t>
      </w:r>
      <w:r w:rsidR="000F4A5A">
        <w:rPr>
          <w:rFonts w:cs="Times New Roman"/>
        </w:rPr>
        <w:t xml:space="preserve"> </w:t>
      </w:r>
      <w:r w:rsidRPr="000474A1">
        <w:rPr>
          <w:rFonts w:cs="Times New Roman"/>
        </w:rPr>
        <w:t>perpetuating indifference to suffering</w:t>
      </w:r>
      <w:r w:rsidR="006738B7">
        <w:rPr>
          <w:rFonts w:cs="Times New Roman"/>
        </w:rPr>
        <w:t xml:space="preserve"> outside the Western World</w:t>
      </w:r>
      <w:r w:rsidR="000F4A5A">
        <w:rPr>
          <w:rFonts w:cs="Times New Roman"/>
        </w:rPr>
        <w:t>,</w:t>
      </w:r>
      <w:r w:rsidR="00903812">
        <w:rPr>
          <w:rFonts w:cs="Times New Roman"/>
        </w:rPr>
        <w:t xml:space="preserve"> and </w:t>
      </w:r>
      <w:r w:rsidR="004B601B">
        <w:rPr>
          <w:rFonts w:cs="Times New Roman"/>
        </w:rPr>
        <w:t xml:space="preserve">having </w:t>
      </w:r>
      <w:r w:rsidR="00903812">
        <w:rPr>
          <w:rFonts w:cs="Times New Roman"/>
        </w:rPr>
        <w:t>‘weaponize</w:t>
      </w:r>
      <w:r w:rsidR="004B601B">
        <w:rPr>
          <w:rFonts w:cs="Times New Roman"/>
        </w:rPr>
        <w:t>d</w:t>
      </w:r>
      <w:r w:rsidR="00903812">
        <w:rPr>
          <w:rFonts w:cs="Times New Roman"/>
        </w:rPr>
        <w:t xml:space="preserve">’ history </w:t>
      </w:r>
      <w:r w:rsidR="004B601B">
        <w:rPr>
          <w:rFonts w:cs="Times New Roman"/>
        </w:rPr>
        <w:t xml:space="preserve">to </w:t>
      </w:r>
      <w:r w:rsidR="00903812">
        <w:rPr>
          <w:rFonts w:cs="Times New Roman"/>
        </w:rPr>
        <w:t>justify</w:t>
      </w:r>
      <w:r w:rsidR="004B601B">
        <w:rPr>
          <w:rFonts w:cs="Times New Roman"/>
        </w:rPr>
        <w:t xml:space="preserve"> </w:t>
      </w:r>
      <w:r w:rsidR="00903812">
        <w:rPr>
          <w:rFonts w:cs="Times New Roman"/>
        </w:rPr>
        <w:t>military interventions and coercive and unjust treatment of non-white populations.</w:t>
      </w:r>
    </w:p>
    <w:p w14:paraId="49C642C8" w14:textId="64AE5396" w:rsidR="00DF5E06" w:rsidRPr="00DF5E06" w:rsidRDefault="00F90004" w:rsidP="00C6703D">
      <w:pPr>
        <w:spacing w:after="240" w:line="360" w:lineRule="auto"/>
        <w:ind w:firstLine="720"/>
        <w:jc w:val="both"/>
        <w:rPr>
          <w:rFonts w:cs="Times New Roman"/>
        </w:rPr>
      </w:pPr>
      <w:r>
        <w:rPr>
          <w:rFonts w:cs="Times New Roman"/>
        </w:rPr>
        <w:t xml:space="preserve">These </w:t>
      </w:r>
      <w:r w:rsidR="001D367E">
        <w:rPr>
          <w:rFonts w:cs="Times New Roman"/>
        </w:rPr>
        <w:t>unsubstantiated accusation</w:t>
      </w:r>
      <w:r w:rsidR="004B601B">
        <w:rPr>
          <w:rFonts w:cs="Times New Roman"/>
        </w:rPr>
        <w:t>s</w:t>
      </w:r>
      <w:r w:rsidR="001D367E">
        <w:rPr>
          <w:rFonts w:cs="Times New Roman"/>
        </w:rPr>
        <w:t xml:space="preserve"> const</w:t>
      </w:r>
      <w:r w:rsidR="004B601B">
        <w:rPr>
          <w:rFonts w:cs="Times New Roman"/>
        </w:rPr>
        <w:t>i</w:t>
      </w:r>
      <w:r w:rsidR="001D367E">
        <w:rPr>
          <w:rFonts w:cs="Times New Roman"/>
        </w:rPr>
        <w:t>tute</w:t>
      </w:r>
      <w:r w:rsidR="00A05AC3">
        <w:rPr>
          <w:rFonts w:cs="Times New Roman"/>
        </w:rPr>
        <w:t xml:space="preserve"> an </w:t>
      </w:r>
      <w:r>
        <w:rPr>
          <w:rFonts w:cs="Times New Roman"/>
        </w:rPr>
        <w:t>attack</w:t>
      </w:r>
      <w:r w:rsidR="00A05AC3">
        <w:rPr>
          <w:rFonts w:cs="Times New Roman"/>
        </w:rPr>
        <w:t xml:space="preserve"> on</w:t>
      </w:r>
      <w:r>
        <w:rPr>
          <w:rFonts w:cs="Times New Roman"/>
        </w:rPr>
        <w:t xml:space="preserve"> the ethical and scholarly integrity of an entire</w:t>
      </w:r>
      <w:r w:rsidR="00A05AC3">
        <w:rPr>
          <w:rFonts w:cs="Times New Roman"/>
        </w:rPr>
        <w:t xml:space="preserve"> field</w:t>
      </w:r>
      <w:r w:rsidR="004B601B">
        <w:rPr>
          <w:rFonts w:cs="Times New Roman"/>
        </w:rPr>
        <w:t xml:space="preserve"> of history</w:t>
      </w:r>
      <w:r w:rsidR="008E5DD3">
        <w:rPr>
          <w:rFonts w:cs="Times New Roman"/>
        </w:rPr>
        <w:t xml:space="preserve"> and the scholars within it</w:t>
      </w:r>
      <w:r w:rsidR="00AC349F">
        <w:rPr>
          <w:rFonts w:cs="Times New Roman"/>
        </w:rPr>
        <w:t xml:space="preserve">. </w:t>
      </w:r>
      <w:r w:rsidR="001D367E">
        <w:rPr>
          <w:rFonts w:cs="Times New Roman"/>
        </w:rPr>
        <w:t>W</w:t>
      </w:r>
      <w:r w:rsidR="0083535A">
        <w:rPr>
          <w:rFonts w:cs="Times New Roman"/>
        </w:rPr>
        <w:t xml:space="preserve">e have written this response to address the deficiencies </w:t>
      </w:r>
      <w:r w:rsidR="00BD105C">
        <w:rPr>
          <w:rFonts w:cs="Times New Roman"/>
        </w:rPr>
        <w:t>in</w:t>
      </w:r>
      <w:r w:rsidR="0083535A">
        <w:rPr>
          <w:rFonts w:cs="Times New Roman"/>
        </w:rPr>
        <w:t xml:space="preserve"> Wagner’s </w:t>
      </w:r>
      <w:r w:rsidR="00051393">
        <w:rPr>
          <w:rFonts w:cs="Times New Roman"/>
        </w:rPr>
        <w:t>assertion</w:t>
      </w:r>
      <w:r w:rsidR="00D3472A">
        <w:rPr>
          <w:rFonts w:cs="Times New Roman"/>
        </w:rPr>
        <w:t>s</w:t>
      </w:r>
      <w:r w:rsidR="00051393">
        <w:rPr>
          <w:rFonts w:cs="Times New Roman"/>
        </w:rPr>
        <w:t xml:space="preserve"> about</w:t>
      </w:r>
      <w:r w:rsidR="00987B60">
        <w:rPr>
          <w:rFonts w:cs="Times New Roman"/>
        </w:rPr>
        <w:t xml:space="preserve"> the use of expanding bullets</w:t>
      </w:r>
      <w:r w:rsidR="004B601B">
        <w:rPr>
          <w:rFonts w:cs="Times New Roman"/>
        </w:rPr>
        <w:t xml:space="preserve"> and colonial military conduct</w:t>
      </w:r>
      <w:r w:rsidR="00987B60">
        <w:rPr>
          <w:rFonts w:cs="Times New Roman"/>
        </w:rPr>
        <w:t>, the</w:t>
      </w:r>
      <w:r w:rsidR="00051393">
        <w:rPr>
          <w:rFonts w:cs="Times New Roman"/>
        </w:rPr>
        <w:t xml:space="preserve"> </w:t>
      </w:r>
      <w:r w:rsidR="00987B60">
        <w:rPr>
          <w:rFonts w:cs="Times New Roman"/>
        </w:rPr>
        <w:t>h</w:t>
      </w:r>
      <w:r w:rsidR="0083535A">
        <w:rPr>
          <w:rFonts w:cs="Times New Roman"/>
        </w:rPr>
        <w:t>istoriograph</w:t>
      </w:r>
      <w:r w:rsidR="00051393">
        <w:rPr>
          <w:rFonts w:cs="Times New Roman"/>
        </w:rPr>
        <w:t>y of colonial violence</w:t>
      </w:r>
      <w:r w:rsidR="0083535A">
        <w:rPr>
          <w:rFonts w:cs="Times New Roman"/>
        </w:rPr>
        <w:t xml:space="preserve">, </w:t>
      </w:r>
      <w:r w:rsidR="004C03B9">
        <w:rPr>
          <w:rFonts w:cs="Times New Roman"/>
        </w:rPr>
        <w:t>and</w:t>
      </w:r>
      <w:r w:rsidR="0083535A">
        <w:rPr>
          <w:rFonts w:cs="Times New Roman"/>
        </w:rPr>
        <w:t xml:space="preserve"> </w:t>
      </w:r>
      <w:r w:rsidR="00051393">
        <w:rPr>
          <w:rFonts w:cs="Times New Roman"/>
        </w:rPr>
        <w:t xml:space="preserve">current state of what he calls </w:t>
      </w:r>
      <w:r w:rsidR="0083535A">
        <w:rPr>
          <w:rFonts w:cs="Times New Roman"/>
        </w:rPr>
        <w:t>‘parochial military history.’</w:t>
      </w:r>
    </w:p>
    <w:p w14:paraId="6B0E24E9" w14:textId="5BA5630B" w:rsidR="00DF5E06" w:rsidRPr="00C6703D" w:rsidRDefault="008A615F" w:rsidP="00C6703D">
      <w:pPr>
        <w:spacing w:after="240" w:line="360" w:lineRule="auto"/>
        <w:jc w:val="both"/>
        <w:rPr>
          <w:rFonts w:cs="Times New Roman"/>
          <w:b/>
          <w:color w:val="000000" w:themeColor="text1"/>
          <w:sz w:val="28"/>
        </w:rPr>
      </w:pPr>
      <w:r w:rsidRPr="00C6703D">
        <w:rPr>
          <w:rFonts w:cs="Times New Roman"/>
          <w:b/>
          <w:color w:val="000000" w:themeColor="text1"/>
          <w:sz w:val="28"/>
        </w:rPr>
        <w:t xml:space="preserve">I. </w:t>
      </w:r>
      <w:r w:rsidR="00DF5E06" w:rsidRPr="00C6703D">
        <w:rPr>
          <w:rFonts w:cs="Times New Roman"/>
          <w:b/>
          <w:color w:val="000000" w:themeColor="text1"/>
          <w:sz w:val="28"/>
        </w:rPr>
        <w:t xml:space="preserve">On Expanding Bullets </w:t>
      </w:r>
      <w:r w:rsidR="00BD105C" w:rsidRPr="00C6703D">
        <w:rPr>
          <w:rFonts w:cs="Times New Roman"/>
          <w:b/>
          <w:color w:val="000000" w:themeColor="text1"/>
          <w:sz w:val="28"/>
        </w:rPr>
        <w:t>and</w:t>
      </w:r>
      <w:r w:rsidR="00DF5E06" w:rsidRPr="00C6703D">
        <w:rPr>
          <w:rFonts w:cs="Times New Roman"/>
          <w:b/>
          <w:color w:val="000000" w:themeColor="text1"/>
          <w:sz w:val="28"/>
        </w:rPr>
        <w:t xml:space="preserve"> International Law</w:t>
      </w:r>
    </w:p>
    <w:p w14:paraId="572C6F18" w14:textId="7869925A" w:rsidR="004C7959" w:rsidRPr="00C6703D" w:rsidRDefault="00DD2513" w:rsidP="00D3472A">
      <w:pPr>
        <w:spacing w:line="360" w:lineRule="auto"/>
        <w:ind w:firstLine="720"/>
        <w:jc w:val="both"/>
        <w:rPr>
          <w:color w:val="000000" w:themeColor="text1"/>
          <w:spacing w:val="4"/>
          <w:shd w:val="clear" w:color="auto" w:fill="FFFFFF"/>
        </w:rPr>
      </w:pPr>
      <w:r>
        <w:rPr>
          <w:color w:val="000000" w:themeColor="text1"/>
        </w:rPr>
        <w:t>H</w:t>
      </w:r>
      <w:r w:rsidR="0060045E">
        <w:rPr>
          <w:color w:val="000000" w:themeColor="text1"/>
        </w:rPr>
        <w:t xml:space="preserve">ierarchical conceptions of race undoubtedly underpinned the entire </w:t>
      </w:r>
      <w:r w:rsidR="00140D3D">
        <w:rPr>
          <w:color w:val="000000" w:themeColor="text1"/>
        </w:rPr>
        <w:t xml:space="preserve">colonial </w:t>
      </w:r>
      <w:r w:rsidR="0060045E">
        <w:rPr>
          <w:color w:val="000000" w:themeColor="text1"/>
        </w:rPr>
        <w:t>system</w:t>
      </w:r>
      <w:r w:rsidR="001F43A6">
        <w:rPr>
          <w:color w:val="000000" w:themeColor="text1"/>
        </w:rPr>
        <w:t>. However,</w:t>
      </w:r>
      <w:r>
        <w:rPr>
          <w:color w:val="000000" w:themeColor="text1"/>
        </w:rPr>
        <w:t xml:space="preserve"> </w:t>
      </w:r>
      <w:r w:rsidR="001F43A6">
        <w:rPr>
          <w:color w:val="000000" w:themeColor="text1"/>
        </w:rPr>
        <w:t>the evidence does not support</w:t>
      </w:r>
      <w:r w:rsidR="0060045E">
        <w:rPr>
          <w:color w:val="000000" w:themeColor="text1"/>
        </w:rPr>
        <w:t xml:space="preserve"> </w:t>
      </w:r>
      <w:r w:rsidR="00297185" w:rsidRPr="00C6703D">
        <w:rPr>
          <w:color w:val="000000" w:themeColor="text1"/>
        </w:rPr>
        <w:t>Wagner</w:t>
      </w:r>
      <w:r>
        <w:rPr>
          <w:color w:val="000000" w:themeColor="text1"/>
        </w:rPr>
        <w:t>’s</w:t>
      </w:r>
      <w:r w:rsidR="0060045E">
        <w:rPr>
          <w:color w:val="000000" w:themeColor="text1"/>
        </w:rPr>
        <w:t xml:space="preserve"> </w:t>
      </w:r>
      <w:r w:rsidR="007E769C">
        <w:rPr>
          <w:color w:val="000000" w:themeColor="text1"/>
        </w:rPr>
        <w:t>claim</w:t>
      </w:r>
      <w:r w:rsidR="00B34F78">
        <w:rPr>
          <w:color w:val="000000" w:themeColor="text1"/>
        </w:rPr>
        <w:t xml:space="preserve"> </w:t>
      </w:r>
      <w:r w:rsidR="00297185" w:rsidRPr="00C6703D">
        <w:rPr>
          <w:color w:val="000000" w:themeColor="text1"/>
        </w:rPr>
        <w:t xml:space="preserve">that </w:t>
      </w:r>
      <w:r w:rsidR="00496707" w:rsidRPr="00C6703D">
        <w:rPr>
          <w:color w:val="000000" w:themeColor="text1"/>
        </w:rPr>
        <w:t xml:space="preserve">the </w:t>
      </w:r>
      <w:r w:rsidR="00051393">
        <w:rPr>
          <w:color w:val="000000" w:themeColor="text1"/>
        </w:rPr>
        <w:t>adoption</w:t>
      </w:r>
      <w:r w:rsidR="00496707" w:rsidRPr="00C6703D">
        <w:rPr>
          <w:color w:val="000000" w:themeColor="text1"/>
        </w:rPr>
        <w:t xml:space="preserve"> of expanding bullets</w:t>
      </w:r>
      <w:r w:rsidR="00051393">
        <w:rPr>
          <w:color w:val="000000" w:themeColor="text1"/>
        </w:rPr>
        <w:t xml:space="preserve"> </w:t>
      </w:r>
      <w:r w:rsidR="007E769C">
        <w:rPr>
          <w:color w:val="000000" w:themeColor="text1"/>
        </w:rPr>
        <w:t>by the British military</w:t>
      </w:r>
      <w:r w:rsidR="003D4DD3">
        <w:rPr>
          <w:color w:val="000000" w:themeColor="text1"/>
        </w:rPr>
        <w:t xml:space="preserve"> </w:t>
      </w:r>
      <w:r w:rsidR="00496707" w:rsidRPr="00C6703D">
        <w:rPr>
          <w:color w:val="000000" w:themeColor="text1"/>
        </w:rPr>
        <w:t xml:space="preserve">is evidence of a </w:t>
      </w:r>
      <w:r w:rsidR="0060045E">
        <w:rPr>
          <w:color w:val="000000" w:themeColor="text1"/>
        </w:rPr>
        <w:t xml:space="preserve">specifically colonial form of military doctrine </w:t>
      </w:r>
      <w:r w:rsidR="003652DF">
        <w:rPr>
          <w:color w:val="000000" w:themeColor="text1"/>
        </w:rPr>
        <w:t>premised on</w:t>
      </w:r>
      <w:r w:rsidR="0060045E">
        <w:rPr>
          <w:color w:val="000000" w:themeColor="text1"/>
        </w:rPr>
        <w:t xml:space="preserve"> a </w:t>
      </w:r>
      <w:r w:rsidR="0085384A">
        <w:rPr>
          <w:color w:val="000000" w:themeColor="text1"/>
        </w:rPr>
        <w:t>racial</w:t>
      </w:r>
      <w:r w:rsidR="0060045E">
        <w:rPr>
          <w:color w:val="000000" w:themeColor="text1"/>
        </w:rPr>
        <w:t>ized</w:t>
      </w:r>
      <w:r w:rsidR="00496707" w:rsidRPr="00C6703D">
        <w:rPr>
          <w:color w:val="000000" w:themeColor="text1"/>
        </w:rPr>
        <w:t xml:space="preserve"> double standard in </w:t>
      </w:r>
      <w:r>
        <w:rPr>
          <w:color w:val="000000" w:themeColor="text1"/>
        </w:rPr>
        <w:t>the treatment of</w:t>
      </w:r>
      <w:r w:rsidR="0060045E">
        <w:rPr>
          <w:color w:val="000000" w:themeColor="text1"/>
        </w:rPr>
        <w:t xml:space="preserve"> European and non-European opponents</w:t>
      </w:r>
      <w:r w:rsidR="00496707" w:rsidRPr="00C6703D">
        <w:rPr>
          <w:color w:val="000000" w:themeColor="text1"/>
        </w:rPr>
        <w:t>.</w:t>
      </w:r>
      <w:r w:rsidR="0085384A">
        <w:rPr>
          <w:color w:val="000000" w:themeColor="text1"/>
        </w:rPr>
        <w:t xml:space="preserve"> </w:t>
      </w:r>
      <w:r w:rsidR="00263C39" w:rsidRPr="00C6703D">
        <w:rPr>
          <w:color w:val="000000" w:themeColor="text1"/>
        </w:rPr>
        <w:t xml:space="preserve">In </w:t>
      </w:r>
      <w:r w:rsidR="0085384A">
        <w:rPr>
          <w:color w:val="000000" w:themeColor="text1"/>
        </w:rPr>
        <w:t>fact</w:t>
      </w:r>
      <w:r w:rsidR="00263C39" w:rsidRPr="00C6703D">
        <w:rPr>
          <w:color w:val="000000" w:themeColor="text1"/>
        </w:rPr>
        <w:t>,</w:t>
      </w:r>
      <w:r w:rsidR="00051393">
        <w:rPr>
          <w:color w:val="000000" w:themeColor="text1"/>
        </w:rPr>
        <w:t xml:space="preserve"> </w:t>
      </w:r>
      <w:r w:rsidR="00DF5E06" w:rsidRPr="00C6703D">
        <w:rPr>
          <w:color w:val="000000" w:themeColor="text1"/>
        </w:rPr>
        <w:t>Britain adopted</w:t>
      </w:r>
      <w:r w:rsidR="00AD3270">
        <w:rPr>
          <w:color w:val="000000" w:themeColor="text1"/>
        </w:rPr>
        <w:t xml:space="preserve"> </w:t>
      </w:r>
      <w:r w:rsidR="00C01CD1" w:rsidRPr="00C6703D">
        <w:rPr>
          <w:color w:val="000000" w:themeColor="text1"/>
        </w:rPr>
        <w:t>expanding</w:t>
      </w:r>
      <w:r w:rsidR="00DF5E06" w:rsidRPr="00C6703D">
        <w:rPr>
          <w:color w:val="000000" w:themeColor="text1"/>
        </w:rPr>
        <w:t xml:space="preserve"> ammunition for use against all adversaries.</w:t>
      </w:r>
      <w:r w:rsidR="00DF5E06" w:rsidRPr="00C6703D">
        <w:rPr>
          <w:rStyle w:val="FootnoteReference"/>
          <w:color w:val="000000" w:themeColor="text1"/>
        </w:rPr>
        <w:footnoteReference w:id="2"/>
      </w:r>
      <w:r w:rsidR="00DF5E06" w:rsidRPr="00C6703D">
        <w:rPr>
          <w:color w:val="000000" w:themeColor="text1"/>
        </w:rPr>
        <w:t xml:space="preserve"> </w:t>
      </w:r>
      <w:r w:rsidR="00A557C2">
        <w:rPr>
          <w:color w:val="000000" w:themeColor="text1"/>
        </w:rPr>
        <w:t>I</w:t>
      </w:r>
      <w:r w:rsidR="00DF5E06" w:rsidRPr="00C6703D">
        <w:rPr>
          <w:color w:val="000000" w:themeColor="text1"/>
        </w:rPr>
        <w:t>n making this decision</w:t>
      </w:r>
      <w:r w:rsidR="00A15A6F">
        <w:rPr>
          <w:color w:val="000000" w:themeColor="text1"/>
        </w:rPr>
        <w:t>,</w:t>
      </w:r>
      <w:r w:rsidR="00DF5E06" w:rsidRPr="00C6703D">
        <w:rPr>
          <w:color w:val="000000" w:themeColor="text1"/>
        </w:rPr>
        <w:t xml:space="preserve"> the army invoked technical rather than racial or cultural </w:t>
      </w:r>
      <w:r w:rsidR="0085384A" w:rsidRPr="0085384A">
        <w:rPr>
          <w:color w:val="000000" w:themeColor="text1"/>
        </w:rPr>
        <w:t>justifications</w:t>
      </w:r>
      <w:r w:rsidR="00DF5E06" w:rsidRPr="00C6703D">
        <w:rPr>
          <w:color w:val="000000" w:themeColor="text1"/>
        </w:rPr>
        <w:t xml:space="preserve">, </w:t>
      </w:r>
      <w:r w:rsidR="0085384A">
        <w:rPr>
          <w:color w:val="000000" w:themeColor="text1"/>
        </w:rPr>
        <w:t>namely,</w:t>
      </w:r>
      <w:r w:rsidR="00DF5E06" w:rsidRPr="00C6703D">
        <w:rPr>
          <w:color w:val="000000" w:themeColor="text1"/>
        </w:rPr>
        <w:t xml:space="preserve"> the need for greater stopping power against a cavalry or infantry charge</w:t>
      </w:r>
      <w:r w:rsidR="0085384A">
        <w:rPr>
          <w:color w:val="000000" w:themeColor="text1"/>
        </w:rPr>
        <w:t xml:space="preserve"> in both </w:t>
      </w:r>
      <w:r w:rsidR="00B60756" w:rsidRPr="00C6703D">
        <w:rPr>
          <w:color w:val="000000" w:themeColor="text1"/>
        </w:rPr>
        <w:t>European</w:t>
      </w:r>
      <w:r w:rsidR="0085384A">
        <w:rPr>
          <w:color w:val="000000" w:themeColor="text1"/>
        </w:rPr>
        <w:t xml:space="preserve"> and colonial</w:t>
      </w:r>
      <w:r w:rsidR="00B60756" w:rsidRPr="00C6703D">
        <w:rPr>
          <w:color w:val="000000" w:themeColor="text1"/>
        </w:rPr>
        <w:t xml:space="preserve"> warfare</w:t>
      </w:r>
      <w:r w:rsidR="003652DF">
        <w:rPr>
          <w:color w:val="000000" w:themeColor="text1"/>
        </w:rPr>
        <w:t xml:space="preserve">. </w:t>
      </w:r>
      <w:r w:rsidR="00DF5E06" w:rsidRPr="00C6703D">
        <w:rPr>
          <w:color w:val="000000" w:themeColor="text1"/>
        </w:rPr>
        <w:t xml:space="preserve">It was only at the Hague Conference in 1899 that Britain briefly invoked </w:t>
      </w:r>
      <w:r>
        <w:rPr>
          <w:color w:val="000000" w:themeColor="text1"/>
        </w:rPr>
        <w:t xml:space="preserve">civilizational </w:t>
      </w:r>
      <w:r w:rsidR="00DF5E06" w:rsidRPr="00C6703D">
        <w:rPr>
          <w:color w:val="000000" w:themeColor="text1"/>
        </w:rPr>
        <w:t>arguments</w:t>
      </w:r>
      <w:r w:rsidR="00CD07E6">
        <w:rPr>
          <w:color w:val="000000" w:themeColor="text1"/>
        </w:rPr>
        <w:t>,</w:t>
      </w:r>
      <w:r w:rsidR="00DF5E06" w:rsidRPr="00C6703D">
        <w:rPr>
          <w:color w:val="000000" w:themeColor="text1"/>
        </w:rPr>
        <w:t xml:space="preserve"> in an unsuccessful attempt to distract attention from the fact that it intended to use the </w:t>
      </w:r>
      <w:r w:rsidR="003D4DD3">
        <w:rPr>
          <w:color w:val="000000" w:themeColor="text1"/>
        </w:rPr>
        <w:t>ammunition</w:t>
      </w:r>
      <w:r w:rsidR="003D4DD3" w:rsidRPr="00C6703D">
        <w:rPr>
          <w:color w:val="000000" w:themeColor="text1"/>
        </w:rPr>
        <w:t xml:space="preserve"> </w:t>
      </w:r>
      <w:r w:rsidR="00DF5E06" w:rsidRPr="00C6703D">
        <w:rPr>
          <w:color w:val="000000" w:themeColor="text1"/>
        </w:rPr>
        <w:t>against European adversaries. Once the mask fell</w:t>
      </w:r>
      <w:r w:rsidR="00DF5E06" w:rsidRPr="00C6703D">
        <w:rPr>
          <w:color w:val="000000" w:themeColor="text1"/>
          <w:spacing w:val="4"/>
          <w:shd w:val="clear" w:color="auto" w:fill="FFFFFF"/>
        </w:rPr>
        <w:t>, Britain’s delegate</w:t>
      </w:r>
      <w:r w:rsidR="00E34FEA">
        <w:rPr>
          <w:color w:val="000000" w:themeColor="text1"/>
          <w:spacing w:val="4"/>
          <w:shd w:val="clear" w:color="auto" w:fill="FFFFFF"/>
        </w:rPr>
        <w:t>, John Ardagh,</w:t>
      </w:r>
      <w:r w:rsidR="00DF5E06" w:rsidRPr="00C6703D">
        <w:rPr>
          <w:color w:val="000000" w:themeColor="text1"/>
          <w:spacing w:val="4"/>
          <w:shd w:val="clear" w:color="auto" w:fill="FFFFFF"/>
        </w:rPr>
        <w:t xml:space="preserve"> explicitly abandoned th</w:t>
      </w:r>
      <w:r>
        <w:rPr>
          <w:color w:val="000000" w:themeColor="text1"/>
          <w:spacing w:val="4"/>
          <w:shd w:val="clear" w:color="auto" w:fill="FFFFFF"/>
        </w:rPr>
        <w:t>is line of</w:t>
      </w:r>
      <w:r w:rsidR="00DF5E06" w:rsidRPr="00C6703D">
        <w:rPr>
          <w:color w:val="000000" w:themeColor="text1"/>
          <w:spacing w:val="4"/>
          <w:shd w:val="clear" w:color="auto" w:fill="FFFFFF"/>
        </w:rPr>
        <w:t xml:space="preserve"> rhetoric as incompatible with </w:t>
      </w:r>
      <w:r w:rsidR="00DF5E06" w:rsidRPr="00C6703D">
        <w:rPr>
          <w:color w:val="000000" w:themeColor="text1"/>
          <w:spacing w:val="4"/>
          <w:shd w:val="clear" w:color="auto" w:fill="FFFFFF"/>
        </w:rPr>
        <w:lastRenderedPageBreak/>
        <w:t xml:space="preserve">British aims to use expanding bullets </w:t>
      </w:r>
      <w:r w:rsidR="00E34FEA">
        <w:rPr>
          <w:color w:val="000000" w:themeColor="text1"/>
          <w:spacing w:val="4"/>
          <w:shd w:val="clear" w:color="auto" w:fill="FFFFFF"/>
        </w:rPr>
        <w:t>against all enemies</w:t>
      </w:r>
      <w:r w:rsidR="00DF5E06" w:rsidRPr="00C6703D">
        <w:rPr>
          <w:color w:val="000000" w:themeColor="text1"/>
          <w:spacing w:val="4"/>
          <w:shd w:val="clear" w:color="auto" w:fill="FFFFFF"/>
        </w:rPr>
        <w:t>. He subsequently ‘abstained from any further mention of savage warfare’ reasoning that Britain may need ‘not for savage warfare alone but for civilized warfare too … a projectile which shall be capable of stopping a charge of cavalry or a bayonet charge at close quarters.’</w:t>
      </w:r>
      <w:r w:rsidR="00DF5E06" w:rsidRPr="00C6703D">
        <w:rPr>
          <w:rStyle w:val="FootnoteReference"/>
          <w:color w:val="000000" w:themeColor="text1"/>
          <w:spacing w:val="4"/>
          <w:shd w:val="clear" w:color="auto" w:fill="FFFFFF"/>
        </w:rPr>
        <w:footnoteReference w:id="3"/>
      </w:r>
      <w:r w:rsidR="00DF5E06" w:rsidRPr="00C6703D">
        <w:rPr>
          <w:color w:val="000000" w:themeColor="text1"/>
          <w:spacing w:val="4"/>
          <w:shd w:val="clear" w:color="auto" w:fill="FFFFFF"/>
        </w:rPr>
        <w:t xml:space="preserve"> </w:t>
      </w:r>
    </w:p>
    <w:p w14:paraId="1FC8BB3A" w14:textId="3FAF3AF0" w:rsidR="00AE0AD2" w:rsidRPr="00B9397B" w:rsidRDefault="00DF5E06">
      <w:pPr>
        <w:spacing w:line="360" w:lineRule="auto"/>
        <w:ind w:firstLine="720"/>
        <w:jc w:val="both"/>
        <w:rPr>
          <w:color w:val="000000" w:themeColor="text1"/>
        </w:rPr>
      </w:pPr>
      <w:r w:rsidRPr="00C6703D">
        <w:rPr>
          <w:color w:val="000000" w:themeColor="text1"/>
          <w:spacing w:val="4"/>
          <w:shd w:val="clear" w:color="auto" w:fill="FFFFFF"/>
        </w:rPr>
        <w:t>Britain’s conduct at the conference created an international and domestic backlash that eventually forced it to abandon the use of expanding ammunition</w:t>
      </w:r>
      <w:r w:rsidR="00D3472A">
        <w:rPr>
          <w:color w:val="000000" w:themeColor="text1"/>
          <w:spacing w:val="4"/>
          <w:shd w:val="clear" w:color="auto" w:fill="FFFFFF"/>
        </w:rPr>
        <w:t xml:space="preserve"> altogether</w:t>
      </w:r>
      <w:r w:rsidRPr="00C6703D">
        <w:rPr>
          <w:color w:val="000000" w:themeColor="text1"/>
          <w:spacing w:val="4"/>
          <w:shd w:val="clear" w:color="auto" w:fill="FFFFFF"/>
        </w:rPr>
        <w:t>. The process of withdrawing this ammunition from the field highlights several reasons, not considered by Wagner</w:t>
      </w:r>
      <w:r w:rsidR="00C76DC3">
        <w:rPr>
          <w:color w:val="000000" w:themeColor="text1"/>
          <w:spacing w:val="4"/>
          <w:shd w:val="clear" w:color="auto" w:fill="FFFFFF"/>
        </w:rPr>
        <w:t xml:space="preserve"> and not </w:t>
      </w:r>
      <w:r w:rsidR="001F43A6">
        <w:rPr>
          <w:color w:val="000000" w:themeColor="text1"/>
          <w:spacing w:val="4"/>
          <w:shd w:val="clear" w:color="auto" w:fill="FFFFFF"/>
        </w:rPr>
        <w:t>determined by</w:t>
      </w:r>
      <w:r w:rsidR="009B2FE0">
        <w:rPr>
          <w:color w:val="000000" w:themeColor="text1"/>
          <w:spacing w:val="4"/>
          <w:shd w:val="clear" w:color="auto" w:fill="FFFFFF"/>
        </w:rPr>
        <w:t xml:space="preserve"> </w:t>
      </w:r>
      <w:r w:rsidR="00F1619F">
        <w:rPr>
          <w:color w:val="000000" w:themeColor="text1"/>
          <w:spacing w:val="4"/>
          <w:shd w:val="clear" w:color="auto" w:fill="FFFFFF"/>
        </w:rPr>
        <w:t>racism or by military doctrine</w:t>
      </w:r>
      <w:r w:rsidRPr="00C6703D">
        <w:rPr>
          <w:color w:val="000000" w:themeColor="text1"/>
          <w:spacing w:val="4"/>
          <w:shd w:val="clear" w:color="auto" w:fill="FFFFFF"/>
        </w:rPr>
        <w:t>, why expanding ammunition was likelier to have been used against non-European adversaries. First,</w:t>
      </w:r>
      <w:r w:rsidR="00DD2513">
        <w:rPr>
          <w:color w:val="000000" w:themeColor="text1"/>
          <w:spacing w:val="4"/>
          <w:shd w:val="clear" w:color="auto" w:fill="FFFFFF"/>
        </w:rPr>
        <w:t xml:space="preserve"> s</w:t>
      </w:r>
      <w:r w:rsidR="00DD2513" w:rsidRPr="00C6703D">
        <w:rPr>
          <w:color w:val="000000" w:themeColor="text1"/>
          <w:spacing w:val="4"/>
          <w:shd w:val="clear" w:color="auto" w:fill="FFFFFF"/>
        </w:rPr>
        <w:t xml:space="preserve">ymmetry and asymmetry </w:t>
      </w:r>
      <w:proofErr w:type="gramStart"/>
      <w:r w:rsidR="00DD2513" w:rsidRPr="00C6703D">
        <w:rPr>
          <w:color w:val="000000" w:themeColor="text1"/>
          <w:spacing w:val="4"/>
          <w:shd w:val="clear" w:color="auto" w:fill="FFFFFF"/>
        </w:rPr>
        <w:t>were  powerful</w:t>
      </w:r>
      <w:proofErr w:type="gramEnd"/>
      <w:r w:rsidR="00DD2513" w:rsidRPr="00C6703D">
        <w:rPr>
          <w:color w:val="000000" w:themeColor="text1"/>
          <w:spacing w:val="4"/>
          <w:shd w:val="clear" w:color="auto" w:fill="FFFFFF"/>
        </w:rPr>
        <w:t xml:space="preserve"> determinant</w:t>
      </w:r>
      <w:r w:rsidR="003652DF">
        <w:rPr>
          <w:color w:val="000000" w:themeColor="text1"/>
          <w:spacing w:val="4"/>
          <w:shd w:val="clear" w:color="auto" w:fill="FFFFFF"/>
        </w:rPr>
        <w:t>s</w:t>
      </w:r>
      <w:r w:rsidR="00DD2513" w:rsidRPr="00C6703D">
        <w:rPr>
          <w:color w:val="000000" w:themeColor="text1"/>
          <w:spacing w:val="4"/>
          <w:shd w:val="clear" w:color="auto" w:fill="FFFFFF"/>
        </w:rPr>
        <w:t xml:space="preserve"> on policy</w:t>
      </w:r>
      <w:r w:rsidR="00DD2513">
        <w:rPr>
          <w:color w:val="000000" w:themeColor="text1"/>
          <w:spacing w:val="4"/>
          <w:shd w:val="clear" w:color="auto" w:fill="FFFFFF"/>
        </w:rPr>
        <w:t>.</w:t>
      </w:r>
      <w:r w:rsidRPr="00C6703D">
        <w:rPr>
          <w:color w:val="000000" w:themeColor="text1"/>
          <w:spacing w:val="4"/>
          <w:shd w:val="clear" w:color="auto" w:fill="FFFFFF"/>
        </w:rPr>
        <w:t xml:space="preserve"> </w:t>
      </w:r>
      <w:r w:rsidR="00DD2513">
        <w:rPr>
          <w:color w:val="000000" w:themeColor="text1"/>
          <w:spacing w:val="4"/>
          <w:shd w:val="clear" w:color="auto" w:fill="FFFFFF"/>
        </w:rPr>
        <w:t>T</w:t>
      </w:r>
      <w:r w:rsidRPr="00C6703D">
        <w:rPr>
          <w:color w:val="000000" w:themeColor="text1"/>
          <w:spacing w:val="4"/>
          <w:shd w:val="clear" w:color="auto" w:fill="FFFFFF"/>
        </w:rPr>
        <w:t xml:space="preserve">he fear of reprisal </w:t>
      </w:r>
      <w:r w:rsidR="00124134">
        <w:rPr>
          <w:color w:val="000000" w:themeColor="text1"/>
          <w:spacing w:val="4"/>
          <w:shd w:val="clear" w:color="auto" w:fill="FFFFFF"/>
        </w:rPr>
        <w:t xml:space="preserve">from an enemy capable of manufacturing and using similar projectiles was an important motivation in the immediate withdrawal </w:t>
      </w:r>
      <w:r w:rsidRPr="00C6703D">
        <w:rPr>
          <w:color w:val="000000" w:themeColor="text1"/>
          <w:spacing w:val="4"/>
          <w:shd w:val="clear" w:color="auto" w:fill="FFFFFF"/>
        </w:rPr>
        <w:t xml:space="preserve">of expanding bullets from regions of the world where they could accidentally be used against </w:t>
      </w:r>
      <w:r w:rsidR="00124134">
        <w:rPr>
          <w:color w:val="000000" w:themeColor="text1"/>
          <w:spacing w:val="4"/>
          <w:shd w:val="clear" w:color="auto" w:fill="FFFFFF"/>
        </w:rPr>
        <w:t xml:space="preserve">such </w:t>
      </w:r>
      <w:r w:rsidRPr="00C6703D">
        <w:rPr>
          <w:color w:val="000000" w:themeColor="text1"/>
          <w:spacing w:val="4"/>
          <w:shd w:val="clear" w:color="auto" w:fill="FFFFFF"/>
        </w:rPr>
        <w:t xml:space="preserve">adversaries. </w:t>
      </w:r>
      <w:r w:rsidR="00B34F78">
        <w:rPr>
          <w:color w:val="000000"/>
          <w:spacing w:val="4"/>
        </w:rPr>
        <w:t xml:space="preserve">If race had been the over-riding determinant in the decision-making process, why would such ammunition have been distributed in the first place to forces stationed in Britain and regions of the Empire where they were unlikely to encounter non-white opponents? </w:t>
      </w:r>
      <w:r w:rsidRPr="00C6703D">
        <w:rPr>
          <w:color w:val="000000" w:themeColor="text1"/>
          <w:spacing w:val="4"/>
          <w:shd w:val="clear" w:color="auto" w:fill="FFFFFF"/>
        </w:rPr>
        <w:t>Second, even after the expanding bullets were</w:t>
      </w:r>
      <w:r w:rsidR="00AE0AD2">
        <w:rPr>
          <w:color w:val="000000" w:themeColor="text1"/>
          <w:spacing w:val="4"/>
          <w:shd w:val="clear" w:color="auto" w:fill="FFFFFF"/>
        </w:rPr>
        <w:t xml:space="preserve"> universally</w:t>
      </w:r>
      <w:r w:rsidRPr="00C6703D">
        <w:rPr>
          <w:color w:val="000000" w:themeColor="text1"/>
          <w:spacing w:val="4"/>
          <w:shd w:val="clear" w:color="auto" w:fill="FFFFFF"/>
        </w:rPr>
        <w:t xml:space="preserve"> withdrawn</w:t>
      </w:r>
      <w:r w:rsidR="00AE0AD2">
        <w:rPr>
          <w:color w:val="000000" w:themeColor="text1"/>
          <w:spacing w:val="4"/>
          <w:shd w:val="clear" w:color="auto" w:fill="FFFFFF"/>
        </w:rPr>
        <w:t xml:space="preserve"> from use</w:t>
      </w:r>
      <w:r w:rsidRPr="00C6703D">
        <w:rPr>
          <w:color w:val="000000" w:themeColor="text1"/>
          <w:spacing w:val="4"/>
          <w:shd w:val="clear" w:color="auto" w:fill="FFFFFF"/>
        </w:rPr>
        <w:t xml:space="preserve">, British officers were likelier to order their subordinates to file hard-nosed bullets, turning them into expanding bullets, when confronted with adversaries that did not </w:t>
      </w:r>
      <w:r w:rsidRPr="00C6703D">
        <w:rPr>
          <w:color w:val="000000" w:themeColor="text1"/>
        </w:rPr>
        <w:t>subscribe to the norm that combatants should fall out of action once wounded.</w:t>
      </w:r>
      <w:r w:rsidR="004A2072">
        <w:rPr>
          <w:rStyle w:val="FootnoteReference"/>
          <w:color w:val="000000" w:themeColor="text1"/>
        </w:rPr>
        <w:footnoteReference w:id="4"/>
      </w:r>
      <w:r w:rsidRPr="00C6703D">
        <w:rPr>
          <w:color w:val="000000" w:themeColor="text1"/>
        </w:rPr>
        <w:t xml:space="preserve"> </w:t>
      </w:r>
      <w:r w:rsidR="003652DF">
        <w:rPr>
          <w:color w:val="000000" w:themeColor="text1"/>
        </w:rPr>
        <w:t>F</w:t>
      </w:r>
      <w:r w:rsidRPr="00C6703D">
        <w:rPr>
          <w:color w:val="000000" w:themeColor="text1"/>
        </w:rPr>
        <w:t xml:space="preserve">ear of being overwhelmed </w:t>
      </w:r>
      <w:r w:rsidR="00B55965" w:rsidRPr="00C6703D">
        <w:rPr>
          <w:color w:val="000000" w:themeColor="text1"/>
        </w:rPr>
        <w:t xml:space="preserve">by an adversary who did not conform to European </w:t>
      </w:r>
      <w:r w:rsidR="00E34FEA">
        <w:rPr>
          <w:color w:val="000000" w:themeColor="text1"/>
        </w:rPr>
        <w:t>rules</w:t>
      </w:r>
      <w:r w:rsidR="00B55965" w:rsidRPr="00C6703D">
        <w:rPr>
          <w:color w:val="000000" w:themeColor="text1"/>
        </w:rPr>
        <w:t xml:space="preserve"> o</w:t>
      </w:r>
      <w:r w:rsidR="000D1FF2">
        <w:rPr>
          <w:color w:val="000000" w:themeColor="text1"/>
        </w:rPr>
        <w:t xml:space="preserve">n the management of </w:t>
      </w:r>
      <w:r w:rsidR="00B55965" w:rsidRPr="00C6703D">
        <w:rPr>
          <w:color w:val="000000" w:themeColor="text1"/>
        </w:rPr>
        <w:t xml:space="preserve">violence </w:t>
      </w:r>
      <w:r w:rsidRPr="00C6703D">
        <w:rPr>
          <w:color w:val="000000" w:themeColor="text1"/>
        </w:rPr>
        <w:t xml:space="preserve">determined how the new norm was enforced. </w:t>
      </w:r>
      <w:r w:rsidR="00AE0AD2">
        <w:rPr>
          <w:color w:val="000000" w:themeColor="text1"/>
        </w:rPr>
        <w:t>Third</w:t>
      </w:r>
      <w:r w:rsidRPr="00C6703D">
        <w:rPr>
          <w:color w:val="000000" w:themeColor="text1"/>
        </w:rPr>
        <w:t xml:space="preserve">, </w:t>
      </w:r>
      <w:r w:rsidR="00B9397B">
        <w:rPr>
          <w:color w:val="000000" w:themeColor="text1"/>
        </w:rPr>
        <w:t>by speaking of a single racialized ‘colonial military doctrine’, Wagner conflates the differ</w:t>
      </w:r>
      <w:r w:rsidR="00AE0AD2">
        <w:rPr>
          <w:color w:val="000000" w:themeColor="text1"/>
        </w:rPr>
        <w:t>ent</w:t>
      </w:r>
      <w:r w:rsidR="00B9397B">
        <w:rPr>
          <w:color w:val="000000" w:themeColor="text1"/>
        </w:rPr>
        <w:t xml:space="preserve"> approaches and attitudes of the Cabinet in London and the governments of semi</w:t>
      </w:r>
      <w:r w:rsidRPr="00C6703D">
        <w:rPr>
          <w:color w:val="000000" w:themeColor="text1"/>
        </w:rPr>
        <w:t>autonomous colonies, such as Natal, which continued to issue expanding bullets to its militias long after such ammunition had been withdrawn from British regular</w:t>
      </w:r>
      <w:r w:rsidR="00B55965" w:rsidRPr="00C6703D">
        <w:rPr>
          <w:color w:val="000000" w:themeColor="text1"/>
        </w:rPr>
        <w:t xml:space="preserve"> troops</w:t>
      </w:r>
      <w:r w:rsidRPr="00C6703D">
        <w:rPr>
          <w:color w:val="000000" w:themeColor="text1"/>
        </w:rPr>
        <w:t>.</w:t>
      </w:r>
      <w:r w:rsidR="00C76DC3">
        <w:rPr>
          <w:color w:val="000000" w:themeColor="text1"/>
        </w:rPr>
        <w:t xml:space="preserve"> </w:t>
      </w:r>
      <w:r w:rsidR="00D3472A">
        <w:rPr>
          <w:color w:val="000000" w:themeColor="text1"/>
        </w:rPr>
        <w:t>As such,</w:t>
      </w:r>
      <w:r w:rsidR="00E34FEA">
        <w:rPr>
          <w:color w:val="000000" w:themeColor="text1"/>
        </w:rPr>
        <w:t xml:space="preserve"> it is misleading for Wagner to </w:t>
      </w:r>
      <w:r w:rsidR="00AA273D">
        <w:rPr>
          <w:color w:val="000000" w:themeColor="text1"/>
        </w:rPr>
        <w:t xml:space="preserve">write about </w:t>
      </w:r>
      <w:r w:rsidR="00E34FEA">
        <w:rPr>
          <w:color w:val="000000" w:themeColor="text1"/>
        </w:rPr>
        <w:t xml:space="preserve">the </w:t>
      </w:r>
      <w:proofErr w:type="spellStart"/>
      <w:r w:rsidR="00E34FEA">
        <w:rPr>
          <w:color w:val="000000" w:themeColor="text1"/>
        </w:rPr>
        <w:t>Mome</w:t>
      </w:r>
      <w:proofErr w:type="spellEnd"/>
      <w:r w:rsidR="00E34FEA">
        <w:rPr>
          <w:color w:val="000000" w:themeColor="text1"/>
        </w:rPr>
        <w:t xml:space="preserve"> Gorge massacre</w:t>
      </w:r>
      <w:r w:rsidR="00B55965" w:rsidRPr="00C6703D">
        <w:rPr>
          <w:color w:val="000000" w:themeColor="text1"/>
        </w:rPr>
        <w:t xml:space="preserve">, an atrocity perpetrated by volunteer militias and not the British </w:t>
      </w:r>
      <w:r w:rsidR="00B469AC">
        <w:rPr>
          <w:color w:val="000000" w:themeColor="text1"/>
        </w:rPr>
        <w:t>A</w:t>
      </w:r>
      <w:r w:rsidR="00B55965" w:rsidRPr="00C6703D">
        <w:rPr>
          <w:color w:val="000000" w:themeColor="text1"/>
        </w:rPr>
        <w:t>rmy</w:t>
      </w:r>
      <w:r w:rsidR="00AA273D">
        <w:rPr>
          <w:color w:val="000000" w:themeColor="text1"/>
        </w:rPr>
        <w:t xml:space="preserve">, as though it resulted from a singular overarching </w:t>
      </w:r>
      <w:r w:rsidR="00B9397B">
        <w:rPr>
          <w:color w:val="000000" w:themeColor="text1"/>
        </w:rPr>
        <w:t>doctrine</w:t>
      </w:r>
      <w:r w:rsidR="003652DF">
        <w:rPr>
          <w:color w:val="000000" w:themeColor="text1"/>
        </w:rPr>
        <w:t xml:space="preserve">. </w:t>
      </w:r>
    </w:p>
    <w:p w14:paraId="2CDC9CE6" w14:textId="77777777" w:rsidR="00D26F3D" w:rsidRDefault="00D26F3D" w:rsidP="00F1619F">
      <w:pPr>
        <w:spacing w:line="360" w:lineRule="auto"/>
        <w:ind w:firstLine="720"/>
        <w:jc w:val="both"/>
        <w:rPr>
          <w:color w:val="000000" w:themeColor="text1"/>
        </w:rPr>
      </w:pPr>
    </w:p>
    <w:p w14:paraId="4CC96A43" w14:textId="37B9151D" w:rsidR="00A15A6F" w:rsidRDefault="00DF5E06" w:rsidP="00D3472A">
      <w:pPr>
        <w:spacing w:line="360" w:lineRule="auto"/>
        <w:ind w:firstLine="720"/>
        <w:jc w:val="both"/>
        <w:rPr>
          <w:color w:val="000000" w:themeColor="text1"/>
        </w:rPr>
      </w:pPr>
      <w:r w:rsidRPr="00C6703D">
        <w:rPr>
          <w:color w:val="000000" w:themeColor="text1"/>
        </w:rPr>
        <w:t>If “military doctrine” is to mean anything, historians must carefully examine how it is developed and drilled into</w:t>
      </w:r>
      <w:r w:rsidR="003C4BA4">
        <w:rPr>
          <w:color w:val="000000" w:themeColor="text1"/>
        </w:rPr>
        <w:t xml:space="preserve"> a military organisation’s culture</w:t>
      </w:r>
      <w:r w:rsidR="00AE22ED" w:rsidRPr="00C6703D">
        <w:rPr>
          <w:color w:val="000000" w:themeColor="text1"/>
        </w:rPr>
        <w:t>, and what impact</w:t>
      </w:r>
      <w:r w:rsidR="00AA273D">
        <w:rPr>
          <w:color w:val="000000" w:themeColor="text1"/>
        </w:rPr>
        <w:t xml:space="preserve"> it has on that </w:t>
      </w:r>
      <w:r w:rsidR="00AA273D">
        <w:rPr>
          <w:color w:val="000000" w:themeColor="text1"/>
        </w:rPr>
        <w:lastRenderedPageBreak/>
        <w:t>organi</w:t>
      </w:r>
      <w:r w:rsidR="00201EF5">
        <w:rPr>
          <w:color w:val="000000" w:themeColor="text1"/>
        </w:rPr>
        <w:t>s</w:t>
      </w:r>
      <w:r w:rsidR="00AA273D">
        <w:rPr>
          <w:color w:val="000000" w:themeColor="text1"/>
        </w:rPr>
        <w:t xml:space="preserve">ation’s </w:t>
      </w:r>
      <w:r w:rsidR="003C4BA4">
        <w:rPr>
          <w:color w:val="000000" w:themeColor="text1"/>
        </w:rPr>
        <w:t xml:space="preserve">actual </w:t>
      </w:r>
      <w:r w:rsidR="00AE22ED" w:rsidRPr="00C6703D">
        <w:rPr>
          <w:color w:val="000000" w:themeColor="text1"/>
        </w:rPr>
        <w:t>conduct</w:t>
      </w:r>
      <w:r w:rsidRPr="00C6703D">
        <w:rPr>
          <w:color w:val="000000" w:themeColor="text1"/>
        </w:rPr>
        <w:t>.</w:t>
      </w:r>
      <w:r w:rsidRPr="00C6703D">
        <w:rPr>
          <w:rStyle w:val="FootnoteReference"/>
          <w:color w:val="000000" w:themeColor="text1"/>
        </w:rPr>
        <w:footnoteReference w:id="5"/>
      </w:r>
      <w:r w:rsidRPr="00C6703D">
        <w:rPr>
          <w:color w:val="000000" w:themeColor="text1"/>
        </w:rPr>
        <w:t xml:space="preserve"> Wagner has not </w:t>
      </w:r>
      <w:r w:rsidR="00AE22ED" w:rsidRPr="00C6703D">
        <w:rPr>
          <w:color w:val="000000" w:themeColor="text1"/>
        </w:rPr>
        <w:t>met this standard</w:t>
      </w:r>
      <w:r w:rsidRPr="00C6703D">
        <w:rPr>
          <w:color w:val="000000" w:themeColor="text1"/>
        </w:rPr>
        <w:t xml:space="preserve">. </w:t>
      </w:r>
      <w:r w:rsidR="003E71B8">
        <w:rPr>
          <w:color w:val="000000" w:themeColor="text1"/>
        </w:rPr>
        <w:t>Instead, he invokes Charles Callwell’s</w:t>
      </w:r>
      <w:r w:rsidR="00481B3A" w:rsidRPr="00C6703D">
        <w:rPr>
          <w:color w:val="000000" w:themeColor="text1"/>
        </w:rPr>
        <w:t xml:space="preserve"> </w:t>
      </w:r>
      <w:r w:rsidR="00481B3A" w:rsidRPr="00C6703D">
        <w:rPr>
          <w:i/>
          <w:color w:val="000000" w:themeColor="text1"/>
        </w:rPr>
        <w:t>Small Wars: Their Principles and Practice</w:t>
      </w:r>
      <w:r w:rsidR="00481B3A" w:rsidRPr="00C6703D">
        <w:rPr>
          <w:color w:val="000000" w:themeColor="text1"/>
        </w:rPr>
        <w:t xml:space="preserve">, </w:t>
      </w:r>
      <w:r w:rsidR="003E71B8">
        <w:rPr>
          <w:color w:val="000000" w:themeColor="text1"/>
        </w:rPr>
        <w:t>as though it</w:t>
      </w:r>
      <w:r w:rsidR="00481B3A" w:rsidRPr="00C6703D">
        <w:rPr>
          <w:color w:val="000000" w:themeColor="text1"/>
        </w:rPr>
        <w:t xml:space="preserve"> ‘merely reiterated pre-existing ideas amongst colonial officers who had served in various campaigns throughout the British Empire.’</w:t>
      </w:r>
      <w:r w:rsidR="00481B3A" w:rsidRPr="00C6703D">
        <w:rPr>
          <w:rStyle w:val="FootnoteReference"/>
          <w:color w:val="000000" w:themeColor="text1"/>
        </w:rPr>
        <w:footnoteReference w:id="6"/>
      </w:r>
      <w:r w:rsidR="00481B3A" w:rsidRPr="00C6703D">
        <w:rPr>
          <w:color w:val="000000" w:themeColor="text1"/>
        </w:rPr>
        <w:t xml:space="preserve"> </w:t>
      </w:r>
      <w:r w:rsidR="00373A9D" w:rsidRPr="00C6703D">
        <w:rPr>
          <w:color w:val="000000" w:themeColor="text1"/>
        </w:rPr>
        <w:t>That is to say, he</w:t>
      </w:r>
      <w:r w:rsidRPr="00C6703D">
        <w:rPr>
          <w:color w:val="000000" w:themeColor="text1"/>
        </w:rPr>
        <w:t xml:space="preserve"> assumes</w:t>
      </w:r>
      <w:r w:rsidR="00F22D9E">
        <w:rPr>
          <w:color w:val="000000" w:themeColor="text1"/>
        </w:rPr>
        <w:t>, without providing any corroborating evidence</w:t>
      </w:r>
      <w:r w:rsidR="00D3472A">
        <w:rPr>
          <w:color w:val="000000" w:themeColor="text1"/>
        </w:rPr>
        <w:t>,</w:t>
      </w:r>
      <w:r w:rsidRPr="00C6703D">
        <w:rPr>
          <w:color w:val="000000" w:themeColor="text1"/>
        </w:rPr>
        <w:t xml:space="preserve"> that Callwell’s handbook embodied official practice across the British Empire</w:t>
      </w:r>
      <w:r w:rsidR="00F22D9E">
        <w:rPr>
          <w:color w:val="000000" w:themeColor="text1"/>
        </w:rPr>
        <w:t xml:space="preserve">, </w:t>
      </w:r>
      <w:r w:rsidR="00F22D9E">
        <w:t>and that the tactics it described were unique to colonial combat. In fact, exemplary violence, the destruction of housing and food, and even racial rhetoric, were not unknown in European war, especially when regular forces met with irregular resistance. All Western militaries gravitated toward extreme practices if left unrestrained. What mattered and what distinguished the practices of one military from another</w:t>
      </w:r>
      <w:r w:rsidR="00FF0522">
        <w:t xml:space="preserve"> </w:t>
      </w:r>
      <w:r w:rsidR="00F22D9E">
        <w:t>were the sources of restraint</w:t>
      </w:r>
      <w:r w:rsidR="00FF0522">
        <w:t xml:space="preserve"> in the development of a military organi</w:t>
      </w:r>
      <w:r w:rsidR="00201EF5">
        <w:t>s</w:t>
      </w:r>
      <w:r w:rsidR="00FF0522">
        <w:t>ation’s practices</w:t>
      </w:r>
      <w:r w:rsidR="00F22D9E">
        <w:t xml:space="preserve">. </w:t>
      </w:r>
      <w:r w:rsidR="00FF0522">
        <w:rPr>
          <w:color w:val="000000" w:themeColor="text1"/>
        </w:rPr>
        <w:t>Was</w:t>
      </w:r>
      <w:r w:rsidR="00CF3135" w:rsidRPr="00C6703D">
        <w:rPr>
          <w:color w:val="000000" w:themeColor="text1"/>
        </w:rPr>
        <w:t xml:space="preserve"> the military </w:t>
      </w:r>
      <w:r w:rsidR="00FF0522">
        <w:rPr>
          <w:color w:val="000000" w:themeColor="text1"/>
        </w:rPr>
        <w:t>able to</w:t>
      </w:r>
      <w:r w:rsidR="00051393">
        <w:rPr>
          <w:color w:val="000000" w:themeColor="text1"/>
        </w:rPr>
        <w:t xml:space="preserve"> </w:t>
      </w:r>
      <w:r w:rsidR="00CF3135" w:rsidRPr="00C6703D">
        <w:rPr>
          <w:color w:val="000000" w:themeColor="text1"/>
        </w:rPr>
        <w:t xml:space="preserve">exert </w:t>
      </w:r>
      <w:r w:rsidR="003E71B8">
        <w:rPr>
          <w:color w:val="000000" w:themeColor="text1"/>
        </w:rPr>
        <w:t>exclusive</w:t>
      </w:r>
      <w:r w:rsidR="00CF3135" w:rsidRPr="00C6703D">
        <w:rPr>
          <w:color w:val="000000" w:themeColor="text1"/>
        </w:rPr>
        <w:t xml:space="preserve"> control over the use of violence in colonial </w:t>
      </w:r>
      <w:r w:rsidR="00051393">
        <w:rPr>
          <w:color w:val="000000" w:themeColor="text1"/>
        </w:rPr>
        <w:t>war?</w:t>
      </w:r>
      <w:r w:rsidR="00CF3135" w:rsidRPr="00C6703D">
        <w:rPr>
          <w:color w:val="000000" w:themeColor="text1"/>
        </w:rPr>
        <w:t xml:space="preserve"> </w:t>
      </w:r>
      <w:r w:rsidR="00FF0522">
        <w:rPr>
          <w:color w:val="000000" w:themeColor="text1"/>
        </w:rPr>
        <w:t>Or were p</w:t>
      </w:r>
      <w:r w:rsidRPr="00C6703D">
        <w:rPr>
          <w:color w:val="000000" w:themeColor="text1"/>
        </w:rPr>
        <w:t xml:space="preserve">oliticians, bureaucrats, diplomats, and lawyers from other departments able to interfere and limit </w:t>
      </w:r>
      <w:r w:rsidR="00FF0522">
        <w:rPr>
          <w:color w:val="000000" w:themeColor="text1"/>
        </w:rPr>
        <w:t xml:space="preserve">the </w:t>
      </w:r>
      <w:r w:rsidRPr="00C6703D">
        <w:rPr>
          <w:color w:val="000000" w:themeColor="text1"/>
        </w:rPr>
        <w:t>propensity toward the extreme</w:t>
      </w:r>
      <w:r w:rsidR="00FF0522">
        <w:rPr>
          <w:color w:val="000000" w:themeColor="text1"/>
        </w:rPr>
        <w:t xml:space="preserve"> practices?</w:t>
      </w:r>
      <w:r w:rsidRPr="00C6703D">
        <w:rPr>
          <w:color w:val="000000" w:themeColor="text1"/>
        </w:rPr>
        <w:t xml:space="preserve"> These questions matter</w:t>
      </w:r>
      <w:r w:rsidR="00CF3135" w:rsidRPr="00C6703D">
        <w:rPr>
          <w:color w:val="000000" w:themeColor="text1"/>
        </w:rPr>
        <w:t>, yet</w:t>
      </w:r>
      <w:r w:rsidRPr="00C6703D">
        <w:rPr>
          <w:color w:val="000000" w:themeColor="text1"/>
        </w:rPr>
        <w:t xml:space="preserve"> </w:t>
      </w:r>
      <w:r w:rsidR="00CF3135" w:rsidRPr="00C6703D">
        <w:rPr>
          <w:color w:val="000000" w:themeColor="text1"/>
        </w:rPr>
        <w:t>W</w:t>
      </w:r>
      <w:r w:rsidRPr="00C6703D">
        <w:rPr>
          <w:color w:val="000000" w:themeColor="text1"/>
        </w:rPr>
        <w:t xml:space="preserve">agner never so much as acknowledges them. </w:t>
      </w:r>
    </w:p>
    <w:p w14:paraId="78F1403E" w14:textId="526BB999" w:rsidR="003C07B9" w:rsidRPr="00C6703D" w:rsidRDefault="00DF5E06" w:rsidP="00D3472A">
      <w:pPr>
        <w:spacing w:line="360" w:lineRule="auto"/>
        <w:ind w:firstLine="720"/>
        <w:jc w:val="both"/>
        <w:rPr>
          <w:color w:val="000000" w:themeColor="text1"/>
        </w:rPr>
      </w:pPr>
      <w:r w:rsidRPr="00C6703D">
        <w:rPr>
          <w:color w:val="000000" w:themeColor="text1"/>
        </w:rPr>
        <w:t>Equally problematic is the assumption, made throughout the essay that “savage warfare” referred to a</w:t>
      </w:r>
      <w:r w:rsidR="00FF0522">
        <w:rPr>
          <w:color w:val="000000" w:themeColor="text1"/>
        </w:rPr>
        <w:t xml:space="preserve"> separate and</w:t>
      </w:r>
      <w:r w:rsidRPr="00C6703D">
        <w:rPr>
          <w:color w:val="000000" w:themeColor="text1"/>
        </w:rPr>
        <w:t xml:space="preserve"> distinct code of legal conduct. </w:t>
      </w:r>
      <w:r w:rsidR="00F22D9E">
        <w:rPr>
          <w:color w:val="000000" w:themeColor="text1"/>
        </w:rPr>
        <w:t>Tim Moreman has demonstrated</w:t>
      </w:r>
      <w:r w:rsidRPr="00C6703D">
        <w:rPr>
          <w:color w:val="000000" w:themeColor="text1"/>
        </w:rPr>
        <w:t xml:space="preserve"> that military manuals used the expression as a </w:t>
      </w:r>
      <w:r w:rsidR="000D1FF2">
        <w:rPr>
          <w:color w:val="000000" w:themeColor="text1"/>
        </w:rPr>
        <w:t>‘</w:t>
      </w:r>
      <w:r w:rsidRPr="00C6703D">
        <w:rPr>
          <w:color w:val="000000" w:themeColor="text1"/>
        </w:rPr>
        <w:t>term of art</w:t>
      </w:r>
      <w:r w:rsidR="000D1FF2">
        <w:rPr>
          <w:color w:val="000000" w:themeColor="text1"/>
        </w:rPr>
        <w:t>’</w:t>
      </w:r>
      <w:r w:rsidRPr="00C6703D">
        <w:rPr>
          <w:color w:val="000000" w:themeColor="text1"/>
        </w:rPr>
        <w:t xml:space="preserve"> for combat characterized by certain type</w:t>
      </w:r>
      <w:r w:rsidR="00DD2F34">
        <w:rPr>
          <w:color w:val="000000" w:themeColor="text1"/>
        </w:rPr>
        <w:t>s</w:t>
      </w:r>
      <w:r w:rsidRPr="00C6703D">
        <w:rPr>
          <w:color w:val="000000" w:themeColor="text1"/>
        </w:rPr>
        <w:t xml:space="preserve"> of organi</w:t>
      </w:r>
      <w:r w:rsidR="00201EF5">
        <w:rPr>
          <w:color w:val="000000" w:themeColor="text1"/>
        </w:rPr>
        <w:t>s</w:t>
      </w:r>
      <w:r w:rsidRPr="00C6703D">
        <w:rPr>
          <w:color w:val="000000" w:themeColor="text1"/>
        </w:rPr>
        <w:t>ation, equipment, and tactics.</w:t>
      </w:r>
      <w:r w:rsidRPr="00C6703D">
        <w:rPr>
          <w:rStyle w:val="FootnoteReference"/>
          <w:color w:val="000000" w:themeColor="text1"/>
        </w:rPr>
        <w:footnoteReference w:id="7"/>
      </w:r>
      <w:r w:rsidRPr="00C6703D">
        <w:rPr>
          <w:color w:val="000000" w:themeColor="text1"/>
        </w:rPr>
        <w:t xml:space="preserve"> This helps explain why during the Cabinet debates that followed the Hague Conference, George Wyndham was able to remark, without any irony, that the propensity of British troops to charge with bayonet made them particularly susceptible to </w:t>
      </w:r>
      <w:r w:rsidR="00EC24DC" w:rsidRPr="00C6703D">
        <w:rPr>
          <w:color w:val="000000" w:themeColor="text1"/>
        </w:rPr>
        <w:t xml:space="preserve">expanding </w:t>
      </w:r>
      <w:r w:rsidRPr="00C6703D">
        <w:rPr>
          <w:color w:val="000000" w:themeColor="text1"/>
        </w:rPr>
        <w:t>ammunition: “an expanding bullet will be effective against us, as against savages, because our men, like savages, will come to closer quarters [more] than other civilized troops.”</w:t>
      </w:r>
      <w:r w:rsidRPr="00C6703D">
        <w:rPr>
          <w:rStyle w:val="FootnoteReference"/>
          <w:color w:val="000000" w:themeColor="text1"/>
        </w:rPr>
        <w:footnoteReference w:id="8"/>
      </w:r>
    </w:p>
    <w:p w14:paraId="6731BBCE" w14:textId="0F45823D" w:rsidR="005B6C19" w:rsidRDefault="00DF5E06" w:rsidP="005B6C19">
      <w:pPr>
        <w:spacing w:line="360" w:lineRule="auto"/>
        <w:ind w:firstLine="720"/>
        <w:jc w:val="both"/>
        <w:rPr>
          <w:color w:val="000000" w:themeColor="text1"/>
        </w:rPr>
      </w:pPr>
      <w:r w:rsidRPr="00C6703D">
        <w:rPr>
          <w:color w:val="000000" w:themeColor="text1"/>
        </w:rPr>
        <w:t>In sum, Wagner fails to demonstrate that expanding ammunition</w:t>
      </w:r>
      <w:r w:rsidR="00D3472A">
        <w:rPr>
          <w:color w:val="000000" w:themeColor="text1"/>
        </w:rPr>
        <w:t xml:space="preserve"> </w:t>
      </w:r>
      <w:r w:rsidR="00A15A6F">
        <w:rPr>
          <w:color w:val="000000" w:themeColor="text1"/>
        </w:rPr>
        <w:t xml:space="preserve">was </w:t>
      </w:r>
      <w:r w:rsidRPr="00C6703D">
        <w:rPr>
          <w:color w:val="000000" w:themeColor="text1"/>
        </w:rPr>
        <w:t>the result of</w:t>
      </w:r>
      <w:r w:rsidR="005B6C19">
        <w:rPr>
          <w:color w:val="000000" w:themeColor="text1"/>
        </w:rPr>
        <w:t xml:space="preserve"> </w:t>
      </w:r>
      <w:r w:rsidRPr="00C6703D">
        <w:rPr>
          <w:color w:val="000000" w:themeColor="text1"/>
        </w:rPr>
        <w:t>“deeply encoded” racial assumptions</w:t>
      </w:r>
      <w:r w:rsidR="00D3472A">
        <w:rPr>
          <w:color w:val="000000" w:themeColor="text1"/>
        </w:rPr>
        <w:t>,</w:t>
      </w:r>
      <w:r w:rsidRPr="00C6703D">
        <w:rPr>
          <w:color w:val="000000" w:themeColor="text1"/>
        </w:rPr>
        <w:t xml:space="preserve"> or that colonial violence was governed by a racialized “colonial military doctrine.” Undoubtedly there were many racists in the British Army</w:t>
      </w:r>
      <w:r w:rsidR="00F74ED5" w:rsidRPr="00C6703D">
        <w:rPr>
          <w:color w:val="000000" w:themeColor="text1"/>
        </w:rPr>
        <w:t>,</w:t>
      </w:r>
      <w:r w:rsidRPr="00C6703D">
        <w:rPr>
          <w:color w:val="000000" w:themeColor="text1"/>
        </w:rPr>
        <w:t xml:space="preserve"> </w:t>
      </w:r>
      <w:r w:rsidR="00C23CD4">
        <w:rPr>
          <w:color w:val="000000" w:themeColor="text1"/>
        </w:rPr>
        <w:t xml:space="preserve">and Callwell’s work was </w:t>
      </w:r>
      <w:r w:rsidR="00883191">
        <w:rPr>
          <w:color w:val="000000" w:themeColor="text1"/>
        </w:rPr>
        <w:t>imbued</w:t>
      </w:r>
      <w:r w:rsidR="00C23CD4">
        <w:rPr>
          <w:color w:val="000000" w:themeColor="text1"/>
        </w:rPr>
        <w:t xml:space="preserve"> with common racist assumptions, </w:t>
      </w:r>
      <w:r w:rsidRPr="00C6703D">
        <w:rPr>
          <w:color w:val="000000" w:themeColor="text1"/>
        </w:rPr>
        <w:t xml:space="preserve">but </w:t>
      </w:r>
      <w:r w:rsidR="005B6C19">
        <w:rPr>
          <w:color w:val="000000" w:themeColor="text1"/>
        </w:rPr>
        <w:t xml:space="preserve">this does not </w:t>
      </w:r>
      <w:r w:rsidR="00AE0AD2">
        <w:rPr>
          <w:color w:val="000000" w:themeColor="text1"/>
        </w:rPr>
        <w:t>demonstrate</w:t>
      </w:r>
      <w:r w:rsidR="005B6C19">
        <w:rPr>
          <w:color w:val="000000" w:themeColor="text1"/>
        </w:rPr>
        <w:t xml:space="preserve"> the existence of a</w:t>
      </w:r>
      <w:r w:rsidR="0094010B">
        <w:rPr>
          <w:color w:val="000000" w:themeColor="text1"/>
        </w:rPr>
        <w:t xml:space="preserve"> single</w:t>
      </w:r>
      <w:r w:rsidR="005B6C19">
        <w:rPr>
          <w:color w:val="000000" w:themeColor="text1"/>
        </w:rPr>
        <w:t xml:space="preserve"> ‘colonial military doctrine’ which condoned the use of excessive force solely on the grounds of race.</w:t>
      </w:r>
    </w:p>
    <w:p w14:paraId="143E50F4" w14:textId="77777777" w:rsidR="00DF5E06" w:rsidRDefault="00DF5E06" w:rsidP="00C6703D">
      <w:pPr>
        <w:spacing w:line="360" w:lineRule="auto"/>
      </w:pPr>
    </w:p>
    <w:p w14:paraId="5CA12381" w14:textId="7B028FDA" w:rsidR="000474A1" w:rsidRPr="000474A1" w:rsidRDefault="008A615F" w:rsidP="00C6703D">
      <w:pPr>
        <w:spacing w:after="240" w:line="360" w:lineRule="auto"/>
        <w:jc w:val="both"/>
        <w:rPr>
          <w:rFonts w:cs="Times New Roman"/>
          <w:b/>
          <w:sz w:val="28"/>
        </w:rPr>
      </w:pPr>
      <w:r>
        <w:rPr>
          <w:rFonts w:cs="Times New Roman"/>
          <w:b/>
          <w:sz w:val="28"/>
        </w:rPr>
        <w:lastRenderedPageBreak/>
        <w:t xml:space="preserve">II. </w:t>
      </w:r>
      <w:r w:rsidR="00782007">
        <w:rPr>
          <w:rFonts w:cs="Times New Roman"/>
          <w:b/>
          <w:sz w:val="28"/>
        </w:rPr>
        <w:t>Debating Historical</w:t>
      </w:r>
      <w:r w:rsidR="000474A1" w:rsidRPr="000474A1">
        <w:rPr>
          <w:rFonts w:cs="Times New Roman"/>
          <w:b/>
          <w:sz w:val="28"/>
        </w:rPr>
        <w:t xml:space="preserve"> Counter</w:t>
      </w:r>
      <w:r w:rsidR="00BD105C">
        <w:rPr>
          <w:rFonts w:cs="Times New Roman"/>
          <w:b/>
          <w:sz w:val="28"/>
        </w:rPr>
        <w:t>-</w:t>
      </w:r>
      <w:r w:rsidR="000474A1" w:rsidRPr="000474A1">
        <w:rPr>
          <w:rFonts w:cs="Times New Roman"/>
          <w:b/>
          <w:sz w:val="28"/>
        </w:rPr>
        <w:t>insurgency</w:t>
      </w:r>
    </w:p>
    <w:p w14:paraId="4EFCA731" w14:textId="78B195DA" w:rsidR="00AF23B7" w:rsidRDefault="00F255C3" w:rsidP="0071751C">
      <w:pPr>
        <w:spacing w:after="240" w:line="360" w:lineRule="auto"/>
        <w:jc w:val="both"/>
        <w:rPr>
          <w:rFonts w:cs="Times New Roman"/>
        </w:rPr>
      </w:pPr>
      <w:r>
        <w:rPr>
          <w:rFonts w:cs="Times New Roman"/>
        </w:rPr>
        <w:t>Such aversion</w:t>
      </w:r>
      <w:r w:rsidR="00F17569">
        <w:rPr>
          <w:rFonts w:cs="Times New Roman"/>
        </w:rPr>
        <w:t xml:space="preserve"> to</w:t>
      </w:r>
      <w:r>
        <w:rPr>
          <w:rFonts w:cs="Times New Roman"/>
        </w:rPr>
        <w:t xml:space="preserve"> nuance </w:t>
      </w:r>
      <w:r w:rsidR="00743904">
        <w:rPr>
          <w:rFonts w:cs="Times New Roman"/>
        </w:rPr>
        <w:t>regarding</w:t>
      </w:r>
      <w:r>
        <w:rPr>
          <w:rFonts w:cs="Times New Roman"/>
        </w:rPr>
        <w:t xml:space="preserve"> British military attitudes to the expanding bullets is </w:t>
      </w:r>
      <w:r w:rsidR="00F17569">
        <w:rPr>
          <w:rFonts w:cs="Times New Roman"/>
        </w:rPr>
        <w:t>mirrored</w:t>
      </w:r>
      <w:r>
        <w:rPr>
          <w:rFonts w:cs="Times New Roman"/>
        </w:rPr>
        <w:t xml:space="preserve"> </w:t>
      </w:r>
      <w:r w:rsidR="00F17569">
        <w:rPr>
          <w:rFonts w:cs="Times New Roman"/>
        </w:rPr>
        <w:t>in Wagner’s</w:t>
      </w:r>
      <w:r w:rsidR="006E78E7">
        <w:rPr>
          <w:rFonts w:cs="Times New Roman"/>
        </w:rPr>
        <w:t xml:space="preserve"> misleading, selective, and deeply flawed survey of the debates and </w:t>
      </w:r>
      <w:r w:rsidR="00F17569">
        <w:rPr>
          <w:rFonts w:cs="Times New Roman"/>
        </w:rPr>
        <w:t>historiograph</w:t>
      </w:r>
      <w:r w:rsidR="006E78E7">
        <w:rPr>
          <w:rFonts w:cs="Times New Roman"/>
        </w:rPr>
        <w:t>y on counter</w:t>
      </w:r>
      <w:r w:rsidR="00201EF5">
        <w:rPr>
          <w:rFonts w:cs="Times New Roman"/>
        </w:rPr>
        <w:t>-</w:t>
      </w:r>
      <w:r w:rsidR="006E78E7">
        <w:rPr>
          <w:rFonts w:cs="Times New Roman"/>
        </w:rPr>
        <w:t>insurgency</w:t>
      </w:r>
      <w:r w:rsidR="0071751C">
        <w:rPr>
          <w:rFonts w:cs="Times New Roman"/>
        </w:rPr>
        <w:t xml:space="preserve"> </w:t>
      </w:r>
      <w:r w:rsidR="000474A1" w:rsidRPr="000474A1">
        <w:rPr>
          <w:rFonts w:cs="Times New Roman"/>
        </w:rPr>
        <w:t xml:space="preserve">over the </w:t>
      </w:r>
      <w:r w:rsidR="0071751C">
        <w:rPr>
          <w:rFonts w:cs="Times New Roman"/>
        </w:rPr>
        <w:t>p</w:t>
      </w:r>
      <w:r w:rsidR="000474A1" w:rsidRPr="000474A1">
        <w:rPr>
          <w:rFonts w:cs="Times New Roman"/>
        </w:rPr>
        <w:t>ast fifteen years. He claims that military historians have failed to acknowledge the “pervasive nature of colonial violence” and have “increasingly invoked a narrative concerning British expertise and proficiency in counterinsurgency.”</w:t>
      </w:r>
      <w:r w:rsidR="000474A1" w:rsidRPr="000474A1">
        <w:rPr>
          <w:rStyle w:val="FootnoteReference"/>
          <w:rFonts w:cs="Times New Roman"/>
        </w:rPr>
        <w:footnoteReference w:id="9"/>
      </w:r>
      <w:r w:rsidR="000474A1" w:rsidRPr="000474A1">
        <w:rPr>
          <w:rFonts w:cs="Times New Roman"/>
        </w:rPr>
        <w:t xml:space="preserve"> </w:t>
      </w:r>
      <w:r w:rsidR="00CA34EA">
        <w:rPr>
          <w:rFonts w:cs="Times New Roman"/>
        </w:rPr>
        <w:t xml:space="preserve">The reality is almost </w:t>
      </w:r>
      <w:r w:rsidR="002D4829">
        <w:rPr>
          <w:rFonts w:cs="Times New Roman"/>
        </w:rPr>
        <w:t xml:space="preserve">the </w:t>
      </w:r>
      <w:r w:rsidR="00CA34EA">
        <w:rPr>
          <w:rFonts w:cs="Times New Roman"/>
        </w:rPr>
        <w:t>complete</w:t>
      </w:r>
      <w:r w:rsidR="000474A1" w:rsidRPr="000474A1">
        <w:rPr>
          <w:rFonts w:cs="Times New Roman"/>
        </w:rPr>
        <w:t xml:space="preserve"> opposite. The</w:t>
      </w:r>
      <w:r w:rsidR="0071751C">
        <w:rPr>
          <w:rFonts w:cs="Times New Roman"/>
        </w:rPr>
        <w:t xml:space="preserve"> literature that emerged during the</w:t>
      </w:r>
      <w:r w:rsidR="000474A1" w:rsidRPr="000474A1">
        <w:rPr>
          <w:rFonts w:cs="Times New Roman"/>
        </w:rPr>
        <w:t xml:space="preserve"> decade of counter</w:t>
      </w:r>
      <w:r w:rsidR="007C022D">
        <w:rPr>
          <w:rFonts w:cs="Times New Roman"/>
        </w:rPr>
        <w:t>-</w:t>
      </w:r>
      <w:r w:rsidR="000474A1" w:rsidRPr="000474A1">
        <w:rPr>
          <w:rFonts w:cs="Times New Roman"/>
        </w:rPr>
        <w:t>insurgency operations following the invasion of Iraq in 2003 exposed the hollow</w:t>
      </w:r>
      <w:r w:rsidR="0071751C">
        <w:rPr>
          <w:rFonts w:cs="Times New Roman"/>
        </w:rPr>
        <w:t xml:space="preserve">ness of </w:t>
      </w:r>
      <w:r w:rsidR="000474A1" w:rsidRPr="000474A1">
        <w:rPr>
          <w:rFonts w:cs="Times New Roman"/>
        </w:rPr>
        <w:t>claim</w:t>
      </w:r>
      <w:r w:rsidR="007C022D">
        <w:rPr>
          <w:rFonts w:cs="Times New Roman"/>
        </w:rPr>
        <w:t>s</w:t>
      </w:r>
      <w:r w:rsidR="000474A1" w:rsidRPr="000474A1">
        <w:rPr>
          <w:rFonts w:cs="Times New Roman"/>
        </w:rPr>
        <w:t xml:space="preserve"> for British pre-eminence in th</w:t>
      </w:r>
      <w:r w:rsidR="007C022D">
        <w:rPr>
          <w:rFonts w:cs="Times New Roman"/>
        </w:rPr>
        <w:t>ese</w:t>
      </w:r>
      <w:r w:rsidR="000474A1" w:rsidRPr="000474A1">
        <w:rPr>
          <w:rFonts w:cs="Times New Roman"/>
        </w:rPr>
        <w:t xml:space="preserve"> conflict</w:t>
      </w:r>
      <w:r w:rsidR="007C022D">
        <w:rPr>
          <w:rFonts w:cs="Times New Roman"/>
        </w:rPr>
        <w:t>s</w:t>
      </w:r>
      <w:r w:rsidR="008A64E4">
        <w:rPr>
          <w:rFonts w:cs="Times New Roman"/>
        </w:rPr>
        <w:t>, or their unique ‘hearts and minds’ approach to pacifying hostile populations</w:t>
      </w:r>
      <w:r w:rsidR="000474A1" w:rsidRPr="000474A1">
        <w:rPr>
          <w:rFonts w:cs="Times New Roman"/>
        </w:rPr>
        <w:t xml:space="preserve">. </w:t>
      </w:r>
      <w:r w:rsidR="00E974B0">
        <w:rPr>
          <w:rFonts w:cs="Times New Roman"/>
        </w:rPr>
        <w:t>A</w:t>
      </w:r>
      <w:r w:rsidR="000474A1" w:rsidRPr="000474A1">
        <w:rPr>
          <w:rFonts w:cs="Times New Roman"/>
        </w:rPr>
        <w:t xml:space="preserve"> growing </w:t>
      </w:r>
      <w:r w:rsidR="0071751C">
        <w:rPr>
          <w:rFonts w:cs="Times New Roman"/>
        </w:rPr>
        <w:t>body of work</w:t>
      </w:r>
      <w:r w:rsidR="0071751C" w:rsidRPr="000474A1">
        <w:rPr>
          <w:rFonts w:cs="Times New Roman"/>
        </w:rPr>
        <w:t xml:space="preserve"> </w:t>
      </w:r>
      <w:r w:rsidR="0071751C">
        <w:rPr>
          <w:rFonts w:cs="Times New Roman"/>
        </w:rPr>
        <w:t xml:space="preserve">on </w:t>
      </w:r>
      <w:r w:rsidR="000474A1" w:rsidRPr="000474A1">
        <w:rPr>
          <w:rFonts w:cs="Times New Roman"/>
        </w:rPr>
        <w:t>Britain’s historical and contemporary</w:t>
      </w:r>
      <w:r w:rsidR="0071751C">
        <w:rPr>
          <w:rFonts w:cs="Times New Roman"/>
        </w:rPr>
        <w:t xml:space="preserve"> </w:t>
      </w:r>
      <w:r w:rsidR="0071751C" w:rsidRPr="000474A1">
        <w:rPr>
          <w:rFonts w:cs="Times New Roman"/>
        </w:rPr>
        <w:t>counter-insurgency</w:t>
      </w:r>
      <w:r w:rsidR="000474A1" w:rsidRPr="000474A1">
        <w:rPr>
          <w:rFonts w:cs="Times New Roman"/>
        </w:rPr>
        <w:t xml:space="preserve"> overwhelmingly emphasised </w:t>
      </w:r>
      <w:r w:rsidR="008A64E4">
        <w:rPr>
          <w:rFonts w:cs="Times New Roman"/>
        </w:rPr>
        <w:t xml:space="preserve">the </w:t>
      </w:r>
      <w:r w:rsidR="000474A1" w:rsidRPr="000474A1">
        <w:rPr>
          <w:rFonts w:cs="Times New Roman"/>
        </w:rPr>
        <w:t>delusions, flaws</w:t>
      </w:r>
      <w:r w:rsidR="008A64E4">
        <w:rPr>
          <w:rFonts w:cs="Times New Roman"/>
        </w:rPr>
        <w:t>,</w:t>
      </w:r>
      <w:r w:rsidR="000474A1" w:rsidRPr="000474A1">
        <w:rPr>
          <w:rFonts w:cs="Times New Roman"/>
        </w:rPr>
        <w:t xml:space="preserve"> and brutality</w:t>
      </w:r>
      <w:r w:rsidR="008A64E4">
        <w:rPr>
          <w:rFonts w:cs="Times New Roman"/>
        </w:rPr>
        <w:t xml:space="preserve"> which had characterised its practice</w:t>
      </w:r>
      <w:r w:rsidR="000474A1" w:rsidRPr="000474A1">
        <w:rPr>
          <w:rFonts w:cs="Times New Roman"/>
        </w:rPr>
        <w:t>.</w:t>
      </w:r>
      <w:r w:rsidR="000474A1" w:rsidRPr="000474A1">
        <w:rPr>
          <w:rStyle w:val="FootnoteReference"/>
          <w:rFonts w:cs="Times New Roman"/>
        </w:rPr>
        <w:footnoteReference w:id="10"/>
      </w:r>
      <w:r w:rsidR="000474A1" w:rsidRPr="000474A1">
        <w:rPr>
          <w:rFonts w:cs="Times New Roman"/>
        </w:rPr>
        <w:t xml:space="preserve"> The sceptical perspective is now dominant, in large measure due to the exhaustively researched, comparative study by David French published in 2011.</w:t>
      </w:r>
      <w:r w:rsidR="000474A1" w:rsidRPr="000474A1">
        <w:rPr>
          <w:rStyle w:val="FootnoteReference"/>
          <w:rFonts w:cs="Times New Roman"/>
        </w:rPr>
        <w:footnoteReference w:id="11"/>
      </w:r>
    </w:p>
    <w:p w14:paraId="3AEF4965" w14:textId="4FCEC38E" w:rsidR="000474A1" w:rsidRPr="000474A1" w:rsidRDefault="004C7959" w:rsidP="00C6703D">
      <w:pPr>
        <w:spacing w:after="240" w:line="360" w:lineRule="auto"/>
        <w:jc w:val="both"/>
        <w:rPr>
          <w:rFonts w:cs="Times New Roman"/>
        </w:rPr>
      </w:pPr>
      <w:r>
        <w:rPr>
          <w:rFonts w:cs="Times New Roman"/>
        </w:rPr>
        <w:tab/>
      </w:r>
      <w:r w:rsidR="00D114E9">
        <w:rPr>
          <w:rFonts w:cs="Times New Roman"/>
        </w:rPr>
        <w:t xml:space="preserve">Nevertheless, even if it has been displaced by recent work, </w:t>
      </w:r>
      <w:r w:rsidR="000474A1" w:rsidRPr="000474A1">
        <w:rPr>
          <w:rFonts w:cs="Times New Roman"/>
        </w:rPr>
        <w:t xml:space="preserve">Wagner is right to identify </w:t>
      </w:r>
      <w:r w:rsidR="00D114E9">
        <w:rPr>
          <w:rFonts w:cs="Times New Roman"/>
        </w:rPr>
        <w:t xml:space="preserve">the existence of </w:t>
      </w:r>
      <w:r w:rsidR="000474A1" w:rsidRPr="000474A1">
        <w:rPr>
          <w:rFonts w:cs="Times New Roman"/>
        </w:rPr>
        <w:t xml:space="preserve">a scholarly tradition keen to </w:t>
      </w:r>
      <w:r w:rsidR="00074109">
        <w:rPr>
          <w:rFonts w:cs="Times New Roman"/>
        </w:rPr>
        <w:t>demonstrate the</w:t>
      </w:r>
      <w:r w:rsidR="000474A1" w:rsidRPr="000474A1">
        <w:rPr>
          <w:rFonts w:cs="Times New Roman"/>
        </w:rPr>
        <w:t xml:space="preserve"> humanity and success </w:t>
      </w:r>
      <w:r w:rsidR="00074109">
        <w:rPr>
          <w:rFonts w:cs="Times New Roman"/>
        </w:rPr>
        <w:t>of</w:t>
      </w:r>
      <w:r w:rsidR="000474A1" w:rsidRPr="000474A1">
        <w:rPr>
          <w:rFonts w:cs="Times New Roman"/>
        </w:rPr>
        <w:t xml:space="preserve"> Britain’s counter-insurgencies</w:t>
      </w:r>
      <w:r w:rsidR="00074109">
        <w:rPr>
          <w:rFonts w:cs="Times New Roman"/>
        </w:rPr>
        <w:t xml:space="preserve"> by</w:t>
      </w:r>
      <w:r w:rsidR="000474A1" w:rsidRPr="000474A1">
        <w:rPr>
          <w:rFonts w:cs="Times New Roman"/>
        </w:rPr>
        <w:t xml:space="preserve"> </w:t>
      </w:r>
      <w:r w:rsidR="00F17569">
        <w:rPr>
          <w:rFonts w:cs="Times New Roman"/>
        </w:rPr>
        <w:t xml:space="preserve">misleadingly </w:t>
      </w:r>
      <w:r w:rsidR="00074109">
        <w:rPr>
          <w:rFonts w:cs="Times New Roman"/>
        </w:rPr>
        <w:t xml:space="preserve">comparing it </w:t>
      </w:r>
      <w:r w:rsidR="000474A1" w:rsidRPr="000474A1">
        <w:rPr>
          <w:rFonts w:cs="Times New Roman"/>
        </w:rPr>
        <w:t>against</w:t>
      </w:r>
      <w:r w:rsidR="00074109">
        <w:rPr>
          <w:rFonts w:cs="Times New Roman"/>
        </w:rPr>
        <w:t xml:space="preserve"> the supposed </w:t>
      </w:r>
      <w:r w:rsidR="00074109" w:rsidRPr="000474A1">
        <w:rPr>
          <w:rFonts w:cs="Times New Roman"/>
        </w:rPr>
        <w:t>blundering brutality</w:t>
      </w:r>
      <w:r w:rsidR="00074109">
        <w:rPr>
          <w:rFonts w:cs="Times New Roman"/>
        </w:rPr>
        <w:t xml:space="preserve"> of</w:t>
      </w:r>
      <w:r w:rsidR="000474A1" w:rsidRPr="000474A1">
        <w:rPr>
          <w:rFonts w:cs="Times New Roman"/>
        </w:rPr>
        <w:t xml:space="preserve"> Fr</w:t>
      </w:r>
      <w:r w:rsidR="00074109">
        <w:rPr>
          <w:rFonts w:cs="Times New Roman"/>
        </w:rPr>
        <w:t>ance</w:t>
      </w:r>
      <w:r w:rsidR="000474A1" w:rsidRPr="000474A1">
        <w:rPr>
          <w:rFonts w:cs="Times New Roman"/>
        </w:rPr>
        <w:t xml:space="preserve"> and </w:t>
      </w:r>
      <w:r w:rsidR="00074109">
        <w:rPr>
          <w:rFonts w:cs="Times New Roman"/>
        </w:rPr>
        <w:t>the United States.</w:t>
      </w:r>
      <w:r w:rsidR="000474A1" w:rsidRPr="000474A1">
        <w:rPr>
          <w:rFonts w:cs="Times New Roman"/>
        </w:rPr>
        <w:t xml:space="preserve"> </w:t>
      </w:r>
      <w:r w:rsidR="00074109">
        <w:rPr>
          <w:rFonts w:cs="Times New Roman"/>
        </w:rPr>
        <w:t xml:space="preserve">This </w:t>
      </w:r>
      <w:r w:rsidR="00D114E9">
        <w:rPr>
          <w:rFonts w:cs="Times New Roman"/>
        </w:rPr>
        <w:t xml:space="preserve">approach </w:t>
      </w:r>
      <w:r w:rsidR="00074109">
        <w:rPr>
          <w:rFonts w:cs="Times New Roman"/>
        </w:rPr>
        <w:t xml:space="preserve">is </w:t>
      </w:r>
      <w:r w:rsidR="000474A1" w:rsidRPr="000474A1">
        <w:rPr>
          <w:rFonts w:cs="Times New Roman"/>
        </w:rPr>
        <w:t xml:space="preserve">exemplified </w:t>
      </w:r>
      <w:r>
        <w:rPr>
          <w:rFonts w:cs="Times New Roman"/>
        </w:rPr>
        <w:t>in</w:t>
      </w:r>
      <w:r w:rsidR="000474A1" w:rsidRPr="000474A1">
        <w:rPr>
          <w:rFonts w:cs="Times New Roman"/>
        </w:rPr>
        <w:t xml:space="preserve"> the influential works by Thomas </w:t>
      </w:r>
      <w:proofErr w:type="spellStart"/>
      <w:r w:rsidR="000474A1" w:rsidRPr="000474A1">
        <w:rPr>
          <w:rFonts w:cs="Times New Roman"/>
        </w:rPr>
        <w:t>Mockaitis</w:t>
      </w:r>
      <w:proofErr w:type="spellEnd"/>
      <w:r w:rsidR="000474A1" w:rsidRPr="000474A1">
        <w:rPr>
          <w:rFonts w:cs="Times New Roman"/>
        </w:rPr>
        <w:t xml:space="preserve"> and John </w:t>
      </w:r>
      <w:proofErr w:type="spellStart"/>
      <w:r w:rsidR="000474A1" w:rsidRPr="000474A1">
        <w:rPr>
          <w:rFonts w:cs="Times New Roman"/>
        </w:rPr>
        <w:t>Nagl</w:t>
      </w:r>
      <w:proofErr w:type="spellEnd"/>
      <w:r w:rsidR="000474A1" w:rsidRPr="000474A1">
        <w:rPr>
          <w:rFonts w:cs="Times New Roman"/>
        </w:rPr>
        <w:t>, published respectively in 1990 and 2002.</w:t>
      </w:r>
      <w:r w:rsidR="000474A1" w:rsidRPr="000474A1">
        <w:rPr>
          <w:rStyle w:val="FootnoteReference"/>
          <w:rFonts w:cs="Times New Roman"/>
        </w:rPr>
        <w:footnoteReference w:id="12"/>
      </w:r>
      <w:r w:rsidR="000474A1" w:rsidRPr="000474A1">
        <w:rPr>
          <w:rFonts w:cs="Times New Roman"/>
        </w:rPr>
        <w:t xml:space="preserve"> Yet </w:t>
      </w:r>
      <w:r w:rsidR="00074109">
        <w:rPr>
          <w:rFonts w:cs="Times New Roman"/>
        </w:rPr>
        <w:t>Wagner</w:t>
      </w:r>
      <w:r w:rsidR="000474A1" w:rsidRPr="000474A1">
        <w:rPr>
          <w:rFonts w:cs="Times New Roman"/>
        </w:rPr>
        <w:t xml:space="preserve"> pays no heed to chronology. Both these texts were written before 2003; they were partly intended to spur reform in the American military to be more prepared for low intensity conflicts. </w:t>
      </w:r>
      <w:r w:rsidR="00074109">
        <w:rPr>
          <w:rFonts w:cs="Times New Roman"/>
        </w:rPr>
        <w:t>Already by 2007, scholars were challenging t</w:t>
      </w:r>
      <w:r w:rsidR="000474A1" w:rsidRPr="000474A1">
        <w:rPr>
          <w:rFonts w:cs="Times New Roman"/>
        </w:rPr>
        <w:t>he scholarly rigour of these and associated studies.</w:t>
      </w:r>
      <w:r w:rsidR="000474A1" w:rsidRPr="000474A1">
        <w:rPr>
          <w:rStyle w:val="FootnoteReference"/>
          <w:rFonts w:cs="Times New Roman"/>
        </w:rPr>
        <w:footnoteReference w:id="13"/>
      </w:r>
    </w:p>
    <w:p w14:paraId="0BE230AA" w14:textId="00E51EE5" w:rsidR="001F624A" w:rsidRPr="00C6703D" w:rsidRDefault="00BD2EC1" w:rsidP="00201EF5">
      <w:pPr>
        <w:spacing w:line="360" w:lineRule="auto"/>
        <w:ind w:firstLine="720"/>
        <w:jc w:val="both"/>
        <w:rPr>
          <w:rFonts w:cs="Times New Roman"/>
          <w:color w:val="000000" w:themeColor="text1"/>
        </w:rPr>
      </w:pPr>
      <w:r>
        <w:rPr>
          <w:rFonts w:cs="Times New Roman"/>
        </w:rPr>
        <w:t xml:space="preserve">In recent years, </w:t>
      </w:r>
      <w:r w:rsidR="00693002">
        <w:rPr>
          <w:rFonts w:cs="Times New Roman"/>
        </w:rPr>
        <w:t>military historians</w:t>
      </w:r>
      <w:r>
        <w:rPr>
          <w:rFonts w:cs="Times New Roman"/>
        </w:rPr>
        <w:t xml:space="preserve"> have continued </w:t>
      </w:r>
      <w:r w:rsidR="00074109">
        <w:rPr>
          <w:rFonts w:cs="Times New Roman"/>
        </w:rPr>
        <w:t>to criticize</w:t>
      </w:r>
      <w:r>
        <w:rPr>
          <w:rFonts w:cs="Times New Roman"/>
        </w:rPr>
        <w:t xml:space="preserve"> and dismiss</w:t>
      </w:r>
      <w:r w:rsidR="000474A1" w:rsidRPr="000474A1">
        <w:rPr>
          <w:rFonts w:cs="Times New Roman"/>
        </w:rPr>
        <w:t xml:space="preserve"> triumphalist accounts.  Rod Thornton</w:t>
      </w:r>
      <w:r>
        <w:rPr>
          <w:rFonts w:cs="Times New Roman"/>
        </w:rPr>
        <w:t>’s claim in 2004</w:t>
      </w:r>
      <w:r w:rsidR="000474A1" w:rsidRPr="000474A1">
        <w:rPr>
          <w:rFonts w:cs="Times New Roman"/>
        </w:rPr>
        <w:t xml:space="preserve"> </w:t>
      </w:r>
      <w:r>
        <w:rPr>
          <w:rFonts w:cs="Times New Roman"/>
        </w:rPr>
        <w:t xml:space="preserve">that </w:t>
      </w:r>
      <w:r w:rsidR="000474A1" w:rsidRPr="000474A1">
        <w:rPr>
          <w:rFonts w:cs="Times New Roman"/>
        </w:rPr>
        <w:t>Victorian sensibilities</w:t>
      </w:r>
      <w:r w:rsidR="00693002">
        <w:rPr>
          <w:rFonts w:cs="Times New Roman"/>
        </w:rPr>
        <w:t xml:space="preserve"> established a</w:t>
      </w:r>
      <w:r w:rsidR="000474A1" w:rsidRPr="000474A1">
        <w:rPr>
          <w:rFonts w:cs="Times New Roman"/>
        </w:rPr>
        <w:t xml:space="preserve"> preference for “minimum force” in British counter-insurgency </w:t>
      </w:r>
      <w:r>
        <w:rPr>
          <w:rFonts w:cs="Times New Roman"/>
        </w:rPr>
        <w:t xml:space="preserve">has been </w:t>
      </w:r>
      <w:r w:rsidR="000474A1" w:rsidRPr="000474A1">
        <w:rPr>
          <w:rFonts w:cs="Times New Roman"/>
        </w:rPr>
        <w:t xml:space="preserve">challenged by Huw Bennett, </w:t>
      </w:r>
      <w:r w:rsidR="000474A1" w:rsidRPr="000474A1">
        <w:rPr>
          <w:rFonts w:cs="Times New Roman"/>
        </w:rPr>
        <w:lastRenderedPageBreak/>
        <w:t>Bruno Reis and Andrew Mumford, among others.</w:t>
      </w:r>
      <w:r w:rsidR="000474A1" w:rsidRPr="000474A1">
        <w:rPr>
          <w:rStyle w:val="FootnoteReference"/>
          <w:rFonts w:cs="Times New Roman"/>
        </w:rPr>
        <w:footnoteReference w:id="14"/>
      </w:r>
      <w:r w:rsidR="000474A1" w:rsidRPr="000474A1">
        <w:rPr>
          <w:rFonts w:cs="Times New Roman"/>
        </w:rPr>
        <w:t xml:space="preserve">  When Thomas </w:t>
      </w:r>
      <w:proofErr w:type="spellStart"/>
      <w:r w:rsidR="000474A1" w:rsidRPr="001F624A">
        <w:rPr>
          <w:rFonts w:cs="Times New Roman"/>
        </w:rPr>
        <w:t>Mockaitis</w:t>
      </w:r>
      <w:proofErr w:type="spellEnd"/>
      <w:r w:rsidR="000474A1" w:rsidRPr="001F624A">
        <w:rPr>
          <w:rFonts w:cs="Times New Roman"/>
        </w:rPr>
        <w:t xml:space="preserve"> argued that critics of colonial violence were unfairly applying today’s ethical standards to the past, he was challenged by David Martin Jones and M.L.R. Smith, and </w:t>
      </w:r>
      <w:proofErr w:type="spellStart"/>
      <w:r w:rsidR="000474A1" w:rsidRPr="001F624A">
        <w:rPr>
          <w:rFonts w:cs="Times New Roman"/>
        </w:rPr>
        <w:t>Giora</w:t>
      </w:r>
      <w:proofErr w:type="spellEnd"/>
      <w:r w:rsidR="000474A1" w:rsidRPr="001F624A">
        <w:rPr>
          <w:rFonts w:cs="Times New Roman"/>
        </w:rPr>
        <w:t xml:space="preserve"> Goodman.</w:t>
      </w:r>
      <w:r w:rsidR="000474A1" w:rsidRPr="001F624A">
        <w:rPr>
          <w:rStyle w:val="FootnoteReference"/>
          <w:rFonts w:cs="Times New Roman"/>
        </w:rPr>
        <w:footnoteReference w:id="15"/>
      </w:r>
      <w:r w:rsidR="000474A1" w:rsidRPr="001F624A">
        <w:rPr>
          <w:rFonts w:cs="Times New Roman"/>
        </w:rPr>
        <w:t xml:space="preserve"> David Betz’s article advocating Charles Callwell’s </w:t>
      </w:r>
      <w:r w:rsidR="000474A1" w:rsidRPr="001F624A">
        <w:rPr>
          <w:rFonts w:cs="Times New Roman"/>
          <w:i/>
        </w:rPr>
        <w:t>Small Wars</w:t>
      </w:r>
      <w:r w:rsidR="000474A1" w:rsidRPr="001F624A">
        <w:rPr>
          <w:rFonts w:cs="Times New Roman"/>
        </w:rPr>
        <w:t xml:space="preserve"> as </w:t>
      </w:r>
      <w:r w:rsidR="00C4387E">
        <w:rPr>
          <w:rFonts w:cs="Times New Roman"/>
        </w:rPr>
        <w:t xml:space="preserve">a </w:t>
      </w:r>
      <w:r w:rsidR="000474A1" w:rsidRPr="001F624A">
        <w:rPr>
          <w:rFonts w:cs="Times New Roman"/>
        </w:rPr>
        <w:t>relevant</w:t>
      </w:r>
      <w:r w:rsidR="00693002">
        <w:rPr>
          <w:rFonts w:cs="Times New Roman"/>
        </w:rPr>
        <w:t xml:space="preserve"> guide</w:t>
      </w:r>
      <w:r w:rsidR="000474A1" w:rsidRPr="001F624A">
        <w:rPr>
          <w:rFonts w:cs="Times New Roman"/>
        </w:rPr>
        <w:t xml:space="preserve"> for contemporary military strategy, meanwhile, has been comprehensively ignored by other scholars.</w:t>
      </w:r>
      <w:r w:rsidR="000474A1" w:rsidRPr="001F624A">
        <w:rPr>
          <w:rStyle w:val="FootnoteReference"/>
          <w:rFonts w:cs="Times New Roman"/>
        </w:rPr>
        <w:footnoteReference w:id="16"/>
      </w:r>
      <w:r w:rsidR="006801BA">
        <w:rPr>
          <w:rFonts w:cs="Times New Roman"/>
        </w:rPr>
        <w:t xml:space="preserve"> </w:t>
      </w:r>
      <w:r w:rsidR="001F624A" w:rsidRPr="00C6703D">
        <w:rPr>
          <w:rStyle w:val="s2"/>
          <w:rFonts w:ascii="Times New Roman" w:hAnsi="Times New Roman" w:cs="Times New Roman"/>
          <w:color w:val="000000" w:themeColor="text1"/>
          <w:sz w:val="24"/>
          <w:szCs w:val="24"/>
        </w:rPr>
        <w:t xml:space="preserve">It is only late in </w:t>
      </w:r>
      <w:r w:rsidR="00693002">
        <w:rPr>
          <w:rStyle w:val="s2"/>
          <w:rFonts w:ascii="Times New Roman" w:hAnsi="Times New Roman" w:cs="Times New Roman"/>
          <w:color w:val="000000" w:themeColor="text1"/>
          <w:sz w:val="24"/>
          <w:szCs w:val="24"/>
        </w:rPr>
        <w:t>Wagner’s</w:t>
      </w:r>
      <w:r w:rsidR="001F624A" w:rsidRPr="00C6703D">
        <w:rPr>
          <w:rStyle w:val="s2"/>
          <w:rFonts w:ascii="Times New Roman" w:hAnsi="Times New Roman" w:cs="Times New Roman"/>
          <w:color w:val="000000" w:themeColor="text1"/>
          <w:sz w:val="24"/>
          <w:szCs w:val="24"/>
        </w:rPr>
        <w:t xml:space="preserve"> essay that </w:t>
      </w:r>
      <w:r w:rsidR="00693002">
        <w:rPr>
          <w:rStyle w:val="s2"/>
          <w:rFonts w:ascii="Times New Roman" w:hAnsi="Times New Roman" w:cs="Times New Roman"/>
          <w:color w:val="000000" w:themeColor="text1"/>
          <w:sz w:val="24"/>
          <w:szCs w:val="24"/>
        </w:rPr>
        <w:t>he cites</w:t>
      </w:r>
      <w:r w:rsidR="001F624A" w:rsidRPr="00C6703D">
        <w:rPr>
          <w:rStyle w:val="s2"/>
          <w:rFonts w:ascii="Times New Roman" w:hAnsi="Times New Roman" w:cs="Times New Roman"/>
          <w:color w:val="000000" w:themeColor="text1"/>
          <w:sz w:val="24"/>
          <w:szCs w:val="24"/>
        </w:rPr>
        <w:t xml:space="preserve">, among the references to support his </w:t>
      </w:r>
      <w:r w:rsidR="0088179A">
        <w:rPr>
          <w:rStyle w:val="s2"/>
          <w:rFonts w:ascii="Times New Roman" w:hAnsi="Times New Roman" w:cs="Times New Roman"/>
          <w:color w:val="000000" w:themeColor="text1"/>
          <w:sz w:val="24"/>
          <w:szCs w:val="24"/>
        </w:rPr>
        <w:t>view</w:t>
      </w:r>
      <w:r w:rsidR="001F624A" w:rsidRPr="00C6703D">
        <w:rPr>
          <w:rStyle w:val="s2"/>
          <w:rFonts w:ascii="Times New Roman" w:hAnsi="Times New Roman" w:cs="Times New Roman"/>
          <w:color w:val="000000" w:themeColor="text1"/>
          <w:sz w:val="24"/>
          <w:szCs w:val="24"/>
        </w:rPr>
        <w:t xml:space="preserve"> that ‘slaughter </w:t>
      </w:r>
      <w:r w:rsidR="001F624A" w:rsidRPr="00C6703D">
        <w:rPr>
          <w:rStyle w:val="s2"/>
          <w:rFonts w:ascii="Times New Roman" w:hAnsi="Times New Roman" w:cs="Times New Roman"/>
          <w:i/>
          <w:color w:val="000000" w:themeColor="text1"/>
          <w:sz w:val="24"/>
          <w:szCs w:val="24"/>
        </w:rPr>
        <w:t>was</w:t>
      </w:r>
      <w:r w:rsidR="001F624A" w:rsidRPr="00C6703D">
        <w:rPr>
          <w:rStyle w:val="s2"/>
          <w:rFonts w:ascii="Times New Roman" w:hAnsi="Times New Roman" w:cs="Times New Roman"/>
          <w:color w:val="000000" w:themeColor="text1"/>
          <w:sz w:val="24"/>
          <w:szCs w:val="24"/>
        </w:rPr>
        <w:t xml:space="preserve"> the ‘British Way’, in theory and in practice’</w:t>
      </w:r>
      <w:r w:rsidR="004D17A1">
        <w:rPr>
          <w:rStyle w:val="s2"/>
          <w:rFonts w:ascii="Times New Roman" w:hAnsi="Times New Roman" w:cs="Times New Roman"/>
          <w:color w:val="000000" w:themeColor="text1"/>
          <w:sz w:val="24"/>
          <w:szCs w:val="24"/>
        </w:rPr>
        <w:t>,</w:t>
      </w:r>
      <w:r w:rsidR="001F624A" w:rsidRPr="00C6703D">
        <w:rPr>
          <w:rStyle w:val="s2"/>
          <w:rFonts w:ascii="Times New Roman" w:hAnsi="Times New Roman" w:cs="Times New Roman"/>
          <w:color w:val="000000" w:themeColor="text1"/>
          <w:sz w:val="24"/>
          <w:szCs w:val="24"/>
        </w:rPr>
        <w:t xml:space="preserve"> the critical work of several military historians - Matthew Hughes, David French, </w:t>
      </w:r>
      <w:r w:rsidR="0088179A">
        <w:rPr>
          <w:rStyle w:val="s2"/>
          <w:rFonts w:ascii="Times New Roman" w:hAnsi="Times New Roman" w:cs="Times New Roman"/>
          <w:color w:val="000000" w:themeColor="text1"/>
          <w:sz w:val="24"/>
          <w:szCs w:val="24"/>
        </w:rPr>
        <w:t xml:space="preserve">and </w:t>
      </w:r>
      <w:r w:rsidR="001F624A" w:rsidRPr="00C6703D">
        <w:rPr>
          <w:rStyle w:val="s2"/>
          <w:rFonts w:ascii="Times New Roman" w:hAnsi="Times New Roman" w:cs="Times New Roman"/>
          <w:color w:val="000000" w:themeColor="text1"/>
          <w:sz w:val="24"/>
          <w:szCs w:val="24"/>
        </w:rPr>
        <w:t>Douglas Porch.</w:t>
      </w:r>
      <w:r w:rsidR="006801BA">
        <w:rPr>
          <w:rStyle w:val="s2"/>
          <w:rFonts w:ascii="Times New Roman" w:hAnsi="Times New Roman" w:cs="Times New Roman"/>
          <w:color w:val="000000" w:themeColor="text1"/>
          <w:sz w:val="24"/>
          <w:szCs w:val="24"/>
        </w:rPr>
        <w:t xml:space="preserve">  Wagner </w:t>
      </w:r>
      <w:r w:rsidR="00693002">
        <w:rPr>
          <w:rStyle w:val="s2"/>
          <w:rFonts w:ascii="Times New Roman" w:hAnsi="Times New Roman" w:cs="Times New Roman"/>
          <w:color w:val="000000" w:themeColor="text1"/>
          <w:sz w:val="24"/>
          <w:szCs w:val="24"/>
        </w:rPr>
        <w:t>simultaneously relies</w:t>
      </w:r>
      <w:r w:rsidR="006801BA">
        <w:rPr>
          <w:rStyle w:val="s2"/>
          <w:rFonts w:ascii="Times New Roman" w:hAnsi="Times New Roman" w:cs="Times New Roman"/>
          <w:color w:val="000000" w:themeColor="text1"/>
          <w:sz w:val="24"/>
          <w:szCs w:val="24"/>
        </w:rPr>
        <w:t xml:space="preserve"> </w:t>
      </w:r>
      <w:r w:rsidR="00693002">
        <w:rPr>
          <w:rStyle w:val="s2"/>
          <w:rFonts w:ascii="Times New Roman" w:hAnsi="Times New Roman" w:cs="Times New Roman"/>
          <w:color w:val="000000" w:themeColor="text1"/>
          <w:sz w:val="24"/>
          <w:szCs w:val="24"/>
        </w:rPr>
        <w:t>on the findings of military historians to support the claim that</w:t>
      </w:r>
      <w:r w:rsidR="006801BA">
        <w:rPr>
          <w:rStyle w:val="s2"/>
          <w:rFonts w:ascii="Times New Roman" w:hAnsi="Times New Roman" w:cs="Times New Roman"/>
          <w:color w:val="000000" w:themeColor="text1"/>
          <w:sz w:val="24"/>
          <w:szCs w:val="24"/>
        </w:rPr>
        <w:t xml:space="preserve"> brutality</w:t>
      </w:r>
      <w:r w:rsidR="00693002">
        <w:rPr>
          <w:rStyle w:val="s2"/>
          <w:rFonts w:ascii="Times New Roman" w:hAnsi="Times New Roman" w:cs="Times New Roman"/>
          <w:color w:val="000000" w:themeColor="text1"/>
          <w:sz w:val="24"/>
          <w:szCs w:val="24"/>
        </w:rPr>
        <w:t xml:space="preserve"> was</w:t>
      </w:r>
      <w:r w:rsidR="006801BA">
        <w:rPr>
          <w:rStyle w:val="s2"/>
          <w:rFonts w:ascii="Times New Roman" w:hAnsi="Times New Roman" w:cs="Times New Roman"/>
          <w:color w:val="000000" w:themeColor="text1"/>
          <w:sz w:val="24"/>
          <w:szCs w:val="24"/>
        </w:rPr>
        <w:t xml:space="preserve"> inherent in British colonial warfare </w:t>
      </w:r>
      <w:r w:rsidR="00693002">
        <w:rPr>
          <w:rStyle w:val="s2"/>
          <w:rFonts w:ascii="Times New Roman" w:hAnsi="Times New Roman" w:cs="Times New Roman"/>
          <w:color w:val="000000" w:themeColor="text1"/>
          <w:sz w:val="24"/>
          <w:szCs w:val="24"/>
        </w:rPr>
        <w:t xml:space="preserve">and </w:t>
      </w:r>
      <w:r w:rsidR="006801BA">
        <w:rPr>
          <w:rStyle w:val="s2"/>
          <w:rFonts w:ascii="Times New Roman" w:hAnsi="Times New Roman" w:cs="Times New Roman"/>
          <w:color w:val="000000" w:themeColor="text1"/>
          <w:sz w:val="24"/>
          <w:szCs w:val="24"/>
        </w:rPr>
        <w:t xml:space="preserve">decries </w:t>
      </w:r>
      <w:r w:rsidR="00693002">
        <w:rPr>
          <w:rStyle w:val="s2"/>
          <w:rFonts w:ascii="Times New Roman" w:hAnsi="Times New Roman" w:cs="Times New Roman"/>
          <w:color w:val="000000" w:themeColor="text1"/>
          <w:sz w:val="24"/>
          <w:szCs w:val="24"/>
        </w:rPr>
        <w:t>their inability to produce anything</w:t>
      </w:r>
      <w:r w:rsidR="006801BA">
        <w:rPr>
          <w:rStyle w:val="s2"/>
          <w:rFonts w:ascii="Times New Roman" w:hAnsi="Times New Roman" w:cs="Times New Roman"/>
          <w:color w:val="000000" w:themeColor="text1"/>
          <w:sz w:val="24"/>
          <w:szCs w:val="24"/>
        </w:rPr>
        <w:t xml:space="preserve"> other than </w:t>
      </w:r>
      <w:r w:rsidR="002B42CF">
        <w:rPr>
          <w:rStyle w:val="s2"/>
          <w:rFonts w:ascii="Times New Roman" w:hAnsi="Times New Roman" w:cs="Times New Roman"/>
          <w:color w:val="000000" w:themeColor="text1"/>
          <w:sz w:val="24"/>
          <w:szCs w:val="24"/>
        </w:rPr>
        <w:t xml:space="preserve">apologies for </w:t>
      </w:r>
      <w:r w:rsidR="006801BA">
        <w:rPr>
          <w:rStyle w:val="s2"/>
          <w:rFonts w:ascii="Times New Roman" w:hAnsi="Times New Roman" w:cs="Times New Roman"/>
          <w:color w:val="000000" w:themeColor="text1"/>
          <w:sz w:val="24"/>
          <w:szCs w:val="24"/>
        </w:rPr>
        <w:t>rank militarism</w:t>
      </w:r>
      <w:r w:rsidR="002B42CF">
        <w:rPr>
          <w:rStyle w:val="s2"/>
          <w:rFonts w:ascii="Times New Roman" w:hAnsi="Times New Roman" w:cs="Times New Roman"/>
          <w:color w:val="000000" w:themeColor="text1"/>
          <w:sz w:val="24"/>
          <w:szCs w:val="24"/>
        </w:rPr>
        <w:t xml:space="preserve"> and </w:t>
      </w:r>
      <w:proofErr w:type="gramStart"/>
      <w:r w:rsidR="002B42CF">
        <w:rPr>
          <w:rStyle w:val="s2"/>
          <w:rFonts w:ascii="Times New Roman" w:hAnsi="Times New Roman" w:cs="Times New Roman"/>
          <w:color w:val="000000" w:themeColor="text1"/>
          <w:sz w:val="24"/>
          <w:szCs w:val="24"/>
        </w:rPr>
        <w:t>modern day</w:t>
      </w:r>
      <w:proofErr w:type="gramEnd"/>
      <w:r w:rsidR="002B42CF">
        <w:rPr>
          <w:rStyle w:val="s2"/>
          <w:rFonts w:ascii="Times New Roman" w:hAnsi="Times New Roman" w:cs="Times New Roman"/>
          <w:color w:val="000000" w:themeColor="text1"/>
          <w:sz w:val="24"/>
          <w:szCs w:val="24"/>
        </w:rPr>
        <w:t xml:space="preserve"> Empire</w:t>
      </w:r>
      <w:r w:rsidR="006801BA">
        <w:rPr>
          <w:rStyle w:val="s2"/>
          <w:rFonts w:ascii="Times New Roman" w:hAnsi="Times New Roman" w:cs="Times New Roman"/>
          <w:color w:val="000000" w:themeColor="text1"/>
          <w:sz w:val="24"/>
          <w:szCs w:val="24"/>
        </w:rPr>
        <w:t>.</w:t>
      </w:r>
      <w:r w:rsidR="002B42CF">
        <w:rPr>
          <w:rStyle w:val="s2"/>
          <w:rFonts w:ascii="Times New Roman" w:hAnsi="Times New Roman" w:cs="Times New Roman"/>
          <w:color w:val="000000" w:themeColor="text1"/>
          <w:sz w:val="24"/>
          <w:szCs w:val="24"/>
        </w:rPr>
        <w:t xml:space="preserve"> These positions are mutually </w:t>
      </w:r>
      <w:r w:rsidR="002D4829">
        <w:rPr>
          <w:rStyle w:val="s2"/>
          <w:rFonts w:ascii="Times New Roman" w:hAnsi="Times New Roman" w:cs="Times New Roman"/>
          <w:color w:val="000000" w:themeColor="text1"/>
          <w:sz w:val="24"/>
          <w:szCs w:val="24"/>
        </w:rPr>
        <w:t>incompatible</w:t>
      </w:r>
      <w:r w:rsidR="002B42CF">
        <w:rPr>
          <w:rStyle w:val="s2"/>
          <w:rFonts w:ascii="Times New Roman" w:hAnsi="Times New Roman" w:cs="Times New Roman"/>
          <w:color w:val="000000" w:themeColor="text1"/>
          <w:sz w:val="24"/>
          <w:szCs w:val="24"/>
        </w:rPr>
        <w:t>, and no amount of torturous logic can enable one to subscribe to both.</w:t>
      </w:r>
    </w:p>
    <w:p w14:paraId="283825D3" w14:textId="77777777" w:rsidR="000474A1" w:rsidRDefault="000474A1" w:rsidP="00C6703D">
      <w:pPr>
        <w:spacing w:after="240" w:line="360" w:lineRule="auto"/>
        <w:jc w:val="both"/>
        <w:rPr>
          <w:rFonts w:cs="Times New Roman"/>
        </w:rPr>
      </w:pPr>
    </w:p>
    <w:p w14:paraId="03402CAA" w14:textId="3C7510FE" w:rsidR="000474A1" w:rsidRPr="000474A1" w:rsidRDefault="008A615F" w:rsidP="00C6703D">
      <w:pPr>
        <w:spacing w:after="240" w:line="360" w:lineRule="auto"/>
        <w:jc w:val="both"/>
        <w:rPr>
          <w:rFonts w:cs="Times New Roman"/>
          <w:b/>
          <w:sz w:val="28"/>
        </w:rPr>
      </w:pPr>
      <w:r>
        <w:rPr>
          <w:rFonts w:cs="Times New Roman"/>
          <w:b/>
          <w:sz w:val="28"/>
        </w:rPr>
        <w:t xml:space="preserve">III. </w:t>
      </w:r>
      <w:r w:rsidR="000474A1" w:rsidRPr="000474A1">
        <w:rPr>
          <w:rFonts w:cs="Times New Roman"/>
          <w:b/>
          <w:sz w:val="28"/>
        </w:rPr>
        <w:t>‘Parochial Military History’</w:t>
      </w:r>
    </w:p>
    <w:p w14:paraId="2726E7C4" w14:textId="5A2BCF82" w:rsidR="000474A1" w:rsidRPr="00F1619F" w:rsidRDefault="00495DD1" w:rsidP="00606127">
      <w:pPr>
        <w:spacing w:after="240" w:line="360" w:lineRule="auto"/>
        <w:ind w:firstLine="720"/>
        <w:jc w:val="both"/>
        <w:rPr>
          <w:rFonts w:cs="Times New Roman"/>
        </w:rPr>
      </w:pPr>
      <w:r>
        <w:rPr>
          <w:rFonts w:cs="Times New Roman"/>
        </w:rPr>
        <w:t>Wagner’s claims demonstrate his deep-seated disregard for the scholarly standards of military historians</w:t>
      </w:r>
      <w:r w:rsidR="00606127">
        <w:rPr>
          <w:rFonts w:cs="Times New Roman"/>
        </w:rPr>
        <w:t>, to whom he ascribes</w:t>
      </w:r>
      <w:r>
        <w:rPr>
          <w:rFonts w:cs="Times New Roman"/>
        </w:rPr>
        <w:t xml:space="preserve"> </w:t>
      </w:r>
      <w:r w:rsidR="00606127">
        <w:rPr>
          <w:rFonts w:cs="Times New Roman"/>
        </w:rPr>
        <w:t xml:space="preserve">the </w:t>
      </w:r>
      <w:r w:rsidR="001D39BE">
        <w:rPr>
          <w:rFonts w:cs="Times New Roman"/>
        </w:rPr>
        <w:t xml:space="preserve">practice of viewing texts such as Callwell’s </w:t>
      </w:r>
      <w:r w:rsidR="001D39BE">
        <w:rPr>
          <w:rFonts w:cs="Times New Roman"/>
          <w:i/>
        </w:rPr>
        <w:t>Small Wars</w:t>
      </w:r>
      <w:r w:rsidR="001D39BE">
        <w:rPr>
          <w:rFonts w:cs="Times New Roman"/>
        </w:rPr>
        <w:t xml:space="preserve"> in isolation from their contexts</w:t>
      </w:r>
      <w:r w:rsidR="0082282C">
        <w:rPr>
          <w:rFonts w:cs="Times New Roman"/>
        </w:rPr>
        <w:t>, and of seeing in them ‘valuable lessons of colonial warfare’ of relevance to modern militaries.</w:t>
      </w:r>
      <w:r w:rsidR="0082282C">
        <w:rPr>
          <w:rStyle w:val="FootnoteReference"/>
          <w:rFonts w:cs="Times New Roman"/>
        </w:rPr>
        <w:footnoteReference w:id="17"/>
      </w:r>
      <w:r w:rsidR="0082282C">
        <w:rPr>
          <w:rFonts w:cs="Times New Roman"/>
        </w:rPr>
        <w:t xml:space="preserve"> </w:t>
      </w:r>
      <w:r>
        <w:rPr>
          <w:rFonts w:cs="Times New Roman"/>
        </w:rPr>
        <w:t>Military historians</w:t>
      </w:r>
      <w:r w:rsidR="00606127">
        <w:rPr>
          <w:rFonts w:cs="Times New Roman"/>
        </w:rPr>
        <w:t xml:space="preserve"> are</w:t>
      </w:r>
      <w:r>
        <w:rPr>
          <w:rFonts w:cs="Times New Roman"/>
        </w:rPr>
        <w:t xml:space="preserve">, according to Wagner, ‘parochial’. This notion, which Wagner employs in his article and has elaborated upon </w:t>
      </w:r>
      <w:proofErr w:type="spellStart"/>
      <w:r w:rsidR="00606127">
        <w:rPr>
          <w:rFonts w:cs="Times New Roman"/>
        </w:rPr>
        <w:t>elsehwere</w:t>
      </w:r>
      <w:proofErr w:type="spellEnd"/>
      <w:r>
        <w:rPr>
          <w:rFonts w:cs="Times New Roman"/>
        </w:rPr>
        <w:t>, rests on the argument that</w:t>
      </w:r>
      <w:r w:rsidR="0082282C">
        <w:rPr>
          <w:rFonts w:cs="Times New Roman"/>
        </w:rPr>
        <w:t xml:space="preserve"> military history ‘</w:t>
      </w:r>
      <w:r w:rsidR="00627F88">
        <w:rPr>
          <w:rFonts w:cs="Times New Roman"/>
        </w:rPr>
        <w:t>has followed a separate trajectory, operating with aims, priorities and methodologies quite its own</w:t>
      </w:r>
      <w:r w:rsidR="0082282C">
        <w:rPr>
          <w:rFonts w:cs="Times New Roman"/>
        </w:rPr>
        <w:t xml:space="preserve">’ when compared to the </w:t>
      </w:r>
      <w:r w:rsidR="00277600">
        <w:rPr>
          <w:rFonts w:cs="Times New Roman"/>
        </w:rPr>
        <w:t xml:space="preserve">rest </w:t>
      </w:r>
      <w:r w:rsidR="0082282C">
        <w:rPr>
          <w:rFonts w:cs="Times New Roman"/>
        </w:rPr>
        <w:t xml:space="preserve">of the discipline of History. These aims, he contends, conflict with the requirements of sound </w:t>
      </w:r>
      <w:r w:rsidR="0082282C">
        <w:rPr>
          <w:rFonts w:cs="Times New Roman"/>
        </w:rPr>
        <w:lastRenderedPageBreak/>
        <w:t>scholarship, as they encourage military historians to produce ‘</w:t>
      </w:r>
      <w:r w:rsidR="000474A1" w:rsidRPr="000474A1">
        <w:rPr>
          <w:rFonts w:cs="Times New Roman"/>
        </w:rPr>
        <w:t>essentially weaponized history: the instrumentalization of the past as a tool to be deployed in the present</w:t>
      </w:r>
      <w:r w:rsidR="0082282C">
        <w:rPr>
          <w:rFonts w:cs="Times New Roman"/>
        </w:rPr>
        <w:t>’</w:t>
      </w:r>
      <w:r w:rsidR="000474A1" w:rsidRPr="000474A1">
        <w:rPr>
          <w:rFonts w:cs="Times New Roman"/>
        </w:rPr>
        <w:t>.</w:t>
      </w:r>
      <w:r w:rsidR="000474A1" w:rsidRPr="000474A1">
        <w:rPr>
          <w:rStyle w:val="FootnoteReference"/>
          <w:rFonts w:cs="Times New Roman"/>
        </w:rPr>
        <w:footnoteReference w:id="18"/>
      </w:r>
    </w:p>
    <w:p w14:paraId="60B97DB1" w14:textId="648895B0" w:rsidR="000474A1" w:rsidRPr="00C6703D" w:rsidRDefault="001402C6" w:rsidP="0053612C">
      <w:pPr>
        <w:spacing w:after="240" w:line="360" w:lineRule="auto"/>
        <w:ind w:firstLine="720"/>
        <w:jc w:val="both"/>
        <w:rPr>
          <w:rFonts w:cs="Times New Roman"/>
          <w:color w:val="000000" w:themeColor="text1"/>
        </w:rPr>
      </w:pPr>
      <w:r w:rsidRPr="001402C6">
        <w:rPr>
          <w:rStyle w:val="s2"/>
          <w:rFonts w:ascii="Times New Roman" w:hAnsi="Times New Roman" w:cs="Times New Roman"/>
          <w:color w:val="000000" w:themeColor="text1"/>
          <w:sz w:val="24"/>
          <w:szCs w:val="24"/>
        </w:rPr>
        <w:t>Wagner</w:t>
      </w:r>
      <w:r>
        <w:rPr>
          <w:rStyle w:val="s2"/>
          <w:rFonts w:ascii="Times New Roman" w:hAnsi="Times New Roman" w:cs="Times New Roman"/>
          <w:color w:val="000000" w:themeColor="text1"/>
          <w:sz w:val="24"/>
          <w:szCs w:val="24"/>
        </w:rPr>
        <w:t>’</w:t>
      </w:r>
      <w:r w:rsidRPr="001402C6">
        <w:rPr>
          <w:rStyle w:val="s2"/>
          <w:rFonts w:ascii="Times New Roman" w:hAnsi="Times New Roman" w:cs="Times New Roman"/>
          <w:color w:val="000000" w:themeColor="text1"/>
          <w:sz w:val="24"/>
          <w:szCs w:val="24"/>
        </w:rPr>
        <w:t xml:space="preserve">s writings leave the reader </w:t>
      </w:r>
      <w:r w:rsidR="000474A1" w:rsidRPr="000474A1">
        <w:rPr>
          <w:rStyle w:val="s2"/>
          <w:rFonts w:ascii="Times New Roman" w:hAnsi="Times New Roman" w:cs="Times New Roman"/>
          <w:color w:val="000000" w:themeColor="text1"/>
          <w:sz w:val="24"/>
          <w:szCs w:val="24"/>
        </w:rPr>
        <w:t xml:space="preserve">with the impression that </w:t>
      </w:r>
      <w:r w:rsidR="00443AAD">
        <w:rPr>
          <w:rStyle w:val="s2"/>
          <w:rFonts w:ascii="Times New Roman" w:hAnsi="Times New Roman" w:cs="Times New Roman"/>
          <w:color w:val="000000" w:themeColor="text1"/>
          <w:sz w:val="24"/>
          <w:szCs w:val="24"/>
        </w:rPr>
        <w:t>‘</w:t>
      </w:r>
      <w:r w:rsidR="000474A1" w:rsidRPr="000474A1">
        <w:rPr>
          <w:rStyle w:val="s2"/>
          <w:rFonts w:ascii="Times New Roman" w:hAnsi="Times New Roman" w:cs="Times New Roman"/>
          <w:color w:val="000000" w:themeColor="text1"/>
          <w:sz w:val="24"/>
          <w:szCs w:val="24"/>
        </w:rPr>
        <w:t>operational military history</w:t>
      </w:r>
      <w:r w:rsidR="00443AAD">
        <w:rPr>
          <w:rStyle w:val="s2"/>
          <w:rFonts w:ascii="Times New Roman" w:hAnsi="Times New Roman" w:cs="Times New Roman"/>
          <w:color w:val="000000" w:themeColor="text1"/>
          <w:sz w:val="24"/>
          <w:szCs w:val="24"/>
        </w:rPr>
        <w:t>’</w:t>
      </w:r>
      <w:r w:rsidR="000474A1" w:rsidRPr="000474A1">
        <w:rPr>
          <w:rStyle w:val="s2"/>
          <w:rFonts w:ascii="Times New Roman" w:hAnsi="Times New Roman" w:cs="Times New Roman"/>
          <w:color w:val="000000" w:themeColor="text1"/>
          <w:sz w:val="24"/>
          <w:szCs w:val="24"/>
        </w:rPr>
        <w:t xml:space="preserve"> and </w:t>
      </w:r>
      <w:r w:rsidR="00443AAD">
        <w:rPr>
          <w:rStyle w:val="s2"/>
          <w:rFonts w:ascii="Times New Roman" w:hAnsi="Times New Roman" w:cs="Times New Roman"/>
          <w:color w:val="000000" w:themeColor="text1"/>
          <w:sz w:val="24"/>
          <w:szCs w:val="24"/>
        </w:rPr>
        <w:t>‘</w:t>
      </w:r>
      <w:r w:rsidR="000474A1" w:rsidRPr="000474A1">
        <w:rPr>
          <w:rStyle w:val="s2"/>
          <w:rFonts w:ascii="Times New Roman" w:hAnsi="Times New Roman" w:cs="Times New Roman"/>
          <w:color w:val="000000" w:themeColor="text1"/>
          <w:sz w:val="24"/>
          <w:szCs w:val="24"/>
        </w:rPr>
        <w:t>war and society</w:t>
      </w:r>
      <w:r w:rsidR="00443AAD">
        <w:rPr>
          <w:rStyle w:val="s2"/>
          <w:rFonts w:ascii="Times New Roman" w:hAnsi="Times New Roman" w:cs="Times New Roman"/>
          <w:color w:val="000000" w:themeColor="text1"/>
          <w:sz w:val="24"/>
          <w:szCs w:val="24"/>
        </w:rPr>
        <w:t>’</w:t>
      </w:r>
      <w:r w:rsidR="000474A1" w:rsidRPr="000474A1">
        <w:rPr>
          <w:rStyle w:val="s2"/>
          <w:rFonts w:ascii="Times New Roman" w:hAnsi="Times New Roman" w:cs="Times New Roman"/>
          <w:color w:val="000000" w:themeColor="text1"/>
          <w:sz w:val="24"/>
          <w:szCs w:val="24"/>
        </w:rPr>
        <w:t xml:space="preserve"> approach</w:t>
      </w:r>
      <w:r w:rsidR="00201EF5">
        <w:rPr>
          <w:rStyle w:val="s2"/>
          <w:rFonts w:ascii="Times New Roman" w:hAnsi="Times New Roman" w:cs="Times New Roman"/>
          <w:color w:val="000000" w:themeColor="text1"/>
          <w:sz w:val="24"/>
          <w:szCs w:val="24"/>
        </w:rPr>
        <w:t>es to the history of warfare</w:t>
      </w:r>
      <w:r w:rsidR="000474A1" w:rsidRPr="000474A1">
        <w:rPr>
          <w:rStyle w:val="s2"/>
          <w:rFonts w:ascii="Times New Roman" w:hAnsi="Times New Roman" w:cs="Times New Roman"/>
          <w:color w:val="000000" w:themeColor="text1"/>
          <w:sz w:val="24"/>
          <w:szCs w:val="24"/>
        </w:rPr>
        <w:t xml:space="preserve"> developed in quite distinct ways</w:t>
      </w:r>
      <w:r w:rsidR="00201EF5">
        <w:rPr>
          <w:rStyle w:val="s2"/>
          <w:rFonts w:ascii="Times New Roman" w:hAnsi="Times New Roman" w:cs="Times New Roman"/>
          <w:color w:val="000000" w:themeColor="text1"/>
          <w:sz w:val="24"/>
          <w:szCs w:val="24"/>
        </w:rPr>
        <w:t>.</w:t>
      </w:r>
      <w:r w:rsidR="000474A1" w:rsidRPr="000474A1">
        <w:rPr>
          <w:rStyle w:val="s2"/>
          <w:rFonts w:ascii="Times New Roman" w:hAnsi="Times New Roman" w:cs="Times New Roman"/>
          <w:color w:val="000000" w:themeColor="text1"/>
          <w:sz w:val="24"/>
          <w:szCs w:val="24"/>
        </w:rPr>
        <w:t xml:space="preserve"> </w:t>
      </w:r>
      <w:r w:rsidR="00201EF5">
        <w:rPr>
          <w:rStyle w:val="s2"/>
          <w:rFonts w:ascii="Times New Roman" w:hAnsi="Times New Roman" w:cs="Times New Roman"/>
          <w:color w:val="000000" w:themeColor="text1"/>
          <w:sz w:val="24"/>
          <w:szCs w:val="24"/>
        </w:rPr>
        <w:t>T</w:t>
      </w:r>
      <w:r w:rsidR="000474A1" w:rsidRPr="000474A1">
        <w:rPr>
          <w:rStyle w:val="s2"/>
          <w:rFonts w:ascii="Times New Roman" w:hAnsi="Times New Roman" w:cs="Times New Roman"/>
          <w:color w:val="000000" w:themeColor="text1"/>
          <w:sz w:val="24"/>
          <w:szCs w:val="24"/>
        </w:rPr>
        <w:t xml:space="preserve">he former </w:t>
      </w:r>
      <w:r w:rsidR="00201EF5">
        <w:rPr>
          <w:rStyle w:val="s2"/>
          <w:rFonts w:ascii="Times New Roman" w:hAnsi="Times New Roman" w:cs="Times New Roman"/>
          <w:color w:val="000000" w:themeColor="text1"/>
          <w:sz w:val="24"/>
          <w:szCs w:val="24"/>
        </w:rPr>
        <w:t xml:space="preserve">appears </w:t>
      </w:r>
      <w:r w:rsidR="000474A1" w:rsidRPr="000474A1">
        <w:rPr>
          <w:rStyle w:val="s2"/>
          <w:rFonts w:ascii="Times New Roman" w:hAnsi="Times New Roman" w:cs="Times New Roman"/>
          <w:color w:val="000000" w:themeColor="text1"/>
          <w:sz w:val="24"/>
          <w:szCs w:val="24"/>
        </w:rPr>
        <w:t>hidebound</w:t>
      </w:r>
      <w:r w:rsidR="00201EF5">
        <w:rPr>
          <w:rStyle w:val="s2"/>
          <w:rFonts w:ascii="Times New Roman" w:hAnsi="Times New Roman" w:cs="Times New Roman"/>
          <w:color w:val="000000" w:themeColor="text1"/>
          <w:sz w:val="24"/>
          <w:szCs w:val="24"/>
        </w:rPr>
        <w:t>,</w:t>
      </w:r>
      <w:r w:rsidR="000474A1" w:rsidRPr="000474A1">
        <w:rPr>
          <w:rStyle w:val="s2"/>
          <w:rFonts w:ascii="Times New Roman" w:hAnsi="Times New Roman" w:cs="Times New Roman"/>
          <w:color w:val="000000" w:themeColor="text1"/>
          <w:sz w:val="24"/>
          <w:szCs w:val="24"/>
        </w:rPr>
        <w:t xml:space="preserve"> anachronistic,</w:t>
      </w:r>
      <w:r w:rsidR="00201EF5">
        <w:rPr>
          <w:rStyle w:val="s2"/>
          <w:rFonts w:ascii="Times New Roman" w:hAnsi="Times New Roman" w:cs="Times New Roman"/>
          <w:color w:val="000000" w:themeColor="text1"/>
          <w:sz w:val="24"/>
          <w:szCs w:val="24"/>
        </w:rPr>
        <w:t xml:space="preserve"> and linked to militaries themselves,</w:t>
      </w:r>
      <w:r w:rsidR="000474A1" w:rsidRPr="000474A1">
        <w:rPr>
          <w:rStyle w:val="s2"/>
          <w:rFonts w:ascii="Times New Roman" w:hAnsi="Times New Roman" w:cs="Times New Roman"/>
          <w:color w:val="000000" w:themeColor="text1"/>
          <w:sz w:val="24"/>
          <w:szCs w:val="24"/>
        </w:rPr>
        <w:t xml:space="preserve"> the latter methodologically and theoretically progressive</w:t>
      </w:r>
      <w:r w:rsidR="00201EF5">
        <w:rPr>
          <w:rStyle w:val="s2"/>
          <w:rFonts w:ascii="Times New Roman" w:hAnsi="Times New Roman" w:cs="Times New Roman"/>
          <w:color w:val="000000" w:themeColor="text1"/>
          <w:sz w:val="24"/>
          <w:szCs w:val="24"/>
        </w:rPr>
        <w:t>, and born of the academy</w:t>
      </w:r>
      <w:r w:rsidR="000474A1" w:rsidRPr="000474A1">
        <w:rPr>
          <w:rStyle w:val="s2"/>
          <w:rFonts w:ascii="Times New Roman" w:hAnsi="Times New Roman" w:cs="Times New Roman"/>
          <w:color w:val="000000" w:themeColor="text1"/>
          <w:sz w:val="24"/>
          <w:szCs w:val="24"/>
        </w:rPr>
        <w:t xml:space="preserve">. In reality, their </w:t>
      </w:r>
      <w:r w:rsidR="00443AAD">
        <w:rPr>
          <w:rStyle w:val="s2"/>
          <w:rFonts w:ascii="Times New Roman" w:hAnsi="Times New Roman" w:cs="Times New Roman"/>
          <w:color w:val="000000" w:themeColor="text1"/>
          <w:sz w:val="24"/>
          <w:szCs w:val="24"/>
        </w:rPr>
        <w:t>evolution</w:t>
      </w:r>
      <w:r w:rsidR="00443AAD" w:rsidRPr="000474A1">
        <w:rPr>
          <w:rStyle w:val="s2"/>
          <w:rFonts w:ascii="Times New Roman" w:hAnsi="Times New Roman" w:cs="Times New Roman"/>
          <w:color w:val="000000" w:themeColor="text1"/>
          <w:sz w:val="24"/>
          <w:szCs w:val="24"/>
        </w:rPr>
        <w:t xml:space="preserve"> </w:t>
      </w:r>
      <w:r w:rsidR="000474A1" w:rsidRPr="000474A1">
        <w:rPr>
          <w:rStyle w:val="s2"/>
          <w:rFonts w:ascii="Times New Roman" w:hAnsi="Times New Roman" w:cs="Times New Roman"/>
          <w:color w:val="000000" w:themeColor="text1"/>
          <w:sz w:val="24"/>
          <w:szCs w:val="24"/>
        </w:rPr>
        <w:t xml:space="preserve">since the Second World War has been </w:t>
      </w:r>
      <w:r w:rsidR="00443AAD">
        <w:rPr>
          <w:rStyle w:val="s2"/>
          <w:rFonts w:ascii="Times New Roman" w:hAnsi="Times New Roman" w:cs="Times New Roman"/>
          <w:color w:val="000000" w:themeColor="text1"/>
          <w:sz w:val="24"/>
          <w:szCs w:val="24"/>
        </w:rPr>
        <w:t>inexorably</w:t>
      </w:r>
      <w:r w:rsidR="000474A1" w:rsidRPr="000474A1">
        <w:rPr>
          <w:rStyle w:val="s2"/>
          <w:rFonts w:ascii="Times New Roman" w:hAnsi="Times New Roman" w:cs="Times New Roman"/>
          <w:color w:val="000000" w:themeColor="text1"/>
          <w:sz w:val="24"/>
          <w:szCs w:val="24"/>
        </w:rPr>
        <w:t xml:space="preserve"> intertwined</w:t>
      </w:r>
      <w:r w:rsidR="00E548E3">
        <w:rPr>
          <w:rStyle w:val="s2"/>
          <w:rFonts w:ascii="Times New Roman" w:hAnsi="Times New Roman" w:cs="Times New Roman"/>
          <w:color w:val="000000" w:themeColor="text1"/>
          <w:sz w:val="24"/>
          <w:szCs w:val="24"/>
        </w:rPr>
        <w:t>.</w:t>
      </w:r>
      <w:r w:rsidR="000474A1" w:rsidRPr="000474A1">
        <w:rPr>
          <w:rStyle w:val="FootnoteReference"/>
          <w:rFonts w:cs="Times New Roman"/>
          <w:color w:val="000000" w:themeColor="text1"/>
        </w:rPr>
        <w:footnoteReference w:id="19"/>
      </w:r>
      <w:r w:rsidR="000474A1" w:rsidRPr="000474A1">
        <w:rPr>
          <w:rStyle w:val="s2"/>
          <w:rFonts w:ascii="Times New Roman" w:hAnsi="Times New Roman" w:cs="Times New Roman"/>
          <w:color w:val="000000" w:themeColor="text1"/>
          <w:sz w:val="24"/>
          <w:szCs w:val="24"/>
        </w:rPr>
        <w:t xml:space="preserve"> </w:t>
      </w:r>
      <w:r w:rsidR="00DB6308">
        <w:rPr>
          <w:rStyle w:val="s2"/>
          <w:rFonts w:ascii="Times New Roman" w:hAnsi="Times New Roman" w:cs="Times New Roman"/>
          <w:color w:val="000000" w:themeColor="text1"/>
          <w:sz w:val="24"/>
          <w:szCs w:val="24"/>
        </w:rPr>
        <w:t>M</w:t>
      </w:r>
      <w:r w:rsidR="00550A39">
        <w:rPr>
          <w:rStyle w:val="s2"/>
          <w:rFonts w:ascii="Times New Roman" w:hAnsi="Times New Roman" w:cs="Times New Roman"/>
          <w:color w:val="000000" w:themeColor="text1"/>
          <w:sz w:val="24"/>
          <w:szCs w:val="24"/>
        </w:rPr>
        <w:t xml:space="preserve">ilitary historians </w:t>
      </w:r>
      <w:r w:rsidR="000474A1" w:rsidRPr="001402C6">
        <w:rPr>
          <w:rStyle w:val="s2"/>
          <w:rFonts w:ascii="Times New Roman" w:hAnsi="Times New Roman" w:cs="Times New Roman"/>
          <w:color w:val="000000" w:themeColor="text1"/>
          <w:sz w:val="24"/>
          <w:szCs w:val="24"/>
        </w:rPr>
        <w:t>have</w:t>
      </w:r>
      <w:r w:rsidRPr="001402C6">
        <w:rPr>
          <w:rStyle w:val="s2"/>
          <w:rFonts w:ascii="Times New Roman" w:hAnsi="Times New Roman" w:cs="Times New Roman"/>
          <w:color w:val="000000" w:themeColor="text1"/>
          <w:sz w:val="24"/>
          <w:szCs w:val="24"/>
        </w:rPr>
        <w:t xml:space="preserve"> </w:t>
      </w:r>
      <w:r w:rsidRPr="004A0D68">
        <w:rPr>
          <w:rStyle w:val="s2"/>
          <w:rFonts w:ascii="Times New Roman" w:hAnsi="Times New Roman" w:cs="Times New Roman"/>
          <w:color w:val="000000" w:themeColor="text1"/>
          <w:sz w:val="24"/>
          <w:szCs w:val="24"/>
        </w:rPr>
        <w:t>long</w:t>
      </w:r>
      <w:r w:rsidR="000474A1" w:rsidRPr="001402C6">
        <w:rPr>
          <w:rStyle w:val="s2"/>
          <w:rFonts w:ascii="Times New Roman" w:hAnsi="Times New Roman" w:cs="Times New Roman"/>
          <w:color w:val="000000" w:themeColor="text1"/>
          <w:sz w:val="24"/>
          <w:szCs w:val="24"/>
        </w:rPr>
        <w:t xml:space="preserve"> co-existed in a </w:t>
      </w:r>
      <w:r w:rsidR="00A14208" w:rsidRPr="001402C6">
        <w:rPr>
          <w:rStyle w:val="s2"/>
          <w:rFonts w:ascii="Times New Roman" w:hAnsi="Times New Roman" w:cs="Times New Roman"/>
          <w:color w:val="000000" w:themeColor="text1"/>
          <w:sz w:val="24"/>
          <w:szCs w:val="24"/>
        </w:rPr>
        <w:t xml:space="preserve">varied </w:t>
      </w:r>
      <w:r w:rsidR="000474A1" w:rsidRPr="001402C6">
        <w:rPr>
          <w:rStyle w:val="s2"/>
          <w:rFonts w:ascii="Times New Roman" w:hAnsi="Times New Roman" w:cs="Times New Roman"/>
          <w:color w:val="000000" w:themeColor="text1"/>
          <w:sz w:val="24"/>
          <w:szCs w:val="24"/>
        </w:rPr>
        <w:t xml:space="preserve">field of intellectual inquiry </w:t>
      </w:r>
      <w:r w:rsidR="00A14208" w:rsidRPr="001402C6">
        <w:rPr>
          <w:rStyle w:val="s2"/>
          <w:rFonts w:ascii="Times New Roman" w:hAnsi="Times New Roman" w:cs="Times New Roman"/>
          <w:color w:val="000000" w:themeColor="text1"/>
          <w:sz w:val="24"/>
          <w:szCs w:val="24"/>
        </w:rPr>
        <w:t>subject to the rigors and benefits of</w:t>
      </w:r>
      <w:r w:rsidR="00A14208">
        <w:rPr>
          <w:rStyle w:val="s2"/>
          <w:rFonts w:ascii="Times New Roman" w:hAnsi="Times New Roman" w:cs="Times New Roman"/>
          <w:color w:val="000000" w:themeColor="text1"/>
          <w:sz w:val="24"/>
          <w:szCs w:val="24"/>
        </w:rPr>
        <w:t xml:space="preserve"> methodological </w:t>
      </w:r>
      <w:proofErr w:type="gramStart"/>
      <w:r w:rsidR="00A14208">
        <w:rPr>
          <w:rStyle w:val="s2"/>
          <w:rFonts w:ascii="Times New Roman" w:hAnsi="Times New Roman" w:cs="Times New Roman"/>
          <w:color w:val="000000" w:themeColor="text1"/>
          <w:sz w:val="24"/>
          <w:szCs w:val="24"/>
        </w:rPr>
        <w:t>diversity</w:t>
      </w:r>
      <w:r w:rsidR="00550A39">
        <w:rPr>
          <w:rStyle w:val="s2"/>
          <w:rFonts w:ascii="Times New Roman" w:hAnsi="Times New Roman" w:cs="Times New Roman"/>
          <w:color w:val="000000" w:themeColor="text1"/>
          <w:sz w:val="24"/>
          <w:szCs w:val="24"/>
        </w:rPr>
        <w:t>, and</w:t>
      </w:r>
      <w:proofErr w:type="gramEnd"/>
      <w:r w:rsidR="00550A39">
        <w:rPr>
          <w:rStyle w:val="s2"/>
          <w:rFonts w:ascii="Times New Roman" w:hAnsi="Times New Roman" w:cs="Times New Roman"/>
          <w:color w:val="000000" w:themeColor="text1"/>
          <w:sz w:val="24"/>
          <w:szCs w:val="24"/>
        </w:rPr>
        <w:t xml:space="preserve"> have contributed to that field as well as learning from it</w:t>
      </w:r>
      <w:r w:rsidR="00A14208">
        <w:rPr>
          <w:rStyle w:val="s2"/>
          <w:rFonts w:ascii="Times New Roman" w:hAnsi="Times New Roman" w:cs="Times New Roman"/>
          <w:color w:val="000000" w:themeColor="text1"/>
          <w:sz w:val="24"/>
          <w:szCs w:val="24"/>
        </w:rPr>
        <w:t xml:space="preserve">. </w:t>
      </w:r>
      <w:r w:rsidR="004212C2">
        <w:rPr>
          <w:rStyle w:val="s2"/>
          <w:rFonts w:ascii="Times New Roman" w:hAnsi="Times New Roman" w:cs="Times New Roman"/>
          <w:color w:val="000000" w:themeColor="text1"/>
          <w:sz w:val="24"/>
          <w:szCs w:val="24"/>
        </w:rPr>
        <w:t xml:space="preserve">This has </w:t>
      </w:r>
      <w:r w:rsidR="00DB6308">
        <w:rPr>
          <w:rStyle w:val="s2"/>
          <w:rFonts w:ascii="Times New Roman" w:hAnsi="Times New Roman" w:cs="Times New Roman"/>
          <w:color w:val="000000" w:themeColor="text1"/>
          <w:sz w:val="24"/>
          <w:szCs w:val="24"/>
        </w:rPr>
        <w:t xml:space="preserve">fostered </w:t>
      </w:r>
      <w:r w:rsidR="004212C2">
        <w:rPr>
          <w:rStyle w:val="s2"/>
          <w:rFonts w:ascii="Times New Roman" w:hAnsi="Times New Roman" w:cs="Times New Roman"/>
          <w:color w:val="000000" w:themeColor="text1"/>
          <w:sz w:val="24"/>
          <w:szCs w:val="24"/>
        </w:rPr>
        <w:t>a series of wide-ranging disciplinary debates such as that over British counter-insurgency detailed above</w:t>
      </w:r>
      <w:r w:rsidR="00056848">
        <w:rPr>
          <w:rStyle w:val="s2"/>
          <w:rFonts w:ascii="Times New Roman" w:hAnsi="Times New Roman" w:cs="Times New Roman"/>
          <w:color w:val="000000" w:themeColor="text1"/>
          <w:sz w:val="24"/>
          <w:szCs w:val="24"/>
        </w:rPr>
        <w:t>, and also a discourse surrounding the ontological foundations which underpin the study of war in the modern academy.</w:t>
      </w:r>
      <w:r w:rsidR="00056848">
        <w:rPr>
          <w:rStyle w:val="FootnoteReference"/>
          <w:rFonts w:cs="Times New Roman"/>
          <w:color w:val="000000" w:themeColor="text1"/>
        </w:rPr>
        <w:footnoteReference w:id="20"/>
      </w:r>
      <w:r w:rsidR="00056848">
        <w:rPr>
          <w:rStyle w:val="s2"/>
          <w:rFonts w:ascii="Times New Roman" w:hAnsi="Times New Roman" w:cs="Times New Roman"/>
          <w:color w:val="000000" w:themeColor="text1"/>
          <w:sz w:val="24"/>
          <w:szCs w:val="24"/>
        </w:rPr>
        <w:t xml:space="preserve"> </w:t>
      </w:r>
      <w:r w:rsidR="00FF7F08">
        <w:rPr>
          <w:rStyle w:val="s2"/>
          <w:rFonts w:ascii="Times New Roman" w:hAnsi="Times New Roman" w:cs="Times New Roman"/>
          <w:color w:val="000000" w:themeColor="text1"/>
          <w:sz w:val="24"/>
          <w:szCs w:val="24"/>
        </w:rPr>
        <w:t xml:space="preserve">To suggest that military history is </w:t>
      </w:r>
      <w:r w:rsidR="00177280">
        <w:rPr>
          <w:rStyle w:val="s2"/>
          <w:rFonts w:ascii="Times New Roman" w:hAnsi="Times New Roman" w:cs="Times New Roman"/>
          <w:color w:val="000000" w:themeColor="text1"/>
          <w:sz w:val="24"/>
          <w:szCs w:val="24"/>
        </w:rPr>
        <w:t>a reactionary throwback, stubbornly resisting the modernising impulses of an enlightened academy</w:t>
      </w:r>
      <w:r w:rsidR="00C377B1">
        <w:rPr>
          <w:rStyle w:val="s2"/>
          <w:rFonts w:ascii="Times New Roman" w:hAnsi="Times New Roman" w:cs="Times New Roman"/>
          <w:color w:val="000000" w:themeColor="text1"/>
          <w:sz w:val="24"/>
          <w:szCs w:val="24"/>
        </w:rPr>
        <w:t>,</w:t>
      </w:r>
      <w:r w:rsidR="00177280">
        <w:rPr>
          <w:rStyle w:val="s2"/>
          <w:rFonts w:ascii="Times New Roman" w:hAnsi="Times New Roman" w:cs="Times New Roman"/>
          <w:color w:val="000000" w:themeColor="text1"/>
          <w:sz w:val="24"/>
          <w:szCs w:val="24"/>
        </w:rPr>
        <w:t xml:space="preserve"> is thus hardly realistic. </w:t>
      </w:r>
    </w:p>
    <w:p w14:paraId="5319A432" w14:textId="6DB73655" w:rsidR="000474A1" w:rsidRPr="000474A1" w:rsidRDefault="006A3739" w:rsidP="000B2EFB">
      <w:pPr>
        <w:spacing w:after="240" w:line="360" w:lineRule="auto"/>
        <w:ind w:firstLine="720"/>
        <w:jc w:val="both"/>
        <w:rPr>
          <w:rFonts w:cs="Times New Roman"/>
        </w:rPr>
      </w:pPr>
      <w:r>
        <w:rPr>
          <w:rFonts w:cs="Times New Roman"/>
        </w:rPr>
        <w:t xml:space="preserve">Moreover, Wagner’s accusation </w:t>
      </w:r>
      <w:r w:rsidR="000474A1" w:rsidRPr="000474A1">
        <w:rPr>
          <w:rFonts w:cs="Times New Roman"/>
        </w:rPr>
        <w:t xml:space="preserve">that historians working in military </w:t>
      </w:r>
      <w:r w:rsidR="00DF6F25">
        <w:rPr>
          <w:rFonts w:cs="Times New Roman"/>
        </w:rPr>
        <w:t>education</w:t>
      </w:r>
      <w:r w:rsidR="000474A1" w:rsidRPr="000474A1">
        <w:rPr>
          <w:rFonts w:cs="Times New Roman"/>
        </w:rPr>
        <w:t xml:space="preserve"> are</w:t>
      </w:r>
      <w:r w:rsidR="00C501D4">
        <w:rPr>
          <w:rFonts w:cs="Times New Roman"/>
        </w:rPr>
        <w:t xml:space="preserve"> </w:t>
      </w:r>
      <w:r w:rsidR="000474A1" w:rsidRPr="000474A1">
        <w:rPr>
          <w:rFonts w:cs="Times New Roman"/>
        </w:rPr>
        <w:t xml:space="preserve">compromised by their relationship to those institutions </w:t>
      </w:r>
      <w:r w:rsidR="00550A39">
        <w:rPr>
          <w:rFonts w:cs="Times New Roman"/>
        </w:rPr>
        <w:t xml:space="preserve">and </w:t>
      </w:r>
      <w:r w:rsidR="00201EF5">
        <w:rPr>
          <w:rFonts w:cs="Times New Roman"/>
        </w:rPr>
        <w:t>that this association creates</w:t>
      </w:r>
      <w:r w:rsidR="00550A39">
        <w:rPr>
          <w:rFonts w:cs="Times New Roman"/>
        </w:rPr>
        <w:t xml:space="preserve"> ‘weaponiz</w:t>
      </w:r>
      <w:r w:rsidR="00201EF5">
        <w:rPr>
          <w:rFonts w:cs="Times New Roman"/>
        </w:rPr>
        <w:t>ed</w:t>
      </w:r>
      <w:r w:rsidR="00550A39">
        <w:rPr>
          <w:rFonts w:cs="Times New Roman"/>
        </w:rPr>
        <w:t xml:space="preserve">’ </w:t>
      </w:r>
      <w:proofErr w:type="gramStart"/>
      <w:r w:rsidR="00550A39">
        <w:rPr>
          <w:rFonts w:cs="Times New Roman"/>
        </w:rPr>
        <w:t xml:space="preserve">history </w:t>
      </w:r>
      <w:r w:rsidR="000474A1" w:rsidRPr="000474A1">
        <w:rPr>
          <w:rFonts w:cs="Times New Roman"/>
        </w:rPr>
        <w:t xml:space="preserve"> </w:t>
      </w:r>
      <w:r w:rsidR="00C377B1">
        <w:rPr>
          <w:rFonts w:cs="Times New Roman"/>
        </w:rPr>
        <w:t>also</w:t>
      </w:r>
      <w:proofErr w:type="gramEnd"/>
      <w:r w:rsidR="00C377B1">
        <w:rPr>
          <w:rFonts w:cs="Times New Roman"/>
        </w:rPr>
        <w:t xml:space="preserve"> </w:t>
      </w:r>
      <w:r w:rsidR="000474A1" w:rsidRPr="000474A1">
        <w:rPr>
          <w:rFonts w:cs="Times New Roman"/>
        </w:rPr>
        <w:t xml:space="preserve">rests upon lazy typecasting. </w:t>
      </w:r>
      <w:r w:rsidR="009A66B2">
        <w:rPr>
          <w:rFonts w:cs="Times New Roman"/>
        </w:rPr>
        <w:t xml:space="preserve">For example, Wagner believes that Callwell’s </w:t>
      </w:r>
      <w:r w:rsidR="009A66B2">
        <w:rPr>
          <w:rFonts w:cs="Times New Roman"/>
          <w:i/>
        </w:rPr>
        <w:t xml:space="preserve">Small Wars </w:t>
      </w:r>
      <w:r w:rsidR="009A66B2">
        <w:rPr>
          <w:rFonts w:cs="Times New Roman"/>
        </w:rPr>
        <w:t>is ‘being read today much as it was a century ago – as a manual for counterinsurgency.’</w:t>
      </w:r>
      <w:r w:rsidR="009A66B2">
        <w:rPr>
          <w:rStyle w:val="FootnoteReference"/>
          <w:rFonts w:cs="Times New Roman"/>
        </w:rPr>
        <w:footnoteReference w:id="21"/>
      </w:r>
      <w:r w:rsidR="009A66B2">
        <w:rPr>
          <w:rFonts w:cs="Times New Roman"/>
        </w:rPr>
        <w:t xml:space="preserve"> This is a curious and erroneous charge</w:t>
      </w:r>
      <w:r w:rsidR="000F13F6">
        <w:rPr>
          <w:rFonts w:cs="Times New Roman"/>
        </w:rPr>
        <w:t xml:space="preserve"> based upon no substantive evidence</w:t>
      </w:r>
      <w:r w:rsidR="009A66B2">
        <w:rPr>
          <w:rFonts w:cs="Times New Roman"/>
        </w:rPr>
        <w:t xml:space="preserve">. </w:t>
      </w:r>
      <w:r w:rsidR="000F13F6">
        <w:rPr>
          <w:rFonts w:cs="Times New Roman"/>
        </w:rPr>
        <w:t>S</w:t>
      </w:r>
      <w:r w:rsidR="009A66B2" w:rsidRPr="000474A1">
        <w:rPr>
          <w:rFonts w:cs="Times New Roman"/>
        </w:rPr>
        <w:t xml:space="preserve">everal </w:t>
      </w:r>
      <w:r w:rsidR="000474A1" w:rsidRPr="000474A1">
        <w:rPr>
          <w:rFonts w:cs="Times New Roman"/>
        </w:rPr>
        <w:t xml:space="preserve">of the authors of this essay are past or present members of King’s College London’s Defence Studies Department, </w:t>
      </w:r>
      <w:r w:rsidR="000F13F6">
        <w:rPr>
          <w:rFonts w:cs="Times New Roman"/>
        </w:rPr>
        <w:t>which provides education to UK and international armed forces</w:t>
      </w:r>
      <w:r w:rsidR="000B2EFB">
        <w:rPr>
          <w:rFonts w:cs="Times New Roman"/>
        </w:rPr>
        <w:t xml:space="preserve"> personnel</w:t>
      </w:r>
      <w:r w:rsidR="000F13F6">
        <w:rPr>
          <w:rFonts w:cs="Times New Roman"/>
        </w:rPr>
        <w:t xml:space="preserve">. </w:t>
      </w:r>
      <w:r w:rsidR="000474A1" w:rsidRPr="000474A1">
        <w:rPr>
          <w:rFonts w:cs="Times New Roman"/>
        </w:rPr>
        <w:t>Wagner</w:t>
      </w:r>
      <w:r w:rsidR="000B2EFB">
        <w:rPr>
          <w:rFonts w:cs="Times New Roman"/>
        </w:rPr>
        <w:t xml:space="preserve"> appears to view</w:t>
      </w:r>
      <w:r w:rsidR="000F13F6">
        <w:rPr>
          <w:rFonts w:cs="Times New Roman"/>
        </w:rPr>
        <w:t xml:space="preserve"> </w:t>
      </w:r>
      <w:r w:rsidR="000B2EFB">
        <w:rPr>
          <w:rFonts w:cs="Times New Roman"/>
        </w:rPr>
        <w:t xml:space="preserve">this </w:t>
      </w:r>
      <w:r w:rsidR="000B2EFB">
        <w:rPr>
          <w:rFonts w:cs="Times New Roman"/>
        </w:rPr>
        <w:t>to be a violation of scholarly inte</w:t>
      </w:r>
      <w:r w:rsidR="000B2EFB">
        <w:rPr>
          <w:rFonts w:cs="Times New Roman"/>
        </w:rPr>
        <w:t xml:space="preserve">grity </w:t>
      </w:r>
      <w:r w:rsidR="000F13F6">
        <w:rPr>
          <w:rFonts w:cs="Times New Roman"/>
        </w:rPr>
        <w:t xml:space="preserve">in and of itself, </w:t>
      </w:r>
      <w:bookmarkStart w:id="0" w:name="_GoBack"/>
      <w:bookmarkEnd w:id="0"/>
      <w:r w:rsidR="000F13F6">
        <w:rPr>
          <w:rFonts w:cs="Times New Roman"/>
        </w:rPr>
        <w:t>dismissing recent research from the Department as ‘sympathetic institutional history and very much a product of Defence Studies as practiced at King’s College London.’</w:t>
      </w:r>
      <w:r w:rsidR="00335D9D" w:rsidRPr="00204F20">
        <w:rPr>
          <w:rStyle w:val="FootnoteReference"/>
          <w:rFonts w:cs="Times New Roman"/>
          <w:color w:val="000000" w:themeColor="text1"/>
        </w:rPr>
        <w:footnoteReference w:id="22"/>
      </w:r>
      <w:r w:rsidR="000474A1" w:rsidRPr="000474A1">
        <w:rPr>
          <w:rFonts w:cs="Times New Roman"/>
          <w:color w:val="000000" w:themeColor="text1"/>
        </w:rPr>
        <w:t xml:space="preserve"> </w:t>
      </w:r>
      <w:r w:rsidR="000F13F6">
        <w:rPr>
          <w:rFonts w:cs="Times New Roman"/>
        </w:rPr>
        <w:t xml:space="preserve">Leaving such ill-informed type-casting aside, had Dr Wagner </w:t>
      </w:r>
      <w:r w:rsidR="000474A1" w:rsidRPr="000474A1">
        <w:rPr>
          <w:rFonts w:cs="Times New Roman"/>
          <w:color w:val="000000" w:themeColor="text1"/>
        </w:rPr>
        <w:t>inquired</w:t>
      </w:r>
      <w:r w:rsidR="00D729D5">
        <w:rPr>
          <w:rFonts w:cs="Times New Roman"/>
          <w:color w:val="000000" w:themeColor="text1"/>
        </w:rPr>
        <w:t>,</w:t>
      </w:r>
      <w:r w:rsidR="000474A1" w:rsidRPr="000474A1">
        <w:rPr>
          <w:rFonts w:cs="Times New Roman"/>
          <w:color w:val="000000" w:themeColor="text1"/>
        </w:rPr>
        <w:t xml:space="preserve"> we </w:t>
      </w:r>
      <w:r w:rsidR="00D74DB6">
        <w:rPr>
          <w:rFonts w:cs="Times New Roman"/>
          <w:color w:val="000000" w:themeColor="text1"/>
        </w:rPr>
        <w:t>w</w:t>
      </w:r>
      <w:r w:rsidR="000474A1" w:rsidRPr="000474A1">
        <w:rPr>
          <w:rFonts w:cs="Times New Roman"/>
          <w:color w:val="000000" w:themeColor="text1"/>
        </w:rPr>
        <w:t>ould have</w:t>
      </w:r>
      <w:r w:rsidR="00D74DB6">
        <w:rPr>
          <w:rFonts w:cs="Times New Roman"/>
          <w:color w:val="000000" w:themeColor="text1"/>
        </w:rPr>
        <w:t xml:space="preserve"> been glad to inform</w:t>
      </w:r>
      <w:r w:rsidR="000474A1" w:rsidRPr="000474A1">
        <w:rPr>
          <w:rFonts w:cs="Times New Roman"/>
          <w:color w:val="000000" w:themeColor="text1"/>
        </w:rPr>
        <w:t xml:space="preserve"> him that </w:t>
      </w:r>
      <w:proofErr w:type="spellStart"/>
      <w:r w:rsidR="000474A1" w:rsidRPr="000474A1">
        <w:rPr>
          <w:rFonts w:cs="Times New Roman"/>
          <w:color w:val="000000" w:themeColor="text1"/>
        </w:rPr>
        <w:t>Callwell</w:t>
      </w:r>
      <w:proofErr w:type="spellEnd"/>
      <w:r w:rsidR="000474A1" w:rsidRPr="000474A1">
        <w:rPr>
          <w:rFonts w:cs="Times New Roman"/>
          <w:color w:val="000000" w:themeColor="text1"/>
        </w:rPr>
        <w:t xml:space="preserve"> does not </w:t>
      </w:r>
      <w:r w:rsidR="00D35D7F">
        <w:rPr>
          <w:rFonts w:cs="Times New Roman"/>
          <w:color w:val="000000" w:themeColor="text1"/>
        </w:rPr>
        <w:t>feature</w:t>
      </w:r>
      <w:r w:rsidR="00277600" w:rsidRPr="00277600">
        <w:rPr>
          <w:rFonts w:cs="Times New Roman"/>
          <w:color w:val="000000" w:themeColor="text1"/>
        </w:rPr>
        <w:t xml:space="preserve"> </w:t>
      </w:r>
      <w:r w:rsidR="00277600">
        <w:rPr>
          <w:rFonts w:cs="Times New Roman"/>
          <w:color w:val="000000" w:themeColor="text1"/>
        </w:rPr>
        <w:t>prominently</w:t>
      </w:r>
      <w:r w:rsidR="000474A1" w:rsidRPr="000474A1">
        <w:rPr>
          <w:rFonts w:cs="Times New Roman"/>
          <w:color w:val="000000" w:themeColor="text1"/>
        </w:rPr>
        <w:t xml:space="preserve"> in the </w:t>
      </w:r>
      <w:r w:rsidR="00B60DBF">
        <w:rPr>
          <w:rFonts w:cs="Times New Roman"/>
          <w:color w:val="000000" w:themeColor="text1"/>
        </w:rPr>
        <w:t xml:space="preserve">curriculum </w:t>
      </w:r>
      <w:r w:rsidR="000474A1" w:rsidRPr="000474A1">
        <w:rPr>
          <w:rFonts w:cs="Times New Roman"/>
          <w:color w:val="000000" w:themeColor="text1"/>
        </w:rPr>
        <w:t>at the Joint Services Command and Staff College</w:t>
      </w:r>
      <w:r w:rsidR="00D35D7F">
        <w:rPr>
          <w:rFonts w:cs="Times New Roman"/>
          <w:color w:val="000000" w:themeColor="text1"/>
        </w:rPr>
        <w:t>. O</w:t>
      </w:r>
      <w:r w:rsidR="000474A1" w:rsidRPr="000474A1">
        <w:rPr>
          <w:rFonts w:cs="Times New Roman"/>
          <w:color w:val="000000" w:themeColor="text1"/>
        </w:rPr>
        <w:t>ur focus - and our students</w:t>
      </w:r>
      <w:r w:rsidR="0013269C">
        <w:rPr>
          <w:rFonts w:cs="Times New Roman"/>
          <w:color w:val="000000" w:themeColor="text1"/>
        </w:rPr>
        <w:t>’</w:t>
      </w:r>
      <w:r w:rsidR="000474A1" w:rsidRPr="000474A1">
        <w:rPr>
          <w:rFonts w:cs="Times New Roman"/>
          <w:color w:val="000000" w:themeColor="text1"/>
        </w:rPr>
        <w:t xml:space="preserve"> interest - tends to be </w:t>
      </w:r>
      <w:r w:rsidR="000474A1" w:rsidRPr="000474A1">
        <w:rPr>
          <w:rFonts w:cs="Times New Roman"/>
          <w:color w:val="000000" w:themeColor="text1"/>
        </w:rPr>
        <w:lastRenderedPageBreak/>
        <w:t>directed towards counter</w:t>
      </w:r>
      <w:r w:rsidR="00163749">
        <w:rPr>
          <w:rFonts w:cs="Times New Roman"/>
          <w:color w:val="000000" w:themeColor="text1"/>
        </w:rPr>
        <w:t>-</w:t>
      </w:r>
      <w:r w:rsidR="000474A1" w:rsidRPr="000474A1">
        <w:rPr>
          <w:rFonts w:cs="Times New Roman"/>
          <w:color w:val="000000" w:themeColor="text1"/>
        </w:rPr>
        <w:t>insurgency as practiced during the era of decolonization and after</w:t>
      </w:r>
      <w:r w:rsidR="009B0F06">
        <w:rPr>
          <w:rFonts w:cs="Times New Roman"/>
          <w:color w:val="000000" w:themeColor="text1"/>
        </w:rPr>
        <w:t>.</w:t>
      </w:r>
      <w:r w:rsidR="00335D9D">
        <w:rPr>
          <w:rFonts w:cs="Times New Roman"/>
          <w:color w:val="000000" w:themeColor="text1"/>
        </w:rPr>
        <w:t xml:space="preserve"> </w:t>
      </w:r>
      <w:r w:rsidR="009A66B2">
        <w:rPr>
          <w:rFonts w:cs="Times New Roman"/>
          <w:color w:val="000000" w:themeColor="text1"/>
        </w:rPr>
        <w:t xml:space="preserve">Furthermore, it </w:t>
      </w:r>
      <w:r w:rsidR="00335D9D">
        <w:rPr>
          <w:rFonts w:cs="Times New Roman"/>
          <w:color w:val="000000" w:themeColor="text1"/>
        </w:rPr>
        <w:t>is not</w:t>
      </w:r>
      <w:r w:rsidR="006E1F5E" w:rsidRPr="000474A1">
        <w:rPr>
          <w:rFonts w:cs="Times New Roman"/>
          <w:color w:val="000000" w:themeColor="text1"/>
        </w:rPr>
        <w:t xml:space="preserve"> </w:t>
      </w:r>
      <w:r w:rsidR="00335D9D">
        <w:rPr>
          <w:rFonts w:cs="Times New Roman"/>
          <w:color w:val="000000" w:themeColor="text1"/>
        </w:rPr>
        <w:t xml:space="preserve">acceptable </w:t>
      </w:r>
      <w:r w:rsidR="006E1F5E" w:rsidRPr="000474A1">
        <w:rPr>
          <w:rFonts w:cs="Times New Roman"/>
          <w:color w:val="000000" w:themeColor="text1"/>
        </w:rPr>
        <w:t xml:space="preserve">to </w:t>
      </w:r>
      <w:r w:rsidR="009A66B2">
        <w:rPr>
          <w:rFonts w:cs="Times New Roman"/>
          <w:color w:val="000000" w:themeColor="text1"/>
        </w:rPr>
        <w:t>allege</w:t>
      </w:r>
      <w:r w:rsidR="006E1F5E" w:rsidRPr="000474A1">
        <w:rPr>
          <w:rFonts w:cs="Times New Roman"/>
          <w:color w:val="000000" w:themeColor="text1"/>
        </w:rPr>
        <w:t xml:space="preserve">, </w:t>
      </w:r>
      <w:r w:rsidR="009A66B2" w:rsidRPr="000474A1">
        <w:rPr>
          <w:rFonts w:cs="Times New Roman"/>
          <w:color w:val="000000" w:themeColor="text1"/>
        </w:rPr>
        <w:t>as Wagner does</w:t>
      </w:r>
      <w:r w:rsidR="009A66B2">
        <w:rPr>
          <w:rFonts w:cs="Times New Roman"/>
          <w:color w:val="000000" w:themeColor="text1"/>
        </w:rPr>
        <w:t xml:space="preserve"> without substantiation</w:t>
      </w:r>
      <w:r w:rsidR="006E1F5E" w:rsidRPr="000474A1">
        <w:rPr>
          <w:rFonts w:cs="Times New Roman"/>
          <w:color w:val="000000" w:themeColor="text1"/>
        </w:rPr>
        <w:t xml:space="preserve">, </w:t>
      </w:r>
      <w:r w:rsidR="00335D9D">
        <w:rPr>
          <w:rFonts w:cs="Times New Roman"/>
          <w:color w:val="000000" w:themeColor="text1"/>
        </w:rPr>
        <w:t xml:space="preserve">that </w:t>
      </w:r>
      <w:r w:rsidR="006E1F5E" w:rsidRPr="000474A1">
        <w:rPr>
          <w:rFonts w:cs="Times New Roman"/>
          <w:color w:val="000000" w:themeColor="text1"/>
        </w:rPr>
        <w:t xml:space="preserve">academics working in close proximity to the military bend their scholarship </w:t>
      </w:r>
      <w:r w:rsidR="00CD1DD8">
        <w:rPr>
          <w:rFonts w:cs="Times New Roman"/>
          <w:color w:val="000000" w:themeColor="text1"/>
        </w:rPr>
        <w:t xml:space="preserve">to </w:t>
      </w:r>
      <w:r w:rsidR="006E1F5E" w:rsidRPr="000474A1">
        <w:rPr>
          <w:rFonts w:cs="Times New Roman"/>
          <w:color w:val="000000" w:themeColor="text1"/>
        </w:rPr>
        <w:t>serve modern military agendas</w:t>
      </w:r>
      <w:r w:rsidR="00335D9D">
        <w:rPr>
          <w:rFonts w:cs="Times New Roman"/>
          <w:color w:val="000000" w:themeColor="text1"/>
        </w:rPr>
        <w:t>.</w:t>
      </w:r>
      <w:r w:rsidR="006E1F5E" w:rsidRPr="000474A1">
        <w:rPr>
          <w:rFonts w:cs="Times New Roman"/>
          <w:color w:val="000000" w:themeColor="text1"/>
        </w:rPr>
        <w:t xml:space="preserve"> Historians who choose to use their pens for the benefit of military education </w:t>
      </w:r>
      <w:r w:rsidR="006E1F5E" w:rsidRPr="000474A1">
        <w:rPr>
          <w:rFonts w:cs="Times New Roman"/>
        </w:rPr>
        <w:t>are not automatically ‘weaponized.’ Nor are they somehow exempt from the same processes of peer review and external scrutiny as their colleagues who teach civilian</w:t>
      </w:r>
      <w:r w:rsidR="00277600">
        <w:rPr>
          <w:rFonts w:cs="Times New Roman"/>
        </w:rPr>
        <w:t>s</w:t>
      </w:r>
      <w:r w:rsidR="006E1F5E" w:rsidRPr="000474A1">
        <w:rPr>
          <w:rFonts w:cs="Times New Roman"/>
        </w:rPr>
        <w:t>. Far from defaulting to obsequious platitudes</w:t>
      </w:r>
      <w:r w:rsidR="00D74DB6">
        <w:rPr>
          <w:rFonts w:cs="Times New Roman"/>
        </w:rPr>
        <w:t xml:space="preserve"> toward the armed forces they work with,</w:t>
      </w:r>
      <w:r w:rsidR="006E1F5E" w:rsidRPr="000474A1">
        <w:rPr>
          <w:rFonts w:cs="Times New Roman"/>
        </w:rPr>
        <w:t xml:space="preserve"> some of the most strident critiques of how modern militaries learn </w:t>
      </w:r>
      <w:r w:rsidR="00D74DB6">
        <w:rPr>
          <w:rFonts w:cs="Times New Roman"/>
        </w:rPr>
        <w:t xml:space="preserve">and think </w:t>
      </w:r>
      <w:r w:rsidR="006E1F5E" w:rsidRPr="000474A1">
        <w:rPr>
          <w:rFonts w:cs="Times New Roman"/>
        </w:rPr>
        <w:t>have emanated from academics who work at precisely those same institutions.</w:t>
      </w:r>
      <w:r w:rsidR="006E1F5E" w:rsidRPr="000474A1">
        <w:rPr>
          <w:rStyle w:val="FootnoteReference"/>
          <w:rFonts w:cs="Times New Roman"/>
        </w:rPr>
        <w:footnoteReference w:id="23"/>
      </w:r>
      <w:r w:rsidR="0075399F">
        <w:rPr>
          <w:rFonts w:cs="Times New Roman"/>
          <w:color w:val="000000" w:themeColor="text1"/>
        </w:rPr>
        <w:t xml:space="preserve"> </w:t>
      </w:r>
      <w:r w:rsidR="009A66B2">
        <w:rPr>
          <w:rFonts w:cs="Times New Roman"/>
          <w:color w:val="000000" w:themeColor="text1"/>
        </w:rPr>
        <w:t xml:space="preserve">As John Lynn once noted, military historians often bristle at the military preference for them </w:t>
      </w:r>
      <w:r w:rsidR="000474A1" w:rsidRPr="000474A1">
        <w:rPr>
          <w:rFonts w:cs="Times New Roman"/>
        </w:rPr>
        <w:t>‘to play the part of a pundit’ since, ‘The attitude of certainty demanded of a pundit runs counter to the need for complexity, qualification, and contemplation essential to scholarship.’</w:t>
      </w:r>
      <w:r w:rsidR="000474A1" w:rsidRPr="000474A1">
        <w:rPr>
          <w:rStyle w:val="FootnoteReference"/>
          <w:rFonts w:cs="Times New Roman"/>
        </w:rPr>
        <w:footnoteReference w:id="24"/>
      </w:r>
      <w:r w:rsidR="000474A1" w:rsidRPr="000474A1">
        <w:rPr>
          <w:rFonts w:cs="Times New Roman"/>
        </w:rPr>
        <w:t xml:space="preserve"> At its best, academic military history in the military education environment insists on the complexity of past conflicts; it does not distil them into simplified ‘lessons learned.’</w:t>
      </w:r>
    </w:p>
    <w:p w14:paraId="486E85B7" w14:textId="6E4CED42" w:rsidR="000474A1" w:rsidRPr="000474A1" w:rsidRDefault="00550A39" w:rsidP="00201EF5">
      <w:pPr>
        <w:spacing w:after="240" w:line="360" w:lineRule="auto"/>
        <w:ind w:firstLine="720"/>
        <w:jc w:val="both"/>
        <w:rPr>
          <w:rFonts w:cs="Times New Roman"/>
        </w:rPr>
      </w:pPr>
      <w:r>
        <w:rPr>
          <w:rFonts w:cs="Times New Roman"/>
        </w:rPr>
        <w:t>I</w:t>
      </w:r>
      <w:r w:rsidR="000474A1" w:rsidRPr="000474A1">
        <w:rPr>
          <w:rFonts w:cs="Times New Roman"/>
        </w:rPr>
        <w:t>t is true to say that military historians have frequently found themselves drawn towards reflections on the link between past and present. Yet this approach has been far from unthinking, and is reflected in recent literature on the relationship between historical understanding and modern, or indeed future, warfare.</w:t>
      </w:r>
      <w:r w:rsidR="000474A1" w:rsidRPr="000474A1">
        <w:rPr>
          <w:rStyle w:val="FootnoteReference"/>
          <w:rFonts w:cs="Times New Roman"/>
        </w:rPr>
        <w:footnoteReference w:id="25"/>
      </w:r>
      <w:r w:rsidR="000474A1" w:rsidRPr="000474A1">
        <w:rPr>
          <w:rFonts w:cs="Times New Roman"/>
        </w:rPr>
        <w:t xml:space="preserve"> </w:t>
      </w:r>
      <w:r w:rsidR="00DB6308">
        <w:rPr>
          <w:rFonts w:cs="Times New Roman"/>
        </w:rPr>
        <w:t xml:space="preserve">Nor is </w:t>
      </w:r>
      <w:r w:rsidR="009A66B2">
        <w:rPr>
          <w:rFonts w:cs="Times New Roman"/>
        </w:rPr>
        <w:t xml:space="preserve">this </w:t>
      </w:r>
      <w:r w:rsidR="00DB6308">
        <w:rPr>
          <w:rFonts w:cs="Times New Roman"/>
        </w:rPr>
        <w:t>out of step with broader trends in academia</w:t>
      </w:r>
      <w:r>
        <w:rPr>
          <w:rFonts w:cs="Times New Roman"/>
        </w:rPr>
        <w:t>– something that Wagner himself acknowledges</w:t>
      </w:r>
      <w:r w:rsidR="000474A1" w:rsidRPr="000474A1">
        <w:rPr>
          <w:rFonts w:cs="Times New Roman"/>
        </w:rPr>
        <w:t>.</w:t>
      </w:r>
      <w:r w:rsidR="000474A1" w:rsidRPr="000474A1">
        <w:rPr>
          <w:rStyle w:val="FootnoteReference"/>
          <w:rFonts w:cs="Times New Roman"/>
        </w:rPr>
        <w:footnoteReference w:id="26"/>
      </w:r>
      <w:r w:rsidR="00201EF5">
        <w:rPr>
          <w:rFonts w:cs="Times New Roman"/>
        </w:rPr>
        <w:t xml:space="preserve"> Whether in the pursuit of good scholarship, or of underlining the value of History in an era of metrics and impact statements, </w:t>
      </w:r>
      <w:r w:rsidR="00A74562">
        <w:rPr>
          <w:rFonts w:cs="Times New Roman"/>
        </w:rPr>
        <w:t xml:space="preserve">constructive dialogue between </w:t>
      </w:r>
      <w:r w:rsidR="009A66B2">
        <w:rPr>
          <w:rFonts w:cs="Times New Roman"/>
        </w:rPr>
        <w:t>sub-</w:t>
      </w:r>
      <w:r w:rsidR="00A74562">
        <w:rPr>
          <w:rFonts w:cs="Times New Roman"/>
        </w:rPr>
        <w:t xml:space="preserve">disciplines is vitally important. </w:t>
      </w:r>
      <w:r w:rsidR="00277600">
        <w:rPr>
          <w:rFonts w:cs="Times New Roman"/>
        </w:rPr>
        <w:t>For Wagner, however, ‘</w:t>
      </w:r>
      <w:r w:rsidR="00277600" w:rsidRPr="000474A1">
        <w:rPr>
          <w:rFonts w:cs="Times New Roman"/>
          <w:color w:val="000000" w:themeColor="text1"/>
        </w:rPr>
        <w:t>one cannot serve both Clio and Mars and do both well.’</w:t>
      </w:r>
      <w:r w:rsidR="00277600" w:rsidRPr="000474A1">
        <w:rPr>
          <w:rStyle w:val="FootnoteReference"/>
          <w:rFonts w:cs="Times New Roman"/>
          <w:color w:val="000000" w:themeColor="text1"/>
        </w:rPr>
        <w:footnoteReference w:id="27"/>
      </w:r>
      <w:r w:rsidR="00277600">
        <w:rPr>
          <w:rFonts w:cs="Times New Roman"/>
          <w:color w:val="000000" w:themeColor="text1"/>
        </w:rPr>
        <w:t xml:space="preserve"> This is a nice rhetorical flourish, but it is a poor argument, </w:t>
      </w:r>
      <w:r w:rsidR="00277600">
        <w:rPr>
          <w:rFonts w:cs="Times New Roman"/>
        </w:rPr>
        <w:t xml:space="preserve">and to </w:t>
      </w:r>
      <w:r w:rsidR="000474A1" w:rsidRPr="000474A1">
        <w:rPr>
          <w:rFonts w:cs="Times New Roman"/>
        </w:rPr>
        <w:t xml:space="preserve">imply, as Wagner does, that imperial historians have nothing to learn from military history is </w:t>
      </w:r>
      <w:r w:rsidR="00A74562">
        <w:rPr>
          <w:rFonts w:cs="Times New Roman"/>
        </w:rPr>
        <w:t>directly antithetical to this aim</w:t>
      </w:r>
      <w:r w:rsidR="000474A1" w:rsidRPr="000474A1">
        <w:rPr>
          <w:rFonts w:cs="Times New Roman"/>
        </w:rPr>
        <w:t xml:space="preserve">. The history of conflict </w:t>
      </w:r>
      <w:r w:rsidR="00277600" w:rsidRPr="000474A1">
        <w:rPr>
          <w:rFonts w:cs="Times New Roman"/>
        </w:rPr>
        <w:t xml:space="preserve">– whether </w:t>
      </w:r>
      <w:r w:rsidR="00277600">
        <w:rPr>
          <w:rFonts w:cs="Times New Roman"/>
        </w:rPr>
        <w:t xml:space="preserve">written by </w:t>
      </w:r>
      <w:r w:rsidR="00277600" w:rsidRPr="000474A1">
        <w:rPr>
          <w:rFonts w:cs="Times New Roman"/>
        </w:rPr>
        <w:t xml:space="preserve">imperial or </w:t>
      </w:r>
      <w:r w:rsidR="00277600">
        <w:rPr>
          <w:rFonts w:cs="Times New Roman"/>
        </w:rPr>
        <w:t>military historians</w:t>
      </w:r>
      <w:r w:rsidR="00277600" w:rsidRPr="000474A1" w:rsidDel="00277600">
        <w:rPr>
          <w:rFonts w:cs="Times New Roman"/>
        </w:rPr>
        <w:t xml:space="preserve"> </w:t>
      </w:r>
      <w:r w:rsidR="000474A1" w:rsidRPr="000474A1">
        <w:rPr>
          <w:rFonts w:cs="Times New Roman"/>
        </w:rPr>
        <w:t>– deserves better.</w:t>
      </w:r>
    </w:p>
    <w:sectPr w:rsidR="000474A1" w:rsidRPr="000474A1" w:rsidSect="00D97930">
      <w:headerReference w:type="even" r:id="rId7"/>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D8173" w14:textId="77777777" w:rsidR="00DF1569" w:rsidRDefault="00DF1569" w:rsidP="000474A1">
      <w:r>
        <w:separator/>
      </w:r>
    </w:p>
  </w:endnote>
  <w:endnote w:type="continuationSeparator" w:id="0">
    <w:p w14:paraId="1674727F" w14:textId="77777777" w:rsidR="00DF1569" w:rsidRDefault="00DF1569" w:rsidP="0004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62A94" w14:textId="77777777" w:rsidR="00DF1569" w:rsidRDefault="00DF1569" w:rsidP="000474A1">
      <w:r>
        <w:separator/>
      </w:r>
    </w:p>
  </w:footnote>
  <w:footnote w:type="continuationSeparator" w:id="0">
    <w:p w14:paraId="36FF6783" w14:textId="77777777" w:rsidR="00DF1569" w:rsidRDefault="00DF1569" w:rsidP="000474A1">
      <w:r>
        <w:continuationSeparator/>
      </w:r>
    </w:p>
  </w:footnote>
  <w:footnote w:id="1">
    <w:p w14:paraId="0A28BC39" w14:textId="77777777" w:rsidR="003E69EE" w:rsidRPr="001236C6" w:rsidRDefault="003E69EE" w:rsidP="003652DF">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K</w:t>
      </w:r>
      <w:r>
        <w:rPr>
          <w:rFonts w:ascii="Times New Roman" w:hAnsi="Times New Roman" w:cs="Times New Roman"/>
        </w:rPr>
        <w:t>.</w:t>
      </w:r>
      <w:r w:rsidRPr="001236C6">
        <w:rPr>
          <w:rFonts w:ascii="Times New Roman" w:hAnsi="Times New Roman" w:cs="Times New Roman"/>
        </w:rPr>
        <w:t xml:space="preserve">A. Wagner, ‘Savage Warfare: Violence and the Rule of Colonial Difference in Early British Counterinsurgency,’ </w:t>
      </w:r>
      <w:r w:rsidRPr="001236C6">
        <w:rPr>
          <w:rFonts w:ascii="Times New Roman" w:hAnsi="Times New Roman" w:cs="Times New Roman"/>
          <w:i/>
        </w:rPr>
        <w:t>History Workshop Journal</w:t>
      </w:r>
      <w:r w:rsidRPr="001236C6">
        <w:rPr>
          <w:rFonts w:ascii="Times New Roman" w:hAnsi="Times New Roman" w:cs="Times New Roman"/>
        </w:rPr>
        <w:t>, 85 (2018), p</w:t>
      </w:r>
      <w:r>
        <w:rPr>
          <w:rFonts w:ascii="Times New Roman" w:hAnsi="Times New Roman" w:cs="Times New Roman"/>
        </w:rPr>
        <w:t>p</w:t>
      </w:r>
      <w:r w:rsidRPr="001236C6">
        <w:rPr>
          <w:rFonts w:ascii="Times New Roman" w:hAnsi="Times New Roman" w:cs="Times New Roman"/>
        </w:rPr>
        <w:t>. 217</w:t>
      </w:r>
      <w:r>
        <w:rPr>
          <w:rFonts w:ascii="Times New Roman" w:hAnsi="Times New Roman" w:cs="Times New Roman"/>
        </w:rPr>
        <w:t>-237</w:t>
      </w:r>
      <w:r w:rsidRPr="001236C6">
        <w:rPr>
          <w:rFonts w:ascii="Times New Roman" w:hAnsi="Times New Roman" w:cs="Times New Roman"/>
        </w:rPr>
        <w:t>.</w:t>
      </w:r>
    </w:p>
  </w:footnote>
  <w:footnote w:id="2">
    <w:p w14:paraId="61C6D7AC" w14:textId="5A0562D7" w:rsidR="003E69EE" w:rsidRPr="001236C6" w:rsidRDefault="003E69EE" w:rsidP="00C6703D">
      <w:pPr>
        <w:autoSpaceDE w:val="0"/>
        <w:autoSpaceDN w:val="0"/>
        <w:adjustRightInd w:val="0"/>
        <w:jc w:val="both"/>
        <w:rPr>
          <w:rFonts w:cs="Times New Roman"/>
          <w:sz w:val="20"/>
          <w:szCs w:val="20"/>
        </w:rPr>
      </w:pPr>
      <w:r w:rsidRPr="001236C6">
        <w:rPr>
          <w:rStyle w:val="FootnoteReference"/>
          <w:rFonts w:cs="Times New Roman"/>
          <w:sz w:val="20"/>
          <w:szCs w:val="20"/>
        </w:rPr>
        <w:footnoteRef/>
      </w:r>
      <w:r w:rsidRPr="001236C6">
        <w:rPr>
          <w:rFonts w:cs="Times New Roman"/>
          <w:sz w:val="20"/>
          <w:szCs w:val="20"/>
        </w:rPr>
        <w:t xml:space="preserve"> Scott Keefer,</w:t>
      </w:r>
      <w:r>
        <w:rPr>
          <w:rFonts w:cs="Times New Roman"/>
          <w:sz w:val="20"/>
          <w:szCs w:val="20"/>
        </w:rPr>
        <w:t xml:space="preserve"> ‘“</w:t>
      </w:r>
      <w:r w:rsidRPr="001236C6">
        <w:rPr>
          <w:rFonts w:cs="Times New Roman"/>
          <w:sz w:val="20"/>
          <w:szCs w:val="20"/>
        </w:rPr>
        <w:t>Explosive Missals</w:t>
      </w:r>
      <w:r>
        <w:rPr>
          <w:rFonts w:cs="Times New Roman"/>
          <w:sz w:val="20"/>
          <w:szCs w:val="20"/>
        </w:rPr>
        <w:t>”</w:t>
      </w:r>
      <w:r w:rsidRPr="001236C6">
        <w:rPr>
          <w:rFonts w:cs="Times New Roman"/>
          <w:sz w:val="20"/>
          <w:szCs w:val="20"/>
        </w:rPr>
        <w:t>: International Law, Technology, and Security in Nineteenth-Century Disarmament Conference</w:t>
      </w:r>
      <w:r>
        <w:rPr>
          <w:rFonts w:cs="Times New Roman"/>
          <w:sz w:val="20"/>
          <w:szCs w:val="20"/>
        </w:rPr>
        <w:t>s</w:t>
      </w:r>
      <w:r w:rsidRPr="001236C6">
        <w:rPr>
          <w:rFonts w:cs="Times New Roman"/>
          <w:sz w:val="20"/>
          <w:szCs w:val="20"/>
        </w:rPr>
        <w:t xml:space="preserve">,’ </w:t>
      </w:r>
      <w:r w:rsidRPr="001236C6">
        <w:rPr>
          <w:rFonts w:cs="Times New Roman"/>
          <w:i/>
          <w:sz w:val="20"/>
          <w:szCs w:val="20"/>
        </w:rPr>
        <w:t>War in History</w:t>
      </w:r>
      <w:r>
        <w:rPr>
          <w:rFonts w:cs="Times New Roman"/>
          <w:sz w:val="20"/>
          <w:szCs w:val="20"/>
        </w:rPr>
        <w:t>,</w:t>
      </w:r>
      <w:r w:rsidRPr="001236C6">
        <w:rPr>
          <w:rFonts w:cs="Times New Roman"/>
          <w:sz w:val="20"/>
          <w:szCs w:val="20"/>
        </w:rPr>
        <w:t xml:space="preserve"> 21</w:t>
      </w:r>
      <w:r>
        <w:rPr>
          <w:rFonts w:cs="Times New Roman"/>
          <w:sz w:val="20"/>
          <w:szCs w:val="20"/>
        </w:rPr>
        <w:t>/</w:t>
      </w:r>
      <w:r w:rsidRPr="001236C6">
        <w:rPr>
          <w:rFonts w:cs="Times New Roman"/>
          <w:sz w:val="20"/>
          <w:szCs w:val="20"/>
        </w:rPr>
        <w:t xml:space="preserve">4 (2014), </w:t>
      </w:r>
      <w:r>
        <w:rPr>
          <w:rFonts w:cs="Times New Roman"/>
          <w:sz w:val="20"/>
          <w:szCs w:val="20"/>
        </w:rPr>
        <w:t>p.</w:t>
      </w:r>
      <w:r w:rsidRPr="001236C6">
        <w:rPr>
          <w:rFonts w:cs="Times New Roman"/>
          <w:sz w:val="20"/>
          <w:szCs w:val="20"/>
        </w:rPr>
        <w:t xml:space="preserve"> 466. See also </w:t>
      </w:r>
      <w:r>
        <w:rPr>
          <w:rFonts w:cs="Times New Roman"/>
          <w:sz w:val="20"/>
          <w:szCs w:val="20"/>
        </w:rPr>
        <w:t>[T]he [N]</w:t>
      </w:r>
      <w:proofErr w:type="spellStart"/>
      <w:r>
        <w:rPr>
          <w:rFonts w:cs="Times New Roman"/>
          <w:sz w:val="20"/>
          <w:szCs w:val="20"/>
        </w:rPr>
        <w:t>ational</w:t>
      </w:r>
      <w:proofErr w:type="spellEnd"/>
      <w:r>
        <w:rPr>
          <w:rFonts w:cs="Times New Roman"/>
          <w:sz w:val="20"/>
          <w:szCs w:val="20"/>
        </w:rPr>
        <w:t xml:space="preserve"> [A]</w:t>
      </w:r>
      <w:proofErr w:type="spellStart"/>
      <w:r>
        <w:rPr>
          <w:rFonts w:cs="Times New Roman"/>
          <w:sz w:val="20"/>
          <w:szCs w:val="20"/>
        </w:rPr>
        <w:t>rchives</w:t>
      </w:r>
      <w:proofErr w:type="spellEnd"/>
      <w:r>
        <w:rPr>
          <w:rFonts w:cs="Times New Roman"/>
          <w:sz w:val="20"/>
          <w:szCs w:val="20"/>
        </w:rPr>
        <w:t xml:space="preserve">: </w:t>
      </w:r>
      <w:r w:rsidRPr="001236C6">
        <w:rPr>
          <w:rFonts w:cs="Times New Roman"/>
          <w:sz w:val="20"/>
          <w:szCs w:val="20"/>
        </w:rPr>
        <w:t>CAB 37/51/94.</w:t>
      </w:r>
    </w:p>
  </w:footnote>
  <w:footnote w:id="3">
    <w:p w14:paraId="31FCCB52" w14:textId="323EB9F9"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w:t>
      </w:r>
      <w:r>
        <w:rPr>
          <w:rFonts w:ascii="Times New Roman" w:hAnsi="Times New Roman" w:cs="Times New Roman"/>
        </w:rPr>
        <w:t xml:space="preserve">John </w:t>
      </w:r>
      <w:r w:rsidRPr="001236C6">
        <w:rPr>
          <w:rFonts w:ascii="Times New Roman" w:hAnsi="Times New Roman" w:cs="Times New Roman"/>
        </w:rPr>
        <w:t xml:space="preserve">Ardagh, Memorandum, enclosure in </w:t>
      </w:r>
      <w:proofErr w:type="spellStart"/>
      <w:r w:rsidRPr="001236C6">
        <w:rPr>
          <w:rFonts w:ascii="Times New Roman" w:hAnsi="Times New Roman" w:cs="Times New Roman"/>
        </w:rPr>
        <w:t>Pauncefote</w:t>
      </w:r>
      <w:proofErr w:type="spellEnd"/>
      <w:r w:rsidRPr="001236C6">
        <w:rPr>
          <w:rFonts w:ascii="Times New Roman" w:hAnsi="Times New Roman" w:cs="Times New Roman"/>
        </w:rPr>
        <w:t xml:space="preserve"> to Salisbury, 15 June 1899, no. 168, </w:t>
      </w:r>
      <w:r>
        <w:rPr>
          <w:rFonts w:ascii="Times New Roman" w:hAnsi="Times New Roman" w:cs="Times New Roman"/>
        </w:rPr>
        <w:t xml:space="preserve">TNA </w:t>
      </w:r>
      <w:r w:rsidRPr="001236C6">
        <w:rPr>
          <w:rFonts w:ascii="Times New Roman" w:hAnsi="Times New Roman" w:cs="Times New Roman"/>
        </w:rPr>
        <w:t>FO 412/65</w:t>
      </w:r>
      <w:r>
        <w:rPr>
          <w:rFonts w:ascii="Times New Roman" w:hAnsi="Times New Roman" w:cs="Times New Roman"/>
        </w:rPr>
        <w:t>.</w:t>
      </w:r>
    </w:p>
  </w:footnote>
  <w:footnote w:id="4">
    <w:p w14:paraId="7D02A878" w14:textId="0E196353" w:rsidR="003E69EE" w:rsidRPr="00F1619F" w:rsidRDefault="003E69EE" w:rsidP="00F1619F">
      <w:pPr>
        <w:jc w:val="both"/>
      </w:pPr>
      <w:r w:rsidRPr="00F1619F">
        <w:rPr>
          <w:rStyle w:val="FootnoteReference"/>
          <w:sz w:val="20"/>
          <w:szCs w:val="20"/>
        </w:rPr>
        <w:footnoteRef/>
      </w:r>
      <w:r w:rsidRPr="00F1619F">
        <w:rPr>
          <w:sz w:val="20"/>
          <w:szCs w:val="20"/>
        </w:rPr>
        <w:t xml:space="preserve"> On reciprocity see A.R.S. </w:t>
      </w:r>
      <w:proofErr w:type="gramStart"/>
      <w:r w:rsidRPr="00F1619F">
        <w:rPr>
          <w:sz w:val="20"/>
          <w:szCs w:val="20"/>
        </w:rPr>
        <w:t>July,</w:t>
      </w:r>
      <w:proofErr w:type="gramEnd"/>
      <w:r w:rsidRPr="00F1619F">
        <w:rPr>
          <w:sz w:val="20"/>
          <w:szCs w:val="20"/>
        </w:rPr>
        <w:t xml:space="preserve"> 31, 1901 in </w:t>
      </w:r>
      <w:r w:rsidRPr="00F1619F">
        <w:rPr>
          <w:sz w:val="20"/>
          <w:szCs w:val="20"/>
          <w:lang w:val="en-US"/>
        </w:rPr>
        <w:t>IOR/L/MIL/7/12030, British Library. O</w:t>
      </w:r>
      <w:r w:rsidRPr="00F1619F">
        <w:rPr>
          <w:sz w:val="20"/>
          <w:szCs w:val="20"/>
        </w:rPr>
        <w:t>n filing see TNA WO 32/8424.</w:t>
      </w:r>
    </w:p>
  </w:footnote>
  <w:footnote w:id="5">
    <w:p w14:paraId="4A10DC55" w14:textId="00E17EA7" w:rsidR="003E69EE" w:rsidRPr="001236C6" w:rsidRDefault="003E69EE" w:rsidP="003E69EE">
      <w:pPr>
        <w:pStyle w:val="FootnoteText"/>
        <w:jc w:val="both"/>
        <w:rPr>
          <w:rFonts w:ascii="Times New Roman" w:hAnsi="Times New Roman" w:cs="Times New Roman"/>
        </w:rPr>
      </w:pPr>
      <w:r w:rsidRPr="003E69EE">
        <w:rPr>
          <w:rStyle w:val="FootnoteReference"/>
          <w:rFonts w:ascii="Times New Roman" w:hAnsi="Times New Roman" w:cs="Times New Roman"/>
        </w:rPr>
        <w:footnoteRef/>
      </w:r>
      <w:r w:rsidRPr="003E69EE">
        <w:rPr>
          <w:rFonts w:ascii="Times New Roman" w:hAnsi="Times New Roman" w:cs="Times New Roman"/>
        </w:rPr>
        <w:t xml:space="preserve"> Isabel Hull, </w:t>
      </w:r>
      <w:r w:rsidRPr="003E69EE">
        <w:rPr>
          <w:rFonts w:ascii="Times New Roman" w:hAnsi="Times New Roman" w:cs="Times New Roman"/>
          <w:i/>
        </w:rPr>
        <w:t>Absolute Destruction: Military Culture and the Practices of War in Imperial Germany</w:t>
      </w:r>
      <w:r w:rsidRPr="00035C55">
        <w:rPr>
          <w:rFonts w:ascii="Times New Roman" w:hAnsi="Times New Roman" w:cs="Times New Roman"/>
        </w:rPr>
        <w:t xml:space="preserve"> (Ithaca: Cornell University</w:t>
      </w:r>
      <w:r>
        <w:rPr>
          <w:rFonts w:ascii="Times New Roman" w:hAnsi="Times New Roman" w:cs="Times New Roman"/>
        </w:rPr>
        <w:t xml:space="preserve"> Press</w:t>
      </w:r>
      <w:r w:rsidRPr="001236C6">
        <w:rPr>
          <w:rFonts w:ascii="Times New Roman" w:hAnsi="Times New Roman" w:cs="Times New Roman"/>
        </w:rPr>
        <w:t>, 2005).</w:t>
      </w:r>
    </w:p>
  </w:footnote>
  <w:footnote w:id="6">
    <w:p w14:paraId="285D00EF" w14:textId="77777777" w:rsidR="003E69EE" w:rsidRPr="00C6703D" w:rsidRDefault="003E69EE" w:rsidP="00C6703D">
      <w:pPr>
        <w:pStyle w:val="FootnoteText"/>
        <w:jc w:val="both"/>
        <w:rPr>
          <w:rFonts w:ascii="Times New Roman" w:hAnsi="Times New Roman" w:cs="Times New Roman"/>
        </w:rPr>
      </w:pPr>
      <w:r w:rsidRPr="00C6703D">
        <w:rPr>
          <w:rStyle w:val="FootnoteReference"/>
          <w:rFonts w:ascii="Times New Roman" w:hAnsi="Times New Roman" w:cs="Times New Roman"/>
        </w:rPr>
        <w:footnoteRef/>
      </w:r>
      <w:r w:rsidRPr="00C6703D">
        <w:rPr>
          <w:rFonts w:ascii="Times New Roman" w:hAnsi="Times New Roman" w:cs="Times New Roman"/>
        </w:rPr>
        <w:t xml:space="preserve"> Wagner, ‘Savage Warfare’, p. 220.</w:t>
      </w:r>
    </w:p>
  </w:footnote>
  <w:footnote w:id="7">
    <w:p w14:paraId="03E19707" w14:textId="79544788"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T.R. Moreman, </w:t>
      </w:r>
      <w:r w:rsidRPr="001236C6">
        <w:rPr>
          <w:rFonts w:ascii="Times New Roman" w:hAnsi="Times New Roman" w:cs="Times New Roman"/>
          <w:i/>
        </w:rPr>
        <w:t>The Army in India and the Development of Frontier Warfare, 1849-1947</w:t>
      </w:r>
      <w:r w:rsidRPr="001236C6">
        <w:rPr>
          <w:rFonts w:ascii="Times New Roman" w:hAnsi="Times New Roman" w:cs="Times New Roman"/>
        </w:rPr>
        <w:t xml:space="preserve"> (London</w:t>
      </w:r>
      <w:r>
        <w:rPr>
          <w:rFonts w:ascii="Times New Roman" w:hAnsi="Times New Roman" w:cs="Times New Roman"/>
        </w:rPr>
        <w:t>: Palgrave Macmillan</w:t>
      </w:r>
      <w:r w:rsidRPr="001236C6">
        <w:rPr>
          <w:rFonts w:ascii="Times New Roman" w:hAnsi="Times New Roman" w:cs="Times New Roman"/>
        </w:rPr>
        <w:t xml:space="preserve">, 1998), </w:t>
      </w:r>
      <w:r>
        <w:rPr>
          <w:rFonts w:ascii="Times New Roman" w:hAnsi="Times New Roman" w:cs="Times New Roman"/>
        </w:rPr>
        <w:t xml:space="preserve">pp. </w:t>
      </w:r>
      <w:r w:rsidRPr="001236C6">
        <w:rPr>
          <w:rFonts w:ascii="Times New Roman" w:hAnsi="Times New Roman" w:cs="Times New Roman"/>
        </w:rPr>
        <w:t xml:space="preserve">73–76, </w:t>
      </w:r>
      <w:r>
        <w:rPr>
          <w:rFonts w:ascii="Times New Roman" w:hAnsi="Times New Roman" w:cs="Times New Roman"/>
        </w:rPr>
        <w:t xml:space="preserve">p. </w:t>
      </w:r>
      <w:r w:rsidRPr="001236C6">
        <w:rPr>
          <w:rFonts w:ascii="Times New Roman" w:hAnsi="Times New Roman" w:cs="Times New Roman"/>
        </w:rPr>
        <w:t xml:space="preserve">83, </w:t>
      </w:r>
      <w:r>
        <w:rPr>
          <w:rFonts w:ascii="Times New Roman" w:hAnsi="Times New Roman" w:cs="Times New Roman"/>
        </w:rPr>
        <w:t xml:space="preserve">pp. </w:t>
      </w:r>
      <w:r w:rsidRPr="001236C6">
        <w:rPr>
          <w:rFonts w:ascii="Times New Roman" w:hAnsi="Times New Roman" w:cs="Times New Roman"/>
        </w:rPr>
        <w:t xml:space="preserve">87–88, </w:t>
      </w:r>
      <w:r>
        <w:rPr>
          <w:rFonts w:ascii="Times New Roman" w:hAnsi="Times New Roman" w:cs="Times New Roman"/>
        </w:rPr>
        <w:t xml:space="preserve">p. </w:t>
      </w:r>
      <w:r w:rsidRPr="001236C6">
        <w:rPr>
          <w:rFonts w:ascii="Times New Roman" w:hAnsi="Times New Roman" w:cs="Times New Roman"/>
        </w:rPr>
        <w:t xml:space="preserve">124, </w:t>
      </w:r>
      <w:r>
        <w:rPr>
          <w:rFonts w:ascii="Times New Roman" w:hAnsi="Times New Roman" w:cs="Times New Roman"/>
        </w:rPr>
        <w:t xml:space="preserve">p. </w:t>
      </w:r>
      <w:r w:rsidRPr="001236C6">
        <w:rPr>
          <w:rFonts w:ascii="Times New Roman" w:hAnsi="Times New Roman" w:cs="Times New Roman"/>
        </w:rPr>
        <w:t>149.</w:t>
      </w:r>
    </w:p>
  </w:footnote>
  <w:footnote w:id="8">
    <w:p w14:paraId="006B9B79" w14:textId="7D36C4F1"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George Wyndham, Dec. 1, 1899, in </w:t>
      </w:r>
      <w:r>
        <w:rPr>
          <w:rFonts w:ascii="Times New Roman" w:hAnsi="Times New Roman" w:cs="Times New Roman"/>
        </w:rPr>
        <w:t xml:space="preserve">TNA </w:t>
      </w:r>
      <w:r w:rsidRPr="001236C6">
        <w:rPr>
          <w:rFonts w:ascii="Times New Roman" w:hAnsi="Times New Roman" w:cs="Times New Roman"/>
        </w:rPr>
        <w:t>CAB 37/51/94.</w:t>
      </w:r>
    </w:p>
  </w:footnote>
  <w:footnote w:id="9">
    <w:p w14:paraId="67AE2CAA" w14:textId="392E48B0"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Wagner, ‘Savage Warfare,’ pp.</w:t>
      </w:r>
      <w:r>
        <w:rPr>
          <w:rFonts w:ascii="Times New Roman" w:hAnsi="Times New Roman" w:cs="Times New Roman"/>
        </w:rPr>
        <w:t xml:space="preserve"> </w:t>
      </w:r>
      <w:r w:rsidRPr="001236C6">
        <w:rPr>
          <w:rFonts w:ascii="Times New Roman" w:hAnsi="Times New Roman" w:cs="Times New Roman"/>
        </w:rPr>
        <w:t>218-219.</w:t>
      </w:r>
    </w:p>
  </w:footnote>
  <w:footnote w:id="10">
    <w:p w14:paraId="1FF46E05" w14:textId="7341D434"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For studies explicitly connecting the historical and the contemporary, see: D</w:t>
      </w:r>
      <w:r>
        <w:rPr>
          <w:rFonts w:ascii="Times New Roman" w:hAnsi="Times New Roman" w:cs="Times New Roman"/>
        </w:rPr>
        <w:t>.</w:t>
      </w:r>
      <w:r w:rsidRPr="001236C6">
        <w:rPr>
          <w:rFonts w:ascii="Times New Roman" w:hAnsi="Times New Roman" w:cs="Times New Roman"/>
        </w:rPr>
        <w:t xml:space="preserve">H. </w:t>
      </w:r>
      <w:proofErr w:type="spellStart"/>
      <w:r w:rsidRPr="001236C6">
        <w:rPr>
          <w:rFonts w:ascii="Times New Roman" w:hAnsi="Times New Roman" w:cs="Times New Roman"/>
        </w:rPr>
        <w:t>Ucko</w:t>
      </w:r>
      <w:proofErr w:type="spellEnd"/>
      <w:r w:rsidRPr="001236C6">
        <w:rPr>
          <w:rFonts w:ascii="Times New Roman" w:hAnsi="Times New Roman" w:cs="Times New Roman"/>
        </w:rPr>
        <w:t xml:space="preserve"> and R</w:t>
      </w:r>
      <w:r>
        <w:rPr>
          <w:rFonts w:ascii="Times New Roman" w:hAnsi="Times New Roman" w:cs="Times New Roman"/>
        </w:rPr>
        <w:t>.</w:t>
      </w:r>
      <w:r w:rsidRPr="001236C6">
        <w:rPr>
          <w:rFonts w:ascii="Times New Roman" w:hAnsi="Times New Roman" w:cs="Times New Roman"/>
        </w:rPr>
        <w:t xml:space="preserve"> </w:t>
      </w:r>
      <w:proofErr w:type="spellStart"/>
      <w:r w:rsidRPr="001236C6">
        <w:rPr>
          <w:rFonts w:ascii="Times New Roman" w:hAnsi="Times New Roman" w:cs="Times New Roman"/>
        </w:rPr>
        <w:t>Egnell</w:t>
      </w:r>
      <w:proofErr w:type="spellEnd"/>
      <w:r w:rsidRPr="001236C6">
        <w:rPr>
          <w:rFonts w:ascii="Times New Roman" w:hAnsi="Times New Roman" w:cs="Times New Roman"/>
        </w:rPr>
        <w:t xml:space="preserve">, </w:t>
      </w:r>
      <w:r w:rsidRPr="001236C6">
        <w:rPr>
          <w:rFonts w:ascii="Times New Roman" w:hAnsi="Times New Roman" w:cs="Times New Roman"/>
          <w:i/>
        </w:rPr>
        <w:t>Counterinsurgency in Crisis: Britain and the Challenges of Modern Warfare</w:t>
      </w:r>
      <w:r w:rsidRPr="001236C6">
        <w:rPr>
          <w:rFonts w:ascii="Times New Roman" w:hAnsi="Times New Roman" w:cs="Times New Roman"/>
        </w:rPr>
        <w:t xml:space="preserve"> (New York: Columbia University Press, 2013); D</w:t>
      </w:r>
      <w:r>
        <w:rPr>
          <w:rFonts w:ascii="Times New Roman" w:hAnsi="Times New Roman" w:cs="Times New Roman"/>
        </w:rPr>
        <w:t>.</w:t>
      </w:r>
      <w:r w:rsidRPr="001236C6">
        <w:rPr>
          <w:rFonts w:ascii="Times New Roman" w:hAnsi="Times New Roman" w:cs="Times New Roman"/>
        </w:rPr>
        <w:t xml:space="preserve"> Porch, </w:t>
      </w:r>
      <w:r w:rsidRPr="001236C6">
        <w:rPr>
          <w:rFonts w:ascii="Times New Roman" w:hAnsi="Times New Roman" w:cs="Times New Roman"/>
          <w:i/>
        </w:rPr>
        <w:t>Counterinsurgency: Exposing the Myths of the New Way of War</w:t>
      </w:r>
      <w:r w:rsidRPr="001236C6">
        <w:rPr>
          <w:rFonts w:ascii="Times New Roman" w:hAnsi="Times New Roman" w:cs="Times New Roman"/>
        </w:rPr>
        <w:t xml:space="preserve"> (Cambridge: Cambridge University Press, 2013).</w:t>
      </w:r>
    </w:p>
  </w:footnote>
  <w:footnote w:id="11">
    <w:p w14:paraId="7F2D7DBE" w14:textId="3F76B41E"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D</w:t>
      </w:r>
      <w:r>
        <w:rPr>
          <w:rFonts w:ascii="Times New Roman" w:hAnsi="Times New Roman" w:cs="Times New Roman"/>
        </w:rPr>
        <w:t>.</w:t>
      </w:r>
      <w:r w:rsidRPr="001236C6">
        <w:rPr>
          <w:rFonts w:ascii="Times New Roman" w:hAnsi="Times New Roman" w:cs="Times New Roman"/>
        </w:rPr>
        <w:t xml:space="preserve"> French, </w:t>
      </w:r>
      <w:r w:rsidRPr="001236C6">
        <w:rPr>
          <w:rFonts w:ascii="Times New Roman" w:hAnsi="Times New Roman" w:cs="Times New Roman"/>
          <w:i/>
        </w:rPr>
        <w:t>The British Way in Counter-Insurgency, 1945-1967</w:t>
      </w:r>
      <w:r w:rsidRPr="001236C6">
        <w:rPr>
          <w:rFonts w:ascii="Times New Roman" w:hAnsi="Times New Roman" w:cs="Times New Roman"/>
        </w:rPr>
        <w:t xml:space="preserve"> (Oxford: Oxford University Press, 2011).</w:t>
      </w:r>
    </w:p>
  </w:footnote>
  <w:footnote w:id="12">
    <w:p w14:paraId="0F3DF09E" w14:textId="48E7D5F3"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T</w:t>
      </w:r>
      <w:r>
        <w:rPr>
          <w:rFonts w:ascii="Times New Roman" w:hAnsi="Times New Roman" w:cs="Times New Roman"/>
        </w:rPr>
        <w:t>.</w:t>
      </w:r>
      <w:r w:rsidRPr="001236C6">
        <w:rPr>
          <w:rFonts w:ascii="Times New Roman" w:hAnsi="Times New Roman" w:cs="Times New Roman"/>
        </w:rPr>
        <w:t xml:space="preserve">R. </w:t>
      </w:r>
      <w:proofErr w:type="spellStart"/>
      <w:r w:rsidRPr="001236C6">
        <w:rPr>
          <w:rFonts w:ascii="Times New Roman" w:hAnsi="Times New Roman" w:cs="Times New Roman"/>
        </w:rPr>
        <w:t>Mockaitis</w:t>
      </w:r>
      <w:proofErr w:type="spellEnd"/>
      <w:r w:rsidRPr="001236C6">
        <w:rPr>
          <w:rFonts w:ascii="Times New Roman" w:hAnsi="Times New Roman" w:cs="Times New Roman"/>
        </w:rPr>
        <w:t xml:space="preserve">, </w:t>
      </w:r>
      <w:r w:rsidRPr="001236C6">
        <w:rPr>
          <w:rFonts w:ascii="Times New Roman" w:hAnsi="Times New Roman" w:cs="Times New Roman"/>
          <w:i/>
        </w:rPr>
        <w:t>British Counterinsurgency, 1919-60</w:t>
      </w:r>
      <w:r w:rsidRPr="001236C6">
        <w:rPr>
          <w:rFonts w:ascii="Times New Roman" w:hAnsi="Times New Roman" w:cs="Times New Roman"/>
        </w:rPr>
        <w:t xml:space="preserve"> (New York: St. Martin’s Press, 1990); J</w:t>
      </w:r>
      <w:r>
        <w:rPr>
          <w:rFonts w:ascii="Times New Roman" w:hAnsi="Times New Roman" w:cs="Times New Roman"/>
        </w:rPr>
        <w:t>.</w:t>
      </w:r>
      <w:r w:rsidRPr="001236C6">
        <w:rPr>
          <w:rFonts w:ascii="Times New Roman" w:hAnsi="Times New Roman" w:cs="Times New Roman"/>
        </w:rPr>
        <w:t xml:space="preserve">A. </w:t>
      </w:r>
      <w:proofErr w:type="spellStart"/>
      <w:r w:rsidRPr="001236C6">
        <w:rPr>
          <w:rFonts w:ascii="Times New Roman" w:hAnsi="Times New Roman" w:cs="Times New Roman"/>
        </w:rPr>
        <w:t>Nagl</w:t>
      </w:r>
      <w:proofErr w:type="spellEnd"/>
      <w:r w:rsidRPr="001236C6">
        <w:rPr>
          <w:rFonts w:ascii="Times New Roman" w:hAnsi="Times New Roman" w:cs="Times New Roman"/>
        </w:rPr>
        <w:t xml:space="preserve">, </w:t>
      </w:r>
      <w:r w:rsidRPr="001236C6">
        <w:rPr>
          <w:rFonts w:ascii="Times New Roman" w:hAnsi="Times New Roman" w:cs="Times New Roman"/>
          <w:i/>
        </w:rPr>
        <w:t>Counterinsurgency Lessons from Malaya and Vietnam: Learning to Eat Soup with a Knife</w:t>
      </w:r>
      <w:r w:rsidRPr="001236C6">
        <w:rPr>
          <w:rFonts w:ascii="Times New Roman" w:hAnsi="Times New Roman" w:cs="Times New Roman"/>
        </w:rPr>
        <w:t xml:space="preserve"> (London: Praeger, 2002).</w:t>
      </w:r>
    </w:p>
  </w:footnote>
  <w:footnote w:id="13">
    <w:p w14:paraId="564483FC" w14:textId="1DC37CA9"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H</w:t>
      </w:r>
      <w:r>
        <w:rPr>
          <w:rFonts w:ascii="Times New Roman" w:hAnsi="Times New Roman" w:cs="Times New Roman"/>
        </w:rPr>
        <w:t>.</w:t>
      </w:r>
      <w:r w:rsidRPr="001236C6">
        <w:rPr>
          <w:rFonts w:ascii="Times New Roman" w:hAnsi="Times New Roman" w:cs="Times New Roman"/>
        </w:rPr>
        <w:t xml:space="preserve"> Bennett, ‘The Mau </w:t>
      </w:r>
      <w:proofErr w:type="spellStart"/>
      <w:r w:rsidRPr="001236C6">
        <w:rPr>
          <w:rFonts w:ascii="Times New Roman" w:hAnsi="Times New Roman" w:cs="Times New Roman"/>
        </w:rPr>
        <w:t>Mau</w:t>
      </w:r>
      <w:proofErr w:type="spellEnd"/>
      <w:r w:rsidRPr="001236C6">
        <w:rPr>
          <w:rFonts w:ascii="Times New Roman" w:hAnsi="Times New Roman" w:cs="Times New Roman"/>
        </w:rPr>
        <w:t xml:space="preserve"> Emergency as Part of the British Army’s Post-War Counter-Insurgency Experience’, </w:t>
      </w:r>
      <w:proofErr w:type="spellStart"/>
      <w:r w:rsidRPr="001236C6">
        <w:rPr>
          <w:rFonts w:ascii="Times New Roman" w:hAnsi="Times New Roman" w:cs="Times New Roman"/>
          <w:i/>
        </w:rPr>
        <w:t>Defense</w:t>
      </w:r>
      <w:proofErr w:type="spellEnd"/>
      <w:r w:rsidRPr="001236C6">
        <w:rPr>
          <w:rFonts w:ascii="Times New Roman" w:hAnsi="Times New Roman" w:cs="Times New Roman"/>
          <w:i/>
        </w:rPr>
        <w:t xml:space="preserve"> and Security Analysis</w:t>
      </w:r>
      <w:r w:rsidRPr="001236C6">
        <w:rPr>
          <w:rFonts w:ascii="Times New Roman" w:hAnsi="Times New Roman" w:cs="Times New Roman"/>
        </w:rPr>
        <w:t>, 23/2 (2007), pp.143-163.</w:t>
      </w:r>
    </w:p>
  </w:footnote>
  <w:footnote w:id="14">
    <w:p w14:paraId="1D88494B" w14:textId="62CA5A1D"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R</w:t>
      </w:r>
      <w:r>
        <w:rPr>
          <w:rFonts w:ascii="Times New Roman" w:hAnsi="Times New Roman" w:cs="Times New Roman"/>
        </w:rPr>
        <w:t xml:space="preserve">. </w:t>
      </w:r>
      <w:r w:rsidRPr="001236C6">
        <w:rPr>
          <w:rFonts w:ascii="Times New Roman" w:hAnsi="Times New Roman" w:cs="Times New Roman"/>
        </w:rPr>
        <w:t xml:space="preserve">Thornton, ‘The British Army and the Origins of its Minimum Force Philosophy,’ </w:t>
      </w:r>
      <w:r w:rsidRPr="001236C6">
        <w:rPr>
          <w:rFonts w:ascii="Times New Roman" w:hAnsi="Times New Roman" w:cs="Times New Roman"/>
          <w:i/>
        </w:rPr>
        <w:t>Small Wars and Insurgencies</w:t>
      </w:r>
      <w:r w:rsidRPr="001236C6">
        <w:rPr>
          <w:rFonts w:ascii="Times New Roman" w:hAnsi="Times New Roman" w:cs="Times New Roman"/>
        </w:rPr>
        <w:t>, 15/1 (2004), pp.</w:t>
      </w:r>
      <w:r>
        <w:rPr>
          <w:rFonts w:ascii="Times New Roman" w:hAnsi="Times New Roman" w:cs="Times New Roman"/>
        </w:rPr>
        <w:t xml:space="preserve"> </w:t>
      </w:r>
      <w:r w:rsidRPr="001236C6">
        <w:rPr>
          <w:rFonts w:ascii="Times New Roman" w:hAnsi="Times New Roman" w:cs="Times New Roman"/>
        </w:rPr>
        <w:t>83-106; H</w:t>
      </w:r>
      <w:r>
        <w:rPr>
          <w:rFonts w:ascii="Times New Roman" w:hAnsi="Times New Roman" w:cs="Times New Roman"/>
        </w:rPr>
        <w:t>.</w:t>
      </w:r>
      <w:r w:rsidRPr="001236C6">
        <w:rPr>
          <w:rFonts w:ascii="Times New Roman" w:hAnsi="Times New Roman" w:cs="Times New Roman"/>
        </w:rPr>
        <w:t xml:space="preserve"> Bennett, ‘Minimum force in British counterinsurgency,’ </w:t>
      </w:r>
      <w:r w:rsidRPr="001236C6">
        <w:rPr>
          <w:rFonts w:ascii="Times New Roman" w:hAnsi="Times New Roman" w:cs="Times New Roman"/>
          <w:i/>
        </w:rPr>
        <w:t>Small Wars and Insurgencies</w:t>
      </w:r>
      <w:r w:rsidRPr="001236C6">
        <w:rPr>
          <w:rFonts w:ascii="Times New Roman" w:hAnsi="Times New Roman" w:cs="Times New Roman"/>
        </w:rPr>
        <w:t>, 21/3 (2010), pp.</w:t>
      </w:r>
      <w:r>
        <w:rPr>
          <w:rFonts w:ascii="Times New Roman" w:hAnsi="Times New Roman" w:cs="Times New Roman"/>
        </w:rPr>
        <w:t xml:space="preserve"> </w:t>
      </w:r>
      <w:r w:rsidRPr="001236C6">
        <w:rPr>
          <w:rFonts w:ascii="Times New Roman" w:hAnsi="Times New Roman" w:cs="Times New Roman"/>
        </w:rPr>
        <w:t>459-475; B</w:t>
      </w:r>
      <w:r>
        <w:rPr>
          <w:rFonts w:ascii="Times New Roman" w:hAnsi="Times New Roman" w:cs="Times New Roman"/>
        </w:rPr>
        <w:t>.</w:t>
      </w:r>
      <w:r w:rsidRPr="001236C6">
        <w:rPr>
          <w:rFonts w:ascii="Times New Roman" w:hAnsi="Times New Roman" w:cs="Times New Roman"/>
        </w:rPr>
        <w:t xml:space="preserve">C. Reis, ‘The Myth of British Minimum Force in Counterinsurgency Campaigns during Decolonisation (1945-1970),’ </w:t>
      </w:r>
      <w:r w:rsidRPr="001236C6">
        <w:rPr>
          <w:rFonts w:ascii="Times New Roman" w:hAnsi="Times New Roman" w:cs="Times New Roman"/>
          <w:i/>
        </w:rPr>
        <w:t>Journal of Strategic Studies</w:t>
      </w:r>
      <w:r w:rsidRPr="001236C6">
        <w:rPr>
          <w:rFonts w:ascii="Times New Roman" w:hAnsi="Times New Roman" w:cs="Times New Roman"/>
        </w:rPr>
        <w:t>, 34/2 (2011), pp.</w:t>
      </w:r>
      <w:r>
        <w:rPr>
          <w:rFonts w:ascii="Times New Roman" w:hAnsi="Times New Roman" w:cs="Times New Roman"/>
        </w:rPr>
        <w:t xml:space="preserve"> </w:t>
      </w:r>
      <w:r w:rsidRPr="001236C6">
        <w:rPr>
          <w:rFonts w:ascii="Times New Roman" w:hAnsi="Times New Roman" w:cs="Times New Roman"/>
        </w:rPr>
        <w:t>245-279; A</w:t>
      </w:r>
      <w:r>
        <w:rPr>
          <w:rFonts w:ascii="Times New Roman" w:hAnsi="Times New Roman" w:cs="Times New Roman"/>
        </w:rPr>
        <w:t>.</w:t>
      </w:r>
      <w:r w:rsidRPr="001236C6">
        <w:rPr>
          <w:rFonts w:ascii="Times New Roman" w:hAnsi="Times New Roman" w:cs="Times New Roman"/>
        </w:rPr>
        <w:t xml:space="preserve"> Mumford, </w:t>
      </w:r>
      <w:r w:rsidRPr="001236C6">
        <w:rPr>
          <w:rFonts w:ascii="Times New Roman" w:hAnsi="Times New Roman" w:cs="Times New Roman"/>
          <w:i/>
        </w:rPr>
        <w:t>The Counter-Insurgency Myth: The British experience of irregular warfare</w:t>
      </w:r>
      <w:r w:rsidRPr="001236C6">
        <w:rPr>
          <w:rFonts w:ascii="Times New Roman" w:hAnsi="Times New Roman" w:cs="Times New Roman"/>
        </w:rPr>
        <w:t xml:space="preserve"> (London: Routledge, 2012).</w:t>
      </w:r>
    </w:p>
  </w:footnote>
  <w:footnote w:id="15">
    <w:p w14:paraId="1070878F" w14:textId="57614426"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T</w:t>
      </w:r>
      <w:r>
        <w:rPr>
          <w:rFonts w:ascii="Times New Roman" w:hAnsi="Times New Roman" w:cs="Times New Roman"/>
        </w:rPr>
        <w:t>.</w:t>
      </w:r>
      <w:r w:rsidRPr="001236C6">
        <w:rPr>
          <w:rFonts w:ascii="Times New Roman" w:hAnsi="Times New Roman" w:cs="Times New Roman"/>
        </w:rPr>
        <w:t xml:space="preserve">R. </w:t>
      </w:r>
      <w:proofErr w:type="spellStart"/>
      <w:r w:rsidRPr="001236C6">
        <w:rPr>
          <w:rFonts w:ascii="Times New Roman" w:hAnsi="Times New Roman" w:cs="Times New Roman"/>
        </w:rPr>
        <w:t>Mockaitis</w:t>
      </w:r>
      <w:proofErr w:type="spellEnd"/>
      <w:r w:rsidRPr="001236C6">
        <w:rPr>
          <w:rFonts w:ascii="Times New Roman" w:hAnsi="Times New Roman" w:cs="Times New Roman"/>
        </w:rPr>
        <w:t xml:space="preserve">, ‘The minimum force debate: contemporary sensibilities meet imperial practice,’ </w:t>
      </w:r>
      <w:r w:rsidRPr="001236C6">
        <w:rPr>
          <w:rFonts w:ascii="Times New Roman" w:hAnsi="Times New Roman" w:cs="Times New Roman"/>
          <w:i/>
        </w:rPr>
        <w:t>Small Wars and Insurgencies</w:t>
      </w:r>
      <w:r w:rsidRPr="001236C6">
        <w:rPr>
          <w:rFonts w:ascii="Times New Roman" w:hAnsi="Times New Roman" w:cs="Times New Roman"/>
        </w:rPr>
        <w:t>, 23/4-5 (2012), pp.</w:t>
      </w:r>
      <w:r>
        <w:rPr>
          <w:rFonts w:ascii="Times New Roman" w:hAnsi="Times New Roman" w:cs="Times New Roman"/>
        </w:rPr>
        <w:t xml:space="preserve"> </w:t>
      </w:r>
      <w:r w:rsidRPr="001236C6">
        <w:rPr>
          <w:rFonts w:ascii="Times New Roman" w:hAnsi="Times New Roman" w:cs="Times New Roman"/>
        </w:rPr>
        <w:t>762-780; D</w:t>
      </w:r>
      <w:r>
        <w:rPr>
          <w:rFonts w:ascii="Times New Roman" w:hAnsi="Times New Roman" w:cs="Times New Roman"/>
        </w:rPr>
        <w:t>.</w:t>
      </w:r>
      <w:r w:rsidRPr="001236C6">
        <w:rPr>
          <w:rFonts w:ascii="Times New Roman" w:hAnsi="Times New Roman" w:cs="Times New Roman"/>
        </w:rPr>
        <w:t>M</w:t>
      </w:r>
      <w:r>
        <w:rPr>
          <w:rFonts w:ascii="Times New Roman" w:hAnsi="Times New Roman" w:cs="Times New Roman"/>
        </w:rPr>
        <w:t>.</w:t>
      </w:r>
      <w:r w:rsidRPr="001236C6">
        <w:rPr>
          <w:rFonts w:ascii="Times New Roman" w:hAnsi="Times New Roman" w:cs="Times New Roman"/>
        </w:rPr>
        <w:t xml:space="preserve"> Jones and M.L.R. Smith, ‘Myth and the small war tradition: Reassessing the discourse of British counter-insurgency,’ </w:t>
      </w:r>
      <w:r w:rsidRPr="001236C6">
        <w:rPr>
          <w:rFonts w:ascii="Times New Roman" w:hAnsi="Times New Roman" w:cs="Times New Roman"/>
          <w:i/>
        </w:rPr>
        <w:t>Small Wars and Insurgencies</w:t>
      </w:r>
      <w:r w:rsidRPr="001236C6">
        <w:rPr>
          <w:rFonts w:ascii="Times New Roman" w:hAnsi="Times New Roman" w:cs="Times New Roman"/>
        </w:rPr>
        <w:t>, 24/3 (2013), pp.</w:t>
      </w:r>
      <w:r>
        <w:rPr>
          <w:rFonts w:ascii="Times New Roman" w:hAnsi="Times New Roman" w:cs="Times New Roman"/>
        </w:rPr>
        <w:t xml:space="preserve"> </w:t>
      </w:r>
      <w:r w:rsidRPr="001236C6">
        <w:rPr>
          <w:rFonts w:ascii="Times New Roman" w:hAnsi="Times New Roman" w:cs="Times New Roman"/>
        </w:rPr>
        <w:t>436-464; G</w:t>
      </w:r>
      <w:r>
        <w:rPr>
          <w:rFonts w:ascii="Times New Roman" w:hAnsi="Times New Roman" w:cs="Times New Roman"/>
        </w:rPr>
        <w:t>.</w:t>
      </w:r>
      <w:r w:rsidRPr="001236C6">
        <w:rPr>
          <w:rFonts w:ascii="Times New Roman" w:hAnsi="Times New Roman" w:cs="Times New Roman"/>
        </w:rPr>
        <w:t xml:space="preserve"> Goodman, ‘“Troops were then forced to fire”: British army crowd control in Palestine, November 1945,’ </w:t>
      </w:r>
      <w:r w:rsidRPr="001236C6">
        <w:rPr>
          <w:rFonts w:ascii="Times New Roman" w:hAnsi="Times New Roman" w:cs="Times New Roman"/>
          <w:i/>
        </w:rPr>
        <w:t>Small Wars and Insurgencies</w:t>
      </w:r>
      <w:r w:rsidRPr="001236C6">
        <w:rPr>
          <w:rFonts w:ascii="Times New Roman" w:hAnsi="Times New Roman" w:cs="Times New Roman"/>
        </w:rPr>
        <w:t>, 26/2 (2015), pp.</w:t>
      </w:r>
      <w:r>
        <w:rPr>
          <w:rFonts w:ascii="Times New Roman" w:hAnsi="Times New Roman" w:cs="Times New Roman"/>
        </w:rPr>
        <w:t xml:space="preserve"> </w:t>
      </w:r>
      <w:r w:rsidRPr="001236C6">
        <w:rPr>
          <w:rFonts w:ascii="Times New Roman" w:hAnsi="Times New Roman" w:cs="Times New Roman"/>
        </w:rPr>
        <w:t>271-291.</w:t>
      </w:r>
    </w:p>
  </w:footnote>
  <w:footnote w:id="16">
    <w:p w14:paraId="480D2D19" w14:textId="57B792E1"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D</w:t>
      </w:r>
      <w:r>
        <w:rPr>
          <w:rFonts w:ascii="Times New Roman" w:hAnsi="Times New Roman" w:cs="Times New Roman"/>
        </w:rPr>
        <w:t>.</w:t>
      </w:r>
      <w:r w:rsidRPr="001236C6">
        <w:rPr>
          <w:rFonts w:ascii="Times New Roman" w:hAnsi="Times New Roman" w:cs="Times New Roman"/>
        </w:rPr>
        <w:t xml:space="preserve"> Betz, ‘Counter-insurgency, Victorian Style,’ </w:t>
      </w:r>
      <w:r w:rsidRPr="001236C6">
        <w:rPr>
          <w:rFonts w:ascii="Times New Roman" w:hAnsi="Times New Roman" w:cs="Times New Roman"/>
          <w:i/>
        </w:rPr>
        <w:t>Survival</w:t>
      </w:r>
      <w:r w:rsidRPr="001236C6">
        <w:rPr>
          <w:rFonts w:ascii="Times New Roman" w:hAnsi="Times New Roman" w:cs="Times New Roman"/>
        </w:rPr>
        <w:t>, 54/4 (2012), pp.</w:t>
      </w:r>
      <w:r>
        <w:rPr>
          <w:rFonts w:ascii="Times New Roman" w:hAnsi="Times New Roman" w:cs="Times New Roman"/>
        </w:rPr>
        <w:t xml:space="preserve"> </w:t>
      </w:r>
      <w:r w:rsidRPr="001236C6">
        <w:rPr>
          <w:rFonts w:ascii="Times New Roman" w:hAnsi="Times New Roman" w:cs="Times New Roman"/>
        </w:rPr>
        <w:t>161-182</w:t>
      </w:r>
      <w:r>
        <w:rPr>
          <w:rFonts w:ascii="Times New Roman" w:hAnsi="Times New Roman" w:cs="Times New Roman"/>
        </w:rPr>
        <w:t>; apart from Betz and Wagner, only one other author has cited this article, according to Google Scholar.</w:t>
      </w:r>
    </w:p>
  </w:footnote>
  <w:footnote w:id="17">
    <w:p w14:paraId="34B7A8CE" w14:textId="43238B2F" w:rsidR="003E69EE" w:rsidRDefault="003E69EE">
      <w:pPr>
        <w:pStyle w:val="FootnoteText"/>
      </w:pPr>
      <w:r>
        <w:rPr>
          <w:rStyle w:val="FootnoteReference"/>
        </w:rPr>
        <w:footnoteRef/>
      </w:r>
      <w:r>
        <w:t xml:space="preserve"> Wagner, ‘Savage Warfare’, p. 219.</w:t>
      </w:r>
    </w:p>
  </w:footnote>
  <w:footnote w:id="18">
    <w:p w14:paraId="48C5A079" w14:textId="2007E43B"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w:t>
      </w:r>
      <w:r>
        <w:rPr>
          <w:rFonts w:ascii="Times New Roman" w:hAnsi="Times New Roman" w:cs="Times New Roman"/>
        </w:rPr>
        <w:t xml:space="preserve">K.A. </w:t>
      </w:r>
      <w:r w:rsidRPr="001236C6">
        <w:rPr>
          <w:rFonts w:ascii="Times New Roman" w:hAnsi="Times New Roman" w:cs="Times New Roman"/>
        </w:rPr>
        <w:t xml:space="preserve">Wagner ‘Seeing </w:t>
      </w:r>
      <w:r>
        <w:rPr>
          <w:rFonts w:ascii="Times New Roman" w:hAnsi="Times New Roman" w:cs="Times New Roman"/>
        </w:rPr>
        <w:t>L</w:t>
      </w:r>
      <w:r w:rsidRPr="001236C6">
        <w:rPr>
          <w:rFonts w:ascii="Times New Roman" w:hAnsi="Times New Roman" w:cs="Times New Roman"/>
        </w:rPr>
        <w:t xml:space="preserve">ike a </w:t>
      </w:r>
      <w:r>
        <w:rPr>
          <w:rFonts w:ascii="Times New Roman" w:hAnsi="Times New Roman" w:cs="Times New Roman"/>
        </w:rPr>
        <w:t>S</w:t>
      </w:r>
      <w:r w:rsidRPr="001236C6">
        <w:rPr>
          <w:rFonts w:ascii="Times New Roman" w:hAnsi="Times New Roman" w:cs="Times New Roman"/>
        </w:rPr>
        <w:t>olider</w:t>
      </w:r>
      <w:r>
        <w:rPr>
          <w:rFonts w:ascii="Times New Roman" w:hAnsi="Times New Roman" w:cs="Times New Roman"/>
        </w:rPr>
        <w:t>: The Amritsar Massacre and the Politics of Military History</w:t>
      </w:r>
      <w:r w:rsidRPr="001236C6">
        <w:rPr>
          <w:rFonts w:ascii="Times New Roman" w:hAnsi="Times New Roman" w:cs="Times New Roman"/>
        </w:rPr>
        <w:t>’,</w:t>
      </w:r>
      <w:r>
        <w:rPr>
          <w:rFonts w:ascii="Times New Roman" w:hAnsi="Times New Roman" w:cs="Times New Roman"/>
        </w:rPr>
        <w:t xml:space="preserve"> in M. Thomas and G. </w:t>
      </w:r>
      <w:proofErr w:type="spellStart"/>
      <w:r>
        <w:rPr>
          <w:rFonts w:ascii="Times New Roman" w:hAnsi="Times New Roman" w:cs="Times New Roman"/>
        </w:rPr>
        <w:t>Curless</w:t>
      </w:r>
      <w:proofErr w:type="spellEnd"/>
      <w:r>
        <w:rPr>
          <w:rFonts w:ascii="Times New Roman" w:hAnsi="Times New Roman" w:cs="Times New Roman"/>
        </w:rPr>
        <w:t xml:space="preserve"> (eds.), </w:t>
      </w:r>
      <w:r>
        <w:rPr>
          <w:rFonts w:ascii="Times New Roman" w:hAnsi="Times New Roman" w:cs="Times New Roman"/>
          <w:i/>
        </w:rPr>
        <w:t>Decolonization and Conflict: Colonial Comparisons and Legacies</w:t>
      </w:r>
      <w:r>
        <w:rPr>
          <w:rFonts w:ascii="Times New Roman" w:hAnsi="Times New Roman" w:cs="Times New Roman"/>
        </w:rPr>
        <w:t xml:space="preserve"> (London: Bloomsbury, 2017), pp. 23-38, quotation at</w:t>
      </w:r>
      <w:r w:rsidRPr="001236C6">
        <w:rPr>
          <w:rFonts w:ascii="Times New Roman" w:hAnsi="Times New Roman" w:cs="Times New Roman"/>
        </w:rPr>
        <w:t xml:space="preserve"> pp</w:t>
      </w:r>
      <w:r>
        <w:rPr>
          <w:rFonts w:ascii="Times New Roman" w:hAnsi="Times New Roman" w:cs="Times New Roman"/>
        </w:rPr>
        <w:t>.</w:t>
      </w:r>
      <w:r w:rsidRPr="001236C6">
        <w:rPr>
          <w:rFonts w:ascii="Times New Roman" w:hAnsi="Times New Roman" w:cs="Times New Roman"/>
        </w:rPr>
        <w:t xml:space="preserve"> 3-4</w:t>
      </w:r>
      <w:r>
        <w:rPr>
          <w:rFonts w:ascii="Times New Roman" w:hAnsi="Times New Roman" w:cs="Times New Roman"/>
        </w:rPr>
        <w:t>.</w:t>
      </w:r>
    </w:p>
  </w:footnote>
  <w:footnote w:id="19">
    <w:p w14:paraId="6EE1E4F0" w14:textId="3EFB5E60"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w:t>
      </w:r>
      <w:r>
        <w:rPr>
          <w:rFonts w:ascii="Times New Roman" w:hAnsi="Times New Roman" w:cs="Times New Roman"/>
        </w:rPr>
        <w:t xml:space="preserve">P. </w:t>
      </w:r>
      <w:proofErr w:type="spellStart"/>
      <w:r w:rsidRPr="001236C6">
        <w:rPr>
          <w:rFonts w:ascii="Times New Roman" w:hAnsi="Times New Roman" w:cs="Times New Roman"/>
        </w:rPr>
        <w:t>Paret</w:t>
      </w:r>
      <w:proofErr w:type="spellEnd"/>
      <w:r w:rsidRPr="001236C6">
        <w:rPr>
          <w:rFonts w:ascii="Times New Roman" w:hAnsi="Times New Roman" w:cs="Times New Roman"/>
        </w:rPr>
        <w:t xml:space="preserve">, </w:t>
      </w:r>
      <w:r w:rsidRPr="001236C6">
        <w:rPr>
          <w:rFonts w:ascii="Times New Roman" w:hAnsi="Times New Roman" w:cs="Times New Roman"/>
          <w:i/>
        </w:rPr>
        <w:t>Understanding War</w:t>
      </w:r>
      <w:r>
        <w:rPr>
          <w:rFonts w:ascii="Times New Roman" w:hAnsi="Times New Roman" w:cs="Times New Roman"/>
          <w:i/>
        </w:rPr>
        <w:t>: Essays on Clausewitz and the History of Military Power</w:t>
      </w:r>
      <w:r w:rsidRPr="001236C6">
        <w:rPr>
          <w:rFonts w:ascii="Times New Roman" w:hAnsi="Times New Roman" w:cs="Times New Roman"/>
        </w:rPr>
        <w:t xml:space="preserve"> (</w:t>
      </w:r>
      <w:r>
        <w:rPr>
          <w:rFonts w:ascii="Times New Roman" w:hAnsi="Times New Roman" w:cs="Times New Roman"/>
        </w:rPr>
        <w:t xml:space="preserve">Princeton, N.J.: Princeton University Press, </w:t>
      </w:r>
      <w:r w:rsidRPr="001236C6">
        <w:rPr>
          <w:rFonts w:ascii="Times New Roman" w:hAnsi="Times New Roman" w:cs="Times New Roman"/>
        </w:rPr>
        <w:t>1992), p. 222</w:t>
      </w:r>
      <w:r>
        <w:rPr>
          <w:rFonts w:ascii="Times New Roman" w:hAnsi="Times New Roman" w:cs="Times New Roman"/>
        </w:rPr>
        <w:t>.</w:t>
      </w:r>
    </w:p>
  </w:footnote>
  <w:footnote w:id="20">
    <w:p w14:paraId="358F4BC3" w14:textId="463603A1" w:rsidR="003E69EE" w:rsidRPr="00C6703D" w:rsidRDefault="003E69EE" w:rsidP="00C6703D">
      <w:pPr>
        <w:pStyle w:val="FootnoteText"/>
        <w:jc w:val="both"/>
        <w:rPr>
          <w:rFonts w:ascii="Times New Roman" w:hAnsi="Times New Roman" w:cs="Times New Roman"/>
        </w:rPr>
      </w:pPr>
      <w:r w:rsidRPr="00C6703D">
        <w:rPr>
          <w:rStyle w:val="FootnoteReference"/>
          <w:rFonts w:ascii="Times New Roman" w:hAnsi="Times New Roman" w:cs="Times New Roman"/>
        </w:rPr>
        <w:footnoteRef/>
      </w:r>
      <w:r w:rsidRPr="00C6703D">
        <w:rPr>
          <w:rFonts w:ascii="Times New Roman" w:hAnsi="Times New Roman" w:cs="Times New Roman"/>
        </w:rPr>
        <w:t xml:space="preserve"> T. </w:t>
      </w:r>
      <w:proofErr w:type="spellStart"/>
      <w:r w:rsidRPr="00C6703D">
        <w:rPr>
          <w:rFonts w:ascii="Times New Roman" w:hAnsi="Times New Roman" w:cs="Times New Roman"/>
        </w:rPr>
        <w:t>Barkawi</w:t>
      </w:r>
      <w:proofErr w:type="spellEnd"/>
      <w:r w:rsidRPr="00C6703D">
        <w:rPr>
          <w:rFonts w:ascii="Times New Roman" w:hAnsi="Times New Roman" w:cs="Times New Roman"/>
        </w:rPr>
        <w:t xml:space="preserve">, ‘Decolonising War’, </w:t>
      </w:r>
      <w:r w:rsidRPr="00C6703D">
        <w:rPr>
          <w:rFonts w:ascii="Times New Roman" w:hAnsi="Times New Roman" w:cs="Times New Roman"/>
          <w:i/>
        </w:rPr>
        <w:t>European Journal of International Security</w:t>
      </w:r>
      <w:r w:rsidRPr="00C6703D">
        <w:rPr>
          <w:rFonts w:ascii="Times New Roman" w:hAnsi="Times New Roman" w:cs="Times New Roman"/>
        </w:rPr>
        <w:t>, Vol. 1, No. 2, 2016, pp. 199-214.</w:t>
      </w:r>
    </w:p>
  </w:footnote>
  <w:footnote w:id="21">
    <w:p w14:paraId="08EDB10D" w14:textId="77777777" w:rsidR="003E69EE" w:rsidRPr="00544D7C" w:rsidRDefault="003E69EE" w:rsidP="009A66B2">
      <w:pPr>
        <w:pStyle w:val="FootnoteText"/>
      </w:pPr>
      <w:r>
        <w:rPr>
          <w:rStyle w:val="FootnoteReference"/>
        </w:rPr>
        <w:footnoteRef/>
      </w:r>
      <w:r>
        <w:t xml:space="preserve"> Wagner, ‘Savage Warfare’, p.4.</w:t>
      </w:r>
    </w:p>
  </w:footnote>
  <w:footnote w:id="22">
    <w:p w14:paraId="6937C286" w14:textId="317959D4" w:rsidR="003E69EE" w:rsidRPr="000B3580" w:rsidRDefault="003E69EE" w:rsidP="009A66B2">
      <w:pPr>
        <w:pStyle w:val="FootnoteText"/>
      </w:pPr>
      <w:r>
        <w:rPr>
          <w:rStyle w:val="FootnoteReference"/>
        </w:rPr>
        <w:footnoteRef/>
      </w:r>
      <w:r>
        <w:t xml:space="preserve"> See, for instance, </w:t>
      </w:r>
      <w:r w:rsidRPr="00883191">
        <w:rPr>
          <w:rFonts w:ascii="Times New Roman" w:hAnsi="Times New Roman" w:cs="Times New Roman"/>
        </w:rPr>
        <w:t xml:space="preserve">K. Wagner, review of C. </w:t>
      </w:r>
      <w:proofErr w:type="spellStart"/>
      <w:r w:rsidRPr="00883191">
        <w:rPr>
          <w:rFonts w:ascii="Times New Roman" w:hAnsi="Times New Roman" w:cs="Times New Roman"/>
        </w:rPr>
        <w:t>Tripodi</w:t>
      </w:r>
      <w:proofErr w:type="spellEnd"/>
      <w:r w:rsidRPr="00883191">
        <w:rPr>
          <w:rFonts w:ascii="Times New Roman" w:hAnsi="Times New Roman" w:cs="Times New Roman"/>
        </w:rPr>
        <w:t xml:space="preserve">, </w:t>
      </w:r>
      <w:r w:rsidRPr="00883191">
        <w:rPr>
          <w:rFonts w:ascii="Times New Roman" w:hAnsi="Times New Roman" w:cs="Times New Roman"/>
          <w:i/>
        </w:rPr>
        <w:t>Edge of Empire: The British Political Officer and Tribal Administrator on the North-West Frontier, 1877-1947</w:t>
      </w:r>
      <w:r w:rsidRPr="00883191">
        <w:rPr>
          <w:rFonts w:ascii="Times New Roman" w:hAnsi="Times New Roman" w:cs="Times New Roman"/>
        </w:rPr>
        <w:t xml:space="preserve">, </w:t>
      </w:r>
      <w:r w:rsidRPr="00883191">
        <w:rPr>
          <w:rFonts w:ascii="Times New Roman" w:hAnsi="Times New Roman" w:cs="Times New Roman"/>
          <w:i/>
        </w:rPr>
        <w:t>Twentieth Century British History</w:t>
      </w:r>
      <w:r w:rsidRPr="00883191">
        <w:rPr>
          <w:rFonts w:ascii="Times New Roman" w:hAnsi="Times New Roman" w:cs="Times New Roman"/>
        </w:rPr>
        <w:t>, Vol. 24, No. 1, 2013, p. 147</w:t>
      </w:r>
      <w:r w:rsidR="000F13F6">
        <w:rPr>
          <w:rFonts w:ascii="Times New Roman" w:hAnsi="Times New Roman" w:cs="Times New Roman"/>
        </w:rPr>
        <w:t xml:space="preserve">. </w:t>
      </w:r>
    </w:p>
  </w:footnote>
  <w:footnote w:id="23">
    <w:p w14:paraId="19E387AE" w14:textId="77777777" w:rsidR="003E69EE" w:rsidRPr="0085550D" w:rsidRDefault="003E69EE" w:rsidP="006E1F5E">
      <w:pPr>
        <w:pStyle w:val="FootnoteText"/>
        <w:jc w:val="both"/>
        <w:rPr>
          <w:rFonts w:ascii="Times New Roman" w:hAnsi="Times New Roman" w:cs="Times New Roman"/>
        </w:rPr>
      </w:pPr>
      <w:r w:rsidRPr="0085550D">
        <w:rPr>
          <w:rStyle w:val="FootnoteReference"/>
          <w:rFonts w:ascii="Times New Roman" w:hAnsi="Times New Roman" w:cs="Times New Roman"/>
        </w:rPr>
        <w:footnoteRef/>
      </w:r>
      <w:r w:rsidRPr="0085550D">
        <w:rPr>
          <w:rFonts w:ascii="Times New Roman" w:hAnsi="Times New Roman" w:cs="Times New Roman"/>
        </w:rPr>
        <w:t xml:space="preserve"> J. Johnson-Freese, </w:t>
      </w:r>
      <w:r w:rsidRPr="0085550D">
        <w:rPr>
          <w:rFonts w:ascii="Times New Roman" w:hAnsi="Times New Roman" w:cs="Times New Roman"/>
          <w:i/>
        </w:rPr>
        <w:t>Educating America’s Military</w:t>
      </w:r>
      <w:r>
        <w:rPr>
          <w:rFonts w:ascii="Times New Roman" w:hAnsi="Times New Roman" w:cs="Times New Roman"/>
        </w:rPr>
        <w:t xml:space="preserve"> (</w:t>
      </w:r>
      <w:r w:rsidRPr="0085550D">
        <w:rPr>
          <w:rFonts w:ascii="Times New Roman" w:hAnsi="Times New Roman" w:cs="Times New Roman"/>
        </w:rPr>
        <w:t>Abingdon: Routledge, 2012</w:t>
      </w:r>
      <w:r>
        <w:rPr>
          <w:rFonts w:ascii="Times New Roman" w:hAnsi="Times New Roman" w:cs="Times New Roman"/>
        </w:rPr>
        <w:t>)</w:t>
      </w:r>
      <w:r w:rsidRPr="0085550D">
        <w:rPr>
          <w:rFonts w:ascii="Times New Roman" w:hAnsi="Times New Roman" w:cs="Times New Roman"/>
        </w:rPr>
        <w:t xml:space="preserve">; C. </w:t>
      </w:r>
      <w:proofErr w:type="spellStart"/>
      <w:r w:rsidRPr="0085550D">
        <w:rPr>
          <w:rFonts w:ascii="Times New Roman" w:hAnsi="Times New Roman" w:cs="Times New Roman"/>
        </w:rPr>
        <w:t>Tripodi</w:t>
      </w:r>
      <w:proofErr w:type="spellEnd"/>
      <w:r w:rsidRPr="0085550D">
        <w:rPr>
          <w:rFonts w:ascii="Times New Roman" w:hAnsi="Times New Roman" w:cs="Times New Roman"/>
        </w:rPr>
        <w:t xml:space="preserve">, ‘The British Army, </w:t>
      </w:r>
      <w:r>
        <w:rPr>
          <w:rFonts w:ascii="Times New Roman" w:hAnsi="Times New Roman" w:cs="Times New Roman"/>
        </w:rPr>
        <w:t>“</w:t>
      </w:r>
      <w:r w:rsidRPr="0085550D">
        <w:rPr>
          <w:rFonts w:ascii="Times New Roman" w:hAnsi="Times New Roman" w:cs="Times New Roman"/>
        </w:rPr>
        <w:t>Understanding</w:t>
      </w:r>
      <w:r>
        <w:rPr>
          <w:rFonts w:ascii="Times New Roman" w:hAnsi="Times New Roman" w:cs="Times New Roman"/>
        </w:rPr>
        <w:t>”</w:t>
      </w:r>
      <w:r w:rsidRPr="0085550D">
        <w:rPr>
          <w:rFonts w:ascii="Times New Roman" w:hAnsi="Times New Roman" w:cs="Times New Roman"/>
        </w:rPr>
        <w:t xml:space="preserve">, and the Illusion of Control’, </w:t>
      </w:r>
      <w:r w:rsidRPr="0085550D">
        <w:rPr>
          <w:rFonts w:ascii="Times New Roman" w:hAnsi="Times New Roman" w:cs="Times New Roman"/>
          <w:i/>
        </w:rPr>
        <w:t>Journal of Strategic Studies</w:t>
      </w:r>
      <w:r w:rsidRPr="0085550D">
        <w:rPr>
          <w:rFonts w:ascii="Times New Roman" w:hAnsi="Times New Roman" w:cs="Times New Roman"/>
        </w:rPr>
        <w:t>,</w:t>
      </w:r>
      <w:r>
        <w:rPr>
          <w:rFonts w:ascii="Times New Roman" w:hAnsi="Times New Roman" w:cs="Times New Roman"/>
        </w:rPr>
        <w:t xml:space="preserve"> 41/5</w:t>
      </w:r>
      <w:r w:rsidRPr="0085550D">
        <w:rPr>
          <w:rFonts w:ascii="Times New Roman" w:hAnsi="Times New Roman" w:cs="Times New Roman"/>
        </w:rPr>
        <w:t xml:space="preserve"> </w:t>
      </w:r>
      <w:r>
        <w:rPr>
          <w:rFonts w:ascii="Times New Roman" w:hAnsi="Times New Roman" w:cs="Times New Roman"/>
        </w:rPr>
        <w:t>(</w:t>
      </w:r>
      <w:r w:rsidRPr="0085550D">
        <w:rPr>
          <w:rFonts w:ascii="Times New Roman" w:hAnsi="Times New Roman" w:cs="Times New Roman"/>
        </w:rPr>
        <w:t>201</w:t>
      </w:r>
      <w:r>
        <w:rPr>
          <w:rFonts w:ascii="Times New Roman" w:hAnsi="Times New Roman" w:cs="Times New Roman"/>
        </w:rPr>
        <w:t>8), pp. 632-658</w:t>
      </w:r>
      <w:r w:rsidRPr="0085550D">
        <w:rPr>
          <w:rFonts w:ascii="Times New Roman" w:hAnsi="Times New Roman" w:cs="Times New Roman"/>
        </w:rPr>
        <w:t>.</w:t>
      </w:r>
    </w:p>
  </w:footnote>
  <w:footnote w:id="24">
    <w:p w14:paraId="517CA14A" w14:textId="6DD6BC83" w:rsidR="003E69EE" w:rsidRPr="001236C6" w:rsidRDefault="003E69EE" w:rsidP="00C6703D">
      <w:pPr>
        <w:jc w:val="both"/>
        <w:rPr>
          <w:rFonts w:cs="Times New Roman"/>
          <w:sz w:val="20"/>
          <w:szCs w:val="20"/>
        </w:rPr>
      </w:pPr>
      <w:r w:rsidRPr="001236C6">
        <w:rPr>
          <w:rStyle w:val="FootnoteReference"/>
          <w:rFonts w:cs="Times New Roman"/>
          <w:sz w:val="20"/>
          <w:szCs w:val="20"/>
        </w:rPr>
        <w:footnoteRef/>
      </w:r>
      <w:r w:rsidRPr="001236C6">
        <w:rPr>
          <w:rFonts w:cs="Times New Roman"/>
          <w:sz w:val="20"/>
          <w:szCs w:val="20"/>
        </w:rPr>
        <w:t xml:space="preserve"> Lynn, ‘Breaching the Walls of Academe’, p. 23</w:t>
      </w:r>
    </w:p>
  </w:footnote>
  <w:footnote w:id="25">
    <w:p w14:paraId="3544851A" w14:textId="17F6B207"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See, for instance</w:t>
      </w:r>
      <w:r>
        <w:rPr>
          <w:rFonts w:ascii="Times New Roman" w:hAnsi="Times New Roman" w:cs="Times New Roman"/>
        </w:rPr>
        <w:t>:</w:t>
      </w:r>
      <w:r w:rsidRPr="001236C6">
        <w:rPr>
          <w:rFonts w:ascii="Times New Roman" w:hAnsi="Times New Roman" w:cs="Times New Roman"/>
        </w:rPr>
        <w:t xml:space="preserve"> W. Murray and R. Hart </w:t>
      </w:r>
      <w:proofErr w:type="spellStart"/>
      <w:r w:rsidRPr="001236C6">
        <w:rPr>
          <w:rFonts w:ascii="Times New Roman" w:hAnsi="Times New Roman" w:cs="Times New Roman"/>
        </w:rPr>
        <w:t>Sinnreich</w:t>
      </w:r>
      <w:proofErr w:type="spellEnd"/>
      <w:r w:rsidRPr="001236C6">
        <w:rPr>
          <w:rFonts w:ascii="Times New Roman" w:hAnsi="Times New Roman" w:cs="Times New Roman"/>
        </w:rPr>
        <w:t xml:space="preserve"> </w:t>
      </w:r>
      <w:r>
        <w:rPr>
          <w:rFonts w:ascii="Times New Roman" w:hAnsi="Times New Roman" w:cs="Times New Roman"/>
        </w:rPr>
        <w:t>(</w:t>
      </w:r>
      <w:r w:rsidRPr="001236C6">
        <w:rPr>
          <w:rFonts w:ascii="Times New Roman" w:hAnsi="Times New Roman" w:cs="Times New Roman"/>
        </w:rPr>
        <w:t>eds.</w:t>
      </w:r>
      <w:r>
        <w:rPr>
          <w:rFonts w:ascii="Times New Roman" w:hAnsi="Times New Roman" w:cs="Times New Roman"/>
        </w:rPr>
        <w:t>)</w:t>
      </w:r>
      <w:r w:rsidRPr="001236C6">
        <w:rPr>
          <w:rFonts w:ascii="Times New Roman" w:hAnsi="Times New Roman" w:cs="Times New Roman"/>
        </w:rPr>
        <w:t xml:space="preserve">, </w:t>
      </w:r>
      <w:r w:rsidRPr="001236C6">
        <w:rPr>
          <w:rFonts w:ascii="Times New Roman" w:hAnsi="Times New Roman" w:cs="Times New Roman"/>
          <w:i/>
        </w:rPr>
        <w:t>The Past as Prologue: The Importance of History to the Military Profession</w:t>
      </w:r>
      <w:r>
        <w:rPr>
          <w:rFonts w:ascii="Times New Roman" w:hAnsi="Times New Roman" w:cs="Times New Roman"/>
        </w:rPr>
        <w:t xml:space="preserve"> (</w:t>
      </w:r>
      <w:r w:rsidRPr="001236C6">
        <w:rPr>
          <w:rFonts w:ascii="Times New Roman" w:hAnsi="Times New Roman" w:cs="Times New Roman"/>
        </w:rPr>
        <w:t>Cambridge: C</w:t>
      </w:r>
      <w:r>
        <w:rPr>
          <w:rFonts w:ascii="Times New Roman" w:hAnsi="Times New Roman" w:cs="Times New Roman"/>
        </w:rPr>
        <w:t xml:space="preserve">ambridge </w:t>
      </w:r>
      <w:r w:rsidRPr="001236C6">
        <w:rPr>
          <w:rFonts w:ascii="Times New Roman" w:hAnsi="Times New Roman" w:cs="Times New Roman"/>
        </w:rPr>
        <w:t>U</w:t>
      </w:r>
      <w:r>
        <w:rPr>
          <w:rFonts w:ascii="Times New Roman" w:hAnsi="Times New Roman" w:cs="Times New Roman"/>
        </w:rPr>
        <w:t xml:space="preserve">niversity </w:t>
      </w:r>
      <w:r w:rsidRPr="001236C6">
        <w:rPr>
          <w:rFonts w:ascii="Times New Roman" w:hAnsi="Times New Roman" w:cs="Times New Roman"/>
        </w:rPr>
        <w:t>P</w:t>
      </w:r>
      <w:r>
        <w:rPr>
          <w:rFonts w:ascii="Times New Roman" w:hAnsi="Times New Roman" w:cs="Times New Roman"/>
        </w:rPr>
        <w:t>ress</w:t>
      </w:r>
      <w:r w:rsidRPr="001236C6">
        <w:rPr>
          <w:rFonts w:ascii="Times New Roman" w:hAnsi="Times New Roman" w:cs="Times New Roman"/>
        </w:rPr>
        <w:t>, 2006</w:t>
      </w:r>
      <w:r>
        <w:rPr>
          <w:rFonts w:ascii="Times New Roman" w:hAnsi="Times New Roman" w:cs="Times New Roman"/>
        </w:rPr>
        <w:t>).</w:t>
      </w:r>
    </w:p>
  </w:footnote>
  <w:footnote w:id="26">
    <w:p w14:paraId="0F20223B" w14:textId="6E1866B8" w:rsidR="003E69EE" w:rsidRPr="001236C6" w:rsidRDefault="003E69EE" w:rsidP="00C6703D">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A. Walsham, ‘Introduction: Past and…Presentism’, </w:t>
      </w:r>
      <w:r w:rsidRPr="001236C6">
        <w:rPr>
          <w:rFonts w:ascii="Times New Roman" w:hAnsi="Times New Roman" w:cs="Times New Roman"/>
          <w:i/>
        </w:rPr>
        <w:t>Past &amp; Present</w:t>
      </w:r>
      <w:r w:rsidRPr="001236C6">
        <w:rPr>
          <w:rFonts w:ascii="Times New Roman" w:hAnsi="Times New Roman" w:cs="Times New Roman"/>
        </w:rPr>
        <w:t xml:space="preserve">, 234 </w:t>
      </w:r>
      <w:r>
        <w:rPr>
          <w:rFonts w:ascii="Times New Roman" w:hAnsi="Times New Roman" w:cs="Times New Roman"/>
        </w:rPr>
        <w:t>(</w:t>
      </w:r>
      <w:r w:rsidRPr="001236C6">
        <w:rPr>
          <w:rFonts w:ascii="Times New Roman" w:hAnsi="Times New Roman" w:cs="Times New Roman"/>
        </w:rPr>
        <w:t>2017</w:t>
      </w:r>
      <w:r>
        <w:rPr>
          <w:rFonts w:ascii="Times New Roman" w:hAnsi="Times New Roman" w:cs="Times New Roman"/>
        </w:rPr>
        <w:t>)</w:t>
      </w:r>
      <w:r w:rsidRPr="001236C6">
        <w:rPr>
          <w:rFonts w:ascii="Times New Roman" w:hAnsi="Times New Roman" w:cs="Times New Roman"/>
        </w:rPr>
        <w:t>, p. 214</w:t>
      </w:r>
      <w:r>
        <w:rPr>
          <w:rFonts w:ascii="Times New Roman" w:hAnsi="Times New Roman" w:cs="Times New Roman"/>
        </w:rPr>
        <w:t xml:space="preserve">; </w:t>
      </w:r>
      <w:r w:rsidRPr="00C6703D">
        <w:rPr>
          <w:rFonts w:ascii="Times New Roman" w:hAnsi="Times New Roman" w:cs="Times New Roman"/>
        </w:rPr>
        <w:t xml:space="preserve">Wagner, ‘Seeing </w:t>
      </w:r>
      <w:r>
        <w:rPr>
          <w:rFonts w:ascii="Times New Roman" w:hAnsi="Times New Roman" w:cs="Times New Roman"/>
        </w:rPr>
        <w:t>L</w:t>
      </w:r>
      <w:r w:rsidRPr="00C6703D">
        <w:rPr>
          <w:rFonts w:ascii="Times New Roman" w:hAnsi="Times New Roman" w:cs="Times New Roman"/>
        </w:rPr>
        <w:t xml:space="preserve">ike a </w:t>
      </w:r>
      <w:r>
        <w:rPr>
          <w:rFonts w:ascii="Times New Roman" w:hAnsi="Times New Roman" w:cs="Times New Roman"/>
        </w:rPr>
        <w:t>S</w:t>
      </w:r>
      <w:r w:rsidRPr="00C6703D">
        <w:rPr>
          <w:rFonts w:ascii="Times New Roman" w:hAnsi="Times New Roman" w:cs="Times New Roman"/>
        </w:rPr>
        <w:t>olider’, p. 12.</w:t>
      </w:r>
    </w:p>
  </w:footnote>
  <w:footnote w:id="27">
    <w:p w14:paraId="64FC37BF" w14:textId="77777777" w:rsidR="003E69EE" w:rsidRPr="001236C6" w:rsidRDefault="003E69EE" w:rsidP="00277600">
      <w:pPr>
        <w:pStyle w:val="FootnoteText"/>
        <w:jc w:val="both"/>
        <w:rPr>
          <w:rFonts w:ascii="Times New Roman" w:hAnsi="Times New Roman" w:cs="Times New Roman"/>
        </w:rPr>
      </w:pPr>
      <w:r w:rsidRPr="001236C6">
        <w:rPr>
          <w:rStyle w:val="FootnoteReference"/>
          <w:rFonts w:ascii="Times New Roman" w:hAnsi="Times New Roman" w:cs="Times New Roman"/>
        </w:rPr>
        <w:footnoteRef/>
      </w:r>
      <w:r w:rsidRPr="001236C6">
        <w:rPr>
          <w:rFonts w:ascii="Times New Roman" w:hAnsi="Times New Roman" w:cs="Times New Roman"/>
        </w:rPr>
        <w:t xml:space="preserve"> Wagner, ‘Seeing </w:t>
      </w:r>
      <w:r>
        <w:rPr>
          <w:rFonts w:ascii="Times New Roman" w:hAnsi="Times New Roman" w:cs="Times New Roman"/>
        </w:rPr>
        <w:t>L</w:t>
      </w:r>
      <w:r w:rsidRPr="001236C6">
        <w:rPr>
          <w:rFonts w:ascii="Times New Roman" w:hAnsi="Times New Roman" w:cs="Times New Roman"/>
        </w:rPr>
        <w:t xml:space="preserve">ike a </w:t>
      </w:r>
      <w:r>
        <w:rPr>
          <w:rFonts w:ascii="Times New Roman" w:hAnsi="Times New Roman" w:cs="Times New Roman"/>
        </w:rPr>
        <w:t>S</w:t>
      </w:r>
      <w:r w:rsidRPr="001236C6">
        <w:rPr>
          <w:rFonts w:ascii="Times New Roman" w:hAnsi="Times New Roman" w:cs="Times New Roman"/>
        </w:rPr>
        <w:t>oldier’, 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BBE3" w14:textId="77777777" w:rsidR="003E69EE" w:rsidRDefault="003E69EE" w:rsidP="00DB578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C9A78B" w14:textId="77777777" w:rsidR="003E69EE" w:rsidRDefault="003E69EE" w:rsidP="00DB578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DC38" w14:textId="513D5DF7" w:rsidR="003E69EE" w:rsidRPr="000474A1" w:rsidRDefault="003E69EE" w:rsidP="00DB5781">
    <w:pPr>
      <w:pStyle w:val="Header"/>
      <w:framePr w:wrap="none" w:vAnchor="text" w:hAnchor="margin" w:xAlign="right" w:y="1"/>
      <w:rPr>
        <w:rStyle w:val="PageNumber"/>
        <w:sz w:val="20"/>
      </w:rPr>
    </w:pPr>
    <w:r w:rsidRPr="000474A1">
      <w:rPr>
        <w:rStyle w:val="PageNumber"/>
        <w:sz w:val="20"/>
      </w:rPr>
      <w:fldChar w:fldCharType="begin"/>
    </w:r>
    <w:r w:rsidRPr="000474A1">
      <w:rPr>
        <w:rStyle w:val="PageNumber"/>
        <w:sz w:val="20"/>
      </w:rPr>
      <w:instrText xml:space="preserve">PAGE  </w:instrText>
    </w:r>
    <w:r w:rsidRPr="000474A1">
      <w:rPr>
        <w:rStyle w:val="PageNumber"/>
        <w:sz w:val="20"/>
      </w:rPr>
      <w:fldChar w:fldCharType="separate"/>
    </w:r>
    <w:r w:rsidR="009B2FE0">
      <w:rPr>
        <w:rStyle w:val="PageNumber"/>
        <w:noProof/>
        <w:sz w:val="20"/>
      </w:rPr>
      <w:t>2</w:t>
    </w:r>
    <w:r w:rsidRPr="000474A1">
      <w:rPr>
        <w:rStyle w:val="PageNumber"/>
        <w:sz w:val="20"/>
      </w:rPr>
      <w:fldChar w:fldCharType="end"/>
    </w:r>
  </w:p>
  <w:p w14:paraId="448F47EE" w14:textId="77777777" w:rsidR="003E69EE" w:rsidRDefault="003E69EE" w:rsidP="00DB578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A7"/>
    <w:rsid w:val="0000255B"/>
    <w:rsid w:val="0001483C"/>
    <w:rsid w:val="0001748A"/>
    <w:rsid w:val="00032A48"/>
    <w:rsid w:val="00035C55"/>
    <w:rsid w:val="00041DBB"/>
    <w:rsid w:val="0004390F"/>
    <w:rsid w:val="000474A1"/>
    <w:rsid w:val="00051393"/>
    <w:rsid w:val="00056848"/>
    <w:rsid w:val="00057303"/>
    <w:rsid w:val="00074109"/>
    <w:rsid w:val="00077121"/>
    <w:rsid w:val="000A5063"/>
    <w:rsid w:val="000B2EFB"/>
    <w:rsid w:val="000B3580"/>
    <w:rsid w:val="000B742D"/>
    <w:rsid w:val="000D1FF2"/>
    <w:rsid w:val="000D390B"/>
    <w:rsid w:val="000F13F6"/>
    <w:rsid w:val="000F4A5A"/>
    <w:rsid w:val="001236C6"/>
    <w:rsid w:val="00124134"/>
    <w:rsid w:val="0013269C"/>
    <w:rsid w:val="001402C6"/>
    <w:rsid w:val="00140D3D"/>
    <w:rsid w:val="00154A29"/>
    <w:rsid w:val="001603A8"/>
    <w:rsid w:val="00163749"/>
    <w:rsid w:val="00172E97"/>
    <w:rsid w:val="00177280"/>
    <w:rsid w:val="001948A0"/>
    <w:rsid w:val="001D367E"/>
    <w:rsid w:val="001D392F"/>
    <w:rsid w:val="001D39BE"/>
    <w:rsid w:val="001D52D2"/>
    <w:rsid w:val="001E2D80"/>
    <w:rsid w:val="001E66C2"/>
    <w:rsid w:val="001F363B"/>
    <w:rsid w:val="001F43A6"/>
    <w:rsid w:val="001F4C97"/>
    <w:rsid w:val="001F624A"/>
    <w:rsid w:val="00201EF5"/>
    <w:rsid w:val="00206F01"/>
    <w:rsid w:val="00217016"/>
    <w:rsid w:val="00220AC1"/>
    <w:rsid w:val="00226ADF"/>
    <w:rsid w:val="0022796A"/>
    <w:rsid w:val="002528FA"/>
    <w:rsid w:val="002603C3"/>
    <w:rsid w:val="00263C39"/>
    <w:rsid w:val="00277600"/>
    <w:rsid w:val="002847AC"/>
    <w:rsid w:val="00297185"/>
    <w:rsid w:val="002A4F9E"/>
    <w:rsid w:val="002B141F"/>
    <w:rsid w:val="002B42CF"/>
    <w:rsid w:val="002D2F58"/>
    <w:rsid w:val="002D415D"/>
    <w:rsid w:val="002D4829"/>
    <w:rsid w:val="002D6B0C"/>
    <w:rsid w:val="002D7F0B"/>
    <w:rsid w:val="002E2CF2"/>
    <w:rsid w:val="002F1921"/>
    <w:rsid w:val="003259BC"/>
    <w:rsid w:val="003354D6"/>
    <w:rsid w:val="00335D9D"/>
    <w:rsid w:val="00354A38"/>
    <w:rsid w:val="00363204"/>
    <w:rsid w:val="003652DF"/>
    <w:rsid w:val="00373A9D"/>
    <w:rsid w:val="00383271"/>
    <w:rsid w:val="00384285"/>
    <w:rsid w:val="003A1147"/>
    <w:rsid w:val="003A1C55"/>
    <w:rsid w:val="003B0B29"/>
    <w:rsid w:val="003C07B9"/>
    <w:rsid w:val="003C08B1"/>
    <w:rsid w:val="003C4BA4"/>
    <w:rsid w:val="003D040A"/>
    <w:rsid w:val="003D4DD3"/>
    <w:rsid w:val="003D6594"/>
    <w:rsid w:val="003E69EE"/>
    <w:rsid w:val="003E71B8"/>
    <w:rsid w:val="003F249D"/>
    <w:rsid w:val="003F2B34"/>
    <w:rsid w:val="003F7FD1"/>
    <w:rsid w:val="00406BCD"/>
    <w:rsid w:val="00416923"/>
    <w:rsid w:val="004212C2"/>
    <w:rsid w:val="004331F6"/>
    <w:rsid w:val="0044044F"/>
    <w:rsid w:val="00443AAD"/>
    <w:rsid w:val="004440A0"/>
    <w:rsid w:val="004633D1"/>
    <w:rsid w:val="00481019"/>
    <w:rsid w:val="00481B3A"/>
    <w:rsid w:val="00481D53"/>
    <w:rsid w:val="00484159"/>
    <w:rsid w:val="00495DD1"/>
    <w:rsid w:val="00496707"/>
    <w:rsid w:val="004A0D68"/>
    <w:rsid w:val="004A2072"/>
    <w:rsid w:val="004B4348"/>
    <w:rsid w:val="004B5E5E"/>
    <w:rsid w:val="004B601B"/>
    <w:rsid w:val="004C03B9"/>
    <w:rsid w:val="004C7959"/>
    <w:rsid w:val="004C7E06"/>
    <w:rsid w:val="004D17A1"/>
    <w:rsid w:val="004D7874"/>
    <w:rsid w:val="004E0D03"/>
    <w:rsid w:val="004E1EB3"/>
    <w:rsid w:val="004E4805"/>
    <w:rsid w:val="004F121F"/>
    <w:rsid w:val="004F2048"/>
    <w:rsid w:val="005127E1"/>
    <w:rsid w:val="00517270"/>
    <w:rsid w:val="005208C8"/>
    <w:rsid w:val="00520DC4"/>
    <w:rsid w:val="00522BE2"/>
    <w:rsid w:val="00534F4C"/>
    <w:rsid w:val="0053612C"/>
    <w:rsid w:val="00546959"/>
    <w:rsid w:val="00550A39"/>
    <w:rsid w:val="00573AA2"/>
    <w:rsid w:val="00583707"/>
    <w:rsid w:val="00593A28"/>
    <w:rsid w:val="00594C5B"/>
    <w:rsid w:val="00595CF7"/>
    <w:rsid w:val="005A737A"/>
    <w:rsid w:val="005A7FA4"/>
    <w:rsid w:val="005B6829"/>
    <w:rsid w:val="005B6C19"/>
    <w:rsid w:val="005C1393"/>
    <w:rsid w:val="005D25CD"/>
    <w:rsid w:val="005D3DBF"/>
    <w:rsid w:val="005E104D"/>
    <w:rsid w:val="0060045E"/>
    <w:rsid w:val="00606127"/>
    <w:rsid w:val="006067F7"/>
    <w:rsid w:val="0061631A"/>
    <w:rsid w:val="00627F88"/>
    <w:rsid w:val="0065234B"/>
    <w:rsid w:val="006551BB"/>
    <w:rsid w:val="0066460F"/>
    <w:rsid w:val="006738B7"/>
    <w:rsid w:val="00675CC2"/>
    <w:rsid w:val="006801BA"/>
    <w:rsid w:val="00683DD2"/>
    <w:rsid w:val="00690D44"/>
    <w:rsid w:val="00693002"/>
    <w:rsid w:val="006954E9"/>
    <w:rsid w:val="006A3739"/>
    <w:rsid w:val="006A471C"/>
    <w:rsid w:val="006B4D34"/>
    <w:rsid w:val="006B7648"/>
    <w:rsid w:val="006C1EC2"/>
    <w:rsid w:val="006D1420"/>
    <w:rsid w:val="006E1035"/>
    <w:rsid w:val="006E1F5E"/>
    <w:rsid w:val="006E2642"/>
    <w:rsid w:val="006E78E7"/>
    <w:rsid w:val="00712B73"/>
    <w:rsid w:val="0071751C"/>
    <w:rsid w:val="00743904"/>
    <w:rsid w:val="0075399F"/>
    <w:rsid w:val="00761648"/>
    <w:rsid w:val="00761EBB"/>
    <w:rsid w:val="00773475"/>
    <w:rsid w:val="00776123"/>
    <w:rsid w:val="00782007"/>
    <w:rsid w:val="00784A31"/>
    <w:rsid w:val="007B6480"/>
    <w:rsid w:val="007C022D"/>
    <w:rsid w:val="007E3241"/>
    <w:rsid w:val="007E5044"/>
    <w:rsid w:val="007E769C"/>
    <w:rsid w:val="007F443E"/>
    <w:rsid w:val="00815BBD"/>
    <w:rsid w:val="0082282C"/>
    <w:rsid w:val="0083535A"/>
    <w:rsid w:val="0085384A"/>
    <w:rsid w:val="008611A8"/>
    <w:rsid w:val="008635A6"/>
    <w:rsid w:val="008640D6"/>
    <w:rsid w:val="0088179A"/>
    <w:rsid w:val="00883191"/>
    <w:rsid w:val="008A615F"/>
    <w:rsid w:val="008A64E4"/>
    <w:rsid w:val="008C3AF0"/>
    <w:rsid w:val="008C6DEA"/>
    <w:rsid w:val="008E3045"/>
    <w:rsid w:val="008E34F2"/>
    <w:rsid w:val="008E5DD3"/>
    <w:rsid w:val="008E6A03"/>
    <w:rsid w:val="00903812"/>
    <w:rsid w:val="0090620D"/>
    <w:rsid w:val="00926BBB"/>
    <w:rsid w:val="0094010B"/>
    <w:rsid w:val="0098305B"/>
    <w:rsid w:val="00984D84"/>
    <w:rsid w:val="00987B60"/>
    <w:rsid w:val="009A66B2"/>
    <w:rsid w:val="009B0B6F"/>
    <w:rsid w:val="009B0C03"/>
    <w:rsid w:val="009B0F06"/>
    <w:rsid w:val="009B2AA8"/>
    <w:rsid w:val="009B2FE0"/>
    <w:rsid w:val="009C01D5"/>
    <w:rsid w:val="009D4674"/>
    <w:rsid w:val="009D7C6D"/>
    <w:rsid w:val="009F4C9C"/>
    <w:rsid w:val="00A0148C"/>
    <w:rsid w:val="00A05AC3"/>
    <w:rsid w:val="00A11E3E"/>
    <w:rsid w:val="00A14208"/>
    <w:rsid w:val="00A15A6F"/>
    <w:rsid w:val="00A27B2D"/>
    <w:rsid w:val="00A31A63"/>
    <w:rsid w:val="00A557C2"/>
    <w:rsid w:val="00A63239"/>
    <w:rsid w:val="00A67E34"/>
    <w:rsid w:val="00A7386D"/>
    <w:rsid w:val="00A74562"/>
    <w:rsid w:val="00A83AB7"/>
    <w:rsid w:val="00AA273D"/>
    <w:rsid w:val="00AA787C"/>
    <w:rsid w:val="00AB397E"/>
    <w:rsid w:val="00AC349F"/>
    <w:rsid w:val="00AC60C4"/>
    <w:rsid w:val="00AD3270"/>
    <w:rsid w:val="00AE0AD2"/>
    <w:rsid w:val="00AE22ED"/>
    <w:rsid w:val="00AF23B7"/>
    <w:rsid w:val="00B024E3"/>
    <w:rsid w:val="00B34F78"/>
    <w:rsid w:val="00B37AB5"/>
    <w:rsid w:val="00B469AC"/>
    <w:rsid w:val="00B522E9"/>
    <w:rsid w:val="00B5432B"/>
    <w:rsid w:val="00B55965"/>
    <w:rsid w:val="00B565AA"/>
    <w:rsid w:val="00B60756"/>
    <w:rsid w:val="00B60DBF"/>
    <w:rsid w:val="00B8161E"/>
    <w:rsid w:val="00B9397B"/>
    <w:rsid w:val="00BA6C7E"/>
    <w:rsid w:val="00BC53A3"/>
    <w:rsid w:val="00BD105C"/>
    <w:rsid w:val="00BD2EC1"/>
    <w:rsid w:val="00BD317F"/>
    <w:rsid w:val="00BF78AD"/>
    <w:rsid w:val="00C01CD1"/>
    <w:rsid w:val="00C13A4F"/>
    <w:rsid w:val="00C23CD4"/>
    <w:rsid w:val="00C242BD"/>
    <w:rsid w:val="00C257E8"/>
    <w:rsid w:val="00C377B1"/>
    <w:rsid w:val="00C4387E"/>
    <w:rsid w:val="00C501D4"/>
    <w:rsid w:val="00C54F9B"/>
    <w:rsid w:val="00C552BE"/>
    <w:rsid w:val="00C665B6"/>
    <w:rsid w:val="00C6703D"/>
    <w:rsid w:val="00C67E14"/>
    <w:rsid w:val="00C7530C"/>
    <w:rsid w:val="00C76DC3"/>
    <w:rsid w:val="00C86817"/>
    <w:rsid w:val="00CA34EA"/>
    <w:rsid w:val="00CB0F73"/>
    <w:rsid w:val="00CB10B3"/>
    <w:rsid w:val="00CD07E6"/>
    <w:rsid w:val="00CD1DD8"/>
    <w:rsid w:val="00CD57A7"/>
    <w:rsid w:val="00CE3277"/>
    <w:rsid w:val="00CF3135"/>
    <w:rsid w:val="00D114E9"/>
    <w:rsid w:val="00D155C4"/>
    <w:rsid w:val="00D2579D"/>
    <w:rsid w:val="00D26F3D"/>
    <w:rsid w:val="00D30A83"/>
    <w:rsid w:val="00D3472A"/>
    <w:rsid w:val="00D3486D"/>
    <w:rsid w:val="00D35D7F"/>
    <w:rsid w:val="00D729D5"/>
    <w:rsid w:val="00D74DB6"/>
    <w:rsid w:val="00D97930"/>
    <w:rsid w:val="00DA1162"/>
    <w:rsid w:val="00DB5781"/>
    <w:rsid w:val="00DB6308"/>
    <w:rsid w:val="00DD2513"/>
    <w:rsid w:val="00DD2D4F"/>
    <w:rsid w:val="00DD2F34"/>
    <w:rsid w:val="00DE38EA"/>
    <w:rsid w:val="00DF1569"/>
    <w:rsid w:val="00DF5E06"/>
    <w:rsid w:val="00DF6F25"/>
    <w:rsid w:val="00E21371"/>
    <w:rsid w:val="00E34FEA"/>
    <w:rsid w:val="00E512A1"/>
    <w:rsid w:val="00E51750"/>
    <w:rsid w:val="00E548E3"/>
    <w:rsid w:val="00E62162"/>
    <w:rsid w:val="00E6277A"/>
    <w:rsid w:val="00E65E82"/>
    <w:rsid w:val="00E661D4"/>
    <w:rsid w:val="00E67322"/>
    <w:rsid w:val="00E77370"/>
    <w:rsid w:val="00E84E04"/>
    <w:rsid w:val="00E8642A"/>
    <w:rsid w:val="00E9182D"/>
    <w:rsid w:val="00E974B0"/>
    <w:rsid w:val="00EC24DC"/>
    <w:rsid w:val="00EC4469"/>
    <w:rsid w:val="00EF0918"/>
    <w:rsid w:val="00EF40C9"/>
    <w:rsid w:val="00F01D86"/>
    <w:rsid w:val="00F1619F"/>
    <w:rsid w:val="00F17569"/>
    <w:rsid w:val="00F210D4"/>
    <w:rsid w:val="00F22D9E"/>
    <w:rsid w:val="00F23349"/>
    <w:rsid w:val="00F255C3"/>
    <w:rsid w:val="00F25F07"/>
    <w:rsid w:val="00F74ED5"/>
    <w:rsid w:val="00F81879"/>
    <w:rsid w:val="00F90004"/>
    <w:rsid w:val="00F926E6"/>
    <w:rsid w:val="00F97967"/>
    <w:rsid w:val="00FA02B5"/>
    <w:rsid w:val="00FB4F84"/>
    <w:rsid w:val="00FC2D75"/>
    <w:rsid w:val="00FC6713"/>
    <w:rsid w:val="00FD0550"/>
    <w:rsid w:val="00FD2B95"/>
    <w:rsid w:val="00FD57BF"/>
    <w:rsid w:val="00FD6DF2"/>
    <w:rsid w:val="00FD73DA"/>
    <w:rsid w:val="00FD767F"/>
    <w:rsid w:val="00FE7AF0"/>
    <w:rsid w:val="00FF0522"/>
    <w:rsid w:val="00FF0F87"/>
    <w:rsid w:val="00FF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A050"/>
  <w14:defaultImageDpi w14:val="32767"/>
  <w15:docId w15:val="{DCA08C6A-C55C-C24C-BA7A-AA4D5E83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4A1"/>
  </w:style>
  <w:style w:type="paragraph" w:styleId="Heading1">
    <w:name w:val="heading 1"/>
    <w:basedOn w:val="Normal"/>
    <w:next w:val="Normal"/>
    <w:link w:val="Heading1Char"/>
    <w:uiPriority w:val="9"/>
    <w:qFormat/>
    <w:rsid w:val="004A2072"/>
    <w:pPr>
      <w:keepNext/>
      <w:keepLines/>
      <w:spacing w:before="480"/>
      <w:jc w:val="both"/>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link w:val="Heading2Char"/>
    <w:uiPriority w:val="9"/>
    <w:qFormat/>
    <w:rsid w:val="004A0D68"/>
    <w:pPr>
      <w:spacing w:before="100" w:beforeAutospacing="1" w:after="100" w:afterAutospacing="1"/>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4A1"/>
    <w:pPr>
      <w:tabs>
        <w:tab w:val="center" w:pos="4513"/>
        <w:tab w:val="right" w:pos="9026"/>
      </w:tabs>
    </w:pPr>
  </w:style>
  <w:style w:type="character" w:customStyle="1" w:styleId="HeaderChar">
    <w:name w:val="Header Char"/>
    <w:basedOn w:val="DefaultParagraphFont"/>
    <w:link w:val="Header"/>
    <w:uiPriority w:val="99"/>
    <w:rsid w:val="000474A1"/>
  </w:style>
  <w:style w:type="character" w:styleId="PageNumber">
    <w:name w:val="page number"/>
    <w:basedOn w:val="DefaultParagraphFont"/>
    <w:uiPriority w:val="99"/>
    <w:semiHidden/>
    <w:unhideWhenUsed/>
    <w:rsid w:val="000474A1"/>
  </w:style>
  <w:style w:type="paragraph" w:styleId="FootnoteText">
    <w:name w:val="footnote text"/>
    <w:basedOn w:val="Normal"/>
    <w:link w:val="FootnoteTextChar"/>
    <w:uiPriority w:val="99"/>
    <w:unhideWhenUsed/>
    <w:rsid w:val="000474A1"/>
    <w:rPr>
      <w:rFonts w:asciiTheme="minorHAnsi" w:hAnsiTheme="minorHAnsi"/>
      <w:sz w:val="20"/>
      <w:szCs w:val="20"/>
    </w:rPr>
  </w:style>
  <w:style w:type="character" w:customStyle="1" w:styleId="FootnoteTextChar">
    <w:name w:val="Footnote Text Char"/>
    <w:basedOn w:val="DefaultParagraphFont"/>
    <w:link w:val="FootnoteText"/>
    <w:uiPriority w:val="99"/>
    <w:rsid w:val="000474A1"/>
    <w:rPr>
      <w:rFonts w:asciiTheme="minorHAnsi" w:hAnsiTheme="minorHAnsi"/>
      <w:sz w:val="20"/>
      <w:szCs w:val="20"/>
    </w:rPr>
  </w:style>
  <w:style w:type="character" w:styleId="FootnoteReference">
    <w:name w:val="footnote reference"/>
    <w:basedOn w:val="DefaultParagraphFont"/>
    <w:uiPriority w:val="99"/>
    <w:unhideWhenUsed/>
    <w:rsid w:val="000474A1"/>
    <w:rPr>
      <w:vertAlign w:val="superscript"/>
    </w:rPr>
  </w:style>
  <w:style w:type="character" w:customStyle="1" w:styleId="s1">
    <w:name w:val="s1"/>
    <w:basedOn w:val="DefaultParagraphFont"/>
    <w:rsid w:val="000474A1"/>
    <w:rPr>
      <w:rFonts w:ascii="Helvetica" w:hAnsi="Helvetica" w:hint="default"/>
      <w:sz w:val="15"/>
      <w:szCs w:val="15"/>
    </w:rPr>
  </w:style>
  <w:style w:type="character" w:customStyle="1" w:styleId="s2">
    <w:name w:val="s2"/>
    <w:basedOn w:val="DefaultParagraphFont"/>
    <w:rsid w:val="000474A1"/>
    <w:rPr>
      <w:rFonts w:ascii="Helvetica" w:hAnsi="Helvetica" w:hint="default"/>
      <w:sz w:val="17"/>
      <w:szCs w:val="17"/>
    </w:rPr>
  </w:style>
  <w:style w:type="character" w:styleId="CommentReference">
    <w:name w:val="annotation reference"/>
    <w:basedOn w:val="DefaultParagraphFont"/>
    <w:uiPriority w:val="99"/>
    <w:semiHidden/>
    <w:unhideWhenUsed/>
    <w:rsid w:val="000474A1"/>
    <w:rPr>
      <w:sz w:val="18"/>
      <w:szCs w:val="18"/>
    </w:rPr>
  </w:style>
  <w:style w:type="character" w:styleId="Hyperlink">
    <w:name w:val="Hyperlink"/>
    <w:basedOn w:val="DefaultParagraphFont"/>
    <w:uiPriority w:val="99"/>
    <w:unhideWhenUsed/>
    <w:rsid w:val="000474A1"/>
    <w:rPr>
      <w:color w:val="0563C1" w:themeColor="hyperlink"/>
      <w:u w:val="single"/>
    </w:rPr>
  </w:style>
  <w:style w:type="paragraph" w:styleId="BalloonText">
    <w:name w:val="Balloon Text"/>
    <w:basedOn w:val="Normal"/>
    <w:link w:val="BalloonTextChar"/>
    <w:uiPriority w:val="99"/>
    <w:semiHidden/>
    <w:unhideWhenUsed/>
    <w:rsid w:val="000474A1"/>
    <w:rPr>
      <w:rFonts w:cs="Times New Roman"/>
      <w:sz w:val="18"/>
      <w:szCs w:val="18"/>
    </w:rPr>
  </w:style>
  <w:style w:type="character" w:customStyle="1" w:styleId="BalloonTextChar">
    <w:name w:val="Balloon Text Char"/>
    <w:basedOn w:val="DefaultParagraphFont"/>
    <w:link w:val="BalloonText"/>
    <w:uiPriority w:val="99"/>
    <w:semiHidden/>
    <w:rsid w:val="000474A1"/>
    <w:rPr>
      <w:rFonts w:cs="Times New Roman"/>
      <w:sz w:val="18"/>
      <w:szCs w:val="18"/>
    </w:rPr>
  </w:style>
  <w:style w:type="paragraph" w:styleId="Footer">
    <w:name w:val="footer"/>
    <w:basedOn w:val="Normal"/>
    <w:link w:val="FooterChar"/>
    <w:uiPriority w:val="99"/>
    <w:unhideWhenUsed/>
    <w:rsid w:val="000474A1"/>
    <w:pPr>
      <w:tabs>
        <w:tab w:val="center" w:pos="4513"/>
        <w:tab w:val="right" w:pos="9026"/>
      </w:tabs>
    </w:pPr>
  </w:style>
  <w:style w:type="character" w:customStyle="1" w:styleId="FooterChar">
    <w:name w:val="Footer Char"/>
    <w:basedOn w:val="DefaultParagraphFont"/>
    <w:link w:val="Footer"/>
    <w:uiPriority w:val="99"/>
    <w:rsid w:val="000474A1"/>
  </w:style>
  <w:style w:type="paragraph" w:styleId="CommentText">
    <w:name w:val="annotation text"/>
    <w:basedOn w:val="Normal"/>
    <w:link w:val="CommentTextChar"/>
    <w:uiPriority w:val="99"/>
    <w:semiHidden/>
    <w:unhideWhenUsed/>
    <w:rsid w:val="00F01D86"/>
  </w:style>
  <w:style w:type="character" w:customStyle="1" w:styleId="CommentTextChar">
    <w:name w:val="Comment Text Char"/>
    <w:basedOn w:val="DefaultParagraphFont"/>
    <w:link w:val="CommentText"/>
    <w:uiPriority w:val="99"/>
    <w:semiHidden/>
    <w:rsid w:val="00F01D86"/>
  </w:style>
  <w:style w:type="paragraph" w:styleId="CommentSubject">
    <w:name w:val="annotation subject"/>
    <w:basedOn w:val="CommentText"/>
    <w:next w:val="CommentText"/>
    <w:link w:val="CommentSubjectChar"/>
    <w:uiPriority w:val="99"/>
    <w:semiHidden/>
    <w:unhideWhenUsed/>
    <w:rsid w:val="00F01D86"/>
    <w:rPr>
      <w:b/>
      <w:bCs/>
      <w:sz w:val="20"/>
      <w:szCs w:val="20"/>
    </w:rPr>
  </w:style>
  <w:style w:type="character" w:customStyle="1" w:styleId="CommentSubjectChar">
    <w:name w:val="Comment Subject Char"/>
    <w:basedOn w:val="CommentTextChar"/>
    <w:link w:val="CommentSubject"/>
    <w:uiPriority w:val="99"/>
    <w:semiHidden/>
    <w:rsid w:val="00F01D86"/>
    <w:rPr>
      <w:b/>
      <w:bCs/>
      <w:sz w:val="20"/>
      <w:szCs w:val="20"/>
    </w:rPr>
  </w:style>
  <w:style w:type="character" w:customStyle="1" w:styleId="UnresolvedMention1">
    <w:name w:val="Unresolved Mention1"/>
    <w:basedOn w:val="DefaultParagraphFont"/>
    <w:uiPriority w:val="99"/>
    <w:rsid w:val="00E77370"/>
    <w:rPr>
      <w:color w:val="605E5C"/>
      <w:shd w:val="clear" w:color="auto" w:fill="E1DFDD"/>
    </w:rPr>
  </w:style>
  <w:style w:type="paragraph" w:styleId="Revision">
    <w:name w:val="Revision"/>
    <w:hidden/>
    <w:uiPriority w:val="99"/>
    <w:semiHidden/>
    <w:rsid w:val="00354A38"/>
  </w:style>
  <w:style w:type="character" w:customStyle="1" w:styleId="Heading1Char">
    <w:name w:val="Heading 1 Char"/>
    <w:basedOn w:val="DefaultParagraphFont"/>
    <w:link w:val="Heading1"/>
    <w:uiPriority w:val="9"/>
    <w:rsid w:val="004A2072"/>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4A0D68"/>
    <w:rPr>
      <w:rFonts w:eastAsia="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32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E906C-5425-824D-8974-A64415FB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Michael</dc:creator>
  <cp:lastModifiedBy>dmorganowen@gmail.com</cp:lastModifiedBy>
  <cp:revision>4</cp:revision>
  <dcterms:created xsi:type="dcterms:W3CDTF">2019-04-03T17:44:00Z</dcterms:created>
  <dcterms:modified xsi:type="dcterms:W3CDTF">2019-04-05T09:34:00Z</dcterms:modified>
</cp:coreProperties>
</file>