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188C" w14:textId="397C229E" w:rsidR="00D75B37" w:rsidRDefault="00D75B37" w:rsidP="00460B80">
      <w:pPr>
        <w:spacing w:line="480" w:lineRule="auto"/>
        <w:jc w:val="both"/>
        <w:rPr>
          <w:b/>
        </w:rPr>
      </w:pPr>
      <w:r>
        <w:rPr>
          <w:lang w:eastAsia="en-GB"/>
        </w:rPr>
        <w:t>This is the Author’s Accepted Manuscript version of the article:</w:t>
      </w:r>
      <w:r w:rsidR="007519CB">
        <w:rPr>
          <w:lang w:eastAsia="en-GB"/>
        </w:rPr>
        <w:t xml:space="preserve"> </w:t>
      </w:r>
      <w:r w:rsidR="00DB5303" w:rsidRPr="00DB5303">
        <w:rPr>
          <w:lang w:eastAsia="en-GB"/>
        </w:rPr>
        <w:t>Payne, M. A., Hashim, A., Alsam, A., Joseph, S., Aduse-Opoku, J., Wade, W., &amp; Curtis, M. A. (2019). Horizontal and Vertical Transfer of Oral Microbial Dysbiosis and Periodontal Disease. </w:t>
      </w:r>
      <w:r w:rsidR="00DB5303" w:rsidRPr="00DB5303">
        <w:rPr>
          <w:i/>
          <w:iCs/>
          <w:lang w:eastAsia="en-GB"/>
        </w:rPr>
        <w:t>Journal of Dental Research</w:t>
      </w:r>
      <w:r w:rsidR="00DB5303">
        <w:rPr>
          <w:lang w:eastAsia="en-GB"/>
        </w:rPr>
        <w:t>. Accepted for publication on</w:t>
      </w:r>
      <w:r w:rsidR="004E211B">
        <w:rPr>
          <w:lang w:eastAsia="en-GB"/>
        </w:rPr>
        <w:t xml:space="preserve"> 28</w:t>
      </w:r>
      <w:r w:rsidR="004E211B" w:rsidRPr="004E211B">
        <w:rPr>
          <w:vertAlign w:val="superscript"/>
          <w:lang w:eastAsia="en-GB"/>
        </w:rPr>
        <w:t>th</w:t>
      </w:r>
      <w:r w:rsidR="004E211B">
        <w:rPr>
          <w:lang w:eastAsia="en-GB"/>
        </w:rPr>
        <w:t xml:space="preserve"> August 2019</w:t>
      </w:r>
    </w:p>
    <w:p w14:paraId="14010CD7" w14:textId="39A306A7" w:rsidR="00C03DA8" w:rsidRPr="002C6098" w:rsidRDefault="00AD05CE" w:rsidP="00460B80">
      <w:pPr>
        <w:spacing w:line="480" w:lineRule="auto"/>
        <w:jc w:val="both"/>
        <w:rPr>
          <w:b/>
        </w:rPr>
      </w:pPr>
      <w:r>
        <w:rPr>
          <w:b/>
        </w:rPr>
        <w:t>Horizontal and vertical t</w:t>
      </w:r>
      <w:r w:rsidR="00C03DA8">
        <w:rPr>
          <w:b/>
        </w:rPr>
        <w:t>ransfer of oral microbial dysbiosis and periodontal disease.</w:t>
      </w:r>
    </w:p>
    <w:p w14:paraId="2B23B803" w14:textId="7DBF098C" w:rsidR="006B7242" w:rsidRDefault="002C6098" w:rsidP="00460B80">
      <w:pPr>
        <w:spacing w:line="480" w:lineRule="auto"/>
        <w:jc w:val="both"/>
      </w:pPr>
      <w:r>
        <w:t xml:space="preserve">M.A. </w:t>
      </w:r>
      <w:r w:rsidR="00103D6B">
        <w:t>Payne</w:t>
      </w:r>
      <w:r w:rsidR="001C1E9F">
        <w:rPr>
          <w:vertAlign w:val="superscript"/>
        </w:rPr>
        <w:t>1</w:t>
      </w:r>
      <w:r w:rsidR="00103D6B">
        <w:t xml:space="preserve">, </w:t>
      </w:r>
      <w:r w:rsidR="001C1E9F">
        <w:t>A. Hashim</w:t>
      </w:r>
      <w:r w:rsidR="001C1E9F">
        <w:rPr>
          <w:vertAlign w:val="superscript"/>
        </w:rPr>
        <w:t>2</w:t>
      </w:r>
      <w:r w:rsidR="001C1E9F">
        <w:t xml:space="preserve">, </w:t>
      </w:r>
      <w:r w:rsidR="006B7242">
        <w:t>A</w:t>
      </w:r>
      <w:r>
        <w:t>.</w:t>
      </w:r>
      <w:r w:rsidR="006B7242">
        <w:t xml:space="preserve"> Alsam</w:t>
      </w:r>
      <w:r w:rsidR="0090357C">
        <w:rPr>
          <w:vertAlign w:val="superscript"/>
        </w:rPr>
        <w:t>1</w:t>
      </w:r>
      <w:r w:rsidR="006B7242">
        <w:t>, S</w:t>
      </w:r>
      <w:r>
        <w:t>.</w:t>
      </w:r>
      <w:r w:rsidR="00EE4116">
        <w:t xml:space="preserve"> </w:t>
      </w:r>
      <w:r w:rsidR="006B7242">
        <w:t>Joseph</w:t>
      </w:r>
      <w:r w:rsidR="00FB421B" w:rsidRPr="00F349A6">
        <w:rPr>
          <w:vertAlign w:val="superscript"/>
        </w:rPr>
        <w:t>3</w:t>
      </w:r>
      <w:r w:rsidR="006B7242">
        <w:t>,</w:t>
      </w:r>
      <w:r>
        <w:t xml:space="preserve"> J.</w:t>
      </w:r>
      <w:r w:rsidR="00616779">
        <w:t xml:space="preserve"> </w:t>
      </w:r>
      <w:r w:rsidR="006B7242">
        <w:t>Aduse-Opoku</w:t>
      </w:r>
      <w:r w:rsidR="00FB421B" w:rsidRPr="00F349A6">
        <w:rPr>
          <w:vertAlign w:val="superscript"/>
        </w:rPr>
        <w:t>3</w:t>
      </w:r>
      <w:r>
        <w:t xml:space="preserve">, W. </w:t>
      </w:r>
      <w:r w:rsidR="00C318BB">
        <w:t>Wade</w:t>
      </w:r>
      <w:r w:rsidR="0090357C">
        <w:rPr>
          <w:vertAlign w:val="superscript"/>
        </w:rPr>
        <w:t>3</w:t>
      </w:r>
      <w:r w:rsidR="00677FE6">
        <w:rPr>
          <w:vertAlign w:val="superscript"/>
        </w:rPr>
        <w:t>,4</w:t>
      </w:r>
      <w:r w:rsidR="006B7242">
        <w:t xml:space="preserve"> and </w:t>
      </w:r>
      <w:r>
        <w:t>M.A.</w:t>
      </w:r>
      <w:r w:rsidR="00EE4116">
        <w:t xml:space="preserve"> Curtis</w:t>
      </w:r>
      <w:r w:rsidR="00FB421B">
        <w:rPr>
          <w:vertAlign w:val="superscript"/>
        </w:rPr>
        <w:t>3</w:t>
      </w:r>
    </w:p>
    <w:p w14:paraId="69B8883C" w14:textId="6BC147B8" w:rsidR="001C1E9F" w:rsidRPr="00F349A6" w:rsidRDefault="001C1E9F" w:rsidP="00460B80">
      <w:pPr>
        <w:spacing w:after="0" w:line="480" w:lineRule="auto"/>
      </w:pPr>
      <w:r>
        <w:rPr>
          <w:vertAlign w:val="superscript"/>
        </w:rPr>
        <w:t>1</w:t>
      </w:r>
      <w:r>
        <w:t xml:space="preserve">Institute of Dentistry, </w:t>
      </w:r>
      <w:proofErr w:type="spellStart"/>
      <w:r>
        <w:t>Barts</w:t>
      </w:r>
      <w:proofErr w:type="spellEnd"/>
      <w:r>
        <w:t xml:space="preserve"> and The London School of Medicine and Dentistry, Queen Mary University of London, London E1 2AD</w:t>
      </w:r>
    </w:p>
    <w:p w14:paraId="14572768" w14:textId="5F4B9751" w:rsidR="00EE4116" w:rsidRPr="009E21C0" w:rsidRDefault="001C1E9F" w:rsidP="00460B80">
      <w:pPr>
        <w:spacing w:line="480" w:lineRule="auto"/>
        <w:jc w:val="both"/>
      </w:pPr>
      <w:r>
        <w:rPr>
          <w:vertAlign w:val="superscript"/>
        </w:rPr>
        <w:t>2</w:t>
      </w:r>
      <w:r w:rsidR="00284096" w:rsidRPr="009E21C0">
        <w:rPr>
          <w:color w:val="000000"/>
        </w:rPr>
        <w:t>Department of Biomedical Sciences, C</w:t>
      </w:r>
      <w:r w:rsidR="00960D23" w:rsidRPr="009E21C0">
        <w:t>ollege of Dentistry, King Faisal University, 31982 Al-</w:t>
      </w:r>
      <w:proofErr w:type="spellStart"/>
      <w:r w:rsidR="00960D23" w:rsidRPr="009E21C0">
        <w:t>Ahsa</w:t>
      </w:r>
      <w:proofErr w:type="spellEnd"/>
      <w:r w:rsidR="00960D23" w:rsidRPr="009E21C0">
        <w:t>, Saudi Arabia</w:t>
      </w:r>
    </w:p>
    <w:p w14:paraId="2AD4062B" w14:textId="69953596" w:rsidR="00FB421B" w:rsidRDefault="00460B80" w:rsidP="00460B80">
      <w:pPr>
        <w:spacing w:line="480" w:lineRule="auto"/>
        <w:rPr>
          <w:rFonts w:cstheme="minorHAnsi"/>
        </w:rPr>
      </w:pPr>
      <w:r w:rsidRPr="00460B80">
        <w:rPr>
          <w:rFonts w:eastAsiaTheme="minorEastAsia" w:cstheme="minorHAnsi"/>
          <w:noProof/>
          <w:vertAlign w:val="superscript"/>
          <w:lang w:eastAsia="en-GB"/>
        </w:rPr>
        <w:t>3</w:t>
      </w:r>
      <w:r w:rsidRPr="00460B80">
        <w:rPr>
          <w:rFonts w:eastAsiaTheme="minorEastAsia" w:cstheme="minorHAnsi"/>
          <w:noProof/>
          <w:lang w:eastAsia="en-GB"/>
        </w:rPr>
        <w:t>Centre for Host-Microbiome Interactions</w:t>
      </w:r>
      <w:r>
        <w:rPr>
          <w:rFonts w:eastAsiaTheme="minorEastAsia" w:cstheme="minorHAnsi"/>
          <w:noProof/>
          <w:lang w:eastAsia="en-GB"/>
        </w:rPr>
        <w:t xml:space="preserve">, </w:t>
      </w:r>
      <w:r w:rsidRPr="00460B80">
        <w:rPr>
          <w:rFonts w:eastAsiaTheme="minorEastAsia" w:cstheme="minorHAnsi"/>
          <w:noProof/>
          <w:color w:val="000000"/>
          <w:lang w:eastAsia="en-GB"/>
        </w:rPr>
        <w:t>Faculty of Dentistry, Oral &amp; Craniofacial Sciences</w:t>
      </w:r>
      <w:r w:rsidR="00960D23" w:rsidRPr="00460B80">
        <w:rPr>
          <w:rFonts w:cstheme="minorHAnsi"/>
        </w:rPr>
        <w:t xml:space="preserve">, </w:t>
      </w:r>
      <w:r>
        <w:rPr>
          <w:rFonts w:cstheme="minorHAnsi"/>
        </w:rPr>
        <w:t xml:space="preserve">King’s College London, </w:t>
      </w:r>
      <w:r w:rsidR="00FB421B" w:rsidRPr="00460B80">
        <w:rPr>
          <w:rFonts w:cstheme="minorHAnsi"/>
        </w:rPr>
        <w:t>Tower Wing, Guy’s Hospital</w:t>
      </w:r>
      <w:r w:rsidR="00960D23" w:rsidRPr="00460B80">
        <w:rPr>
          <w:rFonts w:cstheme="minorHAnsi"/>
        </w:rPr>
        <w:t xml:space="preserve">, </w:t>
      </w:r>
      <w:r w:rsidR="00FB421B" w:rsidRPr="00460B80">
        <w:rPr>
          <w:rFonts w:cstheme="minorHAnsi"/>
        </w:rPr>
        <w:t>London SE1 9RT</w:t>
      </w:r>
      <w:r w:rsidR="009E21C0">
        <w:rPr>
          <w:rFonts w:cstheme="minorHAnsi"/>
        </w:rPr>
        <w:t xml:space="preserve">, UK </w:t>
      </w:r>
    </w:p>
    <w:p w14:paraId="75B3AD43" w14:textId="77777777" w:rsidR="00A50798" w:rsidRDefault="00A50798" w:rsidP="00A50798">
      <w:pPr>
        <w:spacing w:line="480" w:lineRule="auto"/>
        <w:jc w:val="both"/>
      </w:pPr>
      <w:r w:rsidRPr="00A91C55">
        <w:rPr>
          <w:vertAlign w:val="superscript"/>
        </w:rPr>
        <w:t>4</w:t>
      </w:r>
      <w:r>
        <w:t>Department of Microbiology, Forsyth Institute, Cambridge, MA02142, USA.</w:t>
      </w:r>
    </w:p>
    <w:p w14:paraId="6AA76108" w14:textId="77777777" w:rsidR="00EE4116" w:rsidRDefault="00EE4116" w:rsidP="00F349A6">
      <w:pPr>
        <w:spacing w:line="480" w:lineRule="auto"/>
        <w:jc w:val="both"/>
      </w:pPr>
    </w:p>
    <w:p w14:paraId="324268FE" w14:textId="498511E8" w:rsidR="00616779" w:rsidRDefault="00616779">
      <w:pPr>
        <w:spacing w:line="480" w:lineRule="auto"/>
        <w:jc w:val="both"/>
      </w:pPr>
      <w:r>
        <w:t>Corresponding author</w:t>
      </w:r>
      <w:r w:rsidR="00EE4116">
        <w:t xml:space="preserve">: </w:t>
      </w:r>
      <w:hyperlink r:id="rId11" w:history="1">
        <w:r w:rsidR="00733DA4" w:rsidRPr="003869B8">
          <w:rPr>
            <w:rStyle w:val="Hyperlink"/>
          </w:rPr>
          <w:t>mike.curtis@kcl.ac.uk</w:t>
        </w:r>
      </w:hyperlink>
      <w:r w:rsidR="00733DA4">
        <w:t xml:space="preserve"> </w:t>
      </w:r>
    </w:p>
    <w:p w14:paraId="212A18E9" w14:textId="77777777" w:rsidR="00733DA4" w:rsidRDefault="00733DA4" w:rsidP="00F349A6">
      <w:pPr>
        <w:spacing w:line="480" w:lineRule="auto"/>
        <w:jc w:val="both"/>
      </w:pPr>
    </w:p>
    <w:p w14:paraId="38C2A021" w14:textId="0783335E" w:rsidR="00EE4116" w:rsidRDefault="00780CFB" w:rsidP="00F349A6">
      <w:pPr>
        <w:spacing w:line="480" w:lineRule="auto"/>
        <w:jc w:val="both"/>
      </w:pPr>
      <w:r>
        <w:t>Abstract Word Count: 300 words</w:t>
      </w:r>
    </w:p>
    <w:p w14:paraId="36D188E3" w14:textId="209B0A8B" w:rsidR="00616779" w:rsidRDefault="00780CFB" w:rsidP="00F349A6">
      <w:pPr>
        <w:spacing w:line="480" w:lineRule="auto"/>
        <w:jc w:val="both"/>
      </w:pPr>
      <w:r>
        <w:t>Total Word count</w:t>
      </w:r>
      <w:r w:rsidR="00A72FF4">
        <w:t xml:space="preserve"> (Abstract to Acknowl</w:t>
      </w:r>
      <w:r w:rsidR="00E4723F">
        <w:t>e</w:t>
      </w:r>
      <w:r w:rsidR="00A72FF4">
        <w:t>dgments)</w:t>
      </w:r>
      <w:r>
        <w:t>: 3</w:t>
      </w:r>
      <w:r w:rsidR="00E4723F">
        <w:t>779 words</w:t>
      </w:r>
      <w:r w:rsidR="00103262">
        <w:tab/>
      </w:r>
    </w:p>
    <w:p w14:paraId="6A456270" w14:textId="3460B627" w:rsidR="00780CFB" w:rsidRDefault="00780CFB" w:rsidP="00F349A6">
      <w:pPr>
        <w:spacing w:line="480" w:lineRule="auto"/>
        <w:jc w:val="both"/>
      </w:pPr>
      <w:r>
        <w:t>No. of tables/figures: 5 figures</w:t>
      </w:r>
    </w:p>
    <w:p w14:paraId="162F1830" w14:textId="65ABE271" w:rsidR="00780CFB" w:rsidRDefault="00780CFB" w:rsidP="00F349A6">
      <w:pPr>
        <w:spacing w:line="480" w:lineRule="auto"/>
        <w:jc w:val="both"/>
      </w:pPr>
      <w:r>
        <w:t>No. of references: 2</w:t>
      </w:r>
      <w:r w:rsidR="00740FD2">
        <w:t>4</w:t>
      </w:r>
    </w:p>
    <w:p w14:paraId="1F7D2D81" w14:textId="625C9D1D" w:rsidR="00616779" w:rsidRDefault="00780CFB" w:rsidP="00F349A6">
      <w:pPr>
        <w:spacing w:line="480" w:lineRule="auto"/>
        <w:jc w:val="both"/>
      </w:pPr>
      <w:r>
        <w:t xml:space="preserve">Keywords: periodontitis, oral microbiome, dysbiosis, bone loss, </w:t>
      </w:r>
      <w:r w:rsidRPr="00780CFB">
        <w:rPr>
          <w:i/>
        </w:rPr>
        <w:t>P. gingivalis</w:t>
      </w:r>
      <w:r>
        <w:t>, keystone</w:t>
      </w:r>
    </w:p>
    <w:p w14:paraId="6BAD9F50" w14:textId="77777777" w:rsidR="002C6098" w:rsidRDefault="002C6098" w:rsidP="00F349A6">
      <w:pPr>
        <w:jc w:val="both"/>
      </w:pPr>
      <w:bookmarkStart w:id="0" w:name="_GoBack"/>
      <w:bookmarkEnd w:id="0"/>
      <w:r>
        <w:br w:type="page"/>
      </w:r>
    </w:p>
    <w:p w14:paraId="7EC5B10D" w14:textId="6477C3C7" w:rsidR="00616779" w:rsidRPr="00536EF3" w:rsidRDefault="002C6098" w:rsidP="00F349A6">
      <w:pPr>
        <w:spacing w:line="480" w:lineRule="auto"/>
        <w:jc w:val="both"/>
        <w:rPr>
          <w:b/>
        </w:rPr>
      </w:pPr>
      <w:r w:rsidRPr="00536EF3">
        <w:rPr>
          <w:b/>
        </w:rPr>
        <w:lastRenderedPageBreak/>
        <w:t>Abstract</w:t>
      </w:r>
    </w:p>
    <w:p w14:paraId="4407BAA7" w14:textId="77777777" w:rsidR="00704644" w:rsidRDefault="00704644" w:rsidP="00F52F38">
      <w:pPr>
        <w:spacing w:line="480" w:lineRule="auto"/>
        <w:jc w:val="both"/>
      </w:pPr>
      <w:r>
        <w:t xml:space="preserve">One of the hallmark features of destructive periodontal disease, well documented over the last 50 years, is a change to the quantitative and qualitative composition of the associated microbiology. These alterations are now generally viewed as transformational shifts of the microbial populations associated with health leading to the </w:t>
      </w:r>
      <w:r w:rsidRPr="007012A3">
        <w:rPr>
          <w:rFonts w:ascii="Calibri" w:eastAsia="Calibri" w:hAnsi="Calibri" w:cs="Arial"/>
        </w:rPr>
        <w:t>emergence of bacterial species which are only present in low abundance in health and a proportionate decrease in the abundance of others</w:t>
      </w:r>
      <w:r>
        <w:rPr>
          <w:rFonts w:ascii="Calibri" w:eastAsia="Calibri" w:hAnsi="Calibri" w:cs="Arial"/>
        </w:rPr>
        <w:t xml:space="preserve">. The role of this dysbiosis of the health associated microbiota in the development of disease remains controversial: is this altered microbiology the driving agent of disease or merely a consequence of the altered environmental conditions which invariably accompany destructive disease? In this work we aimed to address this controversy through controlled transmission experiments in the mouse in which a dysbiotic oral microbiome was transferred either horizontally or vertically into healthy recipient mice. The results of these murine studies demonstrate conclusively that natural transfer of the dysbiotic oral microbiome from a periodontally diseased individual into a healthy individual will lead to establishment of the dysbiotic community in the recipient and concomitant transmission of the disease phenotype. The inherent resilience of the dysbiotic microbial community structure in diseased animals was further demonstrated by analysis of the effects of antibiotic therapy on periodontally diseased mice. Although antibiotic treatment led to a reversal of dysbiosis of the oral microbiome, in terms of both microbial load and community structure, dysbiosis of the microbiome was re-established following cessation of therapy.  Collectively these data suggest </w:t>
      </w:r>
      <w:r w:rsidRPr="00270030">
        <w:rPr>
          <w:rFonts w:ascii="Calibri" w:eastAsia="Calibri" w:hAnsi="Calibri" w:cs="Arial"/>
        </w:rPr>
        <w:t>t</w:t>
      </w:r>
      <w:r>
        <w:rPr>
          <w:rFonts w:ascii="Calibri" w:eastAsia="Calibri" w:hAnsi="Calibri" w:cs="Arial"/>
        </w:rPr>
        <w:t xml:space="preserve">hat an oral </w:t>
      </w:r>
      <w:r w:rsidRPr="00270030">
        <w:rPr>
          <w:rFonts w:ascii="Calibri" w:eastAsia="Calibri" w:hAnsi="Calibri" w:cs="Arial"/>
        </w:rPr>
        <w:t xml:space="preserve">dysbiotic </w:t>
      </w:r>
      <w:r>
        <w:rPr>
          <w:rFonts w:ascii="Calibri" w:eastAsia="Calibri" w:hAnsi="Calibri" w:cs="Arial"/>
        </w:rPr>
        <w:t xml:space="preserve">microbial </w:t>
      </w:r>
      <w:r w:rsidRPr="00270030">
        <w:rPr>
          <w:rFonts w:ascii="Calibri" w:eastAsia="Calibri" w:hAnsi="Calibri" w:cs="Arial"/>
        </w:rPr>
        <w:t>community</w:t>
      </w:r>
      <w:r>
        <w:rPr>
          <w:rFonts w:ascii="Calibri" w:eastAsia="Calibri" w:hAnsi="Calibri" w:cs="Arial"/>
        </w:rPr>
        <w:t xml:space="preserve"> structure is stable to transfer and can act</w:t>
      </w:r>
      <w:r w:rsidRPr="00270030">
        <w:rPr>
          <w:rFonts w:ascii="Calibri" w:eastAsia="Calibri" w:hAnsi="Calibri" w:cs="Arial"/>
        </w:rPr>
        <w:t xml:space="preserve"> </w:t>
      </w:r>
      <w:r>
        <w:rPr>
          <w:rFonts w:ascii="Calibri" w:eastAsia="Calibri" w:hAnsi="Calibri" w:cs="Arial"/>
        </w:rPr>
        <w:t xml:space="preserve">in a similar manner to </w:t>
      </w:r>
      <w:r w:rsidRPr="00270030">
        <w:rPr>
          <w:rFonts w:ascii="Calibri" w:eastAsia="Calibri" w:hAnsi="Calibri" w:cs="Arial"/>
        </w:rPr>
        <w:t>a conventional transmissible infectious disease agent with concomitant effects on pathology</w:t>
      </w:r>
      <w:r>
        <w:rPr>
          <w:rFonts w:ascii="Calibri" w:eastAsia="Calibri" w:hAnsi="Calibri" w:cs="Arial"/>
        </w:rPr>
        <w:t>. These findings have implications to our understanding of the role of microbial dysbiosis in the development and progression of human periodontal disease.</w:t>
      </w:r>
    </w:p>
    <w:p w14:paraId="1FADA2BC" w14:textId="77777777" w:rsidR="00304B58" w:rsidRDefault="00304B58" w:rsidP="00F349A6">
      <w:pPr>
        <w:spacing w:line="480" w:lineRule="auto"/>
        <w:jc w:val="both"/>
      </w:pPr>
    </w:p>
    <w:p w14:paraId="01263CA2" w14:textId="77777777" w:rsidR="002C6098" w:rsidRDefault="002C6098" w:rsidP="00F349A6">
      <w:pPr>
        <w:jc w:val="both"/>
      </w:pPr>
      <w:r>
        <w:br w:type="page"/>
      </w:r>
    </w:p>
    <w:p w14:paraId="32F0BE89" w14:textId="77777777" w:rsidR="006B7242" w:rsidRPr="00F349A6" w:rsidRDefault="006B7242" w:rsidP="00F349A6">
      <w:pPr>
        <w:spacing w:line="480" w:lineRule="auto"/>
        <w:jc w:val="both"/>
        <w:rPr>
          <w:b/>
        </w:rPr>
      </w:pPr>
      <w:r w:rsidRPr="00F349A6">
        <w:rPr>
          <w:b/>
        </w:rPr>
        <w:lastRenderedPageBreak/>
        <w:t>Introduction</w:t>
      </w:r>
    </w:p>
    <w:p w14:paraId="58CA63A3" w14:textId="3D2F1567" w:rsidR="006B7242" w:rsidRDefault="008C7467" w:rsidP="005A672B">
      <w:pPr>
        <w:spacing w:line="480" w:lineRule="auto"/>
        <w:ind w:left="360"/>
        <w:jc w:val="both"/>
      </w:pPr>
      <w:r>
        <w:t xml:space="preserve">The association between </w:t>
      </w:r>
      <w:r w:rsidR="00137036">
        <w:t xml:space="preserve">dysbiosis of the oral microbiome and </w:t>
      </w:r>
      <w:r>
        <w:t>p</w:t>
      </w:r>
      <w:r w:rsidR="006B7242">
        <w:t>eriodont</w:t>
      </w:r>
      <w:r w:rsidR="00A14124">
        <w:t>iti</w:t>
      </w:r>
      <w:r>
        <w:t xml:space="preserve">s is now well established </w:t>
      </w:r>
      <w:r w:rsidR="009D20D3">
        <w:t>(Mira et al. 2017)</w:t>
      </w:r>
      <w:r w:rsidR="006B7242">
        <w:t>.</w:t>
      </w:r>
      <w:r w:rsidR="00600E47">
        <w:t xml:space="preserve">  </w:t>
      </w:r>
      <w:r w:rsidR="00194096">
        <w:t xml:space="preserve">Although there are significant individual-to-individual variations </w:t>
      </w:r>
      <w:r w:rsidR="00F02CA1">
        <w:t xml:space="preserve">in the microbial composition of subgingival biofilms </w:t>
      </w:r>
      <w:r w:rsidR="00194096">
        <w:t xml:space="preserve">in </w:t>
      </w:r>
      <w:r w:rsidR="00F02CA1">
        <w:t>health</w:t>
      </w:r>
      <w:r w:rsidR="00137036">
        <w:t xml:space="preserve"> </w:t>
      </w:r>
      <w:r w:rsidR="00137036" w:rsidRPr="001969EA">
        <w:t>(</w:t>
      </w:r>
      <w:r w:rsidR="00D634B8" w:rsidRPr="001969EA">
        <w:t>Hall et al.</w:t>
      </w:r>
      <w:r w:rsidR="00732BCC" w:rsidRPr="001969EA">
        <w:t xml:space="preserve"> 2017</w:t>
      </w:r>
      <w:r w:rsidR="00D634B8" w:rsidRPr="001969EA">
        <w:t>)</w:t>
      </w:r>
      <w:r w:rsidR="00F02CA1" w:rsidRPr="001969EA">
        <w:t>,</w:t>
      </w:r>
      <w:r w:rsidR="00F02CA1">
        <w:t xml:space="preserve"> </w:t>
      </w:r>
      <w:r w:rsidR="00137036">
        <w:t xml:space="preserve">the development of disease coincides with a characteristic population shift. </w:t>
      </w:r>
      <w:r w:rsidR="000B7FD6">
        <w:t>Consistent</w:t>
      </w:r>
      <w:r w:rsidR="00137036">
        <w:t>ly</w:t>
      </w:r>
      <w:r w:rsidR="00361281">
        <w:t>,</w:t>
      </w:r>
      <w:r w:rsidR="00137036">
        <w:t xml:space="preserve"> the change involves not only an increase in the overall </w:t>
      </w:r>
      <w:r w:rsidR="007E74DB">
        <w:t xml:space="preserve">microbial </w:t>
      </w:r>
      <w:r w:rsidR="00137036">
        <w:t xml:space="preserve">biomass but also the emergence of bacterial species which are only present in low abundance in health and a proportionate decrease in the abundance of others </w:t>
      </w:r>
      <w:r w:rsidR="00AA1A28">
        <w:t>(</w:t>
      </w:r>
      <w:r w:rsidR="00400A81" w:rsidRPr="001969EA">
        <w:t>Marsh PD 1994</w:t>
      </w:r>
      <w:r w:rsidR="00CA6F88">
        <w:t>,</w:t>
      </w:r>
      <w:r w:rsidR="00400A81" w:rsidRPr="001969EA">
        <w:t xml:space="preserve"> </w:t>
      </w:r>
      <w:proofErr w:type="spellStart"/>
      <w:r w:rsidR="00AA1A28" w:rsidRPr="001969EA">
        <w:t>Socransky</w:t>
      </w:r>
      <w:proofErr w:type="spellEnd"/>
      <w:r w:rsidR="00AA1A28" w:rsidRPr="001969EA">
        <w:t xml:space="preserve"> et al. 1998</w:t>
      </w:r>
      <w:r w:rsidR="00CA6F88">
        <w:t>,</w:t>
      </w:r>
      <w:r w:rsidR="00077379" w:rsidRPr="001969EA">
        <w:t xml:space="preserve"> Diaz</w:t>
      </w:r>
      <w:r w:rsidR="0033499D" w:rsidRPr="001969EA">
        <w:t xml:space="preserve"> et al.</w:t>
      </w:r>
      <w:r w:rsidR="0033499D" w:rsidRPr="00E957A5">
        <w:t xml:space="preserve"> 2016).</w:t>
      </w:r>
      <w:r w:rsidR="0033499D" w:rsidRPr="00600E47">
        <w:t xml:space="preserve"> </w:t>
      </w:r>
      <w:r w:rsidR="0033499D">
        <w:t xml:space="preserve"> </w:t>
      </w:r>
      <w:r w:rsidR="00687738">
        <w:t>Although</w:t>
      </w:r>
      <w:r w:rsidR="005B6485">
        <w:t xml:space="preserve"> </w:t>
      </w:r>
      <w:r w:rsidR="0033499D">
        <w:t>culture-based</w:t>
      </w:r>
      <w:r w:rsidR="00137036">
        <w:t xml:space="preserve"> studies</w:t>
      </w:r>
      <w:r w:rsidR="005B6485">
        <w:t xml:space="preserve"> originally </w:t>
      </w:r>
      <w:r w:rsidR="00137036">
        <w:t xml:space="preserve">indicated that the emergent </w:t>
      </w:r>
      <w:r w:rsidR="005B6485">
        <w:t>bacterial population</w:t>
      </w:r>
      <w:r w:rsidR="007E74DB">
        <w:t>s</w:t>
      </w:r>
      <w:r w:rsidR="005B6485">
        <w:t xml:space="preserve"> in the disease-associated communities</w:t>
      </w:r>
      <w:r w:rsidR="00137036">
        <w:t xml:space="preserve"> may represent only a </w:t>
      </w:r>
      <w:r w:rsidR="006B7242">
        <w:t xml:space="preserve">relatively small number of </w:t>
      </w:r>
      <w:r w:rsidR="005B6485">
        <w:t xml:space="preserve">different taxa </w:t>
      </w:r>
      <w:r w:rsidR="006257F7">
        <w:t>(Holt &amp; Ebersole 2005</w:t>
      </w:r>
      <w:r w:rsidR="00077379">
        <w:t xml:space="preserve">, </w:t>
      </w:r>
      <w:proofErr w:type="spellStart"/>
      <w:r w:rsidR="00077379">
        <w:t>Socransky</w:t>
      </w:r>
      <w:proofErr w:type="spellEnd"/>
      <w:r w:rsidR="00BC5E26">
        <w:t xml:space="preserve"> et al.</w:t>
      </w:r>
      <w:r w:rsidR="00077379">
        <w:t xml:space="preserve"> </w:t>
      </w:r>
      <w:r w:rsidR="00BC5E26">
        <w:t>19</w:t>
      </w:r>
      <w:r w:rsidR="00077379">
        <w:t>98</w:t>
      </w:r>
      <w:r w:rsidR="006257F7">
        <w:t>)</w:t>
      </w:r>
      <w:r w:rsidR="0072450D">
        <w:t>,</w:t>
      </w:r>
      <w:r w:rsidR="006B7242">
        <w:t xml:space="preserve"> </w:t>
      </w:r>
      <w:r w:rsidR="00687738">
        <w:t>the application of</w:t>
      </w:r>
      <w:r w:rsidR="006B7242">
        <w:t xml:space="preserve"> more advanced technologies </w:t>
      </w:r>
      <w:r w:rsidR="00687738">
        <w:t>h</w:t>
      </w:r>
      <w:r w:rsidR="005B6485">
        <w:t>as</w:t>
      </w:r>
      <w:r w:rsidR="00687738">
        <w:t xml:space="preserve"> demonstrated</w:t>
      </w:r>
      <w:r w:rsidR="006B7242">
        <w:t xml:space="preserve"> that a wider range of organisms should be considered</w:t>
      </w:r>
      <w:r w:rsidR="00400A81">
        <w:t xml:space="preserve"> (</w:t>
      </w:r>
      <w:proofErr w:type="spellStart"/>
      <w:r w:rsidR="00400A81">
        <w:t>Abusleme</w:t>
      </w:r>
      <w:proofErr w:type="spellEnd"/>
      <w:r w:rsidR="00400A81">
        <w:t xml:space="preserve"> et al. 2013, </w:t>
      </w:r>
      <w:proofErr w:type="spellStart"/>
      <w:r w:rsidR="00400A81">
        <w:t>Griffen</w:t>
      </w:r>
      <w:proofErr w:type="spellEnd"/>
      <w:r w:rsidR="00400A81">
        <w:t xml:space="preserve"> et al. 2012)</w:t>
      </w:r>
      <w:r w:rsidR="006B7242">
        <w:t>. This</w:t>
      </w:r>
      <w:r w:rsidR="00600E47">
        <w:t xml:space="preserve"> in turn, has led</w:t>
      </w:r>
      <w:r w:rsidR="006B7242">
        <w:t xml:space="preserve"> to the concept of a community wide perturbation in the composition of the microbiome associated with </w:t>
      </w:r>
      <w:r w:rsidR="00687738">
        <w:t>periodontal disease</w:t>
      </w:r>
      <w:r w:rsidR="00A20BFC">
        <w:t xml:space="preserve"> (Hajishengallis &amp; Lamont 2012, Curtis MA 2014)</w:t>
      </w:r>
      <w:r w:rsidR="006B7242">
        <w:t xml:space="preserve">. </w:t>
      </w:r>
      <w:r w:rsidR="005B6485">
        <w:t>However, it remains controversial to what extent the observed shift in the microbial population structure in periodontitis</w:t>
      </w:r>
      <w:r w:rsidR="005A672B">
        <w:t xml:space="preserve"> </w:t>
      </w:r>
      <w:r w:rsidR="005B6485">
        <w:t xml:space="preserve">is </w:t>
      </w:r>
      <w:r w:rsidR="00A23852">
        <w:t xml:space="preserve">the primary </w:t>
      </w:r>
      <w:r w:rsidR="005B6485">
        <w:t>caus</w:t>
      </w:r>
      <w:r w:rsidR="00A23852">
        <w:t>e</w:t>
      </w:r>
      <w:r w:rsidR="005B6485">
        <w:t xml:space="preserve"> of pathology or simply a consequence of the altered environmental conditions </w:t>
      </w:r>
      <w:r w:rsidR="00A23852">
        <w:t>induced in an inflammatory disease</w:t>
      </w:r>
      <w:r w:rsidR="0014104B">
        <w:t>.</w:t>
      </w:r>
      <w:r w:rsidR="00A23852">
        <w:t xml:space="preserve"> </w:t>
      </w:r>
      <w:r w:rsidR="00A23852" w:rsidRPr="00207022">
        <w:t>This</w:t>
      </w:r>
      <w:r w:rsidR="00A23852">
        <w:t xml:space="preserve"> dichotomy remains an important issue in terms of both diagnosis and treatment modalities of a range of conditions associated with dysbiosis in humans</w:t>
      </w:r>
      <w:r w:rsidR="005A672B">
        <w:t xml:space="preserve"> (</w:t>
      </w:r>
      <w:proofErr w:type="spellStart"/>
      <w:r w:rsidR="005A672B">
        <w:t>Butto</w:t>
      </w:r>
      <w:proofErr w:type="spellEnd"/>
      <w:r w:rsidR="005A672B">
        <w:t xml:space="preserve"> </w:t>
      </w:r>
      <w:r w:rsidR="005A672B" w:rsidRPr="00471C02">
        <w:t>and Haller</w:t>
      </w:r>
      <w:r w:rsidR="005A672B">
        <w:t xml:space="preserve"> 2016).</w:t>
      </w:r>
    </w:p>
    <w:p w14:paraId="00DB5E94" w14:textId="217B711B" w:rsidR="009578F0" w:rsidRDefault="009578F0" w:rsidP="00600E47">
      <w:pPr>
        <w:spacing w:line="480" w:lineRule="auto"/>
        <w:ind w:left="360"/>
        <w:jc w:val="both"/>
      </w:pPr>
      <w:r>
        <w:t>In previous studies</w:t>
      </w:r>
      <w:r w:rsidR="001B190D">
        <w:t>,</w:t>
      </w:r>
      <w:r>
        <w:t xml:space="preserve"> using a mouse model of </w:t>
      </w:r>
      <w:r w:rsidR="007E74DB">
        <w:t xml:space="preserve">periodontal </w:t>
      </w:r>
      <w:r>
        <w:t>disease</w:t>
      </w:r>
      <w:r w:rsidR="00600E47">
        <w:t>,</w:t>
      </w:r>
      <w:r>
        <w:t xml:space="preserve"> we</w:t>
      </w:r>
      <w:r w:rsidR="0014104B">
        <w:t xml:space="preserve"> </w:t>
      </w:r>
      <w:r>
        <w:t>demonstrated that th</w:t>
      </w:r>
      <w:r w:rsidR="00576CA0">
        <w:t>e</w:t>
      </w:r>
      <w:r>
        <w:t xml:space="preserve"> introduction of </w:t>
      </w:r>
      <w:r w:rsidRPr="00600E47">
        <w:rPr>
          <w:i/>
        </w:rPr>
        <w:t>P. gingivalis</w:t>
      </w:r>
      <w:r>
        <w:t xml:space="preserve"> </w:t>
      </w:r>
      <w:r w:rsidR="00CD7427">
        <w:t xml:space="preserve">into the oral microbiome of specific pathogen free (SPF) mice </w:t>
      </w:r>
      <w:r>
        <w:t xml:space="preserve">led to significant alterations in both the quantity and qualitative composition of </w:t>
      </w:r>
      <w:r w:rsidR="00CD7427">
        <w:t xml:space="preserve">the </w:t>
      </w:r>
      <w:r w:rsidR="00600E47">
        <w:t>commensal microbial populations</w:t>
      </w:r>
      <w:r w:rsidR="0014104B">
        <w:t xml:space="preserve">: </w:t>
      </w:r>
      <w:r w:rsidR="00687738">
        <w:t>analogous to the community wide perturbations observed in human disease</w:t>
      </w:r>
      <w:r w:rsidR="00B6150C">
        <w:t xml:space="preserve"> (Hajishengal</w:t>
      </w:r>
      <w:r w:rsidR="00DA6CC2">
        <w:t>l</w:t>
      </w:r>
      <w:r w:rsidR="00B6150C">
        <w:t>is et al. 2011)</w:t>
      </w:r>
      <w:r w:rsidR="00600E47">
        <w:t xml:space="preserve">. </w:t>
      </w:r>
      <w:r w:rsidR="0014104B">
        <w:t>Similarly, t</w:t>
      </w:r>
      <w:r w:rsidR="00600E47">
        <w:t>h</w:t>
      </w:r>
      <w:r w:rsidR="0014104B">
        <w:t>e</w:t>
      </w:r>
      <w:r w:rsidR="00600E47">
        <w:t xml:space="preserve"> microbial shift was also</w:t>
      </w:r>
      <w:r>
        <w:t xml:space="preserve"> associated with the development of destructive disease based on </w:t>
      </w:r>
      <w:r w:rsidR="0014104B">
        <w:t xml:space="preserve">increased </w:t>
      </w:r>
      <w:r>
        <w:t>loss of alveolar bone</w:t>
      </w:r>
      <w:r w:rsidR="00600E47">
        <w:t xml:space="preserve"> in </w:t>
      </w:r>
      <w:r w:rsidR="00687738">
        <w:t xml:space="preserve">challenged </w:t>
      </w:r>
      <w:r w:rsidR="00600E47">
        <w:t>mice</w:t>
      </w:r>
      <w:r>
        <w:t xml:space="preserve">. </w:t>
      </w:r>
    </w:p>
    <w:p w14:paraId="60744439" w14:textId="129AF64C" w:rsidR="00F1251A" w:rsidRDefault="008E50FE" w:rsidP="008E67EC">
      <w:pPr>
        <w:spacing w:line="480" w:lineRule="auto"/>
        <w:ind w:left="360"/>
        <w:jc w:val="both"/>
      </w:pPr>
      <w:r>
        <w:lastRenderedPageBreak/>
        <w:t>In the present investigation</w:t>
      </w:r>
      <w:r w:rsidR="00F80C39">
        <w:t>,</w:t>
      </w:r>
      <w:r>
        <w:t xml:space="preserve"> we aimed to </w:t>
      </w:r>
      <w:r w:rsidR="005A672B">
        <w:t>use th</w:t>
      </w:r>
      <w:r w:rsidR="007E74DB">
        <w:t>is</w:t>
      </w:r>
      <w:r w:rsidR="005A672B">
        <w:t xml:space="preserve"> mouse model of periodontitis, or more precisely controlled transmission experiments</w:t>
      </w:r>
      <w:r w:rsidR="00F80C39">
        <w:t xml:space="preserve"> in mice</w:t>
      </w:r>
      <w:r w:rsidR="005A672B">
        <w:t xml:space="preserve">, to address whether the microbial dysbiosis observed in this system following oral challenge with </w:t>
      </w:r>
      <w:r w:rsidR="005A672B" w:rsidRPr="005A672B">
        <w:rPr>
          <w:i/>
        </w:rPr>
        <w:t>P. gingivalis</w:t>
      </w:r>
      <w:r w:rsidR="005A672B">
        <w:t xml:space="preserve"> represents a definitive pathological entity capable of </w:t>
      </w:r>
      <w:r w:rsidR="00917DB5">
        <w:t xml:space="preserve">transferring </w:t>
      </w:r>
      <w:r w:rsidR="001D0826" w:rsidRPr="00BF0BF9">
        <w:t xml:space="preserve">horizontally </w:t>
      </w:r>
      <w:r w:rsidR="00304BBB" w:rsidRPr="00BF0BF9">
        <w:t>(</w:t>
      </w:r>
      <w:r w:rsidR="00D651F1" w:rsidRPr="00BF0BF9">
        <w:t xml:space="preserve">from one mouse to another by co-caging) </w:t>
      </w:r>
      <w:r w:rsidR="001D0826" w:rsidRPr="00BF0BF9">
        <w:t>and vertically</w:t>
      </w:r>
      <w:r w:rsidR="00D651F1" w:rsidRPr="00BF0BF9">
        <w:t xml:space="preserve"> (between generations from parents to litter)</w:t>
      </w:r>
      <w:r w:rsidR="001D0826" w:rsidRPr="00BF0BF9">
        <w:t xml:space="preserve"> to </w:t>
      </w:r>
      <w:r w:rsidR="005A672B" w:rsidRPr="00BF0BF9">
        <w:t>driv</w:t>
      </w:r>
      <w:r w:rsidR="001D0826" w:rsidRPr="00BF0BF9">
        <w:t>e</w:t>
      </w:r>
      <w:r w:rsidR="005A672B" w:rsidRPr="00BF0BF9">
        <w:t xml:space="preserve"> destructive disease.</w:t>
      </w:r>
      <w:r w:rsidR="005A672B">
        <w:t xml:space="preserve"> </w:t>
      </w:r>
    </w:p>
    <w:p w14:paraId="676A3A69" w14:textId="77777777" w:rsidR="00FC4B39" w:rsidRPr="006E1B76" w:rsidRDefault="00FC4B39" w:rsidP="00F349A6">
      <w:pPr>
        <w:spacing w:line="480" w:lineRule="auto"/>
        <w:jc w:val="both"/>
      </w:pPr>
      <w:r w:rsidRPr="00FC4B39">
        <w:rPr>
          <w:rFonts w:cstheme="majorBidi"/>
          <w:b/>
          <w:bCs/>
        </w:rPr>
        <w:t>Materials and Methods</w:t>
      </w:r>
    </w:p>
    <w:p w14:paraId="714FCA13" w14:textId="77777777" w:rsidR="00FC4B39" w:rsidRPr="002C6098" w:rsidRDefault="00FC4B39" w:rsidP="00F349A6">
      <w:pPr>
        <w:spacing w:after="0" w:line="480" w:lineRule="auto"/>
        <w:jc w:val="both"/>
        <w:rPr>
          <w:rFonts w:eastAsia="Times New Roman" w:cstheme="majorBidi"/>
          <w:i/>
          <w:lang w:eastAsia="en-GB"/>
        </w:rPr>
      </w:pPr>
      <w:r w:rsidRPr="002C6098">
        <w:rPr>
          <w:rFonts w:cstheme="majorBidi"/>
          <w:b/>
          <w:bCs/>
          <w:i/>
        </w:rPr>
        <w:t>Animal</w:t>
      </w:r>
      <w:r w:rsidR="002C6098" w:rsidRPr="002C6098">
        <w:rPr>
          <w:rFonts w:cstheme="majorBidi"/>
          <w:b/>
          <w:bCs/>
          <w:i/>
        </w:rPr>
        <w:t>s</w:t>
      </w:r>
      <w:r w:rsidRPr="002C6098">
        <w:rPr>
          <w:rFonts w:cstheme="majorBidi"/>
          <w:b/>
          <w:bCs/>
          <w:i/>
        </w:rPr>
        <w:t xml:space="preserve"> </w:t>
      </w:r>
    </w:p>
    <w:p w14:paraId="1D082561" w14:textId="6FCEBE66" w:rsidR="00FC4B39" w:rsidRDefault="00FC4B39" w:rsidP="00F349A6">
      <w:pPr>
        <w:autoSpaceDE w:val="0"/>
        <w:autoSpaceDN w:val="0"/>
        <w:adjustRightInd w:val="0"/>
        <w:spacing w:after="0" w:line="480" w:lineRule="auto"/>
        <w:jc w:val="both"/>
        <w:rPr>
          <w:rFonts w:cstheme="majorBidi"/>
        </w:rPr>
      </w:pPr>
      <w:r w:rsidRPr="00FC4B39">
        <w:rPr>
          <w:rFonts w:eastAsia="Times New Roman" w:cstheme="majorBidi"/>
          <w:lang w:eastAsia="en-GB"/>
        </w:rPr>
        <w:t>A</w:t>
      </w:r>
      <w:r w:rsidR="008853E8">
        <w:rPr>
          <w:rFonts w:eastAsia="Times New Roman" w:cstheme="majorBidi"/>
          <w:lang w:eastAsia="en-GB"/>
        </w:rPr>
        <w:t>ll a</w:t>
      </w:r>
      <w:r w:rsidRPr="00FC4B39">
        <w:rPr>
          <w:rFonts w:eastAsia="Times New Roman" w:cstheme="majorBidi"/>
          <w:lang w:eastAsia="en-GB"/>
        </w:rPr>
        <w:t xml:space="preserve">nimal experiments were conducted in accredited facilities in accordance with the UK Animals (Scientific Procedures) Act 1986 (Home Office license number 7006844). </w:t>
      </w:r>
      <w:r w:rsidR="00B66FD0" w:rsidRPr="00FC4B39">
        <w:rPr>
          <w:rFonts w:cstheme="majorBidi"/>
        </w:rPr>
        <w:t>Germ</w:t>
      </w:r>
      <w:r w:rsidR="00B66FD0">
        <w:rPr>
          <w:rFonts w:cstheme="majorBidi"/>
        </w:rPr>
        <w:t>-</w:t>
      </w:r>
      <w:r w:rsidR="00B66FD0" w:rsidRPr="00FC4B39">
        <w:rPr>
          <w:rFonts w:cstheme="majorBidi"/>
        </w:rPr>
        <w:t>free C3H/</w:t>
      </w:r>
      <w:proofErr w:type="spellStart"/>
      <w:r w:rsidR="00B66FD0">
        <w:rPr>
          <w:rFonts w:cstheme="majorBidi"/>
        </w:rPr>
        <w:t>Orl</w:t>
      </w:r>
      <w:proofErr w:type="spellEnd"/>
      <w:r w:rsidR="00B66FD0" w:rsidRPr="00FC4B39">
        <w:rPr>
          <w:rFonts w:cstheme="majorBidi"/>
        </w:rPr>
        <w:t xml:space="preserve"> mice </w:t>
      </w:r>
      <w:r w:rsidR="00B66FD0">
        <w:rPr>
          <w:rFonts w:cstheme="majorBidi"/>
        </w:rPr>
        <w:t xml:space="preserve">(Charles River Laboratories International) </w:t>
      </w:r>
      <w:r w:rsidR="00B66FD0" w:rsidRPr="00FC4B39">
        <w:rPr>
          <w:rFonts w:cstheme="majorBidi"/>
        </w:rPr>
        <w:t xml:space="preserve">were maintained </w:t>
      </w:r>
      <w:r w:rsidR="00B66FD0">
        <w:rPr>
          <w:rFonts w:cstheme="majorBidi"/>
        </w:rPr>
        <w:t xml:space="preserve">in isolators </w:t>
      </w:r>
      <w:r w:rsidR="00B66FD0" w:rsidRPr="00FC4B39">
        <w:rPr>
          <w:rFonts w:cstheme="majorBidi"/>
        </w:rPr>
        <w:t>under axenic conditions at the Royal Veterinary College</w:t>
      </w:r>
      <w:r w:rsidR="00B66FD0">
        <w:rPr>
          <w:rFonts w:cstheme="majorBidi"/>
        </w:rPr>
        <w:t>, University of</w:t>
      </w:r>
      <w:r w:rsidR="00B66FD0" w:rsidRPr="00FC4B39">
        <w:rPr>
          <w:rFonts w:cstheme="majorBidi"/>
        </w:rPr>
        <w:t xml:space="preserve"> London as previously described</w:t>
      </w:r>
      <w:r w:rsidR="00B66FD0">
        <w:rPr>
          <w:rFonts w:cstheme="majorBidi"/>
        </w:rPr>
        <w:t xml:space="preserve"> </w:t>
      </w:r>
      <w:r w:rsidR="00B66FD0">
        <w:rPr>
          <w:rFonts w:cstheme="majorBidi"/>
        </w:rPr>
        <w:fldChar w:fldCharType="begin"/>
      </w:r>
      <w:r w:rsidR="002429DF">
        <w:rPr>
          <w:rFonts w:cstheme="majorBidi"/>
        </w:rPr>
        <w:instrText xml:space="preserve"> ADDIN EN.CITE &lt;EndNote&gt;&lt;Cite&gt;&lt;Author&gt;Hajishengallis&lt;/Author&gt;&lt;Year&gt;2011&lt;/Year&gt;&lt;RecNum&gt;457&lt;/RecNum&gt;&lt;IDText&gt;Low-abundance biofilm species orchestrates inflammatory periodontal disease through the commensal microbiota and complement&lt;/IDText&gt;&lt;DisplayText&gt;(Hajishengallis et al., 2011)&lt;/DisplayText&gt;&lt;record&gt;&lt;rec-number&gt;457&lt;/rec-number&gt;&lt;foreign-keys&gt;&lt;key app="EN" db-id="wwr5svpd9wdadve0wt7pe5w3vdaa00pwefxr" timestamp="1321960786"&gt;457&lt;/key&gt;&lt;key app="ENWeb" db-id="S2hC5grtqgYAAH2wP1s"&gt;183&lt;/key&gt;&lt;/foreign-keys&gt;&lt;ref-type name="Journal Article"&gt;17&lt;/ref-type&gt;&lt;contributors&gt;&lt;authors&gt;&lt;author&gt;Hajishengallis, G.&lt;/author&gt;&lt;author&gt;Liang, S.&lt;/author&gt;&lt;author&gt;Payne, M. A.&lt;/author&gt;&lt;author&gt;Hashim, A.&lt;/author&gt;&lt;author&gt;Jotwani, R.&lt;/author&gt;&lt;author&gt;Eskan, M. A.&lt;/author&gt;&lt;author&gt;McIntosh, M. L.&lt;/author&gt;&lt;author&gt;Alsam, A.&lt;/author&gt;&lt;author&gt;Kirkwood, K. L.&lt;/author&gt;&lt;author&gt;Lambris, J. D.&lt;/author&gt;&lt;author&gt;Darveau, R. P.&lt;/author&gt;&lt;author&gt;Curtis, M. A.&lt;/author&gt;&lt;/authors&gt;&lt;/contributors&gt;&lt;auth-address&gt;Department of Microbiology and Immunology, University of Louisville School of Medicine, Louisville, KY 40292, USA; Center for Oral Health and Systemic Disease, University of Louisville School of Dentistry, Louisville, KY 40292, USA.&lt;/auth-address&gt;&lt;titles&gt;&lt;title&gt;Low-Abundance Biofilm Species Orchestrates Inflammatory Periodontal Disease through the Commensal Microbiota and Complement&lt;/title&gt;&lt;secondary-title&gt;Cell Host Microbe&lt;/secondary-title&gt;&lt;/titles&gt;&lt;periodical&gt;&lt;full-title&gt;Cell Host Microbe&lt;/full-title&gt;&lt;/periodical&gt;&lt;pages&gt;497-506&lt;/pages&gt;&lt;volume&gt;10&lt;/volume&gt;&lt;number&gt;5&lt;/number&gt;&lt;edition&gt;2011/11/01&lt;/edition&gt;&lt;dates&gt;&lt;year&gt;2011&lt;/year&gt;&lt;pub-dates&gt;&lt;date&gt;Nov 17&lt;/date&gt;&lt;/pub-dates&gt;&lt;/dates&gt;&lt;isbn&gt;1934-6069 (Electronic)&amp;#xD;1931-3128 (Linking)&lt;/isbn&gt;&lt;accession-num&gt;22036469&lt;/accession-num&gt;&lt;urls&gt;&lt;/urls&gt;&lt;electronic-resource-num&gt;S1931-3128(11)00299-X [pii]&amp;#xD;10.1016/j.chom.2011.10.006 [doi]&lt;/electronic-resource-num&gt;&lt;remote-database-provider&gt;Nlm&lt;/remote-database-provider&gt;&lt;language&gt;eng&lt;/language&gt;&lt;/record&gt;&lt;/Cite&gt;&lt;/EndNote&gt;</w:instrText>
      </w:r>
      <w:r w:rsidR="00B66FD0">
        <w:rPr>
          <w:rFonts w:cstheme="majorBidi"/>
        </w:rPr>
        <w:fldChar w:fldCharType="separate"/>
      </w:r>
      <w:r w:rsidR="002429DF">
        <w:rPr>
          <w:rFonts w:cstheme="majorBidi"/>
          <w:noProof/>
        </w:rPr>
        <w:t>(</w:t>
      </w:r>
      <w:hyperlink w:anchor="_ENREF_2" w:tooltip="Hajishengallis, 2011 #457" w:history="1">
        <w:r w:rsidR="00120ECB">
          <w:rPr>
            <w:rFonts w:cstheme="majorBidi"/>
            <w:noProof/>
          </w:rPr>
          <w:t>Hajishengallis et al. 2011</w:t>
        </w:r>
      </w:hyperlink>
      <w:r w:rsidR="002429DF">
        <w:rPr>
          <w:rFonts w:cstheme="majorBidi"/>
          <w:noProof/>
        </w:rPr>
        <w:t>)</w:t>
      </w:r>
      <w:r w:rsidR="00B66FD0">
        <w:rPr>
          <w:rFonts w:cstheme="majorBidi"/>
        </w:rPr>
        <w:fldChar w:fldCharType="end"/>
      </w:r>
      <w:r w:rsidR="00B66FD0" w:rsidRPr="00FC4B39">
        <w:rPr>
          <w:rFonts w:cstheme="majorBidi"/>
        </w:rPr>
        <w:t>.</w:t>
      </w:r>
      <w:r w:rsidRPr="00FC4B39">
        <w:rPr>
          <w:rFonts w:eastAsia="Times New Roman" w:cstheme="majorBidi"/>
          <w:lang w:eastAsia="en-GB"/>
        </w:rPr>
        <w:t xml:space="preserve"> </w:t>
      </w:r>
      <w:r w:rsidR="00AA7CFD" w:rsidRPr="00AA7CFD">
        <w:rPr>
          <w:rFonts w:cstheme="majorBidi"/>
        </w:rPr>
        <w:t>Conventional C</w:t>
      </w:r>
      <w:r w:rsidRPr="00AA7CFD">
        <w:rPr>
          <w:rFonts w:cstheme="majorBidi"/>
        </w:rPr>
        <w:t>3H/</w:t>
      </w:r>
      <w:proofErr w:type="spellStart"/>
      <w:r w:rsidR="00B66FD0">
        <w:rPr>
          <w:rFonts w:cstheme="majorBidi"/>
        </w:rPr>
        <w:t>Orl</w:t>
      </w:r>
      <w:proofErr w:type="spellEnd"/>
      <w:r w:rsidRPr="00AA7CFD">
        <w:rPr>
          <w:rFonts w:cstheme="majorBidi"/>
        </w:rPr>
        <w:t xml:space="preserve"> mice</w:t>
      </w:r>
      <w:r w:rsidR="00B66FD0">
        <w:rPr>
          <w:rFonts w:cstheme="majorBidi"/>
        </w:rPr>
        <w:t>, derived from the original germ-free mice</w:t>
      </w:r>
      <w:r w:rsidRPr="00AA7CFD">
        <w:rPr>
          <w:rFonts w:cstheme="majorBidi"/>
        </w:rPr>
        <w:t xml:space="preserve"> </w:t>
      </w:r>
      <w:r w:rsidRPr="00FC4B39">
        <w:rPr>
          <w:rFonts w:cstheme="majorBidi"/>
        </w:rPr>
        <w:t>were maintained in individually ventilated cages</w:t>
      </w:r>
      <w:r w:rsidR="00F912A6">
        <w:rPr>
          <w:rFonts w:cstheme="majorBidi"/>
        </w:rPr>
        <w:t xml:space="preserve"> (IVC)</w:t>
      </w:r>
      <w:r w:rsidRPr="00FC4B39">
        <w:rPr>
          <w:rFonts w:cstheme="majorBidi"/>
        </w:rPr>
        <w:t xml:space="preserve"> at the animal care facilities of Queen Mary University of London</w:t>
      </w:r>
      <w:r w:rsidR="00CD55C8">
        <w:rPr>
          <w:rFonts w:cstheme="majorBidi"/>
        </w:rPr>
        <w:t xml:space="preserve"> (QMUL)</w:t>
      </w:r>
      <w:r w:rsidRPr="00FC4B39">
        <w:rPr>
          <w:rFonts w:cstheme="majorBidi"/>
        </w:rPr>
        <w:t xml:space="preserve">.  </w:t>
      </w:r>
      <w:r w:rsidR="00A3749C">
        <w:rPr>
          <w:rFonts w:cstheme="majorBidi"/>
        </w:rPr>
        <w:t xml:space="preserve">The germ-free mice </w:t>
      </w:r>
      <w:r w:rsidR="007E64DF">
        <w:rPr>
          <w:rFonts w:cstheme="majorBidi"/>
        </w:rPr>
        <w:t>were</w:t>
      </w:r>
      <w:r w:rsidR="00A3749C">
        <w:rPr>
          <w:rFonts w:cstheme="majorBidi"/>
        </w:rPr>
        <w:t xml:space="preserve"> bred and maintained </w:t>
      </w:r>
      <w:r w:rsidR="007E64DF">
        <w:rPr>
          <w:rFonts w:cstheme="majorBidi"/>
        </w:rPr>
        <w:t>in a separate location due to the</w:t>
      </w:r>
      <w:r w:rsidR="00115AEC">
        <w:rPr>
          <w:rFonts w:cstheme="majorBidi"/>
        </w:rPr>
        <w:t xml:space="preserve"> highly specialist nature of their housing requirements</w:t>
      </w:r>
      <w:r w:rsidR="00CA63C9">
        <w:rPr>
          <w:rFonts w:cstheme="majorBidi"/>
        </w:rPr>
        <w:t xml:space="preserve">. </w:t>
      </w:r>
    </w:p>
    <w:p w14:paraId="75A53185" w14:textId="77777777" w:rsidR="00A14124" w:rsidRPr="00FC4B39" w:rsidRDefault="00A14124" w:rsidP="00F349A6">
      <w:pPr>
        <w:autoSpaceDE w:val="0"/>
        <w:autoSpaceDN w:val="0"/>
        <w:adjustRightInd w:val="0"/>
        <w:spacing w:after="0" w:line="480" w:lineRule="auto"/>
        <w:jc w:val="both"/>
        <w:rPr>
          <w:rFonts w:cstheme="majorBidi"/>
        </w:rPr>
      </w:pPr>
    </w:p>
    <w:p w14:paraId="5C8EB20F" w14:textId="77777777" w:rsidR="00FC4B39" w:rsidRPr="002C6098" w:rsidRDefault="002C6098" w:rsidP="00F349A6">
      <w:pPr>
        <w:autoSpaceDE w:val="0"/>
        <w:autoSpaceDN w:val="0"/>
        <w:adjustRightInd w:val="0"/>
        <w:spacing w:after="0" w:line="480" w:lineRule="auto"/>
        <w:jc w:val="both"/>
        <w:rPr>
          <w:rFonts w:cstheme="majorBidi"/>
          <w:i/>
        </w:rPr>
      </w:pPr>
      <w:r>
        <w:rPr>
          <w:rFonts w:cstheme="majorBidi"/>
          <w:b/>
          <w:i/>
        </w:rPr>
        <w:t>Oral G</w:t>
      </w:r>
      <w:r w:rsidR="00FC4B39" w:rsidRPr="002C6098">
        <w:rPr>
          <w:rFonts w:cstheme="majorBidi"/>
          <w:b/>
          <w:i/>
        </w:rPr>
        <w:t xml:space="preserve">avage </w:t>
      </w:r>
      <w:r>
        <w:rPr>
          <w:rFonts w:cstheme="majorBidi"/>
          <w:b/>
          <w:i/>
        </w:rPr>
        <w:t>and Microbiome T</w:t>
      </w:r>
      <w:r w:rsidRPr="002C6098">
        <w:rPr>
          <w:rFonts w:cstheme="majorBidi"/>
          <w:b/>
          <w:i/>
        </w:rPr>
        <w:t xml:space="preserve">ransfer </w:t>
      </w:r>
      <w:r>
        <w:rPr>
          <w:rFonts w:cstheme="majorBidi"/>
          <w:b/>
          <w:i/>
        </w:rPr>
        <w:t>E</w:t>
      </w:r>
      <w:r w:rsidR="00FC4B39" w:rsidRPr="002C6098">
        <w:rPr>
          <w:rFonts w:cstheme="majorBidi"/>
          <w:b/>
          <w:i/>
        </w:rPr>
        <w:t xml:space="preserve">xperiments </w:t>
      </w:r>
    </w:p>
    <w:p w14:paraId="4FFA3317" w14:textId="266D42B7" w:rsidR="00E22DF5" w:rsidRDefault="001A1CFB" w:rsidP="00F349A6">
      <w:pPr>
        <w:autoSpaceDE w:val="0"/>
        <w:autoSpaceDN w:val="0"/>
        <w:adjustRightInd w:val="0"/>
        <w:spacing w:after="0" w:line="480" w:lineRule="auto"/>
        <w:jc w:val="both"/>
        <w:rPr>
          <w:rFonts w:cstheme="majorBidi"/>
        </w:rPr>
      </w:pPr>
      <w:r w:rsidRPr="006B6081">
        <w:rPr>
          <w:rFonts w:cstheme="majorBidi"/>
          <w:i/>
        </w:rPr>
        <w:t>P. gingivalis</w:t>
      </w:r>
      <w:r w:rsidRPr="006B6081">
        <w:rPr>
          <w:rFonts w:cstheme="majorBidi"/>
        </w:rPr>
        <w:t xml:space="preserve"> W50 was grown on blood agar plates containing 5% defibrinated horse blood or in Brain Heart Infusion broth (BHI) </w:t>
      </w:r>
      <w:r w:rsidR="00786485">
        <w:rPr>
          <w:rFonts w:cstheme="majorBidi"/>
        </w:rPr>
        <w:t>(</w:t>
      </w:r>
      <w:proofErr w:type="spellStart"/>
      <w:r w:rsidR="00786485">
        <w:rPr>
          <w:rFonts w:cstheme="majorBidi"/>
        </w:rPr>
        <w:t>Oxoid</w:t>
      </w:r>
      <w:proofErr w:type="spellEnd"/>
      <w:r w:rsidR="00786485">
        <w:rPr>
          <w:rFonts w:cstheme="majorBidi"/>
        </w:rPr>
        <w:t xml:space="preserve">) </w:t>
      </w:r>
      <w:r w:rsidRPr="006B6081">
        <w:rPr>
          <w:rFonts w:cstheme="majorBidi"/>
        </w:rPr>
        <w:t xml:space="preserve">supplemented with haemin (5 </w:t>
      </w:r>
      <w:r w:rsidRPr="006B6081">
        <w:rPr>
          <w:rFonts w:ascii="Symbol" w:hAnsi="Symbol" w:cstheme="majorBidi"/>
        </w:rPr>
        <w:t></w:t>
      </w:r>
      <w:r w:rsidRPr="006B6081">
        <w:rPr>
          <w:rFonts w:cstheme="majorBidi"/>
        </w:rPr>
        <w:t>g</w:t>
      </w:r>
      <w:r w:rsidR="00C600BA">
        <w:rPr>
          <w:rFonts w:cstheme="majorBidi"/>
        </w:rPr>
        <w:t>/</w:t>
      </w:r>
      <w:r w:rsidRPr="006B6081">
        <w:rPr>
          <w:rFonts w:cstheme="majorBidi"/>
        </w:rPr>
        <w:t>mL) in an anaerobic atmosphere of 80% N</w:t>
      </w:r>
      <w:r w:rsidRPr="006B6081">
        <w:rPr>
          <w:rFonts w:cstheme="majorBidi"/>
          <w:vertAlign w:val="subscript"/>
        </w:rPr>
        <w:t>2</w:t>
      </w:r>
      <w:r w:rsidRPr="006B6081">
        <w:rPr>
          <w:rFonts w:cstheme="majorBidi"/>
        </w:rPr>
        <w:t>, 10% H</w:t>
      </w:r>
      <w:r w:rsidRPr="006B6081">
        <w:rPr>
          <w:rFonts w:cstheme="majorBidi"/>
          <w:vertAlign w:val="subscript"/>
        </w:rPr>
        <w:t>2</w:t>
      </w:r>
      <w:r w:rsidRPr="006B6081">
        <w:rPr>
          <w:rFonts w:cstheme="majorBidi"/>
        </w:rPr>
        <w:t xml:space="preserve"> and 10% CO</w:t>
      </w:r>
      <w:r w:rsidRPr="006B6081">
        <w:rPr>
          <w:rFonts w:cstheme="majorBidi"/>
          <w:vertAlign w:val="subscript"/>
        </w:rPr>
        <w:t>2</w:t>
      </w:r>
      <w:r w:rsidR="00D03FF6">
        <w:rPr>
          <w:rFonts w:cstheme="majorBidi"/>
          <w:vertAlign w:val="subscript"/>
        </w:rPr>
        <w:t xml:space="preserve"> </w:t>
      </w:r>
      <w:r w:rsidR="00D03FF6">
        <w:rPr>
          <w:rFonts w:cstheme="majorBidi"/>
        </w:rPr>
        <w:t>at 37</w:t>
      </w:r>
      <w:r w:rsidR="00D03FF6" w:rsidRPr="00D03FF6">
        <w:rPr>
          <w:rFonts w:cstheme="majorBidi"/>
          <w:vertAlign w:val="superscript"/>
        </w:rPr>
        <w:t>o</w:t>
      </w:r>
      <w:r w:rsidR="00D03FF6">
        <w:rPr>
          <w:rFonts w:cstheme="majorBidi"/>
        </w:rPr>
        <w:t xml:space="preserve">C </w:t>
      </w:r>
      <w:r w:rsidR="00BB1835">
        <w:rPr>
          <w:rFonts w:cstheme="majorBidi"/>
        </w:rPr>
        <w:t>(Don Whitley Scientific)</w:t>
      </w:r>
      <w:r w:rsidRPr="006B6081">
        <w:rPr>
          <w:rFonts w:cstheme="majorBidi"/>
        </w:rPr>
        <w:t xml:space="preserve">. </w:t>
      </w:r>
      <w:r w:rsidR="006B6081" w:rsidRPr="006B6081">
        <w:rPr>
          <w:rFonts w:cstheme="majorBidi"/>
        </w:rPr>
        <w:t xml:space="preserve">Oral gavage with </w:t>
      </w:r>
      <w:r w:rsidR="006B6081" w:rsidRPr="006B6081">
        <w:rPr>
          <w:rFonts w:cstheme="majorBidi"/>
          <w:i/>
        </w:rPr>
        <w:t>P. gingivalis</w:t>
      </w:r>
      <w:r w:rsidR="006B6081" w:rsidRPr="006B6081">
        <w:rPr>
          <w:rFonts w:cstheme="majorBidi"/>
        </w:rPr>
        <w:t xml:space="preserve"> was performed essentially as described by </w:t>
      </w:r>
      <w:r w:rsidR="00742DBC">
        <w:rPr>
          <w:rFonts w:cstheme="majorBidi"/>
        </w:rPr>
        <w:fldChar w:fldCharType="begin"/>
      </w:r>
      <w:r w:rsidR="002429DF">
        <w:rPr>
          <w:rFonts w:cstheme="majorBidi"/>
        </w:rPr>
        <w:instrText xml:space="preserve"> ADDIN EN.CITE &lt;EndNote&gt;&lt;Cite&gt;&lt;Author&gt;Baker&lt;/Author&gt;&lt;Year&gt;2000&lt;/Year&gt;&lt;RecNum&gt;319&lt;/RecNum&gt;&lt;IDText&gt;Genetic control of susceptibility to Porphyromonas gingivalis-induced alveolar bone loss in mice&lt;/IDText&gt;&lt;DisplayText&gt;(Baker et al., 2000)&lt;/DisplayText&gt;&lt;record&gt;&lt;rec-number&gt;319&lt;/rec-number&gt;&lt;foreign-keys&gt;&lt;key app="EN" db-id="wwr5svpd9wdadve0wt7pe5w3vdaa00pwefxr" timestamp="1280829695"&gt;319&lt;/key&gt;&lt;key app="ENWeb" db-id="S2hC5grtqgYAAH2wP1s"&gt;114&lt;/key&gt;&lt;/foreign-keys&gt;&lt;ref-type name="Journal Article"&gt;17&lt;/ref-type&gt;&lt;contributors&gt;&lt;authors&gt;&lt;author&gt;Baker, P. J.&lt;/author&gt;&lt;author&gt;Dixon, M.&lt;/author&gt;&lt;author&gt;Roopenian, D. C.&lt;/author&gt;&lt;/authors&gt;&lt;/contributors&gt;&lt;auth-address&gt;Biology Department, Bates College, Lewiston, Maine 04240, USA. pbaker@abacus.bates.edu&lt;/auth-address&gt;&lt;titles&gt;&lt;title&gt;Genetic control of susceptibility to Porphyromonas gingivalis-induced alveolar bone loss in mice&lt;/title&gt;&lt;secondary-title&gt;Infect Immun&lt;/secondary-title&gt;&lt;/titles&gt;&lt;periodical&gt;&lt;full-title&gt;Infect Immun&lt;/full-title&gt;&lt;/periodical&gt;&lt;pages&gt;5864-8&lt;/pages&gt;&lt;volume&gt;68&lt;/volume&gt;&lt;number&gt;10&lt;/number&gt;&lt;edition&gt;2000/09/19&lt;/edition&gt;&lt;keywords&gt;&lt;keyword&gt;Adult&lt;/keyword&gt;&lt;keyword&gt;Alveolar Bone Loss/ etiology/ genetics&lt;/keyword&gt;&lt;keyword&gt;Animals&lt;/keyword&gt;&lt;keyword&gt;Bacteroidaceae Infections/ complications/microbiology&lt;/keyword&gt;&lt;keyword&gt;Disease Models, Animal&lt;/keyword&gt;&lt;keyword&gt;Female&lt;/keyword&gt;&lt;keyword&gt;Genetic Predisposition to Disease&lt;/keyword&gt;&lt;keyword&gt;Humans&lt;/keyword&gt;&lt;keyword&gt;Male&lt;/keyword&gt;&lt;keyword&gt;Mice&lt;/keyword&gt;&lt;keyword&gt;Mice, Inbred Strains&lt;/keyword&gt;&lt;keyword&gt;Mouth Diseases/ complications/microbiology&lt;/keyword&gt;&lt;keyword&gt;Porphyromonas gingivalis/isolation &amp;amp; purification&lt;/keyword&gt;&lt;/keywords&gt;&lt;dates&gt;&lt;year&gt;2000&lt;/year&gt;&lt;pub-dates&gt;&lt;date&gt;Oct&lt;/date&gt;&lt;/pub-dates&gt;&lt;/dates&gt;&lt;isbn&gt;0019-9567 (Print)&amp;#xD;0019-9567 (Linking)&lt;/isbn&gt;&lt;accession-num&gt;10992496&lt;/accession-num&gt;&lt;urls&gt;&lt;/urls&gt;&lt;custom2&gt;101548&lt;/custom2&gt;&lt;remote-database-provider&gt;Nlm&lt;/remote-database-provider&gt;&lt;language&gt;eng&lt;/language&gt;&lt;/record&gt;&lt;/Cite&gt;&lt;/EndNote&gt;</w:instrText>
      </w:r>
      <w:r w:rsidR="00742DBC">
        <w:rPr>
          <w:rFonts w:cstheme="majorBidi"/>
        </w:rPr>
        <w:fldChar w:fldCharType="separate"/>
      </w:r>
      <w:r w:rsidR="002429DF">
        <w:rPr>
          <w:rFonts w:cstheme="majorBidi"/>
          <w:noProof/>
        </w:rPr>
        <w:t>(</w:t>
      </w:r>
      <w:hyperlink w:anchor="_ENREF_1" w:tooltip="Baker, 2000 #319" w:history="1">
        <w:r w:rsidR="00120ECB">
          <w:rPr>
            <w:rFonts w:cstheme="majorBidi"/>
            <w:noProof/>
          </w:rPr>
          <w:t>Baker et al. 2000</w:t>
        </w:r>
      </w:hyperlink>
      <w:r w:rsidR="002429DF">
        <w:rPr>
          <w:rFonts w:cstheme="majorBidi"/>
          <w:noProof/>
        </w:rPr>
        <w:t>)</w:t>
      </w:r>
      <w:r w:rsidR="00742DBC">
        <w:rPr>
          <w:rFonts w:cstheme="majorBidi"/>
        </w:rPr>
        <w:fldChar w:fldCharType="end"/>
      </w:r>
      <w:r w:rsidR="006B6081" w:rsidRPr="006B6081">
        <w:rPr>
          <w:rFonts w:cstheme="majorBidi"/>
        </w:rPr>
        <w:t xml:space="preserve">. Briefly, mice were orally inoculated by means of a ball-ended feeding needle three times at </w:t>
      </w:r>
      <w:r w:rsidR="005874C1">
        <w:rPr>
          <w:rFonts w:cstheme="majorBidi"/>
        </w:rPr>
        <w:t>two</w:t>
      </w:r>
      <w:r w:rsidR="00A14124">
        <w:rPr>
          <w:rFonts w:cstheme="majorBidi"/>
        </w:rPr>
        <w:t>-</w:t>
      </w:r>
      <w:r w:rsidR="006B6081" w:rsidRPr="006B6081">
        <w:rPr>
          <w:rFonts w:cstheme="majorBidi"/>
        </w:rPr>
        <w:t>day intervals with 10</w:t>
      </w:r>
      <w:r w:rsidR="006B6081" w:rsidRPr="006B6081">
        <w:rPr>
          <w:rFonts w:cstheme="majorBidi"/>
          <w:vertAlign w:val="superscript"/>
        </w:rPr>
        <w:t>9</w:t>
      </w:r>
      <w:r w:rsidR="006B6081" w:rsidRPr="006B6081">
        <w:rPr>
          <w:rFonts w:cstheme="majorBidi"/>
        </w:rPr>
        <w:t xml:space="preserve"> CFU </w:t>
      </w:r>
      <w:r w:rsidR="006B6081" w:rsidRPr="006B6081">
        <w:rPr>
          <w:rFonts w:cstheme="majorBidi"/>
          <w:i/>
        </w:rPr>
        <w:t xml:space="preserve">P. gingivalis </w:t>
      </w:r>
      <w:r w:rsidR="006B6081" w:rsidRPr="006B6081">
        <w:rPr>
          <w:rFonts w:cstheme="majorBidi"/>
        </w:rPr>
        <w:t>W50 suspended in 2% carboxy-methylcellulose</w:t>
      </w:r>
      <w:r w:rsidR="00B23EFB">
        <w:rPr>
          <w:rFonts w:cstheme="majorBidi"/>
        </w:rPr>
        <w:t xml:space="preserve"> (Sigma)</w:t>
      </w:r>
      <w:r w:rsidR="006B6081" w:rsidRPr="006B6081">
        <w:rPr>
          <w:rFonts w:cstheme="majorBidi"/>
        </w:rPr>
        <w:t xml:space="preserve"> vehicle. Sham controls received vehicle alone.</w:t>
      </w:r>
      <w:r w:rsidRPr="006B6081">
        <w:rPr>
          <w:rFonts w:cstheme="majorBidi"/>
        </w:rPr>
        <w:t xml:space="preserve"> </w:t>
      </w:r>
    </w:p>
    <w:p w14:paraId="4050F21C" w14:textId="77777777" w:rsidR="00E66CAB" w:rsidRDefault="005D4B94" w:rsidP="00F349A6">
      <w:pPr>
        <w:autoSpaceDE w:val="0"/>
        <w:autoSpaceDN w:val="0"/>
        <w:adjustRightInd w:val="0"/>
        <w:spacing w:after="0" w:line="480" w:lineRule="auto"/>
        <w:jc w:val="both"/>
      </w:pPr>
      <w:r>
        <w:rPr>
          <w:rFonts w:cstheme="majorBidi"/>
        </w:rPr>
        <w:t>For the stability, vertical transmission</w:t>
      </w:r>
      <w:r w:rsidR="00E212F3">
        <w:rPr>
          <w:rFonts w:cstheme="majorBidi"/>
        </w:rPr>
        <w:t xml:space="preserve"> </w:t>
      </w:r>
      <w:r>
        <w:rPr>
          <w:rFonts w:cstheme="majorBidi"/>
        </w:rPr>
        <w:t>and horizontal transmission experiments, six mice were used in the control and challenged cohort</w:t>
      </w:r>
      <w:r w:rsidR="003C50A6">
        <w:rPr>
          <w:rFonts w:cstheme="majorBidi"/>
        </w:rPr>
        <w:t>s</w:t>
      </w:r>
      <w:r>
        <w:rPr>
          <w:rFonts w:cstheme="majorBidi"/>
        </w:rPr>
        <w:t xml:space="preserve"> at the beginning of the study. For the antibiotic experiment, five </w:t>
      </w:r>
      <w:r>
        <w:rPr>
          <w:rFonts w:cstheme="majorBidi"/>
        </w:rPr>
        <w:lastRenderedPageBreak/>
        <w:t>mice were used in each cohort.</w:t>
      </w:r>
      <w:r w:rsidR="00C82A09">
        <w:rPr>
          <w:rFonts w:cstheme="majorBidi"/>
        </w:rPr>
        <w:t xml:space="preserve"> </w:t>
      </w:r>
      <w:r w:rsidR="007D664F">
        <w:rPr>
          <w:rFonts w:cstheme="majorBidi"/>
        </w:rPr>
        <w:t xml:space="preserve">In the stability experiment, </w:t>
      </w:r>
      <w:r w:rsidR="007D664F">
        <w:t>after week 16, two mice from each group were used as breeders to generate litters to de</w:t>
      </w:r>
      <w:r w:rsidR="003C50A6">
        <w:t xml:space="preserve">termine </w:t>
      </w:r>
      <w:r w:rsidR="00C82A09">
        <w:t>the efficiency of</w:t>
      </w:r>
      <w:r w:rsidR="007D664F">
        <w:t xml:space="preserve"> vertical transfer</w:t>
      </w:r>
      <w:r w:rsidR="00C82A09">
        <w:t>.</w:t>
      </w:r>
      <w:r w:rsidR="00C57E1D">
        <w:t xml:space="preserve"> </w:t>
      </w:r>
    </w:p>
    <w:p w14:paraId="1F7AEA75" w14:textId="1C080454" w:rsidR="009B5551" w:rsidRPr="00BF0BF9" w:rsidRDefault="0082767E" w:rsidP="00F349A6">
      <w:pPr>
        <w:autoSpaceDE w:val="0"/>
        <w:autoSpaceDN w:val="0"/>
        <w:adjustRightInd w:val="0"/>
        <w:spacing w:after="0" w:line="480" w:lineRule="auto"/>
        <w:jc w:val="both"/>
        <w:rPr>
          <w:rFonts w:cstheme="majorBidi"/>
        </w:rPr>
      </w:pPr>
      <w:r>
        <w:rPr>
          <w:rFonts w:cstheme="majorBidi"/>
        </w:rPr>
        <w:t xml:space="preserve">For </w:t>
      </w:r>
      <w:r w:rsidR="006346C3">
        <w:rPr>
          <w:rFonts w:cstheme="majorBidi"/>
        </w:rPr>
        <w:t xml:space="preserve">horizontal </w:t>
      </w:r>
      <w:r w:rsidR="006346C3" w:rsidRPr="00827575">
        <w:rPr>
          <w:rFonts w:cstheme="majorBidi"/>
        </w:rPr>
        <w:t>transfer</w:t>
      </w:r>
      <w:r w:rsidR="00CB150C" w:rsidRPr="00827575">
        <w:rPr>
          <w:rFonts w:cstheme="majorBidi"/>
        </w:rPr>
        <w:t xml:space="preserve"> experiment</w:t>
      </w:r>
      <w:r w:rsidR="00A14124">
        <w:rPr>
          <w:rFonts w:cstheme="majorBidi"/>
        </w:rPr>
        <w:t>s</w:t>
      </w:r>
      <w:r>
        <w:rPr>
          <w:rFonts w:cstheme="majorBidi"/>
        </w:rPr>
        <w:t xml:space="preserve">, germ-free </w:t>
      </w:r>
      <w:r w:rsidR="000D615B">
        <w:rPr>
          <w:rFonts w:cstheme="majorBidi"/>
        </w:rPr>
        <w:t xml:space="preserve">mice were transported </w:t>
      </w:r>
      <w:r w:rsidR="00C82A09">
        <w:rPr>
          <w:rFonts w:cstheme="majorBidi"/>
        </w:rPr>
        <w:t xml:space="preserve">in sterile conditions </w:t>
      </w:r>
      <w:r w:rsidR="000D615B">
        <w:rPr>
          <w:rFonts w:cstheme="majorBidi"/>
        </w:rPr>
        <w:t xml:space="preserve">to the </w:t>
      </w:r>
      <w:r w:rsidR="00CD55C8">
        <w:rPr>
          <w:rFonts w:cstheme="majorBidi"/>
        </w:rPr>
        <w:t>SPF animal facility at QMUL</w:t>
      </w:r>
      <w:r w:rsidR="0032151C">
        <w:rPr>
          <w:rFonts w:cstheme="majorBidi"/>
        </w:rPr>
        <w:t xml:space="preserve"> and co</w:t>
      </w:r>
      <w:r w:rsidR="008A0F31">
        <w:rPr>
          <w:rFonts w:cstheme="majorBidi"/>
        </w:rPr>
        <w:t>-</w:t>
      </w:r>
      <w:r w:rsidR="0032151C">
        <w:rPr>
          <w:rFonts w:cstheme="majorBidi"/>
        </w:rPr>
        <w:t>caging set up immediately</w:t>
      </w:r>
      <w:r w:rsidR="003637A7">
        <w:rPr>
          <w:rFonts w:cstheme="majorBidi"/>
        </w:rPr>
        <w:t xml:space="preserve"> in IV</w:t>
      </w:r>
      <w:r w:rsidR="00F912A6">
        <w:rPr>
          <w:rFonts w:cstheme="majorBidi"/>
        </w:rPr>
        <w:t>Cs</w:t>
      </w:r>
      <w:r w:rsidR="0032151C">
        <w:rPr>
          <w:rFonts w:cstheme="majorBidi"/>
        </w:rPr>
        <w:t xml:space="preserve">. </w:t>
      </w:r>
      <w:r w:rsidR="008A0F31">
        <w:rPr>
          <w:rFonts w:cstheme="majorBidi"/>
        </w:rPr>
        <w:t>Oral swabs were collected from the germ-free mice before co-caging to confirm sterility.</w:t>
      </w:r>
      <w:r w:rsidR="00CB150C" w:rsidRPr="00827575">
        <w:rPr>
          <w:rFonts w:cstheme="majorBidi"/>
        </w:rPr>
        <w:t xml:space="preserve"> </w:t>
      </w:r>
      <w:r w:rsidR="008A0F31">
        <w:rPr>
          <w:rFonts w:cstheme="majorBidi"/>
        </w:rPr>
        <w:t>T</w:t>
      </w:r>
      <w:r w:rsidR="003147B5">
        <w:rPr>
          <w:rFonts w:cstheme="majorBidi"/>
        </w:rPr>
        <w:t xml:space="preserve">wo </w:t>
      </w:r>
      <w:r w:rsidR="0026083F">
        <w:rPr>
          <w:rFonts w:cstheme="majorBidi"/>
        </w:rPr>
        <w:t xml:space="preserve">challenged </w:t>
      </w:r>
      <w:r w:rsidR="002429DF">
        <w:rPr>
          <w:rFonts w:cstheme="majorBidi"/>
        </w:rPr>
        <w:t xml:space="preserve">female </w:t>
      </w:r>
      <w:r w:rsidR="00427262">
        <w:rPr>
          <w:rFonts w:cstheme="majorBidi"/>
        </w:rPr>
        <w:t xml:space="preserve">SPF </w:t>
      </w:r>
      <w:r w:rsidR="00CB150C" w:rsidRPr="00827575">
        <w:rPr>
          <w:rFonts w:cstheme="majorBidi"/>
        </w:rPr>
        <w:t xml:space="preserve">donor </w:t>
      </w:r>
      <w:r w:rsidR="00427262">
        <w:rPr>
          <w:rFonts w:cstheme="majorBidi"/>
        </w:rPr>
        <w:t xml:space="preserve">mice </w:t>
      </w:r>
      <w:r w:rsidR="00CB150C" w:rsidRPr="00827575">
        <w:rPr>
          <w:rFonts w:cstheme="majorBidi"/>
        </w:rPr>
        <w:t xml:space="preserve">and </w:t>
      </w:r>
      <w:r w:rsidR="003147B5">
        <w:rPr>
          <w:rFonts w:cstheme="majorBidi"/>
        </w:rPr>
        <w:t xml:space="preserve">four </w:t>
      </w:r>
      <w:r w:rsidR="00CB150C" w:rsidRPr="00827575">
        <w:rPr>
          <w:rFonts w:cstheme="majorBidi"/>
        </w:rPr>
        <w:t xml:space="preserve">recipient </w:t>
      </w:r>
      <w:r w:rsidR="003147B5">
        <w:rPr>
          <w:rFonts w:cstheme="majorBidi"/>
        </w:rPr>
        <w:t xml:space="preserve">germ-free </w:t>
      </w:r>
      <w:r w:rsidR="00CB150C" w:rsidRPr="00827575">
        <w:rPr>
          <w:rFonts w:cstheme="majorBidi"/>
        </w:rPr>
        <w:t xml:space="preserve">animals </w:t>
      </w:r>
      <w:r w:rsidR="008A0F31">
        <w:rPr>
          <w:rFonts w:cstheme="majorBidi"/>
        </w:rPr>
        <w:t xml:space="preserve">were </w:t>
      </w:r>
      <w:r w:rsidR="00A54400">
        <w:rPr>
          <w:rFonts w:cstheme="majorBidi"/>
        </w:rPr>
        <w:t>co-caged</w:t>
      </w:r>
      <w:r w:rsidR="008A0F31">
        <w:rPr>
          <w:rFonts w:cstheme="majorBidi"/>
        </w:rPr>
        <w:t xml:space="preserve"> at</w:t>
      </w:r>
      <w:r w:rsidR="00CB150C" w:rsidRPr="00827575">
        <w:rPr>
          <w:rFonts w:cstheme="majorBidi"/>
        </w:rPr>
        <w:t xml:space="preserve"> </w:t>
      </w:r>
      <w:r w:rsidR="002429DF">
        <w:rPr>
          <w:rFonts w:cstheme="majorBidi"/>
        </w:rPr>
        <w:t>a ratio of 1:2</w:t>
      </w:r>
      <w:r w:rsidR="008A0F31">
        <w:rPr>
          <w:rFonts w:cstheme="majorBidi"/>
        </w:rPr>
        <w:t xml:space="preserve"> in each cage</w:t>
      </w:r>
      <w:r w:rsidR="001A1C76">
        <w:rPr>
          <w:rFonts w:cstheme="majorBidi"/>
        </w:rPr>
        <w:t xml:space="preserve"> for 16 weeks</w:t>
      </w:r>
      <w:r w:rsidR="002429DF">
        <w:rPr>
          <w:rFonts w:cstheme="majorBidi"/>
        </w:rPr>
        <w:t>.</w:t>
      </w:r>
      <w:r w:rsidR="00736287">
        <w:rPr>
          <w:rFonts w:cstheme="majorBidi"/>
        </w:rPr>
        <w:t xml:space="preserve"> </w:t>
      </w:r>
      <w:r w:rsidR="001178C1" w:rsidRPr="00BF0BF9">
        <w:rPr>
          <w:rFonts w:cstheme="majorBidi"/>
        </w:rPr>
        <w:t xml:space="preserve">The co-caging was </w:t>
      </w:r>
      <w:r w:rsidR="002704DA" w:rsidRPr="00BF0BF9">
        <w:rPr>
          <w:rFonts w:cstheme="majorBidi"/>
        </w:rPr>
        <w:t>commenced</w:t>
      </w:r>
      <w:r w:rsidR="001178C1" w:rsidRPr="00BF0BF9">
        <w:rPr>
          <w:rFonts w:cstheme="majorBidi"/>
        </w:rPr>
        <w:t xml:space="preserve"> 10 days after the last </w:t>
      </w:r>
      <w:r w:rsidR="001178C1" w:rsidRPr="00BF0BF9">
        <w:rPr>
          <w:rFonts w:cstheme="majorBidi"/>
          <w:i/>
          <w:iCs/>
        </w:rPr>
        <w:t xml:space="preserve">P. gingivalis </w:t>
      </w:r>
      <w:r w:rsidR="005D566F" w:rsidRPr="00BF0BF9">
        <w:rPr>
          <w:rFonts w:cstheme="majorBidi"/>
        </w:rPr>
        <w:t xml:space="preserve">inoculation of the female SPF mice, which was also </w:t>
      </w:r>
      <w:r w:rsidR="00931898" w:rsidRPr="00BF0BF9">
        <w:rPr>
          <w:rFonts w:cstheme="majorBidi"/>
        </w:rPr>
        <w:t xml:space="preserve">when </w:t>
      </w:r>
      <w:r w:rsidR="002704DA" w:rsidRPr="00BF0BF9">
        <w:rPr>
          <w:rFonts w:cstheme="majorBidi"/>
        </w:rPr>
        <w:t xml:space="preserve">oral </w:t>
      </w:r>
      <w:r w:rsidR="00931898" w:rsidRPr="00BF0BF9">
        <w:rPr>
          <w:rFonts w:cstheme="majorBidi"/>
        </w:rPr>
        <w:t xml:space="preserve">dysbiosis was confirmed by </w:t>
      </w:r>
      <w:r w:rsidR="002704DA" w:rsidRPr="00BF0BF9">
        <w:rPr>
          <w:rFonts w:cstheme="majorBidi"/>
        </w:rPr>
        <w:t>microbial analysis</w:t>
      </w:r>
      <w:r w:rsidR="00931898" w:rsidRPr="00BF0BF9">
        <w:rPr>
          <w:rFonts w:cstheme="majorBidi"/>
        </w:rPr>
        <w:t xml:space="preserve">. </w:t>
      </w:r>
    </w:p>
    <w:p w14:paraId="6951CFA6" w14:textId="7C405A7F" w:rsidR="00FC4B39" w:rsidRPr="00BF0BF9" w:rsidRDefault="00F67E40" w:rsidP="00F349A6">
      <w:pPr>
        <w:autoSpaceDE w:val="0"/>
        <w:autoSpaceDN w:val="0"/>
        <w:adjustRightInd w:val="0"/>
        <w:spacing w:after="0" w:line="480" w:lineRule="auto"/>
        <w:jc w:val="both"/>
        <w:rPr>
          <w:rFonts w:cstheme="majorBidi"/>
        </w:rPr>
      </w:pPr>
      <w:r w:rsidRPr="00BF0BF9">
        <w:rPr>
          <w:rFonts w:cstheme="majorBidi"/>
        </w:rPr>
        <w:t>For the antibiotic</w:t>
      </w:r>
      <w:r w:rsidR="00DA78F6" w:rsidRPr="00BF0BF9">
        <w:rPr>
          <w:rFonts w:cstheme="majorBidi"/>
        </w:rPr>
        <w:t xml:space="preserve"> experiment,</w:t>
      </w:r>
      <w:r w:rsidR="002343BD" w:rsidRPr="00BF0BF9">
        <w:rPr>
          <w:rFonts w:cstheme="majorBidi"/>
        </w:rPr>
        <w:t xml:space="preserve"> a 2.5% </w:t>
      </w:r>
      <w:r w:rsidR="0018754E" w:rsidRPr="00BF0BF9">
        <w:rPr>
          <w:rFonts w:cstheme="majorBidi"/>
        </w:rPr>
        <w:t>solution of</w:t>
      </w:r>
      <w:r w:rsidR="00DA78F6" w:rsidRPr="00BF0BF9">
        <w:rPr>
          <w:rFonts w:cstheme="majorBidi"/>
        </w:rPr>
        <w:t xml:space="preserve"> </w:t>
      </w:r>
      <w:proofErr w:type="spellStart"/>
      <w:r w:rsidR="00534E78" w:rsidRPr="00BF0BF9">
        <w:rPr>
          <w:rFonts w:cstheme="majorBidi"/>
        </w:rPr>
        <w:t>Septrin</w:t>
      </w:r>
      <w:proofErr w:type="spellEnd"/>
      <w:r w:rsidR="00534E78" w:rsidRPr="00BF0BF9">
        <w:rPr>
          <w:rFonts w:cstheme="majorBidi"/>
        </w:rPr>
        <w:t xml:space="preserve"> co-trimoxazole</w:t>
      </w:r>
      <w:r w:rsidR="004D04EA" w:rsidRPr="00BF0BF9">
        <w:rPr>
          <w:rFonts w:cstheme="majorBidi"/>
        </w:rPr>
        <w:t xml:space="preserve"> (G</w:t>
      </w:r>
      <w:r w:rsidR="004D4875" w:rsidRPr="00BF0BF9">
        <w:rPr>
          <w:rFonts w:cstheme="majorBidi"/>
        </w:rPr>
        <w:t>laxo</w:t>
      </w:r>
      <w:r w:rsidR="004D04EA" w:rsidRPr="00BF0BF9">
        <w:rPr>
          <w:rFonts w:cstheme="majorBidi"/>
        </w:rPr>
        <w:t>S</w:t>
      </w:r>
      <w:r w:rsidR="004D4875" w:rsidRPr="00BF0BF9">
        <w:rPr>
          <w:rFonts w:cstheme="majorBidi"/>
        </w:rPr>
        <w:t>mith</w:t>
      </w:r>
      <w:r w:rsidR="004D04EA" w:rsidRPr="00BF0BF9">
        <w:rPr>
          <w:rFonts w:cstheme="majorBidi"/>
        </w:rPr>
        <w:t>K</w:t>
      </w:r>
      <w:r w:rsidR="004D4875" w:rsidRPr="00BF0BF9">
        <w:rPr>
          <w:rFonts w:cstheme="majorBidi"/>
        </w:rPr>
        <w:t>line</w:t>
      </w:r>
      <w:r w:rsidR="004D04EA" w:rsidRPr="00BF0BF9">
        <w:rPr>
          <w:rFonts w:cstheme="majorBidi"/>
        </w:rPr>
        <w:t>)</w:t>
      </w:r>
      <w:r w:rsidR="0018754E" w:rsidRPr="00BF0BF9">
        <w:rPr>
          <w:rFonts w:cstheme="majorBidi"/>
        </w:rPr>
        <w:t xml:space="preserve"> was pr</w:t>
      </w:r>
      <w:r w:rsidR="002D5810" w:rsidRPr="00BF0BF9">
        <w:rPr>
          <w:rFonts w:cstheme="majorBidi"/>
        </w:rPr>
        <w:t>ovided</w:t>
      </w:r>
      <w:r w:rsidR="0018754E" w:rsidRPr="00BF0BF9">
        <w:rPr>
          <w:rFonts w:cstheme="majorBidi"/>
        </w:rPr>
        <w:t xml:space="preserve"> in </w:t>
      </w:r>
      <w:r w:rsidR="007E3094" w:rsidRPr="00BF0BF9">
        <w:rPr>
          <w:rFonts w:cstheme="majorBidi"/>
        </w:rPr>
        <w:t xml:space="preserve">the </w:t>
      </w:r>
      <w:r w:rsidR="0018754E" w:rsidRPr="00BF0BF9">
        <w:rPr>
          <w:rFonts w:cstheme="majorBidi"/>
        </w:rPr>
        <w:t>drinking water</w:t>
      </w:r>
      <w:r w:rsidR="007E3094" w:rsidRPr="00BF0BF9">
        <w:rPr>
          <w:rFonts w:cstheme="majorBidi"/>
        </w:rPr>
        <w:t xml:space="preserve"> of the mice</w:t>
      </w:r>
      <w:r w:rsidR="002D5810" w:rsidRPr="00BF0BF9">
        <w:rPr>
          <w:rFonts w:cstheme="majorBidi"/>
        </w:rPr>
        <w:t xml:space="preserve"> for 10 days followed by a wash period of 4 days</w:t>
      </w:r>
      <w:r w:rsidR="007E3094" w:rsidRPr="00BF0BF9">
        <w:rPr>
          <w:rFonts w:cstheme="majorBidi"/>
        </w:rPr>
        <w:t>.</w:t>
      </w:r>
      <w:r w:rsidR="0018754E" w:rsidRPr="00BF0BF9">
        <w:rPr>
          <w:rFonts w:cstheme="majorBidi"/>
        </w:rPr>
        <w:t xml:space="preserve"> </w:t>
      </w:r>
      <w:r w:rsidR="004D04EA" w:rsidRPr="00BF0BF9">
        <w:rPr>
          <w:rFonts w:cstheme="majorBidi"/>
        </w:rPr>
        <w:t xml:space="preserve"> </w:t>
      </w:r>
      <w:r w:rsidR="00736287" w:rsidRPr="00BF0BF9">
        <w:rPr>
          <w:rFonts w:cstheme="majorBidi"/>
        </w:rPr>
        <w:t>At the end of each experiment, mice were euthanized by the CO</w:t>
      </w:r>
      <w:r w:rsidR="00736287" w:rsidRPr="00BF0BF9">
        <w:rPr>
          <w:rFonts w:cstheme="majorBidi"/>
          <w:vertAlign w:val="subscript"/>
        </w:rPr>
        <w:t>2</w:t>
      </w:r>
      <w:r w:rsidR="00736287" w:rsidRPr="00BF0BF9">
        <w:rPr>
          <w:rFonts w:cstheme="majorBidi"/>
        </w:rPr>
        <w:t xml:space="preserve"> inhalation method. </w:t>
      </w:r>
    </w:p>
    <w:p w14:paraId="4FCB901A" w14:textId="77777777" w:rsidR="00827575" w:rsidRPr="00BF0BF9" w:rsidRDefault="00827575" w:rsidP="00F349A6">
      <w:pPr>
        <w:spacing w:after="0" w:line="480" w:lineRule="auto"/>
        <w:jc w:val="both"/>
        <w:rPr>
          <w:rFonts w:cstheme="majorBidi"/>
          <w:color w:val="FF0000"/>
        </w:rPr>
      </w:pPr>
    </w:p>
    <w:p w14:paraId="1DCCC3F0" w14:textId="77777777" w:rsidR="00FC4B39" w:rsidRPr="00BF0BF9" w:rsidRDefault="002C6098" w:rsidP="00F349A6">
      <w:pPr>
        <w:spacing w:after="0" w:line="480" w:lineRule="auto"/>
        <w:jc w:val="both"/>
        <w:rPr>
          <w:rFonts w:cstheme="majorBidi"/>
          <w:b/>
          <w:bCs/>
          <w:i/>
        </w:rPr>
      </w:pPr>
      <w:r w:rsidRPr="00BF0BF9">
        <w:rPr>
          <w:rFonts w:cstheme="majorBidi"/>
          <w:b/>
          <w:bCs/>
          <w:i/>
        </w:rPr>
        <w:t xml:space="preserve">Cultural </w:t>
      </w:r>
      <w:r w:rsidR="00FC4B39" w:rsidRPr="00BF0BF9">
        <w:rPr>
          <w:rFonts w:cstheme="majorBidi"/>
          <w:b/>
          <w:bCs/>
          <w:i/>
        </w:rPr>
        <w:t>Microbiological analyses</w:t>
      </w:r>
    </w:p>
    <w:p w14:paraId="63E5487C" w14:textId="62F3E752" w:rsidR="009A7E7F" w:rsidRDefault="00FC4B39" w:rsidP="004B15A6">
      <w:pPr>
        <w:spacing w:after="0" w:line="480" w:lineRule="auto"/>
        <w:jc w:val="both"/>
        <w:rPr>
          <w:rFonts w:cstheme="majorBidi"/>
        </w:rPr>
      </w:pPr>
      <w:r w:rsidRPr="00BF0BF9">
        <w:rPr>
          <w:rFonts w:cstheme="majorBidi"/>
          <w:bCs/>
        </w:rPr>
        <w:t xml:space="preserve">The </w:t>
      </w:r>
      <w:r w:rsidRPr="00BF0BF9">
        <w:rPr>
          <w:rFonts w:cstheme="majorBidi"/>
        </w:rPr>
        <w:t xml:space="preserve">murine oral cavity was sampled for 30 seconds using sterile fine tip </w:t>
      </w:r>
      <w:r w:rsidR="009A6E72" w:rsidRPr="00BF0BF9">
        <w:rPr>
          <w:rFonts w:cstheme="majorBidi"/>
        </w:rPr>
        <w:t xml:space="preserve">rayon </w:t>
      </w:r>
      <w:r w:rsidRPr="00BF0BF9">
        <w:rPr>
          <w:rFonts w:cstheme="majorBidi"/>
        </w:rPr>
        <w:t>swabs (VWR</w:t>
      </w:r>
      <w:r w:rsidR="00A23C20" w:rsidRPr="00BF0BF9">
        <w:rPr>
          <w:rFonts w:cstheme="majorBidi"/>
        </w:rPr>
        <w:t xml:space="preserve"> International</w:t>
      </w:r>
      <w:r w:rsidRPr="00BF0BF9">
        <w:rPr>
          <w:rFonts w:cstheme="majorBidi"/>
        </w:rPr>
        <w:t xml:space="preserve">) and placed in a tube containing 100 µl reduced </w:t>
      </w:r>
      <w:r w:rsidR="0042428D" w:rsidRPr="00BF0BF9">
        <w:rPr>
          <w:rFonts w:cstheme="majorBidi"/>
        </w:rPr>
        <w:t xml:space="preserve">John’s </w:t>
      </w:r>
      <w:r w:rsidRPr="00BF0BF9">
        <w:rPr>
          <w:rFonts w:cstheme="majorBidi"/>
        </w:rPr>
        <w:t xml:space="preserve">transport medium. Serial dilutions of the </w:t>
      </w:r>
      <w:r w:rsidR="00777A7C" w:rsidRPr="00BF0BF9">
        <w:rPr>
          <w:rFonts w:cstheme="majorBidi"/>
        </w:rPr>
        <w:t>suspension</w:t>
      </w:r>
      <w:r w:rsidRPr="00BF0BF9">
        <w:rPr>
          <w:rFonts w:cstheme="majorBidi"/>
        </w:rPr>
        <w:t xml:space="preserve"> were spread onto blood agar plates for aerobic and anaerobic growth</w:t>
      </w:r>
      <w:r w:rsidR="00066E36" w:rsidRPr="00BF0BF9">
        <w:rPr>
          <w:rFonts w:cstheme="majorBidi"/>
        </w:rPr>
        <w:t xml:space="preserve"> at 37</w:t>
      </w:r>
      <w:r w:rsidR="00066E36" w:rsidRPr="00BF0BF9">
        <w:rPr>
          <w:rFonts w:cstheme="majorBidi"/>
          <w:vertAlign w:val="superscript"/>
        </w:rPr>
        <w:t>o</w:t>
      </w:r>
      <w:r w:rsidR="00066E36" w:rsidRPr="00BF0BF9">
        <w:rPr>
          <w:rFonts w:cstheme="majorBidi"/>
        </w:rPr>
        <w:t>C</w:t>
      </w:r>
      <w:r w:rsidRPr="00BF0BF9">
        <w:rPr>
          <w:rFonts w:cstheme="majorBidi"/>
        </w:rPr>
        <w:t xml:space="preserve">. The colony forming units (CFU) of </w:t>
      </w:r>
      <w:r w:rsidR="00C82A09" w:rsidRPr="00BF0BF9">
        <w:rPr>
          <w:rFonts w:cstheme="majorBidi"/>
        </w:rPr>
        <w:t xml:space="preserve">predominant </w:t>
      </w:r>
      <w:r w:rsidRPr="00BF0BF9">
        <w:rPr>
          <w:rFonts w:cstheme="majorBidi"/>
        </w:rPr>
        <w:t xml:space="preserve">cultivable bacteria </w:t>
      </w:r>
      <w:r w:rsidR="00FB227F" w:rsidRPr="00BF0BF9">
        <w:rPr>
          <w:rFonts w:cstheme="majorBidi"/>
        </w:rPr>
        <w:t xml:space="preserve">on each plate </w:t>
      </w:r>
      <w:r w:rsidRPr="00BF0BF9">
        <w:rPr>
          <w:rFonts w:cstheme="majorBidi"/>
        </w:rPr>
        <w:t>were counted</w:t>
      </w:r>
      <w:r w:rsidR="00FB227F" w:rsidRPr="00BF0BF9">
        <w:rPr>
          <w:rFonts w:cstheme="majorBidi"/>
        </w:rPr>
        <w:t xml:space="preserve">. Every different colony morphology type from each experimental group </w:t>
      </w:r>
      <w:r w:rsidR="00E424BB" w:rsidRPr="00BF0BF9">
        <w:rPr>
          <w:rFonts w:cstheme="majorBidi"/>
        </w:rPr>
        <w:t xml:space="preserve">was isolated, </w:t>
      </w:r>
      <w:r w:rsidRPr="00BF0BF9">
        <w:rPr>
          <w:rFonts w:cstheme="majorBidi"/>
        </w:rPr>
        <w:t xml:space="preserve">purified by subculture and identified by </w:t>
      </w:r>
      <w:r w:rsidR="00E424BB" w:rsidRPr="00BF0BF9">
        <w:rPr>
          <w:rFonts w:cstheme="majorBidi"/>
        </w:rPr>
        <w:t xml:space="preserve">full length </w:t>
      </w:r>
      <w:r w:rsidRPr="00BF0BF9">
        <w:rPr>
          <w:rFonts w:cstheme="majorBidi"/>
        </w:rPr>
        <w:t xml:space="preserve">16S ribosomal RNA </w:t>
      </w:r>
      <w:r w:rsidR="00FA6443" w:rsidRPr="00BF0BF9">
        <w:rPr>
          <w:rFonts w:cstheme="majorBidi"/>
        </w:rPr>
        <w:t xml:space="preserve">gene </w:t>
      </w:r>
      <w:r w:rsidRPr="00BF0BF9">
        <w:rPr>
          <w:rFonts w:cstheme="majorBidi"/>
        </w:rPr>
        <w:t>sequencing</w:t>
      </w:r>
      <w:r w:rsidR="00CB150C" w:rsidRPr="00BF0BF9">
        <w:rPr>
          <w:rFonts w:cstheme="majorBidi"/>
        </w:rPr>
        <w:t xml:space="preserve"> as described previously</w:t>
      </w:r>
      <w:r w:rsidR="007F6698" w:rsidRPr="00BF0BF9">
        <w:rPr>
          <w:rFonts w:cstheme="majorBidi"/>
        </w:rPr>
        <w:t xml:space="preserve"> </w:t>
      </w:r>
      <w:r w:rsidR="007F6698" w:rsidRPr="00BF0BF9">
        <w:rPr>
          <w:rFonts w:cstheme="majorBidi"/>
        </w:rPr>
        <w:fldChar w:fldCharType="begin">
          <w:fldData xml:space="preserve">PEVuZE5vdGU+PENpdGU+PEF1dGhvcj5IYWppc2hlbmdhbGxpczwvQXV0aG9yPjxZZWFyPjIwMTE8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</w:fldData>
        </w:fldChar>
      </w:r>
      <w:r w:rsidR="002429DF" w:rsidRPr="00BF0BF9">
        <w:rPr>
          <w:rFonts w:cstheme="majorBidi"/>
        </w:rPr>
        <w:instrText xml:space="preserve"> ADDIN EN.CITE </w:instrText>
      </w:r>
      <w:r w:rsidR="002429DF" w:rsidRPr="00BF0BF9">
        <w:rPr>
          <w:rFonts w:cstheme="majorBidi"/>
        </w:rPr>
        <w:fldChar w:fldCharType="begin">
          <w:fldData xml:space="preserve">PEVuZE5vdGU+PENpdGU+PEF1dGhvcj5IYWppc2hlbmdhbGxpczwvQXV0aG9yPjxZZWFyPjIwMTE8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</w:fldData>
        </w:fldChar>
      </w:r>
      <w:r w:rsidR="002429DF" w:rsidRPr="00BF0BF9">
        <w:rPr>
          <w:rFonts w:cstheme="majorBidi"/>
        </w:rPr>
        <w:instrText xml:space="preserve"> ADDIN EN.CITE.DATA </w:instrText>
      </w:r>
      <w:r w:rsidR="002429DF" w:rsidRPr="00BF0BF9">
        <w:rPr>
          <w:rFonts w:cstheme="majorBidi"/>
        </w:rPr>
      </w:r>
      <w:r w:rsidR="002429DF" w:rsidRPr="00BF0BF9">
        <w:rPr>
          <w:rFonts w:cstheme="majorBidi"/>
        </w:rPr>
        <w:fldChar w:fldCharType="end"/>
      </w:r>
      <w:r w:rsidR="007F6698" w:rsidRPr="00BF0BF9">
        <w:rPr>
          <w:rFonts w:cstheme="majorBidi"/>
        </w:rPr>
      </w:r>
      <w:r w:rsidR="007F6698" w:rsidRPr="00BF0BF9">
        <w:rPr>
          <w:rFonts w:cstheme="majorBidi"/>
        </w:rPr>
        <w:fldChar w:fldCharType="separate"/>
      </w:r>
      <w:r w:rsidR="002429DF" w:rsidRPr="00BF0BF9">
        <w:rPr>
          <w:rFonts w:cstheme="majorBidi"/>
          <w:noProof/>
        </w:rPr>
        <w:t>(</w:t>
      </w:r>
      <w:hyperlink w:anchor="_ENREF_2" w:tooltip="Hajishengallis, 2011 #457" w:history="1">
        <w:r w:rsidR="00120ECB" w:rsidRPr="00BF0BF9">
          <w:rPr>
            <w:rFonts w:cstheme="majorBidi"/>
            <w:noProof/>
          </w:rPr>
          <w:t>Hajishengallis et al</w:t>
        </w:r>
        <w:r w:rsidR="009849A3" w:rsidRPr="00BF0BF9">
          <w:rPr>
            <w:rFonts w:cstheme="majorBidi"/>
            <w:noProof/>
          </w:rPr>
          <w:t>.</w:t>
        </w:r>
        <w:r w:rsidR="00120ECB" w:rsidRPr="00BF0BF9">
          <w:rPr>
            <w:rFonts w:cstheme="majorBidi"/>
            <w:noProof/>
          </w:rPr>
          <w:t xml:space="preserve"> 2011</w:t>
        </w:r>
      </w:hyperlink>
      <w:r w:rsidR="002429DF" w:rsidRPr="00BF0BF9">
        <w:rPr>
          <w:rFonts w:cstheme="majorBidi"/>
          <w:noProof/>
        </w:rPr>
        <w:t xml:space="preserve">; </w:t>
      </w:r>
      <w:hyperlink w:anchor="_ENREF_4" w:tooltip="Maekawa, 2014 #579" w:history="1">
        <w:r w:rsidR="00120ECB" w:rsidRPr="00BF0BF9">
          <w:rPr>
            <w:rFonts w:cstheme="majorBidi"/>
            <w:noProof/>
          </w:rPr>
          <w:t>Maekawa et al</w:t>
        </w:r>
        <w:r w:rsidR="009849A3" w:rsidRPr="00BF0BF9">
          <w:rPr>
            <w:rFonts w:cstheme="majorBidi"/>
            <w:noProof/>
          </w:rPr>
          <w:t>.</w:t>
        </w:r>
        <w:r w:rsidR="00120ECB" w:rsidRPr="00BF0BF9">
          <w:rPr>
            <w:rFonts w:cstheme="majorBidi"/>
            <w:noProof/>
          </w:rPr>
          <w:t xml:space="preserve"> 2014</w:t>
        </w:r>
      </w:hyperlink>
      <w:r w:rsidR="002429DF" w:rsidRPr="00BF0BF9">
        <w:rPr>
          <w:rFonts w:cstheme="majorBidi"/>
          <w:noProof/>
        </w:rPr>
        <w:t>)</w:t>
      </w:r>
      <w:r w:rsidR="007F6698" w:rsidRPr="00BF0BF9">
        <w:rPr>
          <w:rFonts w:cstheme="majorBidi"/>
        </w:rPr>
        <w:fldChar w:fldCharType="end"/>
      </w:r>
      <w:r w:rsidR="007F6698" w:rsidRPr="00BF0BF9">
        <w:rPr>
          <w:rFonts w:cstheme="majorBidi"/>
        </w:rPr>
        <w:t>.</w:t>
      </w:r>
      <w:r w:rsidR="009A7E7F" w:rsidRPr="00BF0BF9">
        <w:rPr>
          <w:rFonts w:cstheme="majorBidi"/>
        </w:rPr>
        <w:t xml:space="preserve"> </w:t>
      </w:r>
      <w:r w:rsidR="00CE0A5C" w:rsidRPr="00BF0BF9">
        <w:rPr>
          <w:rFonts w:cstheme="majorBidi"/>
        </w:rPr>
        <w:t xml:space="preserve">On an average, 4-6 different colony types could be identified </w:t>
      </w:r>
      <w:r w:rsidR="002B3C34" w:rsidRPr="00BF0BF9">
        <w:rPr>
          <w:rFonts w:cstheme="majorBidi"/>
        </w:rPr>
        <w:t>on each blood agar plate.</w:t>
      </w:r>
      <w:r w:rsidR="002B3C34">
        <w:rPr>
          <w:rFonts w:cstheme="majorBidi"/>
        </w:rPr>
        <w:t xml:space="preserve"> </w:t>
      </w:r>
    </w:p>
    <w:p w14:paraId="537FD724" w14:textId="77777777" w:rsidR="00D65B51" w:rsidRDefault="00D65B51" w:rsidP="004B15A6">
      <w:pPr>
        <w:spacing w:after="0" w:line="480" w:lineRule="auto"/>
        <w:jc w:val="both"/>
      </w:pPr>
    </w:p>
    <w:p w14:paraId="45926B00" w14:textId="549E9C76" w:rsidR="00FC4B39" w:rsidRPr="004B15A6" w:rsidRDefault="00FC4B39">
      <w:pPr>
        <w:pStyle w:val="NormalWeb"/>
        <w:spacing w:before="0" w:beforeAutospacing="0" w:after="0" w:afterAutospacing="0" w:line="480" w:lineRule="auto"/>
        <w:jc w:val="both"/>
        <w:rPr>
          <w:rFonts w:asciiTheme="minorHAnsi" w:eastAsiaTheme="minorEastAsia" w:hAnsiTheme="minorHAnsi" w:cstheme="minorHAnsi"/>
          <w:b/>
          <w:bCs/>
          <w:i/>
          <w:color w:val="000000" w:themeColor="text1"/>
          <w:kern w:val="24"/>
          <w:sz w:val="22"/>
          <w:szCs w:val="22"/>
        </w:rPr>
      </w:pPr>
      <w:r w:rsidRPr="004B15A6">
        <w:rPr>
          <w:rFonts w:asciiTheme="minorHAnsi" w:eastAsiaTheme="minorEastAsia" w:hAnsiTheme="minorHAnsi" w:cstheme="minorHAnsi"/>
          <w:b/>
          <w:bCs/>
          <w:i/>
          <w:color w:val="000000" w:themeColor="text1"/>
          <w:kern w:val="24"/>
          <w:sz w:val="22"/>
          <w:szCs w:val="22"/>
        </w:rPr>
        <w:t>Next generation sequencing us</w:t>
      </w:r>
      <w:r w:rsidR="002C6098" w:rsidRPr="004B15A6">
        <w:rPr>
          <w:rFonts w:asciiTheme="minorHAnsi" w:eastAsiaTheme="minorEastAsia" w:hAnsiTheme="minorHAnsi" w:cstheme="minorHAnsi"/>
          <w:b/>
          <w:bCs/>
          <w:i/>
          <w:color w:val="000000" w:themeColor="text1"/>
          <w:kern w:val="24"/>
          <w:sz w:val="22"/>
          <w:szCs w:val="22"/>
        </w:rPr>
        <w:t xml:space="preserve">ing Roche 454 GS-FLX+ Titanium </w:t>
      </w:r>
      <w:proofErr w:type="spellStart"/>
      <w:r w:rsidR="002C6098" w:rsidRPr="004B15A6">
        <w:rPr>
          <w:rFonts w:asciiTheme="minorHAnsi" w:eastAsiaTheme="minorEastAsia" w:hAnsiTheme="minorHAnsi" w:cstheme="minorHAnsi"/>
          <w:b/>
          <w:bCs/>
          <w:i/>
          <w:color w:val="000000" w:themeColor="text1"/>
          <w:kern w:val="24"/>
          <w:sz w:val="22"/>
          <w:szCs w:val="22"/>
        </w:rPr>
        <w:t>P</w:t>
      </w:r>
      <w:r w:rsidRPr="004B15A6">
        <w:rPr>
          <w:rFonts w:asciiTheme="minorHAnsi" w:eastAsiaTheme="minorEastAsia" w:hAnsiTheme="minorHAnsi" w:cstheme="minorHAnsi"/>
          <w:b/>
          <w:bCs/>
          <w:i/>
          <w:color w:val="000000" w:themeColor="text1"/>
          <w:kern w:val="24"/>
          <w:sz w:val="22"/>
          <w:szCs w:val="22"/>
        </w:rPr>
        <w:t>yrosequencer</w:t>
      </w:r>
      <w:proofErr w:type="spellEnd"/>
    </w:p>
    <w:p w14:paraId="7075B3A8" w14:textId="4E96CD6F" w:rsidR="000A0E06" w:rsidRDefault="00E12C8A">
      <w:pPr>
        <w:pStyle w:val="NormalWeb"/>
        <w:spacing w:before="0" w:beforeAutospacing="0" w:after="0" w:afterAutospacing="0" w:line="480" w:lineRule="auto"/>
        <w:jc w:val="both"/>
        <w:rPr>
          <w:rFonts w:asciiTheme="minorHAnsi" w:eastAsiaTheme="minorEastAsia" w:hAnsiTheme="minorHAnsi" w:cstheme="minorHAnsi"/>
          <w:bCs/>
          <w:color w:val="000000" w:themeColor="text1"/>
          <w:kern w:val="24"/>
          <w:sz w:val="22"/>
          <w:szCs w:val="22"/>
        </w:rPr>
      </w:pPr>
      <w:r w:rsidRPr="004B15A6">
        <w:rPr>
          <w:rFonts w:asciiTheme="minorHAnsi" w:eastAsiaTheme="minorEastAsia" w:hAnsiTheme="minorHAnsi" w:cstheme="minorHAnsi"/>
          <w:bCs/>
          <w:color w:val="000000" w:themeColor="text1"/>
          <w:kern w:val="24"/>
          <w:sz w:val="22"/>
          <w:szCs w:val="22"/>
        </w:rPr>
        <w:t>Whole</w:t>
      </w:r>
      <w:r w:rsidR="009A7E7F" w:rsidRPr="004B15A6">
        <w:rPr>
          <w:rFonts w:asciiTheme="minorHAnsi" w:eastAsiaTheme="minorEastAsia" w:hAnsiTheme="minorHAnsi" w:cstheme="minorHAnsi"/>
          <w:bCs/>
          <w:color w:val="000000" w:themeColor="text1"/>
          <w:kern w:val="24"/>
          <w:sz w:val="22"/>
          <w:szCs w:val="22"/>
        </w:rPr>
        <w:t xml:space="preserve"> genomic DNA </w:t>
      </w:r>
      <w:r w:rsidRPr="004B15A6">
        <w:rPr>
          <w:rFonts w:asciiTheme="minorHAnsi" w:eastAsiaTheme="minorEastAsia" w:hAnsiTheme="minorHAnsi" w:cstheme="minorHAnsi"/>
          <w:bCs/>
          <w:color w:val="000000" w:themeColor="text1"/>
          <w:kern w:val="24"/>
          <w:sz w:val="22"/>
          <w:szCs w:val="22"/>
        </w:rPr>
        <w:t xml:space="preserve">was extracted from the above swabs </w:t>
      </w:r>
      <w:r w:rsidR="009A7E7F" w:rsidRPr="004B15A6">
        <w:rPr>
          <w:rFonts w:asciiTheme="minorHAnsi" w:eastAsiaTheme="minorEastAsia" w:hAnsiTheme="minorHAnsi" w:cstheme="minorHAnsi"/>
          <w:bCs/>
          <w:color w:val="000000" w:themeColor="text1"/>
          <w:kern w:val="24"/>
          <w:sz w:val="22"/>
          <w:szCs w:val="22"/>
        </w:rPr>
        <w:t xml:space="preserve">using the </w:t>
      </w:r>
      <w:proofErr w:type="spellStart"/>
      <w:r w:rsidR="009A7E7F" w:rsidRPr="004B15A6">
        <w:rPr>
          <w:rFonts w:asciiTheme="minorHAnsi" w:eastAsiaTheme="minorEastAsia" w:hAnsiTheme="minorHAnsi" w:cstheme="minorHAnsi"/>
          <w:bCs/>
          <w:color w:val="000000" w:themeColor="text1"/>
          <w:kern w:val="24"/>
          <w:sz w:val="22"/>
          <w:szCs w:val="22"/>
        </w:rPr>
        <w:t>GenElute</w:t>
      </w:r>
      <w:proofErr w:type="spellEnd"/>
      <w:r w:rsidR="009A7E7F" w:rsidRPr="004B15A6">
        <w:rPr>
          <w:rFonts w:asciiTheme="minorHAnsi" w:eastAsiaTheme="minorEastAsia" w:hAnsiTheme="minorHAnsi" w:cstheme="minorHAnsi"/>
          <w:bCs/>
          <w:color w:val="000000" w:themeColor="text1"/>
          <w:kern w:val="24"/>
          <w:sz w:val="22"/>
          <w:szCs w:val="22"/>
        </w:rPr>
        <w:t xml:space="preserve"> Bacterial </w:t>
      </w:r>
      <w:r w:rsidR="00FC4B39" w:rsidRPr="004B15A6">
        <w:rPr>
          <w:rFonts w:asciiTheme="minorHAnsi" w:eastAsiaTheme="minorEastAsia" w:hAnsiTheme="minorHAnsi" w:cstheme="minorHAnsi"/>
          <w:bCs/>
          <w:color w:val="000000" w:themeColor="text1"/>
          <w:kern w:val="24"/>
          <w:sz w:val="22"/>
          <w:szCs w:val="22"/>
        </w:rPr>
        <w:t xml:space="preserve">DNA </w:t>
      </w:r>
      <w:r w:rsidRPr="004B15A6">
        <w:rPr>
          <w:rFonts w:asciiTheme="minorHAnsi" w:eastAsiaTheme="minorEastAsia" w:hAnsiTheme="minorHAnsi" w:cstheme="minorHAnsi"/>
          <w:bCs/>
          <w:color w:val="000000" w:themeColor="text1"/>
          <w:kern w:val="24"/>
          <w:sz w:val="22"/>
          <w:szCs w:val="22"/>
        </w:rPr>
        <w:t xml:space="preserve">Kit (Sigma-Aldrich). The extracted samples </w:t>
      </w:r>
      <w:r w:rsidR="00FC4B39" w:rsidRPr="004B15A6">
        <w:rPr>
          <w:rFonts w:asciiTheme="minorHAnsi" w:eastAsiaTheme="minorEastAsia" w:hAnsiTheme="minorHAnsi" w:cstheme="minorHAnsi"/>
          <w:bCs/>
          <w:color w:val="000000" w:themeColor="text1"/>
          <w:kern w:val="24"/>
          <w:sz w:val="22"/>
          <w:szCs w:val="22"/>
        </w:rPr>
        <w:t xml:space="preserve">were used as templates in PCR reactions performed in Extensor </w:t>
      </w:r>
      <w:r w:rsidRPr="004B15A6">
        <w:rPr>
          <w:rFonts w:asciiTheme="minorHAnsi" w:eastAsiaTheme="minorEastAsia" w:hAnsiTheme="minorHAnsi" w:cstheme="minorHAnsi"/>
          <w:bCs/>
          <w:color w:val="000000" w:themeColor="text1"/>
          <w:kern w:val="24"/>
          <w:sz w:val="22"/>
          <w:szCs w:val="22"/>
        </w:rPr>
        <w:t>L</w:t>
      </w:r>
      <w:r w:rsidR="00FC4B39" w:rsidRPr="004B15A6">
        <w:rPr>
          <w:rFonts w:asciiTheme="minorHAnsi" w:eastAsiaTheme="minorEastAsia" w:hAnsiTheme="minorHAnsi" w:cstheme="minorHAnsi"/>
          <w:bCs/>
          <w:color w:val="000000" w:themeColor="text1"/>
          <w:kern w:val="24"/>
          <w:sz w:val="22"/>
          <w:szCs w:val="22"/>
        </w:rPr>
        <w:t xml:space="preserve">ong </w:t>
      </w:r>
      <w:r w:rsidRPr="004B15A6">
        <w:rPr>
          <w:rFonts w:asciiTheme="minorHAnsi" w:eastAsiaTheme="minorEastAsia" w:hAnsiTheme="minorHAnsi" w:cstheme="minorHAnsi"/>
          <w:bCs/>
          <w:color w:val="000000" w:themeColor="text1"/>
          <w:kern w:val="24"/>
          <w:sz w:val="22"/>
          <w:szCs w:val="22"/>
        </w:rPr>
        <w:t xml:space="preserve">PCR </w:t>
      </w:r>
      <w:proofErr w:type="spellStart"/>
      <w:r w:rsidR="00FC4B39" w:rsidRPr="004B15A6">
        <w:rPr>
          <w:rFonts w:asciiTheme="minorHAnsi" w:eastAsiaTheme="minorEastAsia" w:hAnsiTheme="minorHAnsi" w:cstheme="minorHAnsi"/>
          <w:bCs/>
          <w:color w:val="000000" w:themeColor="text1"/>
          <w:kern w:val="24"/>
          <w:sz w:val="22"/>
          <w:szCs w:val="22"/>
        </w:rPr>
        <w:t>Reddymix</w:t>
      </w:r>
      <w:proofErr w:type="spellEnd"/>
      <w:r w:rsidRPr="004B15A6">
        <w:rPr>
          <w:rFonts w:asciiTheme="minorHAnsi" w:eastAsiaTheme="minorEastAsia" w:hAnsiTheme="minorHAnsi" w:cstheme="minorHAnsi"/>
          <w:bCs/>
          <w:color w:val="000000" w:themeColor="text1"/>
          <w:kern w:val="24"/>
          <w:sz w:val="22"/>
          <w:szCs w:val="22"/>
        </w:rPr>
        <w:t xml:space="preserve"> </w:t>
      </w:r>
      <w:proofErr w:type="spellStart"/>
      <w:r w:rsidRPr="004B15A6">
        <w:rPr>
          <w:rFonts w:asciiTheme="minorHAnsi" w:eastAsiaTheme="minorEastAsia" w:hAnsiTheme="minorHAnsi" w:cstheme="minorHAnsi"/>
          <w:bCs/>
          <w:color w:val="000000" w:themeColor="text1"/>
          <w:kern w:val="24"/>
          <w:sz w:val="22"/>
          <w:szCs w:val="22"/>
        </w:rPr>
        <w:t>MasterMix</w:t>
      </w:r>
      <w:proofErr w:type="spellEnd"/>
      <w:r w:rsidR="00FC4B39" w:rsidRPr="004B15A6">
        <w:rPr>
          <w:rFonts w:asciiTheme="minorHAnsi" w:eastAsiaTheme="minorEastAsia" w:hAnsiTheme="minorHAnsi" w:cstheme="minorHAnsi"/>
          <w:bCs/>
          <w:color w:val="000000" w:themeColor="text1"/>
          <w:kern w:val="24"/>
          <w:sz w:val="22"/>
          <w:szCs w:val="22"/>
        </w:rPr>
        <w:t xml:space="preserve"> (Thermo Scientific) using primer 27FYM, extended at the 5’-</w:t>
      </w:r>
      <w:r w:rsidR="00FC4B39" w:rsidRPr="004B15A6">
        <w:rPr>
          <w:rFonts w:asciiTheme="minorHAnsi" w:eastAsiaTheme="minorEastAsia" w:hAnsiTheme="minorHAnsi" w:cstheme="minorHAnsi"/>
          <w:bCs/>
          <w:color w:val="000000" w:themeColor="text1"/>
          <w:kern w:val="24"/>
          <w:sz w:val="22"/>
          <w:szCs w:val="22"/>
        </w:rPr>
        <w:lastRenderedPageBreak/>
        <w:t>end to include a 30</w:t>
      </w:r>
      <w:r w:rsidRPr="004B15A6">
        <w:rPr>
          <w:rFonts w:asciiTheme="minorHAnsi" w:eastAsiaTheme="minorEastAsia" w:hAnsiTheme="minorHAnsi" w:cstheme="minorHAnsi"/>
          <w:bCs/>
          <w:color w:val="000000" w:themeColor="text1"/>
          <w:kern w:val="24"/>
          <w:sz w:val="22"/>
          <w:szCs w:val="22"/>
        </w:rPr>
        <w:t>-</w:t>
      </w:r>
      <w:r w:rsidR="00FC4B39" w:rsidRPr="004B15A6">
        <w:rPr>
          <w:rFonts w:asciiTheme="minorHAnsi" w:eastAsiaTheme="minorEastAsia" w:hAnsiTheme="minorHAnsi" w:cstheme="minorHAnsi"/>
          <w:bCs/>
          <w:color w:val="000000" w:themeColor="text1"/>
          <w:kern w:val="24"/>
          <w:sz w:val="22"/>
          <w:szCs w:val="22"/>
        </w:rPr>
        <w:t xml:space="preserve">base 454 adaptor sequence A and a unique 12 nucleotide </w:t>
      </w:r>
      <w:proofErr w:type="spellStart"/>
      <w:r w:rsidR="00FC4B39" w:rsidRPr="004B15A6">
        <w:rPr>
          <w:rFonts w:asciiTheme="minorHAnsi" w:eastAsiaTheme="minorEastAsia" w:hAnsiTheme="minorHAnsi" w:cstheme="minorHAnsi"/>
          <w:bCs/>
          <w:color w:val="000000" w:themeColor="text1"/>
          <w:kern w:val="24"/>
          <w:sz w:val="22"/>
          <w:szCs w:val="22"/>
        </w:rPr>
        <w:t>Golay</w:t>
      </w:r>
      <w:proofErr w:type="spellEnd"/>
      <w:r w:rsidR="00FC4B39" w:rsidRPr="004B15A6">
        <w:rPr>
          <w:rFonts w:asciiTheme="minorHAnsi" w:eastAsiaTheme="minorEastAsia" w:hAnsiTheme="minorHAnsi" w:cstheme="minorHAnsi"/>
          <w:bCs/>
          <w:color w:val="000000" w:themeColor="text1"/>
          <w:kern w:val="24"/>
          <w:sz w:val="22"/>
          <w:szCs w:val="22"/>
        </w:rPr>
        <w:t xml:space="preserve"> barcode for each sample, and primer 519R which has a 5’- extension with a 30-base 454 adaptor sequence B </w:t>
      </w:r>
      <w:r w:rsidR="00FC4B39" w:rsidRPr="004B15A6">
        <w:rPr>
          <w:rFonts w:asciiTheme="minorHAnsi" w:eastAsiaTheme="minorEastAsia" w:hAnsiTheme="minorHAnsi" w:cstheme="minorHAnsi"/>
          <w:bCs/>
          <w:color w:val="000000" w:themeColor="text1"/>
          <w:kern w:val="24"/>
          <w:sz w:val="22"/>
          <w:szCs w:val="22"/>
        </w:rPr>
        <w:fldChar w:fldCharType="begin">
          <w:fldData xml:space="preserve">PEVuZE5vdGU+PENpdGU+PEF1dGhvcj5LaXN0bGVyPC9BdXRob3I+PFllYXI+MjAxMzwvWWVhcj48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</w:fldData>
        </w:fldChar>
      </w:r>
      <w:r w:rsidR="002429DF" w:rsidRPr="004B15A6">
        <w:rPr>
          <w:rFonts w:asciiTheme="minorHAnsi" w:eastAsiaTheme="minorEastAsia" w:hAnsiTheme="minorHAnsi" w:cstheme="minorHAnsi"/>
          <w:bCs/>
          <w:color w:val="000000" w:themeColor="text1"/>
          <w:kern w:val="24"/>
          <w:sz w:val="22"/>
          <w:szCs w:val="22"/>
        </w:rPr>
        <w:instrText xml:space="preserve"> ADDIN EN.CITE </w:instrText>
      </w:r>
      <w:r w:rsidR="002429DF" w:rsidRPr="004B15A6">
        <w:rPr>
          <w:rFonts w:asciiTheme="minorHAnsi" w:eastAsiaTheme="minorEastAsia" w:hAnsiTheme="minorHAnsi" w:cstheme="minorHAnsi"/>
          <w:bCs/>
          <w:color w:val="000000" w:themeColor="text1"/>
          <w:kern w:val="24"/>
          <w:sz w:val="22"/>
          <w:szCs w:val="22"/>
        </w:rPr>
        <w:fldChar w:fldCharType="begin">
          <w:fldData xml:space="preserve">PEVuZE5vdGU+PENpdGU+PEF1dGhvcj5LaXN0bGVyPC9BdXRob3I+PFllYXI+MjAxMzwvWWVhcj48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</w:fldData>
        </w:fldChar>
      </w:r>
      <w:r w:rsidR="002429DF" w:rsidRPr="004B15A6">
        <w:rPr>
          <w:rFonts w:asciiTheme="minorHAnsi" w:eastAsiaTheme="minorEastAsia" w:hAnsiTheme="minorHAnsi" w:cstheme="minorHAnsi"/>
          <w:bCs/>
          <w:color w:val="000000" w:themeColor="text1"/>
          <w:kern w:val="24"/>
          <w:sz w:val="22"/>
          <w:szCs w:val="22"/>
        </w:rPr>
        <w:instrText xml:space="preserve"> ADDIN EN.CITE.DATA </w:instrText>
      </w:r>
      <w:r w:rsidR="002429DF" w:rsidRPr="004B15A6">
        <w:rPr>
          <w:rFonts w:asciiTheme="minorHAnsi" w:eastAsiaTheme="minorEastAsia" w:hAnsiTheme="minorHAnsi" w:cstheme="minorHAnsi"/>
          <w:bCs/>
          <w:color w:val="000000" w:themeColor="text1"/>
          <w:kern w:val="24"/>
          <w:sz w:val="22"/>
          <w:szCs w:val="22"/>
        </w:rPr>
      </w:r>
      <w:r w:rsidR="002429DF" w:rsidRPr="004B15A6">
        <w:rPr>
          <w:rFonts w:asciiTheme="minorHAnsi" w:eastAsiaTheme="minorEastAsia" w:hAnsiTheme="minorHAnsi" w:cstheme="minorHAnsi"/>
          <w:bCs/>
          <w:color w:val="000000" w:themeColor="text1"/>
          <w:kern w:val="24"/>
          <w:sz w:val="22"/>
          <w:szCs w:val="22"/>
        </w:rPr>
        <w:fldChar w:fldCharType="end"/>
      </w:r>
      <w:r w:rsidR="00FC4B39" w:rsidRPr="004B15A6">
        <w:rPr>
          <w:rFonts w:asciiTheme="minorHAnsi" w:eastAsiaTheme="minorEastAsia" w:hAnsiTheme="minorHAnsi" w:cstheme="minorHAnsi"/>
          <w:bCs/>
          <w:color w:val="000000" w:themeColor="text1"/>
          <w:kern w:val="24"/>
          <w:sz w:val="22"/>
          <w:szCs w:val="22"/>
        </w:rPr>
      </w:r>
      <w:r w:rsidR="00FC4B39" w:rsidRPr="004B15A6">
        <w:rPr>
          <w:rFonts w:asciiTheme="minorHAnsi" w:eastAsiaTheme="minorEastAsia" w:hAnsiTheme="minorHAnsi" w:cstheme="minorHAnsi"/>
          <w:bCs/>
          <w:color w:val="000000" w:themeColor="text1"/>
          <w:kern w:val="24"/>
          <w:sz w:val="22"/>
          <w:szCs w:val="22"/>
        </w:rPr>
        <w:fldChar w:fldCharType="separate"/>
      </w:r>
      <w:r w:rsidR="002429DF" w:rsidRPr="004B15A6">
        <w:rPr>
          <w:rFonts w:asciiTheme="minorHAnsi" w:eastAsiaTheme="minorEastAsia" w:hAnsiTheme="minorHAnsi" w:cstheme="minorHAnsi"/>
          <w:bCs/>
          <w:noProof/>
          <w:color w:val="000000" w:themeColor="text1"/>
          <w:kern w:val="24"/>
          <w:sz w:val="22"/>
          <w:szCs w:val="22"/>
        </w:rPr>
        <w:t>(</w:t>
      </w:r>
      <w:hyperlink w:anchor="_ENREF_3" w:tooltip="Kistler, 2013 #1704" w:history="1">
        <w:r w:rsidR="00120ECB" w:rsidRPr="004B15A6">
          <w:rPr>
            <w:rFonts w:asciiTheme="minorHAnsi" w:eastAsiaTheme="minorEastAsia" w:hAnsiTheme="minorHAnsi" w:cstheme="minorHAnsi"/>
            <w:bCs/>
            <w:noProof/>
            <w:color w:val="000000" w:themeColor="text1"/>
            <w:kern w:val="24"/>
            <w:sz w:val="22"/>
            <w:szCs w:val="22"/>
          </w:rPr>
          <w:t>Kistler et al. 2013</w:t>
        </w:r>
      </w:hyperlink>
      <w:r w:rsidR="002429DF" w:rsidRPr="004B15A6">
        <w:rPr>
          <w:rFonts w:asciiTheme="minorHAnsi" w:eastAsiaTheme="minorEastAsia" w:hAnsiTheme="minorHAnsi" w:cstheme="minorHAnsi"/>
          <w:bCs/>
          <w:noProof/>
          <w:color w:val="000000" w:themeColor="text1"/>
          <w:kern w:val="24"/>
          <w:sz w:val="22"/>
          <w:szCs w:val="22"/>
        </w:rPr>
        <w:t>)</w:t>
      </w:r>
      <w:r w:rsidR="00FC4B39" w:rsidRPr="004B15A6">
        <w:rPr>
          <w:rFonts w:asciiTheme="minorHAnsi" w:eastAsiaTheme="minorEastAsia" w:hAnsiTheme="minorHAnsi" w:cstheme="minorHAnsi"/>
          <w:bCs/>
          <w:color w:val="000000" w:themeColor="text1"/>
          <w:kern w:val="24"/>
          <w:sz w:val="22"/>
          <w:szCs w:val="22"/>
        </w:rPr>
        <w:fldChar w:fldCharType="end"/>
      </w:r>
      <w:r w:rsidR="00FC4B39" w:rsidRPr="004B15A6">
        <w:rPr>
          <w:rFonts w:asciiTheme="minorHAnsi" w:eastAsiaTheme="minorEastAsia" w:hAnsiTheme="minorHAnsi" w:cstheme="minorHAnsi"/>
          <w:bCs/>
          <w:color w:val="000000" w:themeColor="text1"/>
          <w:kern w:val="24"/>
          <w:sz w:val="22"/>
          <w:szCs w:val="22"/>
        </w:rPr>
        <w:t xml:space="preserve">. The </w:t>
      </w:r>
      <w:r w:rsidR="00267ABF" w:rsidRPr="004B15A6">
        <w:rPr>
          <w:rFonts w:asciiTheme="minorHAnsi" w:eastAsiaTheme="minorEastAsia" w:hAnsiTheme="minorHAnsi" w:cstheme="minorHAnsi"/>
          <w:bCs/>
          <w:color w:val="000000" w:themeColor="text1"/>
          <w:kern w:val="24"/>
          <w:sz w:val="22"/>
          <w:szCs w:val="22"/>
        </w:rPr>
        <w:t xml:space="preserve">amplified PCR </w:t>
      </w:r>
      <w:r w:rsidR="00FC4B39" w:rsidRPr="004B15A6">
        <w:rPr>
          <w:rFonts w:asciiTheme="minorHAnsi" w:eastAsiaTheme="minorEastAsia" w:hAnsiTheme="minorHAnsi" w:cstheme="minorHAnsi"/>
          <w:bCs/>
          <w:color w:val="000000" w:themeColor="text1"/>
          <w:kern w:val="24"/>
          <w:sz w:val="22"/>
          <w:szCs w:val="22"/>
        </w:rPr>
        <w:t xml:space="preserve">products were </w:t>
      </w:r>
      <w:r w:rsidR="005C0744">
        <w:rPr>
          <w:rFonts w:asciiTheme="minorHAnsi" w:eastAsiaTheme="minorEastAsia" w:hAnsiTheme="minorHAnsi" w:cstheme="minorHAnsi"/>
          <w:bCs/>
          <w:color w:val="000000" w:themeColor="text1"/>
          <w:kern w:val="24"/>
          <w:sz w:val="22"/>
          <w:szCs w:val="22"/>
        </w:rPr>
        <w:t>cleaned</w:t>
      </w:r>
      <w:r w:rsidR="00FC4B39" w:rsidRPr="004B15A6">
        <w:rPr>
          <w:rFonts w:asciiTheme="minorHAnsi" w:eastAsiaTheme="minorEastAsia" w:hAnsiTheme="minorHAnsi" w:cstheme="minorHAnsi"/>
          <w:bCs/>
          <w:color w:val="000000" w:themeColor="text1"/>
          <w:kern w:val="24"/>
          <w:sz w:val="22"/>
          <w:szCs w:val="22"/>
        </w:rPr>
        <w:t xml:space="preserve"> with </w:t>
      </w:r>
      <w:r w:rsidR="005C0744">
        <w:rPr>
          <w:rFonts w:asciiTheme="minorHAnsi" w:eastAsiaTheme="minorEastAsia" w:hAnsiTheme="minorHAnsi" w:cstheme="minorHAnsi"/>
          <w:bCs/>
          <w:color w:val="000000" w:themeColor="text1"/>
          <w:kern w:val="24"/>
          <w:sz w:val="22"/>
          <w:szCs w:val="22"/>
        </w:rPr>
        <w:t xml:space="preserve">the </w:t>
      </w:r>
      <w:proofErr w:type="spellStart"/>
      <w:r w:rsidR="00267ABF" w:rsidRPr="004B15A6">
        <w:rPr>
          <w:rFonts w:asciiTheme="minorHAnsi" w:eastAsiaTheme="minorEastAsia" w:hAnsiTheme="minorHAnsi" w:cstheme="minorHAnsi"/>
          <w:bCs/>
          <w:color w:val="000000" w:themeColor="text1"/>
          <w:kern w:val="24"/>
          <w:sz w:val="22"/>
          <w:szCs w:val="22"/>
        </w:rPr>
        <w:t>Qiaquick</w:t>
      </w:r>
      <w:proofErr w:type="spellEnd"/>
      <w:r w:rsidR="00267ABF" w:rsidRPr="004B15A6">
        <w:rPr>
          <w:rFonts w:asciiTheme="minorHAnsi" w:eastAsiaTheme="minorEastAsia" w:hAnsiTheme="minorHAnsi" w:cstheme="minorHAnsi"/>
          <w:bCs/>
          <w:color w:val="000000" w:themeColor="text1"/>
          <w:kern w:val="24"/>
          <w:sz w:val="22"/>
          <w:szCs w:val="22"/>
        </w:rPr>
        <w:t xml:space="preserve"> Kit </w:t>
      </w:r>
      <w:r w:rsidR="00FC4B39" w:rsidRPr="004B15A6">
        <w:rPr>
          <w:rFonts w:asciiTheme="minorHAnsi" w:eastAsiaTheme="minorEastAsia" w:hAnsiTheme="minorHAnsi" w:cstheme="minorHAnsi"/>
          <w:bCs/>
          <w:color w:val="000000" w:themeColor="text1"/>
          <w:kern w:val="24"/>
          <w:sz w:val="22"/>
          <w:szCs w:val="22"/>
        </w:rPr>
        <w:t xml:space="preserve">(Qiagen). When necessary, primer dimers were removed with </w:t>
      </w:r>
      <w:proofErr w:type="spellStart"/>
      <w:r w:rsidR="00FC4B39" w:rsidRPr="004B15A6">
        <w:rPr>
          <w:rFonts w:asciiTheme="minorHAnsi" w:eastAsiaTheme="minorEastAsia" w:hAnsiTheme="minorHAnsi" w:cstheme="minorHAnsi"/>
          <w:bCs/>
          <w:color w:val="000000" w:themeColor="text1"/>
          <w:kern w:val="24"/>
          <w:sz w:val="22"/>
          <w:szCs w:val="22"/>
        </w:rPr>
        <w:t>NucleoSpin</w:t>
      </w:r>
      <w:proofErr w:type="spellEnd"/>
      <w:r w:rsidR="00FC4B39" w:rsidRPr="004B15A6">
        <w:rPr>
          <w:rFonts w:asciiTheme="minorHAnsi" w:eastAsiaTheme="minorEastAsia" w:hAnsiTheme="minorHAnsi" w:cstheme="minorHAnsi"/>
          <w:bCs/>
          <w:color w:val="000000" w:themeColor="text1"/>
          <w:kern w:val="24"/>
          <w:sz w:val="22"/>
          <w:szCs w:val="22"/>
        </w:rPr>
        <w:t xml:space="preserve"> </w:t>
      </w:r>
      <w:r w:rsidR="00267ABF" w:rsidRPr="004B15A6">
        <w:rPr>
          <w:rFonts w:asciiTheme="minorHAnsi" w:eastAsiaTheme="minorEastAsia" w:hAnsiTheme="minorHAnsi" w:cstheme="minorHAnsi"/>
          <w:bCs/>
          <w:color w:val="000000" w:themeColor="text1"/>
          <w:kern w:val="24"/>
          <w:sz w:val="22"/>
          <w:szCs w:val="22"/>
        </w:rPr>
        <w:t xml:space="preserve">Gel and PCR Clean-up </w:t>
      </w:r>
      <w:r w:rsidR="00FC4B39" w:rsidRPr="004B15A6">
        <w:rPr>
          <w:rFonts w:asciiTheme="minorHAnsi" w:eastAsiaTheme="minorEastAsia" w:hAnsiTheme="minorHAnsi" w:cstheme="minorHAnsi"/>
          <w:bCs/>
          <w:color w:val="000000" w:themeColor="text1"/>
          <w:kern w:val="24"/>
          <w:sz w:val="22"/>
          <w:szCs w:val="22"/>
        </w:rPr>
        <w:t xml:space="preserve">(Fisher Scientific).  The amplicons were pooled in equimolar amounts prior to emulsion PCR, and unidirectionally sequenced using the Lib L </w:t>
      </w:r>
      <w:r w:rsidR="00285717" w:rsidRPr="004B15A6">
        <w:rPr>
          <w:rFonts w:asciiTheme="minorHAnsi" w:eastAsiaTheme="minorEastAsia" w:hAnsiTheme="minorHAnsi" w:cstheme="minorHAnsi"/>
          <w:bCs/>
          <w:color w:val="000000" w:themeColor="text1"/>
          <w:kern w:val="24"/>
          <w:sz w:val="22"/>
          <w:szCs w:val="22"/>
        </w:rPr>
        <w:t xml:space="preserve">v2 </w:t>
      </w:r>
      <w:r w:rsidR="00FC4B39" w:rsidRPr="004B15A6">
        <w:rPr>
          <w:rFonts w:asciiTheme="minorHAnsi" w:eastAsiaTheme="minorEastAsia" w:hAnsiTheme="minorHAnsi" w:cstheme="minorHAnsi"/>
          <w:bCs/>
          <w:color w:val="000000" w:themeColor="text1"/>
          <w:kern w:val="24"/>
          <w:sz w:val="22"/>
          <w:szCs w:val="22"/>
        </w:rPr>
        <w:t>kit</w:t>
      </w:r>
      <w:r w:rsidR="00285717" w:rsidRPr="004B15A6">
        <w:rPr>
          <w:rFonts w:asciiTheme="minorHAnsi" w:eastAsiaTheme="minorEastAsia" w:hAnsiTheme="minorHAnsi" w:cstheme="minorHAnsi"/>
          <w:bCs/>
          <w:color w:val="000000" w:themeColor="text1"/>
          <w:kern w:val="24"/>
          <w:sz w:val="22"/>
          <w:szCs w:val="22"/>
        </w:rPr>
        <w:t xml:space="preserve"> (Roche)</w:t>
      </w:r>
      <w:r w:rsidR="00FC4B39" w:rsidRPr="004B15A6">
        <w:rPr>
          <w:rFonts w:asciiTheme="minorHAnsi" w:eastAsiaTheme="minorEastAsia" w:hAnsiTheme="minorHAnsi" w:cstheme="minorHAnsi"/>
          <w:bCs/>
          <w:color w:val="000000" w:themeColor="text1"/>
          <w:kern w:val="24"/>
          <w:sz w:val="22"/>
          <w:szCs w:val="22"/>
        </w:rPr>
        <w:t xml:space="preserve"> on a Roche 454 GS-FLX+ Titanium sequencer. De-noising, de-multiplexing, trimming, chimera check, classification, clustering, Operational Taxonomic Units (OTUs) assignments, and further analys</w:t>
      </w:r>
      <w:r w:rsidR="00A37952">
        <w:rPr>
          <w:rFonts w:asciiTheme="minorHAnsi" w:eastAsiaTheme="minorEastAsia" w:hAnsiTheme="minorHAnsi" w:cstheme="minorHAnsi"/>
          <w:bCs/>
          <w:color w:val="000000" w:themeColor="text1"/>
          <w:kern w:val="24"/>
          <w:sz w:val="22"/>
          <w:szCs w:val="22"/>
        </w:rPr>
        <w:t>e</w:t>
      </w:r>
      <w:r w:rsidR="00FC4B39" w:rsidRPr="004B15A6">
        <w:rPr>
          <w:rFonts w:asciiTheme="minorHAnsi" w:eastAsiaTheme="minorEastAsia" w:hAnsiTheme="minorHAnsi" w:cstheme="minorHAnsi"/>
          <w:bCs/>
          <w:color w:val="000000" w:themeColor="text1"/>
          <w:kern w:val="24"/>
          <w:sz w:val="22"/>
          <w:szCs w:val="22"/>
        </w:rPr>
        <w:t xml:space="preserve">s were performed </w:t>
      </w:r>
      <w:r w:rsidR="00A37952">
        <w:rPr>
          <w:rFonts w:asciiTheme="minorHAnsi" w:eastAsiaTheme="minorEastAsia" w:hAnsiTheme="minorHAnsi" w:cstheme="minorHAnsi"/>
          <w:bCs/>
          <w:color w:val="000000" w:themeColor="text1"/>
          <w:kern w:val="24"/>
          <w:sz w:val="22"/>
          <w:szCs w:val="22"/>
        </w:rPr>
        <w:t xml:space="preserve">using the </w:t>
      </w:r>
      <w:proofErr w:type="spellStart"/>
      <w:r w:rsidR="00A37952">
        <w:rPr>
          <w:rFonts w:asciiTheme="minorHAnsi" w:eastAsiaTheme="minorEastAsia" w:hAnsiTheme="minorHAnsi" w:cstheme="minorHAnsi"/>
          <w:bCs/>
          <w:color w:val="000000" w:themeColor="text1"/>
          <w:kern w:val="24"/>
          <w:sz w:val="22"/>
          <w:szCs w:val="22"/>
        </w:rPr>
        <w:t>mothur</w:t>
      </w:r>
      <w:proofErr w:type="spellEnd"/>
      <w:r w:rsidR="00A37952">
        <w:rPr>
          <w:rFonts w:asciiTheme="minorHAnsi" w:eastAsiaTheme="minorEastAsia" w:hAnsiTheme="minorHAnsi" w:cstheme="minorHAnsi"/>
          <w:bCs/>
          <w:color w:val="000000" w:themeColor="text1"/>
          <w:kern w:val="24"/>
          <w:sz w:val="22"/>
          <w:szCs w:val="22"/>
        </w:rPr>
        <w:t xml:space="preserve"> pipeline</w:t>
      </w:r>
      <w:r w:rsidR="007F6698" w:rsidRPr="004B15A6">
        <w:rPr>
          <w:rFonts w:asciiTheme="minorHAnsi" w:eastAsiaTheme="minorEastAsia" w:hAnsiTheme="minorHAnsi" w:cstheme="minorHAnsi"/>
          <w:bCs/>
          <w:color w:val="000000" w:themeColor="text1"/>
          <w:kern w:val="24"/>
          <w:sz w:val="22"/>
          <w:szCs w:val="22"/>
        </w:rPr>
        <w:t xml:space="preserve"> </w:t>
      </w:r>
      <w:r w:rsidR="00175760" w:rsidRPr="004B15A6">
        <w:rPr>
          <w:rFonts w:asciiTheme="minorHAnsi" w:eastAsiaTheme="minorEastAsia" w:hAnsiTheme="minorHAnsi" w:cstheme="minorHAnsi"/>
          <w:bCs/>
          <w:color w:val="000000" w:themeColor="text1"/>
          <w:kern w:val="24"/>
          <w:sz w:val="22"/>
          <w:szCs w:val="22"/>
        </w:rPr>
        <w:fldChar w:fldCharType="begin"/>
      </w:r>
      <w:r w:rsidR="002429DF" w:rsidRPr="004B15A6">
        <w:rPr>
          <w:rFonts w:asciiTheme="minorHAnsi" w:eastAsiaTheme="minorEastAsia" w:hAnsiTheme="minorHAnsi" w:cstheme="minorHAnsi"/>
          <w:bCs/>
          <w:color w:val="000000" w:themeColor="text1"/>
          <w:kern w:val="24"/>
          <w:sz w:val="22"/>
          <w:szCs w:val="22"/>
        </w:rPr>
        <w:instrText xml:space="preserve"> ADDIN EN.CITE &lt;EndNote&gt;&lt;Cite&gt;&lt;Author&gt;Schloss&lt;/Author&gt;&lt;Year&gt;2009&lt;/Year&gt;&lt;RecNum&gt;0&lt;/RecNum&gt;&lt;IDText&gt;Introducing mothur: open-source, platform-independent, community-supported software for describing and comparing microbial communities&lt;/IDText&gt;&lt;DisplayText&gt;(Schloss et al., 2009)&lt;/DisplayText&gt;&lt;record&gt;&lt;dates&gt;&lt;pub-dates&gt;&lt;date&gt;Dec&lt;/date&gt;&lt;/pub-dates&gt;&lt;year&gt;2009&lt;/year&gt;&lt;/dates&gt;&lt;keywords&gt;&lt;keyword&gt;Biodiversity&lt;/keyword&gt;&lt;keyword&gt;Computational Biology&lt;/keyword&gt;&lt;keyword&gt;Environmental Microbiology&lt;/keyword&gt;&lt;keyword&gt;Metagenomics&lt;/keyword&gt;&lt;keyword&gt;Sequence Analysis, DNA&lt;/keyword&gt;&lt;keyword&gt;Software&lt;/keyword&gt;&lt;/keywords&gt;&lt;urls&gt;&lt;related-urls&gt;&lt;url&gt;https://www.ncbi.nlm.nih.gov/pubmed/19801464&lt;/url&gt;&lt;/related-urls&gt;&lt;/urls&gt;&lt;isbn&gt;1098-5336&lt;/isbn&gt;&lt;custom2&gt;PMC2786419&lt;/custom2&gt;&lt;titles&gt;&lt;title&gt;Introducing mothur: open-source, platform-independent, community-supported software for describing and comparing microbial communities&lt;/title&gt;&lt;secondary-title&gt;Appl Environ Microbiol&lt;/secondary-title&gt;&lt;/titles&gt;&lt;pages&gt;7537-41&lt;/pages&gt;&lt;number&gt;23&lt;/number&gt;&lt;contributors&gt;&lt;authors&gt;&lt;author&gt;Schloss, P. D.&lt;/author&gt;&lt;author&gt;Westcott, S. L.&lt;/author&gt;&lt;author&gt;Ryabin, T.&lt;/author&gt;&lt;author&gt;Hall, J. R.&lt;/author&gt;&lt;author&gt;Hartmann, M.&lt;/author&gt;&lt;author&gt;Hollister, E. B.&lt;/author&gt;&lt;author&gt;Lesniewski, R. A.&lt;/author&gt;&lt;author&gt;Oakley, B. B.&lt;/author&gt;&lt;author&gt;Parks, D. H.&lt;/author&gt;&lt;author&gt;Robinson, C. J.&lt;/author&gt;&lt;author&gt;Sahl, J. W.&lt;/author&gt;&lt;author&gt;Stres, B.&lt;/author&gt;&lt;author&gt;Thallinger, G. G.&lt;/author&gt;&lt;author&gt;Van Horn, D. J.&lt;/author&gt;&lt;author&gt;Weber, C. F.&lt;/author&gt;&lt;/authors&gt;&lt;/contributors&gt;&lt;edition&gt;2009/10/02&lt;/edition&gt;&lt;language&gt;eng&lt;/language&gt;&lt;added-date format="utc"&gt;1513001169&lt;/added-date&gt;&lt;ref-type name="Journal Article"&gt;17&lt;/ref-type&gt;&lt;rec-number&gt;726&lt;/rec-number&gt;&lt;last-updated-date format="utc"&gt;1513001169&lt;/last-updated-date&gt;&lt;accession-num&gt;19801464&lt;/accession-num&gt;&lt;electronic-resource-num&gt;10.1128/AEM.01541-09&lt;/electronic-resource-num&gt;&lt;volume&gt;75&lt;/volume&gt;&lt;/record&gt;&lt;/Cite&gt;&lt;/EndNote&gt;</w:instrText>
      </w:r>
      <w:r w:rsidR="00175760" w:rsidRPr="004B15A6">
        <w:rPr>
          <w:rFonts w:asciiTheme="minorHAnsi" w:eastAsiaTheme="minorEastAsia" w:hAnsiTheme="minorHAnsi" w:cstheme="minorHAnsi"/>
          <w:bCs/>
          <w:color w:val="000000" w:themeColor="text1"/>
          <w:kern w:val="24"/>
          <w:sz w:val="22"/>
          <w:szCs w:val="22"/>
        </w:rPr>
        <w:fldChar w:fldCharType="separate"/>
      </w:r>
      <w:r w:rsidR="002429DF" w:rsidRPr="004B15A6">
        <w:rPr>
          <w:rFonts w:asciiTheme="minorHAnsi" w:eastAsiaTheme="minorEastAsia" w:hAnsiTheme="minorHAnsi" w:cstheme="minorHAnsi"/>
          <w:bCs/>
          <w:noProof/>
          <w:color w:val="000000" w:themeColor="text1"/>
          <w:kern w:val="24"/>
          <w:sz w:val="22"/>
          <w:szCs w:val="22"/>
        </w:rPr>
        <w:t>(</w:t>
      </w:r>
      <w:hyperlink w:anchor="_ENREF_5" w:tooltip="Schloss, 2009 #726" w:history="1">
        <w:r w:rsidR="00120ECB" w:rsidRPr="004B15A6">
          <w:rPr>
            <w:rFonts w:asciiTheme="minorHAnsi" w:eastAsiaTheme="minorEastAsia" w:hAnsiTheme="minorHAnsi" w:cstheme="minorHAnsi"/>
            <w:bCs/>
            <w:noProof/>
            <w:color w:val="000000" w:themeColor="text1"/>
            <w:kern w:val="24"/>
            <w:sz w:val="22"/>
            <w:szCs w:val="22"/>
          </w:rPr>
          <w:t>Schloss et al. 2009</w:t>
        </w:r>
      </w:hyperlink>
      <w:r w:rsidR="002429DF" w:rsidRPr="004B15A6">
        <w:rPr>
          <w:rFonts w:asciiTheme="minorHAnsi" w:eastAsiaTheme="minorEastAsia" w:hAnsiTheme="minorHAnsi" w:cstheme="minorHAnsi"/>
          <w:bCs/>
          <w:noProof/>
          <w:color w:val="000000" w:themeColor="text1"/>
          <w:kern w:val="24"/>
          <w:sz w:val="22"/>
          <w:szCs w:val="22"/>
        </w:rPr>
        <w:t>)</w:t>
      </w:r>
      <w:r w:rsidR="00175760" w:rsidRPr="004B15A6">
        <w:rPr>
          <w:rFonts w:asciiTheme="minorHAnsi" w:eastAsiaTheme="minorEastAsia" w:hAnsiTheme="minorHAnsi" w:cstheme="minorHAnsi"/>
          <w:bCs/>
          <w:color w:val="000000" w:themeColor="text1"/>
          <w:kern w:val="24"/>
          <w:sz w:val="22"/>
          <w:szCs w:val="22"/>
        </w:rPr>
        <w:fldChar w:fldCharType="end"/>
      </w:r>
      <w:r w:rsidR="00175760" w:rsidRPr="004B15A6">
        <w:rPr>
          <w:rFonts w:asciiTheme="minorHAnsi" w:eastAsiaTheme="minorEastAsia" w:hAnsiTheme="minorHAnsi" w:cstheme="minorHAnsi"/>
          <w:bCs/>
          <w:color w:val="000000" w:themeColor="text1"/>
          <w:kern w:val="24"/>
          <w:sz w:val="22"/>
          <w:szCs w:val="22"/>
        </w:rPr>
        <w:t>.</w:t>
      </w:r>
      <w:r w:rsidR="00175760" w:rsidRPr="004C0643">
        <w:rPr>
          <w:rFonts w:asciiTheme="minorHAnsi" w:eastAsiaTheme="minorEastAsia" w:hAnsiTheme="minorHAnsi" w:cstheme="minorHAnsi"/>
          <w:bCs/>
          <w:color w:val="000000" w:themeColor="text1"/>
          <w:kern w:val="24"/>
          <w:sz w:val="22"/>
          <w:szCs w:val="22"/>
        </w:rPr>
        <w:t xml:space="preserve"> </w:t>
      </w:r>
      <w:r w:rsidR="002E7797">
        <w:rPr>
          <w:rFonts w:asciiTheme="minorHAnsi" w:eastAsiaTheme="minorEastAsia" w:hAnsiTheme="minorHAnsi" w:cstheme="minorHAnsi"/>
          <w:bCs/>
          <w:color w:val="000000" w:themeColor="text1"/>
          <w:kern w:val="24"/>
          <w:sz w:val="22"/>
          <w:szCs w:val="22"/>
        </w:rPr>
        <w:t xml:space="preserve">The raw </w:t>
      </w:r>
      <w:r w:rsidR="00D255D2">
        <w:rPr>
          <w:rFonts w:asciiTheme="minorHAnsi" w:eastAsiaTheme="minorEastAsia" w:hAnsiTheme="minorHAnsi" w:cstheme="minorHAnsi"/>
          <w:bCs/>
          <w:color w:val="000000" w:themeColor="text1"/>
          <w:kern w:val="24"/>
          <w:sz w:val="22"/>
          <w:szCs w:val="22"/>
        </w:rPr>
        <w:t xml:space="preserve">sequencing </w:t>
      </w:r>
      <w:r w:rsidR="002E7797">
        <w:rPr>
          <w:rFonts w:asciiTheme="minorHAnsi" w:eastAsiaTheme="minorEastAsia" w:hAnsiTheme="minorHAnsi" w:cstheme="minorHAnsi"/>
          <w:bCs/>
          <w:color w:val="000000" w:themeColor="text1"/>
          <w:kern w:val="24"/>
          <w:sz w:val="22"/>
          <w:szCs w:val="22"/>
        </w:rPr>
        <w:t>reads</w:t>
      </w:r>
      <w:r w:rsidR="00CE5C20">
        <w:rPr>
          <w:rFonts w:asciiTheme="minorHAnsi" w:eastAsiaTheme="minorEastAsia" w:hAnsiTheme="minorHAnsi" w:cstheme="minorHAnsi"/>
          <w:bCs/>
          <w:color w:val="000000" w:themeColor="text1"/>
          <w:kern w:val="24"/>
          <w:sz w:val="22"/>
          <w:szCs w:val="22"/>
        </w:rPr>
        <w:t xml:space="preserve"> ha</w:t>
      </w:r>
      <w:r w:rsidR="00EB08AC">
        <w:rPr>
          <w:rFonts w:asciiTheme="minorHAnsi" w:eastAsiaTheme="minorEastAsia" w:hAnsiTheme="minorHAnsi" w:cstheme="minorHAnsi"/>
          <w:bCs/>
          <w:color w:val="000000" w:themeColor="text1"/>
          <w:kern w:val="24"/>
          <w:sz w:val="22"/>
          <w:szCs w:val="22"/>
        </w:rPr>
        <w:t>ve</w:t>
      </w:r>
      <w:r w:rsidR="00CE5C20">
        <w:rPr>
          <w:rFonts w:asciiTheme="minorHAnsi" w:eastAsiaTheme="minorEastAsia" w:hAnsiTheme="minorHAnsi" w:cstheme="minorHAnsi"/>
          <w:bCs/>
          <w:color w:val="000000" w:themeColor="text1"/>
          <w:kern w:val="24"/>
          <w:sz w:val="22"/>
          <w:szCs w:val="22"/>
        </w:rPr>
        <w:t xml:space="preserve"> been uploaded to the NCBI SRA database </w:t>
      </w:r>
      <w:r w:rsidR="00BE2CC0">
        <w:rPr>
          <w:rFonts w:asciiTheme="minorHAnsi" w:eastAsiaTheme="minorEastAsia" w:hAnsiTheme="minorHAnsi" w:cstheme="minorHAnsi"/>
          <w:bCs/>
          <w:color w:val="000000" w:themeColor="text1"/>
          <w:kern w:val="24"/>
          <w:sz w:val="22"/>
          <w:szCs w:val="22"/>
        </w:rPr>
        <w:t>(</w:t>
      </w:r>
      <w:r w:rsidR="00CE5C20">
        <w:rPr>
          <w:rFonts w:asciiTheme="minorHAnsi" w:eastAsiaTheme="minorEastAsia" w:hAnsiTheme="minorHAnsi" w:cstheme="minorHAnsi"/>
          <w:bCs/>
          <w:color w:val="000000" w:themeColor="text1"/>
          <w:kern w:val="24"/>
          <w:sz w:val="22"/>
          <w:szCs w:val="22"/>
        </w:rPr>
        <w:t xml:space="preserve">Accession No. </w:t>
      </w:r>
      <w:r w:rsidR="00CE5C20" w:rsidRPr="00CE5C20">
        <w:rPr>
          <w:rFonts w:asciiTheme="minorHAnsi" w:eastAsiaTheme="minorEastAsia" w:hAnsiTheme="minorHAnsi" w:cstheme="minorHAnsi"/>
          <w:bCs/>
          <w:color w:val="000000" w:themeColor="text1"/>
          <w:kern w:val="24"/>
          <w:sz w:val="22"/>
          <w:szCs w:val="22"/>
        </w:rPr>
        <w:t>PRJNA543124</w:t>
      </w:r>
      <w:r w:rsidR="00BE2CC0">
        <w:rPr>
          <w:rFonts w:asciiTheme="minorHAnsi" w:eastAsiaTheme="minorEastAsia" w:hAnsiTheme="minorHAnsi" w:cstheme="minorHAnsi"/>
          <w:bCs/>
          <w:color w:val="000000" w:themeColor="text1"/>
          <w:kern w:val="24"/>
          <w:sz w:val="22"/>
          <w:szCs w:val="22"/>
        </w:rPr>
        <w:t>)</w:t>
      </w:r>
      <w:r w:rsidR="00CE5C20">
        <w:rPr>
          <w:rFonts w:asciiTheme="minorHAnsi" w:eastAsiaTheme="minorEastAsia" w:hAnsiTheme="minorHAnsi" w:cstheme="minorHAnsi"/>
          <w:bCs/>
          <w:color w:val="000000" w:themeColor="text1"/>
          <w:kern w:val="24"/>
          <w:sz w:val="22"/>
          <w:szCs w:val="22"/>
        </w:rPr>
        <w:t xml:space="preserve">. </w:t>
      </w:r>
    </w:p>
    <w:p w14:paraId="3CD6E288" w14:textId="77777777" w:rsidR="00D65B51" w:rsidRPr="001969EA" w:rsidRDefault="00D65B51">
      <w:pPr>
        <w:pStyle w:val="NormalWeb"/>
        <w:spacing w:before="0" w:beforeAutospacing="0" w:after="0" w:afterAutospacing="0" w:line="480" w:lineRule="auto"/>
        <w:jc w:val="both"/>
        <w:rPr>
          <w:rFonts w:asciiTheme="minorHAnsi" w:eastAsiaTheme="minorEastAsia" w:hAnsiTheme="minorHAnsi" w:cstheme="minorHAnsi"/>
          <w:bCs/>
          <w:color w:val="000000" w:themeColor="text1"/>
          <w:kern w:val="24"/>
          <w:sz w:val="22"/>
          <w:szCs w:val="22"/>
        </w:rPr>
      </w:pPr>
    </w:p>
    <w:p w14:paraId="63BE1064" w14:textId="77777777" w:rsidR="00FC4B39" w:rsidRPr="002C6098" w:rsidRDefault="00FC4B39" w:rsidP="00F349A6">
      <w:pPr>
        <w:spacing w:after="0" w:line="480" w:lineRule="auto"/>
        <w:jc w:val="both"/>
        <w:rPr>
          <w:rFonts w:cstheme="majorBidi"/>
          <w:b/>
          <w:bCs/>
          <w:i/>
        </w:rPr>
      </w:pPr>
      <w:r w:rsidRPr="002C6098">
        <w:rPr>
          <w:rFonts w:cstheme="majorBidi"/>
          <w:b/>
          <w:bCs/>
          <w:i/>
        </w:rPr>
        <w:t>Periodontal bone loss determination</w:t>
      </w:r>
    </w:p>
    <w:p w14:paraId="0505EEEF" w14:textId="7CE23B61" w:rsidR="0098502E" w:rsidRDefault="00FC4B39">
      <w:pPr>
        <w:spacing w:after="0" w:line="480" w:lineRule="auto"/>
        <w:jc w:val="both"/>
        <w:rPr>
          <w:rFonts w:cstheme="majorBidi"/>
        </w:rPr>
      </w:pPr>
      <w:r w:rsidRPr="00FC4B39">
        <w:rPr>
          <w:rFonts w:cstheme="majorBidi"/>
        </w:rPr>
        <w:t>Mice were euthanized as above, mandible</w:t>
      </w:r>
      <w:r w:rsidR="0011195C">
        <w:rPr>
          <w:rFonts w:cstheme="majorBidi"/>
        </w:rPr>
        <w:t>s</w:t>
      </w:r>
      <w:r w:rsidRPr="00FC4B39">
        <w:rPr>
          <w:rFonts w:cstheme="majorBidi"/>
        </w:rPr>
        <w:t xml:space="preserve"> and maxillae were dissected, </w:t>
      </w:r>
      <w:proofErr w:type="spellStart"/>
      <w:r w:rsidRPr="00FC4B39">
        <w:rPr>
          <w:rFonts w:cstheme="majorBidi"/>
        </w:rPr>
        <w:t>defleshed</w:t>
      </w:r>
      <w:proofErr w:type="spellEnd"/>
      <w:r w:rsidRPr="00FC4B39">
        <w:rPr>
          <w:rFonts w:cstheme="majorBidi"/>
        </w:rPr>
        <w:t xml:space="preserve"> and assessed under a</w:t>
      </w:r>
      <w:r w:rsidR="0098502E">
        <w:rPr>
          <w:rFonts w:cstheme="majorBidi"/>
        </w:rPr>
        <w:t xml:space="preserve"> </w:t>
      </w:r>
      <w:proofErr w:type="spellStart"/>
      <w:r w:rsidR="0098502E">
        <w:rPr>
          <w:rFonts w:cstheme="majorBidi"/>
        </w:rPr>
        <w:t>Stemi</w:t>
      </w:r>
      <w:proofErr w:type="spellEnd"/>
      <w:r w:rsidR="0098502E">
        <w:rPr>
          <w:rFonts w:cstheme="majorBidi"/>
        </w:rPr>
        <w:t xml:space="preserve"> SV11</w:t>
      </w:r>
      <w:r w:rsidRPr="00FC4B39">
        <w:rPr>
          <w:rFonts w:cstheme="majorBidi"/>
        </w:rPr>
        <w:t xml:space="preserve"> dissecting microscope (</w:t>
      </w:r>
      <w:r w:rsidR="0098502E">
        <w:rPr>
          <w:rFonts w:cstheme="majorBidi"/>
        </w:rPr>
        <w:t>Zeiss</w:t>
      </w:r>
      <w:r w:rsidRPr="00FC4B39">
        <w:rPr>
          <w:rFonts w:cstheme="majorBidi"/>
        </w:rPr>
        <w:t>)</w:t>
      </w:r>
      <w:r w:rsidR="0098502E">
        <w:rPr>
          <w:rFonts w:cstheme="majorBidi"/>
        </w:rPr>
        <w:t xml:space="preserve"> at </w:t>
      </w:r>
      <w:r w:rsidR="0098502E" w:rsidRPr="00120ECB">
        <w:rPr>
          <w:rFonts w:cstheme="majorBidi"/>
        </w:rPr>
        <w:t>25x</w:t>
      </w:r>
      <w:r w:rsidR="0098502E" w:rsidRPr="002429DF">
        <w:rPr>
          <w:rFonts w:cstheme="majorBidi"/>
        </w:rPr>
        <w:t xml:space="preserve"> magnification</w:t>
      </w:r>
      <w:r w:rsidR="0098502E">
        <w:rPr>
          <w:rFonts w:cstheme="majorBidi"/>
        </w:rPr>
        <w:t>.</w:t>
      </w:r>
      <w:r w:rsidRPr="00FC4B39">
        <w:rPr>
          <w:rFonts w:cstheme="majorBidi"/>
        </w:rPr>
        <w:t xml:space="preserve"> </w:t>
      </w:r>
      <w:r w:rsidR="0098502E">
        <w:rPr>
          <w:rFonts w:cstheme="majorBidi"/>
        </w:rPr>
        <w:t xml:space="preserve">The </w:t>
      </w:r>
      <w:r w:rsidRPr="00FC4B39">
        <w:rPr>
          <w:rFonts w:cstheme="majorBidi"/>
        </w:rPr>
        <w:t>captured images were analysed by Im</w:t>
      </w:r>
      <w:r w:rsidR="002D55FB">
        <w:rPr>
          <w:rFonts w:cstheme="majorBidi"/>
        </w:rPr>
        <w:t>a</w:t>
      </w:r>
      <w:r w:rsidRPr="00FC4B39">
        <w:rPr>
          <w:rFonts w:cstheme="majorBidi"/>
        </w:rPr>
        <w:t>geJ software</w:t>
      </w:r>
      <w:r w:rsidR="0098502E">
        <w:rPr>
          <w:rFonts w:cstheme="majorBidi"/>
        </w:rPr>
        <w:t xml:space="preserve"> (National Institute of Health, USA)</w:t>
      </w:r>
      <w:r w:rsidRPr="00FC4B39">
        <w:rPr>
          <w:rFonts w:cstheme="majorBidi"/>
        </w:rPr>
        <w:t xml:space="preserve">. The distance from the </w:t>
      </w:r>
      <w:proofErr w:type="spellStart"/>
      <w:r w:rsidR="00120ECB">
        <w:rPr>
          <w:rFonts w:cstheme="majorBidi"/>
        </w:rPr>
        <w:t>cement</w:t>
      </w:r>
      <w:r w:rsidR="000A0E06">
        <w:rPr>
          <w:rFonts w:cstheme="majorBidi"/>
        </w:rPr>
        <w:t>o</w:t>
      </w:r>
      <w:proofErr w:type="spellEnd"/>
      <w:r w:rsidR="00120ECB">
        <w:rPr>
          <w:rFonts w:cstheme="majorBidi"/>
        </w:rPr>
        <w:t>-</w:t>
      </w:r>
      <w:r w:rsidRPr="00FC4B39">
        <w:rPr>
          <w:rFonts w:cstheme="majorBidi"/>
        </w:rPr>
        <w:t>enamel junction (CEJ) to the alveolar bone crest (ABC) w</w:t>
      </w:r>
      <w:r w:rsidR="00C82A09">
        <w:rPr>
          <w:rFonts w:cstheme="majorBidi"/>
        </w:rPr>
        <w:t>as</w:t>
      </w:r>
      <w:r w:rsidRPr="00FC4B39">
        <w:rPr>
          <w:rFonts w:cstheme="majorBidi"/>
        </w:rPr>
        <w:t xml:space="preserve"> measured</w:t>
      </w:r>
      <w:r w:rsidR="00472F85">
        <w:rPr>
          <w:rFonts w:cstheme="majorBidi"/>
        </w:rPr>
        <w:t xml:space="preserve"> at</w:t>
      </w:r>
      <w:r w:rsidRPr="00FC4B39">
        <w:rPr>
          <w:rFonts w:cstheme="majorBidi"/>
        </w:rPr>
        <w:t xml:space="preserve"> </w:t>
      </w:r>
      <w:r w:rsidR="00120ECB">
        <w:rPr>
          <w:rFonts w:cstheme="majorBidi"/>
        </w:rPr>
        <w:t>6 pre-determined points (</w:t>
      </w:r>
      <w:proofErr w:type="spellStart"/>
      <w:r w:rsidR="00120ECB">
        <w:rPr>
          <w:rFonts w:cstheme="majorBidi"/>
        </w:rPr>
        <w:t>mesio</w:t>
      </w:r>
      <w:proofErr w:type="spellEnd"/>
      <w:r w:rsidR="00120ECB">
        <w:rPr>
          <w:rFonts w:cstheme="majorBidi"/>
        </w:rPr>
        <w:t xml:space="preserve">-, mid- and distal-) on both buccal and lingual/palatal surfaces of mandibular and maxillary molar teeth. In order to calculate bone loss, the </w:t>
      </w:r>
      <w:r w:rsidR="001309A2">
        <w:rPr>
          <w:rFonts w:cstheme="majorBidi"/>
        </w:rPr>
        <w:t>mean</w:t>
      </w:r>
      <w:r w:rsidR="00120ECB">
        <w:rPr>
          <w:rFonts w:cstheme="majorBidi"/>
        </w:rPr>
        <w:t xml:space="preserve"> CEJ-ABC distance from each </w:t>
      </w:r>
      <w:r w:rsidR="00DF420E">
        <w:rPr>
          <w:rFonts w:cstheme="majorBidi"/>
        </w:rPr>
        <w:t xml:space="preserve">test mouse </w:t>
      </w:r>
      <w:r w:rsidR="00120ECB">
        <w:rPr>
          <w:rFonts w:cstheme="majorBidi"/>
        </w:rPr>
        <w:t>was subtracted from the mean CEJ-ABC distance of the control mice</w:t>
      </w:r>
      <w:r w:rsidR="00B514D3">
        <w:rPr>
          <w:rFonts w:cstheme="majorBidi"/>
        </w:rPr>
        <w:t>, which was used a zero baseline</w:t>
      </w:r>
      <w:r w:rsidR="00120ECB">
        <w:rPr>
          <w:rFonts w:cstheme="majorBidi"/>
        </w:rPr>
        <w:t xml:space="preserve"> (modified from Baker et al. 2000).</w:t>
      </w:r>
    </w:p>
    <w:p w14:paraId="063D1E11" w14:textId="77777777" w:rsidR="00D65B51" w:rsidRDefault="00D65B51">
      <w:pPr>
        <w:spacing w:after="0" w:line="480" w:lineRule="auto"/>
        <w:jc w:val="both"/>
        <w:rPr>
          <w:rFonts w:cstheme="majorBidi"/>
        </w:rPr>
      </w:pPr>
    </w:p>
    <w:p w14:paraId="33589EAE" w14:textId="77777777" w:rsidR="0098502E" w:rsidRDefault="0098502E">
      <w:pPr>
        <w:spacing w:after="0" w:line="480" w:lineRule="auto"/>
        <w:jc w:val="both"/>
        <w:rPr>
          <w:rFonts w:cstheme="majorBidi"/>
          <w:b/>
          <w:i/>
        </w:rPr>
      </w:pPr>
      <w:r>
        <w:rPr>
          <w:rFonts w:cstheme="majorBidi"/>
          <w:b/>
          <w:i/>
        </w:rPr>
        <w:t xml:space="preserve">Statistical Analyses </w:t>
      </w:r>
    </w:p>
    <w:p w14:paraId="6FC2B9EC" w14:textId="7A925C76" w:rsidR="00B12051" w:rsidRPr="00FC4B39" w:rsidRDefault="0098502E" w:rsidP="00F349A6">
      <w:pPr>
        <w:spacing w:after="0" w:line="480" w:lineRule="auto"/>
        <w:jc w:val="both"/>
        <w:rPr>
          <w:rFonts w:cstheme="majorBidi"/>
        </w:rPr>
      </w:pPr>
      <w:r w:rsidRPr="0098502E">
        <w:rPr>
          <w:rFonts w:cstheme="majorBidi"/>
        </w:rPr>
        <w:t>Bone levels</w:t>
      </w:r>
      <w:r>
        <w:rPr>
          <w:rFonts w:cstheme="majorBidi"/>
        </w:rPr>
        <w:t xml:space="preserve"> between different experimental groups</w:t>
      </w:r>
      <w:r w:rsidRPr="0098502E">
        <w:rPr>
          <w:rFonts w:cstheme="majorBidi"/>
        </w:rPr>
        <w:t xml:space="preserve"> were compared using one</w:t>
      </w:r>
      <w:r>
        <w:rPr>
          <w:rFonts w:cstheme="majorBidi"/>
        </w:rPr>
        <w:t>-</w:t>
      </w:r>
      <w:r w:rsidRPr="0098502E">
        <w:rPr>
          <w:rFonts w:cstheme="majorBidi"/>
        </w:rPr>
        <w:t>way analysis of variance (ANOVA) and unpaired Student’s t</w:t>
      </w:r>
      <w:r w:rsidR="007D6C36">
        <w:rPr>
          <w:rFonts w:cstheme="majorBidi"/>
        </w:rPr>
        <w:t>-</w:t>
      </w:r>
      <w:r w:rsidRPr="0098502E">
        <w:rPr>
          <w:rFonts w:cstheme="majorBidi"/>
        </w:rPr>
        <w:t>test between 2 comparison groups. Significance was expressed at the p&lt;0.05 level</w:t>
      </w:r>
      <w:r w:rsidR="00120ECB">
        <w:rPr>
          <w:rFonts w:cstheme="majorBidi"/>
        </w:rPr>
        <w:t xml:space="preserve"> </w:t>
      </w:r>
      <w:r w:rsidR="00120ECB">
        <w:rPr>
          <w:rFonts w:cstheme="majorBidi"/>
        </w:rPr>
        <w:fldChar w:fldCharType="begin"/>
      </w:r>
      <w:r w:rsidR="00120ECB">
        <w:rPr>
          <w:rFonts w:cstheme="majorBidi"/>
        </w:rPr>
        <w:instrText xml:space="preserve"> ADDIN EN.CITE &lt;EndNote&gt;&lt;Cite&gt;&lt;Author&gt;Hajishengallis&lt;/Author&gt;&lt;Year&gt;2011&lt;/Year&gt;&lt;RecNum&gt;457&lt;/RecNum&gt;&lt;DisplayText&gt;(Hajishengallis et al., 2011)&lt;/DisplayText&gt;&lt;record&gt;&lt;rec-number&gt;457&lt;/rec-number&gt;&lt;foreign-keys&gt;&lt;key app="EN" db-id="wwr5svpd9wdadve0wt7pe5w3vdaa00pwefxr" timestamp="1321960786"&gt;457&lt;/key&gt;&lt;key app="ENWeb" db-id="S2hC5grtqgYAAH2wP1s"&gt;183&lt;/key&gt;&lt;/foreign-keys&gt;&lt;ref-type name="Journal Article"&gt;17&lt;/ref-type&gt;&lt;contributors&gt;&lt;authors&gt;&lt;author&gt;Hajishengallis, G.&lt;/author&gt;&lt;author&gt;Liang, S.&lt;/author&gt;&lt;author&gt;Payne, M. A.&lt;/author&gt;&lt;author&gt;Hashim, A.&lt;/author&gt;&lt;author&gt;Jotwani, R.&lt;/author&gt;&lt;author&gt;Eskan, M. A.&lt;/author&gt;&lt;author&gt;McIntosh, M. L.&lt;/author&gt;&lt;author&gt;Alsam, A.&lt;/author&gt;&lt;author&gt;Kirkwood, K. L.&lt;/author&gt;&lt;author&gt;Lambris, J. D.&lt;/author&gt;&lt;author&gt;Darveau, R. P.&lt;/author&gt;&lt;author&gt;Curtis, M. A.&lt;/author&gt;&lt;/authors&gt;&lt;/contributors&gt;&lt;auth-address&gt;Department of Microbiology and Immunology, University of Louisville School of Medicine, Louisville, KY 40292, USA; Center for Oral Health and Systemic Disease, University of Louisville School of Dentistry, Louisville, KY 40292, USA.&lt;/auth-address&gt;&lt;titles&gt;&lt;title&gt;Low-Abundance Biofilm Species Orchestrates Inflammatory Periodontal Disease through the Commensal Microbiota and Complement&lt;/title&gt;&lt;secondary-title&gt;Cell Host Microbe&lt;/secondary-title&gt;&lt;/titles&gt;&lt;periodical&gt;&lt;full-title&gt;Cell Host Microbe&lt;/full-title&gt;&lt;/periodical&gt;&lt;pages&gt;497-506&lt;/pages&gt;&lt;volume&gt;10&lt;/volume&gt;&lt;number&gt;5&lt;/number&gt;&lt;edition&gt;2011/11/01&lt;/edition&gt;&lt;dates&gt;&lt;year&gt;2011&lt;/year&gt;&lt;pub-dates&gt;&lt;date&gt;Nov 17&lt;/date&gt;&lt;/pub-dates&gt;&lt;/dates&gt;&lt;isbn&gt;1934-6069 (Electronic)&amp;#xD;1931-3128 (Linking)&lt;/isbn&gt;&lt;accession-num&gt;22036469&lt;/accession-num&gt;&lt;urls&gt;&lt;/urls&gt;&lt;electronic-resource-num&gt;S1931-3128(11)00299-X [pii]&amp;#xD;10.1016/j.chom.2011.10.006 [doi]&lt;/electronic-resource-num&gt;&lt;remote-database-provider&gt;Nlm&lt;/remote-database-provider&gt;&lt;language&gt;eng&lt;/language&gt;&lt;/record&gt;&lt;/Cite&gt;&lt;/EndNote&gt;</w:instrText>
      </w:r>
      <w:r w:rsidR="00120ECB">
        <w:rPr>
          <w:rFonts w:cstheme="majorBidi"/>
        </w:rPr>
        <w:fldChar w:fldCharType="separate"/>
      </w:r>
      <w:r w:rsidR="00120ECB">
        <w:rPr>
          <w:rFonts w:cstheme="majorBidi"/>
          <w:noProof/>
        </w:rPr>
        <w:t>(</w:t>
      </w:r>
      <w:hyperlink w:anchor="_ENREF_2" w:tooltip="Hajishengallis, 2011 #457" w:history="1">
        <w:r w:rsidR="00120ECB">
          <w:rPr>
            <w:rFonts w:cstheme="majorBidi"/>
            <w:noProof/>
          </w:rPr>
          <w:t>Hajishengallis et al., 2011</w:t>
        </w:r>
      </w:hyperlink>
      <w:r w:rsidR="00120ECB">
        <w:rPr>
          <w:rFonts w:cstheme="majorBidi"/>
          <w:noProof/>
        </w:rPr>
        <w:t>)</w:t>
      </w:r>
      <w:r w:rsidR="00120ECB">
        <w:rPr>
          <w:rFonts w:cstheme="majorBidi"/>
        </w:rPr>
        <w:fldChar w:fldCharType="end"/>
      </w:r>
      <w:r w:rsidRPr="0098502E">
        <w:rPr>
          <w:rFonts w:cstheme="majorBidi"/>
        </w:rPr>
        <w:t>.</w:t>
      </w:r>
      <w:r>
        <w:rPr>
          <w:rFonts w:cstheme="majorBidi"/>
        </w:rPr>
        <w:t xml:space="preserve"> The statistical analyses and graphical visualization of the bone levels were performed using </w:t>
      </w:r>
      <w:proofErr w:type="spellStart"/>
      <w:r w:rsidR="007B6FDC">
        <w:rPr>
          <w:rFonts w:cstheme="majorBidi"/>
        </w:rPr>
        <w:t>Graphpad</w:t>
      </w:r>
      <w:proofErr w:type="spellEnd"/>
      <w:r w:rsidR="007B6FDC">
        <w:rPr>
          <w:rFonts w:cstheme="majorBidi"/>
        </w:rPr>
        <w:t xml:space="preserve"> </w:t>
      </w:r>
      <w:r>
        <w:rPr>
          <w:rFonts w:cstheme="majorBidi"/>
        </w:rPr>
        <w:t xml:space="preserve">Prism </w:t>
      </w:r>
      <w:r w:rsidR="007B6FDC">
        <w:rPr>
          <w:rFonts w:cstheme="majorBidi"/>
        </w:rPr>
        <w:t xml:space="preserve">7 </w:t>
      </w:r>
      <w:r>
        <w:rPr>
          <w:rFonts w:cstheme="majorBidi"/>
        </w:rPr>
        <w:t>(</w:t>
      </w:r>
      <w:proofErr w:type="spellStart"/>
      <w:r>
        <w:rPr>
          <w:rFonts w:cstheme="majorBidi"/>
        </w:rPr>
        <w:t>Graphpad</w:t>
      </w:r>
      <w:proofErr w:type="spellEnd"/>
      <w:r>
        <w:rPr>
          <w:rFonts w:cstheme="majorBidi"/>
        </w:rPr>
        <w:t xml:space="preserve"> Software Inc.)</w:t>
      </w:r>
      <w:r w:rsidR="006F41D0">
        <w:rPr>
          <w:rFonts w:cstheme="majorBidi"/>
        </w:rPr>
        <w:t xml:space="preserve">. The differences in the </w:t>
      </w:r>
      <w:r w:rsidR="00F74F02">
        <w:rPr>
          <w:rFonts w:cstheme="majorBidi"/>
        </w:rPr>
        <w:t xml:space="preserve">composition </w:t>
      </w:r>
      <w:r w:rsidR="00B918A3">
        <w:rPr>
          <w:rFonts w:cstheme="majorBidi"/>
        </w:rPr>
        <w:t xml:space="preserve">of the </w:t>
      </w:r>
      <w:r w:rsidR="006F41D0">
        <w:rPr>
          <w:rFonts w:cstheme="majorBidi"/>
        </w:rPr>
        <w:t>overall microbio</w:t>
      </w:r>
      <w:r w:rsidR="00B918A3">
        <w:rPr>
          <w:rFonts w:cstheme="majorBidi"/>
        </w:rPr>
        <w:t xml:space="preserve">me between the </w:t>
      </w:r>
      <w:r w:rsidR="00DF2843">
        <w:rPr>
          <w:rFonts w:cstheme="majorBidi"/>
        </w:rPr>
        <w:t>treatment and control</w:t>
      </w:r>
      <w:r w:rsidR="0094717B">
        <w:rPr>
          <w:rFonts w:cstheme="majorBidi"/>
        </w:rPr>
        <w:t xml:space="preserve"> </w:t>
      </w:r>
      <w:r w:rsidR="0094717B">
        <w:rPr>
          <w:rFonts w:cstheme="majorBidi"/>
        </w:rPr>
        <w:lastRenderedPageBreak/>
        <w:t xml:space="preserve">groups </w:t>
      </w:r>
      <w:r w:rsidR="000E033F">
        <w:rPr>
          <w:rFonts w:cstheme="majorBidi"/>
        </w:rPr>
        <w:t xml:space="preserve">at each time point </w:t>
      </w:r>
      <w:r w:rsidR="0094717B">
        <w:rPr>
          <w:rFonts w:cstheme="majorBidi"/>
        </w:rPr>
        <w:t>in each experiment w</w:t>
      </w:r>
      <w:r w:rsidR="00C82A09">
        <w:rPr>
          <w:rFonts w:cstheme="majorBidi"/>
        </w:rPr>
        <w:t>ere</w:t>
      </w:r>
      <w:r w:rsidR="0094717B">
        <w:rPr>
          <w:rFonts w:cstheme="majorBidi"/>
        </w:rPr>
        <w:t xml:space="preserve"> assessed </w:t>
      </w:r>
      <w:r w:rsidR="002E6C12">
        <w:rPr>
          <w:rFonts w:cstheme="majorBidi"/>
        </w:rPr>
        <w:t>by PERMANOVA anal</w:t>
      </w:r>
      <w:r w:rsidR="000C4511">
        <w:rPr>
          <w:rFonts w:cstheme="majorBidi"/>
        </w:rPr>
        <w:t>yse</w:t>
      </w:r>
      <w:r w:rsidR="002E6C12">
        <w:rPr>
          <w:rFonts w:cstheme="majorBidi"/>
        </w:rPr>
        <w:t xml:space="preserve">s </w:t>
      </w:r>
      <w:r w:rsidR="000C4511">
        <w:rPr>
          <w:rFonts w:cstheme="majorBidi"/>
        </w:rPr>
        <w:t>using the Adonis function in the Vegan package in R</w:t>
      </w:r>
      <w:r w:rsidR="00811465">
        <w:rPr>
          <w:rFonts w:cstheme="majorBidi"/>
        </w:rPr>
        <w:t xml:space="preserve"> </w:t>
      </w:r>
      <w:r w:rsidR="00E663B2">
        <w:rPr>
          <w:rFonts w:cstheme="majorBidi"/>
        </w:rPr>
        <w:t>(Dixon P 2003)</w:t>
      </w:r>
      <w:r w:rsidR="000C4511">
        <w:rPr>
          <w:rFonts w:cstheme="majorBidi"/>
        </w:rPr>
        <w:t xml:space="preserve">. </w:t>
      </w:r>
      <w:r w:rsidR="00C0017F">
        <w:rPr>
          <w:rFonts w:cstheme="majorBidi"/>
        </w:rPr>
        <w:t xml:space="preserve">Differences in the number of </w:t>
      </w:r>
      <w:r w:rsidR="005A4A44">
        <w:rPr>
          <w:rFonts w:cstheme="majorBidi"/>
        </w:rPr>
        <w:t xml:space="preserve">CFUs of </w:t>
      </w:r>
      <w:r w:rsidR="00935348">
        <w:rPr>
          <w:rFonts w:cstheme="majorBidi"/>
        </w:rPr>
        <w:t>individual</w:t>
      </w:r>
      <w:r w:rsidR="005A4A44">
        <w:rPr>
          <w:rFonts w:cstheme="majorBidi"/>
        </w:rPr>
        <w:t xml:space="preserve"> bacterial genera</w:t>
      </w:r>
      <w:r w:rsidR="00935348">
        <w:rPr>
          <w:rFonts w:cstheme="majorBidi"/>
        </w:rPr>
        <w:t xml:space="preserve"> between treatment and control groups</w:t>
      </w:r>
      <w:r w:rsidR="00740DBE">
        <w:rPr>
          <w:rFonts w:cstheme="majorBidi"/>
        </w:rPr>
        <w:t xml:space="preserve"> were assessed </w:t>
      </w:r>
      <w:r w:rsidR="005866B8">
        <w:rPr>
          <w:rFonts w:cstheme="majorBidi"/>
        </w:rPr>
        <w:t>by</w:t>
      </w:r>
      <w:r w:rsidR="00740DBE">
        <w:rPr>
          <w:rFonts w:cstheme="majorBidi"/>
        </w:rPr>
        <w:t xml:space="preserve"> </w:t>
      </w:r>
      <w:r w:rsidR="004A2108">
        <w:rPr>
          <w:rFonts w:cstheme="majorBidi"/>
        </w:rPr>
        <w:t xml:space="preserve">Welch’s t-test </w:t>
      </w:r>
      <w:r w:rsidR="005866B8">
        <w:rPr>
          <w:rFonts w:cstheme="majorBidi"/>
        </w:rPr>
        <w:t>usin</w:t>
      </w:r>
      <w:r w:rsidR="009005B0">
        <w:rPr>
          <w:rFonts w:cstheme="majorBidi"/>
        </w:rPr>
        <w:t xml:space="preserve">g </w:t>
      </w:r>
      <w:proofErr w:type="spellStart"/>
      <w:r w:rsidR="009005B0">
        <w:rPr>
          <w:rFonts w:cstheme="majorBidi"/>
        </w:rPr>
        <w:t>Graphpad</w:t>
      </w:r>
      <w:proofErr w:type="spellEnd"/>
      <w:r w:rsidR="009005B0">
        <w:rPr>
          <w:rFonts w:cstheme="majorBidi"/>
        </w:rPr>
        <w:t xml:space="preserve"> Prism 7. </w:t>
      </w:r>
    </w:p>
    <w:p w14:paraId="437F2F7E" w14:textId="77777777" w:rsidR="00304B58" w:rsidRDefault="00304B58" w:rsidP="004B15A6">
      <w:pPr>
        <w:spacing w:after="0" w:line="480" w:lineRule="auto"/>
        <w:jc w:val="both"/>
        <w:rPr>
          <w:b/>
        </w:rPr>
      </w:pPr>
    </w:p>
    <w:p w14:paraId="402C3B9A" w14:textId="77777777" w:rsidR="008E50FE" w:rsidRPr="00CB4AEA" w:rsidRDefault="00F1251A" w:rsidP="004B15A6">
      <w:pPr>
        <w:jc w:val="both"/>
        <w:rPr>
          <w:b/>
        </w:rPr>
      </w:pPr>
      <w:r w:rsidRPr="00CB4AEA">
        <w:rPr>
          <w:b/>
        </w:rPr>
        <w:t>Results</w:t>
      </w:r>
    </w:p>
    <w:p w14:paraId="7BF7665F" w14:textId="77777777" w:rsidR="00CB4AEA" w:rsidRPr="002C6098" w:rsidRDefault="00CB4AEA" w:rsidP="00F349A6">
      <w:pPr>
        <w:spacing w:line="480" w:lineRule="auto"/>
        <w:jc w:val="both"/>
        <w:rPr>
          <w:b/>
          <w:i/>
        </w:rPr>
      </w:pPr>
      <w:r w:rsidRPr="002C6098">
        <w:rPr>
          <w:b/>
          <w:i/>
        </w:rPr>
        <w:t>P. gingivalis mediated dysbiosis is stable over time and associated with long term destructive disease</w:t>
      </w:r>
      <w:r w:rsidR="002C6098">
        <w:rPr>
          <w:b/>
          <w:i/>
        </w:rPr>
        <w:t xml:space="preserve"> in the murine model</w:t>
      </w:r>
    </w:p>
    <w:p w14:paraId="2E75977C" w14:textId="5DD87B60" w:rsidR="007E53CF" w:rsidRPr="00BF0BF9" w:rsidRDefault="008D645D" w:rsidP="00F349A6">
      <w:pPr>
        <w:spacing w:line="480" w:lineRule="auto"/>
        <w:jc w:val="both"/>
      </w:pPr>
      <w:r>
        <w:t xml:space="preserve">Oral gavage with </w:t>
      </w:r>
      <w:r w:rsidRPr="008D645D">
        <w:rPr>
          <w:i/>
        </w:rPr>
        <w:t>P. gingivalis</w:t>
      </w:r>
      <w:r>
        <w:rPr>
          <w:i/>
        </w:rPr>
        <w:t xml:space="preserve"> </w:t>
      </w:r>
      <w:r>
        <w:t>resulted in a 10</w:t>
      </w:r>
      <w:r w:rsidR="00A21893">
        <w:t>-</w:t>
      </w:r>
      <w:r>
        <w:t xml:space="preserve">fold increase in the total </w:t>
      </w:r>
      <w:r w:rsidR="00EB62CC">
        <w:t xml:space="preserve">quantitative </w:t>
      </w:r>
      <w:r>
        <w:t xml:space="preserve">oral microbial load and a </w:t>
      </w:r>
      <w:r w:rsidR="00D57CEB">
        <w:t>statistically significant (p</w:t>
      </w:r>
      <w:r w:rsidR="00BE0E16">
        <w:t xml:space="preserve">&lt;0.005) </w:t>
      </w:r>
      <w:r>
        <w:t>qualitative alteration to the composition of the oral mic</w:t>
      </w:r>
      <w:r w:rsidR="00133ACA">
        <w:t>robiome at 7</w:t>
      </w:r>
      <w:r w:rsidR="005B57B9">
        <w:t xml:space="preserve"> </w:t>
      </w:r>
      <w:r w:rsidR="00133ACA">
        <w:t xml:space="preserve">days post challenge </w:t>
      </w:r>
      <w:r>
        <w:t xml:space="preserve">(Fig 1.). </w:t>
      </w:r>
      <w:r w:rsidR="00133ACA">
        <w:t>The</w:t>
      </w:r>
      <w:r w:rsidR="00EA7A34">
        <w:t xml:space="preserve"> dysbiotic microbiome generated by </w:t>
      </w:r>
      <w:r w:rsidR="00EA7A34" w:rsidRPr="00133ACA">
        <w:rPr>
          <w:i/>
        </w:rPr>
        <w:t>P. gingivalis</w:t>
      </w:r>
      <w:r w:rsidR="00EA7A34">
        <w:t xml:space="preserve"> challenge is referred to as Dys</w:t>
      </w:r>
      <w:r w:rsidR="00EA7A34" w:rsidRPr="00EA7A34">
        <w:rPr>
          <w:vertAlign w:val="superscript"/>
        </w:rPr>
        <w:t>Pg</w:t>
      </w:r>
      <w:r w:rsidR="00EA7A34">
        <w:t xml:space="preserve"> throughout this manuscript. The predominant cultured organisms from unchallenged mice comprise representatives of the </w:t>
      </w:r>
      <w:r w:rsidR="00EA7A34" w:rsidRPr="00CE504F">
        <w:rPr>
          <w:i/>
        </w:rPr>
        <w:t>Streptococcus</w:t>
      </w:r>
      <w:r w:rsidR="00EA7A34">
        <w:t xml:space="preserve">, </w:t>
      </w:r>
      <w:r w:rsidR="00EA7A34" w:rsidRPr="00CE504F">
        <w:rPr>
          <w:i/>
        </w:rPr>
        <w:t>Gemella</w:t>
      </w:r>
      <w:r w:rsidR="00EA7A34">
        <w:t xml:space="preserve"> and </w:t>
      </w:r>
      <w:r w:rsidR="00EB62CC" w:rsidRPr="00CE504F">
        <w:rPr>
          <w:i/>
        </w:rPr>
        <w:t>Staphylococcus</w:t>
      </w:r>
      <w:r w:rsidR="00EB62CC">
        <w:t xml:space="preserve"> </w:t>
      </w:r>
      <w:r>
        <w:t>genera</w:t>
      </w:r>
      <w:r w:rsidR="00EA7A34">
        <w:t xml:space="preserve">. Following challenge, these genera were retained but members of the </w:t>
      </w:r>
      <w:r w:rsidR="00EB62CC" w:rsidRPr="004B15A6">
        <w:rPr>
          <w:i/>
        </w:rPr>
        <w:t>Enterobacteriaceae</w:t>
      </w:r>
      <w:r w:rsidR="00EB62CC">
        <w:t xml:space="preserve"> </w:t>
      </w:r>
      <w:r w:rsidR="00EC0AC2">
        <w:t xml:space="preserve">family </w:t>
      </w:r>
      <w:r w:rsidR="00EB62CC">
        <w:t xml:space="preserve">and </w:t>
      </w:r>
      <w:r w:rsidR="00EB62CC" w:rsidRPr="004B15A6">
        <w:rPr>
          <w:i/>
        </w:rPr>
        <w:t>Lactobacillus</w:t>
      </w:r>
      <w:r w:rsidR="00EB62CC">
        <w:t xml:space="preserve"> gen</w:t>
      </w:r>
      <w:r w:rsidR="00B3784F">
        <w:t>us</w:t>
      </w:r>
      <w:r w:rsidR="00EB62CC">
        <w:t xml:space="preserve"> </w:t>
      </w:r>
      <w:r w:rsidR="00EA7A34">
        <w:t>also became major constituents. T</w:t>
      </w:r>
      <w:r>
        <w:t xml:space="preserve">hese changes were maintained over the course of the experimental period to </w:t>
      </w:r>
      <w:r w:rsidR="007E74DB">
        <w:t xml:space="preserve">28 </w:t>
      </w:r>
      <w:r>
        <w:t>week</w:t>
      </w:r>
      <w:r w:rsidR="007E74DB">
        <w:t>s</w:t>
      </w:r>
      <w:r>
        <w:t xml:space="preserve">. </w:t>
      </w:r>
      <w:r w:rsidR="00E9244D">
        <w:t xml:space="preserve">Microbial population analysis of these samples by next generation sequencing methodology revealed a similar pattern (Fig. 2).  </w:t>
      </w:r>
      <w:r w:rsidR="00AB165C">
        <w:t>In particular, the</w:t>
      </w:r>
      <w:r w:rsidR="004C5658">
        <w:t xml:space="preserve"> </w:t>
      </w:r>
      <w:r w:rsidR="00AB165C" w:rsidRPr="004B15A6">
        <w:rPr>
          <w:i/>
        </w:rPr>
        <w:t>Streptococcus</w:t>
      </w:r>
      <w:r w:rsidR="00AB165C">
        <w:t xml:space="preserve"> and </w:t>
      </w:r>
      <w:r w:rsidR="00AB165C" w:rsidRPr="004B15A6">
        <w:rPr>
          <w:i/>
        </w:rPr>
        <w:t>Gemella</w:t>
      </w:r>
      <w:r w:rsidR="00AB165C">
        <w:t xml:space="preserve"> </w:t>
      </w:r>
      <w:r w:rsidR="004C5658">
        <w:t xml:space="preserve">genera </w:t>
      </w:r>
      <w:r w:rsidR="00AB165C">
        <w:t xml:space="preserve">were predominant in </w:t>
      </w:r>
      <w:r w:rsidR="002F594C">
        <w:t xml:space="preserve">both control and challenged mice and </w:t>
      </w:r>
      <w:r w:rsidR="00D71D4A" w:rsidRPr="00671A8B">
        <w:t>l</w:t>
      </w:r>
      <w:r w:rsidR="002F594C" w:rsidRPr="00671A8B">
        <w:t>actobacilli</w:t>
      </w:r>
      <w:r w:rsidR="002F594C" w:rsidRPr="00D71D4A">
        <w:t xml:space="preserve"> </w:t>
      </w:r>
      <w:r w:rsidR="002F594C">
        <w:t>bec</w:t>
      </w:r>
      <w:r w:rsidR="006F0883">
        <w:t>a</w:t>
      </w:r>
      <w:r w:rsidR="002F594C">
        <w:t>me prominent members of the overall Dys</w:t>
      </w:r>
      <w:r w:rsidR="007E53CF">
        <w:rPr>
          <w:vertAlign w:val="superscript"/>
        </w:rPr>
        <w:t>Pg</w:t>
      </w:r>
      <w:r w:rsidR="007E53CF">
        <w:t xml:space="preserve"> </w:t>
      </w:r>
      <w:r w:rsidR="002F594C">
        <w:t>community by week 28. The main discrepancy between the two methods of analysis was</w:t>
      </w:r>
      <w:r w:rsidR="00AB165C">
        <w:t xml:space="preserve"> </w:t>
      </w:r>
      <w:r w:rsidR="002F594C">
        <w:t xml:space="preserve">in quantitation of </w:t>
      </w:r>
      <w:r w:rsidR="002F594C" w:rsidRPr="004B15A6">
        <w:rPr>
          <w:i/>
        </w:rPr>
        <w:t>Enterobacteriaceae</w:t>
      </w:r>
      <w:r w:rsidR="002F594C">
        <w:t xml:space="preserve"> particularly at week 16 where this genus represented approximately 40% of the total community by culture but only a minor constituent on the basis of non-cultural analysis. </w:t>
      </w:r>
      <w:r w:rsidR="008A7925">
        <w:t xml:space="preserve">This </w:t>
      </w:r>
      <w:r w:rsidR="00254401">
        <w:t xml:space="preserve">under representation may be a reflection of the </w:t>
      </w:r>
      <w:r w:rsidR="00BE2F63">
        <w:t xml:space="preserve">number of mouse oral taxa </w:t>
      </w:r>
      <w:r w:rsidR="00254401">
        <w:t xml:space="preserve">which are </w:t>
      </w:r>
      <w:r w:rsidR="00BE2F63">
        <w:t xml:space="preserve">as yet unnamed and not </w:t>
      </w:r>
      <w:r w:rsidR="004C0D31">
        <w:t xml:space="preserve">adequately </w:t>
      </w:r>
      <w:r w:rsidR="00BE2F63">
        <w:t>curated, resulting in a significant number of</w:t>
      </w:r>
      <w:r w:rsidR="004C0D31">
        <w:t xml:space="preserve"> </w:t>
      </w:r>
      <w:r w:rsidR="00BE2F63">
        <w:t>reads</w:t>
      </w:r>
      <w:r w:rsidR="000E3254">
        <w:t xml:space="preserve"> belonging to </w:t>
      </w:r>
      <w:proofErr w:type="spellStart"/>
      <w:r w:rsidR="000E3254">
        <w:t>Gammaproteobacteria</w:t>
      </w:r>
      <w:proofErr w:type="spellEnd"/>
      <w:r w:rsidR="000E3254">
        <w:t xml:space="preserve"> being grouped as unclassified.</w:t>
      </w:r>
      <w:r w:rsidR="00BE2F63">
        <w:t xml:space="preserve"> </w:t>
      </w:r>
      <w:r w:rsidR="002F594C">
        <w:t>As previously described</w:t>
      </w:r>
      <w:r w:rsidR="006F0883">
        <w:t xml:space="preserve"> (</w:t>
      </w:r>
      <w:r w:rsidR="00DE1BA7">
        <w:t>Hajishengallis et al. 2011</w:t>
      </w:r>
      <w:r w:rsidR="006F0883">
        <w:t>)</w:t>
      </w:r>
      <w:r w:rsidR="002F594C">
        <w:t xml:space="preserve">, we were unable to detect </w:t>
      </w:r>
      <w:r w:rsidR="002F594C" w:rsidRPr="00133ACA">
        <w:rPr>
          <w:i/>
        </w:rPr>
        <w:t>P. gingivalis</w:t>
      </w:r>
      <w:r w:rsidR="002F594C">
        <w:t xml:space="preserve"> by cultural analysis at any time point from oral swabs of challenged mice. </w:t>
      </w:r>
      <w:r w:rsidR="007E53CF">
        <w:t>This</w:t>
      </w:r>
      <w:r w:rsidR="006F0883">
        <w:t xml:space="preserve"> </w:t>
      </w:r>
      <w:r w:rsidR="00254401">
        <w:t xml:space="preserve">low </w:t>
      </w:r>
      <w:r w:rsidR="00254401">
        <w:lastRenderedPageBreak/>
        <w:t xml:space="preserve">abundance </w:t>
      </w:r>
      <w:r w:rsidR="006F0883">
        <w:t>was confirmed by</w:t>
      </w:r>
      <w:r w:rsidR="007E53CF">
        <w:t xml:space="preserve"> non-cultural analyses where </w:t>
      </w:r>
      <w:r w:rsidR="002F594C">
        <w:rPr>
          <w:i/>
        </w:rPr>
        <w:t xml:space="preserve">P. </w:t>
      </w:r>
      <w:proofErr w:type="spellStart"/>
      <w:r w:rsidR="002F594C">
        <w:rPr>
          <w:i/>
        </w:rPr>
        <w:t>ginigivalis</w:t>
      </w:r>
      <w:proofErr w:type="spellEnd"/>
      <w:r w:rsidR="002F594C">
        <w:rPr>
          <w:i/>
        </w:rPr>
        <w:t xml:space="preserve"> </w:t>
      </w:r>
      <w:r w:rsidR="002F594C">
        <w:t xml:space="preserve">sequences could only be detected in less than </w:t>
      </w:r>
      <w:r w:rsidR="002F594C" w:rsidRPr="00BF0BF9">
        <w:t>one-third of the Dys</w:t>
      </w:r>
      <w:r w:rsidR="002F594C" w:rsidRPr="00BF0BF9">
        <w:rPr>
          <w:vertAlign w:val="superscript"/>
        </w:rPr>
        <w:t>Pg</w:t>
      </w:r>
      <w:r w:rsidR="002F594C" w:rsidRPr="00BF0BF9">
        <w:t xml:space="preserve"> samples </w:t>
      </w:r>
      <w:r w:rsidR="006F0883" w:rsidRPr="00BF0BF9">
        <w:t xml:space="preserve">and </w:t>
      </w:r>
      <w:r w:rsidR="002F594C" w:rsidRPr="00BF0BF9">
        <w:t>at very low levels (</w:t>
      </w:r>
      <w:r w:rsidR="00C24F11" w:rsidRPr="00BF0BF9">
        <w:t>0.01</w:t>
      </w:r>
      <w:r w:rsidR="00045AFE" w:rsidRPr="00BF0BF9">
        <w:t>3</w:t>
      </w:r>
      <w:r w:rsidR="002F594C" w:rsidRPr="00BF0BF9">
        <w:t>%</w:t>
      </w:r>
      <w:r w:rsidR="006F0883" w:rsidRPr="00BF0BF9">
        <w:t xml:space="preserve"> </w:t>
      </w:r>
      <w:r w:rsidR="00C24F11" w:rsidRPr="00BF0BF9">
        <w:t xml:space="preserve">of the </w:t>
      </w:r>
      <w:r w:rsidR="006F0883" w:rsidRPr="00BF0BF9">
        <w:t>total</w:t>
      </w:r>
      <w:r w:rsidR="00C24F11" w:rsidRPr="00BF0BF9">
        <w:t xml:space="preserve"> reads</w:t>
      </w:r>
      <w:r w:rsidR="00B94386" w:rsidRPr="00BF0BF9">
        <w:t xml:space="preserve"> in each sample</w:t>
      </w:r>
      <w:r w:rsidR="002F594C" w:rsidRPr="00BF0BF9">
        <w:t>)</w:t>
      </w:r>
      <w:r w:rsidR="009B6C5F" w:rsidRPr="00BF0BF9">
        <w:t xml:space="preserve"> (Fig 2.)</w:t>
      </w:r>
      <w:r w:rsidR="002F594C" w:rsidRPr="00BF0BF9">
        <w:t xml:space="preserve">. </w:t>
      </w:r>
      <w:r w:rsidR="006277E5" w:rsidRPr="00BF0BF9">
        <w:t xml:space="preserve">A similar level of coherence between </w:t>
      </w:r>
      <w:r w:rsidR="007E53CF" w:rsidRPr="00BF0BF9">
        <w:t>cultural and non-cultural techniques</w:t>
      </w:r>
      <w:r w:rsidR="004F482E" w:rsidRPr="00BF0BF9">
        <w:t xml:space="preserve"> was observed in all the experiments reported here</w:t>
      </w:r>
      <w:r w:rsidR="007E53CF" w:rsidRPr="00BF0BF9">
        <w:t xml:space="preserve">, </w:t>
      </w:r>
      <w:r w:rsidR="00875858" w:rsidRPr="00BF0BF9">
        <w:t xml:space="preserve">and hence </w:t>
      </w:r>
      <w:r w:rsidR="007E53CF" w:rsidRPr="00BF0BF9">
        <w:t>we only present data f</w:t>
      </w:r>
      <w:r w:rsidR="00814851" w:rsidRPr="00BF0BF9">
        <w:t>rom</w:t>
      </w:r>
      <w:r w:rsidR="007E53CF" w:rsidRPr="00BF0BF9">
        <w:t xml:space="preserve"> cultural analyses in the </w:t>
      </w:r>
      <w:r w:rsidR="003A0827" w:rsidRPr="00BF0BF9">
        <w:t>following sections</w:t>
      </w:r>
      <w:r w:rsidR="007E53CF" w:rsidRPr="00BF0BF9">
        <w:t>.</w:t>
      </w:r>
      <w:r w:rsidR="00E16D69" w:rsidRPr="00BF0BF9">
        <w:t xml:space="preserve"> </w:t>
      </w:r>
    </w:p>
    <w:p w14:paraId="5D1F4C23" w14:textId="5D35610E" w:rsidR="00616779" w:rsidRPr="00BF0BF9" w:rsidRDefault="00254401" w:rsidP="00F349A6">
      <w:pPr>
        <w:spacing w:line="480" w:lineRule="auto"/>
        <w:jc w:val="both"/>
      </w:pPr>
      <w:r w:rsidRPr="00BF0BF9">
        <w:t>Loss of p</w:t>
      </w:r>
      <w:r w:rsidR="00EA7A34" w:rsidRPr="00BF0BF9">
        <w:t xml:space="preserve">eriodontal bone </w:t>
      </w:r>
      <w:r w:rsidR="00A52011" w:rsidRPr="00BF0BF9">
        <w:t xml:space="preserve">was </w:t>
      </w:r>
      <w:r w:rsidR="00EA7A34" w:rsidRPr="00BF0BF9">
        <w:t>increased in the challenged mice in a linear manner over the entire experimental period</w:t>
      </w:r>
      <w:r w:rsidR="009C501F" w:rsidRPr="00BF0BF9">
        <w:t xml:space="preserve"> of 28 weeks. The rate of bone loss in the challenged mice </w:t>
      </w:r>
      <w:r w:rsidR="0066024C" w:rsidRPr="00BF0BF9">
        <w:t xml:space="preserve">at 0.002 mm/week </w:t>
      </w:r>
      <w:r w:rsidR="009C501F" w:rsidRPr="00BF0BF9">
        <w:t>was approximately eight times higher (p&lt;0.01) than the unchallenged mice</w:t>
      </w:r>
      <w:r w:rsidR="00A52011" w:rsidRPr="00BF0BF9">
        <w:t>. Thus,</w:t>
      </w:r>
      <w:r w:rsidR="00EA7A34" w:rsidRPr="00BF0BF9">
        <w:t xml:space="preserve"> the presence of a Dys</w:t>
      </w:r>
      <w:r w:rsidR="00EA7A34" w:rsidRPr="00BF0BF9">
        <w:rPr>
          <w:vertAlign w:val="superscript"/>
        </w:rPr>
        <w:t xml:space="preserve">Pg </w:t>
      </w:r>
      <w:r w:rsidR="00EA7A34" w:rsidRPr="00BF0BF9">
        <w:t xml:space="preserve">oral microbiome is consistently associated with </w:t>
      </w:r>
      <w:r w:rsidR="00D57CEB" w:rsidRPr="00BF0BF9">
        <w:t>alveolar bone loss</w:t>
      </w:r>
      <w:r w:rsidR="00D65B51" w:rsidRPr="00BF0BF9">
        <w:t>.</w:t>
      </w:r>
    </w:p>
    <w:p w14:paraId="0E57ED3A" w14:textId="25253C18" w:rsidR="00F1251A" w:rsidRPr="00BF0BF9" w:rsidRDefault="00616779" w:rsidP="00F349A6">
      <w:pPr>
        <w:spacing w:line="480" w:lineRule="auto"/>
        <w:jc w:val="both"/>
        <w:rPr>
          <w:b/>
          <w:i/>
        </w:rPr>
      </w:pPr>
      <w:r w:rsidRPr="00BF0BF9">
        <w:rPr>
          <w:b/>
          <w:i/>
        </w:rPr>
        <w:t>P. gingivalis mediated dysbiotic microbiomes stably transfer</w:t>
      </w:r>
      <w:r w:rsidR="00FE0DD3" w:rsidRPr="00BF0BF9">
        <w:rPr>
          <w:b/>
          <w:i/>
        </w:rPr>
        <w:t xml:space="preserve"> horizontally</w:t>
      </w:r>
      <w:r w:rsidRPr="00BF0BF9">
        <w:rPr>
          <w:b/>
          <w:i/>
        </w:rPr>
        <w:t xml:space="preserve"> into healthy germ</w:t>
      </w:r>
      <w:r w:rsidR="009432CE" w:rsidRPr="00BF0BF9">
        <w:rPr>
          <w:b/>
          <w:i/>
        </w:rPr>
        <w:t>-</w:t>
      </w:r>
      <w:r w:rsidRPr="00BF0BF9">
        <w:rPr>
          <w:b/>
          <w:i/>
        </w:rPr>
        <w:t xml:space="preserve">free mice and lead to periodontal disease in the recipients. </w:t>
      </w:r>
    </w:p>
    <w:p w14:paraId="5E3470CF" w14:textId="41B17597" w:rsidR="003D072E" w:rsidRDefault="00AA0AB5" w:rsidP="00F349A6">
      <w:pPr>
        <w:spacing w:line="480" w:lineRule="auto"/>
        <w:jc w:val="both"/>
      </w:pPr>
      <w:bookmarkStart w:id="1" w:name="_Hlk15294684"/>
      <w:r w:rsidRPr="00BF0BF9">
        <w:t>In previous</w:t>
      </w:r>
      <w:r w:rsidR="002704DA" w:rsidRPr="00BF0BF9">
        <w:t xml:space="preserve"> work, we demonstrated efficient transfer of the oral commensal microbiota from healthy control</w:t>
      </w:r>
      <w:r w:rsidR="007F0A92" w:rsidRPr="00BF0BF9">
        <w:t xml:space="preserve"> SPF C3H/</w:t>
      </w:r>
      <w:proofErr w:type="spellStart"/>
      <w:r w:rsidR="007F0A92" w:rsidRPr="00BF0BF9">
        <w:t>Orl</w:t>
      </w:r>
      <w:proofErr w:type="spellEnd"/>
      <w:r w:rsidR="007F0A92" w:rsidRPr="00BF0BF9">
        <w:t xml:space="preserve"> mice into germ</w:t>
      </w:r>
      <w:r w:rsidR="00BA7E22" w:rsidRPr="00BF0BF9">
        <w:t>-</w:t>
      </w:r>
      <w:r w:rsidR="007F0A92" w:rsidRPr="00BF0BF9">
        <w:t>free mice of identical genotype accompanied by only</w:t>
      </w:r>
      <w:r w:rsidR="002704DA" w:rsidRPr="00BF0BF9">
        <w:t xml:space="preserve"> low levels of </w:t>
      </w:r>
      <w:r w:rsidR="007F0A92" w:rsidRPr="00BF0BF9">
        <w:t xml:space="preserve">physiological bone loss in the recipients. </w:t>
      </w:r>
      <w:r w:rsidR="002704DA" w:rsidRPr="00BF0BF9">
        <w:t xml:space="preserve">(Hajishengallis et al. 2011). </w:t>
      </w:r>
      <w:bookmarkEnd w:id="1"/>
      <w:r w:rsidR="002704DA" w:rsidRPr="00BF0BF9">
        <w:t xml:space="preserve">Here </w:t>
      </w:r>
      <w:r w:rsidR="00BA7E22" w:rsidRPr="00BF0BF9">
        <w:t>we examined</w:t>
      </w:r>
      <w:r w:rsidR="003D072E" w:rsidRPr="00BF0BF9">
        <w:t xml:space="preserve"> the stability on transfer </w:t>
      </w:r>
      <w:r w:rsidR="00616779" w:rsidRPr="00BF0BF9">
        <w:t>of a Dys</w:t>
      </w:r>
      <w:r w:rsidR="00616779" w:rsidRPr="00BF0BF9">
        <w:rPr>
          <w:vertAlign w:val="superscript"/>
        </w:rPr>
        <w:t>Pg</w:t>
      </w:r>
      <w:r w:rsidR="00616779" w:rsidRPr="00BF0BF9">
        <w:t xml:space="preserve"> microbiome </w:t>
      </w:r>
      <w:r w:rsidR="003D072E" w:rsidRPr="00BF0BF9">
        <w:t>in</w:t>
      </w:r>
      <w:r w:rsidR="00616779" w:rsidRPr="00BF0BF9">
        <w:t xml:space="preserve">to </w:t>
      </w:r>
      <w:r w:rsidR="003D072E" w:rsidRPr="00BF0BF9">
        <w:t>germ</w:t>
      </w:r>
      <w:r w:rsidR="00EA2A6A" w:rsidRPr="00BF0BF9">
        <w:t>-</w:t>
      </w:r>
      <w:r w:rsidR="003D072E" w:rsidRPr="00BF0BF9">
        <w:t xml:space="preserve">free mice </w:t>
      </w:r>
      <w:r w:rsidR="00616779" w:rsidRPr="00BF0BF9">
        <w:t>and</w:t>
      </w:r>
      <w:r w:rsidR="003D072E" w:rsidRPr="00BF0BF9">
        <w:t xml:space="preserve"> the disease</w:t>
      </w:r>
      <w:r w:rsidR="003D072E">
        <w:t xml:space="preserve"> phenotype of the recipients.</w:t>
      </w:r>
      <w:r w:rsidR="00FE0DD3">
        <w:t xml:space="preserve"> </w:t>
      </w:r>
      <w:r w:rsidR="00133ACA">
        <w:t>C3H</w:t>
      </w:r>
      <w:r w:rsidR="00EA2A6A">
        <w:t>/</w:t>
      </w:r>
      <w:proofErr w:type="spellStart"/>
      <w:r w:rsidR="00EA2A6A">
        <w:t>Orl</w:t>
      </w:r>
      <w:proofErr w:type="spellEnd"/>
      <w:r w:rsidR="00133ACA">
        <w:t xml:space="preserve"> mice challenged with </w:t>
      </w:r>
      <w:r w:rsidR="00133ACA" w:rsidRPr="00133ACA">
        <w:rPr>
          <w:i/>
        </w:rPr>
        <w:t>P. gingivalis</w:t>
      </w:r>
      <w:r w:rsidR="00133ACA">
        <w:t xml:space="preserve"> were co-caged in </w:t>
      </w:r>
      <w:r w:rsidR="002057DB" w:rsidRPr="002057DB">
        <w:t>1:2 r</w:t>
      </w:r>
      <w:r w:rsidR="00133ACA">
        <w:t>atio with germ</w:t>
      </w:r>
      <w:r w:rsidR="00EA2A6A">
        <w:t>-</w:t>
      </w:r>
      <w:r w:rsidR="00133ACA">
        <w:t>free C3H</w:t>
      </w:r>
      <w:r w:rsidR="00EA2A6A">
        <w:t>/</w:t>
      </w:r>
      <w:proofErr w:type="spellStart"/>
      <w:r w:rsidR="00EA2A6A">
        <w:t>Orl</w:t>
      </w:r>
      <w:proofErr w:type="spellEnd"/>
      <w:r w:rsidR="00133ACA">
        <w:t xml:space="preserve"> mice</w:t>
      </w:r>
      <w:r w:rsidR="005A283A">
        <w:t xml:space="preserve">. </w:t>
      </w:r>
      <w:r w:rsidR="009F0A6D">
        <w:t>After 14 days</w:t>
      </w:r>
      <w:r w:rsidR="0039259F">
        <w:t>,</w:t>
      </w:r>
      <w:r w:rsidR="009F0A6D">
        <w:t xml:space="preserve"> the microbiology of the donor and recipient mice w</w:t>
      </w:r>
      <w:r w:rsidR="003A0827">
        <w:t>as</w:t>
      </w:r>
      <w:r w:rsidR="009F0A6D">
        <w:t xml:space="preserve"> </w:t>
      </w:r>
      <w:r w:rsidR="007F0A92">
        <w:t>shown to be not significantly different</w:t>
      </w:r>
      <w:r w:rsidR="009F0A6D">
        <w:t xml:space="preserve"> in terms of both the quantitative and qualitative composition</w:t>
      </w:r>
      <w:r w:rsidR="005A283A">
        <w:t xml:space="preserve"> (Fig 3)</w:t>
      </w:r>
      <w:r w:rsidR="009F0A6D">
        <w:t xml:space="preserve">. </w:t>
      </w:r>
      <w:r w:rsidR="009432CE">
        <w:t>Thus,</w:t>
      </w:r>
      <w:r w:rsidR="009F0A6D">
        <w:t xml:space="preserve"> the differential in the total counts of control versus </w:t>
      </w:r>
      <w:r w:rsidR="009F0A6D" w:rsidRPr="009F0A6D">
        <w:rPr>
          <w:i/>
        </w:rPr>
        <w:t>P. gingivalis</w:t>
      </w:r>
      <w:r w:rsidR="009F0A6D">
        <w:t xml:space="preserve"> challenged mice was maintained in the germ</w:t>
      </w:r>
      <w:r w:rsidR="009432CE">
        <w:t>-</w:t>
      </w:r>
      <w:r w:rsidR="009F0A6D">
        <w:t xml:space="preserve">free recipients of these two microbiomes. </w:t>
      </w:r>
      <w:r w:rsidR="009432CE">
        <w:t>Furthermore,</w:t>
      </w:r>
      <w:r w:rsidR="009F0A6D">
        <w:t xml:space="preserve"> </w:t>
      </w:r>
      <w:r w:rsidR="009F0A6D" w:rsidRPr="00610EC7">
        <w:t xml:space="preserve">the elevated level of periodontal bone loss in the donor challenged mice </w:t>
      </w:r>
      <w:r w:rsidR="00323B74" w:rsidRPr="00C4579A">
        <w:t>(0.0</w:t>
      </w:r>
      <w:r w:rsidR="00371545">
        <w:t>09</w:t>
      </w:r>
      <w:r w:rsidR="00323B74" w:rsidRPr="00C4579A">
        <w:t xml:space="preserve"> mm/week</w:t>
      </w:r>
      <w:r w:rsidR="00D60DD0" w:rsidRPr="00C4579A">
        <w:t>; p&lt;0.0001</w:t>
      </w:r>
      <w:r w:rsidR="00323B74" w:rsidRPr="00C4579A">
        <w:t>)</w:t>
      </w:r>
      <w:r w:rsidR="00587455" w:rsidRPr="00C4579A">
        <w:t xml:space="preserve"> </w:t>
      </w:r>
      <w:r w:rsidR="009F0A6D" w:rsidRPr="00610EC7">
        <w:t>w</w:t>
      </w:r>
      <w:r w:rsidR="00A52011">
        <w:t>as</w:t>
      </w:r>
      <w:r w:rsidR="009F0A6D" w:rsidRPr="00610EC7">
        <w:t xml:space="preserve"> also evident in the </w:t>
      </w:r>
      <w:r w:rsidR="00475665" w:rsidRPr="00610EC7">
        <w:t xml:space="preserve">conventionalized </w:t>
      </w:r>
      <w:r w:rsidR="009F0A6D" w:rsidRPr="00610EC7">
        <w:t>mice that received the Dys</w:t>
      </w:r>
      <w:r w:rsidR="009F0A6D" w:rsidRPr="00610EC7">
        <w:rPr>
          <w:vertAlign w:val="superscript"/>
        </w:rPr>
        <w:t>Pg</w:t>
      </w:r>
      <w:r w:rsidR="009F0A6D">
        <w:t xml:space="preserve"> microbiome</w:t>
      </w:r>
      <w:r w:rsidR="00587455">
        <w:t>,</w:t>
      </w:r>
      <w:r w:rsidR="002B4C1C">
        <w:t xml:space="preserve"> </w:t>
      </w:r>
      <w:r w:rsidR="00587455">
        <w:t xml:space="preserve">after </w:t>
      </w:r>
      <w:r w:rsidR="007457CE">
        <w:t>16 weeks of co</w:t>
      </w:r>
      <w:r w:rsidR="008D0456">
        <w:t>-</w:t>
      </w:r>
      <w:r w:rsidR="007457CE">
        <w:t>caging</w:t>
      </w:r>
      <w:r w:rsidR="002B4EBB">
        <w:t xml:space="preserve"> </w:t>
      </w:r>
      <w:r w:rsidR="00A52011">
        <w:t>(</w:t>
      </w:r>
      <w:r w:rsidR="00D033ED">
        <w:t>0.008</w:t>
      </w:r>
      <w:r w:rsidR="00A52011">
        <w:t xml:space="preserve"> mm/week</w:t>
      </w:r>
      <w:r w:rsidR="00F53F16">
        <w:t xml:space="preserve">; </w:t>
      </w:r>
      <w:r w:rsidR="00F53F16" w:rsidRPr="00C4579A">
        <w:t>p&lt;0.0001</w:t>
      </w:r>
      <w:r w:rsidR="00A52011">
        <w:t>)</w:t>
      </w:r>
      <w:r w:rsidR="009F0A6D">
        <w:t>. Hence</w:t>
      </w:r>
      <w:r w:rsidR="00511A58">
        <w:t>,</w:t>
      </w:r>
      <w:r w:rsidR="009F0A6D">
        <w:t xml:space="preserve"> these experiments demonstrate a direct cause and effect of acquisition of the Dys</w:t>
      </w:r>
      <w:r w:rsidR="009F0A6D" w:rsidRPr="009F0A6D">
        <w:rPr>
          <w:vertAlign w:val="superscript"/>
        </w:rPr>
        <w:t>Pg</w:t>
      </w:r>
      <w:r w:rsidR="009F0A6D">
        <w:t xml:space="preserve"> micro</w:t>
      </w:r>
      <w:r w:rsidR="009432CE">
        <w:t>b</w:t>
      </w:r>
      <w:r w:rsidR="009F0A6D">
        <w:t xml:space="preserve">iome and the development of </w:t>
      </w:r>
      <w:r w:rsidR="00A52011">
        <w:t>bone loss</w:t>
      </w:r>
      <w:r w:rsidR="009F0A6D">
        <w:t xml:space="preserve"> even though the recipient animals were not exposed to </w:t>
      </w:r>
      <w:r w:rsidR="00B6670F">
        <w:t>the high</w:t>
      </w:r>
      <w:r w:rsidR="0067058E">
        <w:t xml:space="preserve"> </w:t>
      </w:r>
      <w:r w:rsidR="00B6670F">
        <w:t>dose</w:t>
      </w:r>
      <w:r w:rsidR="009F0A6D">
        <w:t xml:space="preserve"> inoculum of </w:t>
      </w:r>
      <w:r w:rsidR="009F0A6D" w:rsidRPr="009F0A6D">
        <w:rPr>
          <w:i/>
        </w:rPr>
        <w:t>P. gingivalis</w:t>
      </w:r>
      <w:r w:rsidR="00B6670F">
        <w:rPr>
          <w:i/>
        </w:rPr>
        <w:t xml:space="preserve"> </w:t>
      </w:r>
      <w:r w:rsidR="00B6670F">
        <w:t>received by the donors</w:t>
      </w:r>
      <w:r w:rsidR="009F0A6D">
        <w:rPr>
          <w:i/>
        </w:rPr>
        <w:t>.</w:t>
      </w:r>
    </w:p>
    <w:p w14:paraId="1CD88B85" w14:textId="77777777" w:rsidR="00616779" w:rsidRPr="002C6098" w:rsidRDefault="003D072E" w:rsidP="00F349A6">
      <w:pPr>
        <w:spacing w:line="480" w:lineRule="auto"/>
        <w:jc w:val="both"/>
        <w:rPr>
          <w:b/>
          <w:i/>
        </w:rPr>
      </w:pPr>
      <w:r w:rsidRPr="002C6098">
        <w:rPr>
          <w:b/>
          <w:i/>
        </w:rPr>
        <w:lastRenderedPageBreak/>
        <w:t>Inter-generational transfer of P. gingivalis mediated dysbiotic microbiomes and vertical transmission of disease.</w:t>
      </w:r>
    </w:p>
    <w:p w14:paraId="0D87A2D8" w14:textId="4679DEE9" w:rsidR="00421D88" w:rsidRDefault="00FE0DD3" w:rsidP="00F349A6">
      <w:pPr>
        <w:spacing w:line="480" w:lineRule="auto"/>
        <w:jc w:val="both"/>
      </w:pPr>
      <w:r>
        <w:t xml:space="preserve">The causal relationship of </w:t>
      </w:r>
      <w:r w:rsidR="003B6361">
        <w:t>d</w:t>
      </w:r>
      <w:r>
        <w:t xml:space="preserve">ysbiosis and periodontal disease was then </w:t>
      </w:r>
      <w:r w:rsidR="00511A58">
        <w:t xml:space="preserve">further </w:t>
      </w:r>
      <w:r>
        <w:t>explored in vertical t</w:t>
      </w:r>
      <w:r w:rsidR="009F0A6D">
        <w:t xml:space="preserve">ransmission experiments. Control or </w:t>
      </w:r>
      <w:r w:rsidR="009F0A6D" w:rsidRPr="009F0A6D">
        <w:rPr>
          <w:i/>
        </w:rPr>
        <w:t>P. gingivalis</w:t>
      </w:r>
      <w:r w:rsidR="009F0A6D">
        <w:t xml:space="preserve"> challenged </w:t>
      </w:r>
      <w:r w:rsidR="000A4938">
        <w:t>C3H/</w:t>
      </w:r>
      <w:proofErr w:type="spellStart"/>
      <w:r w:rsidR="000A4938">
        <w:t>Orl</w:t>
      </w:r>
      <w:proofErr w:type="spellEnd"/>
      <w:r w:rsidR="000A4938">
        <w:t xml:space="preserve"> </w:t>
      </w:r>
      <w:r w:rsidR="009F0A6D">
        <w:t>mice were mated and the oral microbiology of the corresponding litters w</w:t>
      </w:r>
      <w:r w:rsidR="00EB751B">
        <w:t>as</w:t>
      </w:r>
      <w:r w:rsidR="009F0A6D">
        <w:t xml:space="preserve"> compared at 8, 16 and 28 weeks of age</w:t>
      </w:r>
      <w:r w:rsidR="00EB751B">
        <w:t>, and the periodontal bone loss at 16 and 28 weeks</w:t>
      </w:r>
      <w:r w:rsidR="004A2D0E">
        <w:t xml:space="preserve"> (Fig 4)</w:t>
      </w:r>
      <w:r w:rsidR="0031305E">
        <w:t>. First generation animals acquired an oral microbiome similar</w:t>
      </w:r>
      <w:r w:rsidR="004A2D0E">
        <w:t xml:space="preserve"> </w:t>
      </w:r>
      <w:r w:rsidR="0031305E">
        <w:t>in composition and total counts to the parent mice</w:t>
      </w:r>
      <w:r w:rsidR="00EC7EA6">
        <w:t xml:space="preserve">, with no statistical significance between the respective </w:t>
      </w:r>
      <w:r w:rsidR="009C140C">
        <w:t xml:space="preserve">oral microbial </w:t>
      </w:r>
      <w:r w:rsidR="00EC7EA6">
        <w:t>populations</w:t>
      </w:r>
      <w:r w:rsidR="004A2D0E">
        <w:t xml:space="preserve">. </w:t>
      </w:r>
      <w:r w:rsidR="009432CE">
        <w:t>Thus,</w:t>
      </w:r>
      <w:r w:rsidR="0031305E">
        <w:t xml:space="preserve"> whilst control litter mice had oral counts of between 10</w:t>
      </w:r>
      <w:r w:rsidR="0031305E" w:rsidRPr="00EA7DF4">
        <w:rPr>
          <w:vertAlign w:val="superscript"/>
        </w:rPr>
        <w:t>6</w:t>
      </w:r>
      <w:r w:rsidR="0031305E">
        <w:t>-10</w:t>
      </w:r>
      <w:r w:rsidR="00EA7DF4" w:rsidRPr="00EA7DF4">
        <w:rPr>
          <w:vertAlign w:val="superscript"/>
        </w:rPr>
        <w:t>7</w:t>
      </w:r>
      <w:r w:rsidR="00EA7DF4">
        <w:t xml:space="preserve"> </w:t>
      </w:r>
      <w:r w:rsidR="007C582D">
        <w:t>CFU</w:t>
      </w:r>
      <w:r w:rsidR="00EA7DF4">
        <w:t xml:space="preserve">, </w:t>
      </w:r>
      <w:r w:rsidR="00DA17D7">
        <w:t xml:space="preserve">the offspring of challenged mice </w:t>
      </w:r>
      <w:r w:rsidR="00A52011">
        <w:t>had</w:t>
      </w:r>
      <w:r w:rsidR="00EA7DF4">
        <w:t xml:space="preserve"> </w:t>
      </w:r>
      <w:r w:rsidR="00DA17D7">
        <w:t xml:space="preserve">oral </w:t>
      </w:r>
      <w:r w:rsidR="00EA7DF4">
        <w:t>bacterial counts of approximately 10</w:t>
      </w:r>
      <w:r w:rsidR="00EA7DF4" w:rsidRPr="00EA7DF4">
        <w:rPr>
          <w:vertAlign w:val="superscript"/>
        </w:rPr>
        <w:t>8</w:t>
      </w:r>
      <w:r w:rsidR="00EA7DF4">
        <w:t xml:space="preserve"> </w:t>
      </w:r>
      <w:r w:rsidR="007C582D">
        <w:t>CFU</w:t>
      </w:r>
      <w:r w:rsidR="00EB751B">
        <w:t>,</w:t>
      </w:r>
      <w:r w:rsidR="00EA7DF4">
        <w:t xml:space="preserve"> in both cases similar to the parent mice. </w:t>
      </w:r>
      <w:r w:rsidR="009432CE">
        <w:t>Similarly,</w:t>
      </w:r>
      <w:r w:rsidR="00EA7DF4">
        <w:t xml:space="preserve"> whilst</w:t>
      </w:r>
      <w:r w:rsidR="00EA7DF4" w:rsidRPr="00EA7DF4">
        <w:t xml:space="preserve"> </w:t>
      </w:r>
      <w:r w:rsidR="00B45C00" w:rsidRPr="00F349A6">
        <w:rPr>
          <w:i/>
          <w:iCs/>
        </w:rPr>
        <w:t>Streptococcus</w:t>
      </w:r>
      <w:r w:rsidR="00EB751B">
        <w:t xml:space="preserve"> and </w:t>
      </w:r>
      <w:r w:rsidR="00B45C00" w:rsidRPr="00F349A6">
        <w:rPr>
          <w:i/>
          <w:iCs/>
        </w:rPr>
        <w:t>Gemella</w:t>
      </w:r>
      <w:r w:rsidR="00B45C00">
        <w:t xml:space="preserve"> </w:t>
      </w:r>
      <w:r w:rsidR="00EA7DF4">
        <w:t>genera dominated the oral microbiome of control parent</w:t>
      </w:r>
      <w:r w:rsidR="00B45C00">
        <w:t xml:space="preserve"> and control litter mice,</w:t>
      </w:r>
      <w:r w:rsidR="00EB751B">
        <w:t xml:space="preserve"> the major </w:t>
      </w:r>
      <w:r w:rsidR="00B45C00">
        <w:t xml:space="preserve">common components of the both challenged parents and </w:t>
      </w:r>
      <w:r w:rsidR="00DA17D7">
        <w:t xml:space="preserve">their </w:t>
      </w:r>
      <w:r w:rsidR="00B45C00">
        <w:t>litter</w:t>
      </w:r>
      <w:r w:rsidR="00DA17D7">
        <w:t xml:space="preserve"> mice</w:t>
      </w:r>
      <w:r w:rsidR="00EB751B">
        <w:t xml:space="preserve"> comprised </w:t>
      </w:r>
      <w:r w:rsidR="00EB751B" w:rsidRPr="00F349A6">
        <w:rPr>
          <w:i/>
          <w:iCs/>
        </w:rPr>
        <w:t>Lactobacillus</w:t>
      </w:r>
      <w:r w:rsidR="00EB751B">
        <w:t xml:space="preserve"> and </w:t>
      </w:r>
      <w:r w:rsidR="00EB751B" w:rsidRPr="00F349A6">
        <w:rPr>
          <w:i/>
          <w:iCs/>
        </w:rPr>
        <w:t>Staphylococcus</w:t>
      </w:r>
      <w:r w:rsidR="00EB751B">
        <w:t xml:space="preserve"> along with the </w:t>
      </w:r>
      <w:r w:rsidR="00EB751B" w:rsidRPr="00F349A6">
        <w:rPr>
          <w:i/>
          <w:iCs/>
        </w:rPr>
        <w:t>Streptococcus</w:t>
      </w:r>
      <w:r w:rsidR="00EB751B">
        <w:t xml:space="preserve"> and </w:t>
      </w:r>
      <w:r w:rsidR="00EB751B" w:rsidRPr="00F349A6">
        <w:rPr>
          <w:i/>
          <w:iCs/>
        </w:rPr>
        <w:t>Gemella</w:t>
      </w:r>
      <w:r w:rsidR="00EB751B">
        <w:t xml:space="preserve"> genera</w:t>
      </w:r>
      <w:r w:rsidR="00B45C00">
        <w:t>. The transmission of either control or dy</w:t>
      </w:r>
      <w:r w:rsidR="00ED0A4D">
        <w:t>s</w:t>
      </w:r>
      <w:r w:rsidR="00B45C00">
        <w:t xml:space="preserve">biotic oral microbial populations was also reflected in the periodontal </w:t>
      </w:r>
      <w:r w:rsidR="00A52011">
        <w:t>bone loss</w:t>
      </w:r>
      <w:r w:rsidR="00B45C00">
        <w:t xml:space="preserve"> of the r</w:t>
      </w:r>
      <w:r w:rsidR="00DA17D7">
        <w:t>espective litters</w:t>
      </w:r>
      <w:r w:rsidR="003A0827">
        <w:t xml:space="preserve">. </w:t>
      </w:r>
      <w:r w:rsidR="003A0827" w:rsidRPr="000D248F">
        <w:t>T</w:t>
      </w:r>
      <w:r w:rsidR="00B45C00" w:rsidRPr="000D248F">
        <w:t xml:space="preserve">he </w:t>
      </w:r>
      <w:r w:rsidR="00421D88" w:rsidRPr="000D248F">
        <w:t>litters</w:t>
      </w:r>
      <w:r w:rsidR="00B45C00" w:rsidRPr="000D248F">
        <w:t xml:space="preserve"> of challenged mice displayed significantly elevated periodontal bone loss</w:t>
      </w:r>
      <w:r w:rsidR="00C62DE9" w:rsidRPr="00C4579A">
        <w:t xml:space="preserve"> (</w:t>
      </w:r>
      <w:r w:rsidR="00622747" w:rsidRPr="00C4579A">
        <w:t>0.005 mm/week; p</w:t>
      </w:r>
      <w:r w:rsidR="00A9351A" w:rsidRPr="00C4579A">
        <w:t>&lt;0.001)</w:t>
      </w:r>
      <w:r w:rsidR="00B45C00" w:rsidRPr="000D248F">
        <w:t xml:space="preserve"> compared to the litter of control mice</w:t>
      </w:r>
      <w:r w:rsidR="00013F8E">
        <w:t xml:space="preserve"> (0.002 mm/week).</w:t>
      </w:r>
    </w:p>
    <w:p w14:paraId="58631D44" w14:textId="2ECC236C" w:rsidR="007E77AA" w:rsidRPr="002C6098" w:rsidRDefault="00DB38F1" w:rsidP="00F349A6">
      <w:pPr>
        <w:spacing w:line="480" w:lineRule="auto"/>
        <w:jc w:val="both"/>
        <w:rPr>
          <w:b/>
          <w:i/>
        </w:rPr>
      </w:pPr>
      <w:r w:rsidRPr="002C6098">
        <w:rPr>
          <w:b/>
          <w:i/>
        </w:rPr>
        <w:t>Dysbiosis</w:t>
      </w:r>
      <w:r w:rsidR="002C6098">
        <w:rPr>
          <w:b/>
          <w:i/>
        </w:rPr>
        <w:t xml:space="preserve"> of the mouse oral microbiome</w:t>
      </w:r>
      <w:r w:rsidRPr="002C6098">
        <w:rPr>
          <w:b/>
          <w:i/>
        </w:rPr>
        <w:t xml:space="preserve"> is stable to </w:t>
      </w:r>
      <w:r w:rsidR="000A4938">
        <w:rPr>
          <w:b/>
          <w:i/>
        </w:rPr>
        <w:t>a</w:t>
      </w:r>
      <w:r w:rsidRPr="002C6098">
        <w:rPr>
          <w:b/>
          <w:i/>
        </w:rPr>
        <w:t>ntibiotic treatment</w:t>
      </w:r>
    </w:p>
    <w:p w14:paraId="6D669184" w14:textId="5548171A" w:rsidR="00DB38F1" w:rsidRPr="00DB38F1" w:rsidRDefault="00F22696" w:rsidP="00F349A6">
      <w:pPr>
        <w:spacing w:line="480" w:lineRule="auto"/>
        <w:jc w:val="both"/>
      </w:pPr>
      <w:r>
        <w:t>The preceding transfer experiments indicated that the Dys</w:t>
      </w:r>
      <w:r w:rsidRPr="00F22696">
        <w:rPr>
          <w:vertAlign w:val="superscript"/>
        </w:rPr>
        <w:t>Pg</w:t>
      </w:r>
      <w:r>
        <w:t xml:space="preserve"> microbiome is not only stable over time but </w:t>
      </w:r>
      <w:r w:rsidR="00EB751B">
        <w:t xml:space="preserve">also </w:t>
      </w:r>
      <w:r>
        <w:t xml:space="preserve">able to stably transfer both vertically and horizontally into healthy recipient animals and recapitulate the disease experience of the donor mice. As a further </w:t>
      </w:r>
      <w:r w:rsidR="00022DCD">
        <w:t>measure</w:t>
      </w:r>
      <w:r>
        <w:t xml:space="preserve"> of stability, we next examined the</w:t>
      </w:r>
      <w:r w:rsidR="00DB38F1" w:rsidRPr="00DB38F1">
        <w:t xml:space="preserve"> influence of antibiotic treatment </w:t>
      </w:r>
      <w:r>
        <w:t>on d</w:t>
      </w:r>
      <w:r w:rsidR="00DB38F1">
        <w:t>ys</w:t>
      </w:r>
      <w:r>
        <w:t xml:space="preserve">biosis induced by </w:t>
      </w:r>
      <w:r w:rsidRPr="00F22696">
        <w:rPr>
          <w:i/>
        </w:rPr>
        <w:t>P. gingivalis</w:t>
      </w:r>
      <w:r w:rsidR="00C44588">
        <w:t xml:space="preserve">. Control and </w:t>
      </w:r>
      <w:r w:rsidR="00C44588" w:rsidRPr="0096098E">
        <w:rPr>
          <w:i/>
        </w:rPr>
        <w:t>P. gingivalis</w:t>
      </w:r>
      <w:r w:rsidR="00C44588">
        <w:t xml:space="preserve"> challenged</w:t>
      </w:r>
      <w:r w:rsidR="000A4938">
        <w:t xml:space="preserve"> C3H/</w:t>
      </w:r>
      <w:proofErr w:type="spellStart"/>
      <w:r w:rsidR="000A4938">
        <w:t>Orl</w:t>
      </w:r>
      <w:proofErr w:type="spellEnd"/>
      <w:r w:rsidR="00C44588">
        <w:t xml:space="preserve"> mice were placed on antibiotics in the drinking water 7 days after the challenge. Antibiotic treatment was continued for 10</w:t>
      </w:r>
      <w:r w:rsidR="00276DD5">
        <w:t xml:space="preserve"> </w:t>
      </w:r>
      <w:r w:rsidR="00C44588">
        <w:t xml:space="preserve">days and then both groups of mice were returned to normal drinking water </w:t>
      </w:r>
      <w:r w:rsidR="00DB38F1">
        <w:t xml:space="preserve">(Fig </w:t>
      </w:r>
      <w:r w:rsidR="00170D55">
        <w:t>5</w:t>
      </w:r>
      <w:r w:rsidR="00DB38F1">
        <w:t>)</w:t>
      </w:r>
      <w:r>
        <w:t>.</w:t>
      </w:r>
      <w:r w:rsidR="00C44588">
        <w:t xml:space="preserve"> Control animals carried approximately 10</w:t>
      </w:r>
      <w:r w:rsidR="00C44588" w:rsidRPr="00C44588">
        <w:rPr>
          <w:vertAlign w:val="superscript"/>
        </w:rPr>
        <w:t>7</w:t>
      </w:r>
      <w:r w:rsidR="00C44588">
        <w:t xml:space="preserve"> </w:t>
      </w:r>
      <w:r w:rsidR="000A4938">
        <w:t xml:space="preserve">CFU </w:t>
      </w:r>
      <w:r w:rsidR="00170D55">
        <w:t xml:space="preserve">of oral bacteria </w:t>
      </w:r>
      <w:r w:rsidR="00C44588">
        <w:t>at the start of the experiment</w:t>
      </w:r>
      <w:r w:rsidR="005523A8">
        <w:t xml:space="preserve"> compared to 10</w:t>
      </w:r>
      <w:r w:rsidR="005523A8" w:rsidRPr="00C44588">
        <w:rPr>
          <w:vertAlign w:val="superscript"/>
        </w:rPr>
        <w:t>8</w:t>
      </w:r>
      <w:r w:rsidR="005523A8">
        <w:t xml:space="preserve"> CFU in challenged mice</w:t>
      </w:r>
      <w:r w:rsidR="00090D91">
        <w:t xml:space="preserve">. </w:t>
      </w:r>
      <w:r w:rsidR="00E84512">
        <w:t>Seven</w:t>
      </w:r>
      <w:r w:rsidR="00090D91">
        <w:t xml:space="preserve"> days following </w:t>
      </w:r>
      <w:r w:rsidR="00090D91">
        <w:lastRenderedPageBreak/>
        <w:t xml:space="preserve">the end of treatment with antibiotics, the counts in both groups were significantly reduced to </w:t>
      </w:r>
      <w:r w:rsidR="003836DC">
        <w:t xml:space="preserve">the same level of </w:t>
      </w:r>
      <w:r w:rsidR="00090D91">
        <w:t>approximately 10</w:t>
      </w:r>
      <w:r w:rsidR="00090D91" w:rsidRPr="00090D91">
        <w:rPr>
          <w:vertAlign w:val="superscript"/>
        </w:rPr>
        <w:t>6</w:t>
      </w:r>
      <w:r w:rsidR="00090D91">
        <w:t xml:space="preserve"> </w:t>
      </w:r>
      <w:r w:rsidR="000A4938">
        <w:t>CFU</w:t>
      </w:r>
      <w:r w:rsidR="00090D91">
        <w:t xml:space="preserve">. </w:t>
      </w:r>
      <w:r w:rsidR="00090D91" w:rsidRPr="00F349A6">
        <w:rPr>
          <w:i/>
          <w:iCs/>
        </w:rPr>
        <w:t>Gemella</w:t>
      </w:r>
      <w:r w:rsidR="00090D91">
        <w:t xml:space="preserve"> in the control group and </w:t>
      </w:r>
      <w:r w:rsidR="00090D91" w:rsidRPr="00F349A6">
        <w:rPr>
          <w:i/>
          <w:iCs/>
        </w:rPr>
        <w:t>Gemella</w:t>
      </w:r>
      <w:r w:rsidR="00090D91">
        <w:t xml:space="preserve"> and organisms of the genus </w:t>
      </w:r>
      <w:r w:rsidR="00090D91" w:rsidRPr="00F349A6">
        <w:rPr>
          <w:i/>
          <w:iCs/>
        </w:rPr>
        <w:t>Bacteroides</w:t>
      </w:r>
      <w:r w:rsidR="00090D91">
        <w:t xml:space="preserve"> in the challenged mice appeared most susceptible to antibiotic treatment.  </w:t>
      </w:r>
      <w:r w:rsidR="009432CE">
        <w:t>However,</w:t>
      </w:r>
      <w:r w:rsidR="00090D91">
        <w:t xml:space="preserve"> at 16 and 22</w:t>
      </w:r>
      <w:r w:rsidR="000A4938">
        <w:t xml:space="preserve"> </w:t>
      </w:r>
      <w:r w:rsidR="00090D91">
        <w:t>weeks post antibiotic treatment the bacterial counts in both control and challenged mice w</w:t>
      </w:r>
      <w:r w:rsidR="00170D55">
        <w:t>ere</w:t>
      </w:r>
      <w:r w:rsidR="00090D91">
        <w:t xml:space="preserve"> restored to the pre-antibiotic treatment levels</w:t>
      </w:r>
      <w:r w:rsidR="00994B46">
        <w:t xml:space="preserve"> (Fig 5)</w:t>
      </w:r>
      <w:r w:rsidR="005523A8">
        <w:t>.</w:t>
      </w:r>
      <w:r w:rsidR="00090D91">
        <w:t xml:space="preserve"> The recovery in counts was accompanied by the re-emergence of the </w:t>
      </w:r>
      <w:r w:rsidR="00090D91" w:rsidRPr="00F349A6">
        <w:rPr>
          <w:i/>
          <w:iCs/>
        </w:rPr>
        <w:t>Gemella</w:t>
      </w:r>
      <w:r w:rsidR="00090D91">
        <w:t xml:space="preserve"> </w:t>
      </w:r>
      <w:r w:rsidR="00170D55">
        <w:t xml:space="preserve">to the original levels by 22 weeks </w:t>
      </w:r>
      <w:r w:rsidR="00090D91">
        <w:t>and th</w:t>
      </w:r>
      <w:r w:rsidR="0096098E">
        <w:t xml:space="preserve">e appearance of </w:t>
      </w:r>
      <w:r w:rsidR="0096098E" w:rsidRPr="00F349A6">
        <w:rPr>
          <w:i/>
          <w:iCs/>
        </w:rPr>
        <w:t>E</w:t>
      </w:r>
      <w:r w:rsidR="00090D91" w:rsidRPr="00F349A6">
        <w:rPr>
          <w:i/>
          <w:iCs/>
        </w:rPr>
        <w:t>nterobacteriac</w:t>
      </w:r>
      <w:r w:rsidR="009432CE">
        <w:rPr>
          <w:i/>
          <w:iCs/>
        </w:rPr>
        <w:t>e</w:t>
      </w:r>
      <w:r w:rsidR="00090D91" w:rsidRPr="00F349A6">
        <w:rPr>
          <w:i/>
          <w:iCs/>
        </w:rPr>
        <w:t>ae</w:t>
      </w:r>
      <w:r w:rsidR="0096098E">
        <w:t xml:space="preserve"> in both groups. </w:t>
      </w:r>
      <w:r w:rsidR="0096098E" w:rsidRPr="00F349A6">
        <w:rPr>
          <w:i/>
          <w:iCs/>
        </w:rPr>
        <w:t>Bacteroides</w:t>
      </w:r>
      <w:r w:rsidR="0096098E">
        <w:t xml:space="preserve"> was not restored to the pre-antibiotic levels in the challenged </w:t>
      </w:r>
      <w:r w:rsidR="00170D55">
        <w:t xml:space="preserve">mice </w:t>
      </w:r>
      <w:r w:rsidR="0096098E">
        <w:t>but organis</w:t>
      </w:r>
      <w:r w:rsidR="007F4019">
        <w:t>m</w:t>
      </w:r>
      <w:r w:rsidR="00276DD5">
        <w:t>s</w:t>
      </w:r>
      <w:r w:rsidR="0096098E">
        <w:t xml:space="preserve"> from the genus </w:t>
      </w:r>
      <w:r w:rsidR="00276DD5" w:rsidRPr="00F349A6">
        <w:rPr>
          <w:i/>
          <w:iCs/>
        </w:rPr>
        <w:t>Enterococcus</w:t>
      </w:r>
      <w:r w:rsidR="00276DD5">
        <w:t xml:space="preserve"> </w:t>
      </w:r>
      <w:r w:rsidR="0096098E">
        <w:t>were detected at 22</w:t>
      </w:r>
      <w:r w:rsidR="001D2AFB">
        <w:t xml:space="preserve"> </w:t>
      </w:r>
      <w:r w:rsidR="0096098E">
        <w:t>weeks post antibiotic treatment</w:t>
      </w:r>
      <w:r w:rsidR="004A6CDA">
        <w:t xml:space="preserve"> in the</w:t>
      </w:r>
      <w:r w:rsidR="00170D55">
        <w:t>se</w:t>
      </w:r>
      <w:r w:rsidR="004A6CDA">
        <w:t xml:space="preserve"> </w:t>
      </w:r>
      <w:r w:rsidR="00170D55">
        <w:t>animals</w:t>
      </w:r>
      <w:r w:rsidR="0096098E">
        <w:t xml:space="preserve">. </w:t>
      </w:r>
      <w:r w:rsidR="00273FE6" w:rsidRPr="00BF0BF9">
        <w:t xml:space="preserve">Thus, </w:t>
      </w:r>
      <w:r w:rsidR="007F0A92" w:rsidRPr="00BF0BF9">
        <w:t xml:space="preserve">this regimen of </w:t>
      </w:r>
      <w:r w:rsidR="005B27F1" w:rsidRPr="00BF0BF9">
        <w:t>a</w:t>
      </w:r>
      <w:r w:rsidR="00767AE8" w:rsidRPr="00BF0BF9">
        <w:t>ntibiotic treatment had only a temporary suppressive effect on the elevated counts of the Dys</w:t>
      </w:r>
      <w:r w:rsidR="00767AE8" w:rsidRPr="00BF0BF9">
        <w:rPr>
          <w:vertAlign w:val="superscript"/>
        </w:rPr>
        <w:t>Pg</w:t>
      </w:r>
      <w:r w:rsidR="00767AE8" w:rsidRPr="00BF0BF9">
        <w:t xml:space="preserve"> microbiome </w:t>
      </w:r>
      <w:r w:rsidR="00AD299A" w:rsidRPr="00BF0BF9">
        <w:t>and its composition. T</w:t>
      </w:r>
      <w:r w:rsidR="00767AE8" w:rsidRPr="00BF0BF9">
        <w:t>he overall population structure</w:t>
      </w:r>
      <w:r w:rsidR="00AD299A" w:rsidRPr="00BF0BF9">
        <w:t>s</w:t>
      </w:r>
      <w:r w:rsidR="00767AE8" w:rsidRPr="00BF0BF9">
        <w:t xml:space="preserve"> </w:t>
      </w:r>
      <w:r w:rsidR="00AD299A" w:rsidRPr="00BF0BF9">
        <w:t xml:space="preserve">at 16 and 22 weeks post antibiotic cessation were not significantly different to the pre-treatment populations. </w:t>
      </w:r>
      <w:r w:rsidR="00994B46" w:rsidRPr="00BF0BF9">
        <w:t xml:space="preserve">(Fig 5, Appendix Table </w:t>
      </w:r>
      <w:r w:rsidR="00E00BF1" w:rsidRPr="00BF0BF9">
        <w:t>4 &amp; 5)</w:t>
      </w:r>
      <w:r w:rsidR="00767AE8" w:rsidRPr="00BF0BF9">
        <w:t>.</w:t>
      </w:r>
      <w:r w:rsidR="00767AE8">
        <w:t xml:space="preserve"> </w:t>
      </w:r>
    </w:p>
    <w:p w14:paraId="2093D90A" w14:textId="57C723B1" w:rsidR="007E77AA" w:rsidRDefault="00A50A90" w:rsidP="00304B58">
      <w:pPr>
        <w:jc w:val="both"/>
        <w:rPr>
          <w:b/>
        </w:rPr>
      </w:pPr>
      <w:r w:rsidRPr="00A50A90">
        <w:rPr>
          <w:b/>
        </w:rPr>
        <w:t>Discussion</w:t>
      </w:r>
    </w:p>
    <w:p w14:paraId="0DB111F9" w14:textId="77777777" w:rsidR="00BE4FB5" w:rsidRDefault="00BE4FB5" w:rsidP="009F22A5">
      <w:pPr>
        <w:jc w:val="both"/>
        <w:rPr>
          <w:b/>
        </w:rPr>
      </w:pPr>
    </w:p>
    <w:p w14:paraId="610193BE" w14:textId="7B368779" w:rsidR="00D468B5" w:rsidRDefault="0047121A">
      <w:pPr>
        <w:spacing w:after="0" w:line="480" w:lineRule="auto"/>
        <w:jc w:val="both"/>
      </w:pPr>
      <w:r>
        <w:t>In this study, we demonstrate</w:t>
      </w:r>
      <w:r w:rsidR="00AA1EAF">
        <w:t xml:space="preserve"> for the first time</w:t>
      </w:r>
      <w:r w:rsidR="003D3C78">
        <w:t>,</w:t>
      </w:r>
      <w:r w:rsidR="00AA1EAF">
        <w:t xml:space="preserve"> </w:t>
      </w:r>
      <w:r>
        <w:t>the stability of a dysbiotic oral microbiome over time and transfer across individua</w:t>
      </w:r>
      <w:r w:rsidR="000A0E06">
        <w:t xml:space="preserve">ls and </w:t>
      </w:r>
      <w:r>
        <w:t>generation</w:t>
      </w:r>
      <w:r w:rsidR="000A0E06">
        <w:t xml:space="preserve">s and </w:t>
      </w:r>
      <w:r w:rsidR="006B4009">
        <w:t xml:space="preserve">the ability of this perturbed microbial </w:t>
      </w:r>
      <w:r w:rsidR="0012144A">
        <w:t>community to</w:t>
      </w:r>
      <w:r w:rsidR="000A0E06">
        <w:t xml:space="preserve"> drive</w:t>
      </w:r>
      <w:r>
        <w:t xml:space="preserve"> </w:t>
      </w:r>
      <w:r w:rsidR="006B4009">
        <w:t xml:space="preserve">destructive </w:t>
      </w:r>
      <w:r>
        <w:t xml:space="preserve">periodontal </w:t>
      </w:r>
      <w:r w:rsidR="00DD6719">
        <w:t xml:space="preserve">bone loss </w:t>
      </w:r>
      <w:r>
        <w:t xml:space="preserve">in </w:t>
      </w:r>
      <w:r w:rsidR="003530D7">
        <w:t>previously healthy</w:t>
      </w:r>
      <w:r w:rsidR="00AA1EAF">
        <w:t>,</w:t>
      </w:r>
      <w:r w:rsidR="003530D7">
        <w:t xml:space="preserve"> recipient animals</w:t>
      </w:r>
      <w:r w:rsidR="006B4009">
        <w:t>.</w:t>
      </w:r>
      <w:r w:rsidR="003D3C78">
        <w:t xml:space="preserve"> </w:t>
      </w:r>
      <w:r w:rsidR="003530D7">
        <w:t>The mouse oral gavage model (Baker et al</w:t>
      </w:r>
      <w:r w:rsidR="008D65A9">
        <w:t>. 2000</w:t>
      </w:r>
      <w:r w:rsidR="003530D7">
        <w:t>) has been used extensively to investigate host</w:t>
      </w:r>
      <w:r w:rsidR="00530091">
        <w:t>-</w:t>
      </w:r>
      <w:r w:rsidR="003530D7">
        <w:t>microbe int</w:t>
      </w:r>
      <w:r w:rsidR="00234DC4">
        <w:t>e</w:t>
      </w:r>
      <w:r w:rsidR="003530D7">
        <w:t xml:space="preserve">ractions in periodontal disease. Routinely these studies have measured microbial and immune parameters and alveolar bone loss </w:t>
      </w:r>
      <w:r>
        <w:t>at</w:t>
      </w:r>
      <w:r w:rsidR="003530D7">
        <w:t xml:space="preserve"> </w:t>
      </w:r>
      <w:r>
        <w:t>a single time point six weeks post challenge</w:t>
      </w:r>
      <w:r w:rsidR="006166BD">
        <w:t xml:space="preserve"> (Hajishengallis et al. 2011</w:t>
      </w:r>
      <w:r w:rsidR="00222C09">
        <w:t xml:space="preserve">, </w:t>
      </w:r>
      <w:proofErr w:type="spellStart"/>
      <w:r w:rsidR="00222C09">
        <w:t>Polak</w:t>
      </w:r>
      <w:proofErr w:type="spellEnd"/>
      <w:r w:rsidR="00222C09">
        <w:t xml:space="preserve"> et al. 2009</w:t>
      </w:r>
      <w:r w:rsidR="006166BD">
        <w:t>)</w:t>
      </w:r>
      <w:r>
        <w:t>. In the current investigations, we</w:t>
      </w:r>
      <w:r w:rsidR="005F3ACA">
        <w:t xml:space="preserve"> </w:t>
      </w:r>
      <w:r w:rsidR="00D468B5">
        <w:t>only report periodontal bone loss as an indicator of periodontal disease although we also established that the</w:t>
      </w:r>
      <w:r w:rsidR="00D468B5">
        <w:rPr>
          <w:i/>
        </w:rPr>
        <w:t xml:space="preserve"> </w:t>
      </w:r>
      <w:r w:rsidR="00D468B5">
        <w:t xml:space="preserve">gavage methodology did lead to loss of </w:t>
      </w:r>
      <w:r w:rsidR="00B04B7E">
        <w:t xml:space="preserve">periodontal </w:t>
      </w:r>
      <w:r w:rsidR="00D468B5">
        <w:t xml:space="preserve">soft tissue attachment and an increase in inflammatory cell recruitment into the periodontal tissues of challenged mice (Supplementary figure 1). </w:t>
      </w:r>
    </w:p>
    <w:p w14:paraId="4C470181" w14:textId="7F3E77E5" w:rsidR="00B251C5" w:rsidRDefault="00B04B7E">
      <w:pPr>
        <w:spacing w:after="0" w:line="480" w:lineRule="auto"/>
        <w:jc w:val="both"/>
      </w:pPr>
      <w:r>
        <w:t>L</w:t>
      </w:r>
      <w:r w:rsidR="0047121A">
        <w:t xml:space="preserve">ongitudinal assessment </w:t>
      </w:r>
      <w:r>
        <w:t>of the microbiology and bone levels</w:t>
      </w:r>
      <w:r w:rsidR="00146A15">
        <w:t xml:space="preserve"> </w:t>
      </w:r>
      <w:r w:rsidR="005F3ACA">
        <w:t xml:space="preserve">over 28 weeks </w:t>
      </w:r>
      <w:r>
        <w:t xml:space="preserve">post challenge demonstrate that </w:t>
      </w:r>
      <w:r w:rsidR="00D82E29">
        <w:t xml:space="preserve">following introduction of </w:t>
      </w:r>
      <w:r w:rsidR="00D82E29" w:rsidRPr="005F3ACA">
        <w:rPr>
          <w:i/>
        </w:rPr>
        <w:t>P. gingivalis</w:t>
      </w:r>
      <w:r w:rsidR="00D82E29">
        <w:rPr>
          <w:i/>
        </w:rPr>
        <w:t>,</w:t>
      </w:r>
      <w:r w:rsidR="00D82E29">
        <w:t xml:space="preserve"> </w:t>
      </w:r>
      <w:r>
        <w:t>c</w:t>
      </w:r>
      <w:r w:rsidR="005F3ACA">
        <w:t xml:space="preserve">ommunity wide perturbation of the </w:t>
      </w:r>
      <w:r w:rsidR="005F3ACA">
        <w:lastRenderedPageBreak/>
        <w:t xml:space="preserve">commensal microbiome </w:t>
      </w:r>
      <w:r w:rsidR="00B95A3F">
        <w:t>i</w:t>
      </w:r>
      <w:r w:rsidR="00A679BA">
        <w:t>s</w:t>
      </w:r>
      <w:r w:rsidR="005F3ACA">
        <w:t xml:space="preserve"> maintained for </w:t>
      </w:r>
      <w:r w:rsidR="00251E8E">
        <w:t xml:space="preserve">the entire experimental period </w:t>
      </w:r>
      <w:r w:rsidR="005F3ACA">
        <w:t xml:space="preserve">and </w:t>
      </w:r>
      <w:r w:rsidR="00B95A3F">
        <w:t>i</w:t>
      </w:r>
      <w:r w:rsidR="00A679BA">
        <w:t>s</w:t>
      </w:r>
      <w:r w:rsidR="005F3ACA">
        <w:t xml:space="preserve"> accompanied by </w:t>
      </w:r>
      <w:r w:rsidR="0099187E">
        <w:t xml:space="preserve">alveolar bone loss </w:t>
      </w:r>
      <w:r w:rsidR="005F3ACA">
        <w:t xml:space="preserve">at a rate equivalent to that observed in the initial </w:t>
      </w:r>
      <w:r w:rsidR="0083412B">
        <w:t>six-week</w:t>
      </w:r>
      <w:r w:rsidR="005F3ACA">
        <w:t xml:space="preserve"> period. </w:t>
      </w:r>
      <w:r w:rsidR="006F1045">
        <w:t>Hence</w:t>
      </w:r>
      <w:r w:rsidR="00750773">
        <w:t>,</w:t>
      </w:r>
      <w:r w:rsidR="006F1045">
        <w:t xml:space="preserve"> development </w:t>
      </w:r>
      <w:r w:rsidR="00B251C5">
        <w:t xml:space="preserve">and maintenance of changes to the oral microbial community structure were temporally aligned to the </w:t>
      </w:r>
      <w:r w:rsidR="00761098">
        <w:t>initiation</w:t>
      </w:r>
      <w:r w:rsidR="00B251C5">
        <w:t xml:space="preserve"> and</w:t>
      </w:r>
      <w:r w:rsidR="00761098">
        <w:t xml:space="preserve"> progression</w:t>
      </w:r>
      <w:r w:rsidR="00B251C5">
        <w:t xml:space="preserve"> of </w:t>
      </w:r>
      <w:r w:rsidR="005523A8">
        <w:t>bone loss</w:t>
      </w:r>
      <w:r w:rsidR="00B251C5">
        <w:t>.</w:t>
      </w:r>
    </w:p>
    <w:p w14:paraId="22CA8488" w14:textId="77777777" w:rsidR="00304B58" w:rsidRDefault="00304B58">
      <w:pPr>
        <w:spacing w:after="0" w:line="480" w:lineRule="auto"/>
        <w:jc w:val="both"/>
      </w:pPr>
    </w:p>
    <w:p w14:paraId="2AE56652" w14:textId="4C52580C" w:rsidR="00BE4FB5" w:rsidRPr="00C35D70" w:rsidRDefault="00234DC4" w:rsidP="00E7657B">
      <w:pPr>
        <w:spacing w:after="0" w:line="480" w:lineRule="auto"/>
        <w:jc w:val="both"/>
      </w:pPr>
      <w:r>
        <w:t>Although th</w:t>
      </w:r>
      <w:r w:rsidR="006B4009">
        <w:t>is</w:t>
      </w:r>
      <w:r>
        <w:t xml:space="preserve"> coherence between oral microbial dysbiosis and bone loss is consistent with </w:t>
      </w:r>
      <w:r w:rsidR="00C35D70">
        <w:t>causation</w:t>
      </w:r>
      <w:r w:rsidR="006B4009">
        <w:t xml:space="preserve">, </w:t>
      </w:r>
      <w:r w:rsidR="00B251C5">
        <w:t xml:space="preserve">as with human </w:t>
      </w:r>
      <w:r w:rsidR="00761098">
        <w:t>periodontitis</w:t>
      </w:r>
      <w:r w:rsidR="00B251C5">
        <w:t xml:space="preserve">, </w:t>
      </w:r>
      <w:r w:rsidR="00C35D70">
        <w:t>coherence</w:t>
      </w:r>
      <w:r w:rsidR="00B251C5">
        <w:t xml:space="preserve"> fails to di</w:t>
      </w:r>
      <w:r w:rsidR="00761098">
        <w:t>scriminate</w:t>
      </w:r>
      <w:r w:rsidR="00B251C5">
        <w:t xml:space="preserve"> between</w:t>
      </w:r>
      <w:r w:rsidR="00761098">
        <w:t xml:space="preserve"> causation versus</w:t>
      </w:r>
      <w:r w:rsidR="00B251C5">
        <w:t xml:space="preserve"> a consequential relationship in which the presence of disease </w:t>
      </w:r>
      <w:r w:rsidR="00C35D70">
        <w:t xml:space="preserve">simply </w:t>
      </w:r>
      <w:r w:rsidR="00B251C5">
        <w:t>maintains the environmental conditions which favour alterations to the microbial populations.  M</w:t>
      </w:r>
      <w:r w:rsidR="006B4009">
        <w:t xml:space="preserve">ore definitive evidence for a causal link was established in the </w:t>
      </w:r>
      <w:r w:rsidR="00AA1EAF">
        <w:t>horizontal and vertical transfer experiments.</w:t>
      </w:r>
      <w:r>
        <w:t xml:space="preserve"> </w:t>
      </w:r>
      <w:r w:rsidR="00B251C5">
        <w:t xml:space="preserve">In both </w:t>
      </w:r>
      <w:r w:rsidR="00C35D70">
        <w:t>experimental approaches</w:t>
      </w:r>
      <w:r w:rsidR="00B251C5">
        <w:t xml:space="preserve">, the </w:t>
      </w:r>
      <w:r w:rsidR="00C35D70">
        <w:t xml:space="preserve">altered </w:t>
      </w:r>
      <w:r w:rsidR="00B251C5">
        <w:t>oral microbiome</w:t>
      </w:r>
      <w:r w:rsidR="00C35D70">
        <w:t>,</w:t>
      </w:r>
      <w:r w:rsidR="00B251C5">
        <w:t xml:space="preserve"> </w:t>
      </w:r>
      <w:r w:rsidR="00C35D70">
        <w:t>initially generated</w:t>
      </w:r>
      <w:r w:rsidR="00B251C5">
        <w:t xml:space="preserve"> by </w:t>
      </w:r>
      <w:r w:rsidR="00B251C5" w:rsidRPr="00ED3824">
        <w:rPr>
          <w:i/>
        </w:rPr>
        <w:t>P.  gingivalis</w:t>
      </w:r>
      <w:r w:rsidR="00B251C5">
        <w:t xml:space="preserve"> challenge, </w:t>
      </w:r>
      <w:r w:rsidR="00C35D70">
        <w:t xml:space="preserve">transferred unchanged into healthy recipient animals and was accompanied by the development of </w:t>
      </w:r>
      <w:r w:rsidR="00146994">
        <w:t xml:space="preserve">bone loss </w:t>
      </w:r>
      <w:r w:rsidR="00C35D70">
        <w:t xml:space="preserve">equivalent to that observed in donor animals. In so doing, the dysbiotic community acts like a conventional </w:t>
      </w:r>
      <w:r w:rsidR="00761098">
        <w:t xml:space="preserve">transmissible </w:t>
      </w:r>
      <w:r w:rsidR="00C35D70">
        <w:t>infectious disease agent with concomitant</w:t>
      </w:r>
      <w:r w:rsidR="00761098">
        <w:t xml:space="preserve"> effects on</w:t>
      </w:r>
      <w:r w:rsidR="00C35D70">
        <w:t xml:space="preserve"> pathology.</w:t>
      </w:r>
    </w:p>
    <w:p w14:paraId="6510237C" w14:textId="77777777" w:rsidR="007E74DB" w:rsidRDefault="007E74DB" w:rsidP="00E7657B">
      <w:pPr>
        <w:spacing w:after="0" w:line="480" w:lineRule="auto"/>
        <w:jc w:val="both"/>
      </w:pPr>
    </w:p>
    <w:p w14:paraId="56929286" w14:textId="42DF704B" w:rsidR="0059201C" w:rsidRPr="00BF0BF9" w:rsidRDefault="00AA1EAF" w:rsidP="0047121A">
      <w:pPr>
        <w:spacing w:line="480" w:lineRule="auto"/>
        <w:jc w:val="both"/>
      </w:pPr>
      <w:r w:rsidRPr="00BF0BF9">
        <w:t>P</w:t>
      </w:r>
      <w:r w:rsidR="0047121A" w:rsidRPr="00BF0BF9">
        <w:t xml:space="preserve">revious </w:t>
      </w:r>
      <w:r w:rsidR="00C35D70" w:rsidRPr="00BF0BF9">
        <w:t>inves</w:t>
      </w:r>
      <w:r w:rsidR="00A721BE" w:rsidRPr="00BF0BF9">
        <w:t>t</w:t>
      </w:r>
      <w:r w:rsidR="00C35D70" w:rsidRPr="00BF0BF9">
        <w:t>igations (Haji</w:t>
      </w:r>
      <w:r w:rsidR="0062571C" w:rsidRPr="00BF0BF9">
        <w:t xml:space="preserve">shengallis et al. </w:t>
      </w:r>
      <w:r w:rsidR="00C35D70" w:rsidRPr="00BF0BF9">
        <w:t xml:space="preserve"> 2011) </w:t>
      </w:r>
      <w:r w:rsidR="0047121A" w:rsidRPr="00BF0BF9">
        <w:t xml:space="preserve">demonstrated </w:t>
      </w:r>
      <w:r w:rsidR="00C35D70" w:rsidRPr="00BF0BF9">
        <w:t xml:space="preserve">that </w:t>
      </w:r>
      <w:r w:rsidR="00662738" w:rsidRPr="00BF0BF9">
        <w:t>the presence of the commensal microbiome was fundamental to the development of disease</w:t>
      </w:r>
      <w:r w:rsidR="003D3C78" w:rsidRPr="00BF0BF9">
        <w:t xml:space="preserve"> since </w:t>
      </w:r>
      <w:r w:rsidR="00211C7D" w:rsidRPr="00BF0BF9">
        <w:t xml:space="preserve">whilst gavage of SPF mice leads to periodontal bone loss, </w:t>
      </w:r>
      <w:r w:rsidR="003D3C78" w:rsidRPr="00BF0BF9">
        <w:t xml:space="preserve">mono-colonisation of germ-free animals with </w:t>
      </w:r>
      <w:r w:rsidR="003D3C78" w:rsidRPr="00BF0BF9">
        <w:rPr>
          <w:i/>
        </w:rPr>
        <w:t>P. gingivalis</w:t>
      </w:r>
      <w:r w:rsidR="003D3C78" w:rsidRPr="00BF0BF9">
        <w:t xml:space="preserve"> </w:t>
      </w:r>
      <w:r w:rsidR="00211C7D" w:rsidRPr="00BF0BF9">
        <w:t>is</w:t>
      </w:r>
      <w:r w:rsidR="003D3C78" w:rsidRPr="00BF0BF9">
        <w:t xml:space="preserve"> asymptomatic</w:t>
      </w:r>
      <w:r w:rsidR="00662738" w:rsidRPr="00BF0BF9">
        <w:t xml:space="preserve">. </w:t>
      </w:r>
      <w:r w:rsidR="00E86460" w:rsidRPr="00BF0BF9">
        <w:t>W</w:t>
      </w:r>
      <w:r w:rsidR="00662738" w:rsidRPr="00BF0BF9">
        <w:t>e suggested that</w:t>
      </w:r>
      <w:r w:rsidR="008F6C45" w:rsidRPr="00BF0BF9">
        <w:t xml:space="preserve"> this phenomenon </w:t>
      </w:r>
      <w:r w:rsidR="00662738" w:rsidRPr="00BF0BF9">
        <w:t xml:space="preserve">may be a consequence of the </w:t>
      </w:r>
      <w:r w:rsidR="008F6C45" w:rsidRPr="00BF0BF9">
        <w:t>immune subversive properties of this human periodontal organism</w:t>
      </w:r>
      <w:r w:rsidR="00E86460" w:rsidRPr="00BF0BF9">
        <w:t xml:space="preserve"> </w:t>
      </w:r>
      <w:r w:rsidR="00513C26" w:rsidRPr="00BF0BF9">
        <w:t xml:space="preserve">(Hajishengallis et al. 2012, </w:t>
      </w:r>
      <w:r w:rsidR="0035198A" w:rsidRPr="00BF0BF9">
        <w:t>Maekawa et al. 2014)</w:t>
      </w:r>
      <w:r w:rsidR="001B38B5" w:rsidRPr="00BF0BF9">
        <w:t xml:space="preserve"> </w:t>
      </w:r>
      <w:r w:rsidR="00662738" w:rsidRPr="00BF0BF9">
        <w:t xml:space="preserve">which </w:t>
      </w:r>
      <w:r w:rsidR="00E86460" w:rsidRPr="00BF0BF9">
        <w:t>ha</w:t>
      </w:r>
      <w:r w:rsidR="001972C8" w:rsidRPr="00BF0BF9">
        <w:t>s</w:t>
      </w:r>
      <w:r w:rsidR="00E86460" w:rsidRPr="00BF0BF9">
        <w:t xml:space="preserve"> the ability to</w:t>
      </w:r>
      <w:r w:rsidR="00662738" w:rsidRPr="00BF0BF9">
        <w:t xml:space="preserve"> change the </w:t>
      </w:r>
      <w:r w:rsidR="00E86460" w:rsidRPr="00BF0BF9">
        <w:t xml:space="preserve">delicate equilibrium between the microbiota and the host in the oral tissues and facilitate the conversion of the normally benign commensal microbiota to a more pathogenic state. That these changes occurred even when </w:t>
      </w:r>
      <w:r w:rsidR="00E86460" w:rsidRPr="00BF0BF9">
        <w:rPr>
          <w:i/>
        </w:rPr>
        <w:t>P. gingivalis</w:t>
      </w:r>
      <w:r w:rsidR="00E86460" w:rsidRPr="00BF0BF9">
        <w:t xml:space="preserve"> was present in low amounts, led us to invoke the keystone pathogen hypothesis</w:t>
      </w:r>
      <w:r w:rsidR="000A006A" w:rsidRPr="00BF0BF9">
        <w:t xml:space="preserve"> </w:t>
      </w:r>
      <w:r w:rsidR="005D2553" w:rsidRPr="00BF0BF9">
        <w:t>(Ha</w:t>
      </w:r>
      <w:r w:rsidR="00F26DB7" w:rsidRPr="00BF0BF9">
        <w:t>jishengallis et al. 2012)</w:t>
      </w:r>
      <w:r w:rsidR="00DF53E2" w:rsidRPr="00BF0BF9">
        <w:t xml:space="preserve"> </w:t>
      </w:r>
      <w:r w:rsidR="00E86460" w:rsidRPr="00BF0BF9">
        <w:t xml:space="preserve">wherein a low abundance species can have disproportionately large effects on the balance between symbiosis and dysbiosis </w:t>
      </w:r>
      <w:r w:rsidR="007B1391" w:rsidRPr="00BF0BF9">
        <w:t xml:space="preserve">and </w:t>
      </w:r>
      <w:r w:rsidR="00DF53E2" w:rsidRPr="00BF0BF9">
        <w:t xml:space="preserve">simultaneous </w:t>
      </w:r>
      <w:r w:rsidR="003D3C78" w:rsidRPr="00BF0BF9">
        <w:lastRenderedPageBreak/>
        <w:t xml:space="preserve">impact on pathology. </w:t>
      </w:r>
      <w:r w:rsidR="00DF53E2" w:rsidRPr="00BF0BF9">
        <w:t xml:space="preserve"> </w:t>
      </w:r>
      <w:r w:rsidR="002A3E11" w:rsidRPr="00BF0BF9">
        <w:t>Similarly</w:t>
      </w:r>
      <w:r w:rsidR="00397E16" w:rsidRPr="00BF0BF9">
        <w:t>,</w:t>
      </w:r>
      <w:r w:rsidR="002A3E11" w:rsidRPr="00BF0BF9">
        <w:t xml:space="preserve"> very low levels of </w:t>
      </w:r>
      <w:r w:rsidR="002A3E11" w:rsidRPr="00BF0BF9">
        <w:rPr>
          <w:i/>
          <w:iCs/>
        </w:rPr>
        <w:t>P. gingivalis</w:t>
      </w:r>
      <w:r w:rsidR="002A3E11" w:rsidRPr="00BF0BF9">
        <w:t xml:space="preserve"> in challenged mice were also observed in the current investigation.</w:t>
      </w:r>
    </w:p>
    <w:p w14:paraId="176D4D8E" w14:textId="44386C08" w:rsidR="0047121A" w:rsidRPr="00BF0BF9" w:rsidRDefault="00211C7D" w:rsidP="0047121A">
      <w:pPr>
        <w:spacing w:line="480" w:lineRule="auto"/>
        <w:jc w:val="both"/>
      </w:pPr>
      <w:r w:rsidRPr="00BF0BF9">
        <w:t xml:space="preserve">However, rather than </w:t>
      </w:r>
      <w:r w:rsidR="00473BB5" w:rsidRPr="00BF0BF9">
        <w:t>a</w:t>
      </w:r>
      <w:r w:rsidRPr="00BF0BF9">
        <w:t xml:space="preserve"> keystone pathogen effect, it is also possible to argue that the oral gavage procedure itself, which routinely uses very high doses of </w:t>
      </w:r>
      <w:r w:rsidRPr="00BF0BF9">
        <w:rPr>
          <w:i/>
          <w:iCs/>
        </w:rPr>
        <w:t>P. gingivalis</w:t>
      </w:r>
      <w:r w:rsidRPr="00BF0BF9">
        <w:t>, is the fundamental trigger for disease by eliciting very significant alterations to the local oral immune and inflammatory status of the mouse at the time of challenge.</w:t>
      </w:r>
      <w:r w:rsidR="00DF53E2" w:rsidRPr="00BF0BF9">
        <w:t xml:space="preserve"> </w:t>
      </w:r>
      <w:r w:rsidR="00D61C69" w:rsidRPr="00BF0BF9">
        <w:t>A</w:t>
      </w:r>
      <w:r w:rsidR="00DF53E2" w:rsidRPr="00BF0BF9">
        <w:t>s a consequence</w:t>
      </w:r>
      <w:r w:rsidR="007B1391" w:rsidRPr="00BF0BF9">
        <w:t>,</w:t>
      </w:r>
      <w:r w:rsidR="00DF53E2" w:rsidRPr="00BF0BF9">
        <w:t xml:space="preserve"> a changed environment </w:t>
      </w:r>
      <w:r w:rsidR="002A3E11" w:rsidRPr="00BF0BF9">
        <w:t>may</w:t>
      </w:r>
      <w:r w:rsidR="00D61C69" w:rsidRPr="00BF0BF9">
        <w:t xml:space="preserve"> </w:t>
      </w:r>
      <w:r w:rsidR="0059201C" w:rsidRPr="00BF0BF9">
        <w:t xml:space="preserve">be </w:t>
      </w:r>
      <w:r w:rsidR="00D61C69" w:rsidRPr="00BF0BF9">
        <w:t xml:space="preserve">generated </w:t>
      </w:r>
      <w:r w:rsidR="00DF53E2" w:rsidRPr="00BF0BF9">
        <w:t xml:space="preserve">which </w:t>
      </w:r>
      <w:r w:rsidR="00D61C69" w:rsidRPr="00BF0BF9">
        <w:t xml:space="preserve">would </w:t>
      </w:r>
      <w:r w:rsidR="00DF53E2" w:rsidRPr="00BF0BF9">
        <w:t>facilitate overgrowth and reconfiguration of the commensal microbial community structure</w:t>
      </w:r>
      <w:r w:rsidR="00D61C69" w:rsidRPr="00BF0BF9">
        <w:t xml:space="preserve"> and</w:t>
      </w:r>
      <w:r w:rsidR="00AA1EAF" w:rsidRPr="00BF0BF9">
        <w:t>, through this,</w:t>
      </w:r>
      <w:r w:rsidR="00D61C69" w:rsidRPr="00BF0BF9">
        <w:t xml:space="preserve"> </w:t>
      </w:r>
      <w:r w:rsidR="00AA1EAF" w:rsidRPr="00BF0BF9">
        <w:t xml:space="preserve">the development of </w:t>
      </w:r>
      <w:r w:rsidR="002F3F72" w:rsidRPr="00BF0BF9">
        <w:t>bone loss</w:t>
      </w:r>
      <w:r w:rsidR="00DF53E2" w:rsidRPr="00BF0BF9">
        <w:t>. Indeed</w:t>
      </w:r>
      <w:r w:rsidR="007B1391" w:rsidRPr="00BF0BF9">
        <w:t>,</w:t>
      </w:r>
      <w:r w:rsidR="00DF53E2" w:rsidRPr="00BF0BF9">
        <w:t xml:space="preserve"> analysis of </w:t>
      </w:r>
      <w:r w:rsidR="007B1391" w:rsidRPr="00BF0BF9">
        <w:t xml:space="preserve">a number of components of the immune and inflammatory system in the gingival tissues of immediately post-challenged mice </w:t>
      </w:r>
      <w:r w:rsidR="00764D6F" w:rsidRPr="00BF0BF9">
        <w:t>support</w:t>
      </w:r>
      <w:r w:rsidR="007B1391" w:rsidRPr="00BF0BF9">
        <w:t xml:space="preserve"> the deleterious effects of the oral gavage process. (Haji</w:t>
      </w:r>
      <w:r w:rsidR="009417A8" w:rsidRPr="00BF0BF9">
        <w:t>shengallis et al.</w:t>
      </w:r>
      <w:r w:rsidR="007B1391" w:rsidRPr="00BF0BF9">
        <w:t xml:space="preserve"> 2011).</w:t>
      </w:r>
      <w:r w:rsidR="0047121A" w:rsidRPr="00BF0BF9">
        <w:t xml:space="preserve"> </w:t>
      </w:r>
      <w:r w:rsidR="00B95A3F" w:rsidRPr="00BF0BF9">
        <w:t xml:space="preserve">It is therefore acknowledged that the </w:t>
      </w:r>
      <w:r w:rsidR="00B95A3F" w:rsidRPr="00BF0BF9">
        <w:rPr>
          <w:i/>
        </w:rPr>
        <w:t>P. gingivalis</w:t>
      </w:r>
      <w:r w:rsidR="00B95A3F" w:rsidRPr="00BF0BF9">
        <w:t xml:space="preserve"> gavage murine model has some limitations with respect to its relationship to human disease.  </w:t>
      </w:r>
      <w:r w:rsidR="00B04B7E" w:rsidRPr="00BF0BF9">
        <w:t>However, in the experiments reported here</w:t>
      </w:r>
      <w:r w:rsidR="0047121A" w:rsidRPr="00BF0BF9">
        <w:t>,</w:t>
      </w:r>
      <w:r w:rsidR="009D0C53" w:rsidRPr="00BF0BF9">
        <w:t xml:space="preserve"> </w:t>
      </w:r>
      <w:r w:rsidR="002A3E11" w:rsidRPr="00BF0BF9">
        <w:t xml:space="preserve">transfer </w:t>
      </w:r>
      <w:r w:rsidR="0047121A" w:rsidRPr="00BF0BF9">
        <w:t xml:space="preserve">of </w:t>
      </w:r>
      <w:r w:rsidR="004A6D25" w:rsidRPr="00BF0BF9">
        <w:t>the</w:t>
      </w:r>
      <w:r w:rsidR="0047121A" w:rsidRPr="00BF0BF9">
        <w:t xml:space="preserve"> dysbiotic microbiome from a </w:t>
      </w:r>
      <w:r w:rsidR="0047121A" w:rsidRPr="00BF0BF9">
        <w:rPr>
          <w:i/>
        </w:rPr>
        <w:t xml:space="preserve">P. gingivalis </w:t>
      </w:r>
      <w:r w:rsidR="0047121A" w:rsidRPr="00BF0BF9">
        <w:t>challenged</w:t>
      </w:r>
      <w:r w:rsidR="001B38B5" w:rsidRPr="00BF0BF9">
        <w:t xml:space="preserve"> </w:t>
      </w:r>
      <w:r w:rsidR="00836A67" w:rsidRPr="00BF0BF9">
        <w:t xml:space="preserve">SPF mouse </w:t>
      </w:r>
      <w:r w:rsidR="001B38B5" w:rsidRPr="00BF0BF9">
        <w:t xml:space="preserve">into a healthy recipient mouse </w:t>
      </w:r>
      <w:r w:rsidR="00836A67" w:rsidRPr="00BF0BF9">
        <w:t>results in</w:t>
      </w:r>
      <w:r w:rsidR="007B1391" w:rsidRPr="00BF0BF9">
        <w:t xml:space="preserve"> the same</w:t>
      </w:r>
      <w:r w:rsidR="0047121A" w:rsidRPr="00BF0BF9">
        <w:t xml:space="preserve"> levels of </w:t>
      </w:r>
      <w:r w:rsidR="007B705C" w:rsidRPr="00BF0BF9">
        <w:t xml:space="preserve">oral </w:t>
      </w:r>
      <w:r w:rsidR="0047121A" w:rsidRPr="00BF0BF9">
        <w:t xml:space="preserve">microbial load, </w:t>
      </w:r>
      <w:r w:rsidR="007B705C" w:rsidRPr="00BF0BF9">
        <w:t xml:space="preserve">microbial </w:t>
      </w:r>
      <w:r w:rsidR="0047121A" w:rsidRPr="00BF0BF9">
        <w:t>population</w:t>
      </w:r>
      <w:r w:rsidR="007B705C" w:rsidRPr="00BF0BF9">
        <w:t xml:space="preserve"> structure</w:t>
      </w:r>
      <w:r w:rsidR="0047121A" w:rsidRPr="00BF0BF9">
        <w:t xml:space="preserve"> and destructive bone loss</w:t>
      </w:r>
      <w:r w:rsidR="00761098" w:rsidRPr="00BF0BF9">
        <w:t xml:space="preserve"> as that experienced by the </w:t>
      </w:r>
      <w:r w:rsidR="00B04B7E" w:rsidRPr="00BF0BF9">
        <w:t xml:space="preserve">originally </w:t>
      </w:r>
      <w:r w:rsidR="00761098" w:rsidRPr="00BF0BF9">
        <w:t xml:space="preserve">challenged mice. </w:t>
      </w:r>
      <w:r w:rsidR="00764D6F" w:rsidRPr="00BF0BF9">
        <w:t>In so doing, t</w:t>
      </w:r>
      <w:r w:rsidR="00761098" w:rsidRPr="00BF0BF9">
        <w:t xml:space="preserve">hese </w:t>
      </w:r>
      <w:r w:rsidR="00764D6F" w:rsidRPr="00BF0BF9">
        <w:t>results</w:t>
      </w:r>
      <w:r w:rsidR="00761098" w:rsidRPr="00BF0BF9">
        <w:t xml:space="preserve"> demonstrate </w:t>
      </w:r>
      <w:r w:rsidR="002A3E11" w:rsidRPr="00BF0BF9">
        <w:t xml:space="preserve">unequivocally </w:t>
      </w:r>
      <w:r w:rsidR="00764D6F" w:rsidRPr="00BF0BF9">
        <w:t xml:space="preserve">that the potentially detrimental effects of high dose </w:t>
      </w:r>
      <w:r w:rsidR="00764D6F" w:rsidRPr="00BF0BF9">
        <w:rPr>
          <w:i/>
        </w:rPr>
        <w:t>P. gingivalis</w:t>
      </w:r>
      <w:r w:rsidR="00764D6F" w:rsidRPr="00BF0BF9">
        <w:t xml:space="preserve"> challenge are not required to establish disease: </w:t>
      </w:r>
      <w:r w:rsidR="00761098" w:rsidRPr="00BF0BF9">
        <w:t xml:space="preserve"> </w:t>
      </w:r>
      <w:r w:rsidR="00A07FDA" w:rsidRPr="00BF0BF9">
        <w:t xml:space="preserve">alveolar bone loss </w:t>
      </w:r>
      <w:r w:rsidR="00761098" w:rsidRPr="00BF0BF9">
        <w:t xml:space="preserve">is </w:t>
      </w:r>
      <w:r w:rsidR="00764D6F" w:rsidRPr="00BF0BF9">
        <w:t xml:space="preserve">solely the consequence </w:t>
      </w:r>
      <w:r w:rsidR="00761098" w:rsidRPr="00BF0BF9">
        <w:t>of acquisition of the dysbiotic oral microbial community independent of gavage</w:t>
      </w:r>
      <w:r w:rsidR="0059201C" w:rsidRPr="00BF0BF9">
        <w:t xml:space="preserve">. </w:t>
      </w:r>
    </w:p>
    <w:p w14:paraId="45850675" w14:textId="10575938" w:rsidR="00636DC4" w:rsidRDefault="00A47722" w:rsidP="007F1DBC">
      <w:pPr>
        <w:spacing w:line="480" w:lineRule="auto"/>
        <w:jc w:val="both"/>
      </w:pPr>
      <w:r w:rsidRPr="00BF0BF9">
        <w:t xml:space="preserve">The longitudinal analysis of challenged mice, the stability of the dysbiotic microbiome to antibiotic treatment and the horizontal and vertical transfer experiments all emphasise the pronounced resilience of the dysbiotic community structure induced by gavage with </w:t>
      </w:r>
      <w:r w:rsidRPr="00BF0BF9">
        <w:rPr>
          <w:i/>
        </w:rPr>
        <w:t>P. gingivalis</w:t>
      </w:r>
      <w:r w:rsidRPr="00BF0BF9">
        <w:t>.</w:t>
      </w:r>
      <w:r w:rsidR="005E19EF" w:rsidRPr="00BF0BF9">
        <w:t xml:space="preserve">  </w:t>
      </w:r>
      <w:r w:rsidR="00901A81" w:rsidRPr="00BF0BF9">
        <w:t>Such</w:t>
      </w:r>
      <w:r w:rsidR="005E19EF" w:rsidRPr="00BF0BF9">
        <w:t xml:space="preserve"> resilience </w:t>
      </w:r>
      <w:r w:rsidR="00901A81" w:rsidRPr="00BF0BF9">
        <w:t xml:space="preserve">has also been reported </w:t>
      </w:r>
      <w:r w:rsidR="001417D1" w:rsidRPr="00BF0BF9">
        <w:t xml:space="preserve">during longitudinal analysis of </w:t>
      </w:r>
      <w:r w:rsidR="005E19EF" w:rsidRPr="00BF0BF9">
        <w:t>the human oral microbiome</w:t>
      </w:r>
      <w:r w:rsidR="00264356" w:rsidRPr="00BF0BF9">
        <w:t xml:space="preserve"> in health</w:t>
      </w:r>
      <w:r w:rsidR="005E19EF" w:rsidRPr="00BF0BF9">
        <w:t>. For example, analysis of the salivary microbiome of two individuals on a daily</w:t>
      </w:r>
      <w:r w:rsidR="005E19EF">
        <w:t xml:space="preserve"> basis</w:t>
      </w:r>
      <w:r w:rsidR="00DB65BB">
        <w:t xml:space="preserve"> over the course of one year</w:t>
      </w:r>
      <w:r w:rsidR="005E19EF">
        <w:t xml:space="preserve"> demonstrated a highly stable microbial community stru</w:t>
      </w:r>
      <w:r w:rsidR="00DB65BB">
        <w:t>cture which appeared far more resilient to alteration</w:t>
      </w:r>
      <w:r w:rsidR="001417D1">
        <w:t>s</w:t>
      </w:r>
      <w:r w:rsidR="00DB65BB">
        <w:t xml:space="preserve"> tha</w:t>
      </w:r>
      <w:r w:rsidR="00F85F28">
        <w:t>n</w:t>
      </w:r>
      <w:r w:rsidR="00DB65BB">
        <w:t xml:space="preserve"> the corresponding gut microbial populations in the same individuals. (David et al</w:t>
      </w:r>
      <w:r w:rsidR="005553CD">
        <w:t>.</w:t>
      </w:r>
      <w:r w:rsidR="00DB65BB">
        <w:t xml:space="preserve"> </w:t>
      </w:r>
      <w:r w:rsidR="00DB65BB">
        <w:lastRenderedPageBreak/>
        <w:t>2014).</w:t>
      </w:r>
      <w:r w:rsidR="001417D1">
        <w:t xml:space="preserve"> T</w:t>
      </w:r>
      <w:r w:rsidR="00DB65BB">
        <w:t>he oral microbiome of adolescents appeared remarkably resilient to change over time during orthodontic treatment (</w:t>
      </w:r>
      <w:r w:rsidR="005553CD">
        <w:t>K</w:t>
      </w:r>
      <w:r w:rsidR="00DB65BB">
        <w:t>oopman et al</w:t>
      </w:r>
      <w:r w:rsidR="005553CD">
        <w:t>.</w:t>
      </w:r>
      <w:r w:rsidR="00DB65BB">
        <w:t xml:space="preserve"> 2015)</w:t>
      </w:r>
      <w:r w:rsidR="001417D1">
        <w:t xml:space="preserve"> and similar stability was found in the oral microbiome of healthy adults following antibiotic administration (Zaura et al</w:t>
      </w:r>
      <w:r w:rsidR="006D05AB">
        <w:t>.</w:t>
      </w:r>
      <w:r w:rsidR="001417D1">
        <w:t xml:space="preserve"> 2015). </w:t>
      </w:r>
      <w:r w:rsidR="00636DC4">
        <w:t>Although t</w:t>
      </w:r>
      <w:r w:rsidR="00264356">
        <w:t>he stability of human oral microbial populations</w:t>
      </w:r>
      <w:r w:rsidR="00DB65BB">
        <w:t xml:space="preserve"> </w:t>
      </w:r>
      <w:r w:rsidR="00636DC4">
        <w:t xml:space="preserve">in disease </w:t>
      </w:r>
      <w:r w:rsidR="00264356">
        <w:t>has received less attention</w:t>
      </w:r>
      <w:r w:rsidR="00636DC4">
        <w:t xml:space="preserve">, the data in the present murine investigation suggest that dysbiotic oral microbial communities can also display pronounced resilience behaviour and this can have a significant bearing on the development and progression of </w:t>
      </w:r>
      <w:r w:rsidR="00A07FDA">
        <w:t xml:space="preserve">periodontal </w:t>
      </w:r>
      <w:r w:rsidR="00B95A3F">
        <w:t>disease</w:t>
      </w:r>
      <w:r w:rsidR="00636DC4">
        <w:t xml:space="preserve">. </w:t>
      </w:r>
    </w:p>
    <w:p w14:paraId="56EAA63D" w14:textId="3B73F1D6" w:rsidR="000A0E06" w:rsidRDefault="00112780" w:rsidP="00F349A6">
      <w:pPr>
        <w:spacing w:line="480" w:lineRule="auto"/>
        <w:jc w:val="both"/>
      </w:pPr>
      <w:r>
        <w:t xml:space="preserve">It is </w:t>
      </w:r>
      <w:r w:rsidR="00636DC4">
        <w:t>recognised</w:t>
      </w:r>
      <w:r>
        <w:t xml:space="preserve"> that the stability of a</w:t>
      </w:r>
      <w:r w:rsidR="00264356">
        <w:t xml:space="preserve"> </w:t>
      </w:r>
      <w:r>
        <w:t>microbial community is not simply maintained by inertia, but by the action of restoring forces within a dynamic system (</w:t>
      </w:r>
      <w:proofErr w:type="spellStart"/>
      <w:r>
        <w:t>Relman</w:t>
      </w:r>
      <w:proofErr w:type="spellEnd"/>
      <w:r w:rsidR="00A807FE">
        <w:t xml:space="preserve"> DA</w:t>
      </w:r>
      <w:r>
        <w:t xml:space="preserve"> 2012)</w:t>
      </w:r>
      <w:r w:rsidR="00636DC4">
        <w:t>. In the case of the oral microbiome, t</w:t>
      </w:r>
      <w:r w:rsidR="00264356">
        <w:t>hese may include a complex set of metabolic and functional interrelationships that develop within dental biofilms and between biofilms and the host (Rosier et al</w:t>
      </w:r>
      <w:r w:rsidR="00060CFD">
        <w:t>.</w:t>
      </w:r>
      <w:r w:rsidR="00264356">
        <w:t xml:space="preserve"> 2018).</w:t>
      </w:r>
      <w:r w:rsidDel="006F7CDE">
        <w:t xml:space="preserve"> </w:t>
      </w:r>
      <w:r w:rsidR="00636DC4">
        <w:t xml:space="preserve"> Understanding the nature of the parameters which underpin the resilience of healthy and dysbiotic microbial populations may be important to the development of approaches to prevent the </w:t>
      </w:r>
      <w:r w:rsidR="00043356">
        <w:t>progress</w:t>
      </w:r>
      <w:r w:rsidR="00636DC4">
        <w:t xml:space="preserve"> of disease and to restore health in diseased individuals.</w:t>
      </w:r>
    </w:p>
    <w:p w14:paraId="6A118338" w14:textId="77777777" w:rsidR="007A4728" w:rsidRDefault="007A4728" w:rsidP="00F349A6">
      <w:pPr>
        <w:spacing w:line="480" w:lineRule="auto"/>
        <w:jc w:val="both"/>
      </w:pPr>
    </w:p>
    <w:p w14:paraId="51A93A53" w14:textId="677FAA4F" w:rsidR="00DB38F1" w:rsidRDefault="002C6098" w:rsidP="00F349A6">
      <w:pPr>
        <w:spacing w:line="480" w:lineRule="auto"/>
        <w:jc w:val="both"/>
        <w:rPr>
          <w:b/>
        </w:rPr>
      </w:pPr>
      <w:r w:rsidRPr="002C6098">
        <w:rPr>
          <w:b/>
        </w:rPr>
        <w:t>Author Contributions</w:t>
      </w:r>
    </w:p>
    <w:p w14:paraId="4F1DCC3A" w14:textId="0B3193C6" w:rsidR="007F76DE" w:rsidRDefault="00003956" w:rsidP="007F76DE">
      <w:pPr>
        <w:spacing w:line="480" w:lineRule="auto"/>
        <w:jc w:val="both"/>
      </w:pPr>
      <w:r>
        <w:t>M Payne</w:t>
      </w:r>
      <w:r w:rsidR="007F76DE" w:rsidRPr="00E80C86">
        <w:t xml:space="preserve">, contributed to conception, design, data acquisition, analysis, and critically revised the manuscript; </w:t>
      </w:r>
      <w:r>
        <w:t xml:space="preserve">A Hashim </w:t>
      </w:r>
      <w:r w:rsidR="007F76DE" w:rsidRPr="00E80C86">
        <w:t xml:space="preserve">contributed to </w:t>
      </w:r>
      <w:r w:rsidR="0037439E" w:rsidRPr="00E80C86">
        <w:t xml:space="preserve">conception, design, </w:t>
      </w:r>
      <w:r w:rsidR="007F76DE" w:rsidRPr="00E80C86">
        <w:t xml:space="preserve">data acquisition and analysis, </w:t>
      </w:r>
      <w:r w:rsidR="00645E27">
        <w:t xml:space="preserve">and </w:t>
      </w:r>
      <w:r w:rsidR="007F76DE" w:rsidRPr="00E80C86">
        <w:t xml:space="preserve">critically revised the manuscript; A. </w:t>
      </w:r>
      <w:r w:rsidR="00645E27">
        <w:t xml:space="preserve">Alsam </w:t>
      </w:r>
      <w:r w:rsidR="007F76DE" w:rsidRPr="00E80C86">
        <w:t>, contributed to data acquisition</w:t>
      </w:r>
      <w:r w:rsidR="00645E27">
        <w:t xml:space="preserve"> and analysis and </w:t>
      </w:r>
      <w:r w:rsidR="007F76DE" w:rsidRPr="00E80C86">
        <w:t xml:space="preserve">critically revised the manuscript; </w:t>
      </w:r>
      <w:r w:rsidR="00962034">
        <w:t>S. Joseph</w:t>
      </w:r>
      <w:r w:rsidR="007F76DE" w:rsidRPr="00E80C86">
        <w:t xml:space="preserve"> contributed to </w:t>
      </w:r>
      <w:r w:rsidR="00962034">
        <w:t>data analysis</w:t>
      </w:r>
      <w:r w:rsidR="007F76DE" w:rsidRPr="00E80C86">
        <w:t xml:space="preserve"> </w:t>
      </w:r>
      <w:r w:rsidR="00962034">
        <w:t xml:space="preserve">and drafted and </w:t>
      </w:r>
      <w:r w:rsidR="007F76DE" w:rsidRPr="00E80C86">
        <w:t>critically revised the manuscript; J.</w:t>
      </w:r>
      <w:r w:rsidR="0037439E">
        <w:t xml:space="preserve"> </w:t>
      </w:r>
      <w:r w:rsidR="007F76DE" w:rsidRPr="00E80C86">
        <w:t>A</w:t>
      </w:r>
      <w:r w:rsidR="00E74A91">
        <w:t>duse-Opoku</w:t>
      </w:r>
      <w:r w:rsidR="007F76DE" w:rsidRPr="00E80C86">
        <w:t xml:space="preserve"> contributed to data analysis</w:t>
      </w:r>
      <w:r w:rsidR="00E74A91">
        <w:t xml:space="preserve"> and</w:t>
      </w:r>
      <w:r w:rsidR="007F76DE" w:rsidRPr="00E80C86">
        <w:t xml:space="preserve"> critically revised the manuscript; </w:t>
      </w:r>
      <w:r w:rsidR="00E74A91">
        <w:t>W. Wade</w:t>
      </w:r>
      <w:r w:rsidR="007F76DE" w:rsidRPr="00E80C86">
        <w:t xml:space="preserve"> contributed to </w:t>
      </w:r>
      <w:r w:rsidR="00336108">
        <w:t xml:space="preserve">design, </w:t>
      </w:r>
      <w:r w:rsidR="007F76DE" w:rsidRPr="00E80C86">
        <w:t>data analysis, and</w:t>
      </w:r>
      <w:r w:rsidR="00AC14F4">
        <w:t xml:space="preserve"> </w:t>
      </w:r>
      <w:r w:rsidR="007F76DE" w:rsidRPr="00E80C86">
        <w:t xml:space="preserve">critically revised the manuscript; </w:t>
      </w:r>
      <w:r w:rsidR="0017673B">
        <w:t xml:space="preserve">MA Curtis </w:t>
      </w:r>
      <w:r w:rsidR="007F76DE" w:rsidRPr="00E80C86">
        <w:t>contributed to conception, design, data analysis, and interpretation, drafted and critically revised the manuscript. All authors gave final approval and agree to be accountable for all aspects of the work.</w:t>
      </w:r>
    </w:p>
    <w:p w14:paraId="642F6D86" w14:textId="77777777" w:rsidR="002C6098" w:rsidRDefault="002C6098" w:rsidP="00F349A6">
      <w:pPr>
        <w:spacing w:line="480" w:lineRule="auto"/>
        <w:jc w:val="both"/>
        <w:rPr>
          <w:b/>
        </w:rPr>
      </w:pPr>
    </w:p>
    <w:p w14:paraId="0A8992B0" w14:textId="3C4ACB52" w:rsidR="002C6098" w:rsidRDefault="002C6098" w:rsidP="00F349A6">
      <w:pPr>
        <w:spacing w:line="480" w:lineRule="auto"/>
        <w:jc w:val="both"/>
        <w:rPr>
          <w:b/>
        </w:rPr>
      </w:pPr>
      <w:r>
        <w:rPr>
          <w:b/>
        </w:rPr>
        <w:t>Acknowledgements</w:t>
      </w:r>
    </w:p>
    <w:p w14:paraId="430B7821" w14:textId="4CA7CE7E" w:rsidR="00834711" w:rsidRPr="00E80C86" w:rsidRDefault="00304B58" w:rsidP="00834711">
      <w:pPr>
        <w:spacing w:line="480" w:lineRule="auto"/>
        <w:jc w:val="both"/>
      </w:pPr>
      <w:r w:rsidRPr="00671A8B">
        <w:t>This work was supported by the Medical Research Council (Grant Award No</w:t>
      </w:r>
      <w:r w:rsidR="00B84256">
        <w:t>s.</w:t>
      </w:r>
      <w:r w:rsidR="008E1AD4" w:rsidRPr="00671A8B">
        <w:t xml:space="preserve"> </w:t>
      </w:r>
      <w:r w:rsidR="00234242" w:rsidRPr="00234242">
        <w:t>MR/P012175/1</w:t>
      </w:r>
      <w:r w:rsidR="00B84256">
        <w:t xml:space="preserve"> and </w:t>
      </w:r>
      <w:r w:rsidR="00DA6E3F" w:rsidRPr="00DA6E3F">
        <w:t>MR/P012175/2</w:t>
      </w:r>
      <w:r w:rsidRPr="00671A8B">
        <w:t>)</w:t>
      </w:r>
      <w:r w:rsidR="008E1AD4" w:rsidRPr="00985AAB">
        <w:t xml:space="preserve"> </w:t>
      </w:r>
      <w:r w:rsidR="00DE3210" w:rsidRPr="00985AAB">
        <w:t xml:space="preserve">and National Institute </w:t>
      </w:r>
      <w:r w:rsidR="003471B9" w:rsidRPr="00985AAB">
        <w:t xml:space="preserve">for Health Research (Grant Award No: </w:t>
      </w:r>
      <w:r w:rsidR="00985AAB" w:rsidRPr="00985AAB">
        <w:t>CL-2013-19-006).</w:t>
      </w:r>
      <w:r w:rsidR="00985AAB">
        <w:t xml:space="preserve"> </w:t>
      </w:r>
      <w:r w:rsidR="007F16C1">
        <w:t>We are also grateful for the assistance of M</w:t>
      </w:r>
      <w:r w:rsidR="00C2474F">
        <w:t xml:space="preserve">s. Shilo Dickens for help with the next generation sequencing. </w:t>
      </w:r>
      <w:r w:rsidR="00834711" w:rsidRPr="00834F67">
        <w:t>The authors declare no potential conflicts of interest with respect to the authorship and/or publication of this article.</w:t>
      </w:r>
    </w:p>
    <w:p w14:paraId="1C66DEF6" w14:textId="4D81398E" w:rsidR="00304B58" w:rsidRPr="007F1DBC" w:rsidRDefault="00304B58" w:rsidP="00F349A6">
      <w:pPr>
        <w:spacing w:line="480" w:lineRule="auto"/>
        <w:jc w:val="both"/>
      </w:pPr>
    </w:p>
    <w:p w14:paraId="5ACD17B8" w14:textId="77777777" w:rsidR="002C6098" w:rsidRDefault="002C6098" w:rsidP="00F349A6">
      <w:pPr>
        <w:spacing w:line="480" w:lineRule="auto"/>
        <w:jc w:val="both"/>
        <w:rPr>
          <w:b/>
        </w:rPr>
      </w:pPr>
    </w:p>
    <w:p w14:paraId="231F0832" w14:textId="104FE5FC" w:rsidR="0072460A" w:rsidRDefault="0072460A" w:rsidP="00F349A6">
      <w:pPr>
        <w:spacing w:line="480" w:lineRule="auto"/>
        <w:jc w:val="both"/>
        <w:rPr>
          <w:b/>
        </w:rPr>
      </w:pPr>
    </w:p>
    <w:p w14:paraId="788A2B3F" w14:textId="01A3CC68" w:rsidR="0072460A" w:rsidRDefault="0072460A" w:rsidP="00F349A6">
      <w:pPr>
        <w:spacing w:line="480" w:lineRule="auto"/>
        <w:jc w:val="both"/>
        <w:rPr>
          <w:b/>
        </w:rPr>
      </w:pPr>
    </w:p>
    <w:p w14:paraId="66A03B4C" w14:textId="6724EF71" w:rsidR="00B526B6" w:rsidRDefault="00B526B6">
      <w:pPr>
        <w:spacing w:line="480" w:lineRule="auto"/>
        <w:jc w:val="both"/>
        <w:rPr>
          <w:rFonts w:cstheme="majorBidi"/>
          <w:b/>
        </w:rPr>
      </w:pPr>
    </w:p>
    <w:p w14:paraId="0F02B37F" w14:textId="77777777" w:rsidR="001352F0" w:rsidRDefault="001352F0">
      <w:pPr>
        <w:spacing w:line="480" w:lineRule="auto"/>
        <w:jc w:val="both"/>
        <w:rPr>
          <w:rFonts w:cstheme="majorBidi"/>
          <w:b/>
        </w:rPr>
      </w:pPr>
    </w:p>
    <w:p w14:paraId="5EE045F4" w14:textId="392407DF" w:rsidR="00234242" w:rsidRDefault="00234242">
      <w:pPr>
        <w:rPr>
          <w:rFonts w:ascii="Calibri" w:hAnsi="Calibri" w:cstheme="majorBidi"/>
          <w:b/>
          <w:noProof/>
          <w:lang w:val="en-US"/>
        </w:rPr>
      </w:pPr>
      <w:r>
        <w:rPr>
          <w:rFonts w:cstheme="majorBidi"/>
          <w:b/>
        </w:rPr>
        <w:br w:type="page"/>
      </w:r>
    </w:p>
    <w:p w14:paraId="364EC344" w14:textId="77777777" w:rsidR="00FF1106" w:rsidRDefault="00FF1106" w:rsidP="009F630E">
      <w:pPr>
        <w:pStyle w:val="EndNoteBibliography"/>
        <w:spacing w:after="0"/>
        <w:rPr>
          <w:rFonts w:cstheme="majorBidi"/>
          <w:b/>
        </w:rPr>
      </w:pPr>
    </w:p>
    <w:p w14:paraId="0DC9E450" w14:textId="3423FFCE" w:rsidR="00FF1106" w:rsidRDefault="00FF1106" w:rsidP="00F349A6">
      <w:pPr>
        <w:pStyle w:val="EndNoteBibliography"/>
        <w:spacing w:after="0"/>
        <w:rPr>
          <w:rFonts w:cstheme="majorBidi"/>
          <w:b/>
        </w:rPr>
      </w:pPr>
      <w:r>
        <w:rPr>
          <w:rFonts w:cstheme="majorBidi"/>
          <w:b/>
        </w:rPr>
        <w:t>References:</w:t>
      </w:r>
    </w:p>
    <w:p w14:paraId="4619FE39" w14:textId="77777777" w:rsidR="00FF1106" w:rsidRDefault="00FF1106" w:rsidP="00393EEE">
      <w:pPr>
        <w:pStyle w:val="EndNoteBibliography"/>
        <w:spacing w:after="0"/>
        <w:rPr>
          <w:rFonts w:cstheme="majorBidi"/>
          <w:b/>
        </w:rPr>
      </w:pPr>
    </w:p>
    <w:p w14:paraId="6D2FC7CE" w14:textId="2BC2DB29" w:rsidR="00393EEE" w:rsidRDefault="00393EEE" w:rsidP="00393EEE">
      <w:proofErr w:type="spellStart"/>
      <w:r>
        <w:t>Abusleme</w:t>
      </w:r>
      <w:proofErr w:type="spellEnd"/>
      <w:r>
        <w:t xml:space="preserve"> L, Dupuy AK, </w:t>
      </w:r>
      <w:proofErr w:type="spellStart"/>
      <w:r>
        <w:t>Dutzan</w:t>
      </w:r>
      <w:proofErr w:type="spellEnd"/>
      <w:r>
        <w:t xml:space="preserve"> N, Silva N, Burleson JA, </w:t>
      </w:r>
      <w:proofErr w:type="spellStart"/>
      <w:r>
        <w:t>Strausbaugh</w:t>
      </w:r>
      <w:proofErr w:type="spellEnd"/>
      <w:r>
        <w:t xml:space="preserve"> LD, </w:t>
      </w:r>
      <w:proofErr w:type="spellStart"/>
      <w:r>
        <w:t>Gamonal</w:t>
      </w:r>
      <w:proofErr w:type="spellEnd"/>
      <w:r>
        <w:t xml:space="preserve"> J</w:t>
      </w:r>
      <w:r w:rsidR="00F03CAC">
        <w:t xml:space="preserve">, </w:t>
      </w:r>
      <w:r>
        <w:t>Diaz PI</w:t>
      </w:r>
      <w:r w:rsidR="00F03CAC">
        <w:t xml:space="preserve">. </w:t>
      </w:r>
      <w:r>
        <w:t xml:space="preserve">2013. The subgingival microbiome in health and periodontitis and its relationship with community biomass and inflammation. The ISME </w:t>
      </w:r>
      <w:r w:rsidR="008D00BD">
        <w:t>J</w:t>
      </w:r>
      <w:r>
        <w:t>ournal</w:t>
      </w:r>
      <w:r w:rsidR="008D00BD">
        <w:t>.</w:t>
      </w:r>
      <w:r>
        <w:t xml:space="preserve"> 7(5): 1016.</w:t>
      </w:r>
    </w:p>
    <w:p w14:paraId="5D110D90" w14:textId="572DC60B" w:rsidR="00393EEE" w:rsidRDefault="00393EEE" w:rsidP="00393EEE">
      <w:r>
        <w:t xml:space="preserve">Baker PJ, Dixon M, </w:t>
      </w:r>
      <w:proofErr w:type="spellStart"/>
      <w:r>
        <w:t>Roopenian</w:t>
      </w:r>
      <w:proofErr w:type="spellEnd"/>
      <w:r>
        <w:t xml:space="preserve"> DC</w:t>
      </w:r>
      <w:r w:rsidR="008D00BD">
        <w:t xml:space="preserve">. </w:t>
      </w:r>
      <w:r>
        <w:t xml:space="preserve">2000. Genetic control of susceptibility to </w:t>
      </w:r>
      <w:r w:rsidRPr="004039A7">
        <w:rPr>
          <w:i/>
        </w:rPr>
        <w:t>Porphyromonas gingivalis</w:t>
      </w:r>
      <w:r>
        <w:t>-induced alveolar bone loss in mice. Infect Immun</w:t>
      </w:r>
      <w:r w:rsidR="008D00BD">
        <w:t>.</w:t>
      </w:r>
      <w:r>
        <w:t xml:space="preserve"> 68(10):5864-5868.</w:t>
      </w:r>
    </w:p>
    <w:p w14:paraId="72424485" w14:textId="47665E18" w:rsidR="00393EEE" w:rsidRDefault="00393EEE" w:rsidP="00393EEE">
      <w:proofErr w:type="spellStart"/>
      <w:r>
        <w:t>Buttó</w:t>
      </w:r>
      <w:proofErr w:type="spellEnd"/>
      <w:r>
        <w:t xml:space="preserve"> LF</w:t>
      </w:r>
      <w:r w:rsidR="004E217B">
        <w:t>,</w:t>
      </w:r>
      <w:r>
        <w:t xml:space="preserve"> Haller D</w:t>
      </w:r>
      <w:r w:rsidR="008D00BD">
        <w:t xml:space="preserve">. </w:t>
      </w:r>
      <w:r>
        <w:t>2016. Dysbiosis in intestinal inflammation: cause or consequence. Int J</w:t>
      </w:r>
      <w:r w:rsidR="00155AC7">
        <w:t xml:space="preserve"> </w:t>
      </w:r>
      <w:r>
        <w:t>Med Microbio</w:t>
      </w:r>
      <w:r w:rsidR="00155AC7">
        <w:t>l.</w:t>
      </w:r>
      <w:r>
        <w:t xml:space="preserve"> 306(5): 302-309.</w:t>
      </w:r>
    </w:p>
    <w:p w14:paraId="734BA224" w14:textId="7E3897FD" w:rsidR="00393EEE" w:rsidRDefault="00393EEE" w:rsidP="00393EEE">
      <w:r>
        <w:t>Curtis MA</w:t>
      </w:r>
      <w:r w:rsidR="000D6331">
        <w:t xml:space="preserve">. </w:t>
      </w:r>
      <w:r>
        <w:t xml:space="preserve">2014. Periodontal microbiology—the lid’s off the box again. </w:t>
      </w:r>
      <w:r w:rsidR="006E0670">
        <w:t>J Dent Res.</w:t>
      </w:r>
      <w:r>
        <w:t xml:space="preserve"> 93(9): 840-842.</w:t>
      </w:r>
    </w:p>
    <w:p w14:paraId="5B46FEA5" w14:textId="74AA18AA" w:rsidR="0072171A" w:rsidRDefault="0072171A" w:rsidP="00393EEE">
      <w:r w:rsidRPr="0072171A">
        <w:t xml:space="preserve">David LA, </w:t>
      </w:r>
      <w:proofErr w:type="spellStart"/>
      <w:r w:rsidRPr="0072171A">
        <w:t>Materna</w:t>
      </w:r>
      <w:proofErr w:type="spellEnd"/>
      <w:r w:rsidRPr="0072171A">
        <w:t xml:space="preserve"> AC, Friedman J, Campos-Baptista MI, Blackburn MC, Perrotta A, Erdman SE, </w:t>
      </w:r>
      <w:proofErr w:type="spellStart"/>
      <w:r w:rsidRPr="0072171A">
        <w:t>Alm</w:t>
      </w:r>
      <w:proofErr w:type="spellEnd"/>
      <w:r w:rsidRPr="0072171A">
        <w:t xml:space="preserve"> EJ. </w:t>
      </w:r>
      <w:r w:rsidR="006E0670">
        <w:t xml:space="preserve">2014. </w:t>
      </w:r>
      <w:r w:rsidRPr="0072171A">
        <w:t xml:space="preserve">Host lifestyle affects human microbiota on daily timescales. Genome </w:t>
      </w:r>
      <w:r w:rsidR="004210A3">
        <w:t>Biol</w:t>
      </w:r>
      <w:r w:rsidRPr="0072171A">
        <w:t xml:space="preserve">. </w:t>
      </w:r>
      <w:r w:rsidR="004210A3">
        <w:t xml:space="preserve">Jul </w:t>
      </w:r>
      <w:r w:rsidRPr="0072171A">
        <w:t>15(7</w:t>
      </w:r>
      <w:proofErr w:type="gramStart"/>
      <w:r w:rsidRPr="0072171A">
        <w:t>):R</w:t>
      </w:r>
      <w:proofErr w:type="gramEnd"/>
      <w:r w:rsidRPr="0072171A">
        <w:t>89.</w:t>
      </w:r>
    </w:p>
    <w:p w14:paraId="36DDB7F7" w14:textId="7CC8BE83" w:rsidR="009D5795" w:rsidRDefault="009D5795" w:rsidP="00393EEE">
      <w:r w:rsidRPr="009D5795">
        <w:t xml:space="preserve">Diaz PI, Hoare A, Hong BY. </w:t>
      </w:r>
      <w:r w:rsidR="004210A3">
        <w:t xml:space="preserve">2016. </w:t>
      </w:r>
      <w:r w:rsidRPr="009D5795">
        <w:t>Subgingival Microbiome Shifts and Community Dynamics in Periodontal Diseases. J Cal Den</w:t>
      </w:r>
      <w:r w:rsidR="008238CE">
        <w:t>t</w:t>
      </w:r>
      <w:r w:rsidRPr="009D5795">
        <w:t xml:space="preserve"> Assoc. Jul</w:t>
      </w:r>
      <w:r w:rsidR="008238CE">
        <w:t xml:space="preserve"> </w:t>
      </w:r>
      <w:r w:rsidRPr="009D5795">
        <w:t>44(7):421-35.</w:t>
      </w:r>
    </w:p>
    <w:p w14:paraId="3C41A731" w14:textId="24D29D27" w:rsidR="00E663B2" w:rsidRDefault="006C44C5" w:rsidP="00393EEE">
      <w:r w:rsidRPr="006C44C5">
        <w:t>Dixon</w:t>
      </w:r>
      <w:r>
        <w:t xml:space="preserve"> P</w:t>
      </w:r>
      <w:r w:rsidRPr="006C44C5">
        <w:t>.</w:t>
      </w:r>
      <w:r>
        <w:t xml:space="preserve"> 2003.</w:t>
      </w:r>
      <w:r w:rsidRPr="006C44C5">
        <w:t xml:space="preserve"> VEGAN, a package of R functions for community ecology. J</w:t>
      </w:r>
      <w:r w:rsidR="00DD1E3A">
        <w:t xml:space="preserve"> </w:t>
      </w:r>
      <w:r w:rsidRPr="006C44C5">
        <w:t>Ve</w:t>
      </w:r>
      <w:r w:rsidR="00DD1E3A">
        <w:t>g</w:t>
      </w:r>
      <w:r w:rsidRPr="006C44C5">
        <w:t xml:space="preserve"> Sci</w:t>
      </w:r>
      <w:r w:rsidR="00DD1E3A">
        <w:t>.</w:t>
      </w:r>
      <w:r w:rsidRPr="006C44C5">
        <w:t xml:space="preserve"> 14</w:t>
      </w:r>
      <w:r w:rsidR="00430F80">
        <w:t>(</w:t>
      </w:r>
      <w:r w:rsidRPr="006C44C5">
        <w:t>6</w:t>
      </w:r>
      <w:r w:rsidR="00430F80">
        <w:t>)</w:t>
      </w:r>
      <w:r w:rsidRPr="006C44C5">
        <w:t>: 927-930.</w:t>
      </w:r>
    </w:p>
    <w:p w14:paraId="661406A9" w14:textId="56CBF7BA" w:rsidR="00393EEE" w:rsidRDefault="00393EEE" w:rsidP="00393EEE">
      <w:proofErr w:type="spellStart"/>
      <w:r>
        <w:t>Griffen</w:t>
      </w:r>
      <w:proofErr w:type="spellEnd"/>
      <w:r>
        <w:t xml:space="preserve"> AL, Beall CJ, Campbell JH, Firestone ND, Kumar PS, Yang ZK, </w:t>
      </w:r>
      <w:proofErr w:type="spellStart"/>
      <w:r>
        <w:t>Podar</w:t>
      </w:r>
      <w:proofErr w:type="spellEnd"/>
      <w:r>
        <w:t xml:space="preserve"> M</w:t>
      </w:r>
      <w:r w:rsidR="008238CE">
        <w:t xml:space="preserve">, </w:t>
      </w:r>
      <w:r>
        <w:t>Leys EJ</w:t>
      </w:r>
      <w:r w:rsidR="008238CE">
        <w:t xml:space="preserve">. </w:t>
      </w:r>
      <w:r>
        <w:t xml:space="preserve">2012. Distinct and complex bacterial profiles in human periodontitis and health revealed by 16S pyrosequencing. The ISME </w:t>
      </w:r>
      <w:r w:rsidR="008238CE">
        <w:t>J</w:t>
      </w:r>
      <w:r>
        <w:t>ournal</w:t>
      </w:r>
      <w:r w:rsidR="008238CE">
        <w:t>.</w:t>
      </w:r>
      <w:r>
        <w:t xml:space="preserve"> 6(6): 1176.</w:t>
      </w:r>
    </w:p>
    <w:p w14:paraId="295072D6" w14:textId="2060DD38" w:rsidR="00393EEE" w:rsidRDefault="00393EEE" w:rsidP="00393EEE">
      <w:r>
        <w:t>Hajishengallis G, Liang S, Payne MA, Hashim A, Jotwani R, Eskan MA</w:t>
      </w:r>
      <w:r w:rsidR="003E27EC">
        <w:t xml:space="preserve">, McIntosh ML, Alsam A, Kirkwood KL, </w:t>
      </w:r>
      <w:r w:rsidR="0009242D">
        <w:t xml:space="preserve">Lambris JD et al. </w:t>
      </w:r>
      <w:r>
        <w:t>2011. Low-Abundance Biofilm Species Orchestrates Inflammatory Periodontal Disease through the Commensal Microbiota and Complement. Cell Host Microbe 10(5):497-506.</w:t>
      </w:r>
    </w:p>
    <w:p w14:paraId="0E5255BC" w14:textId="3FD63109" w:rsidR="00393EEE" w:rsidRDefault="00393EEE" w:rsidP="00393EEE">
      <w:r>
        <w:t>Hajishengallis G, Darveau RP</w:t>
      </w:r>
      <w:r w:rsidR="0009242D">
        <w:t xml:space="preserve">, </w:t>
      </w:r>
      <w:r>
        <w:t>Curtis MA</w:t>
      </w:r>
      <w:r w:rsidR="0009242D">
        <w:t xml:space="preserve">. </w:t>
      </w:r>
      <w:r>
        <w:t>2012. The keystone-pathogen hypothesis. Nat Rev Microbiol</w:t>
      </w:r>
      <w:r w:rsidR="00CE6FF3">
        <w:t>.</w:t>
      </w:r>
      <w:r>
        <w:t xml:space="preserve"> 10(10): 717.</w:t>
      </w:r>
    </w:p>
    <w:p w14:paraId="07AFC68C" w14:textId="36C874B8" w:rsidR="00393EEE" w:rsidRDefault="00393EEE" w:rsidP="00393EEE">
      <w:r>
        <w:t>Hajishengallis G</w:t>
      </w:r>
      <w:r w:rsidR="004E217B">
        <w:t>,</w:t>
      </w:r>
      <w:r>
        <w:t xml:space="preserve"> Lamont RJ</w:t>
      </w:r>
      <w:r w:rsidR="004E217B">
        <w:t xml:space="preserve">. </w:t>
      </w:r>
      <w:r>
        <w:t xml:space="preserve">2012. Beyond the red complex and into more complexity: the polymicrobial synergy and dysbiosis (PSD) model of periodontal disease </w:t>
      </w:r>
      <w:proofErr w:type="spellStart"/>
      <w:r>
        <w:t>etiology</w:t>
      </w:r>
      <w:proofErr w:type="spellEnd"/>
      <w:r>
        <w:t xml:space="preserve">. Mol </w:t>
      </w:r>
      <w:r w:rsidR="00490E28">
        <w:t>O</w:t>
      </w:r>
      <w:r>
        <w:t xml:space="preserve">ral </w:t>
      </w:r>
      <w:r w:rsidR="00490E28">
        <w:t>M</w:t>
      </w:r>
      <w:r>
        <w:t>icrobiol</w:t>
      </w:r>
      <w:r w:rsidR="00490E28">
        <w:t>.</w:t>
      </w:r>
      <w:r>
        <w:t xml:space="preserve"> 27(6): 409-419.</w:t>
      </w:r>
    </w:p>
    <w:p w14:paraId="2232E720" w14:textId="61F95161" w:rsidR="00761CCC" w:rsidRDefault="00761CCC" w:rsidP="00393EEE">
      <w:r w:rsidRPr="00761CCC">
        <w:t xml:space="preserve">Hall MW, Singh N, Ng KF, Lam DK, Goldberg MB, Tenenbaum HC, Neufeld JD, </w:t>
      </w:r>
      <w:proofErr w:type="spellStart"/>
      <w:r w:rsidRPr="00761CCC">
        <w:t>Beiko</w:t>
      </w:r>
      <w:proofErr w:type="spellEnd"/>
      <w:r w:rsidRPr="00761CCC">
        <w:t xml:space="preserve"> RG, </w:t>
      </w:r>
      <w:proofErr w:type="spellStart"/>
      <w:r w:rsidRPr="00761CCC">
        <w:t>Senadheera</w:t>
      </w:r>
      <w:proofErr w:type="spellEnd"/>
      <w:r w:rsidRPr="00761CCC">
        <w:t xml:space="preserve"> DB.</w:t>
      </w:r>
      <w:r w:rsidR="007378A5">
        <w:t xml:space="preserve"> 2017.</w:t>
      </w:r>
      <w:r w:rsidRPr="00761CCC">
        <w:t xml:space="preserve"> Inter-personal diversity and temporal dynamics of dental, tongue, and salivary microbiota in the healthy oral cavity. NPJ </w:t>
      </w:r>
      <w:r w:rsidR="00B771FC">
        <w:t>B</w:t>
      </w:r>
      <w:r w:rsidRPr="00761CCC">
        <w:t xml:space="preserve">iofilms </w:t>
      </w:r>
      <w:r w:rsidR="00B771FC">
        <w:t>M</w:t>
      </w:r>
      <w:r w:rsidRPr="00761CCC">
        <w:t>icrobiomes. Jan 26</w:t>
      </w:r>
      <w:r w:rsidR="007378A5">
        <w:t xml:space="preserve"> </w:t>
      </w:r>
      <w:r w:rsidRPr="00761CCC">
        <w:t>3(1):2.</w:t>
      </w:r>
    </w:p>
    <w:p w14:paraId="7D0CEFEA" w14:textId="656E10B3" w:rsidR="00393EEE" w:rsidRDefault="00393EEE" w:rsidP="00393EEE">
      <w:r>
        <w:t>Holt SC</w:t>
      </w:r>
      <w:r w:rsidR="00B771FC">
        <w:t xml:space="preserve">, </w:t>
      </w:r>
      <w:r>
        <w:t>Ebersole JL</w:t>
      </w:r>
      <w:r w:rsidR="00B771FC">
        <w:t xml:space="preserve">. </w:t>
      </w:r>
      <w:r>
        <w:t xml:space="preserve">2005. </w:t>
      </w:r>
      <w:r w:rsidRPr="004039A7">
        <w:rPr>
          <w:i/>
        </w:rPr>
        <w:t>Porphyromonas gingivalis</w:t>
      </w:r>
      <w:r>
        <w:t xml:space="preserve">, </w:t>
      </w:r>
      <w:r w:rsidRPr="004039A7">
        <w:rPr>
          <w:i/>
        </w:rPr>
        <w:t xml:space="preserve">Treponema </w:t>
      </w:r>
      <w:proofErr w:type="spellStart"/>
      <w:r w:rsidRPr="004039A7">
        <w:rPr>
          <w:i/>
        </w:rPr>
        <w:t>denticola</w:t>
      </w:r>
      <w:proofErr w:type="spellEnd"/>
      <w:r>
        <w:t xml:space="preserve">, and </w:t>
      </w:r>
      <w:proofErr w:type="spellStart"/>
      <w:r w:rsidRPr="004039A7">
        <w:rPr>
          <w:i/>
        </w:rPr>
        <w:t>Tannerella</w:t>
      </w:r>
      <w:proofErr w:type="spellEnd"/>
      <w:r w:rsidRPr="004039A7">
        <w:rPr>
          <w:i/>
        </w:rPr>
        <w:t xml:space="preserve"> forsythia</w:t>
      </w:r>
      <w:r>
        <w:t xml:space="preserve">: the ‘red complex’, a prototype </w:t>
      </w:r>
      <w:proofErr w:type="spellStart"/>
      <w:r>
        <w:t>polybacterial</w:t>
      </w:r>
      <w:proofErr w:type="spellEnd"/>
      <w:r>
        <w:t xml:space="preserve"> pathogenic consortium in periodontitis. </w:t>
      </w:r>
      <w:proofErr w:type="spellStart"/>
      <w:r>
        <w:t>Periodont</w:t>
      </w:r>
      <w:proofErr w:type="spellEnd"/>
      <w:r>
        <w:t xml:space="preserve"> 2000</w:t>
      </w:r>
      <w:r w:rsidR="00B771FC">
        <w:t>.</w:t>
      </w:r>
      <w:r>
        <w:t xml:space="preserve"> 38(1): 72-122.</w:t>
      </w:r>
    </w:p>
    <w:p w14:paraId="745CCF3A" w14:textId="55FF9C0F" w:rsidR="00393EEE" w:rsidRDefault="00393EEE" w:rsidP="00393EEE">
      <w:r>
        <w:t>Kistler JO, Booth V, Bradshaw DJ, Wade WG</w:t>
      </w:r>
      <w:r w:rsidR="00B771FC">
        <w:t xml:space="preserve">. </w:t>
      </w:r>
      <w:r>
        <w:t xml:space="preserve">2013. Bacterial community development in experimental gingivitis. </w:t>
      </w:r>
      <w:proofErr w:type="spellStart"/>
      <w:r>
        <w:t>PLoS</w:t>
      </w:r>
      <w:proofErr w:type="spellEnd"/>
      <w:r>
        <w:t xml:space="preserve"> One</w:t>
      </w:r>
      <w:r w:rsidR="00B771FC">
        <w:t>.</w:t>
      </w:r>
      <w:r>
        <w:t xml:space="preserve"> 8(8</w:t>
      </w:r>
      <w:proofErr w:type="gramStart"/>
      <w:r>
        <w:t>):e</w:t>
      </w:r>
      <w:proofErr w:type="gramEnd"/>
      <w:r>
        <w:t>71227.</w:t>
      </w:r>
    </w:p>
    <w:p w14:paraId="2786E194" w14:textId="60DD9D0C" w:rsidR="00393EEE" w:rsidRDefault="00393EEE" w:rsidP="00393EEE">
      <w:r>
        <w:t xml:space="preserve">Koopman JE, van der </w:t>
      </w:r>
      <w:proofErr w:type="spellStart"/>
      <w:r>
        <w:t>Kaaij</w:t>
      </w:r>
      <w:proofErr w:type="spellEnd"/>
      <w:r>
        <w:t xml:space="preserve"> NCW, </w:t>
      </w:r>
      <w:proofErr w:type="spellStart"/>
      <w:r>
        <w:t>Buijs</w:t>
      </w:r>
      <w:proofErr w:type="spellEnd"/>
      <w:r>
        <w:t xml:space="preserve"> MJ, </w:t>
      </w:r>
      <w:proofErr w:type="spellStart"/>
      <w:r>
        <w:t>Elyassi</w:t>
      </w:r>
      <w:proofErr w:type="spellEnd"/>
      <w:r>
        <w:t xml:space="preserve"> Y, van der Veen MH, </w:t>
      </w:r>
      <w:proofErr w:type="spellStart"/>
      <w:r>
        <w:t>Crielaard</w:t>
      </w:r>
      <w:proofErr w:type="spellEnd"/>
      <w:r>
        <w:t xml:space="preserve"> W, </w:t>
      </w:r>
      <w:r w:rsidR="00C113B2">
        <w:t>Ten Cate JM, Zaura E</w:t>
      </w:r>
      <w:r>
        <w:t>. 2015</w:t>
      </w:r>
      <w:r w:rsidR="00C113B2">
        <w:t>.</w:t>
      </w:r>
      <w:r>
        <w:t xml:space="preserve"> The Effect of Fixed Orthodontic Appliances and Fluoride Mouthwash on the Oral Microbiome of Adolescents – A Randomized Controlled Clinical Trial. </w:t>
      </w:r>
      <w:proofErr w:type="spellStart"/>
      <w:r>
        <w:t>PLoS</w:t>
      </w:r>
      <w:proofErr w:type="spellEnd"/>
      <w:r>
        <w:t xml:space="preserve"> O</w:t>
      </w:r>
      <w:r w:rsidR="00FF48CC">
        <w:t>ne.</w:t>
      </w:r>
      <w:r>
        <w:t xml:space="preserve"> 10(9): e0137318. doi:10.1371/ </w:t>
      </w:r>
      <w:proofErr w:type="gramStart"/>
      <w:r>
        <w:t>journal.pone</w:t>
      </w:r>
      <w:proofErr w:type="gramEnd"/>
      <w:r>
        <w:t>.0137318</w:t>
      </w:r>
    </w:p>
    <w:p w14:paraId="7C88A7D4" w14:textId="0DAAECA7" w:rsidR="00393EEE" w:rsidRDefault="00393EEE" w:rsidP="00393EEE">
      <w:r>
        <w:lastRenderedPageBreak/>
        <w:t xml:space="preserve">Maekawa T, Krauss JL, Abe T, Jotwani R, </w:t>
      </w:r>
      <w:proofErr w:type="spellStart"/>
      <w:r>
        <w:t>Triantafilou</w:t>
      </w:r>
      <w:proofErr w:type="spellEnd"/>
      <w:r>
        <w:t xml:space="preserve"> M, </w:t>
      </w:r>
      <w:proofErr w:type="spellStart"/>
      <w:r>
        <w:t>Triantafilou</w:t>
      </w:r>
      <w:proofErr w:type="spellEnd"/>
      <w:r>
        <w:t xml:space="preserve"> K</w:t>
      </w:r>
      <w:r w:rsidR="00FF48CC">
        <w:t xml:space="preserve">, </w:t>
      </w:r>
      <w:r w:rsidR="003D3607">
        <w:t>Hashim A, Hoch S, Curtis MA, Nussbaum G et al</w:t>
      </w:r>
      <w:r>
        <w:t xml:space="preserve">. 2014. </w:t>
      </w:r>
      <w:r w:rsidRPr="004039A7">
        <w:rPr>
          <w:i/>
        </w:rPr>
        <w:t>Porphyromonas gingivalis</w:t>
      </w:r>
      <w:r>
        <w:t xml:space="preserve"> manipulates complement and TLR </w:t>
      </w:r>
      <w:proofErr w:type="spellStart"/>
      <w:r>
        <w:t>signaling</w:t>
      </w:r>
      <w:proofErr w:type="spellEnd"/>
      <w:r>
        <w:t xml:space="preserve"> to uncouple bacterial clearance from inflammation and promote dysbiosis. Cell Host Microbe</w:t>
      </w:r>
      <w:r w:rsidR="003D3607">
        <w:t>.</w:t>
      </w:r>
      <w:r>
        <w:t xml:space="preserve"> 15(6):768-778.</w:t>
      </w:r>
    </w:p>
    <w:p w14:paraId="219B71A5" w14:textId="4A20EA11" w:rsidR="00393EEE" w:rsidRDefault="00393EEE" w:rsidP="00393EEE">
      <w:r>
        <w:t>Marsh PD</w:t>
      </w:r>
      <w:r w:rsidR="003D3607">
        <w:t xml:space="preserve">. </w:t>
      </w:r>
      <w:r>
        <w:t xml:space="preserve">1994. Microbial ecology of dental plaque and its significance in health and disease. Adv </w:t>
      </w:r>
      <w:r w:rsidR="007A5726">
        <w:t>Dent</w:t>
      </w:r>
      <w:r>
        <w:t xml:space="preserve"> </w:t>
      </w:r>
      <w:r w:rsidR="007A5726">
        <w:t>R</w:t>
      </w:r>
      <w:r>
        <w:t>es</w:t>
      </w:r>
      <w:r w:rsidR="002B3D06">
        <w:t>.</w:t>
      </w:r>
      <w:r>
        <w:t xml:space="preserve"> 8(2): 263-271.</w:t>
      </w:r>
    </w:p>
    <w:p w14:paraId="636383B5" w14:textId="4B8BC0E5" w:rsidR="00393EEE" w:rsidRDefault="00393EEE" w:rsidP="00393EEE">
      <w:r>
        <w:t>Mira A, Simon‐</w:t>
      </w:r>
      <w:proofErr w:type="spellStart"/>
      <w:r>
        <w:t>Soro</w:t>
      </w:r>
      <w:proofErr w:type="spellEnd"/>
      <w:r>
        <w:t xml:space="preserve"> A, Curtis MA</w:t>
      </w:r>
      <w:r w:rsidR="002B3D06">
        <w:t xml:space="preserve">. </w:t>
      </w:r>
      <w:r>
        <w:t xml:space="preserve">2017. Role of microbial communities in the pathogenesis of periodontal diseases and caries. J </w:t>
      </w:r>
      <w:r w:rsidR="00B70788">
        <w:t>C</w:t>
      </w:r>
      <w:r>
        <w:t xml:space="preserve">lin </w:t>
      </w:r>
      <w:proofErr w:type="spellStart"/>
      <w:r w:rsidR="00B70788">
        <w:t>Periodontol</w:t>
      </w:r>
      <w:proofErr w:type="spellEnd"/>
      <w:r w:rsidR="00B46216">
        <w:t>.</w:t>
      </w:r>
      <w:r>
        <w:t xml:space="preserve"> 44: S23-S38.</w:t>
      </w:r>
    </w:p>
    <w:p w14:paraId="7BC09C81" w14:textId="10D8EF8C" w:rsidR="00393EEE" w:rsidRDefault="00222C09" w:rsidP="00393EEE">
      <w:proofErr w:type="spellStart"/>
      <w:r w:rsidRPr="00222C09">
        <w:t>Polak</w:t>
      </w:r>
      <w:proofErr w:type="spellEnd"/>
      <w:r w:rsidRPr="00222C09">
        <w:t xml:space="preserve"> D, Wilensky A, Shapira L, </w:t>
      </w:r>
      <w:proofErr w:type="spellStart"/>
      <w:r w:rsidRPr="00222C09">
        <w:t>Halabi</w:t>
      </w:r>
      <w:proofErr w:type="spellEnd"/>
      <w:r w:rsidRPr="00222C09">
        <w:t xml:space="preserve"> A, Goldstein D, Weiss EI, </w:t>
      </w:r>
      <w:proofErr w:type="spellStart"/>
      <w:r w:rsidRPr="00222C09">
        <w:t>Houri</w:t>
      </w:r>
      <w:proofErr w:type="spellEnd"/>
      <w:r w:rsidRPr="00222C09">
        <w:t>‐Haddad Y.</w:t>
      </w:r>
      <w:r w:rsidR="002B3D06">
        <w:t xml:space="preserve"> 2009.</w:t>
      </w:r>
      <w:r w:rsidRPr="00222C09">
        <w:t xml:space="preserve"> Mouse model of experimental periodontitis induced by </w:t>
      </w:r>
      <w:r w:rsidRPr="004039A7">
        <w:rPr>
          <w:i/>
        </w:rPr>
        <w:t>Porphyromonas gingivalis</w:t>
      </w:r>
      <w:r w:rsidRPr="00222C09">
        <w:t>/</w:t>
      </w:r>
      <w:r w:rsidRPr="004039A7">
        <w:rPr>
          <w:i/>
        </w:rPr>
        <w:t xml:space="preserve">Fusobacterium </w:t>
      </w:r>
      <w:proofErr w:type="spellStart"/>
      <w:r w:rsidRPr="004039A7">
        <w:rPr>
          <w:i/>
        </w:rPr>
        <w:t>nucleatum</w:t>
      </w:r>
      <w:proofErr w:type="spellEnd"/>
      <w:r w:rsidRPr="00222C09">
        <w:t xml:space="preserve"> infection: bone loss and host response. J </w:t>
      </w:r>
      <w:r w:rsidR="002B3D06">
        <w:t>C</w:t>
      </w:r>
      <w:r w:rsidRPr="00222C09">
        <w:t xml:space="preserve">lin </w:t>
      </w:r>
      <w:proofErr w:type="spellStart"/>
      <w:r w:rsidR="002B3D06">
        <w:t>P</w:t>
      </w:r>
      <w:r w:rsidRPr="00222C09">
        <w:t>eriodontol</w:t>
      </w:r>
      <w:proofErr w:type="spellEnd"/>
      <w:r w:rsidRPr="00222C09">
        <w:t>. May</w:t>
      </w:r>
      <w:r w:rsidR="00BD7863">
        <w:t xml:space="preserve"> </w:t>
      </w:r>
      <w:r w:rsidRPr="00222C09">
        <w:t>36(5):406-10.</w:t>
      </w:r>
    </w:p>
    <w:p w14:paraId="06EDD191" w14:textId="60CC1578" w:rsidR="005730BC" w:rsidRDefault="005730BC" w:rsidP="00393EEE">
      <w:proofErr w:type="spellStart"/>
      <w:r w:rsidRPr="005730BC">
        <w:t>Relman</w:t>
      </w:r>
      <w:proofErr w:type="spellEnd"/>
      <w:r w:rsidRPr="005730BC">
        <w:t xml:space="preserve"> DA. </w:t>
      </w:r>
      <w:r w:rsidR="00BD7863">
        <w:t xml:space="preserve">2012. </w:t>
      </w:r>
      <w:r w:rsidRPr="005730BC">
        <w:t xml:space="preserve">The human microbiome: ecosystem resilience and health. </w:t>
      </w:r>
      <w:proofErr w:type="spellStart"/>
      <w:r w:rsidRPr="005730BC">
        <w:t>Nutr</w:t>
      </w:r>
      <w:proofErr w:type="spellEnd"/>
      <w:r w:rsidRPr="005730BC">
        <w:t xml:space="preserve"> </w:t>
      </w:r>
      <w:r w:rsidR="00250D57">
        <w:t>R</w:t>
      </w:r>
      <w:r w:rsidRPr="005730BC">
        <w:t>ev. Aug 1</w:t>
      </w:r>
      <w:r w:rsidR="00BD7863">
        <w:t xml:space="preserve"> </w:t>
      </w:r>
      <w:r w:rsidRPr="005730BC">
        <w:t>70(suppl_1</w:t>
      </w:r>
      <w:proofErr w:type="gramStart"/>
      <w:r w:rsidRPr="005730BC">
        <w:t>):S</w:t>
      </w:r>
      <w:proofErr w:type="gramEnd"/>
      <w:r w:rsidRPr="005730BC">
        <w:t>2-9.</w:t>
      </w:r>
    </w:p>
    <w:p w14:paraId="0F466D9B" w14:textId="7CF88011" w:rsidR="00060CFD" w:rsidRDefault="00060CFD" w:rsidP="00393EEE">
      <w:r w:rsidRPr="00060CFD">
        <w:t xml:space="preserve">Rosier BT, Marsh PD, Mira A. </w:t>
      </w:r>
      <w:r w:rsidR="00250D57">
        <w:t xml:space="preserve">2018. </w:t>
      </w:r>
      <w:r w:rsidRPr="00060CFD">
        <w:t xml:space="preserve">Resilience of the oral microbiota in health: mechanisms that prevent dysbiosis. J </w:t>
      </w:r>
      <w:r w:rsidR="00250D57">
        <w:t>D</w:t>
      </w:r>
      <w:r w:rsidRPr="00060CFD">
        <w:t xml:space="preserve">ent </w:t>
      </w:r>
      <w:r w:rsidR="00250D57">
        <w:t>R</w:t>
      </w:r>
      <w:r w:rsidRPr="00060CFD">
        <w:t>es. Apr</w:t>
      </w:r>
      <w:r w:rsidR="00250D57">
        <w:t xml:space="preserve"> </w:t>
      </w:r>
      <w:r w:rsidRPr="00060CFD">
        <w:t>97(4):371-80.</w:t>
      </w:r>
    </w:p>
    <w:p w14:paraId="0B977EAF" w14:textId="0FE2A246" w:rsidR="00393EEE" w:rsidRDefault="00393EEE" w:rsidP="00393EEE">
      <w:r>
        <w:t xml:space="preserve">Schloss PD, Westcott SL, </w:t>
      </w:r>
      <w:proofErr w:type="spellStart"/>
      <w:r>
        <w:t>Ryabin</w:t>
      </w:r>
      <w:proofErr w:type="spellEnd"/>
      <w:r>
        <w:t xml:space="preserve"> T, Hall JR, Hartmann M, Hollister EB</w:t>
      </w:r>
      <w:r w:rsidR="005E1834">
        <w:t xml:space="preserve">, </w:t>
      </w:r>
      <w:proofErr w:type="spellStart"/>
      <w:r w:rsidR="005E1834">
        <w:t>Lesniewski</w:t>
      </w:r>
      <w:proofErr w:type="spellEnd"/>
      <w:r w:rsidR="005E1834">
        <w:t xml:space="preserve"> RA, </w:t>
      </w:r>
      <w:r w:rsidR="0024676A">
        <w:t>Oakley BB, Parks DH, Robinson CJ et al</w:t>
      </w:r>
      <w:r>
        <w:t xml:space="preserve">. 2009. Introducing </w:t>
      </w:r>
      <w:proofErr w:type="spellStart"/>
      <w:r>
        <w:t>mothur</w:t>
      </w:r>
      <w:proofErr w:type="spellEnd"/>
      <w:r>
        <w:t xml:space="preserve">: open-source, platform-independent, community-supported software for describing and comparing microbial communities. </w:t>
      </w:r>
      <w:proofErr w:type="spellStart"/>
      <w:r>
        <w:t>Appl</w:t>
      </w:r>
      <w:proofErr w:type="spellEnd"/>
      <w:r>
        <w:t xml:space="preserve"> Environ Microbiol</w:t>
      </w:r>
      <w:r w:rsidR="0024676A">
        <w:t>.</w:t>
      </w:r>
      <w:r>
        <w:t xml:space="preserve"> 75(23):7537-7541.</w:t>
      </w:r>
    </w:p>
    <w:p w14:paraId="32F1670C" w14:textId="6723E00F" w:rsidR="00393EEE" w:rsidRDefault="00393EEE" w:rsidP="00393EEE">
      <w:proofErr w:type="spellStart"/>
      <w:r>
        <w:t>Socransky</w:t>
      </w:r>
      <w:proofErr w:type="spellEnd"/>
      <w:r>
        <w:t xml:space="preserve"> SS, </w:t>
      </w:r>
      <w:proofErr w:type="spellStart"/>
      <w:r>
        <w:t>Haffajee</w:t>
      </w:r>
      <w:proofErr w:type="spellEnd"/>
      <w:r>
        <w:t xml:space="preserve"> AD, </w:t>
      </w:r>
      <w:proofErr w:type="spellStart"/>
      <w:r>
        <w:t>Cugini</w:t>
      </w:r>
      <w:proofErr w:type="spellEnd"/>
      <w:r>
        <w:t xml:space="preserve"> MA, Smith C</w:t>
      </w:r>
      <w:r w:rsidR="0024676A">
        <w:t xml:space="preserve">, </w:t>
      </w:r>
      <w:r>
        <w:t>Kent Jr RL</w:t>
      </w:r>
      <w:r w:rsidR="0024676A">
        <w:t xml:space="preserve">. </w:t>
      </w:r>
      <w:r>
        <w:t>1998. Microbial complexes in subgingival plaque. J</w:t>
      </w:r>
      <w:r w:rsidR="0024676A">
        <w:t xml:space="preserve"> C</w:t>
      </w:r>
      <w:r>
        <w:t xml:space="preserve">lin </w:t>
      </w:r>
      <w:proofErr w:type="spellStart"/>
      <w:r w:rsidR="0024676A">
        <w:t>P</w:t>
      </w:r>
      <w:r>
        <w:t>eriodontol</w:t>
      </w:r>
      <w:proofErr w:type="spellEnd"/>
      <w:r w:rsidR="0024676A">
        <w:t>.</w:t>
      </w:r>
      <w:r>
        <w:t xml:space="preserve"> 25(2): 134-144.</w:t>
      </w:r>
    </w:p>
    <w:p w14:paraId="0085AA9F" w14:textId="763B2862" w:rsidR="00393EEE" w:rsidRDefault="00393EEE" w:rsidP="00393EEE">
      <w:r>
        <w:t xml:space="preserve">Zaura E, Brandt BW, Teixeira de Mattos MJ, </w:t>
      </w:r>
      <w:proofErr w:type="spellStart"/>
      <w:r>
        <w:t>Buijs</w:t>
      </w:r>
      <w:proofErr w:type="spellEnd"/>
      <w:r>
        <w:t xml:space="preserve"> MJ, </w:t>
      </w:r>
      <w:proofErr w:type="spellStart"/>
      <w:r>
        <w:t>Caspers</w:t>
      </w:r>
      <w:proofErr w:type="spellEnd"/>
      <w:r>
        <w:t xml:space="preserve"> MPM, Rashid MU, Weintraub A, Nord CE, </w:t>
      </w:r>
      <w:proofErr w:type="spellStart"/>
      <w:r>
        <w:t>Savell</w:t>
      </w:r>
      <w:proofErr w:type="spellEnd"/>
      <w:r>
        <w:t xml:space="preserve"> A, Hu Y</w:t>
      </w:r>
      <w:r w:rsidR="002D696C">
        <w:t xml:space="preserve"> et al</w:t>
      </w:r>
      <w:r>
        <w:t xml:space="preserve">. 2015. Same exposure but two radically different responses to antibiotics: resilience of the salivary microbiome versus long-term microbial shifts in </w:t>
      </w:r>
      <w:proofErr w:type="spellStart"/>
      <w:r>
        <w:t>feces</w:t>
      </w:r>
      <w:proofErr w:type="spellEnd"/>
      <w:r>
        <w:t>. mBio 6(6</w:t>
      </w:r>
      <w:proofErr w:type="gramStart"/>
      <w:r>
        <w:t>):e</w:t>
      </w:r>
      <w:proofErr w:type="gramEnd"/>
      <w:r>
        <w:t>01693-15. doi:10.1128/mBio.01693-15.</w:t>
      </w:r>
    </w:p>
    <w:p w14:paraId="35E45840" w14:textId="7A0E20F0" w:rsidR="00C73AC5" w:rsidRDefault="00C73AC5">
      <w:pPr>
        <w:rPr>
          <w:rFonts w:ascii="Calibri" w:hAnsi="Calibri" w:cstheme="majorBidi"/>
          <w:b/>
          <w:noProof/>
          <w:lang w:val="en-US"/>
        </w:rPr>
      </w:pPr>
      <w:r>
        <w:rPr>
          <w:rFonts w:cstheme="majorBidi"/>
          <w:b/>
        </w:rPr>
        <w:br w:type="page"/>
      </w:r>
    </w:p>
    <w:p w14:paraId="398362DC" w14:textId="77777777" w:rsidR="00C708C3" w:rsidRDefault="00C708C3" w:rsidP="00C73AC5">
      <w:pPr>
        <w:pStyle w:val="EndNoteBibliography"/>
        <w:spacing w:line="480" w:lineRule="auto"/>
        <w:rPr>
          <w:b/>
        </w:rPr>
      </w:pPr>
      <w:r>
        <w:rPr>
          <w:b/>
        </w:rPr>
        <w:lastRenderedPageBreak/>
        <w:drawing>
          <wp:inline distT="0" distB="0" distL="0" distR="0" wp14:anchorId="4558221D" wp14:editId="63C3B8B5">
            <wp:extent cx="4610100" cy="3836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318" cy="3837861"/>
                    </a:xfrm>
                    <a:prstGeom prst="rect">
                      <a:avLst/>
                    </a:prstGeom>
                    <a:noFill/>
                    <a:ln>
                      <a:noFill/>
                    </a:ln>
                  </pic:spPr>
                </pic:pic>
              </a:graphicData>
            </a:graphic>
          </wp:inline>
        </w:drawing>
      </w:r>
    </w:p>
    <w:p w14:paraId="09D2F38E" w14:textId="1EE7B124" w:rsidR="00C73AC5" w:rsidRPr="00C73AC5" w:rsidRDefault="00C73AC5" w:rsidP="00C73AC5">
      <w:pPr>
        <w:pStyle w:val="EndNoteBibliography"/>
        <w:spacing w:line="480" w:lineRule="auto"/>
        <w:rPr>
          <w:iCs/>
        </w:rPr>
      </w:pPr>
      <w:r w:rsidRPr="00C73AC5">
        <w:rPr>
          <w:b/>
        </w:rPr>
        <w:t>Fig 1.</w:t>
      </w:r>
      <w:r w:rsidRPr="00C73AC5">
        <w:t xml:space="preserve"> </w:t>
      </w:r>
      <w:r w:rsidRPr="00C73AC5">
        <w:rPr>
          <w:i/>
        </w:rPr>
        <w:t>P. gingivalis</w:t>
      </w:r>
      <w:r w:rsidRPr="00C73AC5">
        <w:rPr>
          <w:iCs/>
        </w:rPr>
        <w:t xml:space="preserve"> mediated dysbiosis is stable over time and associated with long term destructive disease in the murine model: </w:t>
      </w:r>
      <w:r w:rsidRPr="00C73AC5">
        <w:rPr>
          <w:bCs/>
        </w:rPr>
        <w:t xml:space="preserve">(A) </w:t>
      </w:r>
      <w:r w:rsidRPr="00C73AC5">
        <w:t xml:space="preserve">Bacterial composition of the oral microbiome, determined by culture, of control </w:t>
      </w:r>
      <w:r w:rsidRPr="00C73AC5">
        <w:rPr>
          <w:i/>
        </w:rPr>
        <w:t>and</w:t>
      </w:r>
      <w:r w:rsidRPr="00C73AC5">
        <w:t xml:space="preserve"> </w:t>
      </w:r>
      <w:r w:rsidRPr="00C73AC5">
        <w:rPr>
          <w:i/>
        </w:rPr>
        <w:t>P. gingivalis</w:t>
      </w:r>
      <w:r w:rsidRPr="00C73AC5">
        <w:t xml:space="preserve"> treated mice at 16 weeks (C/16 &amp; Pg/16), 22 weeks (C/22 &amp; Pg/22) and 28 weeks (C/28 &amp; Pg28). The sizes of the pie-charts are indicative of the variations in the total oral bacterial counts in the different groups. The graphs have been plotted using the observed number of CFUs of each microorganism in each group. Statistical significance in the differences between the microbial communities at each time point was determined by PERMANOVA analysis (</w:t>
      </w:r>
      <w:r w:rsidRPr="00C73AC5">
        <w:rPr>
          <w:iCs/>
        </w:rPr>
        <w:t>** p&lt;0.05; *** p&lt;0.005; **** p&lt;0.0005)</w:t>
      </w:r>
      <w:r w:rsidRPr="00C73AC5">
        <w:rPr>
          <w:bCs/>
        </w:rPr>
        <w:t xml:space="preserve"> (B) </w:t>
      </w:r>
      <w:r w:rsidRPr="00C73AC5">
        <w:t>Total oral bacterial counts in the different groups expressed as log</w:t>
      </w:r>
      <w:r w:rsidRPr="00C73AC5">
        <w:rPr>
          <w:vertAlign w:val="subscript"/>
        </w:rPr>
        <w:t>10</w:t>
      </w:r>
      <w:r w:rsidRPr="00C73AC5">
        <w:t xml:space="preserve"> of CFUs. </w:t>
      </w:r>
      <w:r w:rsidRPr="00C73AC5">
        <w:rPr>
          <w:bCs/>
        </w:rPr>
        <w:t xml:space="preserve">(C) </w:t>
      </w:r>
      <w:r w:rsidRPr="00C73AC5">
        <w:t xml:space="preserve">Alveolar bone levels at 16, 22 and 28 weeks in control and </w:t>
      </w:r>
      <w:r w:rsidRPr="00C73AC5">
        <w:rPr>
          <w:i/>
        </w:rPr>
        <w:t>P. gingivalis</w:t>
      </w:r>
      <w:r w:rsidRPr="00C73AC5">
        <w:t xml:space="preserve"> treated mice. Bone loss was expressed as negative values relative to the baseline. Each point represents the mean bone level for an individual mouse with horizontal lines representing the mean bone levels per group +/- SD. The dotted line represents the linear rate of bone loss in </w:t>
      </w:r>
      <w:r w:rsidRPr="00C73AC5">
        <w:rPr>
          <w:i/>
        </w:rPr>
        <w:t>P. gingivalis</w:t>
      </w:r>
      <w:r w:rsidRPr="00C73AC5">
        <w:t xml:space="preserve"> treated mice over time (</w:t>
      </w:r>
      <w:r w:rsidRPr="00C73AC5">
        <w:rPr>
          <w:iCs/>
        </w:rPr>
        <w:t>** p&lt;0.05; *** p&lt;0.005; **** p&lt;0.0005).</w:t>
      </w:r>
    </w:p>
    <w:p w14:paraId="7CD64848" w14:textId="77777777" w:rsidR="00C73AC5" w:rsidRPr="00C73AC5" w:rsidRDefault="00C73AC5" w:rsidP="00C73AC5">
      <w:pPr>
        <w:pStyle w:val="EndNoteBibliography"/>
        <w:spacing w:line="480" w:lineRule="auto"/>
        <w:rPr>
          <w:iCs/>
        </w:rPr>
      </w:pPr>
    </w:p>
    <w:p w14:paraId="15270B41" w14:textId="77777777" w:rsidR="00C708C3" w:rsidRDefault="00C708C3" w:rsidP="00C73AC5">
      <w:pPr>
        <w:spacing w:line="480" w:lineRule="auto"/>
        <w:jc w:val="both"/>
        <w:rPr>
          <w:b/>
          <w:iCs/>
        </w:rPr>
      </w:pPr>
      <w:r>
        <w:rPr>
          <w:b/>
          <w:iCs/>
          <w:noProof/>
        </w:rPr>
        <w:lastRenderedPageBreak/>
        <w:drawing>
          <wp:inline distT="0" distB="0" distL="0" distR="0" wp14:anchorId="67F04E64" wp14:editId="0080047F">
            <wp:extent cx="5314950" cy="6955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7435" cy="6958904"/>
                    </a:xfrm>
                    <a:prstGeom prst="rect">
                      <a:avLst/>
                    </a:prstGeom>
                    <a:noFill/>
                    <a:ln>
                      <a:noFill/>
                    </a:ln>
                  </pic:spPr>
                </pic:pic>
              </a:graphicData>
            </a:graphic>
          </wp:inline>
        </w:drawing>
      </w:r>
    </w:p>
    <w:p w14:paraId="439FDDBE" w14:textId="483ADC6D" w:rsidR="00C73AC5" w:rsidRPr="00C73AC5" w:rsidRDefault="00C73AC5" w:rsidP="00C73AC5">
      <w:pPr>
        <w:spacing w:line="480" w:lineRule="auto"/>
        <w:jc w:val="both"/>
        <w:rPr>
          <w:iCs/>
        </w:rPr>
      </w:pPr>
      <w:r w:rsidRPr="00C73AC5">
        <w:rPr>
          <w:b/>
          <w:iCs/>
        </w:rPr>
        <w:t>Fig 2.</w:t>
      </w:r>
      <w:r w:rsidRPr="00C73AC5">
        <w:rPr>
          <w:iCs/>
        </w:rPr>
        <w:t xml:space="preserve"> Longitudinal comparison of oral microbial population analyses of control and </w:t>
      </w:r>
      <w:r w:rsidRPr="00C73AC5">
        <w:rPr>
          <w:i/>
          <w:iCs/>
        </w:rPr>
        <w:t>P. gingivalis</w:t>
      </w:r>
      <w:r w:rsidRPr="00C73AC5">
        <w:rPr>
          <w:iCs/>
        </w:rPr>
        <w:t xml:space="preserve"> challenged mice at 16, 22 and 28 weeks by laboratory culture followed by full length 16S rRNA gene sequencing (red) and Roche 454 next generation sequencing (NGS) methodology of the V1-V3 region of the 16S rRNA genes (blue). The predominant genera observed in the populations have been listed </w:t>
      </w:r>
      <w:r w:rsidRPr="00C73AC5">
        <w:rPr>
          <w:iCs/>
        </w:rPr>
        <w:lastRenderedPageBreak/>
        <w:t xml:space="preserve">on the X axis while the Y axis represents the relative abundance of the bacterial genera in the individual populations expressed in percentages. </w:t>
      </w:r>
    </w:p>
    <w:p w14:paraId="0CBAC161" w14:textId="77777777" w:rsidR="00C708C3" w:rsidRDefault="00C708C3" w:rsidP="00C73AC5">
      <w:pPr>
        <w:spacing w:line="480" w:lineRule="auto"/>
        <w:jc w:val="both"/>
        <w:rPr>
          <w:b/>
        </w:rPr>
      </w:pPr>
      <w:r>
        <w:rPr>
          <w:b/>
          <w:noProof/>
        </w:rPr>
        <w:drawing>
          <wp:inline distT="0" distB="0" distL="0" distR="0" wp14:anchorId="102118BA" wp14:editId="05DF569A">
            <wp:extent cx="4886325" cy="447046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8379" cy="4472347"/>
                    </a:xfrm>
                    <a:prstGeom prst="rect">
                      <a:avLst/>
                    </a:prstGeom>
                    <a:noFill/>
                    <a:ln>
                      <a:noFill/>
                    </a:ln>
                  </pic:spPr>
                </pic:pic>
              </a:graphicData>
            </a:graphic>
          </wp:inline>
        </w:drawing>
      </w:r>
    </w:p>
    <w:p w14:paraId="72F0C398" w14:textId="77777777" w:rsidR="00C708C3" w:rsidRDefault="00C708C3" w:rsidP="00C73AC5">
      <w:pPr>
        <w:spacing w:line="480" w:lineRule="auto"/>
        <w:jc w:val="both"/>
        <w:rPr>
          <w:b/>
        </w:rPr>
      </w:pPr>
    </w:p>
    <w:p w14:paraId="670AACCB" w14:textId="65CC8AAC" w:rsidR="00C73AC5" w:rsidRPr="00C73AC5" w:rsidRDefault="00C73AC5" w:rsidP="00C73AC5">
      <w:pPr>
        <w:spacing w:line="480" w:lineRule="auto"/>
        <w:jc w:val="both"/>
        <w:rPr>
          <w:iCs/>
        </w:rPr>
      </w:pPr>
      <w:r w:rsidRPr="00C73AC5">
        <w:rPr>
          <w:b/>
        </w:rPr>
        <w:t>Fig 3.</w:t>
      </w:r>
      <w:r w:rsidRPr="00C73AC5">
        <w:t xml:space="preserve">  </w:t>
      </w:r>
      <w:r w:rsidRPr="00C73AC5">
        <w:rPr>
          <w:i/>
        </w:rPr>
        <w:t xml:space="preserve">P. gingivalis </w:t>
      </w:r>
      <w:r w:rsidRPr="00C73AC5">
        <w:rPr>
          <w:iCs/>
        </w:rPr>
        <w:t xml:space="preserve">mediated dysbiotic microbiomes stably transfer horizontally into healthy germ-free mice and lead to periodontal disease in the recipients: (A) Bacterial composition of the oral microbiome, determined by culture in control and </w:t>
      </w:r>
      <w:r w:rsidRPr="00C73AC5">
        <w:rPr>
          <w:i/>
        </w:rPr>
        <w:t>P. gingivalis</w:t>
      </w:r>
      <w:r w:rsidRPr="00C73AC5">
        <w:rPr>
          <w:iCs/>
        </w:rPr>
        <w:t xml:space="preserve"> treated C3H/</w:t>
      </w:r>
      <w:proofErr w:type="spellStart"/>
      <w:r w:rsidRPr="00C73AC5">
        <w:rPr>
          <w:iCs/>
        </w:rPr>
        <w:t>Orl</w:t>
      </w:r>
      <w:proofErr w:type="spellEnd"/>
      <w:r w:rsidRPr="00C73AC5">
        <w:rPr>
          <w:iCs/>
        </w:rPr>
        <w:t xml:space="preserve"> mice (Ctrl &amp; Pg) and conventionalized germ-free mice of identical genotype (CNV) co-caged with the </w:t>
      </w:r>
      <w:r w:rsidRPr="00C73AC5">
        <w:rPr>
          <w:i/>
          <w:iCs/>
        </w:rPr>
        <w:t xml:space="preserve">P. gingivalis </w:t>
      </w:r>
      <w:r w:rsidRPr="00C73AC5">
        <w:rPr>
          <w:iCs/>
        </w:rPr>
        <w:t>challenged mice for 14 days. The sizes of the pie-charts are indicative of the variations in the total oral bacterial populations in the different groups.</w:t>
      </w:r>
      <w:r w:rsidRPr="00C73AC5">
        <w:rPr>
          <w:rFonts w:eastAsiaTheme="minorEastAsia" w:hAnsi="Calibri"/>
          <w:color w:val="000000" w:themeColor="text1"/>
          <w:kern w:val="24"/>
          <w:sz w:val="28"/>
          <w:szCs w:val="28"/>
          <w:lang w:eastAsia="en-GB"/>
        </w:rPr>
        <w:t xml:space="preserve"> </w:t>
      </w:r>
      <w:r w:rsidRPr="00C73AC5">
        <w:rPr>
          <w:iCs/>
        </w:rPr>
        <w:t xml:space="preserve">The graphs have been plotted using the observed number of CFUs of each organism in each group. </w:t>
      </w:r>
      <w:r w:rsidRPr="00C73AC5">
        <w:t>Statistical significance in the differences between the microbial communities of each group was determined by PERMANOVA analysis (</w:t>
      </w:r>
      <w:r w:rsidRPr="00C73AC5">
        <w:rPr>
          <w:iCs/>
        </w:rPr>
        <w:t xml:space="preserve">** p&lt;0.05; *** </w:t>
      </w:r>
      <w:r w:rsidRPr="00C73AC5">
        <w:rPr>
          <w:iCs/>
        </w:rPr>
        <w:lastRenderedPageBreak/>
        <w:t>p&lt;0.005; **** p&lt;0.0005) (B) Total oral bacterial counts expressed as log</w:t>
      </w:r>
      <w:r w:rsidRPr="00C73AC5">
        <w:rPr>
          <w:iCs/>
          <w:vertAlign w:val="subscript"/>
        </w:rPr>
        <w:t>10</w:t>
      </w:r>
      <w:r w:rsidRPr="00C73AC5">
        <w:rPr>
          <w:iCs/>
        </w:rPr>
        <w:t xml:space="preserve"> of CFUs in control and </w:t>
      </w:r>
      <w:r w:rsidRPr="00C73AC5">
        <w:rPr>
          <w:i/>
        </w:rPr>
        <w:t>P. gingivalis</w:t>
      </w:r>
      <w:r w:rsidRPr="00C73AC5">
        <w:rPr>
          <w:iCs/>
        </w:rPr>
        <w:t xml:space="preserve"> treated mice and germ-free (GF) mice conventionalized by co-caging with the challenged mice. (C) Alveolar bone levels in germ-free, control (unchallenged), </w:t>
      </w:r>
      <w:r w:rsidRPr="00C73AC5">
        <w:rPr>
          <w:i/>
        </w:rPr>
        <w:t xml:space="preserve">P. gingivalis </w:t>
      </w:r>
      <w:r w:rsidRPr="00C73AC5">
        <w:rPr>
          <w:iCs/>
        </w:rPr>
        <w:t xml:space="preserve">challenged and conventionalized germ-free mice (CNV) determined after 16 weeks of co-caging. </w:t>
      </w:r>
      <w:r w:rsidRPr="00C73AC5">
        <w:t>Bone loss was expressed as negative values relative to the baseline. Each point represents the mean bone level for an individual mouse with horizontal lines representing the mean bone levels per group +/- SD. (</w:t>
      </w:r>
      <w:r w:rsidRPr="00C73AC5">
        <w:rPr>
          <w:iCs/>
        </w:rPr>
        <w:t>** p&lt;0.05; *** p&lt;0.005; **** p&lt;0.0005)</w:t>
      </w:r>
    </w:p>
    <w:p w14:paraId="6E7E14ED" w14:textId="77777777" w:rsidR="00C708C3" w:rsidRDefault="00C708C3" w:rsidP="00C73AC5">
      <w:pPr>
        <w:spacing w:line="480" w:lineRule="auto"/>
        <w:jc w:val="both"/>
        <w:rPr>
          <w:rFonts w:cstheme="majorBidi"/>
          <w:b/>
        </w:rPr>
      </w:pPr>
      <w:r>
        <w:rPr>
          <w:rFonts w:cstheme="majorBidi"/>
          <w:b/>
          <w:noProof/>
        </w:rPr>
        <w:drawing>
          <wp:inline distT="0" distB="0" distL="0" distR="0" wp14:anchorId="5DAF8E5D" wp14:editId="70AFEEC7">
            <wp:extent cx="5383250" cy="38766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577" cy="3879791"/>
                    </a:xfrm>
                    <a:prstGeom prst="rect">
                      <a:avLst/>
                    </a:prstGeom>
                    <a:noFill/>
                    <a:ln>
                      <a:noFill/>
                    </a:ln>
                  </pic:spPr>
                </pic:pic>
              </a:graphicData>
            </a:graphic>
          </wp:inline>
        </w:drawing>
      </w:r>
    </w:p>
    <w:p w14:paraId="2C5821E7" w14:textId="77777777" w:rsidR="00C708C3" w:rsidRDefault="00C708C3" w:rsidP="00C73AC5">
      <w:pPr>
        <w:spacing w:line="480" w:lineRule="auto"/>
        <w:jc w:val="both"/>
        <w:rPr>
          <w:rFonts w:cstheme="majorBidi"/>
          <w:b/>
        </w:rPr>
      </w:pPr>
    </w:p>
    <w:p w14:paraId="51C3A511" w14:textId="77777777" w:rsidR="00C708C3" w:rsidRDefault="00C708C3" w:rsidP="00C73AC5">
      <w:pPr>
        <w:spacing w:line="480" w:lineRule="auto"/>
        <w:jc w:val="both"/>
        <w:rPr>
          <w:rFonts w:cstheme="majorBidi"/>
          <w:b/>
        </w:rPr>
      </w:pPr>
    </w:p>
    <w:p w14:paraId="1F93E1BB" w14:textId="4A26E8F4" w:rsidR="00C73AC5" w:rsidRPr="00C73AC5" w:rsidRDefault="00C73AC5" w:rsidP="00C73AC5">
      <w:pPr>
        <w:spacing w:line="480" w:lineRule="auto"/>
        <w:jc w:val="both"/>
        <w:rPr>
          <w:iCs/>
        </w:rPr>
      </w:pPr>
      <w:r w:rsidRPr="00C73AC5">
        <w:rPr>
          <w:rFonts w:cstheme="majorBidi"/>
          <w:b/>
        </w:rPr>
        <w:t>Fig 4.</w:t>
      </w:r>
      <w:r w:rsidRPr="00C73AC5">
        <w:rPr>
          <w:rFonts w:cstheme="majorBidi"/>
        </w:rPr>
        <w:t xml:space="preserve"> </w:t>
      </w:r>
      <w:r w:rsidRPr="00C73AC5">
        <w:t xml:space="preserve">Inter-generational transfer of </w:t>
      </w:r>
      <w:r w:rsidRPr="00C73AC5">
        <w:rPr>
          <w:i/>
        </w:rPr>
        <w:t>P. gingivalis</w:t>
      </w:r>
      <w:r w:rsidRPr="00C73AC5">
        <w:t xml:space="preserve"> mediated dysbiotic microbiomes and vertical transmission of disease: </w:t>
      </w:r>
      <w:r w:rsidRPr="00C73AC5">
        <w:rPr>
          <w:bCs/>
        </w:rPr>
        <w:t xml:space="preserve">(A) </w:t>
      </w:r>
      <w:r w:rsidRPr="00C73AC5">
        <w:t xml:space="preserve">Bacterial composition of the oral microbiome, determined by culture, of control and Pg treated parents at 16 weeks (C/16 &amp; Pg/16) and litters of controls and Pg treated parents at 8 (FC/8 &amp; </w:t>
      </w:r>
      <w:proofErr w:type="spellStart"/>
      <w:r w:rsidRPr="00C73AC5">
        <w:t>FPg</w:t>
      </w:r>
      <w:proofErr w:type="spellEnd"/>
      <w:r w:rsidRPr="00C73AC5">
        <w:t xml:space="preserve">/8), 16 (FC/16 &amp; </w:t>
      </w:r>
      <w:proofErr w:type="spellStart"/>
      <w:r w:rsidRPr="00C73AC5">
        <w:t>FPg</w:t>
      </w:r>
      <w:proofErr w:type="spellEnd"/>
      <w:r w:rsidRPr="00C73AC5">
        <w:t xml:space="preserve">/16) and 28 weeks (FC/28 &amp; </w:t>
      </w:r>
      <w:proofErr w:type="spellStart"/>
      <w:r w:rsidRPr="00C73AC5">
        <w:t>FPg</w:t>
      </w:r>
      <w:proofErr w:type="spellEnd"/>
      <w:r w:rsidRPr="00C73AC5">
        <w:t>/28). The sizes of the pie-</w:t>
      </w:r>
      <w:r w:rsidRPr="00C73AC5">
        <w:lastRenderedPageBreak/>
        <w:t>charts are indicative of the variations in the total oral bacterial counts in the different groups. The graphs have been plotted using the observed number of CFUs of each organism in each group. Statistical significance in the differences between the microbial communities at each time point was determined by PERMANOVA analysis (</w:t>
      </w:r>
      <w:r w:rsidRPr="00C73AC5">
        <w:rPr>
          <w:iCs/>
        </w:rPr>
        <w:t>** p&lt;0.05; *** p&lt;0.005; **** p&lt;0.0005)</w:t>
      </w:r>
      <w:r w:rsidRPr="00C73AC5">
        <w:rPr>
          <w:bCs/>
        </w:rPr>
        <w:t xml:space="preserve"> (B)  </w:t>
      </w:r>
      <w:r w:rsidRPr="00C73AC5">
        <w:t>Total oral bacterial counts expressed as log</w:t>
      </w:r>
      <w:r w:rsidRPr="00C73AC5">
        <w:rPr>
          <w:vertAlign w:val="subscript"/>
        </w:rPr>
        <w:t>10</w:t>
      </w:r>
      <w:r w:rsidRPr="00C73AC5">
        <w:t xml:space="preserve"> of CFUs in the parents (C/16 &amp; Pg/16) and litters at 8 (FC/8 &amp; </w:t>
      </w:r>
      <w:proofErr w:type="spellStart"/>
      <w:r w:rsidRPr="00C73AC5">
        <w:t>FPg</w:t>
      </w:r>
      <w:proofErr w:type="spellEnd"/>
      <w:r w:rsidRPr="00C73AC5">
        <w:t xml:space="preserve">/8), 16 (FC/16 &amp; </w:t>
      </w:r>
      <w:proofErr w:type="spellStart"/>
      <w:r w:rsidRPr="00C73AC5">
        <w:t>FPg</w:t>
      </w:r>
      <w:proofErr w:type="spellEnd"/>
      <w:r w:rsidRPr="00C73AC5">
        <w:t xml:space="preserve">/16) and 28 weeks (FC/28 &amp; </w:t>
      </w:r>
      <w:proofErr w:type="spellStart"/>
      <w:r w:rsidRPr="00C73AC5">
        <w:t>FPg</w:t>
      </w:r>
      <w:proofErr w:type="spellEnd"/>
      <w:r w:rsidRPr="00C73AC5">
        <w:t xml:space="preserve">/28). </w:t>
      </w:r>
      <w:r w:rsidRPr="00C73AC5">
        <w:rPr>
          <w:bCs/>
        </w:rPr>
        <w:t xml:space="preserve">(C) </w:t>
      </w:r>
      <w:r w:rsidRPr="00C73AC5">
        <w:t xml:space="preserve">Alveolar bone levels at 16 (C/16 &amp; Pg/16) and 28 (C/28 &amp; Pg/28) weeks in control and </w:t>
      </w:r>
      <w:r w:rsidRPr="00C73AC5">
        <w:rPr>
          <w:i/>
        </w:rPr>
        <w:t>P. gingivalis</w:t>
      </w:r>
      <w:r w:rsidRPr="00C73AC5">
        <w:t xml:space="preserve"> treated parents and litters at 16 (FC/16 &amp; </w:t>
      </w:r>
      <w:proofErr w:type="spellStart"/>
      <w:r w:rsidRPr="00C73AC5">
        <w:t>FPg</w:t>
      </w:r>
      <w:proofErr w:type="spellEnd"/>
      <w:r w:rsidRPr="00C73AC5">
        <w:t xml:space="preserve">/16) and 28 (FC/28 &amp; </w:t>
      </w:r>
      <w:proofErr w:type="spellStart"/>
      <w:r w:rsidRPr="00C73AC5">
        <w:t>FPg</w:t>
      </w:r>
      <w:proofErr w:type="spellEnd"/>
      <w:r w:rsidRPr="00C73AC5">
        <w:t>/28) weeks. Bone loss was expressed as negative values relative to the baseline. Each point represents the mean bone level for an individual mouse with horizontal lines representing the mean bone levels per group +/- SD. (</w:t>
      </w:r>
      <w:r w:rsidRPr="00C73AC5">
        <w:rPr>
          <w:iCs/>
        </w:rPr>
        <w:t>** p&lt;0.05; *** p&lt;0.005; **** p&lt;0.0005)</w:t>
      </w:r>
    </w:p>
    <w:p w14:paraId="34A6DBB8" w14:textId="77777777" w:rsidR="00C708C3" w:rsidRDefault="00C708C3" w:rsidP="00C73AC5">
      <w:pPr>
        <w:spacing w:line="480" w:lineRule="auto"/>
        <w:jc w:val="both"/>
        <w:rPr>
          <w:b/>
          <w:iCs/>
        </w:rPr>
      </w:pPr>
      <w:r>
        <w:rPr>
          <w:b/>
          <w:iCs/>
          <w:noProof/>
        </w:rPr>
        <w:drawing>
          <wp:inline distT="0" distB="0" distL="0" distR="0" wp14:anchorId="6828E194" wp14:editId="2A1511E9">
            <wp:extent cx="5514975" cy="466492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8225" cy="4667671"/>
                    </a:xfrm>
                    <a:prstGeom prst="rect">
                      <a:avLst/>
                    </a:prstGeom>
                    <a:noFill/>
                    <a:ln>
                      <a:noFill/>
                    </a:ln>
                  </pic:spPr>
                </pic:pic>
              </a:graphicData>
            </a:graphic>
          </wp:inline>
        </w:drawing>
      </w:r>
    </w:p>
    <w:p w14:paraId="3863E839" w14:textId="77777777" w:rsidR="00C708C3" w:rsidRDefault="00C708C3" w:rsidP="00C73AC5">
      <w:pPr>
        <w:spacing w:line="480" w:lineRule="auto"/>
        <w:jc w:val="both"/>
        <w:rPr>
          <w:b/>
          <w:iCs/>
        </w:rPr>
      </w:pPr>
    </w:p>
    <w:p w14:paraId="074791B0" w14:textId="1C31AA6D" w:rsidR="00C73AC5" w:rsidRDefault="00C73AC5" w:rsidP="00C73AC5">
      <w:pPr>
        <w:spacing w:line="480" w:lineRule="auto"/>
        <w:jc w:val="both"/>
        <w:rPr>
          <w:iCs/>
        </w:rPr>
      </w:pPr>
      <w:r w:rsidRPr="00C73AC5">
        <w:rPr>
          <w:b/>
          <w:iCs/>
        </w:rPr>
        <w:lastRenderedPageBreak/>
        <w:t>Fig 5.</w:t>
      </w:r>
      <w:r w:rsidRPr="00C73AC5">
        <w:rPr>
          <w:iCs/>
        </w:rPr>
        <w:t xml:space="preserve"> Dysbiosis of the mouse oral microbiome is stable to antibiotic treatment: (A) Bacterial composition of the oral microbiome, determined by culture, of control and Pg treated mice (C &amp; Pg), pre-antibiotics (C/T</w:t>
      </w:r>
      <w:r w:rsidRPr="00C73AC5">
        <w:rPr>
          <w:iCs/>
          <w:vertAlign w:val="subscript"/>
        </w:rPr>
        <w:t>0</w:t>
      </w:r>
      <w:r w:rsidRPr="00C73AC5">
        <w:rPr>
          <w:iCs/>
        </w:rPr>
        <w:t xml:space="preserve"> &amp; Pg/1), immediately post-antibiotics (C/Abs &amp; Pg/Abs) and at 8, 16 and 22 weeks post antibiotics (C/8, C/16, C/22 &amp; Pg/8, Pg/16, Pg/22). The sizes of the pie-charts are indicative of the variations in the total oral bacterial counts in the different groups. The graphs have been plotted using the observed number of CFUs of each organism in each group. </w:t>
      </w:r>
      <w:r w:rsidRPr="00C73AC5">
        <w:t>Statistical significance in the differences between the microbial communities at each time point was determined by PERMANOVA analysis (</w:t>
      </w:r>
      <w:r w:rsidRPr="00C73AC5">
        <w:rPr>
          <w:iCs/>
        </w:rPr>
        <w:t>** p&lt;0.05; *** p&lt;0.005; **** p&lt;0.0005) (B) Total oral bacterial counts (as a measure of the dysbiosis) in the different groups expressed as log</w:t>
      </w:r>
      <w:r w:rsidRPr="00C73AC5">
        <w:rPr>
          <w:iCs/>
          <w:vertAlign w:val="subscript"/>
        </w:rPr>
        <w:t>10</w:t>
      </w:r>
      <w:r w:rsidRPr="00C73AC5">
        <w:rPr>
          <w:iCs/>
        </w:rPr>
        <w:t xml:space="preserve"> of the CFUs. (** p&lt;0.05; *** p&lt;0.005; **** p&lt;0.0005)</w:t>
      </w:r>
    </w:p>
    <w:p w14:paraId="5FACBCBD" w14:textId="77777777" w:rsidR="00C73AC5" w:rsidRDefault="00C73AC5" w:rsidP="00C73AC5">
      <w:pPr>
        <w:spacing w:line="480" w:lineRule="auto"/>
        <w:jc w:val="both"/>
        <w:rPr>
          <w:rFonts w:cstheme="majorBidi"/>
          <w:b/>
        </w:rPr>
      </w:pPr>
    </w:p>
    <w:p w14:paraId="00D19A85" w14:textId="77777777" w:rsidR="00C73AC5" w:rsidRDefault="00C73AC5" w:rsidP="00C73AC5">
      <w:pPr>
        <w:pStyle w:val="EndNoteBibliography"/>
        <w:spacing w:line="276" w:lineRule="auto"/>
        <w:rPr>
          <w:rFonts w:cstheme="majorBidi"/>
          <w:b/>
        </w:rPr>
      </w:pPr>
    </w:p>
    <w:p w14:paraId="0B128603" w14:textId="77777777" w:rsidR="004A6CDA" w:rsidRPr="00F15F2C" w:rsidRDefault="004A6CDA" w:rsidP="00393EEE">
      <w:pPr>
        <w:pStyle w:val="EndNoteBibliography"/>
        <w:spacing w:line="276" w:lineRule="auto"/>
        <w:rPr>
          <w:rFonts w:cstheme="majorBidi"/>
          <w:b/>
        </w:rPr>
      </w:pPr>
    </w:p>
    <w:sectPr w:rsidR="004A6CDA" w:rsidRPr="00F15F2C" w:rsidSect="00EE4116">
      <w:foot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465C" w14:textId="77777777" w:rsidR="00CB0D39" w:rsidRDefault="00CB0D39" w:rsidP="00EE4116">
      <w:pPr>
        <w:spacing w:after="0" w:line="240" w:lineRule="auto"/>
      </w:pPr>
      <w:r>
        <w:separator/>
      </w:r>
    </w:p>
  </w:endnote>
  <w:endnote w:type="continuationSeparator" w:id="0">
    <w:p w14:paraId="06EB8A91" w14:textId="77777777" w:rsidR="00CB0D39" w:rsidRDefault="00CB0D39" w:rsidP="00EE4116">
      <w:pPr>
        <w:spacing w:after="0" w:line="240" w:lineRule="auto"/>
      </w:pPr>
      <w:r>
        <w:continuationSeparator/>
      </w:r>
    </w:p>
  </w:endnote>
  <w:endnote w:type="continuationNotice" w:id="1">
    <w:p w14:paraId="5E522779" w14:textId="77777777" w:rsidR="00CB0D39" w:rsidRDefault="00CB0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873255"/>
      <w:docPartObj>
        <w:docPartGallery w:val="Page Numbers (Bottom of Page)"/>
        <w:docPartUnique/>
      </w:docPartObj>
    </w:sdtPr>
    <w:sdtEndPr>
      <w:rPr>
        <w:noProof/>
      </w:rPr>
    </w:sdtEndPr>
    <w:sdtContent>
      <w:p w14:paraId="3B33E3C2" w14:textId="3B654834" w:rsidR="002A3E11" w:rsidRDefault="002A3E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B56197" w14:textId="77777777" w:rsidR="002A3E11" w:rsidRDefault="002A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C9E0" w14:textId="77777777" w:rsidR="00CB0D39" w:rsidRDefault="00CB0D39" w:rsidP="00EE4116">
      <w:pPr>
        <w:spacing w:after="0" w:line="240" w:lineRule="auto"/>
      </w:pPr>
      <w:r>
        <w:separator/>
      </w:r>
    </w:p>
  </w:footnote>
  <w:footnote w:type="continuationSeparator" w:id="0">
    <w:p w14:paraId="61447F47" w14:textId="77777777" w:rsidR="00CB0D39" w:rsidRDefault="00CB0D39" w:rsidP="00EE4116">
      <w:pPr>
        <w:spacing w:after="0" w:line="240" w:lineRule="auto"/>
      </w:pPr>
      <w:r>
        <w:continuationSeparator/>
      </w:r>
    </w:p>
  </w:footnote>
  <w:footnote w:type="continuationNotice" w:id="1">
    <w:p w14:paraId="25A000A8" w14:textId="77777777" w:rsidR="00CB0D39" w:rsidRDefault="00CB0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167D4"/>
    <w:multiLevelType w:val="hybridMultilevel"/>
    <w:tmpl w:val="6CCAFA52"/>
    <w:lvl w:ilvl="0" w:tplc="47B2EA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4B85"/>
    <w:multiLevelType w:val="hybridMultilevel"/>
    <w:tmpl w:val="F462F27C"/>
    <w:lvl w:ilvl="0" w:tplc="2EE6AC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55F28"/>
    <w:multiLevelType w:val="hybridMultilevel"/>
    <w:tmpl w:val="6874BB70"/>
    <w:lvl w:ilvl="0" w:tplc="F54E32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01F71"/>
    <w:multiLevelType w:val="hybridMultilevel"/>
    <w:tmpl w:val="90A4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Dental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wwr5svpd9wdadve0wt7pe5w3vdaa00pwefxr&quot;&gt;My EndNote Library&lt;record-ids&gt;&lt;item&gt;319&lt;/item&gt;&lt;item&gt;457&lt;/item&gt;&lt;/record-ids&gt;&lt;/item&gt;&lt;/Libraries&gt;"/>
  </w:docVars>
  <w:rsids>
    <w:rsidRoot w:val="006B7242"/>
    <w:rsid w:val="00002BF6"/>
    <w:rsid w:val="00003956"/>
    <w:rsid w:val="00013F8E"/>
    <w:rsid w:val="00017048"/>
    <w:rsid w:val="00022DCD"/>
    <w:rsid w:val="00032207"/>
    <w:rsid w:val="00043356"/>
    <w:rsid w:val="00045AFE"/>
    <w:rsid w:val="000476A0"/>
    <w:rsid w:val="00050499"/>
    <w:rsid w:val="00060CFD"/>
    <w:rsid w:val="0006198E"/>
    <w:rsid w:val="00066E36"/>
    <w:rsid w:val="00077379"/>
    <w:rsid w:val="0008640B"/>
    <w:rsid w:val="00090D91"/>
    <w:rsid w:val="0009242D"/>
    <w:rsid w:val="0009259D"/>
    <w:rsid w:val="00092B78"/>
    <w:rsid w:val="000970F8"/>
    <w:rsid w:val="000A006A"/>
    <w:rsid w:val="000A0E06"/>
    <w:rsid w:val="000A4938"/>
    <w:rsid w:val="000A5F59"/>
    <w:rsid w:val="000B6573"/>
    <w:rsid w:val="000B7FD6"/>
    <w:rsid w:val="000C3A11"/>
    <w:rsid w:val="000C4511"/>
    <w:rsid w:val="000D0FE8"/>
    <w:rsid w:val="000D248F"/>
    <w:rsid w:val="000D2AB2"/>
    <w:rsid w:val="000D615B"/>
    <w:rsid w:val="000D6331"/>
    <w:rsid w:val="000E033F"/>
    <w:rsid w:val="000E3254"/>
    <w:rsid w:val="000F199A"/>
    <w:rsid w:val="000F4A9A"/>
    <w:rsid w:val="00103262"/>
    <w:rsid w:val="00103D6B"/>
    <w:rsid w:val="0010757B"/>
    <w:rsid w:val="0011195C"/>
    <w:rsid w:val="00112780"/>
    <w:rsid w:val="00115AEC"/>
    <w:rsid w:val="001178C1"/>
    <w:rsid w:val="00120ECB"/>
    <w:rsid w:val="0012144A"/>
    <w:rsid w:val="00122FED"/>
    <w:rsid w:val="0012555A"/>
    <w:rsid w:val="001256F6"/>
    <w:rsid w:val="001309A2"/>
    <w:rsid w:val="00133ACA"/>
    <w:rsid w:val="001352F0"/>
    <w:rsid w:val="00137036"/>
    <w:rsid w:val="0014104B"/>
    <w:rsid w:val="001417D1"/>
    <w:rsid w:val="001431CA"/>
    <w:rsid w:val="00146994"/>
    <w:rsid w:val="00146A15"/>
    <w:rsid w:val="00152D5A"/>
    <w:rsid w:val="00153024"/>
    <w:rsid w:val="00155AC7"/>
    <w:rsid w:val="0015723A"/>
    <w:rsid w:val="00157CBE"/>
    <w:rsid w:val="00170D55"/>
    <w:rsid w:val="00172E80"/>
    <w:rsid w:val="001745DD"/>
    <w:rsid w:val="00175760"/>
    <w:rsid w:val="0017673B"/>
    <w:rsid w:val="00177183"/>
    <w:rsid w:val="0018549B"/>
    <w:rsid w:val="00185D84"/>
    <w:rsid w:val="0018754E"/>
    <w:rsid w:val="00194096"/>
    <w:rsid w:val="00195684"/>
    <w:rsid w:val="00196862"/>
    <w:rsid w:val="001969EA"/>
    <w:rsid w:val="001972C8"/>
    <w:rsid w:val="001A1C76"/>
    <w:rsid w:val="001A1CFB"/>
    <w:rsid w:val="001A569E"/>
    <w:rsid w:val="001A6945"/>
    <w:rsid w:val="001B0F0D"/>
    <w:rsid w:val="001B190D"/>
    <w:rsid w:val="001B38B5"/>
    <w:rsid w:val="001B7190"/>
    <w:rsid w:val="001B78CC"/>
    <w:rsid w:val="001C1E9F"/>
    <w:rsid w:val="001D0826"/>
    <w:rsid w:val="001D13EB"/>
    <w:rsid w:val="001D2AFB"/>
    <w:rsid w:val="001D5B5A"/>
    <w:rsid w:val="001D78D4"/>
    <w:rsid w:val="001E61FD"/>
    <w:rsid w:val="001E74EF"/>
    <w:rsid w:val="001F44D5"/>
    <w:rsid w:val="001F72C0"/>
    <w:rsid w:val="002031EC"/>
    <w:rsid w:val="00204B39"/>
    <w:rsid w:val="002057DB"/>
    <w:rsid w:val="00207022"/>
    <w:rsid w:val="00211C7D"/>
    <w:rsid w:val="00213E92"/>
    <w:rsid w:val="00215D84"/>
    <w:rsid w:val="00220633"/>
    <w:rsid w:val="00222BA0"/>
    <w:rsid w:val="00222C09"/>
    <w:rsid w:val="00223BA6"/>
    <w:rsid w:val="002265C0"/>
    <w:rsid w:val="00227DC8"/>
    <w:rsid w:val="00234242"/>
    <w:rsid w:val="002343BD"/>
    <w:rsid w:val="00234DC4"/>
    <w:rsid w:val="002429DF"/>
    <w:rsid w:val="002461A2"/>
    <w:rsid w:val="0024676A"/>
    <w:rsid w:val="00250D57"/>
    <w:rsid w:val="00251E8E"/>
    <w:rsid w:val="00254401"/>
    <w:rsid w:val="0025714C"/>
    <w:rsid w:val="00257E6C"/>
    <w:rsid w:val="0026083F"/>
    <w:rsid w:val="00262C6C"/>
    <w:rsid w:val="00264356"/>
    <w:rsid w:val="00264BC0"/>
    <w:rsid w:val="00267ABF"/>
    <w:rsid w:val="002704DA"/>
    <w:rsid w:val="0027386A"/>
    <w:rsid w:val="00273FE6"/>
    <w:rsid w:val="0027469F"/>
    <w:rsid w:val="00276DD5"/>
    <w:rsid w:val="0027784E"/>
    <w:rsid w:val="00277A35"/>
    <w:rsid w:val="00284096"/>
    <w:rsid w:val="00285717"/>
    <w:rsid w:val="0029163D"/>
    <w:rsid w:val="00291A80"/>
    <w:rsid w:val="002921EF"/>
    <w:rsid w:val="00293F16"/>
    <w:rsid w:val="002A3E11"/>
    <w:rsid w:val="002B3C34"/>
    <w:rsid w:val="002B3D06"/>
    <w:rsid w:val="002B4C1C"/>
    <w:rsid w:val="002B4EBB"/>
    <w:rsid w:val="002C0687"/>
    <w:rsid w:val="002C6098"/>
    <w:rsid w:val="002D1505"/>
    <w:rsid w:val="002D2F34"/>
    <w:rsid w:val="002D55FB"/>
    <w:rsid w:val="002D5810"/>
    <w:rsid w:val="002D696C"/>
    <w:rsid w:val="002E0525"/>
    <w:rsid w:val="002E52F1"/>
    <w:rsid w:val="002E5E99"/>
    <w:rsid w:val="002E6C12"/>
    <w:rsid w:val="002E7797"/>
    <w:rsid w:val="002F3F72"/>
    <w:rsid w:val="002F4D37"/>
    <w:rsid w:val="002F594C"/>
    <w:rsid w:val="00303E0C"/>
    <w:rsid w:val="00304B58"/>
    <w:rsid w:val="00304BBB"/>
    <w:rsid w:val="00304F23"/>
    <w:rsid w:val="00307ADD"/>
    <w:rsid w:val="00307EFC"/>
    <w:rsid w:val="003127F3"/>
    <w:rsid w:val="0031305E"/>
    <w:rsid w:val="003147B5"/>
    <w:rsid w:val="0032151C"/>
    <w:rsid w:val="00323B74"/>
    <w:rsid w:val="0033499D"/>
    <w:rsid w:val="003349C6"/>
    <w:rsid w:val="00336108"/>
    <w:rsid w:val="00341AD7"/>
    <w:rsid w:val="003471B9"/>
    <w:rsid w:val="0035198A"/>
    <w:rsid w:val="003530D7"/>
    <w:rsid w:val="003540ED"/>
    <w:rsid w:val="00356321"/>
    <w:rsid w:val="00361281"/>
    <w:rsid w:val="003637A7"/>
    <w:rsid w:val="0036703B"/>
    <w:rsid w:val="00370ACF"/>
    <w:rsid w:val="00371545"/>
    <w:rsid w:val="0037439E"/>
    <w:rsid w:val="003763E3"/>
    <w:rsid w:val="0037660D"/>
    <w:rsid w:val="003836DC"/>
    <w:rsid w:val="0039259F"/>
    <w:rsid w:val="00393EEE"/>
    <w:rsid w:val="00397E16"/>
    <w:rsid w:val="003A0827"/>
    <w:rsid w:val="003A2F27"/>
    <w:rsid w:val="003A704E"/>
    <w:rsid w:val="003B0978"/>
    <w:rsid w:val="003B6361"/>
    <w:rsid w:val="003C030D"/>
    <w:rsid w:val="003C50A6"/>
    <w:rsid w:val="003C6051"/>
    <w:rsid w:val="003D072E"/>
    <w:rsid w:val="003D0BC7"/>
    <w:rsid w:val="003D3607"/>
    <w:rsid w:val="003D3C78"/>
    <w:rsid w:val="003D4C8A"/>
    <w:rsid w:val="003E0FE8"/>
    <w:rsid w:val="003E27C1"/>
    <w:rsid w:val="003E27EC"/>
    <w:rsid w:val="003F04B0"/>
    <w:rsid w:val="003F1E5C"/>
    <w:rsid w:val="00400A81"/>
    <w:rsid w:val="004039A7"/>
    <w:rsid w:val="004110CE"/>
    <w:rsid w:val="004210A3"/>
    <w:rsid w:val="00421D88"/>
    <w:rsid w:val="0042428D"/>
    <w:rsid w:val="00427262"/>
    <w:rsid w:val="004305A6"/>
    <w:rsid w:val="00430F80"/>
    <w:rsid w:val="0045282F"/>
    <w:rsid w:val="00460B80"/>
    <w:rsid w:val="0046234B"/>
    <w:rsid w:val="00463068"/>
    <w:rsid w:val="0047121A"/>
    <w:rsid w:val="00471C02"/>
    <w:rsid w:val="00472F85"/>
    <w:rsid w:val="00473BB5"/>
    <w:rsid w:val="00475665"/>
    <w:rsid w:val="00475E6B"/>
    <w:rsid w:val="0048054B"/>
    <w:rsid w:val="004870BB"/>
    <w:rsid w:val="00490E28"/>
    <w:rsid w:val="004931FF"/>
    <w:rsid w:val="004A2108"/>
    <w:rsid w:val="004A2D0E"/>
    <w:rsid w:val="004A58F7"/>
    <w:rsid w:val="004A6CDA"/>
    <w:rsid w:val="004A6D25"/>
    <w:rsid w:val="004B15A6"/>
    <w:rsid w:val="004B7CEC"/>
    <w:rsid w:val="004C0643"/>
    <w:rsid w:val="004C0D31"/>
    <w:rsid w:val="004C5658"/>
    <w:rsid w:val="004D04EA"/>
    <w:rsid w:val="004D0DBC"/>
    <w:rsid w:val="004D4875"/>
    <w:rsid w:val="004D4E2A"/>
    <w:rsid w:val="004E0062"/>
    <w:rsid w:val="004E211B"/>
    <w:rsid w:val="004E217B"/>
    <w:rsid w:val="004E4A5B"/>
    <w:rsid w:val="004E6F01"/>
    <w:rsid w:val="004E7F80"/>
    <w:rsid w:val="004F482E"/>
    <w:rsid w:val="004F74FF"/>
    <w:rsid w:val="004F750E"/>
    <w:rsid w:val="00503EBD"/>
    <w:rsid w:val="00511A58"/>
    <w:rsid w:val="00511D6B"/>
    <w:rsid w:val="00513C26"/>
    <w:rsid w:val="0052098E"/>
    <w:rsid w:val="00520C49"/>
    <w:rsid w:val="00524C5B"/>
    <w:rsid w:val="00527D26"/>
    <w:rsid w:val="00530091"/>
    <w:rsid w:val="00534E78"/>
    <w:rsid w:val="00536EF3"/>
    <w:rsid w:val="005401A7"/>
    <w:rsid w:val="00542F2F"/>
    <w:rsid w:val="00546435"/>
    <w:rsid w:val="0055021E"/>
    <w:rsid w:val="005523A8"/>
    <w:rsid w:val="005553CD"/>
    <w:rsid w:val="005562F4"/>
    <w:rsid w:val="00561DB0"/>
    <w:rsid w:val="00566E81"/>
    <w:rsid w:val="0057194A"/>
    <w:rsid w:val="00572C59"/>
    <w:rsid w:val="005730BC"/>
    <w:rsid w:val="00573893"/>
    <w:rsid w:val="00575F56"/>
    <w:rsid w:val="00576CA0"/>
    <w:rsid w:val="0058543B"/>
    <w:rsid w:val="005866B8"/>
    <w:rsid w:val="00587455"/>
    <w:rsid w:val="005874C1"/>
    <w:rsid w:val="0059201C"/>
    <w:rsid w:val="005933EC"/>
    <w:rsid w:val="00593EE5"/>
    <w:rsid w:val="005949DF"/>
    <w:rsid w:val="005A283A"/>
    <w:rsid w:val="005A4A44"/>
    <w:rsid w:val="005A672B"/>
    <w:rsid w:val="005B0968"/>
    <w:rsid w:val="005B27F1"/>
    <w:rsid w:val="005B57A8"/>
    <w:rsid w:val="005B57B9"/>
    <w:rsid w:val="005B6282"/>
    <w:rsid w:val="005B6485"/>
    <w:rsid w:val="005C0744"/>
    <w:rsid w:val="005D2553"/>
    <w:rsid w:val="005D4B94"/>
    <w:rsid w:val="005D566F"/>
    <w:rsid w:val="005E1834"/>
    <w:rsid w:val="005E19EF"/>
    <w:rsid w:val="005E6296"/>
    <w:rsid w:val="005F3ACA"/>
    <w:rsid w:val="005F61E0"/>
    <w:rsid w:val="00600E47"/>
    <w:rsid w:val="00610EC7"/>
    <w:rsid w:val="006166BD"/>
    <w:rsid w:val="00616779"/>
    <w:rsid w:val="00617D59"/>
    <w:rsid w:val="00617F92"/>
    <w:rsid w:val="006216D4"/>
    <w:rsid w:val="00621CB2"/>
    <w:rsid w:val="00622747"/>
    <w:rsid w:val="0062571C"/>
    <w:rsid w:val="006257F7"/>
    <w:rsid w:val="006277E5"/>
    <w:rsid w:val="006346C3"/>
    <w:rsid w:val="00636DC4"/>
    <w:rsid w:val="00644B34"/>
    <w:rsid w:val="00645E27"/>
    <w:rsid w:val="0064660B"/>
    <w:rsid w:val="00655130"/>
    <w:rsid w:val="006553E7"/>
    <w:rsid w:val="00657977"/>
    <w:rsid w:val="0066024C"/>
    <w:rsid w:val="006624E5"/>
    <w:rsid w:val="00662738"/>
    <w:rsid w:val="0067058E"/>
    <w:rsid w:val="00670BF9"/>
    <w:rsid w:val="00671A8B"/>
    <w:rsid w:val="00677FE6"/>
    <w:rsid w:val="00680B3C"/>
    <w:rsid w:val="00683DAA"/>
    <w:rsid w:val="00687738"/>
    <w:rsid w:val="0069020B"/>
    <w:rsid w:val="006B3C73"/>
    <w:rsid w:val="006B4009"/>
    <w:rsid w:val="006B6081"/>
    <w:rsid w:val="006B7242"/>
    <w:rsid w:val="006C1077"/>
    <w:rsid w:val="006C44C5"/>
    <w:rsid w:val="006C723D"/>
    <w:rsid w:val="006D05AB"/>
    <w:rsid w:val="006D6117"/>
    <w:rsid w:val="006D7AF5"/>
    <w:rsid w:val="006E0670"/>
    <w:rsid w:val="006E1B76"/>
    <w:rsid w:val="006E42B6"/>
    <w:rsid w:val="006E6744"/>
    <w:rsid w:val="006F0883"/>
    <w:rsid w:val="006F1045"/>
    <w:rsid w:val="006F41D0"/>
    <w:rsid w:val="006F42FE"/>
    <w:rsid w:val="006F6522"/>
    <w:rsid w:val="006F7281"/>
    <w:rsid w:val="006F7CDE"/>
    <w:rsid w:val="006F7D9B"/>
    <w:rsid w:val="00701A47"/>
    <w:rsid w:val="00702A4C"/>
    <w:rsid w:val="00704644"/>
    <w:rsid w:val="00707E40"/>
    <w:rsid w:val="00716A46"/>
    <w:rsid w:val="007176E7"/>
    <w:rsid w:val="0072171A"/>
    <w:rsid w:val="0072450D"/>
    <w:rsid w:val="0072460A"/>
    <w:rsid w:val="00727E3F"/>
    <w:rsid w:val="00732BCC"/>
    <w:rsid w:val="007332C5"/>
    <w:rsid w:val="00733DA4"/>
    <w:rsid w:val="00736287"/>
    <w:rsid w:val="007378A5"/>
    <w:rsid w:val="00740DBE"/>
    <w:rsid w:val="00740FD2"/>
    <w:rsid w:val="00742DBC"/>
    <w:rsid w:val="007442FF"/>
    <w:rsid w:val="007457CE"/>
    <w:rsid w:val="00750773"/>
    <w:rsid w:val="007519CB"/>
    <w:rsid w:val="00751EA2"/>
    <w:rsid w:val="0075218F"/>
    <w:rsid w:val="00753C1F"/>
    <w:rsid w:val="00755008"/>
    <w:rsid w:val="007609D7"/>
    <w:rsid w:val="00761098"/>
    <w:rsid w:val="00761CCC"/>
    <w:rsid w:val="00764D6F"/>
    <w:rsid w:val="00767AE8"/>
    <w:rsid w:val="007707A3"/>
    <w:rsid w:val="007718C9"/>
    <w:rsid w:val="007728C8"/>
    <w:rsid w:val="00777A7C"/>
    <w:rsid w:val="00780CFB"/>
    <w:rsid w:val="007832BC"/>
    <w:rsid w:val="00785430"/>
    <w:rsid w:val="00786485"/>
    <w:rsid w:val="00786B1D"/>
    <w:rsid w:val="00792F0D"/>
    <w:rsid w:val="007A08B4"/>
    <w:rsid w:val="007A4728"/>
    <w:rsid w:val="007A5726"/>
    <w:rsid w:val="007A6F38"/>
    <w:rsid w:val="007A7F49"/>
    <w:rsid w:val="007B1391"/>
    <w:rsid w:val="007B37BE"/>
    <w:rsid w:val="007B6CD1"/>
    <w:rsid w:val="007B6FDC"/>
    <w:rsid w:val="007B705C"/>
    <w:rsid w:val="007B78CA"/>
    <w:rsid w:val="007C4156"/>
    <w:rsid w:val="007C582D"/>
    <w:rsid w:val="007D0BBE"/>
    <w:rsid w:val="007D5B68"/>
    <w:rsid w:val="007D6402"/>
    <w:rsid w:val="007D664F"/>
    <w:rsid w:val="007D6C36"/>
    <w:rsid w:val="007E3094"/>
    <w:rsid w:val="007E52D3"/>
    <w:rsid w:val="007E53CF"/>
    <w:rsid w:val="007E64DF"/>
    <w:rsid w:val="007E74DB"/>
    <w:rsid w:val="007E77AA"/>
    <w:rsid w:val="007F0A92"/>
    <w:rsid w:val="007F16C1"/>
    <w:rsid w:val="007F1DBC"/>
    <w:rsid w:val="007F4019"/>
    <w:rsid w:val="007F6698"/>
    <w:rsid w:val="007F76DE"/>
    <w:rsid w:val="0081015C"/>
    <w:rsid w:val="00810794"/>
    <w:rsid w:val="00811465"/>
    <w:rsid w:val="00814851"/>
    <w:rsid w:val="00820DDF"/>
    <w:rsid w:val="008238CE"/>
    <w:rsid w:val="008243B3"/>
    <w:rsid w:val="00825484"/>
    <w:rsid w:val="00827575"/>
    <w:rsid w:val="0082767E"/>
    <w:rsid w:val="0083412B"/>
    <w:rsid w:val="00834711"/>
    <w:rsid w:val="00834F67"/>
    <w:rsid w:val="00836A67"/>
    <w:rsid w:val="00856E44"/>
    <w:rsid w:val="008570AF"/>
    <w:rsid w:val="008601EA"/>
    <w:rsid w:val="00875858"/>
    <w:rsid w:val="00875F9C"/>
    <w:rsid w:val="008818BA"/>
    <w:rsid w:val="008853E8"/>
    <w:rsid w:val="00893E75"/>
    <w:rsid w:val="008A0F31"/>
    <w:rsid w:val="008A7925"/>
    <w:rsid w:val="008B05B8"/>
    <w:rsid w:val="008C7467"/>
    <w:rsid w:val="008D00BD"/>
    <w:rsid w:val="008D0456"/>
    <w:rsid w:val="008D04C6"/>
    <w:rsid w:val="008D1314"/>
    <w:rsid w:val="008D3737"/>
    <w:rsid w:val="008D44BD"/>
    <w:rsid w:val="008D5818"/>
    <w:rsid w:val="008D58DA"/>
    <w:rsid w:val="008D645D"/>
    <w:rsid w:val="008D65A9"/>
    <w:rsid w:val="008D7A47"/>
    <w:rsid w:val="008E1AD4"/>
    <w:rsid w:val="008E50FE"/>
    <w:rsid w:val="008E67EC"/>
    <w:rsid w:val="008F24C2"/>
    <w:rsid w:val="008F6C45"/>
    <w:rsid w:val="009005B0"/>
    <w:rsid w:val="00901A81"/>
    <w:rsid w:val="0090357C"/>
    <w:rsid w:val="00917DB5"/>
    <w:rsid w:val="0092520B"/>
    <w:rsid w:val="0092599E"/>
    <w:rsid w:val="009265D1"/>
    <w:rsid w:val="00930019"/>
    <w:rsid w:val="00931898"/>
    <w:rsid w:val="009319DB"/>
    <w:rsid w:val="0093262F"/>
    <w:rsid w:val="00935348"/>
    <w:rsid w:val="009414AB"/>
    <w:rsid w:val="009417A8"/>
    <w:rsid w:val="009428EB"/>
    <w:rsid w:val="009432CE"/>
    <w:rsid w:val="00943B86"/>
    <w:rsid w:val="0094717B"/>
    <w:rsid w:val="00947C3D"/>
    <w:rsid w:val="00947D9B"/>
    <w:rsid w:val="0095051F"/>
    <w:rsid w:val="009578F0"/>
    <w:rsid w:val="0096098E"/>
    <w:rsid w:val="00960D23"/>
    <w:rsid w:val="00962034"/>
    <w:rsid w:val="00963167"/>
    <w:rsid w:val="009849A3"/>
    <w:rsid w:val="0098502E"/>
    <w:rsid w:val="00985379"/>
    <w:rsid w:val="00985AAB"/>
    <w:rsid w:val="0098796F"/>
    <w:rsid w:val="0099187E"/>
    <w:rsid w:val="00993E72"/>
    <w:rsid w:val="00994B46"/>
    <w:rsid w:val="009975BB"/>
    <w:rsid w:val="009A15D1"/>
    <w:rsid w:val="009A1EAB"/>
    <w:rsid w:val="009A22E5"/>
    <w:rsid w:val="009A5288"/>
    <w:rsid w:val="009A6E72"/>
    <w:rsid w:val="009A7E7F"/>
    <w:rsid w:val="009B24E1"/>
    <w:rsid w:val="009B5551"/>
    <w:rsid w:val="009B6C5F"/>
    <w:rsid w:val="009C140C"/>
    <w:rsid w:val="009C501F"/>
    <w:rsid w:val="009C5577"/>
    <w:rsid w:val="009C69B0"/>
    <w:rsid w:val="009D0C53"/>
    <w:rsid w:val="009D20D3"/>
    <w:rsid w:val="009D5795"/>
    <w:rsid w:val="009E21C0"/>
    <w:rsid w:val="009F0453"/>
    <w:rsid w:val="009F0A6D"/>
    <w:rsid w:val="009F22A5"/>
    <w:rsid w:val="009F630E"/>
    <w:rsid w:val="00A030A1"/>
    <w:rsid w:val="00A04642"/>
    <w:rsid w:val="00A07FDA"/>
    <w:rsid w:val="00A14124"/>
    <w:rsid w:val="00A17E2B"/>
    <w:rsid w:val="00A20BFC"/>
    <w:rsid w:val="00A21893"/>
    <w:rsid w:val="00A23852"/>
    <w:rsid w:val="00A23C20"/>
    <w:rsid w:val="00A259A0"/>
    <w:rsid w:val="00A30FAF"/>
    <w:rsid w:val="00A322C2"/>
    <w:rsid w:val="00A37001"/>
    <w:rsid w:val="00A3749C"/>
    <w:rsid w:val="00A37952"/>
    <w:rsid w:val="00A46620"/>
    <w:rsid w:val="00A47722"/>
    <w:rsid w:val="00A505D0"/>
    <w:rsid w:val="00A50798"/>
    <w:rsid w:val="00A50A90"/>
    <w:rsid w:val="00A52011"/>
    <w:rsid w:val="00A53DEB"/>
    <w:rsid w:val="00A54400"/>
    <w:rsid w:val="00A55F0E"/>
    <w:rsid w:val="00A5703A"/>
    <w:rsid w:val="00A615BF"/>
    <w:rsid w:val="00A61797"/>
    <w:rsid w:val="00A61935"/>
    <w:rsid w:val="00A629B6"/>
    <w:rsid w:val="00A679BA"/>
    <w:rsid w:val="00A721BE"/>
    <w:rsid w:val="00A72FF4"/>
    <w:rsid w:val="00A807FE"/>
    <w:rsid w:val="00A9351A"/>
    <w:rsid w:val="00A9450A"/>
    <w:rsid w:val="00A9769B"/>
    <w:rsid w:val="00AA0AB5"/>
    <w:rsid w:val="00AA1A28"/>
    <w:rsid w:val="00AA1EAF"/>
    <w:rsid w:val="00AA7CFD"/>
    <w:rsid w:val="00AB165C"/>
    <w:rsid w:val="00AB3F79"/>
    <w:rsid w:val="00AB46FD"/>
    <w:rsid w:val="00AB512C"/>
    <w:rsid w:val="00AB7538"/>
    <w:rsid w:val="00AB7F0A"/>
    <w:rsid w:val="00AC14F4"/>
    <w:rsid w:val="00AC2A67"/>
    <w:rsid w:val="00AD05CE"/>
    <w:rsid w:val="00AD299A"/>
    <w:rsid w:val="00AD7D43"/>
    <w:rsid w:val="00AE4047"/>
    <w:rsid w:val="00B0040B"/>
    <w:rsid w:val="00B04B7E"/>
    <w:rsid w:val="00B12051"/>
    <w:rsid w:val="00B14EC7"/>
    <w:rsid w:val="00B21C5C"/>
    <w:rsid w:val="00B23EFB"/>
    <w:rsid w:val="00B251C5"/>
    <w:rsid w:val="00B26B36"/>
    <w:rsid w:val="00B35A8F"/>
    <w:rsid w:val="00B3784F"/>
    <w:rsid w:val="00B45C00"/>
    <w:rsid w:val="00B46216"/>
    <w:rsid w:val="00B514D3"/>
    <w:rsid w:val="00B526B6"/>
    <w:rsid w:val="00B6150C"/>
    <w:rsid w:val="00B6670F"/>
    <w:rsid w:val="00B66FD0"/>
    <w:rsid w:val="00B70788"/>
    <w:rsid w:val="00B77087"/>
    <w:rsid w:val="00B771FC"/>
    <w:rsid w:val="00B80C6E"/>
    <w:rsid w:val="00B812CD"/>
    <w:rsid w:val="00B84256"/>
    <w:rsid w:val="00B918A3"/>
    <w:rsid w:val="00B94386"/>
    <w:rsid w:val="00B95A3F"/>
    <w:rsid w:val="00B95A78"/>
    <w:rsid w:val="00BA3304"/>
    <w:rsid w:val="00BA6F1D"/>
    <w:rsid w:val="00BA7E22"/>
    <w:rsid w:val="00BB1835"/>
    <w:rsid w:val="00BB60BB"/>
    <w:rsid w:val="00BC5E26"/>
    <w:rsid w:val="00BC6B4D"/>
    <w:rsid w:val="00BD4D71"/>
    <w:rsid w:val="00BD5434"/>
    <w:rsid w:val="00BD5AF0"/>
    <w:rsid w:val="00BD6D58"/>
    <w:rsid w:val="00BD7863"/>
    <w:rsid w:val="00BE0E16"/>
    <w:rsid w:val="00BE2614"/>
    <w:rsid w:val="00BE2CC0"/>
    <w:rsid w:val="00BE2F63"/>
    <w:rsid w:val="00BE4FB5"/>
    <w:rsid w:val="00BE7073"/>
    <w:rsid w:val="00BF02E2"/>
    <w:rsid w:val="00BF0BF9"/>
    <w:rsid w:val="00BF0CF7"/>
    <w:rsid w:val="00BF1433"/>
    <w:rsid w:val="00BF6EA4"/>
    <w:rsid w:val="00BF6EE9"/>
    <w:rsid w:val="00C0017F"/>
    <w:rsid w:val="00C0138C"/>
    <w:rsid w:val="00C013DF"/>
    <w:rsid w:val="00C02A84"/>
    <w:rsid w:val="00C03DA8"/>
    <w:rsid w:val="00C057CC"/>
    <w:rsid w:val="00C113B2"/>
    <w:rsid w:val="00C13EF0"/>
    <w:rsid w:val="00C15AA5"/>
    <w:rsid w:val="00C17101"/>
    <w:rsid w:val="00C229C9"/>
    <w:rsid w:val="00C2474F"/>
    <w:rsid w:val="00C24F11"/>
    <w:rsid w:val="00C3158D"/>
    <w:rsid w:val="00C318BB"/>
    <w:rsid w:val="00C3283C"/>
    <w:rsid w:val="00C35D70"/>
    <w:rsid w:val="00C35F41"/>
    <w:rsid w:val="00C44588"/>
    <w:rsid w:val="00C4579A"/>
    <w:rsid w:val="00C46DC7"/>
    <w:rsid w:val="00C47705"/>
    <w:rsid w:val="00C57E1D"/>
    <w:rsid w:val="00C600BA"/>
    <w:rsid w:val="00C62DE9"/>
    <w:rsid w:val="00C66E32"/>
    <w:rsid w:val="00C708C3"/>
    <w:rsid w:val="00C73AC5"/>
    <w:rsid w:val="00C82A09"/>
    <w:rsid w:val="00C838E9"/>
    <w:rsid w:val="00C85B4D"/>
    <w:rsid w:val="00C87FAD"/>
    <w:rsid w:val="00C900C2"/>
    <w:rsid w:val="00C91643"/>
    <w:rsid w:val="00C934C5"/>
    <w:rsid w:val="00CA1FB7"/>
    <w:rsid w:val="00CA5A4F"/>
    <w:rsid w:val="00CA63C9"/>
    <w:rsid w:val="00CA6F88"/>
    <w:rsid w:val="00CB0D39"/>
    <w:rsid w:val="00CB150C"/>
    <w:rsid w:val="00CB4AEA"/>
    <w:rsid w:val="00CC1EE6"/>
    <w:rsid w:val="00CC22E9"/>
    <w:rsid w:val="00CC317F"/>
    <w:rsid w:val="00CD11FD"/>
    <w:rsid w:val="00CD291C"/>
    <w:rsid w:val="00CD4CD4"/>
    <w:rsid w:val="00CD55C8"/>
    <w:rsid w:val="00CD7427"/>
    <w:rsid w:val="00CE0A5C"/>
    <w:rsid w:val="00CE504F"/>
    <w:rsid w:val="00CE5C20"/>
    <w:rsid w:val="00CE6659"/>
    <w:rsid w:val="00CE6FF3"/>
    <w:rsid w:val="00CF38B0"/>
    <w:rsid w:val="00D026AD"/>
    <w:rsid w:val="00D033ED"/>
    <w:rsid w:val="00D03FF6"/>
    <w:rsid w:val="00D12AD6"/>
    <w:rsid w:val="00D14A66"/>
    <w:rsid w:val="00D15232"/>
    <w:rsid w:val="00D211A6"/>
    <w:rsid w:val="00D255D2"/>
    <w:rsid w:val="00D265F2"/>
    <w:rsid w:val="00D272F3"/>
    <w:rsid w:val="00D362D2"/>
    <w:rsid w:val="00D363AF"/>
    <w:rsid w:val="00D3674A"/>
    <w:rsid w:val="00D468B5"/>
    <w:rsid w:val="00D5112F"/>
    <w:rsid w:val="00D57CEB"/>
    <w:rsid w:val="00D60DD0"/>
    <w:rsid w:val="00D61537"/>
    <w:rsid w:val="00D61C69"/>
    <w:rsid w:val="00D634B8"/>
    <w:rsid w:val="00D651F1"/>
    <w:rsid w:val="00D65B51"/>
    <w:rsid w:val="00D71D4A"/>
    <w:rsid w:val="00D75B37"/>
    <w:rsid w:val="00D82E29"/>
    <w:rsid w:val="00D93142"/>
    <w:rsid w:val="00DA17D7"/>
    <w:rsid w:val="00DA1F28"/>
    <w:rsid w:val="00DA2766"/>
    <w:rsid w:val="00DA6CC2"/>
    <w:rsid w:val="00DA6E3F"/>
    <w:rsid w:val="00DA6EC5"/>
    <w:rsid w:val="00DA78F6"/>
    <w:rsid w:val="00DB38F1"/>
    <w:rsid w:val="00DB5303"/>
    <w:rsid w:val="00DB65BB"/>
    <w:rsid w:val="00DC2CE7"/>
    <w:rsid w:val="00DD1E3A"/>
    <w:rsid w:val="00DD321C"/>
    <w:rsid w:val="00DD5F27"/>
    <w:rsid w:val="00DD6719"/>
    <w:rsid w:val="00DE1582"/>
    <w:rsid w:val="00DE1BA7"/>
    <w:rsid w:val="00DE2E20"/>
    <w:rsid w:val="00DE3210"/>
    <w:rsid w:val="00DE3F96"/>
    <w:rsid w:val="00DF2843"/>
    <w:rsid w:val="00DF420E"/>
    <w:rsid w:val="00DF53E2"/>
    <w:rsid w:val="00E00BF1"/>
    <w:rsid w:val="00E068C8"/>
    <w:rsid w:val="00E12C8A"/>
    <w:rsid w:val="00E1352D"/>
    <w:rsid w:val="00E14534"/>
    <w:rsid w:val="00E16D69"/>
    <w:rsid w:val="00E208B6"/>
    <w:rsid w:val="00E212F3"/>
    <w:rsid w:val="00E22DF5"/>
    <w:rsid w:val="00E253CE"/>
    <w:rsid w:val="00E26857"/>
    <w:rsid w:val="00E30209"/>
    <w:rsid w:val="00E40D68"/>
    <w:rsid w:val="00E424BB"/>
    <w:rsid w:val="00E43DBF"/>
    <w:rsid w:val="00E45C1A"/>
    <w:rsid w:val="00E4723F"/>
    <w:rsid w:val="00E542DD"/>
    <w:rsid w:val="00E663B2"/>
    <w:rsid w:val="00E66CAB"/>
    <w:rsid w:val="00E678EA"/>
    <w:rsid w:val="00E70DAB"/>
    <w:rsid w:val="00E70E2D"/>
    <w:rsid w:val="00E722E0"/>
    <w:rsid w:val="00E73D20"/>
    <w:rsid w:val="00E7491E"/>
    <w:rsid w:val="00E74A91"/>
    <w:rsid w:val="00E7657B"/>
    <w:rsid w:val="00E80C86"/>
    <w:rsid w:val="00E83324"/>
    <w:rsid w:val="00E83715"/>
    <w:rsid w:val="00E84512"/>
    <w:rsid w:val="00E86460"/>
    <w:rsid w:val="00E8701C"/>
    <w:rsid w:val="00E9244D"/>
    <w:rsid w:val="00E957A5"/>
    <w:rsid w:val="00EA05D6"/>
    <w:rsid w:val="00EA2A6A"/>
    <w:rsid w:val="00EA407F"/>
    <w:rsid w:val="00EA71A6"/>
    <w:rsid w:val="00EA7A34"/>
    <w:rsid w:val="00EA7DF4"/>
    <w:rsid w:val="00EB05BE"/>
    <w:rsid w:val="00EB08AC"/>
    <w:rsid w:val="00EB62CC"/>
    <w:rsid w:val="00EB751B"/>
    <w:rsid w:val="00EC0AC2"/>
    <w:rsid w:val="00EC7EA6"/>
    <w:rsid w:val="00ED0A4D"/>
    <w:rsid w:val="00ED3824"/>
    <w:rsid w:val="00EE288E"/>
    <w:rsid w:val="00EE4116"/>
    <w:rsid w:val="00EE5D4A"/>
    <w:rsid w:val="00EF4E48"/>
    <w:rsid w:val="00EF4EF8"/>
    <w:rsid w:val="00EF7028"/>
    <w:rsid w:val="00EF7C1D"/>
    <w:rsid w:val="00F02CA1"/>
    <w:rsid w:val="00F03CAC"/>
    <w:rsid w:val="00F04890"/>
    <w:rsid w:val="00F06C92"/>
    <w:rsid w:val="00F108E9"/>
    <w:rsid w:val="00F1251A"/>
    <w:rsid w:val="00F12CE1"/>
    <w:rsid w:val="00F15F2C"/>
    <w:rsid w:val="00F2251F"/>
    <w:rsid w:val="00F22696"/>
    <w:rsid w:val="00F23552"/>
    <w:rsid w:val="00F26DB7"/>
    <w:rsid w:val="00F33D0B"/>
    <w:rsid w:val="00F349A6"/>
    <w:rsid w:val="00F361FD"/>
    <w:rsid w:val="00F4281C"/>
    <w:rsid w:val="00F50672"/>
    <w:rsid w:val="00F52F38"/>
    <w:rsid w:val="00F53F16"/>
    <w:rsid w:val="00F61793"/>
    <w:rsid w:val="00F67E40"/>
    <w:rsid w:val="00F70043"/>
    <w:rsid w:val="00F74060"/>
    <w:rsid w:val="00F74F02"/>
    <w:rsid w:val="00F75BFD"/>
    <w:rsid w:val="00F77C1D"/>
    <w:rsid w:val="00F80C39"/>
    <w:rsid w:val="00F824E5"/>
    <w:rsid w:val="00F85F28"/>
    <w:rsid w:val="00F912A6"/>
    <w:rsid w:val="00FA0393"/>
    <w:rsid w:val="00FA6443"/>
    <w:rsid w:val="00FB227F"/>
    <w:rsid w:val="00FB2FE3"/>
    <w:rsid w:val="00FB3C29"/>
    <w:rsid w:val="00FB421B"/>
    <w:rsid w:val="00FC0D30"/>
    <w:rsid w:val="00FC1C6C"/>
    <w:rsid w:val="00FC4B39"/>
    <w:rsid w:val="00FD407F"/>
    <w:rsid w:val="00FE0DD3"/>
    <w:rsid w:val="00FE3760"/>
    <w:rsid w:val="00FE5D29"/>
    <w:rsid w:val="00FF1106"/>
    <w:rsid w:val="00FF21FC"/>
    <w:rsid w:val="00FF48CC"/>
    <w:rsid w:val="00FF5855"/>
    <w:rsid w:val="00FF77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CA158"/>
  <w15:docId w15:val="{82582651-51FA-42A3-BAB5-53A522CD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242"/>
    <w:pPr>
      <w:ind w:left="720"/>
      <w:contextualSpacing/>
    </w:pPr>
  </w:style>
  <w:style w:type="paragraph" w:styleId="NormalWeb">
    <w:name w:val="Normal (Web)"/>
    <w:basedOn w:val="Normal"/>
    <w:uiPriority w:val="99"/>
    <w:semiHidden/>
    <w:unhideWhenUsed/>
    <w:rsid w:val="006E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E4116"/>
  </w:style>
  <w:style w:type="paragraph" w:styleId="Header">
    <w:name w:val="header"/>
    <w:basedOn w:val="Normal"/>
    <w:link w:val="HeaderChar"/>
    <w:uiPriority w:val="99"/>
    <w:unhideWhenUsed/>
    <w:rsid w:val="00EE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16"/>
  </w:style>
  <w:style w:type="paragraph" w:styleId="Footer">
    <w:name w:val="footer"/>
    <w:basedOn w:val="Normal"/>
    <w:link w:val="FooterChar"/>
    <w:uiPriority w:val="99"/>
    <w:unhideWhenUsed/>
    <w:rsid w:val="00EE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16"/>
  </w:style>
  <w:style w:type="paragraph" w:styleId="BalloonText">
    <w:name w:val="Balloon Text"/>
    <w:basedOn w:val="Normal"/>
    <w:link w:val="BalloonTextChar"/>
    <w:uiPriority w:val="99"/>
    <w:semiHidden/>
    <w:unhideWhenUsed/>
    <w:rsid w:val="00EB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1B"/>
    <w:rPr>
      <w:rFonts w:ascii="Tahoma" w:hAnsi="Tahoma" w:cs="Tahoma"/>
      <w:sz w:val="16"/>
      <w:szCs w:val="16"/>
    </w:rPr>
  </w:style>
  <w:style w:type="character" w:styleId="CommentReference">
    <w:name w:val="annotation reference"/>
    <w:basedOn w:val="DefaultParagraphFont"/>
    <w:uiPriority w:val="99"/>
    <w:semiHidden/>
    <w:unhideWhenUsed/>
    <w:rsid w:val="00E7491E"/>
    <w:rPr>
      <w:sz w:val="16"/>
      <w:szCs w:val="16"/>
    </w:rPr>
  </w:style>
  <w:style w:type="paragraph" w:styleId="CommentText">
    <w:name w:val="annotation text"/>
    <w:basedOn w:val="Normal"/>
    <w:link w:val="CommentTextChar"/>
    <w:uiPriority w:val="99"/>
    <w:semiHidden/>
    <w:unhideWhenUsed/>
    <w:rsid w:val="00E7491E"/>
    <w:pPr>
      <w:spacing w:line="240" w:lineRule="auto"/>
    </w:pPr>
    <w:rPr>
      <w:sz w:val="20"/>
      <w:szCs w:val="20"/>
    </w:rPr>
  </w:style>
  <w:style w:type="character" w:customStyle="1" w:styleId="CommentTextChar">
    <w:name w:val="Comment Text Char"/>
    <w:basedOn w:val="DefaultParagraphFont"/>
    <w:link w:val="CommentText"/>
    <w:uiPriority w:val="99"/>
    <w:semiHidden/>
    <w:rsid w:val="00E7491E"/>
    <w:rPr>
      <w:sz w:val="20"/>
      <w:szCs w:val="20"/>
    </w:rPr>
  </w:style>
  <w:style w:type="paragraph" w:styleId="CommentSubject">
    <w:name w:val="annotation subject"/>
    <w:basedOn w:val="CommentText"/>
    <w:next w:val="CommentText"/>
    <w:link w:val="CommentSubjectChar"/>
    <w:uiPriority w:val="99"/>
    <w:semiHidden/>
    <w:unhideWhenUsed/>
    <w:rsid w:val="00E7491E"/>
    <w:rPr>
      <w:b/>
      <w:bCs/>
    </w:rPr>
  </w:style>
  <w:style w:type="character" w:customStyle="1" w:styleId="CommentSubjectChar">
    <w:name w:val="Comment Subject Char"/>
    <w:basedOn w:val="CommentTextChar"/>
    <w:link w:val="CommentSubject"/>
    <w:uiPriority w:val="99"/>
    <w:semiHidden/>
    <w:rsid w:val="00E7491E"/>
    <w:rPr>
      <w:b/>
      <w:bCs/>
      <w:sz w:val="20"/>
      <w:szCs w:val="20"/>
    </w:rPr>
  </w:style>
  <w:style w:type="paragraph" w:customStyle="1" w:styleId="EndNoteBibliographyTitle">
    <w:name w:val="EndNote Bibliography Title"/>
    <w:basedOn w:val="Normal"/>
    <w:link w:val="EndNoteBibliographyTitleChar"/>
    <w:rsid w:val="00B526B6"/>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B526B6"/>
  </w:style>
  <w:style w:type="character" w:customStyle="1" w:styleId="EndNoteBibliographyTitleChar">
    <w:name w:val="EndNote Bibliography Title Char"/>
    <w:basedOn w:val="ListParagraphChar"/>
    <w:link w:val="EndNoteBibliographyTitle"/>
    <w:rsid w:val="00B526B6"/>
    <w:rPr>
      <w:rFonts w:ascii="Calibri" w:hAnsi="Calibri" w:cs="Calibri"/>
      <w:noProof/>
      <w:lang w:val="en-US"/>
    </w:rPr>
  </w:style>
  <w:style w:type="paragraph" w:customStyle="1" w:styleId="EndNoteBibliography">
    <w:name w:val="EndNote Bibliography"/>
    <w:basedOn w:val="Normal"/>
    <w:link w:val="EndNoteBibliographyChar"/>
    <w:rsid w:val="00B526B6"/>
    <w:p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B526B6"/>
    <w:rPr>
      <w:rFonts w:ascii="Calibri" w:hAnsi="Calibri" w:cs="Calibri"/>
      <w:noProof/>
      <w:lang w:val="en-US"/>
    </w:rPr>
  </w:style>
  <w:style w:type="character" w:styleId="Hyperlink">
    <w:name w:val="Hyperlink"/>
    <w:basedOn w:val="DefaultParagraphFont"/>
    <w:uiPriority w:val="99"/>
    <w:unhideWhenUsed/>
    <w:rsid w:val="00733DA4"/>
    <w:rPr>
      <w:color w:val="0563C1" w:themeColor="hyperlink"/>
      <w:u w:val="single"/>
    </w:rPr>
  </w:style>
  <w:style w:type="character" w:customStyle="1" w:styleId="UnresolvedMention1">
    <w:name w:val="Unresolved Mention1"/>
    <w:basedOn w:val="DefaultParagraphFont"/>
    <w:uiPriority w:val="99"/>
    <w:semiHidden/>
    <w:unhideWhenUsed/>
    <w:rsid w:val="00733DA4"/>
    <w:rPr>
      <w:color w:val="808080"/>
      <w:shd w:val="clear" w:color="auto" w:fill="E6E6E6"/>
    </w:rPr>
  </w:style>
  <w:style w:type="paragraph" w:styleId="Revision">
    <w:name w:val="Revision"/>
    <w:hidden/>
    <w:uiPriority w:val="99"/>
    <w:semiHidden/>
    <w:rsid w:val="00827575"/>
    <w:pPr>
      <w:spacing w:after="0" w:line="240" w:lineRule="auto"/>
    </w:pPr>
  </w:style>
  <w:style w:type="paragraph" w:styleId="PlainText">
    <w:name w:val="Plain Text"/>
    <w:basedOn w:val="Normal"/>
    <w:link w:val="PlainTextChar"/>
    <w:uiPriority w:val="99"/>
    <w:unhideWhenUsed/>
    <w:rsid w:val="000F19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19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274">
      <w:bodyDiv w:val="1"/>
      <w:marLeft w:val="0"/>
      <w:marRight w:val="0"/>
      <w:marTop w:val="0"/>
      <w:marBottom w:val="0"/>
      <w:divBdr>
        <w:top w:val="none" w:sz="0" w:space="0" w:color="auto"/>
        <w:left w:val="none" w:sz="0" w:space="0" w:color="auto"/>
        <w:bottom w:val="none" w:sz="0" w:space="0" w:color="auto"/>
        <w:right w:val="none" w:sz="0" w:space="0" w:color="auto"/>
      </w:divBdr>
    </w:div>
    <w:div w:id="58601489">
      <w:bodyDiv w:val="1"/>
      <w:marLeft w:val="0"/>
      <w:marRight w:val="0"/>
      <w:marTop w:val="0"/>
      <w:marBottom w:val="0"/>
      <w:divBdr>
        <w:top w:val="none" w:sz="0" w:space="0" w:color="auto"/>
        <w:left w:val="none" w:sz="0" w:space="0" w:color="auto"/>
        <w:bottom w:val="none" w:sz="0" w:space="0" w:color="auto"/>
        <w:right w:val="none" w:sz="0" w:space="0" w:color="auto"/>
      </w:divBdr>
    </w:div>
    <w:div w:id="77943769">
      <w:bodyDiv w:val="1"/>
      <w:marLeft w:val="0"/>
      <w:marRight w:val="0"/>
      <w:marTop w:val="0"/>
      <w:marBottom w:val="0"/>
      <w:divBdr>
        <w:top w:val="none" w:sz="0" w:space="0" w:color="auto"/>
        <w:left w:val="none" w:sz="0" w:space="0" w:color="auto"/>
        <w:bottom w:val="none" w:sz="0" w:space="0" w:color="auto"/>
        <w:right w:val="none" w:sz="0" w:space="0" w:color="auto"/>
      </w:divBdr>
    </w:div>
    <w:div w:id="112482344">
      <w:bodyDiv w:val="1"/>
      <w:marLeft w:val="0"/>
      <w:marRight w:val="0"/>
      <w:marTop w:val="0"/>
      <w:marBottom w:val="0"/>
      <w:divBdr>
        <w:top w:val="none" w:sz="0" w:space="0" w:color="auto"/>
        <w:left w:val="none" w:sz="0" w:space="0" w:color="auto"/>
        <w:bottom w:val="none" w:sz="0" w:space="0" w:color="auto"/>
        <w:right w:val="none" w:sz="0" w:space="0" w:color="auto"/>
      </w:divBdr>
    </w:div>
    <w:div w:id="113836387">
      <w:bodyDiv w:val="1"/>
      <w:marLeft w:val="0"/>
      <w:marRight w:val="0"/>
      <w:marTop w:val="0"/>
      <w:marBottom w:val="0"/>
      <w:divBdr>
        <w:top w:val="none" w:sz="0" w:space="0" w:color="auto"/>
        <w:left w:val="none" w:sz="0" w:space="0" w:color="auto"/>
        <w:bottom w:val="none" w:sz="0" w:space="0" w:color="auto"/>
        <w:right w:val="none" w:sz="0" w:space="0" w:color="auto"/>
      </w:divBdr>
    </w:div>
    <w:div w:id="287856924">
      <w:bodyDiv w:val="1"/>
      <w:marLeft w:val="0"/>
      <w:marRight w:val="0"/>
      <w:marTop w:val="0"/>
      <w:marBottom w:val="0"/>
      <w:divBdr>
        <w:top w:val="none" w:sz="0" w:space="0" w:color="auto"/>
        <w:left w:val="none" w:sz="0" w:space="0" w:color="auto"/>
        <w:bottom w:val="none" w:sz="0" w:space="0" w:color="auto"/>
        <w:right w:val="none" w:sz="0" w:space="0" w:color="auto"/>
      </w:divBdr>
    </w:div>
    <w:div w:id="364866761">
      <w:bodyDiv w:val="1"/>
      <w:marLeft w:val="0"/>
      <w:marRight w:val="0"/>
      <w:marTop w:val="0"/>
      <w:marBottom w:val="0"/>
      <w:divBdr>
        <w:top w:val="none" w:sz="0" w:space="0" w:color="auto"/>
        <w:left w:val="none" w:sz="0" w:space="0" w:color="auto"/>
        <w:bottom w:val="none" w:sz="0" w:space="0" w:color="auto"/>
        <w:right w:val="none" w:sz="0" w:space="0" w:color="auto"/>
      </w:divBdr>
    </w:div>
    <w:div w:id="459882601">
      <w:bodyDiv w:val="1"/>
      <w:marLeft w:val="0"/>
      <w:marRight w:val="0"/>
      <w:marTop w:val="0"/>
      <w:marBottom w:val="0"/>
      <w:divBdr>
        <w:top w:val="none" w:sz="0" w:space="0" w:color="auto"/>
        <w:left w:val="none" w:sz="0" w:space="0" w:color="auto"/>
        <w:bottom w:val="none" w:sz="0" w:space="0" w:color="auto"/>
        <w:right w:val="none" w:sz="0" w:space="0" w:color="auto"/>
      </w:divBdr>
    </w:div>
    <w:div w:id="488208585">
      <w:bodyDiv w:val="1"/>
      <w:marLeft w:val="0"/>
      <w:marRight w:val="0"/>
      <w:marTop w:val="0"/>
      <w:marBottom w:val="0"/>
      <w:divBdr>
        <w:top w:val="none" w:sz="0" w:space="0" w:color="auto"/>
        <w:left w:val="none" w:sz="0" w:space="0" w:color="auto"/>
        <w:bottom w:val="none" w:sz="0" w:space="0" w:color="auto"/>
        <w:right w:val="none" w:sz="0" w:space="0" w:color="auto"/>
      </w:divBdr>
    </w:div>
    <w:div w:id="515073755">
      <w:bodyDiv w:val="1"/>
      <w:marLeft w:val="0"/>
      <w:marRight w:val="0"/>
      <w:marTop w:val="0"/>
      <w:marBottom w:val="0"/>
      <w:divBdr>
        <w:top w:val="none" w:sz="0" w:space="0" w:color="auto"/>
        <w:left w:val="none" w:sz="0" w:space="0" w:color="auto"/>
        <w:bottom w:val="none" w:sz="0" w:space="0" w:color="auto"/>
        <w:right w:val="none" w:sz="0" w:space="0" w:color="auto"/>
      </w:divBdr>
    </w:div>
    <w:div w:id="556403669">
      <w:bodyDiv w:val="1"/>
      <w:marLeft w:val="0"/>
      <w:marRight w:val="0"/>
      <w:marTop w:val="0"/>
      <w:marBottom w:val="0"/>
      <w:divBdr>
        <w:top w:val="none" w:sz="0" w:space="0" w:color="auto"/>
        <w:left w:val="none" w:sz="0" w:space="0" w:color="auto"/>
        <w:bottom w:val="none" w:sz="0" w:space="0" w:color="auto"/>
        <w:right w:val="none" w:sz="0" w:space="0" w:color="auto"/>
      </w:divBdr>
    </w:div>
    <w:div w:id="642125238">
      <w:bodyDiv w:val="1"/>
      <w:marLeft w:val="0"/>
      <w:marRight w:val="0"/>
      <w:marTop w:val="0"/>
      <w:marBottom w:val="0"/>
      <w:divBdr>
        <w:top w:val="none" w:sz="0" w:space="0" w:color="auto"/>
        <w:left w:val="none" w:sz="0" w:space="0" w:color="auto"/>
        <w:bottom w:val="none" w:sz="0" w:space="0" w:color="auto"/>
        <w:right w:val="none" w:sz="0" w:space="0" w:color="auto"/>
      </w:divBdr>
    </w:div>
    <w:div w:id="823934745">
      <w:bodyDiv w:val="1"/>
      <w:marLeft w:val="0"/>
      <w:marRight w:val="0"/>
      <w:marTop w:val="0"/>
      <w:marBottom w:val="0"/>
      <w:divBdr>
        <w:top w:val="none" w:sz="0" w:space="0" w:color="auto"/>
        <w:left w:val="none" w:sz="0" w:space="0" w:color="auto"/>
        <w:bottom w:val="none" w:sz="0" w:space="0" w:color="auto"/>
        <w:right w:val="none" w:sz="0" w:space="0" w:color="auto"/>
      </w:divBdr>
    </w:div>
    <w:div w:id="843322032">
      <w:bodyDiv w:val="1"/>
      <w:marLeft w:val="0"/>
      <w:marRight w:val="0"/>
      <w:marTop w:val="0"/>
      <w:marBottom w:val="0"/>
      <w:divBdr>
        <w:top w:val="none" w:sz="0" w:space="0" w:color="auto"/>
        <w:left w:val="none" w:sz="0" w:space="0" w:color="auto"/>
        <w:bottom w:val="none" w:sz="0" w:space="0" w:color="auto"/>
        <w:right w:val="none" w:sz="0" w:space="0" w:color="auto"/>
      </w:divBdr>
    </w:div>
    <w:div w:id="930774089">
      <w:bodyDiv w:val="1"/>
      <w:marLeft w:val="0"/>
      <w:marRight w:val="0"/>
      <w:marTop w:val="0"/>
      <w:marBottom w:val="0"/>
      <w:divBdr>
        <w:top w:val="none" w:sz="0" w:space="0" w:color="auto"/>
        <w:left w:val="none" w:sz="0" w:space="0" w:color="auto"/>
        <w:bottom w:val="none" w:sz="0" w:space="0" w:color="auto"/>
        <w:right w:val="none" w:sz="0" w:space="0" w:color="auto"/>
      </w:divBdr>
    </w:div>
    <w:div w:id="993139541">
      <w:bodyDiv w:val="1"/>
      <w:marLeft w:val="0"/>
      <w:marRight w:val="0"/>
      <w:marTop w:val="0"/>
      <w:marBottom w:val="0"/>
      <w:divBdr>
        <w:top w:val="none" w:sz="0" w:space="0" w:color="auto"/>
        <w:left w:val="none" w:sz="0" w:space="0" w:color="auto"/>
        <w:bottom w:val="none" w:sz="0" w:space="0" w:color="auto"/>
        <w:right w:val="none" w:sz="0" w:space="0" w:color="auto"/>
      </w:divBdr>
    </w:div>
    <w:div w:id="1070230077">
      <w:bodyDiv w:val="1"/>
      <w:marLeft w:val="0"/>
      <w:marRight w:val="0"/>
      <w:marTop w:val="0"/>
      <w:marBottom w:val="0"/>
      <w:divBdr>
        <w:top w:val="none" w:sz="0" w:space="0" w:color="auto"/>
        <w:left w:val="none" w:sz="0" w:space="0" w:color="auto"/>
        <w:bottom w:val="none" w:sz="0" w:space="0" w:color="auto"/>
        <w:right w:val="none" w:sz="0" w:space="0" w:color="auto"/>
      </w:divBdr>
    </w:div>
    <w:div w:id="1078474909">
      <w:bodyDiv w:val="1"/>
      <w:marLeft w:val="0"/>
      <w:marRight w:val="0"/>
      <w:marTop w:val="0"/>
      <w:marBottom w:val="0"/>
      <w:divBdr>
        <w:top w:val="none" w:sz="0" w:space="0" w:color="auto"/>
        <w:left w:val="none" w:sz="0" w:space="0" w:color="auto"/>
        <w:bottom w:val="none" w:sz="0" w:space="0" w:color="auto"/>
        <w:right w:val="none" w:sz="0" w:space="0" w:color="auto"/>
      </w:divBdr>
    </w:div>
    <w:div w:id="1132942205">
      <w:bodyDiv w:val="1"/>
      <w:marLeft w:val="0"/>
      <w:marRight w:val="0"/>
      <w:marTop w:val="0"/>
      <w:marBottom w:val="0"/>
      <w:divBdr>
        <w:top w:val="none" w:sz="0" w:space="0" w:color="auto"/>
        <w:left w:val="none" w:sz="0" w:space="0" w:color="auto"/>
        <w:bottom w:val="none" w:sz="0" w:space="0" w:color="auto"/>
        <w:right w:val="none" w:sz="0" w:space="0" w:color="auto"/>
      </w:divBdr>
    </w:div>
    <w:div w:id="1144545550">
      <w:bodyDiv w:val="1"/>
      <w:marLeft w:val="0"/>
      <w:marRight w:val="0"/>
      <w:marTop w:val="0"/>
      <w:marBottom w:val="0"/>
      <w:divBdr>
        <w:top w:val="none" w:sz="0" w:space="0" w:color="auto"/>
        <w:left w:val="none" w:sz="0" w:space="0" w:color="auto"/>
        <w:bottom w:val="none" w:sz="0" w:space="0" w:color="auto"/>
        <w:right w:val="none" w:sz="0" w:space="0" w:color="auto"/>
      </w:divBdr>
    </w:div>
    <w:div w:id="1163004644">
      <w:bodyDiv w:val="1"/>
      <w:marLeft w:val="0"/>
      <w:marRight w:val="0"/>
      <w:marTop w:val="0"/>
      <w:marBottom w:val="0"/>
      <w:divBdr>
        <w:top w:val="none" w:sz="0" w:space="0" w:color="auto"/>
        <w:left w:val="none" w:sz="0" w:space="0" w:color="auto"/>
        <w:bottom w:val="none" w:sz="0" w:space="0" w:color="auto"/>
        <w:right w:val="none" w:sz="0" w:space="0" w:color="auto"/>
      </w:divBdr>
    </w:div>
    <w:div w:id="1189371373">
      <w:bodyDiv w:val="1"/>
      <w:marLeft w:val="0"/>
      <w:marRight w:val="0"/>
      <w:marTop w:val="0"/>
      <w:marBottom w:val="0"/>
      <w:divBdr>
        <w:top w:val="none" w:sz="0" w:space="0" w:color="auto"/>
        <w:left w:val="none" w:sz="0" w:space="0" w:color="auto"/>
        <w:bottom w:val="none" w:sz="0" w:space="0" w:color="auto"/>
        <w:right w:val="none" w:sz="0" w:space="0" w:color="auto"/>
      </w:divBdr>
    </w:div>
    <w:div w:id="1319268104">
      <w:bodyDiv w:val="1"/>
      <w:marLeft w:val="0"/>
      <w:marRight w:val="0"/>
      <w:marTop w:val="0"/>
      <w:marBottom w:val="0"/>
      <w:divBdr>
        <w:top w:val="none" w:sz="0" w:space="0" w:color="auto"/>
        <w:left w:val="none" w:sz="0" w:space="0" w:color="auto"/>
        <w:bottom w:val="none" w:sz="0" w:space="0" w:color="auto"/>
        <w:right w:val="none" w:sz="0" w:space="0" w:color="auto"/>
      </w:divBdr>
    </w:div>
    <w:div w:id="1333483980">
      <w:bodyDiv w:val="1"/>
      <w:marLeft w:val="0"/>
      <w:marRight w:val="0"/>
      <w:marTop w:val="0"/>
      <w:marBottom w:val="0"/>
      <w:divBdr>
        <w:top w:val="none" w:sz="0" w:space="0" w:color="auto"/>
        <w:left w:val="none" w:sz="0" w:space="0" w:color="auto"/>
        <w:bottom w:val="none" w:sz="0" w:space="0" w:color="auto"/>
        <w:right w:val="none" w:sz="0" w:space="0" w:color="auto"/>
      </w:divBdr>
    </w:div>
    <w:div w:id="1343824977">
      <w:bodyDiv w:val="1"/>
      <w:marLeft w:val="0"/>
      <w:marRight w:val="0"/>
      <w:marTop w:val="0"/>
      <w:marBottom w:val="0"/>
      <w:divBdr>
        <w:top w:val="none" w:sz="0" w:space="0" w:color="auto"/>
        <w:left w:val="none" w:sz="0" w:space="0" w:color="auto"/>
        <w:bottom w:val="none" w:sz="0" w:space="0" w:color="auto"/>
        <w:right w:val="none" w:sz="0" w:space="0" w:color="auto"/>
      </w:divBdr>
    </w:div>
    <w:div w:id="1355962699">
      <w:bodyDiv w:val="1"/>
      <w:marLeft w:val="0"/>
      <w:marRight w:val="0"/>
      <w:marTop w:val="0"/>
      <w:marBottom w:val="0"/>
      <w:divBdr>
        <w:top w:val="none" w:sz="0" w:space="0" w:color="auto"/>
        <w:left w:val="none" w:sz="0" w:space="0" w:color="auto"/>
        <w:bottom w:val="none" w:sz="0" w:space="0" w:color="auto"/>
        <w:right w:val="none" w:sz="0" w:space="0" w:color="auto"/>
      </w:divBdr>
    </w:div>
    <w:div w:id="1473252185">
      <w:bodyDiv w:val="1"/>
      <w:marLeft w:val="0"/>
      <w:marRight w:val="0"/>
      <w:marTop w:val="0"/>
      <w:marBottom w:val="0"/>
      <w:divBdr>
        <w:top w:val="none" w:sz="0" w:space="0" w:color="auto"/>
        <w:left w:val="none" w:sz="0" w:space="0" w:color="auto"/>
        <w:bottom w:val="none" w:sz="0" w:space="0" w:color="auto"/>
        <w:right w:val="none" w:sz="0" w:space="0" w:color="auto"/>
      </w:divBdr>
    </w:div>
    <w:div w:id="1485776342">
      <w:bodyDiv w:val="1"/>
      <w:marLeft w:val="0"/>
      <w:marRight w:val="0"/>
      <w:marTop w:val="0"/>
      <w:marBottom w:val="0"/>
      <w:divBdr>
        <w:top w:val="none" w:sz="0" w:space="0" w:color="auto"/>
        <w:left w:val="none" w:sz="0" w:space="0" w:color="auto"/>
        <w:bottom w:val="none" w:sz="0" w:space="0" w:color="auto"/>
        <w:right w:val="none" w:sz="0" w:space="0" w:color="auto"/>
      </w:divBdr>
    </w:div>
    <w:div w:id="1498109045">
      <w:bodyDiv w:val="1"/>
      <w:marLeft w:val="0"/>
      <w:marRight w:val="0"/>
      <w:marTop w:val="0"/>
      <w:marBottom w:val="0"/>
      <w:divBdr>
        <w:top w:val="none" w:sz="0" w:space="0" w:color="auto"/>
        <w:left w:val="none" w:sz="0" w:space="0" w:color="auto"/>
        <w:bottom w:val="none" w:sz="0" w:space="0" w:color="auto"/>
        <w:right w:val="none" w:sz="0" w:space="0" w:color="auto"/>
      </w:divBdr>
    </w:div>
    <w:div w:id="1665476566">
      <w:bodyDiv w:val="1"/>
      <w:marLeft w:val="0"/>
      <w:marRight w:val="0"/>
      <w:marTop w:val="0"/>
      <w:marBottom w:val="0"/>
      <w:divBdr>
        <w:top w:val="none" w:sz="0" w:space="0" w:color="auto"/>
        <w:left w:val="none" w:sz="0" w:space="0" w:color="auto"/>
        <w:bottom w:val="none" w:sz="0" w:space="0" w:color="auto"/>
        <w:right w:val="none" w:sz="0" w:space="0" w:color="auto"/>
      </w:divBdr>
    </w:div>
    <w:div w:id="1679504434">
      <w:bodyDiv w:val="1"/>
      <w:marLeft w:val="0"/>
      <w:marRight w:val="0"/>
      <w:marTop w:val="0"/>
      <w:marBottom w:val="0"/>
      <w:divBdr>
        <w:top w:val="none" w:sz="0" w:space="0" w:color="auto"/>
        <w:left w:val="none" w:sz="0" w:space="0" w:color="auto"/>
        <w:bottom w:val="none" w:sz="0" w:space="0" w:color="auto"/>
        <w:right w:val="none" w:sz="0" w:space="0" w:color="auto"/>
      </w:divBdr>
    </w:div>
    <w:div w:id="1713143433">
      <w:bodyDiv w:val="1"/>
      <w:marLeft w:val="0"/>
      <w:marRight w:val="0"/>
      <w:marTop w:val="0"/>
      <w:marBottom w:val="0"/>
      <w:divBdr>
        <w:top w:val="none" w:sz="0" w:space="0" w:color="auto"/>
        <w:left w:val="none" w:sz="0" w:space="0" w:color="auto"/>
        <w:bottom w:val="none" w:sz="0" w:space="0" w:color="auto"/>
        <w:right w:val="none" w:sz="0" w:space="0" w:color="auto"/>
      </w:divBdr>
    </w:div>
    <w:div w:id="1727685185">
      <w:bodyDiv w:val="1"/>
      <w:marLeft w:val="0"/>
      <w:marRight w:val="0"/>
      <w:marTop w:val="0"/>
      <w:marBottom w:val="0"/>
      <w:divBdr>
        <w:top w:val="none" w:sz="0" w:space="0" w:color="auto"/>
        <w:left w:val="none" w:sz="0" w:space="0" w:color="auto"/>
        <w:bottom w:val="none" w:sz="0" w:space="0" w:color="auto"/>
        <w:right w:val="none" w:sz="0" w:space="0" w:color="auto"/>
      </w:divBdr>
    </w:div>
    <w:div w:id="1858347251">
      <w:bodyDiv w:val="1"/>
      <w:marLeft w:val="0"/>
      <w:marRight w:val="0"/>
      <w:marTop w:val="0"/>
      <w:marBottom w:val="0"/>
      <w:divBdr>
        <w:top w:val="none" w:sz="0" w:space="0" w:color="auto"/>
        <w:left w:val="none" w:sz="0" w:space="0" w:color="auto"/>
        <w:bottom w:val="none" w:sz="0" w:space="0" w:color="auto"/>
        <w:right w:val="none" w:sz="0" w:space="0" w:color="auto"/>
      </w:divBdr>
    </w:div>
    <w:div w:id="1899440561">
      <w:bodyDiv w:val="1"/>
      <w:marLeft w:val="0"/>
      <w:marRight w:val="0"/>
      <w:marTop w:val="0"/>
      <w:marBottom w:val="0"/>
      <w:divBdr>
        <w:top w:val="none" w:sz="0" w:space="0" w:color="auto"/>
        <w:left w:val="none" w:sz="0" w:space="0" w:color="auto"/>
        <w:bottom w:val="none" w:sz="0" w:space="0" w:color="auto"/>
        <w:right w:val="none" w:sz="0" w:space="0" w:color="auto"/>
      </w:divBdr>
    </w:div>
    <w:div w:id="21067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curtis@kcl.ac.uk" TargetMode="External"/><Relationship Id="rId5" Type="http://schemas.openxmlformats.org/officeDocument/2006/relationships/numbering" Target="numbering.xml"/><Relationship Id="rId15" Type="http://schemas.openxmlformats.org/officeDocument/2006/relationships/image" Target="media/image4.tif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4FC6ECDB23649B2CB5090BF9C0B82" ma:contentTypeVersion="11" ma:contentTypeDescription="Create a new document." ma:contentTypeScope="" ma:versionID="a341a687a494d167a5a20ff3bd235012">
  <xsd:schema xmlns:xsd="http://www.w3.org/2001/XMLSchema" xmlns:xs="http://www.w3.org/2001/XMLSchema" xmlns:p="http://schemas.microsoft.com/office/2006/metadata/properties" xmlns:ns3="b5637193-9299-4cdf-a3a4-081a075c2abd" xmlns:ns4="a697021a-155e-459d-a0f3-679d56db0561" targetNamespace="http://schemas.microsoft.com/office/2006/metadata/properties" ma:root="true" ma:fieldsID="541c5708d63e41783cb0af1d0e39226d" ns3:_="" ns4:_="">
    <xsd:import namespace="b5637193-9299-4cdf-a3a4-081a075c2abd"/>
    <xsd:import namespace="a697021a-155e-459d-a0f3-679d56db05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37193-9299-4cdf-a3a4-081a075c2a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7021a-155e-459d-a0f3-679d56db05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1661-C8BB-4D6B-800D-A350728F5794}">
  <ds:schemaRefs>
    <ds:schemaRef ds:uri="http://purl.org/dc/elements/1.1/"/>
    <ds:schemaRef ds:uri="http://schemas.microsoft.com/office/2006/metadata/properties"/>
    <ds:schemaRef ds:uri="a697021a-155e-459d-a0f3-679d56db0561"/>
    <ds:schemaRef ds:uri="http://purl.org/dc/terms/"/>
    <ds:schemaRef ds:uri="b5637193-9299-4cdf-a3a4-081a075c2ab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4607D1-1CDC-485F-B77E-1238959B0A65}">
  <ds:schemaRefs>
    <ds:schemaRef ds:uri="http://schemas.microsoft.com/sharepoint/v3/contenttype/forms"/>
  </ds:schemaRefs>
</ds:datastoreItem>
</file>

<file path=customXml/itemProps3.xml><?xml version="1.0" encoding="utf-8"?>
<ds:datastoreItem xmlns:ds="http://schemas.openxmlformats.org/officeDocument/2006/customXml" ds:itemID="{A1068C9E-EDC9-47BA-8E8B-83C337D8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7193-9299-4cdf-a3a4-081a075c2abd"/>
    <ds:schemaRef ds:uri="a697021a-155e-459d-a0f3-679d56db0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55324-45B3-481A-912A-389675E5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mcurtis</dc:creator>
  <cp:keywords/>
  <dc:description/>
  <cp:lastModifiedBy>Joseph, Susan</cp:lastModifiedBy>
  <cp:revision>9</cp:revision>
  <cp:lastPrinted>2019-02-26T11:00:00Z</cp:lastPrinted>
  <dcterms:created xsi:type="dcterms:W3CDTF">2019-10-03T16:04:00Z</dcterms:created>
  <dcterms:modified xsi:type="dcterms:W3CDTF">2019-10-03T16:10:00Z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0x0101009BD4FC6ECDB23649B2CB5090BF9C0B82</vt:lpwstr>
  </property>
</Properties>
</file>