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47E20" w14:textId="38827F5F" w:rsidR="001D3901" w:rsidRPr="00E41095" w:rsidRDefault="008F5FE6" w:rsidP="0004184E">
      <w:pPr>
        <w:ind w:left="-624" w:right="-454"/>
        <w:jc w:val="both"/>
        <w:rPr>
          <w:b/>
          <w:sz w:val="24"/>
          <w:szCs w:val="24"/>
        </w:rPr>
      </w:pPr>
      <w:r w:rsidRPr="00E41095">
        <w:rPr>
          <w:b/>
          <w:sz w:val="24"/>
          <w:szCs w:val="24"/>
        </w:rPr>
        <w:t xml:space="preserve">   Table 1. Demographic and clinical characteristics</w:t>
      </w:r>
      <w:r w:rsidR="002866A4">
        <w:rPr>
          <w:b/>
          <w:sz w:val="24"/>
          <w:szCs w:val="24"/>
        </w:rPr>
        <w:t xml:space="preserve"> of </w:t>
      </w:r>
      <w:r w:rsidRPr="00E41095">
        <w:rPr>
          <w:b/>
          <w:sz w:val="24"/>
          <w:szCs w:val="24"/>
        </w:rPr>
        <w:t>patients and controls</w:t>
      </w:r>
    </w:p>
    <w:p w14:paraId="7CE2F784" w14:textId="77777777" w:rsidR="00F32034" w:rsidRDefault="00F32034" w:rsidP="008F5FE6">
      <w:pPr>
        <w:ind w:left="-624"/>
        <w:rPr>
          <w:b/>
          <w:sz w:val="22"/>
          <w:szCs w:val="22"/>
        </w:rPr>
      </w:pPr>
    </w:p>
    <w:tbl>
      <w:tblPr>
        <w:tblpPr w:leftFromText="181" w:rightFromText="181" w:vertAnchor="text" w:horzAnchor="margin" w:tblpXSpec="center" w:tblpY="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4"/>
        <w:gridCol w:w="1560"/>
        <w:gridCol w:w="1559"/>
        <w:gridCol w:w="1559"/>
        <w:gridCol w:w="2126"/>
      </w:tblGrid>
      <w:tr w:rsidR="008F5FE6" w:rsidRPr="00114268" w14:paraId="1EB0408E" w14:textId="77777777" w:rsidTr="00810042">
        <w:tc>
          <w:tcPr>
            <w:tcW w:w="3964" w:type="dxa"/>
            <w:shd w:val="clear" w:color="auto" w:fill="auto"/>
          </w:tcPr>
          <w:p w14:paraId="780F5F99" w14:textId="77777777" w:rsidR="008F5FE6" w:rsidRPr="00114268" w:rsidRDefault="008F5FE6" w:rsidP="00F32034">
            <w:pPr>
              <w:pStyle w:val="Contenutotabella"/>
              <w:snapToGrid w:val="0"/>
              <w:rPr>
                <w:b/>
                <w:bCs/>
              </w:rPr>
            </w:pPr>
            <w:r w:rsidRPr="00114268">
              <w:rPr>
                <w:b/>
                <w:bCs/>
              </w:rPr>
              <w:t>Characteristic</w:t>
            </w:r>
          </w:p>
        </w:tc>
        <w:tc>
          <w:tcPr>
            <w:tcW w:w="1560" w:type="dxa"/>
            <w:shd w:val="clear" w:color="auto" w:fill="auto"/>
          </w:tcPr>
          <w:p w14:paraId="00D371FD" w14:textId="77777777" w:rsidR="008F5FE6" w:rsidRPr="00114268" w:rsidRDefault="008F5FE6" w:rsidP="00F32034">
            <w:pPr>
              <w:pStyle w:val="Contenutotabella"/>
              <w:jc w:val="center"/>
              <w:rPr>
                <w:b/>
                <w:bCs/>
              </w:rPr>
            </w:pPr>
            <w:r w:rsidRPr="00114268">
              <w:rPr>
                <w:b/>
                <w:bCs/>
              </w:rPr>
              <w:t>Non-Remitting patients</w:t>
            </w:r>
          </w:p>
          <w:p w14:paraId="4AC89EB2" w14:textId="77777777" w:rsidR="008F5FE6" w:rsidRPr="00114268" w:rsidRDefault="008F5FE6" w:rsidP="00F32034">
            <w:pPr>
              <w:pStyle w:val="Contenutotabella"/>
              <w:jc w:val="center"/>
              <w:rPr>
                <w:b/>
                <w:bCs/>
              </w:rPr>
            </w:pPr>
            <w:r w:rsidRPr="00114268">
              <w:rPr>
                <w:b/>
                <w:bCs/>
              </w:rPr>
              <w:t>n=147</w:t>
            </w:r>
          </w:p>
        </w:tc>
        <w:tc>
          <w:tcPr>
            <w:tcW w:w="1559" w:type="dxa"/>
          </w:tcPr>
          <w:p w14:paraId="0D7CFDD1" w14:textId="77777777" w:rsidR="008F5FE6" w:rsidRPr="00114268" w:rsidRDefault="008F5FE6" w:rsidP="00F32034">
            <w:pPr>
              <w:pStyle w:val="Contenutotabella"/>
              <w:jc w:val="center"/>
              <w:rPr>
                <w:b/>
                <w:bCs/>
              </w:rPr>
            </w:pPr>
            <w:r w:rsidRPr="00114268">
              <w:rPr>
                <w:b/>
                <w:bCs/>
              </w:rPr>
              <w:t xml:space="preserve">Remitting </w:t>
            </w:r>
          </w:p>
          <w:p w14:paraId="0F21F021" w14:textId="77777777" w:rsidR="008F5FE6" w:rsidRPr="00114268" w:rsidRDefault="008F5FE6" w:rsidP="00F32034">
            <w:pPr>
              <w:pStyle w:val="Contenutotabella"/>
              <w:jc w:val="center"/>
              <w:rPr>
                <w:b/>
                <w:bCs/>
              </w:rPr>
            </w:pPr>
            <w:r w:rsidRPr="00114268">
              <w:rPr>
                <w:b/>
                <w:bCs/>
              </w:rPr>
              <w:t>patients</w:t>
            </w:r>
          </w:p>
          <w:p w14:paraId="2405D41E" w14:textId="77777777" w:rsidR="008F5FE6" w:rsidRPr="00114268" w:rsidRDefault="008F5FE6" w:rsidP="00F32034">
            <w:pPr>
              <w:pStyle w:val="Contenutotabella"/>
              <w:jc w:val="center"/>
              <w:rPr>
                <w:b/>
                <w:bCs/>
              </w:rPr>
            </w:pPr>
            <w:r w:rsidRPr="00114268">
              <w:rPr>
                <w:b/>
                <w:bCs/>
              </w:rPr>
              <w:t>n=86</w:t>
            </w:r>
          </w:p>
        </w:tc>
        <w:tc>
          <w:tcPr>
            <w:tcW w:w="1559" w:type="dxa"/>
          </w:tcPr>
          <w:p w14:paraId="0EA74A3C" w14:textId="77777777" w:rsidR="008F5FE6" w:rsidRPr="00114268" w:rsidRDefault="008F5FE6" w:rsidP="00F32034">
            <w:pPr>
              <w:pStyle w:val="Contenutotabella"/>
              <w:jc w:val="center"/>
              <w:rPr>
                <w:b/>
                <w:bCs/>
              </w:rPr>
            </w:pPr>
            <w:r w:rsidRPr="00114268">
              <w:rPr>
                <w:b/>
                <w:bCs/>
              </w:rPr>
              <w:t>Controls</w:t>
            </w:r>
          </w:p>
          <w:p w14:paraId="42D79047" w14:textId="77777777" w:rsidR="008F5FE6" w:rsidRPr="00114268" w:rsidRDefault="008F5FE6" w:rsidP="00F32034">
            <w:pPr>
              <w:pStyle w:val="Contenutotabella"/>
              <w:jc w:val="center"/>
              <w:rPr>
                <w:b/>
                <w:bCs/>
              </w:rPr>
            </w:pPr>
          </w:p>
          <w:p w14:paraId="62C6BB46" w14:textId="77777777" w:rsidR="008F5FE6" w:rsidRPr="00114268" w:rsidRDefault="008F5FE6" w:rsidP="00F32034">
            <w:pPr>
              <w:pStyle w:val="Contenutotabella"/>
              <w:jc w:val="center"/>
              <w:rPr>
                <w:b/>
                <w:bCs/>
              </w:rPr>
            </w:pPr>
            <w:r w:rsidRPr="00114268">
              <w:rPr>
                <w:b/>
                <w:bCs/>
              </w:rPr>
              <w:t>n=172</w:t>
            </w:r>
          </w:p>
        </w:tc>
        <w:tc>
          <w:tcPr>
            <w:tcW w:w="2126" w:type="dxa"/>
            <w:shd w:val="clear" w:color="auto" w:fill="auto"/>
          </w:tcPr>
          <w:p w14:paraId="49601FB1" w14:textId="79B4C4EF" w:rsidR="00434B82" w:rsidRDefault="00434B82" w:rsidP="00434B82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  <w:p w14:paraId="363743DC" w14:textId="175E67CB" w:rsidR="008F5FE6" w:rsidRPr="00114268" w:rsidRDefault="008F5FE6" w:rsidP="00434B82">
            <w:pPr>
              <w:pStyle w:val="Contenutotabella"/>
              <w:jc w:val="center"/>
              <w:rPr>
                <w:b/>
                <w:bCs/>
              </w:rPr>
            </w:pPr>
            <w:r w:rsidRPr="00114268">
              <w:rPr>
                <w:b/>
                <w:bCs/>
              </w:rPr>
              <w:t>(t-test</w:t>
            </w:r>
            <w:r w:rsidR="0004184E">
              <w:rPr>
                <w:b/>
                <w:bCs/>
              </w:rPr>
              <w:t>/ANOVA</w:t>
            </w:r>
            <w:r w:rsidRPr="00114268">
              <w:rPr>
                <w:b/>
                <w:bCs/>
              </w:rPr>
              <w:t>/x</w:t>
            </w:r>
            <w:r w:rsidRPr="00114268">
              <w:rPr>
                <w:kern w:val="1"/>
                <w:vertAlign w:val="superscript"/>
              </w:rPr>
              <w:t>2</w:t>
            </w:r>
            <w:r w:rsidRPr="00114268">
              <w:rPr>
                <w:b/>
                <w:bCs/>
              </w:rPr>
              <w:t>)</w:t>
            </w:r>
          </w:p>
          <w:p w14:paraId="01330E17" w14:textId="77777777" w:rsidR="008F5FE6" w:rsidRPr="00114268" w:rsidRDefault="008F5FE6" w:rsidP="00F32034">
            <w:pPr>
              <w:pStyle w:val="Contenutotabella"/>
              <w:jc w:val="center"/>
              <w:rPr>
                <w:b/>
                <w:bCs/>
              </w:rPr>
            </w:pPr>
          </w:p>
        </w:tc>
      </w:tr>
      <w:tr w:rsidR="008F5FE6" w:rsidRPr="00114268" w14:paraId="2DD0B1E5" w14:textId="77777777" w:rsidTr="00810042">
        <w:tc>
          <w:tcPr>
            <w:tcW w:w="3964" w:type="dxa"/>
            <w:shd w:val="clear" w:color="auto" w:fill="auto"/>
          </w:tcPr>
          <w:p w14:paraId="6AA943E7" w14:textId="77777777" w:rsidR="008F5FE6" w:rsidRPr="00114268" w:rsidRDefault="008F5FE6" w:rsidP="00F32034">
            <w:pPr>
              <w:pStyle w:val="Contenutotabella"/>
              <w:ind w:left="57"/>
            </w:pPr>
            <w:r w:rsidRPr="00114268">
              <w:t>Female gender, n (%)</w:t>
            </w:r>
            <w:r w:rsidRPr="00114268">
              <w:rPr>
                <w:kern w:val="1"/>
                <w:vertAlign w:val="superscript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7A9EE2B9" w14:textId="77777777" w:rsidR="008F5FE6" w:rsidRPr="00114268" w:rsidRDefault="008F5FE6" w:rsidP="00F32034">
            <w:pPr>
              <w:pStyle w:val="Contenutotabella"/>
              <w:jc w:val="center"/>
            </w:pPr>
            <w:r w:rsidRPr="00114268">
              <w:t>58 (40)</w:t>
            </w:r>
          </w:p>
        </w:tc>
        <w:tc>
          <w:tcPr>
            <w:tcW w:w="1559" w:type="dxa"/>
          </w:tcPr>
          <w:p w14:paraId="3C6CC7A5" w14:textId="77777777" w:rsidR="008F5FE6" w:rsidRPr="00114268" w:rsidRDefault="008F5FE6" w:rsidP="00F32034">
            <w:pPr>
              <w:pStyle w:val="Contenutotabella"/>
              <w:jc w:val="center"/>
            </w:pPr>
            <w:r w:rsidRPr="00114268">
              <w:t>47 (55)</w:t>
            </w:r>
          </w:p>
        </w:tc>
        <w:tc>
          <w:tcPr>
            <w:tcW w:w="1559" w:type="dxa"/>
          </w:tcPr>
          <w:p w14:paraId="3433E945" w14:textId="77777777" w:rsidR="008F5FE6" w:rsidRPr="00114268" w:rsidRDefault="008F5FE6" w:rsidP="00F32034">
            <w:pPr>
              <w:pStyle w:val="Contenutotabella"/>
              <w:jc w:val="center"/>
            </w:pPr>
            <w:r w:rsidRPr="00114268">
              <w:t>91 (53)</w:t>
            </w:r>
          </w:p>
        </w:tc>
        <w:tc>
          <w:tcPr>
            <w:tcW w:w="2126" w:type="dxa"/>
            <w:shd w:val="clear" w:color="auto" w:fill="auto"/>
          </w:tcPr>
          <w:p w14:paraId="4688DE39" w14:textId="77777777" w:rsidR="008F5FE6" w:rsidRPr="00114268" w:rsidRDefault="008F5FE6" w:rsidP="00F32034">
            <w:pPr>
              <w:pStyle w:val="Contenutotabella"/>
              <w:jc w:val="center"/>
            </w:pPr>
            <w:r w:rsidRPr="00114268">
              <w:t xml:space="preserve">  0.02</w:t>
            </w:r>
          </w:p>
          <w:p w14:paraId="0BC2089A" w14:textId="77777777" w:rsidR="008F5FE6" w:rsidRPr="00114268" w:rsidRDefault="008F5FE6" w:rsidP="00F32034">
            <w:pPr>
              <w:pStyle w:val="Contenutotabella"/>
              <w:jc w:val="center"/>
            </w:pPr>
            <w:r w:rsidRPr="00114268">
              <w:t xml:space="preserve"> (</w:t>
            </w:r>
            <w:r w:rsidRPr="00114268">
              <w:rPr>
                <w:bCs/>
              </w:rPr>
              <w:t>x</w:t>
            </w:r>
            <w:r w:rsidRPr="00114268">
              <w:rPr>
                <w:kern w:val="1"/>
                <w:vertAlign w:val="superscript"/>
              </w:rPr>
              <w:t>2</w:t>
            </w:r>
            <w:r w:rsidRPr="00114268">
              <w:t xml:space="preserve">=7.5; </w:t>
            </w:r>
            <w:proofErr w:type="spellStart"/>
            <w:r w:rsidRPr="00114268">
              <w:t>d.f.</w:t>
            </w:r>
            <w:proofErr w:type="spellEnd"/>
            <w:r w:rsidRPr="00114268">
              <w:t>=2)</w:t>
            </w:r>
            <w:r w:rsidRPr="00114268">
              <w:rPr>
                <w:kern w:val="1"/>
                <w:vertAlign w:val="superscript"/>
              </w:rPr>
              <w:t xml:space="preserve"> a</w:t>
            </w:r>
          </w:p>
        </w:tc>
      </w:tr>
      <w:tr w:rsidR="008F5FE6" w:rsidRPr="00114268" w14:paraId="31362FBB" w14:textId="77777777" w:rsidTr="00810042">
        <w:trPr>
          <w:trHeight w:val="460"/>
        </w:trPr>
        <w:tc>
          <w:tcPr>
            <w:tcW w:w="3964" w:type="dxa"/>
            <w:shd w:val="clear" w:color="auto" w:fill="auto"/>
          </w:tcPr>
          <w:p w14:paraId="3A456FA4" w14:textId="77777777" w:rsidR="008F5FE6" w:rsidRPr="00114268" w:rsidRDefault="008F5FE6" w:rsidP="00F32034">
            <w:pPr>
              <w:pStyle w:val="Contenutotabella"/>
              <w:ind w:left="57"/>
            </w:pPr>
            <w:r w:rsidRPr="00114268">
              <w:t>Age years, median (interquartile range)</w:t>
            </w:r>
          </w:p>
        </w:tc>
        <w:tc>
          <w:tcPr>
            <w:tcW w:w="1560" w:type="dxa"/>
            <w:shd w:val="clear" w:color="auto" w:fill="auto"/>
          </w:tcPr>
          <w:p w14:paraId="14D8AB11" w14:textId="77777777" w:rsidR="008F5FE6" w:rsidRPr="00114268" w:rsidRDefault="008F5FE6" w:rsidP="00F32034">
            <w:pPr>
              <w:pStyle w:val="Contenutotabella"/>
              <w:jc w:val="center"/>
            </w:pPr>
            <w:r w:rsidRPr="00114268">
              <w:t>29</w:t>
            </w:r>
            <w:r>
              <w:t xml:space="preserve"> </w:t>
            </w:r>
            <w:r w:rsidRPr="00114268">
              <w:t>(21-38)</w:t>
            </w:r>
          </w:p>
        </w:tc>
        <w:tc>
          <w:tcPr>
            <w:tcW w:w="1559" w:type="dxa"/>
          </w:tcPr>
          <w:p w14:paraId="57275F66" w14:textId="77777777" w:rsidR="008F5FE6" w:rsidRPr="00114268" w:rsidRDefault="008F5FE6" w:rsidP="00F32034">
            <w:pPr>
              <w:pStyle w:val="Contenutotabella"/>
              <w:jc w:val="center"/>
            </w:pPr>
            <w:r w:rsidRPr="00114268">
              <w:t>28.5</w:t>
            </w:r>
            <w:r>
              <w:t xml:space="preserve"> </w:t>
            </w:r>
            <w:r w:rsidRPr="00114268">
              <w:t>(24-38)</w:t>
            </w:r>
          </w:p>
        </w:tc>
        <w:tc>
          <w:tcPr>
            <w:tcW w:w="1559" w:type="dxa"/>
          </w:tcPr>
          <w:p w14:paraId="1C83BD0D" w14:textId="77777777" w:rsidR="008F5FE6" w:rsidRPr="00114268" w:rsidRDefault="008F5FE6" w:rsidP="00F32034">
            <w:pPr>
              <w:pStyle w:val="Contenutotabella"/>
              <w:jc w:val="center"/>
            </w:pPr>
            <w:r w:rsidRPr="00114268">
              <w:t>35</w:t>
            </w:r>
            <w:r>
              <w:t xml:space="preserve"> </w:t>
            </w:r>
            <w:r w:rsidRPr="00114268">
              <w:t>(27-47)</w:t>
            </w:r>
          </w:p>
        </w:tc>
        <w:tc>
          <w:tcPr>
            <w:tcW w:w="2126" w:type="dxa"/>
            <w:shd w:val="clear" w:color="auto" w:fill="auto"/>
          </w:tcPr>
          <w:p w14:paraId="04F84BE8" w14:textId="618AFD44" w:rsidR="008F5FE6" w:rsidRPr="0004184E" w:rsidRDefault="008F5FE6" w:rsidP="0004184E">
            <w:pPr>
              <w:pStyle w:val="Contenutotabella"/>
              <w:jc w:val="center"/>
              <w:rPr>
                <w:kern w:val="1"/>
                <w:vertAlign w:val="superscript"/>
              </w:rPr>
            </w:pPr>
            <w:r w:rsidRPr="00114268">
              <w:t>&lt;0.001</w:t>
            </w:r>
            <w:r w:rsidRPr="00114268">
              <w:rPr>
                <w:kern w:val="1"/>
                <w:vertAlign w:val="superscript"/>
              </w:rPr>
              <w:t>b</w:t>
            </w:r>
          </w:p>
          <w:p w14:paraId="4484AEE4" w14:textId="77777777" w:rsidR="008F5FE6" w:rsidRPr="00114268" w:rsidRDefault="008F5FE6" w:rsidP="00F32034">
            <w:pPr>
              <w:pStyle w:val="Contenutotabella"/>
              <w:jc w:val="center"/>
            </w:pPr>
            <w:r w:rsidRPr="00114268">
              <w:t xml:space="preserve">(F=11.3; </w:t>
            </w:r>
            <w:proofErr w:type="spellStart"/>
            <w:r w:rsidRPr="00114268">
              <w:t>d.f.</w:t>
            </w:r>
            <w:proofErr w:type="spellEnd"/>
            <w:r w:rsidRPr="00114268">
              <w:t xml:space="preserve">=2) </w:t>
            </w:r>
          </w:p>
        </w:tc>
      </w:tr>
      <w:tr w:rsidR="008F5FE6" w:rsidRPr="00114268" w14:paraId="090D23AA" w14:textId="77777777" w:rsidTr="00810042">
        <w:trPr>
          <w:trHeight w:val="293"/>
        </w:trPr>
        <w:tc>
          <w:tcPr>
            <w:tcW w:w="3964" w:type="dxa"/>
            <w:shd w:val="clear" w:color="auto" w:fill="auto"/>
          </w:tcPr>
          <w:p w14:paraId="06D1D6AE" w14:textId="77777777" w:rsidR="008F5FE6" w:rsidRPr="00114268" w:rsidRDefault="008F5FE6" w:rsidP="00F32034">
            <w:pPr>
              <w:pStyle w:val="Contenutotabella"/>
              <w:ind w:left="57"/>
            </w:pPr>
            <w:r w:rsidRPr="00114268">
              <w:t xml:space="preserve">Handedness, n (% </w:t>
            </w:r>
            <w:proofErr w:type="gramStart"/>
            <w:r w:rsidRPr="00114268">
              <w:t>right)</w:t>
            </w:r>
            <w:r w:rsidRPr="00114268">
              <w:rPr>
                <w:kern w:val="1"/>
                <w:vertAlign w:val="superscript"/>
              </w:rPr>
              <w:t>c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14:paraId="3B257819" w14:textId="77777777" w:rsidR="008F5FE6" w:rsidRPr="00114268" w:rsidRDefault="008F5FE6" w:rsidP="00F32034">
            <w:pPr>
              <w:pStyle w:val="Contenutotabella"/>
              <w:jc w:val="center"/>
            </w:pPr>
            <w:r w:rsidRPr="00114268">
              <w:t>130 (89)</w:t>
            </w:r>
          </w:p>
        </w:tc>
        <w:tc>
          <w:tcPr>
            <w:tcW w:w="1559" w:type="dxa"/>
          </w:tcPr>
          <w:p w14:paraId="277D3B57" w14:textId="77777777" w:rsidR="008F5FE6" w:rsidRPr="00114268" w:rsidRDefault="008F5FE6" w:rsidP="00F32034">
            <w:pPr>
              <w:pStyle w:val="Contenutotabella"/>
              <w:jc w:val="center"/>
            </w:pPr>
            <w:r w:rsidRPr="00114268">
              <w:t>80 (93)</w:t>
            </w:r>
          </w:p>
        </w:tc>
        <w:tc>
          <w:tcPr>
            <w:tcW w:w="1559" w:type="dxa"/>
          </w:tcPr>
          <w:p w14:paraId="0A5A2D6F" w14:textId="77777777" w:rsidR="008F5FE6" w:rsidRPr="00114268" w:rsidRDefault="008F5FE6" w:rsidP="00F32034">
            <w:pPr>
              <w:pStyle w:val="Contenutotabella"/>
              <w:jc w:val="center"/>
            </w:pPr>
            <w:r w:rsidRPr="00114268">
              <w:t>154 (91)</w:t>
            </w:r>
          </w:p>
        </w:tc>
        <w:tc>
          <w:tcPr>
            <w:tcW w:w="2126" w:type="dxa"/>
            <w:shd w:val="clear" w:color="auto" w:fill="auto"/>
          </w:tcPr>
          <w:p w14:paraId="408DB0F9" w14:textId="77777777" w:rsidR="008F5FE6" w:rsidRPr="00114268" w:rsidRDefault="008F5FE6" w:rsidP="00F32034">
            <w:pPr>
              <w:pStyle w:val="Contenutotabella"/>
              <w:jc w:val="center"/>
            </w:pPr>
            <w:r w:rsidRPr="00114268">
              <w:t>Ns</w:t>
            </w:r>
          </w:p>
          <w:p w14:paraId="16CB1C66" w14:textId="77777777" w:rsidR="008F5FE6" w:rsidRPr="00114268" w:rsidRDefault="008F5FE6" w:rsidP="00F32034">
            <w:pPr>
              <w:pStyle w:val="Contenutotabella"/>
              <w:jc w:val="center"/>
            </w:pPr>
            <w:r w:rsidRPr="00114268">
              <w:t>(</w:t>
            </w:r>
            <w:r w:rsidRPr="00114268">
              <w:rPr>
                <w:bCs/>
              </w:rPr>
              <w:t>x</w:t>
            </w:r>
            <w:r w:rsidRPr="00114268">
              <w:rPr>
                <w:kern w:val="1"/>
                <w:vertAlign w:val="superscript"/>
              </w:rPr>
              <w:t>2</w:t>
            </w:r>
            <w:r w:rsidRPr="00114268">
              <w:t xml:space="preserve">=1.1; </w:t>
            </w:r>
            <w:proofErr w:type="spellStart"/>
            <w:r w:rsidRPr="00114268">
              <w:t>d.f.</w:t>
            </w:r>
            <w:proofErr w:type="spellEnd"/>
            <w:r w:rsidRPr="00114268">
              <w:t>=2)</w:t>
            </w:r>
          </w:p>
        </w:tc>
      </w:tr>
      <w:tr w:rsidR="008F5FE6" w:rsidRPr="00114268" w14:paraId="3A61AD23" w14:textId="77777777" w:rsidTr="00810042">
        <w:trPr>
          <w:trHeight w:val="615"/>
        </w:trPr>
        <w:tc>
          <w:tcPr>
            <w:tcW w:w="3964" w:type="dxa"/>
            <w:shd w:val="clear" w:color="auto" w:fill="auto"/>
          </w:tcPr>
          <w:p w14:paraId="581DE37C" w14:textId="77777777" w:rsidR="008F5FE6" w:rsidRPr="00114268" w:rsidRDefault="008F5FE6" w:rsidP="00F32034">
            <w:pPr>
              <w:pStyle w:val="Contenutotabella"/>
              <w:ind w:left="57"/>
            </w:pPr>
            <w:r w:rsidRPr="00114268">
              <w:t>Ethnicity, n (%):</w:t>
            </w:r>
          </w:p>
          <w:p w14:paraId="0DACE4C4" w14:textId="77777777" w:rsidR="008F5FE6" w:rsidRPr="00114268" w:rsidRDefault="008F5FE6" w:rsidP="00F32034">
            <w:pPr>
              <w:pStyle w:val="Contenutotabella"/>
              <w:ind w:left="57"/>
            </w:pPr>
            <w:r w:rsidRPr="00114268">
              <w:t xml:space="preserve">  White British</w:t>
            </w:r>
          </w:p>
          <w:p w14:paraId="3CD0E914" w14:textId="77777777" w:rsidR="008F5FE6" w:rsidRPr="00114268" w:rsidRDefault="008F5FE6" w:rsidP="00F32034">
            <w:pPr>
              <w:pStyle w:val="Contenutotabella"/>
              <w:ind w:left="57"/>
            </w:pPr>
            <w:r w:rsidRPr="00114268">
              <w:t xml:space="preserve">  Black and Minority Ethnic</w:t>
            </w:r>
          </w:p>
        </w:tc>
        <w:tc>
          <w:tcPr>
            <w:tcW w:w="1560" w:type="dxa"/>
            <w:shd w:val="clear" w:color="auto" w:fill="auto"/>
          </w:tcPr>
          <w:p w14:paraId="358A6EBF" w14:textId="77777777" w:rsidR="008F5FE6" w:rsidRPr="00114268" w:rsidRDefault="008F5FE6" w:rsidP="00F32034">
            <w:pPr>
              <w:pStyle w:val="Contenutotabella"/>
              <w:jc w:val="center"/>
            </w:pPr>
          </w:p>
          <w:p w14:paraId="1AC75DFF" w14:textId="77777777" w:rsidR="008F5FE6" w:rsidRPr="00114268" w:rsidRDefault="008F5FE6" w:rsidP="00F32034">
            <w:pPr>
              <w:pStyle w:val="Contenutotabella"/>
              <w:jc w:val="center"/>
            </w:pPr>
            <w:r w:rsidRPr="00114268">
              <w:t>79 (54)</w:t>
            </w:r>
          </w:p>
          <w:p w14:paraId="6D6DB37C" w14:textId="77777777" w:rsidR="008F5FE6" w:rsidRPr="00114268" w:rsidRDefault="008F5FE6" w:rsidP="00F32034">
            <w:pPr>
              <w:pStyle w:val="Contenutotabella"/>
              <w:jc w:val="center"/>
            </w:pPr>
            <w:r w:rsidRPr="00114268">
              <w:t>68 (46)</w:t>
            </w:r>
          </w:p>
        </w:tc>
        <w:tc>
          <w:tcPr>
            <w:tcW w:w="1559" w:type="dxa"/>
          </w:tcPr>
          <w:p w14:paraId="248B9090" w14:textId="77777777" w:rsidR="008F5FE6" w:rsidRPr="00114268" w:rsidRDefault="008F5FE6" w:rsidP="00F32034">
            <w:pPr>
              <w:pStyle w:val="Contenutotabella"/>
              <w:jc w:val="center"/>
            </w:pPr>
          </w:p>
          <w:p w14:paraId="1935A92D" w14:textId="77777777" w:rsidR="008F5FE6" w:rsidRPr="00114268" w:rsidRDefault="008F5FE6" w:rsidP="00F32034">
            <w:pPr>
              <w:pStyle w:val="Contenutotabella"/>
              <w:jc w:val="center"/>
            </w:pPr>
            <w:r w:rsidRPr="00114268">
              <w:t>54 (63)</w:t>
            </w:r>
          </w:p>
          <w:p w14:paraId="3AA7D40D" w14:textId="77777777" w:rsidR="008F5FE6" w:rsidRPr="00114268" w:rsidRDefault="008F5FE6" w:rsidP="00F32034">
            <w:pPr>
              <w:pStyle w:val="Contenutotabella"/>
              <w:jc w:val="center"/>
            </w:pPr>
            <w:r w:rsidRPr="00114268">
              <w:t>32</w:t>
            </w:r>
            <w:r>
              <w:t xml:space="preserve"> </w:t>
            </w:r>
            <w:r w:rsidRPr="00114268">
              <w:t>(37)</w:t>
            </w:r>
          </w:p>
        </w:tc>
        <w:tc>
          <w:tcPr>
            <w:tcW w:w="1559" w:type="dxa"/>
          </w:tcPr>
          <w:p w14:paraId="537ED31C" w14:textId="77777777" w:rsidR="008F5FE6" w:rsidRPr="00114268" w:rsidRDefault="008F5FE6" w:rsidP="00F32034">
            <w:pPr>
              <w:pStyle w:val="Contenutotabella"/>
              <w:jc w:val="center"/>
            </w:pPr>
          </w:p>
          <w:p w14:paraId="4375B196" w14:textId="77777777" w:rsidR="008F5FE6" w:rsidRPr="00114268" w:rsidRDefault="008F5FE6" w:rsidP="00F32034">
            <w:pPr>
              <w:pStyle w:val="Contenutotabella"/>
              <w:jc w:val="center"/>
            </w:pPr>
            <w:r w:rsidRPr="00114268">
              <w:t>134 (78)</w:t>
            </w:r>
          </w:p>
          <w:p w14:paraId="152AAE39" w14:textId="77777777" w:rsidR="008F5FE6" w:rsidRPr="00114268" w:rsidRDefault="008F5FE6" w:rsidP="00F32034">
            <w:pPr>
              <w:pStyle w:val="Contenutotabella"/>
              <w:jc w:val="center"/>
            </w:pPr>
            <w:r w:rsidRPr="00114268">
              <w:t>38 (22)</w:t>
            </w:r>
          </w:p>
        </w:tc>
        <w:tc>
          <w:tcPr>
            <w:tcW w:w="2126" w:type="dxa"/>
            <w:shd w:val="clear" w:color="auto" w:fill="auto"/>
          </w:tcPr>
          <w:p w14:paraId="216A754F" w14:textId="2C230E98" w:rsidR="008F5FE6" w:rsidRPr="00114268" w:rsidRDefault="008F5FE6" w:rsidP="00F32034">
            <w:pPr>
              <w:pStyle w:val="Contenutotabella"/>
              <w:jc w:val="center"/>
              <w:rPr>
                <w:kern w:val="1"/>
                <w:vertAlign w:val="superscript"/>
              </w:rPr>
            </w:pPr>
            <w:r w:rsidRPr="00114268">
              <w:t>&lt;0.001</w:t>
            </w:r>
            <w:r w:rsidRPr="00114268">
              <w:rPr>
                <w:kern w:val="1"/>
                <w:vertAlign w:val="superscript"/>
              </w:rPr>
              <w:t>d</w:t>
            </w:r>
          </w:p>
          <w:p w14:paraId="0C231ECF" w14:textId="77777777" w:rsidR="008F5FE6" w:rsidRPr="00114268" w:rsidRDefault="008F5FE6" w:rsidP="00F32034">
            <w:pPr>
              <w:pStyle w:val="Contenutotabella"/>
              <w:jc w:val="center"/>
            </w:pPr>
            <w:r w:rsidRPr="00114268">
              <w:t>(</w:t>
            </w:r>
            <w:r w:rsidRPr="00114268">
              <w:rPr>
                <w:bCs/>
              </w:rPr>
              <w:t>x</w:t>
            </w:r>
            <w:r w:rsidRPr="00114268">
              <w:rPr>
                <w:kern w:val="1"/>
                <w:vertAlign w:val="superscript"/>
              </w:rPr>
              <w:t>2</w:t>
            </w:r>
            <w:r w:rsidRPr="00114268">
              <w:t xml:space="preserve">=21.1; </w:t>
            </w:r>
            <w:proofErr w:type="spellStart"/>
            <w:proofErr w:type="gramStart"/>
            <w:r w:rsidRPr="00114268">
              <w:t>d.f</w:t>
            </w:r>
            <w:proofErr w:type="spellEnd"/>
            <w:proofErr w:type="gramEnd"/>
            <w:r w:rsidRPr="00114268">
              <w:t>=2)</w:t>
            </w:r>
          </w:p>
        </w:tc>
      </w:tr>
      <w:tr w:rsidR="008F5FE6" w:rsidRPr="00114268" w14:paraId="663DD2B3" w14:textId="77777777" w:rsidTr="00810042">
        <w:trPr>
          <w:trHeight w:val="371"/>
        </w:trPr>
        <w:tc>
          <w:tcPr>
            <w:tcW w:w="3964" w:type="dxa"/>
            <w:shd w:val="clear" w:color="auto" w:fill="auto"/>
          </w:tcPr>
          <w:p w14:paraId="503BEB8F" w14:textId="77777777" w:rsidR="008F5FE6" w:rsidRPr="00114268" w:rsidRDefault="008F5FE6" w:rsidP="00F32034">
            <w:pPr>
              <w:pStyle w:val="Contenutotabella"/>
              <w:ind w:left="57"/>
            </w:pPr>
            <w:r w:rsidRPr="00114268">
              <w:t>Premorbid IQ, mean NART (</w:t>
            </w:r>
            <w:proofErr w:type="spellStart"/>
            <w:proofErr w:type="gramStart"/>
            <w:r w:rsidRPr="00114268">
              <w:t>s.d.</w:t>
            </w:r>
            <w:proofErr w:type="spellEnd"/>
            <w:r w:rsidRPr="00114268">
              <w:t>)</w:t>
            </w:r>
            <w:r w:rsidRPr="00114268">
              <w:rPr>
                <w:kern w:val="1"/>
                <w:vertAlign w:val="superscript"/>
              </w:rPr>
              <w:t>e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14:paraId="25C8B09B" w14:textId="77777777" w:rsidR="008F5FE6" w:rsidRPr="00114268" w:rsidRDefault="008F5FE6" w:rsidP="00F32034">
            <w:pPr>
              <w:pStyle w:val="Contenutotabella"/>
              <w:contextualSpacing/>
              <w:jc w:val="center"/>
            </w:pPr>
            <w:r w:rsidRPr="00114268">
              <w:t>94. 91 (14.12)</w:t>
            </w:r>
          </w:p>
        </w:tc>
        <w:tc>
          <w:tcPr>
            <w:tcW w:w="1559" w:type="dxa"/>
          </w:tcPr>
          <w:p w14:paraId="1F2BF41E" w14:textId="77777777" w:rsidR="008F5FE6" w:rsidRPr="00114268" w:rsidRDefault="008F5FE6" w:rsidP="00F32034">
            <w:pPr>
              <w:pStyle w:val="Contenutotabella"/>
              <w:spacing w:before="120"/>
              <w:jc w:val="center"/>
            </w:pPr>
            <w:r w:rsidRPr="00114268">
              <w:t>101.78 (13.97)</w:t>
            </w:r>
          </w:p>
        </w:tc>
        <w:tc>
          <w:tcPr>
            <w:tcW w:w="1559" w:type="dxa"/>
          </w:tcPr>
          <w:p w14:paraId="7440D326" w14:textId="77777777" w:rsidR="008F5FE6" w:rsidRPr="00114268" w:rsidRDefault="008F5FE6" w:rsidP="00F32034">
            <w:pPr>
              <w:pStyle w:val="Contenutotabella"/>
              <w:spacing w:before="120"/>
              <w:jc w:val="center"/>
            </w:pPr>
            <w:r w:rsidRPr="00114268">
              <w:t>106.74 (11.95)</w:t>
            </w:r>
          </w:p>
        </w:tc>
        <w:tc>
          <w:tcPr>
            <w:tcW w:w="2126" w:type="dxa"/>
            <w:shd w:val="clear" w:color="auto" w:fill="auto"/>
          </w:tcPr>
          <w:p w14:paraId="75F1581B" w14:textId="77777777" w:rsidR="008F5FE6" w:rsidRPr="00114268" w:rsidRDefault="008F5FE6" w:rsidP="00F32034">
            <w:pPr>
              <w:pStyle w:val="Contenutotabella"/>
              <w:spacing w:before="120"/>
              <w:contextualSpacing/>
              <w:jc w:val="center"/>
            </w:pPr>
            <w:r w:rsidRPr="00114268">
              <w:t>&lt;0.001</w:t>
            </w:r>
          </w:p>
          <w:p w14:paraId="46CDF506" w14:textId="77777777" w:rsidR="008F5FE6" w:rsidRPr="00114268" w:rsidRDefault="008F5FE6" w:rsidP="00F32034">
            <w:pPr>
              <w:pStyle w:val="Contenutotabella"/>
              <w:spacing w:before="120"/>
              <w:contextualSpacing/>
              <w:jc w:val="center"/>
            </w:pPr>
            <w:r w:rsidRPr="00114268">
              <w:t xml:space="preserve">(F=26.8; </w:t>
            </w:r>
            <w:proofErr w:type="spellStart"/>
            <w:r w:rsidRPr="00114268">
              <w:t>d.f.</w:t>
            </w:r>
            <w:proofErr w:type="spellEnd"/>
            <w:r w:rsidRPr="00114268">
              <w:t>=2)</w:t>
            </w:r>
          </w:p>
        </w:tc>
      </w:tr>
      <w:tr w:rsidR="008F5FE6" w:rsidRPr="00114268" w14:paraId="45B88922" w14:textId="77777777" w:rsidTr="00810042">
        <w:trPr>
          <w:trHeight w:val="380"/>
        </w:trPr>
        <w:tc>
          <w:tcPr>
            <w:tcW w:w="3964" w:type="dxa"/>
            <w:shd w:val="clear" w:color="auto" w:fill="auto"/>
          </w:tcPr>
          <w:p w14:paraId="6CC90FF7" w14:textId="77777777" w:rsidR="008F5FE6" w:rsidRPr="00114268" w:rsidRDefault="008F5FE6" w:rsidP="00F32034">
            <w:pPr>
              <w:pStyle w:val="Contenutotabella"/>
              <w:ind w:left="57"/>
            </w:pPr>
            <w:r w:rsidRPr="00114268">
              <w:t>Current full scale IQ, mean WAIS-R (</w:t>
            </w:r>
            <w:proofErr w:type="spellStart"/>
            <w:proofErr w:type="gramStart"/>
            <w:r w:rsidRPr="00114268">
              <w:t>s.d</w:t>
            </w:r>
            <w:proofErr w:type="spellEnd"/>
            <w:r w:rsidRPr="00114268">
              <w:t>)</w:t>
            </w:r>
            <w:r w:rsidRPr="00114268">
              <w:rPr>
                <w:kern w:val="1"/>
                <w:vertAlign w:val="superscript"/>
              </w:rPr>
              <w:t>f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14:paraId="787668FE" w14:textId="77777777" w:rsidR="008F5FE6" w:rsidRPr="00114268" w:rsidRDefault="008F5FE6" w:rsidP="00F32034">
            <w:pPr>
              <w:pStyle w:val="Contenutotabella"/>
              <w:spacing w:before="120"/>
              <w:jc w:val="center"/>
            </w:pPr>
            <w:r w:rsidRPr="00114268">
              <w:t>85.95 (14.39)</w:t>
            </w:r>
          </w:p>
        </w:tc>
        <w:tc>
          <w:tcPr>
            <w:tcW w:w="1559" w:type="dxa"/>
          </w:tcPr>
          <w:p w14:paraId="71A6D89F" w14:textId="77777777" w:rsidR="008F5FE6" w:rsidRPr="00114268" w:rsidRDefault="008F5FE6" w:rsidP="00F32034">
            <w:pPr>
              <w:pStyle w:val="Contenutotabella"/>
              <w:spacing w:before="120"/>
              <w:jc w:val="center"/>
            </w:pPr>
            <w:r w:rsidRPr="00114268">
              <w:t>95.92 (17.32)</w:t>
            </w:r>
          </w:p>
        </w:tc>
        <w:tc>
          <w:tcPr>
            <w:tcW w:w="1559" w:type="dxa"/>
          </w:tcPr>
          <w:p w14:paraId="28D151CF" w14:textId="77777777" w:rsidR="008F5FE6" w:rsidRPr="00114268" w:rsidRDefault="008F5FE6" w:rsidP="00F32034">
            <w:pPr>
              <w:pStyle w:val="Contenutotabella"/>
              <w:spacing w:before="120"/>
              <w:jc w:val="center"/>
            </w:pPr>
            <w:r w:rsidRPr="00114268">
              <w:t>105.30 (14.61)</w:t>
            </w:r>
          </w:p>
        </w:tc>
        <w:tc>
          <w:tcPr>
            <w:tcW w:w="2126" w:type="dxa"/>
            <w:shd w:val="clear" w:color="auto" w:fill="auto"/>
          </w:tcPr>
          <w:p w14:paraId="013C4A65" w14:textId="77777777" w:rsidR="008F5FE6" w:rsidRPr="00114268" w:rsidRDefault="008F5FE6" w:rsidP="00F32034">
            <w:pPr>
              <w:pStyle w:val="Contenutotabella"/>
              <w:snapToGrid w:val="0"/>
              <w:jc w:val="center"/>
            </w:pPr>
            <w:r w:rsidRPr="00114268">
              <w:t>&lt;0.001</w:t>
            </w:r>
          </w:p>
          <w:p w14:paraId="00FEB027" w14:textId="77777777" w:rsidR="008F5FE6" w:rsidRPr="00114268" w:rsidRDefault="008F5FE6" w:rsidP="00F32034">
            <w:pPr>
              <w:pStyle w:val="Contenutotabella"/>
              <w:snapToGrid w:val="0"/>
              <w:jc w:val="center"/>
            </w:pPr>
            <w:r w:rsidRPr="00114268">
              <w:t xml:space="preserve">(F=55.0; </w:t>
            </w:r>
            <w:proofErr w:type="spellStart"/>
            <w:r w:rsidRPr="00114268">
              <w:t>d.f.</w:t>
            </w:r>
            <w:proofErr w:type="spellEnd"/>
            <w:r w:rsidRPr="00114268">
              <w:t>=2)</w:t>
            </w:r>
          </w:p>
        </w:tc>
      </w:tr>
      <w:tr w:rsidR="008F5FE6" w:rsidRPr="00114268" w14:paraId="2541EFFD" w14:textId="77777777" w:rsidTr="00810042">
        <w:trPr>
          <w:trHeight w:val="601"/>
        </w:trPr>
        <w:tc>
          <w:tcPr>
            <w:tcW w:w="3964" w:type="dxa"/>
            <w:shd w:val="clear" w:color="auto" w:fill="auto"/>
          </w:tcPr>
          <w:p w14:paraId="5371AED5" w14:textId="77777777" w:rsidR="008F5FE6" w:rsidRPr="00114268" w:rsidRDefault="008F5FE6" w:rsidP="00F32034">
            <w:pPr>
              <w:pStyle w:val="Contenutotabella"/>
              <w:ind w:left="57"/>
            </w:pPr>
            <w:r w:rsidRPr="00114268">
              <w:t xml:space="preserve">Duration of untreated illness, weeks median (interquartile </w:t>
            </w:r>
            <w:proofErr w:type="gramStart"/>
            <w:r w:rsidRPr="00114268">
              <w:t>range)</w:t>
            </w:r>
            <w:r w:rsidRPr="00114268">
              <w:rPr>
                <w:kern w:val="1"/>
                <w:vertAlign w:val="superscript"/>
              </w:rPr>
              <w:t>g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14:paraId="4B4D0BED" w14:textId="77777777" w:rsidR="008F5FE6" w:rsidRPr="00114268" w:rsidRDefault="008F5FE6" w:rsidP="00F32034">
            <w:pPr>
              <w:pStyle w:val="Contenutotabella"/>
              <w:spacing w:before="120"/>
              <w:jc w:val="center"/>
            </w:pPr>
            <w:r w:rsidRPr="00114268">
              <w:t>21</w:t>
            </w:r>
            <w:r>
              <w:t xml:space="preserve"> </w:t>
            </w:r>
            <w:r w:rsidRPr="00114268">
              <w:t>(5-71)</w:t>
            </w:r>
          </w:p>
        </w:tc>
        <w:tc>
          <w:tcPr>
            <w:tcW w:w="1559" w:type="dxa"/>
          </w:tcPr>
          <w:p w14:paraId="65CF682D" w14:textId="77777777" w:rsidR="008F5FE6" w:rsidRPr="00114268" w:rsidRDefault="008F5FE6" w:rsidP="00F32034">
            <w:pPr>
              <w:pStyle w:val="Contenutotabella"/>
              <w:spacing w:before="120"/>
              <w:jc w:val="center"/>
            </w:pPr>
            <w:r w:rsidRPr="00114268">
              <w:t>3</w:t>
            </w:r>
            <w:r>
              <w:t xml:space="preserve"> </w:t>
            </w:r>
            <w:r w:rsidRPr="00114268">
              <w:t>(1-6)</w:t>
            </w:r>
          </w:p>
        </w:tc>
        <w:tc>
          <w:tcPr>
            <w:tcW w:w="1559" w:type="dxa"/>
          </w:tcPr>
          <w:p w14:paraId="60DC6175" w14:textId="77777777" w:rsidR="008F5FE6" w:rsidRPr="00114268" w:rsidRDefault="008F5FE6" w:rsidP="00F32034">
            <w:pPr>
              <w:pStyle w:val="Contenutotabella"/>
              <w:snapToGrid w:val="0"/>
              <w:jc w:val="center"/>
            </w:pPr>
            <w:r w:rsidRPr="00114268">
              <w:t>-</w:t>
            </w:r>
          </w:p>
        </w:tc>
        <w:tc>
          <w:tcPr>
            <w:tcW w:w="2126" w:type="dxa"/>
            <w:shd w:val="clear" w:color="auto" w:fill="auto"/>
          </w:tcPr>
          <w:p w14:paraId="0193C0EA" w14:textId="77777777" w:rsidR="008F5FE6" w:rsidRPr="00114268" w:rsidRDefault="008F5FE6" w:rsidP="00F32034">
            <w:pPr>
              <w:pStyle w:val="Contenutotabella"/>
              <w:snapToGrid w:val="0"/>
              <w:jc w:val="center"/>
            </w:pPr>
            <w:r w:rsidRPr="00114268">
              <w:t>&lt;0.001</w:t>
            </w:r>
          </w:p>
          <w:p w14:paraId="1C5C8AB5" w14:textId="5417D6AF" w:rsidR="008F5FE6" w:rsidRPr="00114268" w:rsidRDefault="008F5FE6" w:rsidP="00F32034">
            <w:pPr>
              <w:pStyle w:val="Contenutotabella"/>
              <w:snapToGrid w:val="0"/>
              <w:jc w:val="center"/>
            </w:pPr>
            <w:r w:rsidRPr="00114268">
              <w:t xml:space="preserve">(t=9.0; </w:t>
            </w:r>
            <w:proofErr w:type="spellStart"/>
            <w:r w:rsidRPr="00114268">
              <w:t>d.f.</w:t>
            </w:r>
            <w:proofErr w:type="spellEnd"/>
            <w:r w:rsidRPr="00114268">
              <w:t>=204)</w:t>
            </w:r>
          </w:p>
        </w:tc>
      </w:tr>
      <w:tr w:rsidR="008F5FE6" w:rsidRPr="00114268" w14:paraId="241FB265" w14:textId="77777777" w:rsidTr="00810042">
        <w:trPr>
          <w:trHeight w:val="530"/>
        </w:trPr>
        <w:tc>
          <w:tcPr>
            <w:tcW w:w="3964" w:type="dxa"/>
            <w:shd w:val="clear" w:color="auto" w:fill="auto"/>
          </w:tcPr>
          <w:p w14:paraId="6DA07EA8" w14:textId="77777777" w:rsidR="008F5FE6" w:rsidRPr="00114268" w:rsidRDefault="008F5FE6" w:rsidP="00F32034">
            <w:pPr>
              <w:pStyle w:val="Contenutotabella"/>
              <w:ind w:left="57"/>
            </w:pPr>
            <w:r w:rsidRPr="00114268">
              <w:t xml:space="preserve">Duration of illness, weeks median (interquartile </w:t>
            </w:r>
            <w:proofErr w:type="gramStart"/>
            <w:r w:rsidRPr="00114268">
              <w:t>range)</w:t>
            </w:r>
            <w:r w:rsidRPr="00114268">
              <w:rPr>
                <w:kern w:val="1"/>
                <w:vertAlign w:val="superscript"/>
              </w:rPr>
              <w:t>h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14:paraId="4127EF00" w14:textId="77777777" w:rsidR="008F5FE6" w:rsidRPr="00114268" w:rsidRDefault="008F5FE6" w:rsidP="00F32034">
            <w:pPr>
              <w:pStyle w:val="Contenutotabella"/>
              <w:jc w:val="center"/>
            </w:pPr>
            <w:r w:rsidRPr="00114268">
              <w:t>39</w:t>
            </w:r>
            <w:r>
              <w:t xml:space="preserve"> </w:t>
            </w:r>
            <w:r w:rsidRPr="00114268">
              <w:t>(17-94)</w:t>
            </w:r>
          </w:p>
        </w:tc>
        <w:tc>
          <w:tcPr>
            <w:tcW w:w="1559" w:type="dxa"/>
          </w:tcPr>
          <w:p w14:paraId="3408ADE4" w14:textId="77777777" w:rsidR="008F5FE6" w:rsidRPr="00114268" w:rsidRDefault="008F5FE6" w:rsidP="00F32034">
            <w:pPr>
              <w:pStyle w:val="Contenutotabella"/>
              <w:jc w:val="center"/>
            </w:pPr>
            <w:r w:rsidRPr="00114268">
              <w:t>14</w:t>
            </w:r>
            <w:r>
              <w:t xml:space="preserve"> </w:t>
            </w:r>
            <w:r w:rsidRPr="00114268">
              <w:t>(9-29)</w:t>
            </w:r>
          </w:p>
        </w:tc>
        <w:tc>
          <w:tcPr>
            <w:tcW w:w="1559" w:type="dxa"/>
          </w:tcPr>
          <w:p w14:paraId="4C03C3F7" w14:textId="77777777" w:rsidR="008F5FE6" w:rsidRPr="00114268" w:rsidRDefault="008F5FE6" w:rsidP="00F32034">
            <w:pPr>
              <w:pStyle w:val="Contenutotabella"/>
              <w:snapToGrid w:val="0"/>
              <w:ind w:hanging="709"/>
              <w:jc w:val="center"/>
            </w:pPr>
            <w:r>
              <w:t xml:space="preserve">             </w:t>
            </w:r>
            <w:r w:rsidRPr="00114268">
              <w:t>-</w:t>
            </w:r>
          </w:p>
        </w:tc>
        <w:tc>
          <w:tcPr>
            <w:tcW w:w="2126" w:type="dxa"/>
            <w:shd w:val="clear" w:color="auto" w:fill="auto"/>
          </w:tcPr>
          <w:p w14:paraId="4781C727" w14:textId="77777777" w:rsidR="008F5FE6" w:rsidRPr="00114268" w:rsidRDefault="008F5FE6" w:rsidP="00F32034">
            <w:pPr>
              <w:pStyle w:val="Contenutotabella"/>
              <w:snapToGrid w:val="0"/>
              <w:jc w:val="center"/>
            </w:pPr>
            <w:r w:rsidRPr="00114268">
              <w:t>&lt;0.001</w:t>
            </w:r>
          </w:p>
          <w:p w14:paraId="58C1F6A3" w14:textId="3193D71C" w:rsidR="008F5FE6" w:rsidRPr="00114268" w:rsidRDefault="008F5FE6" w:rsidP="00F32034">
            <w:pPr>
              <w:pStyle w:val="Contenutotabella"/>
              <w:snapToGrid w:val="0"/>
              <w:jc w:val="center"/>
              <w:rPr>
                <w:b/>
                <w:bCs/>
              </w:rPr>
            </w:pPr>
            <w:r w:rsidRPr="00114268">
              <w:t xml:space="preserve">(t=5.1; </w:t>
            </w:r>
            <w:proofErr w:type="spellStart"/>
            <w:r w:rsidRPr="00114268">
              <w:t>d.f.</w:t>
            </w:r>
            <w:proofErr w:type="spellEnd"/>
            <w:r w:rsidRPr="00114268">
              <w:t>=195)</w:t>
            </w:r>
          </w:p>
        </w:tc>
      </w:tr>
      <w:tr w:rsidR="008F5FE6" w:rsidRPr="00114268" w14:paraId="026849B5" w14:textId="77777777" w:rsidTr="00810042">
        <w:trPr>
          <w:trHeight w:val="380"/>
        </w:trPr>
        <w:tc>
          <w:tcPr>
            <w:tcW w:w="3964" w:type="dxa"/>
            <w:shd w:val="clear" w:color="auto" w:fill="auto"/>
          </w:tcPr>
          <w:p w14:paraId="6F0B84BC" w14:textId="77777777" w:rsidR="008F5FE6" w:rsidRPr="00114268" w:rsidRDefault="008F5FE6" w:rsidP="00F32034">
            <w:pPr>
              <w:pStyle w:val="Contenutotabella"/>
              <w:ind w:left="57"/>
            </w:pPr>
            <w:r w:rsidRPr="00114268">
              <w:t>Lifetime diagnosis, n (%):</w:t>
            </w:r>
            <w:r w:rsidRPr="00114268">
              <w:rPr>
                <w:kern w:val="1"/>
                <w:vertAlign w:val="superscript"/>
              </w:rPr>
              <w:t xml:space="preserve"> </w:t>
            </w:r>
          </w:p>
          <w:p w14:paraId="27F01B68" w14:textId="77777777" w:rsidR="008F5FE6" w:rsidRPr="00114268" w:rsidRDefault="008F5FE6" w:rsidP="00F32034">
            <w:pPr>
              <w:pStyle w:val="Contenutotabella"/>
              <w:ind w:left="57"/>
            </w:pPr>
            <w:r w:rsidRPr="00114268">
              <w:t xml:space="preserve"> Schizophrenia</w:t>
            </w:r>
          </w:p>
          <w:p w14:paraId="4158290B" w14:textId="77777777" w:rsidR="008F5FE6" w:rsidRPr="00114268" w:rsidRDefault="008F5FE6" w:rsidP="00F32034">
            <w:pPr>
              <w:pStyle w:val="Contenutotabella"/>
              <w:ind w:left="57"/>
            </w:pPr>
            <w:r w:rsidRPr="00114268">
              <w:t xml:space="preserve"> Affective psychosis</w:t>
            </w:r>
          </w:p>
          <w:p w14:paraId="6E2B50AD" w14:textId="77777777" w:rsidR="008F5FE6" w:rsidRPr="00114268" w:rsidRDefault="008F5FE6" w:rsidP="00F32034">
            <w:pPr>
              <w:pStyle w:val="Contenutotabella"/>
              <w:ind w:left="57"/>
            </w:pPr>
            <w:r w:rsidRPr="00114268">
              <w:t xml:space="preserve"> Other psychosis</w:t>
            </w:r>
          </w:p>
        </w:tc>
        <w:tc>
          <w:tcPr>
            <w:tcW w:w="1560" w:type="dxa"/>
            <w:shd w:val="clear" w:color="auto" w:fill="auto"/>
          </w:tcPr>
          <w:p w14:paraId="0EC2FA35" w14:textId="77777777" w:rsidR="008F5FE6" w:rsidRPr="00114268" w:rsidRDefault="008F5FE6" w:rsidP="00F32034">
            <w:pPr>
              <w:pStyle w:val="Contenutotabella"/>
              <w:snapToGrid w:val="0"/>
              <w:jc w:val="center"/>
            </w:pPr>
          </w:p>
          <w:p w14:paraId="69057262" w14:textId="77777777" w:rsidR="008F5FE6" w:rsidRPr="00114268" w:rsidRDefault="008F5FE6" w:rsidP="00F32034">
            <w:pPr>
              <w:pStyle w:val="Contenutotabella"/>
              <w:snapToGrid w:val="0"/>
              <w:jc w:val="center"/>
            </w:pPr>
            <w:r w:rsidRPr="00114268">
              <w:t>82 (56)</w:t>
            </w:r>
          </w:p>
          <w:p w14:paraId="1101FD1C" w14:textId="77777777" w:rsidR="008F5FE6" w:rsidRPr="00114268" w:rsidRDefault="008F5FE6" w:rsidP="00F32034">
            <w:pPr>
              <w:pStyle w:val="Contenutotabella"/>
              <w:snapToGrid w:val="0"/>
              <w:jc w:val="center"/>
            </w:pPr>
            <w:r w:rsidRPr="00114268">
              <w:t>34 (23)</w:t>
            </w:r>
          </w:p>
          <w:p w14:paraId="1457D70B" w14:textId="77777777" w:rsidR="008F5FE6" w:rsidRPr="00114268" w:rsidRDefault="008F5FE6" w:rsidP="00F32034">
            <w:pPr>
              <w:pStyle w:val="Contenutotabella"/>
              <w:snapToGrid w:val="0"/>
              <w:jc w:val="center"/>
            </w:pPr>
            <w:r w:rsidRPr="00114268">
              <w:t>31(21)</w:t>
            </w:r>
          </w:p>
        </w:tc>
        <w:tc>
          <w:tcPr>
            <w:tcW w:w="1559" w:type="dxa"/>
          </w:tcPr>
          <w:p w14:paraId="08E1797F" w14:textId="77777777" w:rsidR="008F5FE6" w:rsidRPr="00114268" w:rsidRDefault="008F5FE6" w:rsidP="00F32034">
            <w:pPr>
              <w:pStyle w:val="Contenutotabella"/>
              <w:snapToGrid w:val="0"/>
              <w:jc w:val="center"/>
            </w:pPr>
          </w:p>
          <w:p w14:paraId="4CFEAEF7" w14:textId="77777777" w:rsidR="008F5FE6" w:rsidRPr="00114268" w:rsidRDefault="008F5FE6" w:rsidP="00F32034">
            <w:pPr>
              <w:pStyle w:val="Contenutotabella"/>
              <w:snapToGrid w:val="0"/>
              <w:jc w:val="center"/>
            </w:pPr>
            <w:r w:rsidRPr="00114268">
              <w:t>16 (19)</w:t>
            </w:r>
          </w:p>
          <w:p w14:paraId="618B0B8D" w14:textId="77777777" w:rsidR="008F5FE6" w:rsidRPr="00114268" w:rsidRDefault="008F5FE6" w:rsidP="00F32034">
            <w:pPr>
              <w:pStyle w:val="Contenutotabella"/>
              <w:snapToGrid w:val="0"/>
              <w:jc w:val="center"/>
            </w:pPr>
            <w:r w:rsidRPr="00114268">
              <w:t>51 (59)</w:t>
            </w:r>
          </w:p>
          <w:p w14:paraId="2E47078D" w14:textId="77777777" w:rsidR="008F5FE6" w:rsidRPr="00114268" w:rsidRDefault="008F5FE6" w:rsidP="00F32034">
            <w:pPr>
              <w:pStyle w:val="Contenutotabella"/>
              <w:snapToGrid w:val="0"/>
              <w:jc w:val="center"/>
            </w:pPr>
            <w:r w:rsidRPr="00114268">
              <w:t>20 (23)</w:t>
            </w:r>
          </w:p>
        </w:tc>
        <w:tc>
          <w:tcPr>
            <w:tcW w:w="1559" w:type="dxa"/>
          </w:tcPr>
          <w:p w14:paraId="75F97234" w14:textId="77777777" w:rsidR="008F5FE6" w:rsidRPr="00114268" w:rsidRDefault="008F5FE6" w:rsidP="00F32034">
            <w:pPr>
              <w:pStyle w:val="Contenutotabella"/>
              <w:snapToGrid w:val="0"/>
              <w:jc w:val="center"/>
            </w:pPr>
            <w:r w:rsidRPr="00114268">
              <w:t>-</w:t>
            </w:r>
          </w:p>
        </w:tc>
        <w:tc>
          <w:tcPr>
            <w:tcW w:w="2126" w:type="dxa"/>
            <w:shd w:val="clear" w:color="auto" w:fill="auto"/>
          </w:tcPr>
          <w:p w14:paraId="7D9F27C1" w14:textId="77777777" w:rsidR="008F5FE6" w:rsidRPr="00114268" w:rsidRDefault="008F5FE6" w:rsidP="00F32034">
            <w:pPr>
              <w:pStyle w:val="Contenutotabella"/>
              <w:snapToGrid w:val="0"/>
              <w:jc w:val="center"/>
            </w:pPr>
          </w:p>
          <w:p w14:paraId="5DC5027C" w14:textId="77777777" w:rsidR="008F5FE6" w:rsidRPr="00114268" w:rsidRDefault="008F5FE6" w:rsidP="00F32034">
            <w:pPr>
              <w:jc w:val="center"/>
              <w:rPr>
                <w:kern w:val="1"/>
                <w:vertAlign w:val="superscript"/>
              </w:rPr>
            </w:pPr>
            <w:r w:rsidRPr="00114268">
              <w:t>&lt;0.001</w:t>
            </w:r>
            <w:r w:rsidRPr="00114268">
              <w:rPr>
                <w:kern w:val="1"/>
                <w:vertAlign w:val="superscript"/>
              </w:rPr>
              <w:t>i</w:t>
            </w:r>
          </w:p>
          <w:p w14:paraId="69FD341F" w14:textId="77777777" w:rsidR="008F5FE6" w:rsidRPr="00114268" w:rsidRDefault="008F5FE6" w:rsidP="00F32034">
            <w:pPr>
              <w:jc w:val="center"/>
            </w:pPr>
            <w:r w:rsidRPr="00114268">
              <w:t>(</w:t>
            </w:r>
            <w:r w:rsidRPr="00114268">
              <w:rPr>
                <w:bCs/>
              </w:rPr>
              <w:t>x</w:t>
            </w:r>
            <w:r w:rsidRPr="00114268">
              <w:rPr>
                <w:kern w:val="1"/>
                <w:vertAlign w:val="superscript"/>
              </w:rPr>
              <w:t>2</w:t>
            </w:r>
            <w:r w:rsidRPr="00114268">
              <w:t xml:space="preserve">=37.3; </w:t>
            </w:r>
            <w:proofErr w:type="spellStart"/>
            <w:proofErr w:type="gramStart"/>
            <w:r w:rsidRPr="00114268">
              <w:t>d.f</w:t>
            </w:r>
            <w:proofErr w:type="spellEnd"/>
            <w:proofErr w:type="gramEnd"/>
            <w:r w:rsidRPr="00114268">
              <w:t>=2)</w:t>
            </w:r>
          </w:p>
          <w:p w14:paraId="31C58ABD" w14:textId="77777777" w:rsidR="008F5FE6" w:rsidRPr="00114268" w:rsidRDefault="008F5FE6" w:rsidP="00F32034">
            <w:pPr>
              <w:pStyle w:val="Contenutotabella"/>
              <w:snapToGrid w:val="0"/>
            </w:pPr>
          </w:p>
        </w:tc>
      </w:tr>
      <w:tr w:rsidR="008F5FE6" w:rsidRPr="00114268" w14:paraId="18F49987" w14:textId="77777777" w:rsidTr="00810042">
        <w:trPr>
          <w:trHeight w:val="593"/>
        </w:trPr>
        <w:tc>
          <w:tcPr>
            <w:tcW w:w="3964" w:type="dxa"/>
            <w:shd w:val="clear" w:color="auto" w:fill="auto"/>
          </w:tcPr>
          <w:p w14:paraId="75E05E72" w14:textId="77777777" w:rsidR="008F5FE6" w:rsidRPr="00114268" w:rsidRDefault="008F5FE6" w:rsidP="00F32034">
            <w:pPr>
              <w:ind w:left="57"/>
            </w:pPr>
            <w:r w:rsidRPr="00114268">
              <w:t>SCAN symptoms, mean (SD)</w:t>
            </w:r>
            <w:r w:rsidRPr="00114268">
              <w:rPr>
                <w:kern w:val="1"/>
                <w:vertAlign w:val="superscript"/>
              </w:rPr>
              <w:t>j</w:t>
            </w:r>
          </w:p>
          <w:p w14:paraId="3B943660" w14:textId="77777777" w:rsidR="008F5FE6" w:rsidRPr="00114268" w:rsidRDefault="008F5FE6" w:rsidP="00F32034">
            <w:pPr>
              <w:ind w:left="57"/>
            </w:pPr>
            <w:r w:rsidRPr="00114268">
              <w:t xml:space="preserve">  Positive</w:t>
            </w:r>
          </w:p>
          <w:p w14:paraId="3FF6CE20" w14:textId="77777777" w:rsidR="008F5FE6" w:rsidRPr="00114268" w:rsidRDefault="008F5FE6" w:rsidP="00F32034">
            <w:pPr>
              <w:ind w:left="57"/>
            </w:pPr>
            <w:r w:rsidRPr="00114268">
              <w:t xml:space="preserve">  Depressive</w:t>
            </w:r>
          </w:p>
          <w:p w14:paraId="7A4E85E0" w14:textId="77777777" w:rsidR="008F5FE6" w:rsidRPr="00114268" w:rsidRDefault="008F5FE6" w:rsidP="00F32034">
            <w:pPr>
              <w:ind w:left="57"/>
            </w:pPr>
            <w:r w:rsidRPr="00114268">
              <w:t xml:space="preserve">  Hypomania</w:t>
            </w:r>
          </w:p>
          <w:p w14:paraId="3172E3ED" w14:textId="77777777" w:rsidR="008F5FE6" w:rsidRPr="00114268" w:rsidRDefault="008F5FE6" w:rsidP="00F32034">
            <w:pPr>
              <w:ind w:left="57"/>
            </w:pPr>
            <w:r w:rsidRPr="00114268">
              <w:t xml:space="preserve">  Negative</w:t>
            </w:r>
          </w:p>
          <w:p w14:paraId="1F9ED730" w14:textId="77777777" w:rsidR="008F5FE6" w:rsidRPr="00114268" w:rsidRDefault="008F5FE6" w:rsidP="00F32034">
            <w:pPr>
              <w:ind w:left="57"/>
              <w:rPr>
                <w:i/>
              </w:rPr>
            </w:pPr>
            <w:r w:rsidRPr="00114268">
              <w:t xml:space="preserve">  Total</w:t>
            </w:r>
          </w:p>
        </w:tc>
        <w:tc>
          <w:tcPr>
            <w:tcW w:w="1560" w:type="dxa"/>
            <w:shd w:val="clear" w:color="auto" w:fill="auto"/>
          </w:tcPr>
          <w:p w14:paraId="2BB208FB" w14:textId="77777777" w:rsidR="008F5FE6" w:rsidRPr="00114268" w:rsidRDefault="008F5FE6" w:rsidP="00F32034">
            <w:pPr>
              <w:pStyle w:val="Contenutotabella"/>
              <w:jc w:val="center"/>
            </w:pPr>
          </w:p>
          <w:p w14:paraId="680F5607" w14:textId="77777777" w:rsidR="008F5FE6" w:rsidRPr="00114268" w:rsidRDefault="008F5FE6" w:rsidP="00F32034">
            <w:pPr>
              <w:pStyle w:val="Contenutotabella"/>
              <w:jc w:val="center"/>
            </w:pPr>
            <w:r w:rsidRPr="00114268">
              <w:t>6.41 (4.43)</w:t>
            </w:r>
          </w:p>
          <w:p w14:paraId="2F644A5F" w14:textId="77777777" w:rsidR="008F5FE6" w:rsidRPr="00114268" w:rsidRDefault="008F5FE6" w:rsidP="00F32034">
            <w:pPr>
              <w:pStyle w:val="Contenutotabella"/>
              <w:jc w:val="center"/>
            </w:pPr>
            <w:r w:rsidRPr="00114268">
              <w:t>1.43 (2.08)</w:t>
            </w:r>
          </w:p>
          <w:p w14:paraId="3585F3B5" w14:textId="77777777" w:rsidR="008F5FE6" w:rsidRPr="00114268" w:rsidRDefault="008F5FE6" w:rsidP="00F32034">
            <w:pPr>
              <w:pStyle w:val="Contenutotabella"/>
              <w:jc w:val="center"/>
            </w:pPr>
            <w:r w:rsidRPr="00114268">
              <w:t>0.82 (1.54)</w:t>
            </w:r>
          </w:p>
          <w:p w14:paraId="6EE32E62" w14:textId="77777777" w:rsidR="008F5FE6" w:rsidRPr="00114268" w:rsidRDefault="008F5FE6" w:rsidP="00F32034">
            <w:pPr>
              <w:pStyle w:val="Contenutotabella"/>
              <w:jc w:val="center"/>
            </w:pPr>
            <w:r w:rsidRPr="00114268">
              <w:t>0.55 (0.73)</w:t>
            </w:r>
          </w:p>
          <w:p w14:paraId="1C775852" w14:textId="77777777" w:rsidR="008F5FE6" w:rsidRPr="00114268" w:rsidRDefault="008F5FE6" w:rsidP="00F32034">
            <w:pPr>
              <w:pStyle w:val="Contenutotabella"/>
              <w:jc w:val="center"/>
            </w:pPr>
            <w:r w:rsidRPr="00114268">
              <w:t>11.79(6.07)</w:t>
            </w:r>
          </w:p>
        </w:tc>
        <w:tc>
          <w:tcPr>
            <w:tcW w:w="1559" w:type="dxa"/>
          </w:tcPr>
          <w:p w14:paraId="2983F8DD" w14:textId="77777777" w:rsidR="008F5FE6" w:rsidRPr="00114268" w:rsidRDefault="008F5FE6" w:rsidP="00F32034">
            <w:pPr>
              <w:pStyle w:val="Contenutotabella"/>
              <w:jc w:val="center"/>
            </w:pPr>
          </w:p>
          <w:p w14:paraId="46EEFD2B" w14:textId="77777777" w:rsidR="008F5FE6" w:rsidRPr="00114268" w:rsidRDefault="008F5FE6" w:rsidP="00F32034">
            <w:pPr>
              <w:pStyle w:val="Contenutotabella"/>
              <w:jc w:val="center"/>
            </w:pPr>
            <w:r w:rsidRPr="00114268">
              <w:t>4.51 (3.47)</w:t>
            </w:r>
          </w:p>
          <w:p w14:paraId="59732E04" w14:textId="77777777" w:rsidR="008F5FE6" w:rsidRPr="00114268" w:rsidRDefault="008F5FE6" w:rsidP="00F32034">
            <w:pPr>
              <w:pStyle w:val="Contenutotabella"/>
              <w:jc w:val="center"/>
            </w:pPr>
            <w:r w:rsidRPr="00114268">
              <w:t>1.22 (1.52)</w:t>
            </w:r>
          </w:p>
          <w:p w14:paraId="32B92FAA" w14:textId="77777777" w:rsidR="008F5FE6" w:rsidRPr="00114268" w:rsidRDefault="008F5FE6" w:rsidP="00F32034">
            <w:pPr>
              <w:pStyle w:val="Contenutotabella"/>
              <w:jc w:val="center"/>
            </w:pPr>
            <w:r w:rsidRPr="00114268">
              <w:t>2.45 (2.69)</w:t>
            </w:r>
          </w:p>
          <w:p w14:paraId="056648EE" w14:textId="77777777" w:rsidR="008F5FE6" w:rsidRPr="00114268" w:rsidRDefault="008F5FE6" w:rsidP="00F32034">
            <w:pPr>
              <w:pStyle w:val="Contenutotabella"/>
              <w:jc w:val="center"/>
            </w:pPr>
            <w:r w:rsidRPr="00114268">
              <w:t>0.25 (0.53)</w:t>
            </w:r>
          </w:p>
          <w:p w14:paraId="40088078" w14:textId="77777777" w:rsidR="008F5FE6" w:rsidRPr="00114268" w:rsidRDefault="008F5FE6" w:rsidP="00F32034">
            <w:pPr>
              <w:pStyle w:val="Contenutotabella"/>
              <w:snapToGrid w:val="0"/>
              <w:jc w:val="center"/>
            </w:pPr>
            <w:r w:rsidRPr="00114268">
              <w:t>10.26 (5.41)</w:t>
            </w:r>
          </w:p>
        </w:tc>
        <w:tc>
          <w:tcPr>
            <w:tcW w:w="1559" w:type="dxa"/>
          </w:tcPr>
          <w:p w14:paraId="3813B68A" w14:textId="77777777" w:rsidR="0004184E" w:rsidRDefault="0004184E" w:rsidP="00F32034">
            <w:pPr>
              <w:pStyle w:val="Contenutotabella"/>
              <w:snapToGrid w:val="0"/>
              <w:jc w:val="center"/>
            </w:pPr>
          </w:p>
          <w:p w14:paraId="5089C463" w14:textId="77777777" w:rsidR="0004184E" w:rsidRDefault="0004184E" w:rsidP="00F32034">
            <w:pPr>
              <w:pStyle w:val="Contenutotabella"/>
              <w:snapToGrid w:val="0"/>
              <w:jc w:val="center"/>
            </w:pPr>
          </w:p>
          <w:p w14:paraId="2135434D" w14:textId="674EAE83" w:rsidR="008F5FE6" w:rsidRPr="00114268" w:rsidRDefault="008F5FE6" w:rsidP="00F32034">
            <w:pPr>
              <w:pStyle w:val="Contenutotabella"/>
              <w:snapToGrid w:val="0"/>
              <w:jc w:val="center"/>
            </w:pPr>
            <w:r w:rsidRPr="00114268">
              <w:t>-</w:t>
            </w:r>
          </w:p>
        </w:tc>
        <w:tc>
          <w:tcPr>
            <w:tcW w:w="2126" w:type="dxa"/>
            <w:shd w:val="clear" w:color="auto" w:fill="auto"/>
          </w:tcPr>
          <w:p w14:paraId="1363B44C" w14:textId="77777777" w:rsidR="008F5FE6" w:rsidRPr="00114268" w:rsidRDefault="008F5FE6" w:rsidP="00F32034">
            <w:pPr>
              <w:pStyle w:val="Contenutotabella"/>
              <w:snapToGrid w:val="0"/>
              <w:jc w:val="center"/>
            </w:pPr>
          </w:p>
          <w:p w14:paraId="73087A7C" w14:textId="77777777" w:rsidR="008F5FE6" w:rsidRPr="00114268" w:rsidRDefault="008F5FE6" w:rsidP="00F32034">
            <w:pPr>
              <w:pStyle w:val="Contenutotabella"/>
              <w:snapToGrid w:val="0"/>
              <w:jc w:val="center"/>
            </w:pPr>
            <w:r w:rsidRPr="00114268">
              <w:t xml:space="preserve">0.001 (t=3.3; </w:t>
            </w:r>
            <w:proofErr w:type="spellStart"/>
            <w:r w:rsidRPr="00114268">
              <w:t>d.f.</w:t>
            </w:r>
            <w:proofErr w:type="spellEnd"/>
            <w:r w:rsidRPr="00114268">
              <w:t>=167)</w:t>
            </w:r>
          </w:p>
          <w:p w14:paraId="274FCDB3" w14:textId="77777777" w:rsidR="008F5FE6" w:rsidRPr="00114268" w:rsidRDefault="008F5FE6" w:rsidP="00F32034">
            <w:pPr>
              <w:pStyle w:val="Contenutotabella"/>
              <w:snapToGrid w:val="0"/>
              <w:jc w:val="center"/>
            </w:pPr>
            <w:r w:rsidRPr="00114268">
              <w:t xml:space="preserve">Ns (t=0.7; </w:t>
            </w:r>
            <w:proofErr w:type="spellStart"/>
            <w:r w:rsidRPr="00114268">
              <w:t>d.f.</w:t>
            </w:r>
            <w:proofErr w:type="spellEnd"/>
            <w:r w:rsidRPr="00114268">
              <w:t>=195)</w:t>
            </w:r>
          </w:p>
          <w:p w14:paraId="3B93202C" w14:textId="77777777" w:rsidR="008F5FE6" w:rsidRPr="00114268" w:rsidRDefault="008F5FE6" w:rsidP="00F32034">
            <w:pPr>
              <w:pStyle w:val="Contenutotabella"/>
              <w:snapToGrid w:val="0"/>
              <w:jc w:val="center"/>
            </w:pPr>
            <w:r w:rsidRPr="00114268">
              <w:t xml:space="preserve">&lt;0.001(t=-4.6; </w:t>
            </w:r>
            <w:proofErr w:type="spellStart"/>
            <w:r w:rsidRPr="00114268">
              <w:t>d.f.</w:t>
            </w:r>
            <w:proofErr w:type="spellEnd"/>
            <w:r w:rsidRPr="00114268">
              <w:t>=91)</w:t>
            </w:r>
          </w:p>
          <w:p w14:paraId="16461127" w14:textId="77777777" w:rsidR="008F5FE6" w:rsidRPr="00114268" w:rsidRDefault="008F5FE6" w:rsidP="00F32034">
            <w:pPr>
              <w:pStyle w:val="Contenutotabella"/>
              <w:snapToGrid w:val="0"/>
              <w:jc w:val="center"/>
            </w:pPr>
            <w:r w:rsidRPr="00114268">
              <w:t xml:space="preserve">0.001(t=3.31; </w:t>
            </w:r>
            <w:proofErr w:type="spellStart"/>
            <w:r w:rsidRPr="00114268">
              <w:t>d.f.</w:t>
            </w:r>
            <w:proofErr w:type="spellEnd"/>
            <w:r w:rsidRPr="00114268">
              <w:t>=176)</w:t>
            </w:r>
          </w:p>
          <w:p w14:paraId="190CBE7E" w14:textId="77777777" w:rsidR="008F5FE6" w:rsidRPr="00114268" w:rsidRDefault="008F5FE6" w:rsidP="00F32034">
            <w:pPr>
              <w:pStyle w:val="Contenutotabella"/>
              <w:snapToGrid w:val="0"/>
              <w:jc w:val="center"/>
            </w:pPr>
            <w:r w:rsidRPr="00114268">
              <w:t xml:space="preserve">Ns (t=1.7; </w:t>
            </w:r>
            <w:proofErr w:type="spellStart"/>
            <w:r w:rsidRPr="00114268">
              <w:t>d.f.</w:t>
            </w:r>
            <w:proofErr w:type="spellEnd"/>
            <w:r w:rsidRPr="00114268">
              <w:t>=195)</w:t>
            </w:r>
          </w:p>
        </w:tc>
      </w:tr>
      <w:tr w:rsidR="008F5FE6" w:rsidRPr="00114268" w14:paraId="10C2CF2A" w14:textId="77777777" w:rsidTr="00810042">
        <w:tc>
          <w:tcPr>
            <w:tcW w:w="3964" w:type="dxa"/>
            <w:shd w:val="clear" w:color="auto" w:fill="auto"/>
          </w:tcPr>
          <w:p w14:paraId="7AB29AE5" w14:textId="77777777" w:rsidR="008F5FE6" w:rsidRPr="008F5FE6" w:rsidRDefault="008F5FE6" w:rsidP="00F32034">
            <w:pPr>
              <w:jc w:val="center"/>
              <w:rPr>
                <w:kern w:val="1"/>
                <w:vertAlign w:val="superscript"/>
              </w:rPr>
            </w:pPr>
            <w:r w:rsidRPr="00114268">
              <w:t>Negative symptoms during follow-up, n (</w:t>
            </w:r>
            <w:proofErr w:type="gramStart"/>
            <w:r w:rsidRPr="00114268">
              <w:t>%)</w:t>
            </w:r>
            <w:r w:rsidRPr="00114268">
              <w:rPr>
                <w:kern w:val="1"/>
                <w:vertAlign w:val="superscript"/>
              </w:rPr>
              <w:t>k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14:paraId="30ED2EA4" w14:textId="77777777" w:rsidR="008F5FE6" w:rsidRPr="00114268" w:rsidRDefault="008F5FE6" w:rsidP="00F32034">
            <w:pPr>
              <w:pStyle w:val="Contenutotabella"/>
              <w:jc w:val="center"/>
            </w:pPr>
            <w:r w:rsidRPr="00114268">
              <w:t>49 (18)</w:t>
            </w:r>
          </w:p>
        </w:tc>
        <w:tc>
          <w:tcPr>
            <w:tcW w:w="1559" w:type="dxa"/>
          </w:tcPr>
          <w:p w14:paraId="16230F57" w14:textId="77777777" w:rsidR="008F5FE6" w:rsidRPr="00114268" w:rsidRDefault="008F5FE6" w:rsidP="00F32034">
            <w:pPr>
              <w:pStyle w:val="Contenutotabella"/>
              <w:jc w:val="center"/>
            </w:pPr>
            <w:r w:rsidRPr="00114268">
              <w:t>5 (6)</w:t>
            </w:r>
          </w:p>
        </w:tc>
        <w:tc>
          <w:tcPr>
            <w:tcW w:w="1559" w:type="dxa"/>
          </w:tcPr>
          <w:p w14:paraId="5A103433" w14:textId="77777777" w:rsidR="008F5FE6" w:rsidRPr="00114268" w:rsidRDefault="008F5FE6" w:rsidP="00F32034">
            <w:pPr>
              <w:pStyle w:val="Contenutotabella"/>
              <w:snapToGrid w:val="0"/>
              <w:jc w:val="center"/>
            </w:pPr>
            <w:r w:rsidRPr="00114268">
              <w:t>-</w:t>
            </w:r>
          </w:p>
        </w:tc>
        <w:tc>
          <w:tcPr>
            <w:tcW w:w="2126" w:type="dxa"/>
            <w:shd w:val="clear" w:color="auto" w:fill="auto"/>
          </w:tcPr>
          <w:p w14:paraId="3AAF8030" w14:textId="77777777" w:rsidR="008F5FE6" w:rsidRDefault="008F5FE6" w:rsidP="00F32034">
            <w:pPr>
              <w:pStyle w:val="Contenutotabella"/>
              <w:adjustRightInd w:val="0"/>
              <w:snapToGrid w:val="0"/>
              <w:jc w:val="center"/>
            </w:pPr>
            <w:r>
              <w:t>&lt;0.001</w:t>
            </w:r>
          </w:p>
          <w:p w14:paraId="79D58E58" w14:textId="68D3BA33" w:rsidR="008F5FE6" w:rsidRPr="00114268" w:rsidRDefault="008F5FE6" w:rsidP="00F32034">
            <w:pPr>
              <w:pStyle w:val="Contenutotabella"/>
              <w:adjustRightInd w:val="0"/>
              <w:snapToGrid w:val="0"/>
              <w:jc w:val="center"/>
            </w:pPr>
            <w:r>
              <w:t>(</w:t>
            </w:r>
            <w:r w:rsidR="0004184E" w:rsidRPr="00114268">
              <w:rPr>
                <w:bCs/>
              </w:rPr>
              <w:t>x</w:t>
            </w:r>
            <w:r w:rsidR="0004184E" w:rsidRPr="00114268">
              <w:rPr>
                <w:kern w:val="1"/>
                <w:vertAlign w:val="superscript"/>
              </w:rPr>
              <w:t>2</w:t>
            </w:r>
            <w:r>
              <w:t xml:space="preserve">=21; </w:t>
            </w:r>
            <w:proofErr w:type="spellStart"/>
            <w:r>
              <w:t>d.f.</w:t>
            </w:r>
            <w:proofErr w:type="spellEnd"/>
            <w:r>
              <w:t>=1)</w:t>
            </w:r>
          </w:p>
        </w:tc>
      </w:tr>
      <w:tr w:rsidR="002866A4" w:rsidRPr="00114268" w14:paraId="31C352B1" w14:textId="77777777" w:rsidTr="00DE5764">
        <w:trPr>
          <w:trHeight w:val="380"/>
        </w:trPr>
        <w:tc>
          <w:tcPr>
            <w:tcW w:w="3964" w:type="dxa"/>
            <w:shd w:val="clear" w:color="auto" w:fill="auto"/>
          </w:tcPr>
          <w:p w14:paraId="6E588D05" w14:textId="42E1CBA2" w:rsidR="002866A4" w:rsidRPr="00BA73A5" w:rsidRDefault="002866A4" w:rsidP="002866A4">
            <w:pPr>
              <w:pStyle w:val="Contenutotabella"/>
              <w:ind w:left="57"/>
            </w:pPr>
            <w:r w:rsidRPr="00BA73A5">
              <w:t>Antipsychotics at baseline assessment, n (%)</w:t>
            </w:r>
            <w:r w:rsidRPr="00BA73A5">
              <w:rPr>
                <w:kern w:val="1"/>
                <w:vertAlign w:val="superscript"/>
              </w:rPr>
              <w:t xml:space="preserve"> l</w:t>
            </w:r>
          </w:p>
          <w:p w14:paraId="5626E3F6" w14:textId="77777777" w:rsidR="002866A4" w:rsidRPr="00BA73A5" w:rsidRDefault="002866A4" w:rsidP="002866A4">
            <w:pPr>
              <w:pStyle w:val="Contenutotabella"/>
              <w:ind w:left="57"/>
            </w:pPr>
            <w:r w:rsidRPr="00BA73A5">
              <w:t xml:space="preserve">  First generation</w:t>
            </w:r>
          </w:p>
          <w:p w14:paraId="2D044AFB" w14:textId="77777777" w:rsidR="002866A4" w:rsidRPr="00BA73A5" w:rsidRDefault="002866A4" w:rsidP="002866A4">
            <w:pPr>
              <w:pStyle w:val="Contenutotabella"/>
              <w:ind w:left="57"/>
            </w:pPr>
            <w:r w:rsidRPr="00BA73A5">
              <w:t xml:space="preserve">  Second generation</w:t>
            </w:r>
          </w:p>
          <w:p w14:paraId="18BD4744" w14:textId="77777777" w:rsidR="002866A4" w:rsidRPr="00BA73A5" w:rsidRDefault="002866A4" w:rsidP="002866A4">
            <w:pPr>
              <w:pStyle w:val="Contenutotabella"/>
              <w:ind w:left="57"/>
            </w:pPr>
            <w:r w:rsidRPr="00BA73A5">
              <w:t xml:space="preserve">  Both first and second generation</w:t>
            </w:r>
          </w:p>
          <w:p w14:paraId="3063CB81" w14:textId="77777777" w:rsidR="002866A4" w:rsidRPr="00BA73A5" w:rsidRDefault="002866A4" w:rsidP="002866A4">
            <w:pPr>
              <w:pStyle w:val="Contenutotabella"/>
              <w:ind w:left="57"/>
            </w:pPr>
            <w:r w:rsidRPr="00BA73A5">
              <w:t xml:space="preserve">  Drug naïve or drug free</w:t>
            </w:r>
          </w:p>
        </w:tc>
        <w:tc>
          <w:tcPr>
            <w:tcW w:w="1560" w:type="dxa"/>
            <w:shd w:val="clear" w:color="auto" w:fill="auto"/>
          </w:tcPr>
          <w:p w14:paraId="7F82D87E" w14:textId="77777777" w:rsidR="002866A4" w:rsidRPr="00BA73A5" w:rsidRDefault="002866A4" w:rsidP="002866A4">
            <w:pPr>
              <w:pStyle w:val="Contenutotabella"/>
              <w:snapToGrid w:val="0"/>
              <w:jc w:val="center"/>
            </w:pPr>
          </w:p>
          <w:p w14:paraId="59B868A9" w14:textId="25EB0428" w:rsidR="002866A4" w:rsidRPr="00BA73A5" w:rsidRDefault="00A81E31" w:rsidP="002866A4">
            <w:pPr>
              <w:pStyle w:val="Contenutotabella"/>
              <w:snapToGrid w:val="0"/>
              <w:jc w:val="center"/>
            </w:pPr>
            <w:r w:rsidRPr="00BA73A5">
              <w:t>61</w:t>
            </w:r>
            <w:r w:rsidR="002866A4" w:rsidRPr="00BA73A5">
              <w:t xml:space="preserve"> (</w:t>
            </w:r>
            <w:r w:rsidRPr="00BA73A5">
              <w:t>50</w:t>
            </w:r>
            <w:r w:rsidR="002866A4" w:rsidRPr="00BA73A5">
              <w:t>)</w:t>
            </w:r>
          </w:p>
          <w:p w14:paraId="12940439" w14:textId="0F7FB4AC" w:rsidR="002866A4" w:rsidRPr="00BA73A5" w:rsidRDefault="00A81E31" w:rsidP="002866A4">
            <w:pPr>
              <w:pStyle w:val="Contenutotabella"/>
              <w:snapToGrid w:val="0"/>
              <w:jc w:val="center"/>
            </w:pPr>
            <w:r w:rsidRPr="00BA73A5">
              <w:t>38</w:t>
            </w:r>
            <w:r w:rsidR="002866A4" w:rsidRPr="00BA73A5">
              <w:t xml:space="preserve"> (</w:t>
            </w:r>
            <w:r w:rsidRPr="00BA73A5">
              <w:t>31</w:t>
            </w:r>
            <w:r w:rsidR="002866A4" w:rsidRPr="00BA73A5">
              <w:t>)</w:t>
            </w:r>
          </w:p>
          <w:p w14:paraId="5372B69A" w14:textId="6BA92ACA" w:rsidR="002866A4" w:rsidRPr="00BA73A5" w:rsidRDefault="002866A4" w:rsidP="002866A4">
            <w:pPr>
              <w:pStyle w:val="Contenutotabella"/>
              <w:snapToGrid w:val="0"/>
              <w:jc w:val="center"/>
            </w:pPr>
            <w:r w:rsidRPr="00BA73A5">
              <w:t>2 (</w:t>
            </w:r>
            <w:r w:rsidR="00A81E31" w:rsidRPr="00BA73A5">
              <w:t>2</w:t>
            </w:r>
            <w:r w:rsidRPr="00BA73A5">
              <w:t>)</w:t>
            </w:r>
          </w:p>
          <w:p w14:paraId="72D41F1D" w14:textId="6824D4BA" w:rsidR="002866A4" w:rsidRPr="00BA73A5" w:rsidRDefault="00A81E31" w:rsidP="002866A4">
            <w:pPr>
              <w:pStyle w:val="Contenutotabella"/>
              <w:snapToGrid w:val="0"/>
              <w:jc w:val="center"/>
            </w:pPr>
            <w:r w:rsidRPr="00BA73A5">
              <w:t>21</w:t>
            </w:r>
            <w:r w:rsidR="002866A4" w:rsidRPr="00BA73A5">
              <w:t xml:space="preserve"> (</w:t>
            </w:r>
            <w:r w:rsidRPr="00BA73A5">
              <w:t>17</w:t>
            </w:r>
            <w:r w:rsidR="002866A4" w:rsidRPr="00BA73A5">
              <w:t>)</w:t>
            </w:r>
          </w:p>
        </w:tc>
        <w:tc>
          <w:tcPr>
            <w:tcW w:w="1559" w:type="dxa"/>
          </w:tcPr>
          <w:p w14:paraId="4EBA8E53" w14:textId="77777777" w:rsidR="002866A4" w:rsidRDefault="002866A4" w:rsidP="002866A4">
            <w:pPr>
              <w:pStyle w:val="Contenutotabella"/>
              <w:snapToGrid w:val="0"/>
              <w:jc w:val="center"/>
            </w:pPr>
          </w:p>
          <w:p w14:paraId="65F2EA7B" w14:textId="7C404766" w:rsidR="002866A4" w:rsidRDefault="00A81E31" w:rsidP="002866A4">
            <w:pPr>
              <w:pStyle w:val="Contenutotabella"/>
              <w:snapToGrid w:val="0"/>
              <w:jc w:val="center"/>
            </w:pPr>
            <w:r>
              <w:t>35</w:t>
            </w:r>
            <w:r w:rsidR="002866A4">
              <w:t xml:space="preserve"> (</w:t>
            </w:r>
            <w:r>
              <w:t>47</w:t>
            </w:r>
            <w:r w:rsidR="002866A4">
              <w:t>)</w:t>
            </w:r>
          </w:p>
          <w:p w14:paraId="331A52D7" w14:textId="3AD88E98" w:rsidR="002866A4" w:rsidRDefault="002866A4" w:rsidP="002866A4">
            <w:pPr>
              <w:pStyle w:val="Contenutotabella"/>
              <w:snapToGrid w:val="0"/>
              <w:jc w:val="center"/>
            </w:pPr>
            <w:r>
              <w:t>19 (</w:t>
            </w:r>
            <w:r w:rsidR="00A81E31">
              <w:t>26</w:t>
            </w:r>
            <w:r>
              <w:t>)</w:t>
            </w:r>
          </w:p>
          <w:p w14:paraId="13E8DA00" w14:textId="77777777" w:rsidR="002866A4" w:rsidRDefault="002866A4" w:rsidP="002866A4">
            <w:pPr>
              <w:pStyle w:val="Contenutotabella"/>
              <w:snapToGrid w:val="0"/>
              <w:jc w:val="center"/>
            </w:pPr>
            <w:r>
              <w:t>0 (0)</w:t>
            </w:r>
          </w:p>
          <w:p w14:paraId="66FFE7F2" w14:textId="44462118" w:rsidR="002866A4" w:rsidRPr="00114268" w:rsidRDefault="00A81E31" w:rsidP="002866A4">
            <w:pPr>
              <w:pStyle w:val="Contenutotabella"/>
              <w:snapToGrid w:val="0"/>
              <w:jc w:val="center"/>
            </w:pPr>
            <w:r>
              <w:t>20</w:t>
            </w:r>
            <w:r w:rsidR="002866A4">
              <w:t xml:space="preserve"> (</w:t>
            </w:r>
            <w:r>
              <w:t>27</w:t>
            </w:r>
            <w:r w:rsidR="002866A4">
              <w:t>)</w:t>
            </w:r>
          </w:p>
        </w:tc>
        <w:tc>
          <w:tcPr>
            <w:tcW w:w="1559" w:type="dxa"/>
          </w:tcPr>
          <w:p w14:paraId="027226BA" w14:textId="77777777" w:rsidR="002866A4" w:rsidRDefault="002866A4" w:rsidP="002866A4">
            <w:pPr>
              <w:pStyle w:val="Contenutotabella"/>
              <w:snapToGrid w:val="0"/>
              <w:jc w:val="center"/>
            </w:pPr>
          </w:p>
          <w:p w14:paraId="7044720D" w14:textId="77777777" w:rsidR="002866A4" w:rsidRPr="00114268" w:rsidRDefault="002866A4" w:rsidP="002866A4">
            <w:pPr>
              <w:pStyle w:val="Contenutotabella"/>
              <w:snapToGrid w:val="0"/>
              <w:jc w:val="center"/>
            </w:pPr>
            <w:r>
              <w:t>-</w:t>
            </w:r>
          </w:p>
        </w:tc>
        <w:tc>
          <w:tcPr>
            <w:tcW w:w="2126" w:type="dxa"/>
            <w:shd w:val="clear" w:color="auto" w:fill="auto"/>
          </w:tcPr>
          <w:p w14:paraId="0CD85DAE" w14:textId="77777777" w:rsidR="002866A4" w:rsidRDefault="002866A4" w:rsidP="002866A4">
            <w:pPr>
              <w:pStyle w:val="Contenutotabella"/>
              <w:snapToGrid w:val="0"/>
              <w:jc w:val="center"/>
            </w:pPr>
          </w:p>
          <w:p w14:paraId="638E977A" w14:textId="77777777" w:rsidR="002866A4" w:rsidRDefault="002866A4" w:rsidP="002866A4">
            <w:pPr>
              <w:pStyle w:val="Contenutotabella"/>
              <w:snapToGrid w:val="0"/>
              <w:jc w:val="center"/>
            </w:pPr>
            <w:r>
              <w:t>Ns</w:t>
            </w:r>
          </w:p>
          <w:p w14:paraId="70561728" w14:textId="68B80919" w:rsidR="002866A4" w:rsidRPr="00114268" w:rsidRDefault="002866A4" w:rsidP="002866A4">
            <w:pPr>
              <w:pStyle w:val="Contenutotabella"/>
              <w:snapToGrid w:val="0"/>
              <w:jc w:val="center"/>
            </w:pPr>
            <w:r>
              <w:t xml:space="preserve"> (</w:t>
            </w:r>
            <w:r w:rsidRPr="00114268">
              <w:rPr>
                <w:bCs/>
              </w:rPr>
              <w:t>x</w:t>
            </w:r>
            <w:r w:rsidRPr="00114268">
              <w:rPr>
                <w:kern w:val="1"/>
                <w:vertAlign w:val="superscript"/>
              </w:rPr>
              <w:t>2</w:t>
            </w:r>
            <w:r>
              <w:rPr>
                <w:kern w:val="1"/>
                <w:vertAlign w:val="superscript"/>
              </w:rPr>
              <w:t>=</w:t>
            </w:r>
            <w:r>
              <w:t>3.</w:t>
            </w:r>
            <w:r w:rsidR="00A81E31">
              <w:t>9</w:t>
            </w:r>
            <w:r>
              <w:t xml:space="preserve">; </w:t>
            </w:r>
            <w:proofErr w:type="spellStart"/>
            <w:r>
              <w:t>d.f.</w:t>
            </w:r>
            <w:proofErr w:type="spellEnd"/>
            <w:r>
              <w:t>=3)</w:t>
            </w:r>
          </w:p>
        </w:tc>
      </w:tr>
      <w:tr w:rsidR="009420DA" w:rsidRPr="00114268" w14:paraId="06A2FFBA" w14:textId="77777777" w:rsidTr="00810042">
        <w:tc>
          <w:tcPr>
            <w:tcW w:w="3964" w:type="dxa"/>
            <w:shd w:val="clear" w:color="auto" w:fill="auto"/>
          </w:tcPr>
          <w:p w14:paraId="69946A1C" w14:textId="4E21215F" w:rsidR="009420DA" w:rsidRPr="00114268" w:rsidRDefault="009420DA" w:rsidP="00F32034">
            <w:r>
              <w:t>Chlorpromazine equivalents at baseline assessment, mean (SD)</w:t>
            </w:r>
          </w:p>
        </w:tc>
        <w:tc>
          <w:tcPr>
            <w:tcW w:w="1560" w:type="dxa"/>
            <w:shd w:val="clear" w:color="auto" w:fill="auto"/>
          </w:tcPr>
          <w:p w14:paraId="7DB7A922" w14:textId="57DB2F59" w:rsidR="009420DA" w:rsidRPr="00114268" w:rsidRDefault="009420DA" w:rsidP="00F32034">
            <w:pPr>
              <w:pStyle w:val="Contenutotabella"/>
              <w:contextualSpacing/>
              <w:jc w:val="center"/>
            </w:pPr>
            <w:r>
              <w:t>185.3 (167.5)</w:t>
            </w:r>
          </w:p>
        </w:tc>
        <w:tc>
          <w:tcPr>
            <w:tcW w:w="1559" w:type="dxa"/>
          </w:tcPr>
          <w:p w14:paraId="09E06BF3" w14:textId="302D58EE" w:rsidR="009420DA" w:rsidRPr="00114268" w:rsidRDefault="009420DA" w:rsidP="00F32034">
            <w:pPr>
              <w:pStyle w:val="Contenutotabella"/>
              <w:jc w:val="center"/>
            </w:pPr>
            <w:r>
              <w:t>174 (196.8)</w:t>
            </w:r>
          </w:p>
        </w:tc>
        <w:tc>
          <w:tcPr>
            <w:tcW w:w="1559" w:type="dxa"/>
          </w:tcPr>
          <w:p w14:paraId="019A00A7" w14:textId="2C5A8967" w:rsidR="009420DA" w:rsidRPr="00114268" w:rsidRDefault="009420DA" w:rsidP="00F32034">
            <w:pPr>
              <w:pStyle w:val="Contenutotabella"/>
              <w:snapToGrid w:val="0"/>
              <w:jc w:val="center"/>
            </w:pPr>
            <w:r>
              <w:t>-</w:t>
            </w:r>
          </w:p>
        </w:tc>
        <w:tc>
          <w:tcPr>
            <w:tcW w:w="2126" w:type="dxa"/>
            <w:shd w:val="clear" w:color="auto" w:fill="auto"/>
          </w:tcPr>
          <w:p w14:paraId="698B2E38" w14:textId="77777777" w:rsidR="00434B82" w:rsidRDefault="009420DA" w:rsidP="00F32034">
            <w:pPr>
              <w:pStyle w:val="Contenutotabella"/>
              <w:snapToGrid w:val="0"/>
              <w:jc w:val="center"/>
            </w:pPr>
            <w:r>
              <w:t xml:space="preserve">Ns </w:t>
            </w:r>
          </w:p>
          <w:p w14:paraId="0C17C310" w14:textId="6A2D5E65" w:rsidR="009420DA" w:rsidRPr="00114268" w:rsidRDefault="009420DA" w:rsidP="00F32034">
            <w:pPr>
              <w:pStyle w:val="Contenutotabella"/>
              <w:snapToGrid w:val="0"/>
              <w:jc w:val="center"/>
            </w:pPr>
            <w:r>
              <w:t xml:space="preserve">(t=0.4; </w:t>
            </w:r>
            <w:proofErr w:type="spellStart"/>
            <w:r>
              <w:t>d.f.</w:t>
            </w:r>
            <w:proofErr w:type="spellEnd"/>
            <w:r>
              <w:t xml:space="preserve"> 168)</w:t>
            </w:r>
          </w:p>
        </w:tc>
      </w:tr>
      <w:tr w:rsidR="00D55728" w:rsidRPr="00114268" w14:paraId="16F84F36" w14:textId="77777777" w:rsidTr="00810042">
        <w:tc>
          <w:tcPr>
            <w:tcW w:w="3964" w:type="dxa"/>
            <w:shd w:val="clear" w:color="auto" w:fill="auto"/>
          </w:tcPr>
          <w:p w14:paraId="2D778DE2" w14:textId="5450DF77" w:rsidR="00D55728" w:rsidRPr="00114268" w:rsidRDefault="00D55728" w:rsidP="00F32034">
            <w:r w:rsidRPr="00543C92">
              <w:t>Weeks on antipsychotics during follow up, mean (SD)</w:t>
            </w:r>
            <w: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5E8AE5ED" w14:textId="151ACD82" w:rsidR="00D55728" w:rsidRPr="00114268" w:rsidRDefault="00447CCB" w:rsidP="00F32034">
            <w:pPr>
              <w:pStyle w:val="Contenutotabella"/>
              <w:contextualSpacing/>
              <w:jc w:val="center"/>
            </w:pPr>
            <w:r>
              <w:t>287.1 (200)</w:t>
            </w:r>
          </w:p>
        </w:tc>
        <w:tc>
          <w:tcPr>
            <w:tcW w:w="1559" w:type="dxa"/>
          </w:tcPr>
          <w:p w14:paraId="11A3923D" w14:textId="53D0800B" w:rsidR="00D55728" w:rsidRPr="00114268" w:rsidRDefault="00447CCB" w:rsidP="00F32034">
            <w:pPr>
              <w:pStyle w:val="Contenutotabella"/>
              <w:jc w:val="center"/>
            </w:pPr>
            <w:r>
              <w:t>153.8 (210)</w:t>
            </w:r>
          </w:p>
        </w:tc>
        <w:tc>
          <w:tcPr>
            <w:tcW w:w="1559" w:type="dxa"/>
          </w:tcPr>
          <w:p w14:paraId="4B2DD92B" w14:textId="77777777" w:rsidR="00D55728" w:rsidRPr="00114268" w:rsidRDefault="00D55728" w:rsidP="00F32034">
            <w:pPr>
              <w:pStyle w:val="Contenutotabella"/>
              <w:snapToGri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4AF21ABC" w14:textId="77777777" w:rsidR="00D55728" w:rsidRDefault="00447CCB" w:rsidP="00F32034">
            <w:pPr>
              <w:pStyle w:val="Contenutotabella"/>
              <w:snapToGrid w:val="0"/>
              <w:jc w:val="center"/>
            </w:pPr>
            <w:r>
              <w:t>&lt;0.001</w:t>
            </w:r>
          </w:p>
          <w:p w14:paraId="38F12A80" w14:textId="1320291B" w:rsidR="00447CCB" w:rsidRPr="00114268" w:rsidRDefault="00447CCB" w:rsidP="00F32034">
            <w:pPr>
              <w:pStyle w:val="Contenutotabella"/>
              <w:snapToGrid w:val="0"/>
              <w:jc w:val="center"/>
            </w:pPr>
            <w:r>
              <w:t>(t=</w:t>
            </w:r>
            <w:r w:rsidR="00CD2D05">
              <w:t xml:space="preserve">3.8; </w:t>
            </w:r>
            <w:proofErr w:type="spellStart"/>
            <w:r w:rsidR="00CD2D05">
              <w:t>d.f.</w:t>
            </w:r>
            <w:proofErr w:type="spellEnd"/>
            <w:r w:rsidR="00CD2D05">
              <w:t>=147)</w:t>
            </w:r>
          </w:p>
        </w:tc>
      </w:tr>
      <w:tr w:rsidR="00434B82" w:rsidRPr="00114268" w14:paraId="5630B76C" w14:textId="77777777" w:rsidTr="00810042">
        <w:tc>
          <w:tcPr>
            <w:tcW w:w="3964" w:type="dxa"/>
            <w:shd w:val="clear" w:color="auto" w:fill="auto"/>
          </w:tcPr>
          <w:p w14:paraId="3799BD9D" w14:textId="3DC5D947" w:rsidR="00434B82" w:rsidRDefault="00434B82" w:rsidP="00F32034">
            <w:r>
              <w:t xml:space="preserve">Time adherent to medications over FU (n, %) </w:t>
            </w:r>
          </w:p>
          <w:p w14:paraId="082310B7" w14:textId="7AC55B11" w:rsidR="00434B82" w:rsidRDefault="00434B82" w:rsidP="00F32034">
            <w:r>
              <w:t xml:space="preserve">  0-33%</w:t>
            </w:r>
          </w:p>
          <w:p w14:paraId="720F2A95" w14:textId="3DCC1D0E" w:rsidR="00434B82" w:rsidRDefault="00434B82" w:rsidP="00F32034">
            <w:r>
              <w:t xml:space="preserve">  34-67%</w:t>
            </w:r>
          </w:p>
          <w:p w14:paraId="56A35087" w14:textId="7DEBD90B" w:rsidR="00434B82" w:rsidRPr="00114268" w:rsidRDefault="00434B82" w:rsidP="00434B82">
            <w:r>
              <w:t xml:space="preserve">  68-100%</w:t>
            </w:r>
          </w:p>
        </w:tc>
        <w:tc>
          <w:tcPr>
            <w:tcW w:w="1560" w:type="dxa"/>
            <w:shd w:val="clear" w:color="auto" w:fill="auto"/>
          </w:tcPr>
          <w:p w14:paraId="025E6ED4" w14:textId="77777777" w:rsidR="00434B82" w:rsidRDefault="00434B82" w:rsidP="00F32034">
            <w:pPr>
              <w:pStyle w:val="Contenutotabella"/>
              <w:contextualSpacing/>
              <w:jc w:val="center"/>
            </w:pPr>
          </w:p>
          <w:p w14:paraId="195139CE" w14:textId="77777777" w:rsidR="00434B82" w:rsidRDefault="00434B82" w:rsidP="00F32034">
            <w:pPr>
              <w:pStyle w:val="Contenutotabella"/>
              <w:contextualSpacing/>
              <w:jc w:val="center"/>
            </w:pPr>
            <w:r>
              <w:t>20 (19)</w:t>
            </w:r>
          </w:p>
          <w:p w14:paraId="44D197D9" w14:textId="77777777" w:rsidR="00434B82" w:rsidRDefault="00434B82" w:rsidP="00F32034">
            <w:pPr>
              <w:pStyle w:val="Contenutotabella"/>
              <w:contextualSpacing/>
              <w:jc w:val="center"/>
            </w:pPr>
            <w:r>
              <w:t>24 (22)</w:t>
            </w:r>
          </w:p>
          <w:p w14:paraId="52553358" w14:textId="73A24C62" w:rsidR="00434B82" w:rsidRPr="00114268" w:rsidRDefault="00434B82" w:rsidP="00F32034">
            <w:pPr>
              <w:pStyle w:val="Contenutotabella"/>
              <w:contextualSpacing/>
              <w:jc w:val="center"/>
            </w:pPr>
            <w:r>
              <w:t>64 (59)</w:t>
            </w:r>
          </w:p>
        </w:tc>
        <w:tc>
          <w:tcPr>
            <w:tcW w:w="1559" w:type="dxa"/>
          </w:tcPr>
          <w:p w14:paraId="4C2E7347" w14:textId="77777777" w:rsidR="00434B82" w:rsidRDefault="00434B82" w:rsidP="00F32034">
            <w:pPr>
              <w:pStyle w:val="Contenutotabella"/>
              <w:jc w:val="center"/>
            </w:pPr>
          </w:p>
          <w:p w14:paraId="301722D7" w14:textId="77777777" w:rsidR="00434B82" w:rsidRDefault="00434B82" w:rsidP="00F32034">
            <w:pPr>
              <w:pStyle w:val="Contenutotabella"/>
              <w:jc w:val="center"/>
            </w:pPr>
            <w:r>
              <w:t>5 (8)</w:t>
            </w:r>
          </w:p>
          <w:p w14:paraId="1765EDA7" w14:textId="77777777" w:rsidR="00434B82" w:rsidRDefault="00434B82" w:rsidP="00F32034">
            <w:pPr>
              <w:pStyle w:val="Contenutotabella"/>
              <w:jc w:val="center"/>
            </w:pPr>
            <w:r>
              <w:t>13 (21)</w:t>
            </w:r>
          </w:p>
          <w:p w14:paraId="299F8AD1" w14:textId="55DE30C7" w:rsidR="00434B82" w:rsidRPr="00114268" w:rsidRDefault="00434B82" w:rsidP="00F32034">
            <w:pPr>
              <w:pStyle w:val="Contenutotabella"/>
              <w:jc w:val="center"/>
            </w:pPr>
            <w:r>
              <w:t>43 (71)</w:t>
            </w:r>
          </w:p>
        </w:tc>
        <w:tc>
          <w:tcPr>
            <w:tcW w:w="1559" w:type="dxa"/>
          </w:tcPr>
          <w:p w14:paraId="184264E2" w14:textId="77777777" w:rsidR="00434B82" w:rsidRDefault="00434B82" w:rsidP="00F32034">
            <w:pPr>
              <w:pStyle w:val="Contenutotabella"/>
              <w:snapToGrid w:val="0"/>
              <w:jc w:val="center"/>
            </w:pPr>
          </w:p>
          <w:p w14:paraId="689D3137" w14:textId="4624EC05" w:rsidR="00434B82" w:rsidRPr="00114268" w:rsidRDefault="00434B82" w:rsidP="00F32034">
            <w:pPr>
              <w:pStyle w:val="Contenutotabella"/>
              <w:snapToGrid w:val="0"/>
              <w:jc w:val="center"/>
            </w:pPr>
            <w:r>
              <w:t>-</w:t>
            </w:r>
          </w:p>
        </w:tc>
        <w:tc>
          <w:tcPr>
            <w:tcW w:w="2126" w:type="dxa"/>
            <w:shd w:val="clear" w:color="auto" w:fill="auto"/>
          </w:tcPr>
          <w:p w14:paraId="535AA242" w14:textId="77777777" w:rsidR="00434B82" w:rsidRDefault="00434B82" w:rsidP="00F32034">
            <w:pPr>
              <w:pStyle w:val="Contenutotabella"/>
              <w:snapToGrid w:val="0"/>
              <w:jc w:val="center"/>
            </w:pPr>
            <w:r>
              <w:t>Ns</w:t>
            </w:r>
          </w:p>
          <w:p w14:paraId="7175FB25" w14:textId="5CD78F06" w:rsidR="00434B82" w:rsidRPr="00114268" w:rsidRDefault="00434B82" w:rsidP="00F32034">
            <w:pPr>
              <w:pStyle w:val="Contenutotabella"/>
              <w:snapToGrid w:val="0"/>
              <w:jc w:val="center"/>
            </w:pPr>
            <w:r>
              <w:t>(</w:t>
            </w:r>
            <w:r w:rsidRPr="00114268">
              <w:rPr>
                <w:bCs/>
              </w:rPr>
              <w:t>x</w:t>
            </w:r>
            <w:r w:rsidRPr="00114268">
              <w:rPr>
                <w:kern w:val="1"/>
                <w:vertAlign w:val="superscript"/>
              </w:rPr>
              <w:t>2</w:t>
            </w:r>
            <w:r>
              <w:rPr>
                <w:kern w:val="1"/>
                <w:vertAlign w:val="superscript"/>
              </w:rPr>
              <w:t>=</w:t>
            </w:r>
            <w:r>
              <w:t xml:space="preserve">3.6; </w:t>
            </w:r>
            <w:proofErr w:type="spellStart"/>
            <w:r>
              <w:t>d.f.</w:t>
            </w:r>
            <w:proofErr w:type="spellEnd"/>
            <w:r>
              <w:t>=2)</w:t>
            </w:r>
          </w:p>
        </w:tc>
      </w:tr>
      <w:tr w:rsidR="008F5FE6" w:rsidRPr="00114268" w14:paraId="1D22E935" w14:textId="77777777" w:rsidTr="00810042">
        <w:tc>
          <w:tcPr>
            <w:tcW w:w="3964" w:type="dxa"/>
            <w:shd w:val="clear" w:color="auto" w:fill="auto"/>
          </w:tcPr>
          <w:p w14:paraId="550EA317" w14:textId="77777777" w:rsidR="008F5FE6" w:rsidRPr="00114268" w:rsidRDefault="008F5FE6" w:rsidP="00F32034">
            <w:pPr>
              <w:rPr>
                <w:kern w:val="1"/>
                <w:vertAlign w:val="superscript"/>
              </w:rPr>
            </w:pPr>
            <w:r w:rsidRPr="00114268">
              <w:t>GAF-s, mean (</w:t>
            </w:r>
            <w:proofErr w:type="spellStart"/>
            <w:proofErr w:type="gramStart"/>
            <w:r w:rsidRPr="00114268">
              <w:t>s.d</w:t>
            </w:r>
            <w:proofErr w:type="spellEnd"/>
            <w:r w:rsidRPr="00114268">
              <w:t>)</w:t>
            </w:r>
            <w:r w:rsidRPr="00114268">
              <w:rPr>
                <w:kern w:val="1"/>
                <w:vertAlign w:val="superscript"/>
              </w:rPr>
              <w:t>m</w:t>
            </w:r>
            <w:proofErr w:type="gramEnd"/>
          </w:p>
          <w:p w14:paraId="0037D7DB" w14:textId="77777777" w:rsidR="00F32034" w:rsidRDefault="00F32034" w:rsidP="00F32034">
            <w:pPr>
              <w:pStyle w:val="Contenutotabella"/>
            </w:pPr>
          </w:p>
          <w:p w14:paraId="2D9399E6" w14:textId="3B3BCD18" w:rsidR="008F5FE6" w:rsidRPr="00114268" w:rsidRDefault="008F5FE6" w:rsidP="00F32034">
            <w:pPr>
              <w:pStyle w:val="Contenutotabella"/>
            </w:pPr>
            <w:r w:rsidRPr="00114268">
              <w:t>GAF-d, mean (</w:t>
            </w:r>
            <w:proofErr w:type="spellStart"/>
            <w:r w:rsidRPr="00114268">
              <w:t>s.d</w:t>
            </w:r>
            <w:proofErr w:type="spellEnd"/>
            <w:r w:rsidRPr="00114268">
              <w:t>)</w:t>
            </w:r>
            <w:r w:rsidRPr="00114268">
              <w:rPr>
                <w:kern w:val="1"/>
                <w:vertAlign w:val="superscript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1283DFA7" w14:textId="77777777" w:rsidR="008F5FE6" w:rsidRPr="00114268" w:rsidRDefault="008F5FE6" w:rsidP="00F32034">
            <w:pPr>
              <w:pStyle w:val="Contenutotabella"/>
              <w:contextualSpacing/>
              <w:jc w:val="center"/>
            </w:pPr>
            <w:r w:rsidRPr="00114268">
              <w:t>55.29 (18.52)</w:t>
            </w:r>
          </w:p>
          <w:p w14:paraId="0AFF49E9" w14:textId="77777777" w:rsidR="00F32034" w:rsidRDefault="00F32034" w:rsidP="00F32034">
            <w:pPr>
              <w:pStyle w:val="Contenutotabella"/>
              <w:snapToGrid w:val="0"/>
              <w:jc w:val="center"/>
            </w:pPr>
          </w:p>
          <w:p w14:paraId="6827CE00" w14:textId="7960A0A1" w:rsidR="008F5FE6" w:rsidRPr="00114268" w:rsidRDefault="008F5FE6" w:rsidP="00F32034">
            <w:pPr>
              <w:pStyle w:val="Contenutotabella"/>
              <w:snapToGrid w:val="0"/>
              <w:jc w:val="center"/>
            </w:pPr>
            <w:r w:rsidRPr="00114268">
              <w:t>51.91 (17.46)</w:t>
            </w:r>
          </w:p>
        </w:tc>
        <w:tc>
          <w:tcPr>
            <w:tcW w:w="1559" w:type="dxa"/>
          </w:tcPr>
          <w:p w14:paraId="5A16C903" w14:textId="77777777" w:rsidR="008F5FE6" w:rsidRPr="00114268" w:rsidRDefault="008F5FE6" w:rsidP="00F32034">
            <w:pPr>
              <w:pStyle w:val="Contenutotabella"/>
              <w:jc w:val="center"/>
            </w:pPr>
            <w:r w:rsidRPr="00114268">
              <w:t>74.59 (12.7)</w:t>
            </w:r>
          </w:p>
          <w:p w14:paraId="220CCC92" w14:textId="77777777" w:rsidR="00F32034" w:rsidRDefault="00F32034" w:rsidP="00F32034">
            <w:pPr>
              <w:pStyle w:val="Contenutotabella"/>
              <w:snapToGrid w:val="0"/>
              <w:jc w:val="center"/>
            </w:pPr>
          </w:p>
          <w:p w14:paraId="372A7153" w14:textId="7EC33673" w:rsidR="008F5FE6" w:rsidRPr="00114268" w:rsidRDefault="008F5FE6" w:rsidP="00F32034">
            <w:pPr>
              <w:pStyle w:val="Contenutotabella"/>
              <w:snapToGrid w:val="0"/>
              <w:jc w:val="center"/>
            </w:pPr>
            <w:r w:rsidRPr="00114268">
              <w:t>71.63 (15.65)</w:t>
            </w:r>
          </w:p>
        </w:tc>
        <w:tc>
          <w:tcPr>
            <w:tcW w:w="1559" w:type="dxa"/>
          </w:tcPr>
          <w:p w14:paraId="724A52F1" w14:textId="77777777" w:rsidR="008F5FE6" w:rsidRPr="00114268" w:rsidRDefault="008F5FE6" w:rsidP="00F32034">
            <w:pPr>
              <w:pStyle w:val="Contenutotabella"/>
              <w:snapToGrid w:val="0"/>
              <w:jc w:val="center"/>
              <w:rPr>
                <w:color w:val="000000" w:themeColor="text1"/>
              </w:rPr>
            </w:pPr>
            <w:r w:rsidRPr="00114268">
              <w:t>-</w:t>
            </w:r>
          </w:p>
        </w:tc>
        <w:tc>
          <w:tcPr>
            <w:tcW w:w="2126" w:type="dxa"/>
            <w:shd w:val="clear" w:color="auto" w:fill="auto"/>
          </w:tcPr>
          <w:p w14:paraId="285CE6EE" w14:textId="77777777" w:rsidR="008F5FE6" w:rsidRPr="00114268" w:rsidRDefault="008F5FE6" w:rsidP="00F32034">
            <w:pPr>
              <w:pStyle w:val="Contenutotabella"/>
              <w:snapToGrid w:val="0"/>
              <w:jc w:val="center"/>
            </w:pPr>
            <w:r w:rsidRPr="00114268">
              <w:t>&lt;0.001</w:t>
            </w:r>
          </w:p>
          <w:p w14:paraId="0F140A36" w14:textId="77777777" w:rsidR="008F5FE6" w:rsidRPr="00114268" w:rsidRDefault="008F5FE6" w:rsidP="00F32034">
            <w:pPr>
              <w:pStyle w:val="Contenutotabella"/>
              <w:snapToGrid w:val="0"/>
              <w:jc w:val="center"/>
            </w:pPr>
            <w:r w:rsidRPr="00114268">
              <w:t xml:space="preserve">(t=- 8.4, </w:t>
            </w:r>
            <w:proofErr w:type="spellStart"/>
            <w:r w:rsidRPr="00114268">
              <w:t>d.f.</w:t>
            </w:r>
            <w:proofErr w:type="spellEnd"/>
            <w:r w:rsidRPr="00114268">
              <w:t>=178)</w:t>
            </w:r>
          </w:p>
          <w:p w14:paraId="0ED8739D" w14:textId="77777777" w:rsidR="008F5FE6" w:rsidRPr="00114268" w:rsidRDefault="008F5FE6" w:rsidP="00F32034">
            <w:pPr>
              <w:pStyle w:val="Contenutotabella"/>
              <w:snapToGrid w:val="0"/>
              <w:jc w:val="center"/>
            </w:pPr>
            <w:r w:rsidRPr="00114268">
              <w:t>&lt;0.001</w:t>
            </w:r>
          </w:p>
          <w:p w14:paraId="20D81824" w14:textId="77777777" w:rsidR="008F5FE6" w:rsidRPr="00114268" w:rsidRDefault="008F5FE6" w:rsidP="00F32034">
            <w:pPr>
              <w:pStyle w:val="Contenutotabella"/>
              <w:snapToGrid w:val="0"/>
              <w:jc w:val="center"/>
            </w:pPr>
            <w:r w:rsidRPr="00114268">
              <w:t xml:space="preserve">(t=-7.5, </w:t>
            </w:r>
            <w:proofErr w:type="spellStart"/>
            <w:r w:rsidRPr="00114268">
              <w:t>d.f.</w:t>
            </w:r>
            <w:proofErr w:type="spellEnd"/>
            <w:r w:rsidRPr="00114268">
              <w:t>=176)</w:t>
            </w:r>
          </w:p>
        </w:tc>
      </w:tr>
    </w:tbl>
    <w:p w14:paraId="25C0FF50" w14:textId="77777777" w:rsidR="008F5FE6" w:rsidRDefault="008F5FE6" w:rsidP="008F5FE6">
      <w:pPr>
        <w:ind w:left="-624"/>
      </w:pPr>
    </w:p>
    <w:p w14:paraId="1FEA0A79" w14:textId="0A128442" w:rsidR="003F27D6" w:rsidRDefault="003F27D6" w:rsidP="003F27D6"/>
    <w:p w14:paraId="1A6E11D8" w14:textId="2BEBDD44" w:rsidR="00F009F3" w:rsidRPr="00BA73A5" w:rsidRDefault="00F009F3" w:rsidP="00F009F3">
      <w:pPr>
        <w:pStyle w:val="ListParagraph"/>
        <w:numPr>
          <w:ilvl w:val="0"/>
          <w:numId w:val="1"/>
        </w:numPr>
      </w:pPr>
      <w:r w:rsidRPr="00BA73A5">
        <w:rPr>
          <w:i/>
        </w:rPr>
        <w:t xml:space="preserve">Post-hoc </w:t>
      </w:r>
      <w:r w:rsidRPr="00BA73A5">
        <w:t xml:space="preserve">analysis: </w:t>
      </w:r>
      <w:r w:rsidR="0004184E" w:rsidRPr="00BA73A5">
        <w:t>N</w:t>
      </w:r>
      <w:r w:rsidRPr="00BA73A5">
        <w:t>on-</w:t>
      </w:r>
      <w:r w:rsidR="0004184E" w:rsidRPr="00BA73A5">
        <w:t>R</w:t>
      </w:r>
      <w:r w:rsidRPr="00BA73A5">
        <w:t xml:space="preserve">emitting </w:t>
      </w:r>
      <w:r w:rsidR="0004184E" w:rsidRPr="00BA73A5">
        <w:t>individuals</w:t>
      </w:r>
      <w:r w:rsidRPr="00BA73A5">
        <w:t xml:space="preserve"> had a significantly lower percentage of females than </w:t>
      </w:r>
      <w:r w:rsidR="0004184E" w:rsidRPr="00BA73A5">
        <w:t>R</w:t>
      </w:r>
      <w:r w:rsidR="00C26869" w:rsidRPr="00BA73A5">
        <w:t>emitting</w:t>
      </w:r>
      <w:r w:rsidRPr="00BA73A5">
        <w:t xml:space="preserve"> </w:t>
      </w:r>
      <w:r w:rsidR="0004184E" w:rsidRPr="00BA73A5">
        <w:t xml:space="preserve">individuals </w:t>
      </w:r>
      <w:r w:rsidRPr="00BA73A5">
        <w:t>and controls (p=0.0</w:t>
      </w:r>
      <w:r w:rsidR="0004184E" w:rsidRPr="00BA73A5">
        <w:t>4</w:t>
      </w:r>
      <w:r w:rsidR="005E6C33" w:rsidRPr="00BA73A5">
        <w:t xml:space="preserve"> </w:t>
      </w:r>
      <w:r w:rsidRPr="00BA73A5">
        <w:t>and p=0.02</w:t>
      </w:r>
      <w:r w:rsidR="005E6C33" w:rsidRPr="00BA73A5">
        <w:t xml:space="preserve"> </w:t>
      </w:r>
      <w:r w:rsidRPr="00BA73A5">
        <w:t xml:space="preserve">respectively). </w:t>
      </w:r>
    </w:p>
    <w:p w14:paraId="4F13FFA1" w14:textId="77777777" w:rsidR="00682D7B" w:rsidRPr="00BA73A5" w:rsidRDefault="00682D7B" w:rsidP="00682D7B">
      <w:pPr>
        <w:pStyle w:val="ListParagraph"/>
      </w:pPr>
    </w:p>
    <w:p w14:paraId="4D42A6B1" w14:textId="3743DE90" w:rsidR="00682D7B" w:rsidRPr="00BA73A5" w:rsidRDefault="00682D7B" w:rsidP="00682D7B">
      <w:pPr>
        <w:pStyle w:val="ListParagraph"/>
        <w:numPr>
          <w:ilvl w:val="0"/>
          <w:numId w:val="1"/>
        </w:numPr>
      </w:pPr>
      <w:r w:rsidRPr="00BA73A5">
        <w:rPr>
          <w:i/>
        </w:rPr>
        <w:t xml:space="preserve">Post-hoc </w:t>
      </w:r>
      <w:r w:rsidRPr="00BA73A5">
        <w:t xml:space="preserve">analysis: </w:t>
      </w:r>
      <w:r w:rsidR="0004184E" w:rsidRPr="00BA73A5">
        <w:t>C</w:t>
      </w:r>
      <w:r w:rsidRPr="00BA73A5">
        <w:t>ontrol</w:t>
      </w:r>
      <w:r w:rsidR="0004184E" w:rsidRPr="00BA73A5">
        <w:t>s were</w:t>
      </w:r>
      <w:r w:rsidRPr="00BA73A5">
        <w:t xml:space="preserve"> significantly older than </w:t>
      </w:r>
      <w:r w:rsidR="0004184E" w:rsidRPr="00BA73A5">
        <w:t>N</w:t>
      </w:r>
      <w:r w:rsidRPr="00BA73A5">
        <w:t>on-</w:t>
      </w:r>
      <w:r w:rsidR="0004184E" w:rsidRPr="00BA73A5">
        <w:t>R</w:t>
      </w:r>
      <w:r w:rsidRPr="00BA73A5">
        <w:t xml:space="preserve">emitting (p&lt;0.001) and </w:t>
      </w:r>
      <w:r w:rsidR="0004184E" w:rsidRPr="00BA73A5">
        <w:t xml:space="preserve">Remitting </w:t>
      </w:r>
      <w:r w:rsidRPr="00BA73A5">
        <w:t>(p=0.001)</w:t>
      </w:r>
      <w:r w:rsidR="0004184E" w:rsidRPr="00BA73A5">
        <w:t xml:space="preserve"> individuals</w:t>
      </w:r>
      <w:r w:rsidRPr="00BA73A5">
        <w:t xml:space="preserve">. </w:t>
      </w:r>
      <w:r w:rsidR="0004184E" w:rsidRPr="00BA73A5">
        <w:t>There were n</w:t>
      </w:r>
      <w:r w:rsidRPr="00BA73A5">
        <w:t xml:space="preserve">o </w:t>
      </w:r>
      <w:r w:rsidR="0004184E" w:rsidRPr="00BA73A5">
        <w:t xml:space="preserve">age </w:t>
      </w:r>
      <w:r w:rsidRPr="00BA73A5">
        <w:t xml:space="preserve">differences between </w:t>
      </w:r>
      <w:r w:rsidR="0004184E" w:rsidRPr="00BA73A5">
        <w:t>Non-Remitting and Remitting individuals</w:t>
      </w:r>
      <w:r w:rsidRPr="00BA73A5">
        <w:t xml:space="preserve">. </w:t>
      </w:r>
    </w:p>
    <w:p w14:paraId="1101C106" w14:textId="77777777" w:rsidR="00682D7B" w:rsidRPr="00BA73A5" w:rsidRDefault="00682D7B" w:rsidP="00682D7B">
      <w:pPr>
        <w:pStyle w:val="ListParagraph"/>
      </w:pPr>
    </w:p>
    <w:p w14:paraId="0B56CC2A" w14:textId="0EC99DEC" w:rsidR="00682D7B" w:rsidRPr="00BA73A5" w:rsidRDefault="00682D7B" w:rsidP="00682D7B">
      <w:pPr>
        <w:pStyle w:val="ListParagraph"/>
        <w:numPr>
          <w:ilvl w:val="0"/>
          <w:numId w:val="1"/>
        </w:numPr>
      </w:pPr>
      <w:r w:rsidRPr="00BA73A5">
        <w:t xml:space="preserve">Information on handedness was obtained for 146 people in the </w:t>
      </w:r>
      <w:r w:rsidR="0004184E" w:rsidRPr="00BA73A5">
        <w:t>N</w:t>
      </w:r>
      <w:r w:rsidRPr="00BA73A5">
        <w:t>on-</w:t>
      </w:r>
      <w:r w:rsidR="0004184E" w:rsidRPr="00BA73A5">
        <w:t>R</w:t>
      </w:r>
      <w:r w:rsidRPr="00BA73A5">
        <w:t xml:space="preserve">emitting group, 86 in the </w:t>
      </w:r>
      <w:r w:rsidR="0004184E" w:rsidRPr="00BA73A5">
        <w:t>Remitting</w:t>
      </w:r>
      <w:r w:rsidRPr="00BA73A5">
        <w:t xml:space="preserve"> group and 169 control</w:t>
      </w:r>
      <w:r w:rsidR="0004184E" w:rsidRPr="00BA73A5">
        <w:t>s</w:t>
      </w:r>
      <w:r w:rsidRPr="00BA73A5">
        <w:t xml:space="preserve">. </w:t>
      </w:r>
    </w:p>
    <w:p w14:paraId="1BE31797" w14:textId="77777777" w:rsidR="00682D7B" w:rsidRPr="00BA73A5" w:rsidRDefault="00682D7B" w:rsidP="00682D7B">
      <w:pPr>
        <w:pStyle w:val="ListParagraph"/>
      </w:pPr>
    </w:p>
    <w:p w14:paraId="720CB566" w14:textId="0F2AD07F" w:rsidR="00682D7B" w:rsidRPr="00BA73A5" w:rsidRDefault="00682D7B" w:rsidP="00682D7B">
      <w:pPr>
        <w:pStyle w:val="ListParagraph"/>
        <w:numPr>
          <w:ilvl w:val="0"/>
          <w:numId w:val="1"/>
        </w:numPr>
      </w:pPr>
      <w:r w:rsidRPr="00BA73A5">
        <w:rPr>
          <w:i/>
        </w:rPr>
        <w:t>Post hoc</w:t>
      </w:r>
      <w:r w:rsidRPr="00BA73A5">
        <w:t xml:space="preserve"> analysis: </w:t>
      </w:r>
      <w:r w:rsidR="0004184E" w:rsidRPr="00BA73A5">
        <w:t>C</w:t>
      </w:r>
      <w:r w:rsidRPr="00BA73A5">
        <w:t>ontrol</w:t>
      </w:r>
      <w:r w:rsidR="0004184E" w:rsidRPr="00BA73A5">
        <w:t>s</w:t>
      </w:r>
      <w:r w:rsidRPr="00BA73A5">
        <w:t xml:space="preserve"> had significantly more individuals of white ethnicity compared to </w:t>
      </w:r>
      <w:r w:rsidR="0004184E" w:rsidRPr="00BA73A5">
        <w:t>N</w:t>
      </w:r>
      <w:r w:rsidRPr="00BA73A5">
        <w:t>on-</w:t>
      </w:r>
      <w:r w:rsidR="0004184E" w:rsidRPr="00BA73A5">
        <w:t>R</w:t>
      </w:r>
      <w:r w:rsidRPr="00BA73A5">
        <w:t>emitting (p&lt;0.001</w:t>
      </w:r>
      <w:r w:rsidR="00257149" w:rsidRPr="00BA73A5">
        <w:t>)</w:t>
      </w:r>
      <w:r w:rsidRPr="00BA73A5">
        <w:t xml:space="preserve"> and </w:t>
      </w:r>
      <w:r w:rsidR="0004184E" w:rsidRPr="00BA73A5">
        <w:t>R</w:t>
      </w:r>
      <w:r w:rsidR="00C26869" w:rsidRPr="00BA73A5">
        <w:t>emitting</w:t>
      </w:r>
      <w:r w:rsidRPr="00BA73A5">
        <w:t xml:space="preserve"> (p=0.015)</w:t>
      </w:r>
      <w:r w:rsidR="0004184E" w:rsidRPr="00BA73A5">
        <w:t xml:space="preserve"> individuals</w:t>
      </w:r>
      <w:r w:rsidRPr="00BA73A5">
        <w:t xml:space="preserve">. </w:t>
      </w:r>
    </w:p>
    <w:p w14:paraId="6C97F713" w14:textId="77777777" w:rsidR="00682D7B" w:rsidRPr="00BA73A5" w:rsidRDefault="00682D7B" w:rsidP="00682D7B">
      <w:pPr>
        <w:pStyle w:val="ListParagraph"/>
      </w:pPr>
    </w:p>
    <w:p w14:paraId="1CEE78D5" w14:textId="0B957FDE" w:rsidR="00682D7B" w:rsidRPr="00BA73A5" w:rsidRDefault="00682D7B" w:rsidP="00682D7B">
      <w:pPr>
        <w:pStyle w:val="ListParagraph"/>
        <w:numPr>
          <w:ilvl w:val="0"/>
          <w:numId w:val="1"/>
        </w:numPr>
      </w:pPr>
      <w:r w:rsidRPr="00BA73A5">
        <w:t xml:space="preserve">Information on NART IQ was obtained for 109 people in the </w:t>
      </w:r>
      <w:r w:rsidR="0004184E" w:rsidRPr="00BA73A5">
        <w:t>Non-Remitting</w:t>
      </w:r>
      <w:r w:rsidRPr="00BA73A5">
        <w:t xml:space="preserve">, 67 people in the </w:t>
      </w:r>
      <w:r w:rsidR="0004184E" w:rsidRPr="00BA73A5">
        <w:t>Remitting</w:t>
      </w:r>
      <w:r w:rsidRPr="00BA73A5">
        <w:t xml:space="preserve"> group and 164 </w:t>
      </w:r>
      <w:r w:rsidR="0004184E" w:rsidRPr="00BA73A5">
        <w:t>c</w:t>
      </w:r>
      <w:r w:rsidRPr="00BA73A5">
        <w:t>ontrol</w:t>
      </w:r>
      <w:r w:rsidR="0004184E" w:rsidRPr="00BA73A5">
        <w:t>s</w:t>
      </w:r>
      <w:r w:rsidRPr="00BA73A5">
        <w:t xml:space="preserve">. </w:t>
      </w:r>
      <w:r w:rsidRPr="00BA73A5">
        <w:rPr>
          <w:i/>
        </w:rPr>
        <w:t>Post-hoc</w:t>
      </w:r>
      <w:r w:rsidRPr="00BA73A5">
        <w:t xml:space="preserve"> analysis: controls had a significantly higher NART IQ than </w:t>
      </w:r>
      <w:r w:rsidR="0004184E" w:rsidRPr="00BA73A5">
        <w:t>Remitting</w:t>
      </w:r>
      <w:r w:rsidRPr="00BA73A5">
        <w:t xml:space="preserve"> (p=0.025) and </w:t>
      </w:r>
      <w:r w:rsidR="0004184E" w:rsidRPr="00BA73A5">
        <w:t>N</w:t>
      </w:r>
      <w:r w:rsidRPr="00BA73A5">
        <w:t>on-</w:t>
      </w:r>
      <w:r w:rsidR="0004184E" w:rsidRPr="00BA73A5">
        <w:t>R</w:t>
      </w:r>
      <w:r w:rsidRPr="00BA73A5">
        <w:t xml:space="preserve">emitting </w:t>
      </w:r>
      <w:r w:rsidR="0004184E" w:rsidRPr="00BA73A5">
        <w:t>individuals</w:t>
      </w:r>
      <w:r w:rsidRPr="00BA73A5">
        <w:t xml:space="preserve"> (p &lt;0.001).  Moreover, </w:t>
      </w:r>
      <w:r w:rsidR="0004184E" w:rsidRPr="00BA73A5">
        <w:t>Non-Remitting individuals</w:t>
      </w:r>
      <w:r w:rsidRPr="00BA73A5">
        <w:t xml:space="preserve"> had a significantly lower IQ th</w:t>
      </w:r>
      <w:r w:rsidR="00C26869" w:rsidRPr="00BA73A5">
        <w:t>a</w:t>
      </w:r>
      <w:r w:rsidR="0004184E" w:rsidRPr="00BA73A5">
        <w:t>n</w:t>
      </w:r>
      <w:r w:rsidR="00C26869" w:rsidRPr="00BA73A5">
        <w:t xml:space="preserve"> </w:t>
      </w:r>
      <w:r w:rsidR="0004184E" w:rsidRPr="00BA73A5">
        <w:t>R</w:t>
      </w:r>
      <w:r w:rsidR="00C26869" w:rsidRPr="00BA73A5">
        <w:t>emitting</w:t>
      </w:r>
      <w:r w:rsidRPr="00BA73A5">
        <w:t xml:space="preserve"> </w:t>
      </w:r>
      <w:r w:rsidR="0004184E" w:rsidRPr="00BA73A5">
        <w:t>individuals</w:t>
      </w:r>
      <w:r w:rsidRPr="00BA73A5">
        <w:t xml:space="preserve"> (p&lt;0.002).</w:t>
      </w:r>
    </w:p>
    <w:p w14:paraId="039E50A2" w14:textId="77777777" w:rsidR="00682D7B" w:rsidRPr="00BA73A5" w:rsidRDefault="00682D7B" w:rsidP="00682D7B">
      <w:pPr>
        <w:pStyle w:val="ListParagraph"/>
      </w:pPr>
    </w:p>
    <w:p w14:paraId="276E7CA6" w14:textId="1B005EF0" w:rsidR="005E6C33" w:rsidRPr="00BA73A5" w:rsidRDefault="00682D7B" w:rsidP="005E6C33">
      <w:pPr>
        <w:pStyle w:val="ListParagraph"/>
        <w:numPr>
          <w:ilvl w:val="0"/>
          <w:numId w:val="1"/>
        </w:numPr>
      </w:pPr>
      <w:r w:rsidRPr="00BA73A5">
        <w:t xml:space="preserve">Information on WAIS-R IQ was obtained for 114 </w:t>
      </w:r>
      <w:r w:rsidR="0004184E" w:rsidRPr="00BA73A5">
        <w:t>N</w:t>
      </w:r>
      <w:r w:rsidRPr="00BA73A5">
        <w:t>on-</w:t>
      </w:r>
      <w:r w:rsidR="0004184E" w:rsidRPr="00BA73A5">
        <w:t>R</w:t>
      </w:r>
      <w:r w:rsidRPr="00BA73A5">
        <w:t xml:space="preserve">emitting </w:t>
      </w:r>
      <w:r w:rsidR="0004184E" w:rsidRPr="00BA73A5">
        <w:t>individuals</w:t>
      </w:r>
      <w:r w:rsidRPr="00BA73A5">
        <w:t xml:space="preserve">, 70 </w:t>
      </w:r>
      <w:r w:rsidR="0004184E" w:rsidRPr="00BA73A5">
        <w:t xml:space="preserve">Remitting individuals </w:t>
      </w:r>
      <w:r w:rsidRPr="00BA73A5">
        <w:t xml:space="preserve">and 162 </w:t>
      </w:r>
      <w:r w:rsidR="0004184E" w:rsidRPr="00BA73A5">
        <w:t>controls</w:t>
      </w:r>
      <w:r w:rsidRPr="00BA73A5">
        <w:t xml:space="preserve">. </w:t>
      </w:r>
      <w:r w:rsidRPr="00BA73A5">
        <w:rPr>
          <w:i/>
        </w:rPr>
        <w:t xml:space="preserve">Post-hoc </w:t>
      </w:r>
      <w:r w:rsidRPr="00BA73A5">
        <w:t xml:space="preserve">analysis: controls had a significantly higher total IQ than </w:t>
      </w:r>
      <w:r w:rsidR="0004184E" w:rsidRPr="00BA73A5">
        <w:t>Remitting</w:t>
      </w:r>
      <w:r w:rsidRPr="00BA73A5">
        <w:t xml:space="preserve"> (p&lt;0.001) and </w:t>
      </w:r>
      <w:r w:rsidR="0004184E" w:rsidRPr="00BA73A5">
        <w:t>N</w:t>
      </w:r>
      <w:r w:rsidRPr="00BA73A5">
        <w:t>on-</w:t>
      </w:r>
      <w:r w:rsidR="0004184E" w:rsidRPr="00BA73A5">
        <w:t>R</w:t>
      </w:r>
      <w:r w:rsidRPr="00BA73A5">
        <w:t xml:space="preserve">emitting </w:t>
      </w:r>
      <w:r w:rsidR="0004184E" w:rsidRPr="00BA73A5">
        <w:t>individuals</w:t>
      </w:r>
      <w:r w:rsidRPr="00BA73A5">
        <w:t xml:space="preserve"> (p&lt;0.001). Furthermore, </w:t>
      </w:r>
      <w:r w:rsidR="003210FC" w:rsidRPr="00BA73A5">
        <w:t>N</w:t>
      </w:r>
      <w:r w:rsidRPr="00BA73A5">
        <w:t>on-</w:t>
      </w:r>
      <w:r w:rsidR="003210FC" w:rsidRPr="00BA73A5">
        <w:t>R</w:t>
      </w:r>
      <w:r w:rsidRPr="00BA73A5">
        <w:t xml:space="preserve">emitting </w:t>
      </w:r>
      <w:r w:rsidR="003210FC" w:rsidRPr="00BA73A5">
        <w:t>individuals</w:t>
      </w:r>
      <w:r w:rsidRPr="00BA73A5">
        <w:t xml:space="preserve"> had a significantly lower IQ than </w:t>
      </w:r>
      <w:r w:rsidR="003210FC" w:rsidRPr="00BA73A5">
        <w:t>Remitting individuals</w:t>
      </w:r>
      <w:r w:rsidRPr="00BA73A5">
        <w:t xml:space="preserve"> (p&lt;0.001).</w:t>
      </w:r>
    </w:p>
    <w:p w14:paraId="54B0A300" w14:textId="77777777" w:rsidR="005E6C33" w:rsidRPr="00BA73A5" w:rsidRDefault="005E6C33" w:rsidP="005E6C33">
      <w:pPr>
        <w:pStyle w:val="ListParagraph"/>
      </w:pPr>
    </w:p>
    <w:p w14:paraId="0F01D3F8" w14:textId="482BA70D" w:rsidR="008A1EAE" w:rsidRPr="00BA73A5" w:rsidRDefault="003D5B37" w:rsidP="005E6C33">
      <w:pPr>
        <w:pStyle w:val="ListParagraph"/>
        <w:numPr>
          <w:ilvl w:val="0"/>
          <w:numId w:val="1"/>
        </w:numPr>
      </w:pPr>
      <w:r w:rsidRPr="00BA73A5">
        <w:t xml:space="preserve">Information on duration of untreated illness was obtained for 145 </w:t>
      </w:r>
      <w:r w:rsidR="003210FC" w:rsidRPr="00BA73A5">
        <w:t xml:space="preserve">Non-Remitting individuals </w:t>
      </w:r>
      <w:r w:rsidRPr="00BA73A5">
        <w:t xml:space="preserve">and 83 </w:t>
      </w:r>
      <w:r w:rsidR="003210FC" w:rsidRPr="00BA73A5">
        <w:t>Remitting individuals</w:t>
      </w:r>
      <w:r w:rsidRPr="00BA73A5">
        <w:t xml:space="preserve">. The distribution of duration of untreated illness was highly skewed and therefore, logarithmic transformation was used to compare it across the two groups using </w:t>
      </w:r>
      <w:r w:rsidR="003210FC" w:rsidRPr="00BA73A5">
        <w:t xml:space="preserve">a </w:t>
      </w:r>
      <w:r w:rsidRPr="00BA73A5">
        <w:t xml:space="preserve">parametric test. </w:t>
      </w:r>
    </w:p>
    <w:p w14:paraId="378396B3" w14:textId="2B910F0E" w:rsidR="003D5B37" w:rsidRPr="00BA73A5" w:rsidRDefault="008A1EAE" w:rsidP="003D5B37">
      <w:pPr>
        <w:pStyle w:val="ListParagraph"/>
        <w:ind w:left="360"/>
      </w:pPr>
      <w:r w:rsidRPr="00BA73A5" w:rsidDel="008A1EAE">
        <w:t xml:space="preserve"> </w:t>
      </w:r>
    </w:p>
    <w:p w14:paraId="02877451" w14:textId="549C1D28" w:rsidR="003D5B37" w:rsidRPr="00BA73A5" w:rsidRDefault="003D5B37" w:rsidP="003D5B37">
      <w:pPr>
        <w:pStyle w:val="ListParagraph"/>
        <w:numPr>
          <w:ilvl w:val="0"/>
          <w:numId w:val="1"/>
        </w:numPr>
      </w:pPr>
      <w:r w:rsidRPr="00BA73A5">
        <w:t xml:space="preserve">Information on duration of illness was obtained for 123 </w:t>
      </w:r>
      <w:r w:rsidR="009F789C" w:rsidRPr="00BA73A5">
        <w:t xml:space="preserve">Non-Remitting individuals </w:t>
      </w:r>
      <w:r w:rsidRPr="00BA73A5">
        <w:t>and 7</w:t>
      </w:r>
      <w:r w:rsidR="00341834" w:rsidRPr="00BA73A5">
        <w:t>4</w:t>
      </w:r>
      <w:r w:rsidRPr="00BA73A5">
        <w:t xml:space="preserve"> </w:t>
      </w:r>
      <w:r w:rsidR="009F789C" w:rsidRPr="00BA73A5">
        <w:t>Remitting individuals</w:t>
      </w:r>
      <w:r w:rsidR="00825039" w:rsidRPr="00BA73A5">
        <w:t xml:space="preserve">. The distribution of duration of untreated illness was highly skewed and therefore, logarithmic transformation was used to compare it across the two groups using </w:t>
      </w:r>
      <w:r w:rsidR="009F789C" w:rsidRPr="00BA73A5">
        <w:t xml:space="preserve">a </w:t>
      </w:r>
      <w:r w:rsidR="00825039" w:rsidRPr="00BA73A5">
        <w:t>parametric test</w:t>
      </w:r>
      <w:r w:rsidR="009F789C" w:rsidRPr="00BA73A5">
        <w:t>.</w:t>
      </w:r>
    </w:p>
    <w:p w14:paraId="04176F9C" w14:textId="77777777" w:rsidR="009F789C" w:rsidRPr="00BA73A5" w:rsidRDefault="009F789C" w:rsidP="009F789C"/>
    <w:p w14:paraId="5D0C5729" w14:textId="3961FBE5" w:rsidR="00682D7B" w:rsidRPr="00BA73A5" w:rsidRDefault="00682D7B" w:rsidP="003D5B37">
      <w:pPr>
        <w:pStyle w:val="ListParagraph"/>
        <w:numPr>
          <w:ilvl w:val="0"/>
          <w:numId w:val="1"/>
        </w:numPr>
      </w:pPr>
      <w:r w:rsidRPr="00BA73A5">
        <w:rPr>
          <w:i/>
        </w:rPr>
        <w:t>Post hoc</w:t>
      </w:r>
      <w:r w:rsidRPr="00BA73A5">
        <w:t xml:space="preserve"> analysis: </w:t>
      </w:r>
      <w:r w:rsidR="001D2C4C" w:rsidRPr="00BA73A5">
        <w:t>The Non-Remitting group included</w:t>
      </w:r>
      <w:r w:rsidRPr="00BA73A5">
        <w:t xml:space="preserve"> </w:t>
      </w:r>
      <w:r w:rsidR="001D2C4C" w:rsidRPr="00BA73A5">
        <w:t xml:space="preserve">more individuals with a diagnosis of </w:t>
      </w:r>
      <w:r w:rsidRPr="00BA73A5">
        <w:t>schizophreni</w:t>
      </w:r>
      <w:r w:rsidR="001D2C4C" w:rsidRPr="00BA73A5">
        <w:t xml:space="preserve">a </w:t>
      </w:r>
      <w:r w:rsidRPr="00BA73A5">
        <w:t xml:space="preserve">(p&lt;0.001) and other psychosis (p=0.005) </w:t>
      </w:r>
      <w:r w:rsidR="007A0B7A" w:rsidRPr="00BA73A5">
        <w:t>than the Remitting group.</w:t>
      </w:r>
    </w:p>
    <w:p w14:paraId="3D789A7C" w14:textId="77777777" w:rsidR="00682D7B" w:rsidRPr="00BA73A5" w:rsidRDefault="00682D7B" w:rsidP="00682D7B">
      <w:pPr>
        <w:pStyle w:val="ListParagraph"/>
      </w:pPr>
    </w:p>
    <w:p w14:paraId="56CB51AD" w14:textId="7CDED752" w:rsidR="00682D7B" w:rsidRPr="00BA73A5" w:rsidRDefault="000E3878" w:rsidP="00682D7B">
      <w:pPr>
        <w:pStyle w:val="ListParagraph"/>
        <w:numPr>
          <w:ilvl w:val="0"/>
          <w:numId w:val="1"/>
        </w:numPr>
      </w:pPr>
      <w:r w:rsidRPr="00BA73A5">
        <w:t>S</w:t>
      </w:r>
      <w:r w:rsidR="00682D7B" w:rsidRPr="00BA73A5">
        <w:t>ymptom</w:t>
      </w:r>
      <w:r w:rsidRPr="00BA73A5">
        <w:t xml:space="preserve"> details were</w:t>
      </w:r>
      <w:r w:rsidR="00682D7B" w:rsidRPr="00BA73A5">
        <w:t xml:space="preserve"> missing for 1</w:t>
      </w:r>
      <w:r w:rsidR="003D5B37" w:rsidRPr="00BA73A5">
        <w:t>8</w:t>
      </w:r>
      <w:r w:rsidR="00682D7B" w:rsidRPr="00BA73A5">
        <w:t xml:space="preserve"> </w:t>
      </w:r>
      <w:r w:rsidR="00582290" w:rsidRPr="00BA73A5">
        <w:t>Non-Remitting individuals</w:t>
      </w:r>
      <w:r w:rsidR="00682D7B" w:rsidRPr="00BA73A5">
        <w:t xml:space="preserve"> and 18 </w:t>
      </w:r>
      <w:r w:rsidR="00582290" w:rsidRPr="00BA73A5">
        <w:t>R</w:t>
      </w:r>
      <w:r w:rsidR="00C26869" w:rsidRPr="00BA73A5">
        <w:t>emitting</w:t>
      </w:r>
      <w:r w:rsidR="00682D7B" w:rsidRPr="00BA73A5">
        <w:t xml:space="preserve"> </w:t>
      </w:r>
      <w:r w:rsidR="00582290" w:rsidRPr="00BA73A5">
        <w:t>individuals</w:t>
      </w:r>
      <w:r w:rsidR="00682D7B" w:rsidRPr="00BA73A5">
        <w:t>.</w:t>
      </w:r>
      <w:r w:rsidR="00682D7B" w:rsidRPr="00BA73A5">
        <w:rPr>
          <w:i/>
          <w:iCs/>
        </w:rPr>
        <w:t xml:space="preserve"> </w:t>
      </w:r>
    </w:p>
    <w:p w14:paraId="51093064" w14:textId="77777777" w:rsidR="00682D7B" w:rsidRPr="00BA73A5" w:rsidRDefault="00682D7B" w:rsidP="00682D7B">
      <w:pPr>
        <w:pStyle w:val="ListParagraph"/>
        <w:rPr>
          <w:i/>
          <w:iCs/>
        </w:rPr>
      </w:pPr>
    </w:p>
    <w:p w14:paraId="68923E4C" w14:textId="6D62C9B3" w:rsidR="00682D7B" w:rsidRPr="00BA73A5" w:rsidRDefault="00682D7B" w:rsidP="00682D7B">
      <w:pPr>
        <w:pStyle w:val="ListParagraph"/>
        <w:numPr>
          <w:ilvl w:val="0"/>
          <w:numId w:val="1"/>
        </w:numPr>
      </w:pPr>
      <w:r w:rsidRPr="00BA73A5">
        <w:rPr>
          <w:iCs/>
        </w:rPr>
        <w:t>Data</w:t>
      </w:r>
      <w:r w:rsidRPr="00BA73A5">
        <w:t xml:space="preserve"> on the presence of negative symptoms during the follow-up period were available for 141 </w:t>
      </w:r>
      <w:r w:rsidR="00825BFC" w:rsidRPr="00BA73A5">
        <w:t xml:space="preserve">Non-Remitting individuals </w:t>
      </w:r>
      <w:r w:rsidRPr="00BA73A5">
        <w:t xml:space="preserve">and for 82 </w:t>
      </w:r>
      <w:r w:rsidR="00825BFC" w:rsidRPr="00BA73A5">
        <w:t>Remitting individuals</w:t>
      </w:r>
      <w:r w:rsidRPr="00BA73A5">
        <w:t>.</w:t>
      </w:r>
    </w:p>
    <w:p w14:paraId="02970DA4" w14:textId="77777777" w:rsidR="00682D7B" w:rsidRPr="00BA73A5" w:rsidRDefault="00682D7B" w:rsidP="003F27D6"/>
    <w:p w14:paraId="5452E0FF" w14:textId="2227A2A0" w:rsidR="002866A4" w:rsidRPr="00BA73A5" w:rsidRDefault="002866A4" w:rsidP="002866A4">
      <w:pPr>
        <w:pStyle w:val="ListParagraph"/>
        <w:numPr>
          <w:ilvl w:val="0"/>
          <w:numId w:val="1"/>
        </w:numPr>
        <w:jc w:val="both"/>
      </w:pPr>
      <w:r w:rsidRPr="00BA73A5">
        <w:t xml:space="preserve">Information on antipsychotic medications at baseline neurological evaluation </w:t>
      </w:r>
      <w:r w:rsidR="009420DA" w:rsidRPr="00BA73A5">
        <w:t>was</w:t>
      </w:r>
      <w:r w:rsidRPr="00BA73A5">
        <w:t xml:space="preserve"> available </w:t>
      </w:r>
      <w:r w:rsidR="009420DA" w:rsidRPr="00BA73A5">
        <w:t xml:space="preserve">for 196 </w:t>
      </w:r>
      <w:r w:rsidR="00BA73A5" w:rsidRPr="00BA73A5">
        <w:t>patients</w:t>
      </w:r>
      <w:r w:rsidR="009420DA" w:rsidRPr="00BA73A5">
        <w:t>.</w:t>
      </w:r>
    </w:p>
    <w:p w14:paraId="77F30239" w14:textId="1D541EAF" w:rsidR="00682D7B" w:rsidRPr="00BA73A5" w:rsidRDefault="00682D7B" w:rsidP="002866A4"/>
    <w:p w14:paraId="2D103F95" w14:textId="232D0BD3" w:rsidR="000473C4" w:rsidRPr="00BA73A5" w:rsidRDefault="000473C4" w:rsidP="003F27D6">
      <w:pPr>
        <w:pStyle w:val="ListParagraph"/>
        <w:numPr>
          <w:ilvl w:val="0"/>
          <w:numId w:val="1"/>
        </w:numPr>
        <w:jc w:val="both"/>
      </w:pPr>
      <w:r w:rsidRPr="00BA73A5">
        <w:t xml:space="preserve">GAF-s scores were </w:t>
      </w:r>
      <w:r w:rsidR="00825BFC" w:rsidRPr="00BA73A5">
        <w:t>available for</w:t>
      </w:r>
      <w:r w:rsidRPr="00BA73A5">
        <w:t xml:space="preserve"> 118 </w:t>
      </w:r>
      <w:r w:rsidR="00825BFC" w:rsidRPr="00BA73A5">
        <w:t xml:space="preserve">Non-Remitting individuals </w:t>
      </w:r>
      <w:r w:rsidRPr="00BA73A5">
        <w:t xml:space="preserve">and 68 </w:t>
      </w:r>
      <w:r w:rsidR="00825BFC" w:rsidRPr="00BA73A5">
        <w:t xml:space="preserve">Remitting individuals, and </w:t>
      </w:r>
      <w:r w:rsidRPr="00BA73A5">
        <w:t xml:space="preserve">GAF-d scores for 114 </w:t>
      </w:r>
      <w:r w:rsidR="00825BFC" w:rsidRPr="00BA73A5">
        <w:t xml:space="preserve">Non-Remitting individuals </w:t>
      </w:r>
      <w:r w:rsidRPr="00BA73A5">
        <w:t xml:space="preserve">and for 64 </w:t>
      </w:r>
      <w:r w:rsidR="00825BFC" w:rsidRPr="00BA73A5">
        <w:t>Remitting individuals</w:t>
      </w:r>
      <w:r w:rsidRPr="00BA73A5">
        <w:t>.</w:t>
      </w:r>
    </w:p>
    <w:p w14:paraId="256F12A9" w14:textId="77777777" w:rsidR="00810042" w:rsidRPr="00810042" w:rsidRDefault="00810042" w:rsidP="00810042">
      <w:pPr>
        <w:pStyle w:val="ListParagraph"/>
        <w:rPr>
          <w:sz w:val="24"/>
          <w:szCs w:val="24"/>
        </w:rPr>
      </w:pPr>
    </w:p>
    <w:p w14:paraId="40A94703" w14:textId="77777777" w:rsidR="00682D7B" w:rsidRDefault="00682D7B" w:rsidP="00682D7B">
      <w:pPr>
        <w:pStyle w:val="ListParagraph"/>
        <w:spacing w:line="360" w:lineRule="auto"/>
        <w:ind w:left="0"/>
        <w:jc w:val="both"/>
        <w:rPr>
          <w:sz w:val="24"/>
          <w:szCs w:val="24"/>
        </w:rPr>
      </w:pPr>
    </w:p>
    <w:p w14:paraId="391603B3" w14:textId="6E0C4FB3" w:rsidR="00682D7B" w:rsidRDefault="00682D7B" w:rsidP="00682D7B">
      <w:pPr>
        <w:pStyle w:val="ListParagraph"/>
        <w:spacing w:line="360" w:lineRule="auto"/>
        <w:ind w:left="0"/>
        <w:jc w:val="both"/>
        <w:rPr>
          <w:sz w:val="24"/>
          <w:szCs w:val="24"/>
        </w:rPr>
      </w:pPr>
    </w:p>
    <w:p w14:paraId="695A8242" w14:textId="5043FE1C" w:rsidR="002866A4" w:rsidRDefault="002866A4" w:rsidP="00682D7B">
      <w:pPr>
        <w:pStyle w:val="ListParagraph"/>
        <w:spacing w:line="360" w:lineRule="auto"/>
        <w:ind w:left="0"/>
        <w:jc w:val="both"/>
        <w:rPr>
          <w:sz w:val="24"/>
          <w:szCs w:val="24"/>
        </w:rPr>
      </w:pPr>
    </w:p>
    <w:p w14:paraId="5B7853BC" w14:textId="32312BCA" w:rsidR="002866A4" w:rsidRDefault="002866A4" w:rsidP="00682D7B">
      <w:pPr>
        <w:pStyle w:val="ListParagraph"/>
        <w:spacing w:line="360" w:lineRule="auto"/>
        <w:ind w:left="0"/>
        <w:jc w:val="both"/>
        <w:rPr>
          <w:sz w:val="24"/>
          <w:szCs w:val="24"/>
        </w:rPr>
      </w:pPr>
    </w:p>
    <w:p w14:paraId="2369ABB7" w14:textId="010BBA99" w:rsidR="002866A4" w:rsidRDefault="002866A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C98BA0E" w14:textId="60C7A330" w:rsidR="00682D7B" w:rsidRDefault="002866A4" w:rsidP="00682D7B">
      <w:pPr>
        <w:pStyle w:val="ListParagraph"/>
        <w:spacing w:line="360" w:lineRule="auto"/>
        <w:ind w:left="0"/>
        <w:jc w:val="both"/>
        <w:rPr>
          <w:sz w:val="24"/>
          <w:szCs w:val="24"/>
        </w:rPr>
      </w:pPr>
      <w:r w:rsidRPr="002866A4">
        <w:rPr>
          <w:b/>
          <w:bCs/>
          <w:sz w:val="24"/>
          <w:szCs w:val="24"/>
        </w:rPr>
        <w:lastRenderedPageBreak/>
        <w:t xml:space="preserve">Table 2. Neurological </w:t>
      </w:r>
      <w:r w:rsidR="0097171D" w:rsidRPr="002866A4">
        <w:rPr>
          <w:b/>
          <w:bCs/>
          <w:sz w:val="24"/>
          <w:szCs w:val="24"/>
        </w:rPr>
        <w:t xml:space="preserve">signs </w:t>
      </w:r>
      <w:r w:rsidRPr="002866A4">
        <w:rPr>
          <w:b/>
          <w:bCs/>
          <w:sz w:val="24"/>
          <w:szCs w:val="24"/>
        </w:rPr>
        <w:t>and side-effect scales</w:t>
      </w:r>
      <w:r w:rsidR="0097171D">
        <w:rPr>
          <w:b/>
          <w:bCs/>
          <w:sz w:val="24"/>
          <w:szCs w:val="24"/>
        </w:rPr>
        <w:t xml:space="preserve"> mean scores at</w:t>
      </w:r>
      <w:r w:rsidR="0097171D" w:rsidRPr="0097171D">
        <w:rPr>
          <w:b/>
          <w:bCs/>
          <w:sz w:val="24"/>
          <w:szCs w:val="24"/>
        </w:rPr>
        <w:t xml:space="preserve"> </w:t>
      </w:r>
      <w:r w:rsidR="0097171D" w:rsidRPr="002866A4">
        <w:rPr>
          <w:b/>
          <w:bCs/>
          <w:sz w:val="24"/>
          <w:szCs w:val="24"/>
        </w:rPr>
        <w:t>baseline</w:t>
      </w:r>
    </w:p>
    <w:tbl>
      <w:tblPr>
        <w:tblpPr w:leftFromText="181" w:rightFromText="181" w:vertAnchor="text" w:horzAnchor="margin" w:tblpXSpec="center" w:tblpY="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1559"/>
        <w:gridCol w:w="2127"/>
      </w:tblGrid>
      <w:tr w:rsidR="002866A4" w:rsidRPr="00114268" w14:paraId="5C9D960A" w14:textId="77777777" w:rsidTr="0097171D">
        <w:tc>
          <w:tcPr>
            <w:tcW w:w="3681" w:type="dxa"/>
            <w:shd w:val="clear" w:color="auto" w:fill="auto"/>
          </w:tcPr>
          <w:p w14:paraId="3B7B178E" w14:textId="2AEB9842" w:rsidR="002866A4" w:rsidRPr="00114268" w:rsidRDefault="00BA73A5" w:rsidP="002866A4">
            <w:pPr>
              <w:pStyle w:val="Contenutotabella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Scale</w:t>
            </w:r>
          </w:p>
        </w:tc>
        <w:tc>
          <w:tcPr>
            <w:tcW w:w="1701" w:type="dxa"/>
            <w:shd w:val="clear" w:color="auto" w:fill="auto"/>
          </w:tcPr>
          <w:p w14:paraId="7C438929" w14:textId="77777777" w:rsidR="002866A4" w:rsidRPr="00114268" w:rsidRDefault="002866A4" w:rsidP="002866A4">
            <w:pPr>
              <w:pStyle w:val="Contenutotabella"/>
              <w:jc w:val="center"/>
              <w:rPr>
                <w:b/>
                <w:bCs/>
              </w:rPr>
            </w:pPr>
            <w:r w:rsidRPr="00114268">
              <w:rPr>
                <w:b/>
                <w:bCs/>
              </w:rPr>
              <w:t>Non-Remitting patients</w:t>
            </w:r>
          </w:p>
          <w:p w14:paraId="45F1DD49" w14:textId="77777777" w:rsidR="002866A4" w:rsidRPr="00114268" w:rsidRDefault="002866A4" w:rsidP="002866A4">
            <w:pPr>
              <w:pStyle w:val="Contenutotabella"/>
              <w:jc w:val="center"/>
              <w:rPr>
                <w:b/>
                <w:bCs/>
              </w:rPr>
            </w:pPr>
            <w:r w:rsidRPr="00114268">
              <w:rPr>
                <w:b/>
                <w:bCs/>
              </w:rPr>
              <w:t>n=147</w:t>
            </w:r>
          </w:p>
        </w:tc>
        <w:tc>
          <w:tcPr>
            <w:tcW w:w="1559" w:type="dxa"/>
          </w:tcPr>
          <w:p w14:paraId="6AC308DE" w14:textId="77777777" w:rsidR="002866A4" w:rsidRPr="00114268" w:rsidRDefault="002866A4" w:rsidP="002866A4">
            <w:pPr>
              <w:pStyle w:val="Contenutotabella"/>
              <w:jc w:val="center"/>
              <w:rPr>
                <w:b/>
                <w:bCs/>
              </w:rPr>
            </w:pPr>
            <w:r w:rsidRPr="00114268">
              <w:rPr>
                <w:b/>
                <w:bCs/>
              </w:rPr>
              <w:t xml:space="preserve">Remitting </w:t>
            </w:r>
          </w:p>
          <w:p w14:paraId="57381433" w14:textId="77777777" w:rsidR="002866A4" w:rsidRPr="00114268" w:rsidRDefault="002866A4" w:rsidP="002866A4">
            <w:pPr>
              <w:pStyle w:val="Contenutotabella"/>
              <w:jc w:val="center"/>
              <w:rPr>
                <w:b/>
                <w:bCs/>
              </w:rPr>
            </w:pPr>
            <w:r w:rsidRPr="00114268">
              <w:rPr>
                <w:b/>
                <w:bCs/>
              </w:rPr>
              <w:t>patients</w:t>
            </w:r>
          </w:p>
          <w:p w14:paraId="1D6BC36B" w14:textId="77777777" w:rsidR="002866A4" w:rsidRPr="00114268" w:rsidRDefault="002866A4" w:rsidP="002866A4">
            <w:pPr>
              <w:pStyle w:val="Contenutotabella"/>
              <w:jc w:val="center"/>
              <w:rPr>
                <w:b/>
                <w:bCs/>
              </w:rPr>
            </w:pPr>
            <w:r w:rsidRPr="00114268">
              <w:rPr>
                <w:b/>
                <w:bCs/>
              </w:rPr>
              <w:t>n=86</w:t>
            </w:r>
          </w:p>
        </w:tc>
        <w:tc>
          <w:tcPr>
            <w:tcW w:w="1559" w:type="dxa"/>
          </w:tcPr>
          <w:p w14:paraId="4A34A002" w14:textId="77777777" w:rsidR="002866A4" w:rsidRPr="00114268" w:rsidRDefault="002866A4" w:rsidP="002866A4">
            <w:pPr>
              <w:pStyle w:val="Contenutotabella"/>
              <w:jc w:val="center"/>
              <w:rPr>
                <w:b/>
                <w:bCs/>
              </w:rPr>
            </w:pPr>
            <w:r w:rsidRPr="00114268">
              <w:rPr>
                <w:b/>
                <w:bCs/>
              </w:rPr>
              <w:t>Controls</w:t>
            </w:r>
          </w:p>
          <w:p w14:paraId="5FEB5925" w14:textId="77777777" w:rsidR="002866A4" w:rsidRPr="00114268" w:rsidRDefault="002866A4" w:rsidP="002866A4">
            <w:pPr>
              <w:pStyle w:val="Contenutotabella"/>
              <w:jc w:val="center"/>
              <w:rPr>
                <w:b/>
                <w:bCs/>
              </w:rPr>
            </w:pPr>
          </w:p>
          <w:p w14:paraId="62C7DA46" w14:textId="77777777" w:rsidR="002866A4" w:rsidRPr="00114268" w:rsidRDefault="002866A4" w:rsidP="002866A4">
            <w:pPr>
              <w:pStyle w:val="Contenutotabella"/>
              <w:jc w:val="center"/>
              <w:rPr>
                <w:b/>
                <w:bCs/>
              </w:rPr>
            </w:pPr>
            <w:r w:rsidRPr="00114268">
              <w:rPr>
                <w:b/>
                <w:bCs/>
              </w:rPr>
              <w:t>n=172</w:t>
            </w:r>
          </w:p>
        </w:tc>
        <w:tc>
          <w:tcPr>
            <w:tcW w:w="2127" w:type="dxa"/>
            <w:shd w:val="clear" w:color="auto" w:fill="auto"/>
          </w:tcPr>
          <w:p w14:paraId="5AB96995" w14:textId="77777777" w:rsidR="00996054" w:rsidRDefault="00996054" w:rsidP="00996054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Statistical </w:t>
            </w:r>
          </w:p>
          <w:p w14:paraId="280D969C" w14:textId="3D6159A8" w:rsidR="002866A4" w:rsidRPr="00114268" w:rsidRDefault="00996054" w:rsidP="00996054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significance</w:t>
            </w:r>
          </w:p>
          <w:p w14:paraId="373DE597" w14:textId="77777777" w:rsidR="002866A4" w:rsidRPr="00114268" w:rsidRDefault="002866A4" w:rsidP="002866A4">
            <w:pPr>
              <w:pStyle w:val="Contenutotabella"/>
              <w:jc w:val="center"/>
              <w:rPr>
                <w:b/>
                <w:bCs/>
              </w:rPr>
            </w:pPr>
          </w:p>
        </w:tc>
      </w:tr>
      <w:tr w:rsidR="002B20B5" w:rsidRPr="00114268" w14:paraId="11230F4C" w14:textId="77777777" w:rsidTr="0097171D">
        <w:tc>
          <w:tcPr>
            <w:tcW w:w="3681" w:type="dxa"/>
            <w:shd w:val="clear" w:color="auto" w:fill="auto"/>
          </w:tcPr>
          <w:p w14:paraId="1238B0EA" w14:textId="77777777" w:rsidR="002B20B5" w:rsidRPr="00114268" w:rsidRDefault="002B20B5" w:rsidP="002B20B5">
            <w:pPr>
              <w:pStyle w:val="Contenutotabella"/>
              <w:ind w:left="57"/>
            </w:pPr>
            <w:r w:rsidRPr="00114268">
              <w:t>Neurological signs, mean (SD); (quartiles)</w:t>
            </w:r>
          </w:p>
          <w:p w14:paraId="23E7AFC4" w14:textId="2A5240BB" w:rsidR="002B20B5" w:rsidRPr="00114268" w:rsidRDefault="002B20B5" w:rsidP="0037132A">
            <w:pPr>
              <w:pStyle w:val="Contenutotabella"/>
              <w:ind w:left="57"/>
            </w:pPr>
            <w:r w:rsidRPr="00114268">
              <w:t xml:space="preserve">  Primary</w:t>
            </w:r>
          </w:p>
          <w:p w14:paraId="0A4EB2DF" w14:textId="77777777" w:rsidR="002B20B5" w:rsidRPr="00114268" w:rsidRDefault="002B20B5" w:rsidP="002B20B5">
            <w:pPr>
              <w:pStyle w:val="Contenutotabella"/>
              <w:ind w:left="57"/>
            </w:pPr>
            <w:r w:rsidRPr="00114268">
              <w:t xml:space="preserve">  Sensory Integration</w:t>
            </w:r>
          </w:p>
          <w:p w14:paraId="0830BF20" w14:textId="77777777" w:rsidR="002B20B5" w:rsidRPr="00114268" w:rsidRDefault="002B20B5" w:rsidP="002B20B5">
            <w:pPr>
              <w:pStyle w:val="Contenutotabella"/>
              <w:ind w:left="57"/>
            </w:pPr>
            <w:r w:rsidRPr="00114268">
              <w:t xml:space="preserve">  Motor Coordination </w:t>
            </w:r>
          </w:p>
          <w:p w14:paraId="5120E53F" w14:textId="77777777" w:rsidR="002B20B5" w:rsidRPr="00114268" w:rsidRDefault="002B20B5" w:rsidP="002B20B5">
            <w:pPr>
              <w:pStyle w:val="Contenutotabella"/>
              <w:ind w:left="57"/>
            </w:pPr>
            <w:r w:rsidRPr="00114268">
              <w:t xml:space="preserve">  Motor Sequencing </w:t>
            </w:r>
          </w:p>
          <w:p w14:paraId="76078BAF" w14:textId="77777777" w:rsidR="002B20B5" w:rsidRPr="00114268" w:rsidRDefault="002B20B5" w:rsidP="002B20B5">
            <w:pPr>
              <w:pStyle w:val="Contenutotabella"/>
              <w:ind w:left="57"/>
            </w:pPr>
            <w:r w:rsidRPr="00114268">
              <w:t xml:space="preserve">  Total </w:t>
            </w:r>
          </w:p>
        </w:tc>
        <w:tc>
          <w:tcPr>
            <w:tcW w:w="1701" w:type="dxa"/>
            <w:shd w:val="clear" w:color="auto" w:fill="auto"/>
          </w:tcPr>
          <w:p w14:paraId="1A86A4B3" w14:textId="77777777" w:rsidR="002B20B5" w:rsidRDefault="002B20B5" w:rsidP="002B20B5">
            <w:pPr>
              <w:pStyle w:val="Contenutotabella"/>
              <w:spacing w:after="120"/>
              <w:jc w:val="center"/>
            </w:pPr>
          </w:p>
          <w:p w14:paraId="3A691EB3" w14:textId="77777777" w:rsidR="002B20B5" w:rsidRDefault="002B20B5" w:rsidP="002B20B5">
            <w:pPr>
              <w:pStyle w:val="Contenutotabella"/>
              <w:jc w:val="center"/>
            </w:pPr>
            <w:r>
              <w:t>3.9 (4.0); (1 3 6)</w:t>
            </w:r>
          </w:p>
          <w:p w14:paraId="6DCB914A" w14:textId="77777777" w:rsidR="002B20B5" w:rsidRDefault="002B20B5" w:rsidP="002B20B5">
            <w:pPr>
              <w:pStyle w:val="Contenutotabella"/>
              <w:jc w:val="center"/>
            </w:pPr>
            <w:r>
              <w:t>1.5 (1.9); (0 1 2)</w:t>
            </w:r>
          </w:p>
          <w:p w14:paraId="3591C309" w14:textId="77777777" w:rsidR="002B20B5" w:rsidRDefault="002B20B5" w:rsidP="002B20B5">
            <w:pPr>
              <w:pStyle w:val="Contenutotabella"/>
              <w:jc w:val="center"/>
            </w:pPr>
            <w:r>
              <w:t>2.6 (2.8); (0 2 4)</w:t>
            </w:r>
          </w:p>
          <w:p w14:paraId="33F4138D" w14:textId="77777777" w:rsidR="002B20B5" w:rsidRDefault="002B20B5" w:rsidP="002B20B5">
            <w:pPr>
              <w:pStyle w:val="Contenutotabella"/>
              <w:jc w:val="center"/>
            </w:pPr>
            <w:r>
              <w:t>2.2 (2.4); (0 2 4)</w:t>
            </w:r>
          </w:p>
          <w:p w14:paraId="359ED58D" w14:textId="77777777" w:rsidR="002B20B5" w:rsidRPr="00114268" w:rsidRDefault="002B20B5" w:rsidP="002B20B5">
            <w:pPr>
              <w:pStyle w:val="Contenutotabella"/>
              <w:jc w:val="center"/>
            </w:pPr>
            <w:r>
              <w:t xml:space="preserve"> 10.2 (8.2); (5 9 15)</w:t>
            </w:r>
          </w:p>
        </w:tc>
        <w:tc>
          <w:tcPr>
            <w:tcW w:w="1559" w:type="dxa"/>
          </w:tcPr>
          <w:p w14:paraId="29734715" w14:textId="77777777" w:rsidR="002B20B5" w:rsidRDefault="002B20B5" w:rsidP="002B20B5">
            <w:pPr>
              <w:pStyle w:val="Contenutotabella"/>
              <w:spacing w:after="120"/>
            </w:pPr>
          </w:p>
          <w:p w14:paraId="467AC7B2" w14:textId="77777777" w:rsidR="002B20B5" w:rsidRPr="00360B22" w:rsidRDefault="002B20B5" w:rsidP="002B20B5">
            <w:pPr>
              <w:pStyle w:val="Contenutotabella"/>
            </w:pPr>
            <w:r w:rsidRPr="00360B22">
              <w:t>2.8 (2.9);</w:t>
            </w:r>
            <w:r>
              <w:t xml:space="preserve"> </w:t>
            </w:r>
            <w:r w:rsidRPr="00360B22">
              <w:t>(0 2 4)</w:t>
            </w:r>
          </w:p>
          <w:p w14:paraId="6F4BD40C" w14:textId="77777777" w:rsidR="002B20B5" w:rsidRPr="00360B22" w:rsidRDefault="002B20B5" w:rsidP="002B20B5">
            <w:pPr>
              <w:pStyle w:val="Contenutotabella"/>
              <w:jc w:val="center"/>
            </w:pPr>
            <w:r w:rsidRPr="00360B22">
              <w:t>1.1 (1.4);</w:t>
            </w:r>
            <w:r>
              <w:t xml:space="preserve"> </w:t>
            </w:r>
            <w:r w:rsidRPr="00360B22">
              <w:t>(0 0 2)</w:t>
            </w:r>
          </w:p>
          <w:p w14:paraId="4B12CF23" w14:textId="77777777" w:rsidR="002B20B5" w:rsidRPr="00360B22" w:rsidRDefault="002B20B5" w:rsidP="002B20B5">
            <w:pPr>
              <w:pStyle w:val="Contenutotabella"/>
              <w:jc w:val="center"/>
            </w:pPr>
            <w:r w:rsidRPr="00360B22">
              <w:t>1.6 (1.8);</w:t>
            </w:r>
            <w:r>
              <w:t xml:space="preserve"> </w:t>
            </w:r>
            <w:r w:rsidRPr="00360B22">
              <w:t>(0 1 3)</w:t>
            </w:r>
          </w:p>
          <w:p w14:paraId="2BA15871" w14:textId="77777777" w:rsidR="002B20B5" w:rsidRPr="00360B22" w:rsidRDefault="002B20B5" w:rsidP="002B20B5">
            <w:pPr>
              <w:pStyle w:val="Contenutotabella"/>
              <w:jc w:val="center"/>
            </w:pPr>
            <w:r>
              <w:t xml:space="preserve">1.7 (2.1); </w:t>
            </w:r>
            <w:r w:rsidRPr="00360B22">
              <w:t>(0 1 3)</w:t>
            </w:r>
          </w:p>
          <w:p w14:paraId="67CAC203" w14:textId="77777777" w:rsidR="002B20B5" w:rsidRPr="00114268" w:rsidRDefault="002B20B5" w:rsidP="002B20B5">
            <w:pPr>
              <w:pStyle w:val="Contenutotabella"/>
              <w:jc w:val="center"/>
            </w:pPr>
            <w:r w:rsidRPr="00360B22">
              <w:t>7.3 (5.7);</w:t>
            </w:r>
            <w:r>
              <w:t xml:space="preserve"> </w:t>
            </w:r>
            <w:r w:rsidRPr="00360B22">
              <w:t>(3 6 10)</w:t>
            </w:r>
          </w:p>
        </w:tc>
        <w:tc>
          <w:tcPr>
            <w:tcW w:w="1559" w:type="dxa"/>
          </w:tcPr>
          <w:p w14:paraId="6881DA8F" w14:textId="77777777" w:rsidR="002B20B5" w:rsidRPr="00360B22" w:rsidRDefault="002B20B5" w:rsidP="002B20B5">
            <w:pPr>
              <w:pStyle w:val="Contenutotabella"/>
              <w:spacing w:after="120"/>
              <w:jc w:val="center"/>
            </w:pPr>
          </w:p>
          <w:p w14:paraId="58AA8840" w14:textId="77777777" w:rsidR="002B20B5" w:rsidRPr="00360B22" w:rsidRDefault="002B20B5" w:rsidP="002B20B5">
            <w:pPr>
              <w:pStyle w:val="Contenutotabella"/>
              <w:jc w:val="center"/>
            </w:pPr>
            <w:r w:rsidRPr="00360B22">
              <w:t>2.0 (2.2); (0 1 3)</w:t>
            </w:r>
          </w:p>
          <w:p w14:paraId="2139D319" w14:textId="77777777" w:rsidR="002B20B5" w:rsidRPr="00360B22" w:rsidRDefault="002B20B5" w:rsidP="002B20B5">
            <w:pPr>
              <w:pStyle w:val="Contenutotabella"/>
              <w:jc w:val="center"/>
            </w:pPr>
            <w:r w:rsidRPr="00360B22">
              <w:t>1.3 (1.5); (0 1 2)</w:t>
            </w:r>
          </w:p>
          <w:p w14:paraId="42642360" w14:textId="77777777" w:rsidR="002B20B5" w:rsidRPr="00360B22" w:rsidRDefault="002B20B5" w:rsidP="002B20B5">
            <w:pPr>
              <w:pStyle w:val="Contenutotabella"/>
              <w:jc w:val="center"/>
            </w:pPr>
            <w:r w:rsidRPr="00360B22">
              <w:t>0.4 (0.9); (0 0 0)</w:t>
            </w:r>
          </w:p>
          <w:p w14:paraId="16ADE3AF" w14:textId="77777777" w:rsidR="002B20B5" w:rsidRPr="00360B22" w:rsidRDefault="002B20B5" w:rsidP="002B20B5">
            <w:pPr>
              <w:pStyle w:val="Contenutotabella"/>
              <w:jc w:val="center"/>
            </w:pPr>
            <w:r>
              <w:t xml:space="preserve">1.5 (1.7); </w:t>
            </w:r>
            <w:r w:rsidRPr="00360B22">
              <w:t>(0 1 2)</w:t>
            </w:r>
          </w:p>
          <w:p w14:paraId="280460D4" w14:textId="77777777" w:rsidR="002B20B5" w:rsidRPr="00114268" w:rsidRDefault="002B20B5" w:rsidP="002B20B5">
            <w:pPr>
              <w:jc w:val="center"/>
            </w:pPr>
            <w:r w:rsidRPr="00360B22">
              <w:t>5.1 (3.9); (2 4 8)</w:t>
            </w:r>
          </w:p>
        </w:tc>
        <w:tc>
          <w:tcPr>
            <w:tcW w:w="2127" w:type="dxa"/>
            <w:shd w:val="clear" w:color="auto" w:fill="auto"/>
          </w:tcPr>
          <w:p w14:paraId="4B037DF5" w14:textId="77777777" w:rsidR="002B20B5" w:rsidRPr="0004184E" w:rsidRDefault="002B20B5" w:rsidP="002B20B5">
            <w:pPr>
              <w:pStyle w:val="Contenutotabella"/>
              <w:jc w:val="center"/>
              <w:rPr>
                <w:sz w:val="14"/>
                <w:szCs w:val="14"/>
              </w:rPr>
            </w:pPr>
          </w:p>
          <w:p w14:paraId="6003EAC8" w14:textId="77777777" w:rsidR="002B20B5" w:rsidRPr="0004184E" w:rsidRDefault="002B20B5" w:rsidP="002B20B5">
            <w:pPr>
              <w:pStyle w:val="Contenutotabella"/>
              <w:rPr>
                <w:sz w:val="14"/>
                <w:szCs w:val="14"/>
              </w:rPr>
            </w:pPr>
          </w:p>
          <w:p w14:paraId="1152DF23" w14:textId="77777777" w:rsidR="002B20B5" w:rsidRDefault="002B20B5" w:rsidP="002B20B5">
            <w:pPr>
              <w:pStyle w:val="Contenutotabella"/>
            </w:pPr>
            <w:r>
              <w:t xml:space="preserve">&lt;0.001 (F=15.3; </w:t>
            </w:r>
            <w:proofErr w:type="spellStart"/>
            <w:r>
              <w:t>d.f.</w:t>
            </w:r>
            <w:proofErr w:type="spellEnd"/>
            <w:r>
              <w:t>=2)</w:t>
            </w:r>
          </w:p>
          <w:p w14:paraId="33470B72" w14:textId="77777777" w:rsidR="002B20B5" w:rsidRDefault="002B20B5" w:rsidP="002B20B5">
            <w:pPr>
              <w:pStyle w:val="Contenutotabella"/>
              <w:jc w:val="center"/>
            </w:pPr>
            <w:r>
              <w:t xml:space="preserve">Ns (F=1.9; </w:t>
            </w:r>
            <w:proofErr w:type="spellStart"/>
            <w:r>
              <w:t>d.f.</w:t>
            </w:r>
            <w:proofErr w:type="spellEnd"/>
            <w:r>
              <w:t>=2)</w:t>
            </w:r>
          </w:p>
          <w:p w14:paraId="478EE410" w14:textId="77777777" w:rsidR="002B20B5" w:rsidRDefault="002B20B5" w:rsidP="002B20B5">
            <w:pPr>
              <w:pStyle w:val="Contenutotabella"/>
              <w:jc w:val="center"/>
            </w:pPr>
            <w:r>
              <w:t xml:space="preserve">&lt;0.001 (F=48.1; </w:t>
            </w:r>
            <w:proofErr w:type="spellStart"/>
            <w:r>
              <w:t>d.f.</w:t>
            </w:r>
            <w:proofErr w:type="spellEnd"/>
            <w:r>
              <w:t>=2)</w:t>
            </w:r>
          </w:p>
          <w:p w14:paraId="4FD016DF" w14:textId="77777777" w:rsidR="002B20B5" w:rsidRDefault="002B20B5" w:rsidP="002B20B5">
            <w:pPr>
              <w:pStyle w:val="Contenutotabella"/>
              <w:jc w:val="center"/>
            </w:pPr>
            <w:r>
              <w:t xml:space="preserve"> 0.005 (F=5.4; </w:t>
            </w:r>
            <w:proofErr w:type="spellStart"/>
            <w:r>
              <w:t>d.f.</w:t>
            </w:r>
            <w:proofErr w:type="spellEnd"/>
            <w:r>
              <w:t>=2)</w:t>
            </w:r>
          </w:p>
          <w:p w14:paraId="7D0A59C7" w14:textId="77777777" w:rsidR="002B20B5" w:rsidRPr="00114268" w:rsidRDefault="002B20B5" w:rsidP="002B20B5">
            <w:pPr>
              <w:pStyle w:val="Contenutotabella"/>
              <w:jc w:val="center"/>
            </w:pPr>
            <w:r>
              <w:t xml:space="preserve">&lt;0.001 (F=27.1; </w:t>
            </w:r>
            <w:proofErr w:type="spellStart"/>
            <w:r>
              <w:t>d.f.</w:t>
            </w:r>
            <w:proofErr w:type="spellEnd"/>
            <w:r>
              <w:t>=2)</w:t>
            </w:r>
          </w:p>
        </w:tc>
      </w:tr>
      <w:tr w:rsidR="002B20B5" w:rsidRPr="00114268" w14:paraId="7CBE4D87" w14:textId="77777777" w:rsidTr="0097171D">
        <w:tc>
          <w:tcPr>
            <w:tcW w:w="3681" w:type="dxa"/>
            <w:shd w:val="clear" w:color="auto" w:fill="auto"/>
          </w:tcPr>
          <w:p w14:paraId="090E8E96" w14:textId="3F5DE4D6" w:rsidR="002B20B5" w:rsidRPr="00114268" w:rsidRDefault="002B20B5" w:rsidP="002B20B5">
            <w:pPr>
              <w:pStyle w:val="Contenutotabella"/>
              <w:ind w:left="57"/>
            </w:pPr>
            <w:r w:rsidRPr="00114268">
              <w:t>Tardive dyskinesia, mean AIMS (SD)</w:t>
            </w:r>
          </w:p>
        </w:tc>
        <w:tc>
          <w:tcPr>
            <w:tcW w:w="1701" w:type="dxa"/>
            <w:shd w:val="clear" w:color="auto" w:fill="auto"/>
          </w:tcPr>
          <w:p w14:paraId="0E80B7E8" w14:textId="77777777" w:rsidR="002B20B5" w:rsidRPr="00114268" w:rsidRDefault="002B20B5" w:rsidP="002B20B5">
            <w:pPr>
              <w:pStyle w:val="Contenutotabella"/>
              <w:snapToGrid w:val="0"/>
              <w:jc w:val="center"/>
            </w:pPr>
            <w:r w:rsidRPr="00114268">
              <w:t>0.7 (2.2)</w:t>
            </w:r>
          </w:p>
        </w:tc>
        <w:tc>
          <w:tcPr>
            <w:tcW w:w="1559" w:type="dxa"/>
          </w:tcPr>
          <w:p w14:paraId="7B1C0795" w14:textId="77777777" w:rsidR="002B20B5" w:rsidRPr="00114268" w:rsidRDefault="002B20B5" w:rsidP="002B20B5">
            <w:pPr>
              <w:pStyle w:val="Contenutotabella"/>
              <w:snapToGrid w:val="0"/>
              <w:jc w:val="center"/>
            </w:pPr>
            <w:r w:rsidRPr="00114268">
              <w:t>0.6 (1.6)</w:t>
            </w:r>
          </w:p>
        </w:tc>
        <w:tc>
          <w:tcPr>
            <w:tcW w:w="1559" w:type="dxa"/>
          </w:tcPr>
          <w:p w14:paraId="7D5BEA31" w14:textId="77777777" w:rsidR="002B20B5" w:rsidRPr="00114268" w:rsidRDefault="002B20B5" w:rsidP="002B20B5">
            <w:pPr>
              <w:pStyle w:val="Contenutotabella"/>
              <w:snapToGrid w:val="0"/>
              <w:jc w:val="center"/>
              <w:rPr>
                <w:color w:val="000000" w:themeColor="text1"/>
              </w:rPr>
            </w:pPr>
            <w:r w:rsidRPr="00114268">
              <w:rPr>
                <w:color w:val="000000" w:themeColor="text1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14:paraId="4A345ECC" w14:textId="77777777" w:rsidR="002B20B5" w:rsidRPr="00114268" w:rsidRDefault="002B20B5" w:rsidP="002B20B5">
            <w:pPr>
              <w:pStyle w:val="Contenutotabella"/>
              <w:snapToGrid w:val="0"/>
              <w:jc w:val="center"/>
            </w:pPr>
            <w:r w:rsidRPr="00114268">
              <w:t>Ns</w:t>
            </w:r>
          </w:p>
          <w:p w14:paraId="5625A1D5" w14:textId="77777777" w:rsidR="002B20B5" w:rsidRPr="00114268" w:rsidRDefault="002B20B5" w:rsidP="002B20B5">
            <w:pPr>
              <w:pStyle w:val="Contenutotabella"/>
              <w:snapToGrid w:val="0"/>
              <w:jc w:val="center"/>
            </w:pPr>
            <w:r w:rsidRPr="00114268">
              <w:t xml:space="preserve">(t=0.4; </w:t>
            </w:r>
            <w:proofErr w:type="spellStart"/>
            <w:r w:rsidRPr="00114268">
              <w:t>d.f.</w:t>
            </w:r>
            <w:proofErr w:type="spellEnd"/>
            <w:r w:rsidRPr="00114268">
              <w:t>=220)</w:t>
            </w:r>
          </w:p>
        </w:tc>
      </w:tr>
      <w:tr w:rsidR="002B20B5" w:rsidRPr="00114268" w14:paraId="6EA5E609" w14:textId="77777777" w:rsidTr="0097171D">
        <w:tc>
          <w:tcPr>
            <w:tcW w:w="3681" w:type="dxa"/>
            <w:shd w:val="clear" w:color="auto" w:fill="auto"/>
          </w:tcPr>
          <w:p w14:paraId="2BB13C7D" w14:textId="3A281158" w:rsidR="002B20B5" w:rsidRPr="00114268" w:rsidRDefault="002B20B5" w:rsidP="002B20B5">
            <w:pPr>
              <w:pStyle w:val="Contenutotabella"/>
              <w:ind w:left="57"/>
            </w:pPr>
            <w:r w:rsidRPr="00114268">
              <w:t>Akathisia, mean Barnes (SD)</w:t>
            </w:r>
          </w:p>
        </w:tc>
        <w:tc>
          <w:tcPr>
            <w:tcW w:w="1701" w:type="dxa"/>
            <w:shd w:val="clear" w:color="auto" w:fill="auto"/>
          </w:tcPr>
          <w:p w14:paraId="496A5868" w14:textId="77777777" w:rsidR="002B20B5" w:rsidRPr="00114268" w:rsidRDefault="002B20B5" w:rsidP="002B20B5">
            <w:pPr>
              <w:pStyle w:val="Contenutotabella"/>
              <w:tabs>
                <w:tab w:val="left" w:pos="680"/>
                <w:tab w:val="center" w:pos="768"/>
              </w:tabs>
              <w:snapToGrid w:val="0"/>
              <w:jc w:val="center"/>
            </w:pPr>
            <w:r w:rsidRPr="00114268">
              <w:t>1.3 (2.3)</w:t>
            </w:r>
          </w:p>
        </w:tc>
        <w:tc>
          <w:tcPr>
            <w:tcW w:w="1559" w:type="dxa"/>
          </w:tcPr>
          <w:p w14:paraId="0FCE7530" w14:textId="77777777" w:rsidR="002B20B5" w:rsidRPr="00114268" w:rsidRDefault="002B20B5" w:rsidP="002B20B5">
            <w:pPr>
              <w:pStyle w:val="Contenutotabella"/>
              <w:snapToGrid w:val="0"/>
              <w:jc w:val="center"/>
            </w:pPr>
            <w:r w:rsidRPr="00114268">
              <w:t>1.5 (2.7)</w:t>
            </w:r>
          </w:p>
        </w:tc>
        <w:tc>
          <w:tcPr>
            <w:tcW w:w="1559" w:type="dxa"/>
          </w:tcPr>
          <w:p w14:paraId="7E725906" w14:textId="77777777" w:rsidR="002B20B5" w:rsidRPr="00114268" w:rsidRDefault="002B20B5" w:rsidP="002B20B5">
            <w:pPr>
              <w:pStyle w:val="Contenutotabella"/>
              <w:snapToGrid w:val="0"/>
              <w:jc w:val="center"/>
              <w:rPr>
                <w:color w:val="000000" w:themeColor="text1"/>
              </w:rPr>
            </w:pPr>
            <w:r w:rsidRPr="00114268">
              <w:rPr>
                <w:color w:val="000000" w:themeColor="text1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14:paraId="03CE29ED" w14:textId="77777777" w:rsidR="002B20B5" w:rsidRPr="00114268" w:rsidRDefault="002B20B5" w:rsidP="002B20B5">
            <w:pPr>
              <w:pStyle w:val="Contenutotabella"/>
              <w:snapToGrid w:val="0"/>
              <w:jc w:val="center"/>
            </w:pPr>
            <w:r w:rsidRPr="00114268">
              <w:t>Ns</w:t>
            </w:r>
          </w:p>
          <w:p w14:paraId="172B2E8F" w14:textId="77777777" w:rsidR="002B20B5" w:rsidRPr="00114268" w:rsidRDefault="002B20B5" w:rsidP="002B20B5">
            <w:pPr>
              <w:pStyle w:val="Contenutotabella"/>
              <w:snapToGrid w:val="0"/>
              <w:jc w:val="center"/>
            </w:pPr>
            <w:r w:rsidRPr="00114268">
              <w:t xml:space="preserve">(t=-0.6; </w:t>
            </w:r>
            <w:proofErr w:type="spellStart"/>
            <w:r w:rsidRPr="00114268">
              <w:t>d.f.</w:t>
            </w:r>
            <w:proofErr w:type="spellEnd"/>
            <w:r w:rsidRPr="00114268">
              <w:t>=221)</w:t>
            </w:r>
          </w:p>
        </w:tc>
      </w:tr>
      <w:tr w:rsidR="002B20B5" w:rsidRPr="00114268" w14:paraId="2A9297E7" w14:textId="77777777" w:rsidTr="0097171D">
        <w:trPr>
          <w:trHeight w:val="170"/>
        </w:trPr>
        <w:tc>
          <w:tcPr>
            <w:tcW w:w="3681" w:type="dxa"/>
            <w:shd w:val="clear" w:color="auto" w:fill="auto"/>
          </w:tcPr>
          <w:p w14:paraId="6D76C90C" w14:textId="40377A46" w:rsidR="002B20B5" w:rsidRPr="00114268" w:rsidRDefault="002B20B5" w:rsidP="002B20B5">
            <w:pPr>
              <w:pStyle w:val="Contenutotabella"/>
              <w:ind w:left="57"/>
            </w:pPr>
            <w:r w:rsidRPr="00114268">
              <w:t>Extrapyramidal symptoms, Simpson</w:t>
            </w:r>
            <w:r w:rsidR="00E44AE8">
              <w:t>-</w:t>
            </w:r>
            <w:r w:rsidRPr="00114268">
              <w:t>Angus mean (SD)</w:t>
            </w:r>
          </w:p>
        </w:tc>
        <w:tc>
          <w:tcPr>
            <w:tcW w:w="1701" w:type="dxa"/>
            <w:shd w:val="clear" w:color="auto" w:fill="auto"/>
          </w:tcPr>
          <w:p w14:paraId="010BD337" w14:textId="77777777" w:rsidR="002B20B5" w:rsidRPr="00114268" w:rsidRDefault="002B20B5" w:rsidP="002B20B5">
            <w:pPr>
              <w:pStyle w:val="Contenutotabella"/>
              <w:snapToGrid w:val="0"/>
              <w:jc w:val="center"/>
            </w:pPr>
            <w:r w:rsidRPr="00114268">
              <w:t>2.2 (3.3)</w:t>
            </w:r>
          </w:p>
        </w:tc>
        <w:tc>
          <w:tcPr>
            <w:tcW w:w="1559" w:type="dxa"/>
          </w:tcPr>
          <w:p w14:paraId="3DB29037" w14:textId="77777777" w:rsidR="002B20B5" w:rsidRPr="00114268" w:rsidRDefault="002B20B5" w:rsidP="002B20B5">
            <w:pPr>
              <w:pStyle w:val="Contenutotabella"/>
              <w:snapToGrid w:val="0"/>
              <w:jc w:val="center"/>
            </w:pPr>
            <w:r w:rsidRPr="00114268">
              <w:t>1.3 (1.6)</w:t>
            </w:r>
          </w:p>
        </w:tc>
        <w:tc>
          <w:tcPr>
            <w:tcW w:w="1559" w:type="dxa"/>
          </w:tcPr>
          <w:p w14:paraId="06536068" w14:textId="77777777" w:rsidR="002B20B5" w:rsidRPr="00114268" w:rsidRDefault="002B20B5" w:rsidP="002B20B5">
            <w:pPr>
              <w:pStyle w:val="Contenutotabella"/>
              <w:snapToGrid w:val="0"/>
              <w:jc w:val="center"/>
              <w:rPr>
                <w:color w:val="000000" w:themeColor="text1"/>
              </w:rPr>
            </w:pPr>
            <w:r w:rsidRPr="00114268">
              <w:rPr>
                <w:color w:val="000000" w:themeColor="text1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14:paraId="47A62D3A" w14:textId="77777777" w:rsidR="002B20B5" w:rsidRPr="00114268" w:rsidRDefault="002B20B5" w:rsidP="002B20B5">
            <w:pPr>
              <w:pStyle w:val="Contenutotabella"/>
              <w:snapToGrid w:val="0"/>
              <w:jc w:val="center"/>
            </w:pPr>
            <w:r w:rsidRPr="00114268">
              <w:t>0.008</w:t>
            </w:r>
          </w:p>
          <w:p w14:paraId="4D21F3CB" w14:textId="77777777" w:rsidR="002B20B5" w:rsidRPr="00114268" w:rsidRDefault="002B20B5" w:rsidP="002B20B5">
            <w:pPr>
              <w:pStyle w:val="Contenutotabella"/>
              <w:snapToGrid w:val="0"/>
              <w:jc w:val="center"/>
            </w:pPr>
            <w:r w:rsidRPr="00114268">
              <w:t xml:space="preserve">(t=2.7; </w:t>
            </w:r>
            <w:proofErr w:type="spellStart"/>
            <w:r w:rsidRPr="00114268">
              <w:t>d.f.</w:t>
            </w:r>
            <w:proofErr w:type="spellEnd"/>
            <w:r w:rsidRPr="00114268">
              <w:t>=218)</w:t>
            </w:r>
          </w:p>
        </w:tc>
      </w:tr>
    </w:tbl>
    <w:p w14:paraId="1161D931" w14:textId="77777777" w:rsidR="00344635" w:rsidRDefault="00344635" w:rsidP="00344635">
      <w:pPr>
        <w:ind w:left="720"/>
        <w:rPr>
          <w:sz w:val="24"/>
          <w:szCs w:val="24"/>
        </w:rPr>
      </w:pPr>
    </w:p>
    <w:p w14:paraId="6D3E14A8" w14:textId="60E8119C" w:rsidR="00C70D60" w:rsidRDefault="00C70D60" w:rsidP="00F009F3">
      <w:pPr>
        <w:rPr>
          <w:b/>
          <w:sz w:val="24"/>
          <w:szCs w:val="24"/>
        </w:rPr>
      </w:pPr>
    </w:p>
    <w:p w14:paraId="19BA37A2" w14:textId="77777777" w:rsidR="0097171D" w:rsidRDefault="0097171D" w:rsidP="00F009F3">
      <w:pPr>
        <w:rPr>
          <w:b/>
          <w:sz w:val="24"/>
          <w:szCs w:val="24"/>
        </w:rPr>
      </w:pPr>
    </w:p>
    <w:p w14:paraId="2A85D3EC" w14:textId="77777777" w:rsidR="0097171D" w:rsidRDefault="0097171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AD965E4" w14:textId="09E9AA33" w:rsidR="00DA18F5" w:rsidRDefault="00F009F3" w:rsidP="00F009F3">
      <w:pPr>
        <w:rPr>
          <w:b/>
          <w:sz w:val="24"/>
          <w:szCs w:val="24"/>
        </w:rPr>
      </w:pPr>
      <w:r w:rsidRPr="0056332E">
        <w:rPr>
          <w:b/>
          <w:sz w:val="24"/>
          <w:szCs w:val="24"/>
        </w:rPr>
        <w:lastRenderedPageBreak/>
        <w:t xml:space="preserve">Table </w:t>
      </w:r>
      <w:r w:rsidR="002866A4">
        <w:rPr>
          <w:b/>
          <w:sz w:val="24"/>
          <w:szCs w:val="24"/>
        </w:rPr>
        <w:t>3</w:t>
      </w:r>
      <w:r w:rsidRPr="0056332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N</w:t>
      </w:r>
      <w:r w:rsidRPr="0056332E">
        <w:rPr>
          <w:b/>
          <w:sz w:val="24"/>
          <w:szCs w:val="24"/>
        </w:rPr>
        <w:t xml:space="preserve">eurological signs </w:t>
      </w:r>
      <w:r w:rsidR="00435CAD">
        <w:rPr>
          <w:b/>
          <w:sz w:val="24"/>
          <w:szCs w:val="24"/>
        </w:rPr>
        <w:t xml:space="preserve">and side effect scales </w:t>
      </w:r>
      <w:r w:rsidR="0097171D">
        <w:rPr>
          <w:b/>
          <w:sz w:val="24"/>
          <w:szCs w:val="24"/>
        </w:rPr>
        <w:t xml:space="preserve">mean </w:t>
      </w:r>
      <w:r w:rsidR="00435CAD">
        <w:rPr>
          <w:b/>
          <w:sz w:val="24"/>
          <w:szCs w:val="24"/>
        </w:rPr>
        <w:t>scores</w:t>
      </w:r>
      <w:r w:rsidRPr="0056332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at baseline and </w:t>
      </w:r>
      <w:r w:rsidR="0097171D">
        <w:rPr>
          <w:b/>
          <w:sz w:val="24"/>
          <w:szCs w:val="24"/>
        </w:rPr>
        <w:t xml:space="preserve">at follow up </w:t>
      </w:r>
      <w:r w:rsidRPr="0056332E">
        <w:rPr>
          <w:b/>
          <w:sz w:val="24"/>
          <w:szCs w:val="24"/>
        </w:rPr>
        <w:t>in patients with Non-Remitting and Remitting course of illness</w:t>
      </w:r>
      <w:r>
        <w:rPr>
          <w:b/>
          <w:sz w:val="24"/>
          <w:szCs w:val="24"/>
        </w:rPr>
        <w:t xml:space="preserve"> (ANOVA)</w:t>
      </w:r>
    </w:p>
    <w:p w14:paraId="15AC8BF1" w14:textId="17815B58" w:rsidR="00DA18F5" w:rsidRDefault="00DA18F5" w:rsidP="00F009F3">
      <w:pPr>
        <w:rPr>
          <w:b/>
          <w:sz w:val="24"/>
          <w:szCs w:val="24"/>
        </w:rPr>
      </w:pPr>
    </w:p>
    <w:tbl>
      <w:tblPr>
        <w:tblpPr w:leftFromText="180" w:rightFromText="180" w:vertAnchor="text" w:horzAnchor="margin" w:tblpY="-5"/>
        <w:tblW w:w="978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1100"/>
        <w:gridCol w:w="1167"/>
        <w:gridCol w:w="1134"/>
        <w:gridCol w:w="1276"/>
        <w:gridCol w:w="1418"/>
        <w:gridCol w:w="1417"/>
      </w:tblGrid>
      <w:tr w:rsidR="0097171D" w:rsidRPr="00C70D60" w14:paraId="695E8E89" w14:textId="77777777" w:rsidTr="00BA73A5">
        <w:trPr>
          <w:trHeight w:val="697"/>
        </w:trPr>
        <w:tc>
          <w:tcPr>
            <w:tcW w:w="2269" w:type="dxa"/>
            <w:vMerge w:val="restart"/>
            <w:shd w:val="clear" w:color="auto" w:fill="auto"/>
          </w:tcPr>
          <w:p w14:paraId="028C5167" w14:textId="42AC9E70" w:rsidR="0097171D" w:rsidRPr="00C70D60" w:rsidRDefault="00BA73A5" w:rsidP="00BA73A5">
            <w:pPr>
              <w:pStyle w:val="Contenutotabella"/>
            </w:pPr>
            <w:r>
              <w:rPr>
                <w:b/>
                <w:bCs/>
              </w:rPr>
              <w:t>Scale</w:t>
            </w:r>
            <w:r w:rsidR="0097171D" w:rsidRPr="00C70D60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="0097171D" w:rsidRPr="00C70D60">
              <w:rPr>
                <w:b/>
                <w:bCs/>
              </w:rPr>
              <w:t>mean (SD)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5C1B8B66" w14:textId="77777777" w:rsidR="0097171D" w:rsidRDefault="0097171D" w:rsidP="0097171D">
            <w:pPr>
              <w:jc w:val="center"/>
              <w:rPr>
                <w:b/>
                <w:bCs/>
              </w:rPr>
            </w:pPr>
            <w:r w:rsidRPr="00C70D60">
              <w:rPr>
                <w:b/>
                <w:bCs/>
              </w:rPr>
              <w:t>Non-Remitting</w:t>
            </w:r>
          </w:p>
          <w:p w14:paraId="27BF9DA0" w14:textId="77777777" w:rsidR="0097171D" w:rsidRPr="00C70D60" w:rsidRDefault="0097171D" w:rsidP="0097171D">
            <w:pPr>
              <w:jc w:val="center"/>
              <w:rPr>
                <w:b/>
                <w:bCs/>
              </w:rPr>
            </w:pPr>
            <w:r w:rsidRPr="00C70D60">
              <w:rPr>
                <w:b/>
                <w:bCs/>
              </w:rPr>
              <w:t>patients</w:t>
            </w:r>
          </w:p>
          <w:p w14:paraId="7D0EDE3C" w14:textId="77777777" w:rsidR="0097171D" w:rsidRPr="00C70D60" w:rsidRDefault="0097171D" w:rsidP="0097171D">
            <w:pPr>
              <w:jc w:val="center"/>
              <w:rPr>
                <w:b/>
                <w:bCs/>
              </w:rPr>
            </w:pPr>
            <w:r w:rsidRPr="00C70D60">
              <w:rPr>
                <w:b/>
                <w:bCs/>
              </w:rPr>
              <w:t>n=3</w:t>
            </w:r>
            <w:r>
              <w:rPr>
                <w:b/>
                <w:bCs/>
              </w:rPr>
              <w:t>6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E709F34" w14:textId="77777777" w:rsidR="0097171D" w:rsidRPr="00C70D60" w:rsidRDefault="0097171D" w:rsidP="0097171D">
            <w:pPr>
              <w:jc w:val="center"/>
              <w:rPr>
                <w:b/>
                <w:bCs/>
              </w:rPr>
            </w:pPr>
            <w:r w:rsidRPr="00C70D60">
              <w:rPr>
                <w:b/>
                <w:bCs/>
              </w:rPr>
              <w:t>Remitting</w:t>
            </w:r>
          </w:p>
          <w:p w14:paraId="01986E07" w14:textId="77777777" w:rsidR="0097171D" w:rsidRPr="00C70D60" w:rsidRDefault="0097171D" w:rsidP="0097171D">
            <w:pPr>
              <w:jc w:val="center"/>
              <w:rPr>
                <w:b/>
                <w:bCs/>
              </w:rPr>
            </w:pPr>
            <w:r w:rsidRPr="00C70D60">
              <w:rPr>
                <w:b/>
                <w:bCs/>
              </w:rPr>
              <w:t>patients</w:t>
            </w:r>
          </w:p>
          <w:p w14:paraId="4FC1B7BE" w14:textId="77777777" w:rsidR="0097171D" w:rsidRPr="00C70D60" w:rsidRDefault="0097171D" w:rsidP="0097171D">
            <w:pPr>
              <w:jc w:val="center"/>
              <w:rPr>
                <w:b/>
                <w:bCs/>
              </w:rPr>
            </w:pPr>
            <w:r w:rsidRPr="00C70D60">
              <w:rPr>
                <w:b/>
                <w:bCs/>
              </w:rPr>
              <w:t>n=20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B2CC84" w14:textId="77777777" w:rsidR="0097171D" w:rsidRPr="00C70D60" w:rsidRDefault="0097171D" w:rsidP="009717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C70D60">
              <w:rPr>
                <w:b/>
                <w:bCs/>
              </w:rPr>
              <w:t>ime effect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5CB6C0" w14:textId="77777777" w:rsidR="0097171D" w:rsidRPr="00C70D60" w:rsidRDefault="0097171D" w:rsidP="0097171D">
            <w:pPr>
              <w:jc w:val="center"/>
              <w:rPr>
                <w:b/>
                <w:bCs/>
              </w:rPr>
            </w:pPr>
            <w:r w:rsidRPr="00C70D60">
              <w:rPr>
                <w:b/>
                <w:bCs/>
              </w:rPr>
              <w:t>Time*Group</w:t>
            </w:r>
          </w:p>
          <w:p w14:paraId="4ADBB293" w14:textId="77777777" w:rsidR="0097171D" w:rsidRPr="00C70D60" w:rsidRDefault="0097171D" w:rsidP="0097171D">
            <w:pPr>
              <w:jc w:val="center"/>
              <w:rPr>
                <w:b/>
                <w:bCs/>
              </w:rPr>
            </w:pPr>
            <w:r w:rsidRPr="00C70D60">
              <w:rPr>
                <w:b/>
                <w:bCs/>
              </w:rPr>
              <w:t>effect</w:t>
            </w:r>
          </w:p>
        </w:tc>
      </w:tr>
      <w:tr w:rsidR="0097171D" w:rsidRPr="00C70D60" w14:paraId="228BF3E3" w14:textId="77777777" w:rsidTr="0097171D">
        <w:trPr>
          <w:trHeight w:val="542"/>
        </w:trPr>
        <w:tc>
          <w:tcPr>
            <w:tcW w:w="2269" w:type="dxa"/>
            <w:vMerge/>
            <w:shd w:val="clear" w:color="auto" w:fill="auto"/>
            <w:vAlign w:val="center"/>
          </w:tcPr>
          <w:p w14:paraId="6B8F1581" w14:textId="77777777" w:rsidR="0097171D" w:rsidRPr="00C70D60" w:rsidRDefault="0097171D" w:rsidP="0097171D">
            <w:pPr>
              <w:jc w:val="center"/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6B38D9BE" w14:textId="77777777" w:rsidR="0097171D" w:rsidRPr="00C70D60" w:rsidRDefault="0097171D" w:rsidP="0097171D">
            <w:pPr>
              <w:jc w:val="center"/>
              <w:rPr>
                <w:b/>
                <w:bCs/>
              </w:rPr>
            </w:pPr>
          </w:p>
          <w:p w14:paraId="7F062CCE" w14:textId="77777777" w:rsidR="0097171D" w:rsidRPr="00C70D60" w:rsidRDefault="0097171D" w:rsidP="0097171D">
            <w:pPr>
              <w:jc w:val="center"/>
              <w:rPr>
                <w:b/>
                <w:bCs/>
              </w:rPr>
            </w:pPr>
            <w:r w:rsidRPr="00C70D60">
              <w:rPr>
                <w:b/>
                <w:bCs/>
              </w:rPr>
              <w:t>Baseline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AF1D27F" w14:textId="77777777" w:rsidR="0097171D" w:rsidRPr="00C70D60" w:rsidRDefault="0097171D" w:rsidP="0097171D">
            <w:pPr>
              <w:jc w:val="center"/>
              <w:rPr>
                <w:b/>
                <w:bCs/>
              </w:rPr>
            </w:pPr>
          </w:p>
          <w:p w14:paraId="1A252F20" w14:textId="77777777" w:rsidR="0097171D" w:rsidRPr="00C70D60" w:rsidRDefault="0097171D" w:rsidP="0097171D">
            <w:pPr>
              <w:jc w:val="center"/>
              <w:rPr>
                <w:b/>
                <w:bCs/>
              </w:rPr>
            </w:pPr>
            <w:r w:rsidRPr="00C70D60">
              <w:rPr>
                <w:b/>
                <w:bCs/>
              </w:rPr>
              <w:t>Follow-up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8DA210" w14:textId="77777777" w:rsidR="0097171D" w:rsidRPr="00C70D60" w:rsidRDefault="0097171D" w:rsidP="0097171D">
            <w:pPr>
              <w:jc w:val="center"/>
              <w:rPr>
                <w:b/>
                <w:bCs/>
              </w:rPr>
            </w:pPr>
          </w:p>
          <w:p w14:paraId="178F0593" w14:textId="77777777" w:rsidR="0097171D" w:rsidRPr="00C70D60" w:rsidRDefault="0097171D" w:rsidP="0097171D">
            <w:pPr>
              <w:jc w:val="center"/>
              <w:rPr>
                <w:b/>
                <w:bCs/>
              </w:rPr>
            </w:pPr>
            <w:r w:rsidRPr="00C70D60">
              <w:rPr>
                <w:b/>
                <w:bCs/>
              </w:rPr>
              <w:t>Baseline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D58FFF" w14:textId="77777777" w:rsidR="0097171D" w:rsidRPr="00C70D60" w:rsidRDefault="0097171D" w:rsidP="0097171D">
            <w:pPr>
              <w:jc w:val="center"/>
              <w:rPr>
                <w:b/>
                <w:bCs/>
              </w:rPr>
            </w:pPr>
          </w:p>
          <w:p w14:paraId="7002214B" w14:textId="77777777" w:rsidR="0097171D" w:rsidRPr="00C70D60" w:rsidRDefault="0097171D" w:rsidP="0097171D">
            <w:pPr>
              <w:jc w:val="center"/>
              <w:rPr>
                <w:b/>
                <w:bCs/>
              </w:rPr>
            </w:pPr>
            <w:r w:rsidRPr="00C70D60">
              <w:rPr>
                <w:b/>
                <w:bCs/>
              </w:rPr>
              <w:t>Follow-up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C43D86" w14:textId="77777777" w:rsidR="0097171D" w:rsidRPr="00C70D60" w:rsidRDefault="0097171D" w:rsidP="0097171D">
            <w:pPr>
              <w:jc w:val="center"/>
              <w:rPr>
                <w:b/>
                <w:bCs/>
              </w:rPr>
            </w:pPr>
          </w:p>
          <w:p w14:paraId="2F78FA26" w14:textId="77777777" w:rsidR="0097171D" w:rsidRDefault="0097171D" w:rsidP="0097171D">
            <w:pPr>
              <w:jc w:val="center"/>
              <w:rPr>
                <w:b/>
                <w:bCs/>
              </w:rPr>
            </w:pPr>
            <w:r w:rsidRPr="00C70D60">
              <w:rPr>
                <w:b/>
                <w:bCs/>
              </w:rPr>
              <w:t xml:space="preserve">p </w:t>
            </w:r>
          </w:p>
          <w:p w14:paraId="4F214DAF" w14:textId="77777777" w:rsidR="0097171D" w:rsidRPr="00C70D60" w:rsidRDefault="0097171D" w:rsidP="009717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C70D60">
              <w:rPr>
                <w:b/>
                <w:bCs/>
              </w:rPr>
              <w:t>F</w:t>
            </w:r>
            <w:r>
              <w:rPr>
                <w:b/>
                <w:bCs/>
              </w:rPr>
              <w:t xml:space="preserve">; </w:t>
            </w:r>
            <w:proofErr w:type="spellStart"/>
            <w:r>
              <w:rPr>
                <w:b/>
                <w:bCs/>
              </w:rPr>
              <w:t>d.f.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AE1029" w14:textId="77777777" w:rsidR="0097171D" w:rsidRPr="00C70D60" w:rsidRDefault="0097171D" w:rsidP="0097171D">
            <w:pPr>
              <w:jc w:val="center"/>
              <w:rPr>
                <w:b/>
                <w:bCs/>
              </w:rPr>
            </w:pPr>
          </w:p>
          <w:p w14:paraId="6FAEC9B6" w14:textId="77777777" w:rsidR="0097171D" w:rsidRDefault="0097171D" w:rsidP="0097171D">
            <w:pPr>
              <w:jc w:val="center"/>
              <w:rPr>
                <w:b/>
                <w:bCs/>
              </w:rPr>
            </w:pPr>
            <w:r w:rsidRPr="00C70D60">
              <w:rPr>
                <w:b/>
                <w:bCs/>
              </w:rPr>
              <w:t xml:space="preserve">p </w:t>
            </w:r>
          </w:p>
          <w:p w14:paraId="1F7D3CA3" w14:textId="77777777" w:rsidR="0097171D" w:rsidRPr="00C70D60" w:rsidRDefault="0097171D" w:rsidP="009717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C70D60">
              <w:rPr>
                <w:b/>
                <w:bCs/>
              </w:rPr>
              <w:t>F</w:t>
            </w:r>
            <w:r>
              <w:rPr>
                <w:b/>
                <w:bCs/>
              </w:rPr>
              <w:t xml:space="preserve">; </w:t>
            </w:r>
            <w:proofErr w:type="spellStart"/>
            <w:r>
              <w:rPr>
                <w:b/>
                <w:bCs/>
              </w:rPr>
              <w:t>d.f.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97171D" w:rsidRPr="00C70D60" w14:paraId="2CBE8D00" w14:textId="77777777" w:rsidTr="0097171D">
        <w:trPr>
          <w:trHeight w:val="690"/>
        </w:trPr>
        <w:tc>
          <w:tcPr>
            <w:tcW w:w="2269" w:type="dxa"/>
            <w:shd w:val="clear" w:color="auto" w:fill="auto"/>
            <w:vAlign w:val="center"/>
          </w:tcPr>
          <w:p w14:paraId="6E18078E" w14:textId="77777777" w:rsidR="0097171D" w:rsidRPr="00C70D60" w:rsidRDefault="0097171D" w:rsidP="0097171D">
            <w:pPr>
              <w:pStyle w:val="Contenutotabella"/>
            </w:pPr>
            <w:r w:rsidRPr="00C70D60">
              <w:rPr>
                <w:b/>
                <w:bCs/>
              </w:rPr>
              <w:t>Primary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AE6C65A" w14:textId="77777777" w:rsidR="0097171D" w:rsidRPr="00C70D60" w:rsidRDefault="0097171D" w:rsidP="0097171D">
            <w:pPr>
              <w:pStyle w:val="TableContents"/>
              <w:jc w:val="center"/>
            </w:pPr>
            <w:r w:rsidRPr="00C70D60">
              <w:t>4.</w:t>
            </w:r>
            <w:r>
              <w:t>4</w:t>
            </w:r>
            <w:r w:rsidRPr="00C70D60">
              <w:t xml:space="preserve"> (3.</w:t>
            </w:r>
            <w:r>
              <w:t>7</w:t>
            </w:r>
            <w:r w:rsidRPr="00C70D60">
              <w:t>)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72543698" w14:textId="77777777" w:rsidR="0097171D" w:rsidRPr="00C70D60" w:rsidRDefault="0097171D" w:rsidP="0097171D">
            <w:pPr>
              <w:pStyle w:val="Contenutotabella"/>
              <w:jc w:val="center"/>
            </w:pPr>
            <w:r w:rsidRPr="00C70D60">
              <w:t>7.</w:t>
            </w:r>
            <w:r>
              <w:t>6</w:t>
            </w:r>
            <w:r w:rsidRPr="00C70D60">
              <w:t xml:space="preserve"> (6.</w:t>
            </w:r>
            <w:r>
              <w:t>5</w:t>
            </w:r>
            <w:r w:rsidRPr="00C70D60"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BF657F" w14:textId="77777777" w:rsidR="0097171D" w:rsidRPr="00C70D60" w:rsidRDefault="0097171D" w:rsidP="0097171D">
            <w:pPr>
              <w:pStyle w:val="TableContents"/>
              <w:jc w:val="center"/>
            </w:pPr>
            <w:r w:rsidRPr="00C70D60">
              <w:t>3.9 (3.6)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A591C8" w14:textId="77777777" w:rsidR="0097171D" w:rsidRPr="00C70D60" w:rsidRDefault="0097171D" w:rsidP="0097171D">
            <w:pPr>
              <w:pStyle w:val="Contenutotabella"/>
              <w:jc w:val="center"/>
            </w:pPr>
            <w:r>
              <w:t>6.0</w:t>
            </w:r>
            <w:r w:rsidRPr="00C70D60">
              <w:t xml:space="preserve"> (4.6)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D6548F" w14:textId="77777777" w:rsidR="0097171D" w:rsidRDefault="0097171D" w:rsidP="0097171D">
            <w:pPr>
              <w:jc w:val="center"/>
              <w:rPr>
                <w:b/>
              </w:rPr>
            </w:pPr>
            <w:r w:rsidRPr="00C70D60">
              <w:rPr>
                <w:b/>
              </w:rPr>
              <w:t>0.0</w:t>
            </w:r>
            <w:r>
              <w:rPr>
                <w:b/>
              </w:rPr>
              <w:t>05</w:t>
            </w:r>
          </w:p>
          <w:p w14:paraId="3B76E6EA" w14:textId="77777777" w:rsidR="0097171D" w:rsidRPr="00C70D60" w:rsidRDefault="0097171D" w:rsidP="0097171D">
            <w:pPr>
              <w:jc w:val="center"/>
              <w:rPr>
                <w:b/>
              </w:rPr>
            </w:pPr>
            <w:r w:rsidRPr="005802A3">
              <w:rPr>
                <w:bCs/>
              </w:rPr>
              <w:t>(</w:t>
            </w:r>
            <w:r>
              <w:rPr>
                <w:bCs/>
              </w:rPr>
              <w:t>8.5</w:t>
            </w:r>
            <w:r>
              <w:t>; 1)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8572DA" w14:textId="77777777" w:rsidR="0097171D" w:rsidRDefault="0097171D" w:rsidP="0097171D">
            <w:pPr>
              <w:jc w:val="center"/>
            </w:pPr>
            <w:r>
              <w:t>Ns</w:t>
            </w:r>
          </w:p>
          <w:p w14:paraId="2993F8DA" w14:textId="77777777" w:rsidR="0097171D" w:rsidRPr="00C70D60" w:rsidRDefault="0097171D" w:rsidP="0097171D">
            <w:pPr>
              <w:jc w:val="center"/>
            </w:pPr>
            <w:r>
              <w:t>(</w:t>
            </w:r>
            <w:r w:rsidRPr="00C70D60">
              <w:t>0.</w:t>
            </w:r>
            <w:r>
              <w:t>3; 1)</w:t>
            </w:r>
          </w:p>
        </w:tc>
      </w:tr>
      <w:tr w:rsidR="0097171D" w:rsidRPr="00C70D60" w14:paraId="0D4CD738" w14:textId="77777777" w:rsidTr="0097171D">
        <w:trPr>
          <w:trHeight w:val="690"/>
        </w:trPr>
        <w:tc>
          <w:tcPr>
            <w:tcW w:w="2269" w:type="dxa"/>
            <w:shd w:val="clear" w:color="auto" w:fill="auto"/>
            <w:vAlign w:val="center"/>
          </w:tcPr>
          <w:p w14:paraId="25340F9E" w14:textId="77777777" w:rsidR="0097171D" w:rsidRPr="00C70D60" w:rsidRDefault="0097171D" w:rsidP="0097171D">
            <w:pPr>
              <w:rPr>
                <w:b/>
                <w:bCs/>
              </w:rPr>
            </w:pPr>
            <w:r w:rsidRPr="00C70D60">
              <w:rPr>
                <w:b/>
                <w:bCs/>
              </w:rPr>
              <w:t>Sensory Integration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947F956" w14:textId="77777777" w:rsidR="0097171D" w:rsidRPr="00C70D60" w:rsidRDefault="0097171D" w:rsidP="0097171D">
            <w:pPr>
              <w:pStyle w:val="TableContents"/>
              <w:jc w:val="center"/>
            </w:pPr>
            <w:r w:rsidRPr="00C70D60">
              <w:t>1.6 (1.8)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39354962" w14:textId="77777777" w:rsidR="0097171D" w:rsidRPr="00C70D60" w:rsidRDefault="0097171D" w:rsidP="0097171D">
            <w:pPr>
              <w:pStyle w:val="Contenutotabella"/>
              <w:jc w:val="center"/>
            </w:pPr>
            <w:r w:rsidRPr="00C70D60">
              <w:t>2.</w:t>
            </w:r>
            <w:r>
              <w:t>8</w:t>
            </w:r>
            <w:r w:rsidRPr="00C70D60">
              <w:t xml:space="preserve"> (</w:t>
            </w:r>
            <w:r>
              <w:t>2.2</w:t>
            </w:r>
            <w:r w:rsidRPr="00C70D60"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4D1914" w14:textId="77777777" w:rsidR="0097171D" w:rsidRPr="00C70D60" w:rsidRDefault="0097171D" w:rsidP="0097171D">
            <w:pPr>
              <w:pStyle w:val="TableContents"/>
              <w:jc w:val="center"/>
            </w:pPr>
            <w:r w:rsidRPr="00C70D60">
              <w:t>0.7 (1.0)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C8045C" w14:textId="77777777" w:rsidR="0097171D" w:rsidRPr="00C70D60" w:rsidRDefault="0097171D" w:rsidP="0097171D">
            <w:pPr>
              <w:pStyle w:val="Contenutotabella"/>
              <w:jc w:val="center"/>
            </w:pPr>
            <w:r w:rsidRPr="00C70D60">
              <w:t>1.</w:t>
            </w:r>
            <w:r>
              <w:t>1</w:t>
            </w:r>
            <w:r w:rsidRPr="00C70D60">
              <w:t xml:space="preserve"> (1.6)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5C0D12" w14:textId="77777777" w:rsidR="0097171D" w:rsidRDefault="0097171D" w:rsidP="0097171D">
            <w:pPr>
              <w:jc w:val="center"/>
              <w:rPr>
                <w:b/>
              </w:rPr>
            </w:pPr>
            <w:r w:rsidRPr="00C70D60">
              <w:rPr>
                <w:b/>
              </w:rPr>
              <w:t>0.0</w:t>
            </w:r>
            <w:r>
              <w:rPr>
                <w:b/>
              </w:rPr>
              <w:t>2</w:t>
            </w:r>
          </w:p>
          <w:p w14:paraId="0E6E489A" w14:textId="77777777" w:rsidR="0097171D" w:rsidRPr="00C70D60" w:rsidRDefault="0097171D" w:rsidP="0097171D">
            <w:pPr>
              <w:jc w:val="center"/>
            </w:pPr>
            <w:r w:rsidRPr="005802A3">
              <w:rPr>
                <w:bCs/>
              </w:rPr>
              <w:t>(5</w:t>
            </w:r>
            <w:r w:rsidRPr="00407697">
              <w:t>.</w:t>
            </w:r>
            <w:r>
              <w:t>9</w:t>
            </w:r>
            <w:r w:rsidRPr="00407697">
              <w:t>; 1</w:t>
            </w:r>
            <w: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E4065A" w14:textId="77777777" w:rsidR="0097171D" w:rsidRDefault="0097171D" w:rsidP="0097171D">
            <w:pPr>
              <w:jc w:val="center"/>
            </w:pPr>
            <w:r>
              <w:t>Ns</w:t>
            </w:r>
          </w:p>
          <w:p w14:paraId="41D46C55" w14:textId="77777777" w:rsidR="0097171D" w:rsidRPr="00C70D60" w:rsidRDefault="0097171D" w:rsidP="0097171D">
            <w:pPr>
              <w:jc w:val="center"/>
            </w:pPr>
            <w:r>
              <w:t>(1.3; 1)</w:t>
            </w:r>
          </w:p>
        </w:tc>
      </w:tr>
      <w:tr w:rsidR="0097171D" w:rsidRPr="00C70D60" w14:paraId="7A8885F1" w14:textId="77777777" w:rsidTr="0097171D">
        <w:trPr>
          <w:trHeight w:val="690"/>
        </w:trPr>
        <w:tc>
          <w:tcPr>
            <w:tcW w:w="2269" w:type="dxa"/>
            <w:shd w:val="clear" w:color="auto" w:fill="auto"/>
            <w:vAlign w:val="center"/>
          </w:tcPr>
          <w:p w14:paraId="57E926C1" w14:textId="77777777" w:rsidR="0097171D" w:rsidRPr="00C70D60" w:rsidRDefault="0097171D" w:rsidP="0097171D">
            <w:pPr>
              <w:rPr>
                <w:b/>
                <w:bCs/>
              </w:rPr>
            </w:pPr>
            <w:r w:rsidRPr="00C70D60">
              <w:rPr>
                <w:b/>
                <w:bCs/>
              </w:rPr>
              <w:t xml:space="preserve">Motor </w:t>
            </w:r>
            <w:r>
              <w:rPr>
                <w:b/>
                <w:bCs/>
              </w:rPr>
              <w:t>C</w:t>
            </w:r>
            <w:r w:rsidRPr="00C70D60">
              <w:rPr>
                <w:b/>
                <w:bCs/>
              </w:rPr>
              <w:t>oordination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680A8C9" w14:textId="77777777" w:rsidR="0097171D" w:rsidRPr="00C70D60" w:rsidRDefault="0097171D" w:rsidP="0097171D">
            <w:pPr>
              <w:pStyle w:val="TableContents"/>
              <w:jc w:val="center"/>
            </w:pPr>
            <w:r w:rsidRPr="00C70D60">
              <w:t>1.9 (2.0)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30D7E55C" w14:textId="77777777" w:rsidR="0097171D" w:rsidRPr="00C70D60" w:rsidRDefault="0097171D" w:rsidP="0097171D">
            <w:pPr>
              <w:pStyle w:val="Contenutotabella"/>
              <w:jc w:val="center"/>
            </w:pPr>
            <w:r w:rsidRPr="00C70D60">
              <w:t>1.</w:t>
            </w:r>
            <w:r>
              <w:t>7</w:t>
            </w:r>
            <w:r w:rsidRPr="00C70D60">
              <w:t xml:space="preserve"> (2.3)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86D90E" w14:textId="77777777" w:rsidR="0097171D" w:rsidRPr="00C70D60" w:rsidRDefault="0097171D" w:rsidP="0097171D">
            <w:pPr>
              <w:jc w:val="center"/>
            </w:pPr>
            <w:r w:rsidRPr="00C70D60">
              <w:t>0.8 (1.1)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41D7BD" w14:textId="77777777" w:rsidR="0097171D" w:rsidRPr="00C70D60" w:rsidRDefault="0097171D" w:rsidP="0097171D">
            <w:pPr>
              <w:pStyle w:val="Contenutotabella"/>
              <w:jc w:val="center"/>
            </w:pPr>
            <w:r w:rsidRPr="00C70D60">
              <w:t>0.</w:t>
            </w:r>
            <w:r>
              <w:t>9</w:t>
            </w:r>
            <w:r w:rsidRPr="00C70D60">
              <w:t xml:space="preserve"> (1.0)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FE257B" w14:textId="77777777" w:rsidR="0097171D" w:rsidRDefault="0097171D" w:rsidP="0097171D">
            <w:pPr>
              <w:jc w:val="center"/>
            </w:pPr>
            <w:r>
              <w:t>Ns</w:t>
            </w:r>
          </w:p>
          <w:p w14:paraId="11F0C5E4" w14:textId="77777777" w:rsidR="0097171D" w:rsidRPr="005802A3" w:rsidRDefault="0097171D" w:rsidP="0097171D">
            <w:pPr>
              <w:jc w:val="center"/>
            </w:pPr>
            <w:r>
              <w:t>(</w:t>
            </w:r>
            <w:r w:rsidRPr="00C70D60">
              <w:t>0.</w:t>
            </w:r>
            <w:r>
              <w:t>07; 1)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E4717A" w14:textId="77777777" w:rsidR="0097171D" w:rsidRDefault="0097171D" w:rsidP="0097171D">
            <w:pPr>
              <w:jc w:val="center"/>
            </w:pPr>
            <w:r>
              <w:t>Ns</w:t>
            </w:r>
          </w:p>
          <w:p w14:paraId="42E23142" w14:textId="77777777" w:rsidR="0097171D" w:rsidRPr="00C70D60" w:rsidRDefault="0097171D" w:rsidP="0097171D">
            <w:pPr>
              <w:jc w:val="center"/>
            </w:pPr>
            <w:r>
              <w:t>(</w:t>
            </w:r>
            <w:r w:rsidRPr="00C70D60">
              <w:t>0.</w:t>
            </w:r>
            <w:r>
              <w:t>17; 1)</w:t>
            </w:r>
          </w:p>
        </w:tc>
      </w:tr>
      <w:tr w:rsidR="0097171D" w:rsidRPr="00C70D60" w14:paraId="76F1E6A4" w14:textId="77777777" w:rsidTr="0097171D">
        <w:trPr>
          <w:trHeight w:val="690"/>
        </w:trPr>
        <w:tc>
          <w:tcPr>
            <w:tcW w:w="2269" w:type="dxa"/>
            <w:shd w:val="clear" w:color="auto" w:fill="auto"/>
            <w:vAlign w:val="center"/>
          </w:tcPr>
          <w:p w14:paraId="62876E01" w14:textId="77777777" w:rsidR="0097171D" w:rsidRPr="00C70D60" w:rsidRDefault="0097171D" w:rsidP="0097171D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Pr="00C70D60">
              <w:rPr>
                <w:b/>
                <w:bCs/>
              </w:rPr>
              <w:t>otor Sequencing</w:t>
            </w:r>
            <w:r>
              <w:rPr>
                <w:b/>
                <w:bCs/>
              </w:rPr>
              <w:t>*</w:t>
            </w:r>
            <w:r w:rsidRPr="00C70D60">
              <w:rPr>
                <w:b/>
                <w:bCs/>
              </w:rPr>
              <w:t xml:space="preserve"> 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093F528" w14:textId="77777777" w:rsidR="0097171D" w:rsidRPr="00C70D60" w:rsidRDefault="0097171D" w:rsidP="0097171D">
            <w:pPr>
              <w:pStyle w:val="TableContents"/>
              <w:jc w:val="center"/>
            </w:pPr>
            <w:r w:rsidRPr="00C70D60">
              <w:t>2.1 (2.3)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4730BC5F" w14:textId="77777777" w:rsidR="0097171D" w:rsidRPr="00C70D60" w:rsidRDefault="0097171D" w:rsidP="0097171D">
            <w:pPr>
              <w:pStyle w:val="Contenutotabella"/>
              <w:jc w:val="center"/>
            </w:pPr>
            <w:r>
              <w:t>3.9</w:t>
            </w:r>
            <w:r w:rsidRPr="00C70D60">
              <w:t xml:space="preserve"> (3.5)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B7753C" w14:textId="77777777" w:rsidR="0097171D" w:rsidRPr="00C70D60" w:rsidRDefault="0097171D" w:rsidP="0097171D">
            <w:pPr>
              <w:pStyle w:val="TableContents"/>
              <w:jc w:val="center"/>
            </w:pPr>
            <w:r w:rsidRPr="00C70D60">
              <w:t>1.2 (1.9)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19533E" w14:textId="77777777" w:rsidR="0097171D" w:rsidRPr="00C70D60" w:rsidRDefault="0097171D" w:rsidP="0097171D">
            <w:pPr>
              <w:pStyle w:val="Contenutotabella"/>
              <w:jc w:val="center"/>
            </w:pPr>
            <w:r w:rsidRPr="00C70D60">
              <w:t>1.1 (1.3)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9B4034" w14:textId="77777777" w:rsidR="0097171D" w:rsidRDefault="0097171D" w:rsidP="0097171D">
            <w:pPr>
              <w:jc w:val="center"/>
            </w:pPr>
            <w:r>
              <w:t>Ns</w:t>
            </w:r>
          </w:p>
          <w:p w14:paraId="0CFAB3BB" w14:textId="77777777" w:rsidR="0097171D" w:rsidRPr="00C70D60" w:rsidRDefault="0097171D" w:rsidP="0097171D">
            <w:pPr>
              <w:jc w:val="center"/>
            </w:pPr>
            <w:r>
              <w:t>(</w:t>
            </w:r>
            <w:r w:rsidRPr="00C70D60">
              <w:t>3.5</w:t>
            </w:r>
            <w:r>
              <w:t>; 1)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CDC030" w14:textId="77777777" w:rsidR="0097171D" w:rsidRDefault="0097171D" w:rsidP="0097171D">
            <w:pPr>
              <w:tabs>
                <w:tab w:val="left" w:pos="260"/>
                <w:tab w:val="center" w:pos="529"/>
              </w:tabs>
              <w:jc w:val="center"/>
              <w:rPr>
                <w:b/>
              </w:rPr>
            </w:pPr>
            <w:r w:rsidRPr="00C70D60">
              <w:rPr>
                <w:b/>
              </w:rPr>
              <w:t>0.0</w:t>
            </w:r>
            <w:r>
              <w:rPr>
                <w:b/>
              </w:rPr>
              <w:t>31</w:t>
            </w:r>
          </w:p>
          <w:p w14:paraId="5852AE34" w14:textId="77777777" w:rsidR="0097171D" w:rsidRPr="00C70D60" w:rsidRDefault="0097171D" w:rsidP="0097171D">
            <w:pPr>
              <w:jc w:val="center"/>
            </w:pPr>
            <w:r w:rsidRPr="005802A3">
              <w:rPr>
                <w:bCs/>
              </w:rPr>
              <w:t>(4.</w:t>
            </w:r>
            <w:r w:rsidRPr="00C70D60">
              <w:t>9</w:t>
            </w:r>
            <w:r>
              <w:t>; 1)</w:t>
            </w:r>
          </w:p>
        </w:tc>
      </w:tr>
      <w:tr w:rsidR="0097171D" w:rsidRPr="00C70D60" w14:paraId="35C1902F" w14:textId="77777777" w:rsidTr="0097171D">
        <w:trPr>
          <w:trHeight w:val="690"/>
        </w:trPr>
        <w:tc>
          <w:tcPr>
            <w:tcW w:w="2269" w:type="dxa"/>
            <w:shd w:val="clear" w:color="auto" w:fill="auto"/>
            <w:vAlign w:val="center"/>
          </w:tcPr>
          <w:p w14:paraId="392A150B" w14:textId="77777777" w:rsidR="0097171D" w:rsidRPr="00C70D60" w:rsidRDefault="0097171D" w:rsidP="0097171D">
            <w:pPr>
              <w:rPr>
                <w:b/>
                <w:bCs/>
              </w:rPr>
            </w:pPr>
            <w:r w:rsidRPr="00C70D60">
              <w:rPr>
                <w:b/>
                <w:bCs/>
              </w:rPr>
              <w:t xml:space="preserve">Total 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E761D64" w14:textId="77777777" w:rsidR="0097171D" w:rsidRPr="00C70D60" w:rsidRDefault="0097171D" w:rsidP="0097171D">
            <w:pPr>
              <w:jc w:val="center"/>
            </w:pPr>
            <w:r w:rsidRPr="00C70D60">
              <w:t>10.2 (7.3)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3452495D" w14:textId="77777777" w:rsidR="0097171D" w:rsidRPr="00C70D60" w:rsidRDefault="0097171D" w:rsidP="0097171D">
            <w:pPr>
              <w:jc w:val="center"/>
            </w:pPr>
            <w:r w:rsidRPr="00C70D60">
              <w:t>15</w:t>
            </w:r>
            <w:r>
              <w:t>.3</w:t>
            </w:r>
            <w:r w:rsidRPr="00C70D60">
              <w:t xml:space="preserve"> (11.0)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D54BED" w14:textId="77777777" w:rsidR="0097171D" w:rsidRPr="00C70D60" w:rsidRDefault="0097171D" w:rsidP="0097171D">
            <w:pPr>
              <w:jc w:val="center"/>
            </w:pPr>
            <w:r w:rsidRPr="00C70D60">
              <w:t>6.5 (6.0)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CEA674" w14:textId="77777777" w:rsidR="0097171D" w:rsidRPr="00C70D60" w:rsidRDefault="0097171D" w:rsidP="0097171D">
            <w:pPr>
              <w:jc w:val="center"/>
            </w:pPr>
            <w:r>
              <w:t>9.0</w:t>
            </w:r>
            <w:r w:rsidRPr="00C70D60">
              <w:t xml:space="preserve"> (5.5)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D4846F" w14:textId="77777777" w:rsidR="0097171D" w:rsidRDefault="0097171D" w:rsidP="0097171D">
            <w:pPr>
              <w:jc w:val="center"/>
              <w:rPr>
                <w:b/>
              </w:rPr>
            </w:pPr>
            <w:r w:rsidRPr="00C70D60">
              <w:rPr>
                <w:b/>
              </w:rPr>
              <w:t>0.0</w:t>
            </w:r>
            <w:r>
              <w:rPr>
                <w:b/>
              </w:rPr>
              <w:t>07</w:t>
            </w:r>
          </w:p>
          <w:p w14:paraId="75E97D6C" w14:textId="77777777" w:rsidR="0097171D" w:rsidRPr="00C70D60" w:rsidRDefault="0097171D" w:rsidP="0097171D">
            <w:pPr>
              <w:jc w:val="center"/>
            </w:pPr>
            <w:r w:rsidRPr="005802A3">
              <w:rPr>
                <w:bCs/>
              </w:rPr>
              <w:t>(</w:t>
            </w:r>
            <w:r>
              <w:t>7.9; 1)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7D960B" w14:textId="77777777" w:rsidR="0097171D" w:rsidRDefault="0097171D" w:rsidP="0097171D">
            <w:pPr>
              <w:jc w:val="center"/>
            </w:pPr>
            <w:r>
              <w:t>Ns</w:t>
            </w:r>
          </w:p>
          <w:p w14:paraId="01F1D694" w14:textId="77777777" w:rsidR="0097171D" w:rsidRPr="00C70D60" w:rsidRDefault="0097171D" w:rsidP="0097171D">
            <w:pPr>
              <w:tabs>
                <w:tab w:val="left" w:pos="260"/>
                <w:tab w:val="center" w:pos="529"/>
              </w:tabs>
              <w:jc w:val="center"/>
            </w:pPr>
            <w:r>
              <w:t>(0.96; 1)</w:t>
            </w:r>
          </w:p>
        </w:tc>
      </w:tr>
      <w:tr w:rsidR="0097171D" w:rsidRPr="00C70D60" w14:paraId="78488737" w14:textId="77777777" w:rsidTr="0097171D">
        <w:trPr>
          <w:trHeight w:val="690"/>
        </w:trPr>
        <w:tc>
          <w:tcPr>
            <w:tcW w:w="2269" w:type="dxa"/>
            <w:shd w:val="clear" w:color="auto" w:fill="auto"/>
          </w:tcPr>
          <w:p w14:paraId="5DC51931" w14:textId="03538DA5" w:rsidR="0097171D" w:rsidRPr="004460D8" w:rsidRDefault="0097171D" w:rsidP="0097171D">
            <w:pPr>
              <w:rPr>
                <w:b/>
                <w:bCs/>
              </w:rPr>
            </w:pPr>
            <w:r w:rsidRPr="004460D8">
              <w:rPr>
                <w:b/>
                <w:bCs/>
              </w:rPr>
              <w:t>Tardive dyskinesia, AIMS</w:t>
            </w:r>
            <w:r>
              <w:rPr>
                <w:b/>
                <w:bCs/>
              </w:rPr>
              <w:t>*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D644D88" w14:textId="77777777" w:rsidR="0097171D" w:rsidRPr="00C70D60" w:rsidRDefault="0097171D" w:rsidP="0097171D">
            <w:pPr>
              <w:jc w:val="center"/>
            </w:pPr>
            <w:r>
              <w:t>0.21 (0.5)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3BFF475A" w14:textId="77777777" w:rsidR="0097171D" w:rsidRPr="00C70D60" w:rsidRDefault="0097171D" w:rsidP="0097171D">
            <w:pPr>
              <w:jc w:val="center"/>
            </w:pPr>
            <w:r>
              <w:t>0.37 (1.6)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6125BB" w14:textId="77777777" w:rsidR="0097171D" w:rsidRPr="00C70D60" w:rsidRDefault="0097171D" w:rsidP="0097171D">
            <w:pPr>
              <w:jc w:val="center"/>
            </w:pPr>
            <w:r>
              <w:t>0.47 (0.91)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F14F32" w14:textId="77777777" w:rsidR="0097171D" w:rsidRPr="00C70D60" w:rsidRDefault="0097171D" w:rsidP="0097171D">
            <w:pPr>
              <w:jc w:val="center"/>
            </w:pPr>
            <w:r>
              <w:t>0.07 (0.26)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783052" w14:textId="77777777" w:rsidR="0097171D" w:rsidRDefault="0097171D" w:rsidP="0097171D">
            <w:pPr>
              <w:jc w:val="center"/>
            </w:pPr>
            <w:r>
              <w:t>Ns</w:t>
            </w:r>
          </w:p>
          <w:p w14:paraId="79E276A1" w14:textId="77777777" w:rsidR="0097171D" w:rsidRPr="00C70D60" w:rsidRDefault="0097171D" w:rsidP="0097171D">
            <w:pPr>
              <w:jc w:val="center"/>
            </w:pPr>
            <w:r>
              <w:t>(0.3;1)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EDEB35" w14:textId="77777777" w:rsidR="0097171D" w:rsidRDefault="0097171D" w:rsidP="0097171D">
            <w:pPr>
              <w:jc w:val="center"/>
            </w:pPr>
            <w:r>
              <w:t>Ns</w:t>
            </w:r>
          </w:p>
          <w:p w14:paraId="65653FAC" w14:textId="77777777" w:rsidR="0097171D" w:rsidRPr="00C70D60" w:rsidRDefault="0097171D" w:rsidP="0097171D">
            <w:pPr>
              <w:jc w:val="center"/>
            </w:pPr>
            <w:r>
              <w:t>(1.6;1)</w:t>
            </w:r>
          </w:p>
        </w:tc>
      </w:tr>
      <w:tr w:rsidR="0097171D" w:rsidRPr="00C70D60" w14:paraId="7C78D0CB" w14:textId="77777777" w:rsidTr="0097171D">
        <w:trPr>
          <w:trHeight w:val="690"/>
        </w:trPr>
        <w:tc>
          <w:tcPr>
            <w:tcW w:w="2269" w:type="dxa"/>
            <w:shd w:val="clear" w:color="auto" w:fill="auto"/>
          </w:tcPr>
          <w:p w14:paraId="1178521A" w14:textId="6CA62F98" w:rsidR="0097171D" w:rsidRPr="004460D8" w:rsidRDefault="0097171D" w:rsidP="0097171D">
            <w:pPr>
              <w:rPr>
                <w:b/>
                <w:bCs/>
              </w:rPr>
            </w:pPr>
            <w:r w:rsidRPr="004460D8">
              <w:rPr>
                <w:b/>
                <w:bCs/>
              </w:rPr>
              <w:t>Akathisia, Barnes</w:t>
            </w:r>
            <w:r>
              <w:rPr>
                <w:b/>
                <w:bCs/>
              </w:rPr>
              <w:t>*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FF27281" w14:textId="77777777" w:rsidR="0097171D" w:rsidRPr="00C70D60" w:rsidRDefault="0097171D" w:rsidP="0097171D">
            <w:pPr>
              <w:jc w:val="center"/>
            </w:pPr>
            <w:r>
              <w:t>1.2 (2.3)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31FAE82" w14:textId="77777777" w:rsidR="0097171D" w:rsidRPr="00C70D60" w:rsidRDefault="0097171D" w:rsidP="0097171D">
            <w:pPr>
              <w:jc w:val="center"/>
            </w:pPr>
            <w:r>
              <w:t>2.1 (2.7)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767D6F" w14:textId="77777777" w:rsidR="0097171D" w:rsidRPr="00C70D60" w:rsidRDefault="0097171D" w:rsidP="0097171D">
            <w:pPr>
              <w:jc w:val="center"/>
            </w:pPr>
            <w:r>
              <w:t>1.1 (2.0)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B6B463" w14:textId="77777777" w:rsidR="0097171D" w:rsidRPr="00C70D60" w:rsidRDefault="0097171D" w:rsidP="0097171D">
            <w:pPr>
              <w:jc w:val="center"/>
            </w:pPr>
            <w:r>
              <w:t>0.7 (1.8)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33021F" w14:textId="77777777" w:rsidR="0097171D" w:rsidRDefault="0097171D" w:rsidP="0097171D">
            <w:pPr>
              <w:jc w:val="center"/>
            </w:pPr>
            <w:r>
              <w:t>Ns</w:t>
            </w:r>
          </w:p>
          <w:p w14:paraId="5CE53607" w14:textId="77777777" w:rsidR="0097171D" w:rsidRPr="00C70D60" w:rsidRDefault="0097171D" w:rsidP="0097171D">
            <w:pPr>
              <w:jc w:val="center"/>
            </w:pPr>
            <w:r>
              <w:t>(0.23;1)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56916B" w14:textId="77777777" w:rsidR="0097171D" w:rsidRDefault="0097171D" w:rsidP="0097171D">
            <w:pPr>
              <w:jc w:val="center"/>
            </w:pPr>
            <w:r>
              <w:t>Ns</w:t>
            </w:r>
          </w:p>
          <w:p w14:paraId="74159EC5" w14:textId="77777777" w:rsidR="0097171D" w:rsidRPr="00C70D60" w:rsidRDefault="0097171D" w:rsidP="0097171D">
            <w:pPr>
              <w:jc w:val="center"/>
            </w:pPr>
            <w:r>
              <w:t>(1.9;1)</w:t>
            </w:r>
          </w:p>
        </w:tc>
      </w:tr>
      <w:tr w:rsidR="0097171D" w:rsidRPr="00C70D60" w14:paraId="1E0385B4" w14:textId="77777777" w:rsidTr="0097171D">
        <w:trPr>
          <w:trHeight w:val="690"/>
        </w:trPr>
        <w:tc>
          <w:tcPr>
            <w:tcW w:w="2269" w:type="dxa"/>
            <w:shd w:val="clear" w:color="auto" w:fill="auto"/>
          </w:tcPr>
          <w:p w14:paraId="41EEE4DF" w14:textId="2B5AAA2B" w:rsidR="0097171D" w:rsidRPr="004460D8" w:rsidRDefault="0097171D" w:rsidP="0097171D">
            <w:pPr>
              <w:rPr>
                <w:b/>
                <w:bCs/>
              </w:rPr>
            </w:pPr>
            <w:r w:rsidRPr="004460D8">
              <w:rPr>
                <w:b/>
                <w:bCs/>
              </w:rPr>
              <w:t>Extrapyramidal symptoms, Simpson</w:t>
            </w:r>
            <w:r w:rsidR="00E44AE8">
              <w:rPr>
                <w:b/>
                <w:bCs/>
              </w:rPr>
              <w:t>-</w:t>
            </w:r>
            <w:r w:rsidRPr="004460D8">
              <w:rPr>
                <w:b/>
                <w:bCs/>
              </w:rPr>
              <w:t xml:space="preserve"> Angus</w:t>
            </w:r>
            <w:r>
              <w:rPr>
                <w:b/>
                <w:bCs/>
              </w:rPr>
              <w:t>*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4CF12DC" w14:textId="77777777" w:rsidR="0097171D" w:rsidRPr="00C70D60" w:rsidRDefault="0097171D" w:rsidP="0097171D">
            <w:pPr>
              <w:jc w:val="center"/>
            </w:pPr>
            <w:r>
              <w:t>2.3 (2.8)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17133F37" w14:textId="77777777" w:rsidR="0097171D" w:rsidRPr="00C70D60" w:rsidRDefault="0097171D" w:rsidP="0097171D">
            <w:pPr>
              <w:jc w:val="center"/>
            </w:pPr>
            <w:r>
              <w:t>3.9 (7.1)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6CEAC9" w14:textId="77777777" w:rsidR="0097171D" w:rsidRPr="00C70D60" w:rsidRDefault="0097171D" w:rsidP="0097171D">
            <w:pPr>
              <w:jc w:val="center"/>
            </w:pPr>
            <w:r>
              <w:t>1.1 (1.1)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77F7A2" w14:textId="77777777" w:rsidR="0097171D" w:rsidRPr="00C70D60" w:rsidRDefault="0097171D" w:rsidP="0097171D">
            <w:pPr>
              <w:jc w:val="center"/>
            </w:pPr>
            <w:r>
              <w:t>0.6 (1.4)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640128" w14:textId="77777777" w:rsidR="0097171D" w:rsidRDefault="0097171D" w:rsidP="0097171D">
            <w:pPr>
              <w:jc w:val="center"/>
            </w:pPr>
            <w:r>
              <w:t>Ns</w:t>
            </w:r>
          </w:p>
          <w:p w14:paraId="058D2650" w14:textId="77777777" w:rsidR="0097171D" w:rsidRPr="00C70D60" w:rsidRDefault="0097171D" w:rsidP="0097171D">
            <w:pPr>
              <w:jc w:val="center"/>
            </w:pPr>
            <w:r>
              <w:t>(0.3; 1)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03892E" w14:textId="77777777" w:rsidR="0097171D" w:rsidRDefault="0097171D" w:rsidP="0097171D">
            <w:pPr>
              <w:jc w:val="center"/>
            </w:pPr>
            <w:r>
              <w:t>Ns</w:t>
            </w:r>
          </w:p>
          <w:p w14:paraId="09B27372" w14:textId="77777777" w:rsidR="0097171D" w:rsidRPr="00C70D60" w:rsidRDefault="0097171D" w:rsidP="0097171D">
            <w:pPr>
              <w:jc w:val="center"/>
            </w:pPr>
            <w:r>
              <w:t>(1.0; 1)</w:t>
            </w:r>
          </w:p>
        </w:tc>
      </w:tr>
    </w:tbl>
    <w:p w14:paraId="082D0118" w14:textId="77777777" w:rsidR="0097171D" w:rsidRPr="00BA73A5" w:rsidRDefault="0097171D" w:rsidP="0097171D">
      <w:r w:rsidRPr="00BA73A5">
        <w:t>*Motor Sequencing score for missing for one patient; AIMS scores were available for 40 patients, Barnes scores for 45 patients and Simpson-Angus scores for 38 patients</w:t>
      </w:r>
    </w:p>
    <w:p w14:paraId="2C34F26A" w14:textId="1DC35BBD" w:rsidR="00C24FE7" w:rsidRDefault="0097171D" w:rsidP="00C24FE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C24FE7">
        <w:rPr>
          <w:b/>
          <w:sz w:val="24"/>
          <w:szCs w:val="24"/>
        </w:rPr>
        <w:lastRenderedPageBreak/>
        <w:t xml:space="preserve">Table </w:t>
      </w:r>
      <w:r w:rsidR="00E44AE8">
        <w:rPr>
          <w:b/>
          <w:sz w:val="24"/>
          <w:szCs w:val="24"/>
        </w:rPr>
        <w:t>4</w:t>
      </w:r>
      <w:r w:rsidR="00C24FE7">
        <w:rPr>
          <w:b/>
          <w:sz w:val="24"/>
          <w:szCs w:val="24"/>
        </w:rPr>
        <w:t>: Correlation</w:t>
      </w:r>
      <w:r w:rsidR="00717F25">
        <w:rPr>
          <w:b/>
          <w:sz w:val="24"/>
          <w:szCs w:val="24"/>
        </w:rPr>
        <w:t>s</w:t>
      </w:r>
      <w:r w:rsidR="00C24FE7">
        <w:rPr>
          <w:b/>
          <w:sz w:val="24"/>
          <w:szCs w:val="24"/>
        </w:rPr>
        <w:t xml:space="preserve"> between neurological signs scores and antipsychotic</w:t>
      </w:r>
      <w:r w:rsidR="00201E2D">
        <w:rPr>
          <w:b/>
          <w:sz w:val="24"/>
          <w:szCs w:val="24"/>
        </w:rPr>
        <w:t>s</w:t>
      </w:r>
      <w:r w:rsidR="00C24FE7">
        <w:rPr>
          <w:b/>
          <w:sz w:val="24"/>
          <w:szCs w:val="24"/>
        </w:rPr>
        <w:t xml:space="preserve"> </w:t>
      </w:r>
    </w:p>
    <w:p w14:paraId="128637D1" w14:textId="77777777" w:rsidR="00C24FE7" w:rsidRDefault="00C24FE7" w:rsidP="00DA18F5">
      <w:pPr>
        <w:rPr>
          <w:b/>
          <w:sz w:val="24"/>
          <w:szCs w:val="24"/>
        </w:rPr>
      </w:pP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5524"/>
        <w:gridCol w:w="1559"/>
        <w:gridCol w:w="1559"/>
      </w:tblGrid>
      <w:tr w:rsidR="00912C53" w:rsidRPr="00D67485" w14:paraId="1E0AFE77" w14:textId="77777777" w:rsidTr="00D67485">
        <w:trPr>
          <w:trHeight w:val="397"/>
        </w:trPr>
        <w:tc>
          <w:tcPr>
            <w:tcW w:w="5524" w:type="dxa"/>
          </w:tcPr>
          <w:p w14:paraId="3197302D" w14:textId="169E972E" w:rsidR="00912C53" w:rsidRPr="00D67485" w:rsidRDefault="00201E2D" w:rsidP="00912C53">
            <w:pPr>
              <w:rPr>
                <w:b/>
                <w:sz w:val="22"/>
                <w:szCs w:val="22"/>
              </w:rPr>
            </w:pPr>
            <w:r w:rsidRPr="00D67485">
              <w:rPr>
                <w:b/>
                <w:bCs/>
                <w:sz w:val="22"/>
                <w:szCs w:val="22"/>
              </w:rPr>
              <w:t>Correlation between baseline neurological signs scores and chlorpromazine equivalents (mg)</w:t>
            </w:r>
          </w:p>
        </w:tc>
        <w:tc>
          <w:tcPr>
            <w:tcW w:w="1559" w:type="dxa"/>
          </w:tcPr>
          <w:p w14:paraId="5A8C66F2" w14:textId="77777777" w:rsidR="00912C53" w:rsidRPr="00D67485" w:rsidRDefault="00912C53" w:rsidP="00912C53">
            <w:pPr>
              <w:jc w:val="center"/>
              <w:rPr>
                <w:b/>
                <w:sz w:val="22"/>
                <w:szCs w:val="22"/>
              </w:rPr>
            </w:pPr>
            <w:r w:rsidRPr="00D67485">
              <w:rPr>
                <w:b/>
                <w:sz w:val="22"/>
                <w:szCs w:val="22"/>
              </w:rPr>
              <w:t xml:space="preserve">Pearson </w:t>
            </w:r>
          </w:p>
          <w:p w14:paraId="48D3947F" w14:textId="44B7CEFC" w:rsidR="00912C53" w:rsidRPr="00D67485" w:rsidRDefault="00912C53" w:rsidP="00912C53">
            <w:pPr>
              <w:jc w:val="center"/>
              <w:rPr>
                <w:b/>
                <w:sz w:val="22"/>
                <w:szCs w:val="22"/>
              </w:rPr>
            </w:pPr>
            <w:r w:rsidRPr="00D67485">
              <w:rPr>
                <w:b/>
                <w:sz w:val="22"/>
                <w:szCs w:val="22"/>
              </w:rPr>
              <w:t xml:space="preserve">r </w:t>
            </w:r>
          </w:p>
        </w:tc>
        <w:tc>
          <w:tcPr>
            <w:tcW w:w="1559" w:type="dxa"/>
          </w:tcPr>
          <w:p w14:paraId="098F06A5" w14:textId="77777777" w:rsidR="00912C53" w:rsidRPr="00D67485" w:rsidRDefault="00912C53" w:rsidP="00912C53">
            <w:pPr>
              <w:jc w:val="center"/>
              <w:rPr>
                <w:b/>
                <w:sz w:val="22"/>
                <w:szCs w:val="22"/>
              </w:rPr>
            </w:pPr>
            <w:r w:rsidRPr="00D67485">
              <w:rPr>
                <w:b/>
                <w:sz w:val="22"/>
                <w:szCs w:val="22"/>
              </w:rPr>
              <w:t xml:space="preserve">Significance </w:t>
            </w:r>
          </w:p>
          <w:p w14:paraId="10656CC8" w14:textId="4EFE8DDB" w:rsidR="00912C53" w:rsidRPr="00D67485" w:rsidRDefault="00912C53" w:rsidP="00912C53">
            <w:pPr>
              <w:jc w:val="center"/>
              <w:rPr>
                <w:b/>
                <w:sz w:val="22"/>
                <w:szCs w:val="22"/>
              </w:rPr>
            </w:pPr>
            <w:r w:rsidRPr="00D67485">
              <w:rPr>
                <w:b/>
                <w:sz w:val="22"/>
                <w:szCs w:val="22"/>
              </w:rPr>
              <w:t>p</w:t>
            </w:r>
          </w:p>
        </w:tc>
      </w:tr>
      <w:tr w:rsidR="00912C53" w:rsidRPr="00D67485" w14:paraId="29F73665" w14:textId="77777777" w:rsidTr="00D67485">
        <w:trPr>
          <w:trHeight w:val="397"/>
        </w:trPr>
        <w:tc>
          <w:tcPr>
            <w:tcW w:w="5524" w:type="dxa"/>
          </w:tcPr>
          <w:p w14:paraId="71CC8160" w14:textId="70DEB3E7" w:rsidR="00912C53" w:rsidRPr="00D67485" w:rsidRDefault="00912C53" w:rsidP="00912C53">
            <w:pPr>
              <w:rPr>
                <w:sz w:val="22"/>
                <w:szCs w:val="22"/>
              </w:rPr>
            </w:pPr>
            <w:r w:rsidRPr="00D67485">
              <w:rPr>
                <w:sz w:val="22"/>
                <w:szCs w:val="22"/>
              </w:rPr>
              <w:t>Primary</w:t>
            </w:r>
            <w:r w:rsidR="00CF35AD" w:rsidRPr="00D67485">
              <w:rPr>
                <w:sz w:val="22"/>
                <w:szCs w:val="22"/>
              </w:rPr>
              <w:t xml:space="preserve"> signs</w:t>
            </w:r>
          </w:p>
        </w:tc>
        <w:tc>
          <w:tcPr>
            <w:tcW w:w="1559" w:type="dxa"/>
          </w:tcPr>
          <w:p w14:paraId="6F510197" w14:textId="2E552804" w:rsidR="00912C53" w:rsidRPr="00D67485" w:rsidRDefault="00912C53" w:rsidP="00CF35AD">
            <w:pPr>
              <w:jc w:val="center"/>
              <w:rPr>
                <w:bCs/>
                <w:sz w:val="22"/>
                <w:szCs w:val="22"/>
              </w:rPr>
            </w:pPr>
            <w:r w:rsidRPr="00D67485">
              <w:rPr>
                <w:bCs/>
                <w:sz w:val="22"/>
                <w:szCs w:val="22"/>
              </w:rPr>
              <w:t>.073</w:t>
            </w:r>
          </w:p>
        </w:tc>
        <w:tc>
          <w:tcPr>
            <w:tcW w:w="1559" w:type="dxa"/>
          </w:tcPr>
          <w:p w14:paraId="361DA2B1" w14:textId="6831CA7B" w:rsidR="00912C53" w:rsidRPr="00D67485" w:rsidRDefault="00912C53" w:rsidP="00CF35AD">
            <w:pPr>
              <w:jc w:val="center"/>
              <w:rPr>
                <w:bCs/>
                <w:sz w:val="22"/>
                <w:szCs w:val="22"/>
              </w:rPr>
            </w:pPr>
            <w:r w:rsidRPr="00D67485">
              <w:rPr>
                <w:bCs/>
                <w:sz w:val="22"/>
                <w:szCs w:val="22"/>
              </w:rPr>
              <w:t>.34</w:t>
            </w:r>
          </w:p>
        </w:tc>
      </w:tr>
      <w:tr w:rsidR="00912C53" w:rsidRPr="00D67485" w14:paraId="4A6E2703" w14:textId="77777777" w:rsidTr="00D67485">
        <w:trPr>
          <w:trHeight w:val="397"/>
        </w:trPr>
        <w:tc>
          <w:tcPr>
            <w:tcW w:w="5524" w:type="dxa"/>
          </w:tcPr>
          <w:p w14:paraId="1555958A" w14:textId="33CE48FE" w:rsidR="00912C53" w:rsidRPr="00D67485" w:rsidRDefault="00912C53" w:rsidP="00912C53">
            <w:pPr>
              <w:rPr>
                <w:sz w:val="22"/>
                <w:szCs w:val="22"/>
              </w:rPr>
            </w:pPr>
            <w:r w:rsidRPr="00D67485">
              <w:rPr>
                <w:sz w:val="22"/>
                <w:szCs w:val="22"/>
              </w:rPr>
              <w:t>Sensory Integration</w:t>
            </w:r>
            <w:r w:rsidR="00CF35AD" w:rsidRPr="00D67485">
              <w:rPr>
                <w:sz w:val="22"/>
                <w:szCs w:val="22"/>
              </w:rPr>
              <w:t xml:space="preserve"> signs</w:t>
            </w:r>
          </w:p>
        </w:tc>
        <w:tc>
          <w:tcPr>
            <w:tcW w:w="1559" w:type="dxa"/>
          </w:tcPr>
          <w:p w14:paraId="0BEE8F38" w14:textId="4BA6FD2B" w:rsidR="00912C53" w:rsidRPr="00D67485" w:rsidRDefault="00912C53" w:rsidP="00CF35AD">
            <w:pPr>
              <w:jc w:val="center"/>
              <w:rPr>
                <w:bCs/>
                <w:sz w:val="22"/>
                <w:szCs w:val="22"/>
              </w:rPr>
            </w:pPr>
            <w:r w:rsidRPr="00D67485">
              <w:rPr>
                <w:bCs/>
                <w:sz w:val="22"/>
                <w:szCs w:val="22"/>
              </w:rPr>
              <w:t>.05</w:t>
            </w:r>
          </w:p>
        </w:tc>
        <w:tc>
          <w:tcPr>
            <w:tcW w:w="1559" w:type="dxa"/>
          </w:tcPr>
          <w:p w14:paraId="46A531A3" w14:textId="7FBC30A3" w:rsidR="00912C53" w:rsidRPr="00D67485" w:rsidRDefault="00912C53" w:rsidP="00CF35AD">
            <w:pPr>
              <w:jc w:val="center"/>
              <w:rPr>
                <w:bCs/>
                <w:sz w:val="22"/>
                <w:szCs w:val="22"/>
              </w:rPr>
            </w:pPr>
            <w:r w:rsidRPr="00D67485">
              <w:rPr>
                <w:bCs/>
                <w:sz w:val="22"/>
                <w:szCs w:val="22"/>
              </w:rPr>
              <w:t>.48</w:t>
            </w:r>
          </w:p>
        </w:tc>
      </w:tr>
      <w:tr w:rsidR="00912C53" w:rsidRPr="00D67485" w14:paraId="351FC114" w14:textId="77777777" w:rsidTr="00D67485">
        <w:trPr>
          <w:trHeight w:val="397"/>
        </w:trPr>
        <w:tc>
          <w:tcPr>
            <w:tcW w:w="5524" w:type="dxa"/>
          </w:tcPr>
          <w:p w14:paraId="0719729D" w14:textId="5CDEC97D" w:rsidR="00912C53" w:rsidRPr="00D67485" w:rsidRDefault="00912C53" w:rsidP="00912C53">
            <w:pPr>
              <w:rPr>
                <w:sz w:val="22"/>
                <w:szCs w:val="22"/>
              </w:rPr>
            </w:pPr>
            <w:r w:rsidRPr="00D67485">
              <w:rPr>
                <w:sz w:val="22"/>
                <w:szCs w:val="22"/>
              </w:rPr>
              <w:t>Motor Coordination</w:t>
            </w:r>
            <w:r w:rsidR="00CF35AD" w:rsidRPr="00D67485">
              <w:rPr>
                <w:sz w:val="22"/>
                <w:szCs w:val="22"/>
              </w:rPr>
              <w:t xml:space="preserve"> signs</w:t>
            </w:r>
          </w:p>
        </w:tc>
        <w:tc>
          <w:tcPr>
            <w:tcW w:w="1559" w:type="dxa"/>
          </w:tcPr>
          <w:p w14:paraId="7EDB6E09" w14:textId="4193CA31" w:rsidR="00912C53" w:rsidRPr="00D67485" w:rsidRDefault="00912C53" w:rsidP="00CF35AD">
            <w:pPr>
              <w:jc w:val="center"/>
              <w:rPr>
                <w:bCs/>
                <w:sz w:val="22"/>
                <w:szCs w:val="22"/>
              </w:rPr>
            </w:pPr>
            <w:r w:rsidRPr="00D67485">
              <w:rPr>
                <w:bCs/>
                <w:sz w:val="22"/>
                <w:szCs w:val="22"/>
              </w:rPr>
              <w:t>.07</w:t>
            </w:r>
          </w:p>
        </w:tc>
        <w:tc>
          <w:tcPr>
            <w:tcW w:w="1559" w:type="dxa"/>
          </w:tcPr>
          <w:p w14:paraId="13FEE83A" w14:textId="5342B566" w:rsidR="00912C53" w:rsidRPr="00D67485" w:rsidRDefault="00912C53" w:rsidP="00CF35AD">
            <w:pPr>
              <w:jc w:val="center"/>
              <w:rPr>
                <w:bCs/>
                <w:sz w:val="22"/>
                <w:szCs w:val="22"/>
              </w:rPr>
            </w:pPr>
            <w:r w:rsidRPr="00D67485">
              <w:rPr>
                <w:bCs/>
                <w:sz w:val="22"/>
                <w:szCs w:val="22"/>
              </w:rPr>
              <w:t>.38</w:t>
            </w:r>
          </w:p>
        </w:tc>
      </w:tr>
      <w:tr w:rsidR="00912C53" w:rsidRPr="00D67485" w14:paraId="1F06DECC" w14:textId="77777777" w:rsidTr="00D67485">
        <w:trPr>
          <w:trHeight w:val="397"/>
        </w:trPr>
        <w:tc>
          <w:tcPr>
            <w:tcW w:w="5524" w:type="dxa"/>
          </w:tcPr>
          <w:p w14:paraId="3FCE00FF" w14:textId="04544007" w:rsidR="00912C53" w:rsidRPr="00D67485" w:rsidRDefault="00912C53" w:rsidP="00912C53">
            <w:pPr>
              <w:rPr>
                <w:sz w:val="22"/>
                <w:szCs w:val="22"/>
              </w:rPr>
            </w:pPr>
            <w:r w:rsidRPr="00D67485">
              <w:rPr>
                <w:sz w:val="22"/>
                <w:szCs w:val="22"/>
              </w:rPr>
              <w:t xml:space="preserve">Motor Sequencing </w:t>
            </w:r>
            <w:r w:rsidR="00CF35AD" w:rsidRPr="00D67485">
              <w:rPr>
                <w:sz w:val="22"/>
                <w:szCs w:val="22"/>
              </w:rPr>
              <w:t>signs</w:t>
            </w:r>
          </w:p>
        </w:tc>
        <w:tc>
          <w:tcPr>
            <w:tcW w:w="1559" w:type="dxa"/>
          </w:tcPr>
          <w:p w14:paraId="1E3EE519" w14:textId="37C0CFDC" w:rsidR="00912C53" w:rsidRPr="00D67485" w:rsidRDefault="00912C53" w:rsidP="00CF35AD">
            <w:pPr>
              <w:jc w:val="center"/>
              <w:rPr>
                <w:bCs/>
                <w:sz w:val="22"/>
                <w:szCs w:val="22"/>
              </w:rPr>
            </w:pPr>
            <w:r w:rsidRPr="00D67485">
              <w:rPr>
                <w:bCs/>
                <w:sz w:val="22"/>
                <w:szCs w:val="22"/>
              </w:rPr>
              <w:t>-.05</w:t>
            </w:r>
          </w:p>
        </w:tc>
        <w:tc>
          <w:tcPr>
            <w:tcW w:w="1559" w:type="dxa"/>
          </w:tcPr>
          <w:p w14:paraId="4D430440" w14:textId="553B745F" w:rsidR="00912C53" w:rsidRPr="00D67485" w:rsidRDefault="00912C53" w:rsidP="00CF35AD">
            <w:pPr>
              <w:jc w:val="center"/>
              <w:rPr>
                <w:bCs/>
                <w:sz w:val="22"/>
                <w:szCs w:val="22"/>
              </w:rPr>
            </w:pPr>
            <w:r w:rsidRPr="00D67485">
              <w:rPr>
                <w:bCs/>
                <w:sz w:val="22"/>
                <w:szCs w:val="22"/>
              </w:rPr>
              <w:t>.50</w:t>
            </w:r>
          </w:p>
        </w:tc>
      </w:tr>
      <w:tr w:rsidR="00201E2D" w:rsidRPr="00D67485" w14:paraId="52D5A338" w14:textId="77777777" w:rsidTr="00D67485">
        <w:trPr>
          <w:trHeight w:val="397"/>
        </w:trPr>
        <w:tc>
          <w:tcPr>
            <w:tcW w:w="5524" w:type="dxa"/>
          </w:tcPr>
          <w:p w14:paraId="667AE6A8" w14:textId="799500C7" w:rsidR="00201E2D" w:rsidRPr="00D67485" w:rsidRDefault="00B11E9A" w:rsidP="00DE5764">
            <w:pPr>
              <w:rPr>
                <w:sz w:val="22"/>
                <w:szCs w:val="22"/>
              </w:rPr>
            </w:pPr>
            <w:r w:rsidRPr="00D67485">
              <w:rPr>
                <w:sz w:val="22"/>
                <w:szCs w:val="22"/>
              </w:rPr>
              <w:t>Total signs</w:t>
            </w:r>
          </w:p>
        </w:tc>
        <w:tc>
          <w:tcPr>
            <w:tcW w:w="1559" w:type="dxa"/>
          </w:tcPr>
          <w:p w14:paraId="13EF9FAA" w14:textId="0201003F" w:rsidR="00201E2D" w:rsidRPr="00D67485" w:rsidRDefault="00B11E9A" w:rsidP="00CF35AD">
            <w:pPr>
              <w:jc w:val="center"/>
              <w:rPr>
                <w:bCs/>
                <w:sz w:val="22"/>
                <w:szCs w:val="22"/>
              </w:rPr>
            </w:pPr>
            <w:r w:rsidRPr="00D67485">
              <w:rPr>
                <w:bCs/>
                <w:sz w:val="22"/>
                <w:szCs w:val="22"/>
              </w:rPr>
              <w:t>.06</w:t>
            </w:r>
          </w:p>
        </w:tc>
        <w:tc>
          <w:tcPr>
            <w:tcW w:w="1559" w:type="dxa"/>
          </w:tcPr>
          <w:p w14:paraId="6ACCEE0F" w14:textId="3146B95A" w:rsidR="00201E2D" w:rsidRPr="00D67485" w:rsidRDefault="00B11E9A" w:rsidP="00CF35AD">
            <w:pPr>
              <w:jc w:val="center"/>
              <w:rPr>
                <w:bCs/>
                <w:sz w:val="22"/>
                <w:szCs w:val="22"/>
              </w:rPr>
            </w:pPr>
            <w:r w:rsidRPr="00D67485">
              <w:rPr>
                <w:bCs/>
                <w:sz w:val="22"/>
                <w:szCs w:val="22"/>
              </w:rPr>
              <w:t>.47</w:t>
            </w:r>
          </w:p>
        </w:tc>
      </w:tr>
      <w:tr w:rsidR="00CF35AD" w:rsidRPr="00D67485" w14:paraId="02DE9406" w14:textId="77777777" w:rsidTr="00D67485">
        <w:trPr>
          <w:trHeight w:val="397"/>
        </w:trPr>
        <w:tc>
          <w:tcPr>
            <w:tcW w:w="5524" w:type="dxa"/>
          </w:tcPr>
          <w:p w14:paraId="745BC235" w14:textId="55AEA617" w:rsidR="00201E2D" w:rsidRPr="00D67485" w:rsidRDefault="00201E2D" w:rsidP="00DE5764">
            <w:pPr>
              <w:rPr>
                <w:b/>
                <w:sz w:val="22"/>
                <w:szCs w:val="22"/>
              </w:rPr>
            </w:pPr>
            <w:r w:rsidRPr="00D67485">
              <w:rPr>
                <w:b/>
                <w:bCs/>
                <w:sz w:val="22"/>
                <w:szCs w:val="22"/>
              </w:rPr>
              <w:t>Correlation between follow up neurological signs scores and time on antipsychotics during the follow up (weeks)</w:t>
            </w:r>
          </w:p>
        </w:tc>
        <w:tc>
          <w:tcPr>
            <w:tcW w:w="1559" w:type="dxa"/>
          </w:tcPr>
          <w:p w14:paraId="7F365307" w14:textId="5F10A05C" w:rsidR="00201E2D" w:rsidRPr="00D67485" w:rsidRDefault="00201E2D" w:rsidP="00CF35AD">
            <w:pPr>
              <w:jc w:val="center"/>
              <w:rPr>
                <w:b/>
                <w:sz w:val="22"/>
                <w:szCs w:val="22"/>
              </w:rPr>
            </w:pPr>
            <w:r w:rsidRPr="00D67485">
              <w:rPr>
                <w:b/>
                <w:sz w:val="22"/>
                <w:szCs w:val="22"/>
              </w:rPr>
              <w:t>Pearson</w:t>
            </w:r>
          </w:p>
          <w:p w14:paraId="621C2369" w14:textId="1BE4D000" w:rsidR="00201E2D" w:rsidRPr="00D67485" w:rsidRDefault="00201E2D" w:rsidP="00CF35AD">
            <w:pPr>
              <w:jc w:val="center"/>
              <w:rPr>
                <w:b/>
                <w:sz w:val="22"/>
                <w:szCs w:val="22"/>
              </w:rPr>
            </w:pPr>
            <w:r w:rsidRPr="00D67485">
              <w:rPr>
                <w:b/>
                <w:sz w:val="22"/>
                <w:szCs w:val="22"/>
              </w:rPr>
              <w:t>r</w:t>
            </w:r>
          </w:p>
        </w:tc>
        <w:tc>
          <w:tcPr>
            <w:tcW w:w="1559" w:type="dxa"/>
          </w:tcPr>
          <w:p w14:paraId="6C875453" w14:textId="340C5D07" w:rsidR="00201E2D" w:rsidRPr="00D67485" w:rsidRDefault="00201E2D" w:rsidP="00CF35AD">
            <w:pPr>
              <w:jc w:val="center"/>
              <w:rPr>
                <w:b/>
                <w:sz w:val="22"/>
                <w:szCs w:val="22"/>
              </w:rPr>
            </w:pPr>
            <w:r w:rsidRPr="00D67485">
              <w:rPr>
                <w:b/>
                <w:sz w:val="22"/>
                <w:szCs w:val="22"/>
              </w:rPr>
              <w:t>Significance</w:t>
            </w:r>
          </w:p>
          <w:p w14:paraId="1EBAE48C" w14:textId="77777777" w:rsidR="00201E2D" w:rsidRPr="00D67485" w:rsidRDefault="00201E2D" w:rsidP="00CF35AD">
            <w:pPr>
              <w:jc w:val="center"/>
              <w:rPr>
                <w:b/>
                <w:sz w:val="22"/>
                <w:szCs w:val="22"/>
              </w:rPr>
            </w:pPr>
            <w:r w:rsidRPr="00D67485">
              <w:rPr>
                <w:b/>
                <w:sz w:val="22"/>
                <w:szCs w:val="22"/>
              </w:rPr>
              <w:t>p</w:t>
            </w:r>
          </w:p>
        </w:tc>
      </w:tr>
      <w:tr w:rsidR="00CF35AD" w:rsidRPr="00D67485" w14:paraId="23E6545E" w14:textId="77777777" w:rsidTr="00D67485">
        <w:trPr>
          <w:trHeight w:val="397"/>
        </w:trPr>
        <w:tc>
          <w:tcPr>
            <w:tcW w:w="5524" w:type="dxa"/>
          </w:tcPr>
          <w:p w14:paraId="2FE15065" w14:textId="2F28F262" w:rsidR="00201E2D" w:rsidRPr="00D67485" w:rsidRDefault="00201E2D" w:rsidP="00DE5764">
            <w:pPr>
              <w:rPr>
                <w:sz w:val="22"/>
                <w:szCs w:val="22"/>
              </w:rPr>
            </w:pPr>
            <w:r w:rsidRPr="00D67485">
              <w:rPr>
                <w:sz w:val="22"/>
                <w:szCs w:val="22"/>
              </w:rPr>
              <w:t>Primary</w:t>
            </w:r>
            <w:r w:rsidR="00CF35AD" w:rsidRPr="00D67485">
              <w:rPr>
                <w:sz w:val="22"/>
                <w:szCs w:val="22"/>
              </w:rPr>
              <w:t xml:space="preserve"> signs</w:t>
            </w:r>
          </w:p>
        </w:tc>
        <w:tc>
          <w:tcPr>
            <w:tcW w:w="1559" w:type="dxa"/>
          </w:tcPr>
          <w:p w14:paraId="71D5FE98" w14:textId="2DD02B20" w:rsidR="00201E2D" w:rsidRPr="00D67485" w:rsidRDefault="00201E2D" w:rsidP="00CF35AD">
            <w:pPr>
              <w:jc w:val="center"/>
              <w:rPr>
                <w:bCs/>
                <w:sz w:val="22"/>
                <w:szCs w:val="22"/>
              </w:rPr>
            </w:pPr>
            <w:r w:rsidRPr="00D67485">
              <w:rPr>
                <w:bCs/>
                <w:sz w:val="22"/>
                <w:szCs w:val="22"/>
              </w:rPr>
              <w:t>.0</w:t>
            </w:r>
            <w:r w:rsidR="00717F25" w:rsidRPr="00D67485"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1559" w:type="dxa"/>
          </w:tcPr>
          <w:p w14:paraId="3994FE23" w14:textId="43653CE4" w:rsidR="00201E2D" w:rsidRPr="00D67485" w:rsidRDefault="00201E2D" w:rsidP="00CF35AD">
            <w:pPr>
              <w:jc w:val="center"/>
              <w:rPr>
                <w:bCs/>
                <w:sz w:val="22"/>
                <w:szCs w:val="22"/>
              </w:rPr>
            </w:pPr>
            <w:r w:rsidRPr="00D67485">
              <w:rPr>
                <w:bCs/>
                <w:sz w:val="22"/>
                <w:szCs w:val="22"/>
              </w:rPr>
              <w:t>.</w:t>
            </w:r>
            <w:r w:rsidR="00717F25" w:rsidRPr="00D67485">
              <w:rPr>
                <w:bCs/>
                <w:sz w:val="22"/>
                <w:szCs w:val="22"/>
              </w:rPr>
              <w:t>65</w:t>
            </w:r>
          </w:p>
        </w:tc>
      </w:tr>
      <w:tr w:rsidR="00CF35AD" w:rsidRPr="00D67485" w14:paraId="02C03873" w14:textId="77777777" w:rsidTr="00D67485">
        <w:trPr>
          <w:trHeight w:val="397"/>
        </w:trPr>
        <w:tc>
          <w:tcPr>
            <w:tcW w:w="5524" w:type="dxa"/>
          </w:tcPr>
          <w:p w14:paraId="563F50D8" w14:textId="50E76906" w:rsidR="00201E2D" w:rsidRPr="00D67485" w:rsidRDefault="00201E2D" w:rsidP="00DE5764">
            <w:pPr>
              <w:rPr>
                <w:sz w:val="22"/>
                <w:szCs w:val="22"/>
              </w:rPr>
            </w:pPr>
            <w:r w:rsidRPr="00D67485">
              <w:rPr>
                <w:sz w:val="22"/>
                <w:szCs w:val="22"/>
              </w:rPr>
              <w:t>Sensory Integration</w:t>
            </w:r>
            <w:r w:rsidR="00CF35AD" w:rsidRPr="00D67485">
              <w:rPr>
                <w:sz w:val="22"/>
                <w:szCs w:val="22"/>
              </w:rPr>
              <w:t xml:space="preserve"> signs</w:t>
            </w:r>
          </w:p>
        </w:tc>
        <w:tc>
          <w:tcPr>
            <w:tcW w:w="1559" w:type="dxa"/>
          </w:tcPr>
          <w:p w14:paraId="560D5F3C" w14:textId="74B73250" w:rsidR="00201E2D" w:rsidRPr="00D67485" w:rsidRDefault="00201E2D" w:rsidP="00CF35AD">
            <w:pPr>
              <w:jc w:val="center"/>
              <w:rPr>
                <w:bCs/>
                <w:sz w:val="22"/>
                <w:szCs w:val="22"/>
              </w:rPr>
            </w:pPr>
            <w:r w:rsidRPr="00D67485">
              <w:rPr>
                <w:bCs/>
                <w:sz w:val="22"/>
                <w:szCs w:val="22"/>
              </w:rPr>
              <w:t>.</w:t>
            </w:r>
            <w:r w:rsidR="00717F25" w:rsidRPr="00D67485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559" w:type="dxa"/>
          </w:tcPr>
          <w:p w14:paraId="5A0B68CC" w14:textId="64D56D89" w:rsidR="00201E2D" w:rsidRPr="00D67485" w:rsidRDefault="00201E2D" w:rsidP="00CF35AD">
            <w:pPr>
              <w:jc w:val="center"/>
              <w:rPr>
                <w:bCs/>
                <w:sz w:val="22"/>
                <w:szCs w:val="22"/>
              </w:rPr>
            </w:pPr>
            <w:r w:rsidRPr="00D67485">
              <w:rPr>
                <w:bCs/>
                <w:sz w:val="22"/>
                <w:szCs w:val="22"/>
              </w:rPr>
              <w:t>.</w:t>
            </w:r>
            <w:r w:rsidR="00717F25" w:rsidRPr="00D67485">
              <w:rPr>
                <w:bCs/>
                <w:sz w:val="22"/>
                <w:szCs w:val="22"/>
              </w:rPr>
              <w:t>1</w:t>
            </w:r>
          </w:p>
        </w:tc>
      </w:tr>
      <w:tr w:rsidR="00CF35AD" w:rsidRPr="00D67485" w14:paraId="052A6F86" w14:textId="77777777" w:rsidTr="00D67485">
        <w:trPr>
          <w:trHeight w:val="397"/>
        </w:trPr>
        <w:tc>
          <w:tcPr>
            <w:tcW w:w="5524" w:type="dxa"/>
          </w:tcPr>
          <w:p w14:paraId="23423B31" w14:textId="58B4F9B3" w:rsidR="00201E2D" w:rsidRPr="00D67485" w:rsidRDefault="00201E2D" w:rsidP="00DE5764">
            <w:pPr>
              <w:rPr>
                <w:sz w:val="22"/>
                <w:szCs w:val="22"/>
              </w:rPr>
            </w:pPr>
            <w:r w:rsidRPr="00D67485">
              <w:rPr>
                <w:sz w:val="22"/>
                <w:szCs w:val="22"/>
              </w:rPr>
              <w:t>Motor Coordination</w:t>
            </w:r>
            <w:r w:rsidR="00CF35AD" w:rsidRPr="00D67485">
              <w:rPr>
                <w:sz w:val="22"/>
                <w:szCs w:val="22"/>
              </w:rPr>
              <w:t xml:space="preserve"> signs</w:t>
            </w:r>
          </w:p>
        </w:tc>
        <w:tc>
          <w:tcPr>
            <w:tcW w:w="1559" w:type="dxa"/>
          </w:tcPr>
          <w:p w14:paraId="3EE58F1C" w14:textId="5186B1A2" w:rsidR="00201E2D" w:rsidRPr="00D67485" w:rsidRDefault="00717F25" w:rsidP="00CF35AD">
            <w:pPr>
              <w:jc w:val="center"/>
              <w:rPr>
                <w:bCs/>
                <w:sz w:val="22"/>
                <w:szCs w:val="22"/>
              </w:rPr>
            </w:pPr>
            <w:r w:rsidRPr="00D67485">
              <w:rPr>
                <w:bCs/>
                <w:sz w:val="22"/>
                <w:szCs w:val="22"/>
              </w:rPr>
              <w:t>-.05</w:t>
            </w:r>
          </w:p>
        </w:tc>
        <w:tc>
          <w:tcPr>
            <w:tcW w:w="1559" w:type="dxa"/>
          </w:tcPr>
          <w:p w14:paraId="07AFFA85" w14:textId="61134632" w:rsidR="00201E2D" w:rsidRPr="00D67485" w:rsidRDefault="00201E2D" w:rsidP="00CF35AD">
            <w:pPr>
              <w:jc w:val="center"/>
              <w:rPr>
                <w:bCs/>
                <w:sz w:val="22"/>
                <w:szCs w:val="22"/>
              </w:rPr>
            </w:pPr>
            <w:r w:rsidRPr="00D67485">
              <w:rPr>
                <w:bCs/>
                <w:sz w:val="22"/>
                <w:szCs w:val="22"/>
              </w:rPr>
              <w:t>.</w:t>
            </w:r>
            <w:r w:rsidR="00717F25" w:rsidRPr="00D67485">
              <w:rPr>
                <w:bCs/>
                <w:sz w:val="22"/>
                <w:szCs w:val="22"/>
              </w:rPr>
              <w:t>74</w:t>
            </w:r>
          </w:p>
        </w:tc>
      </w:tr>
      <w:tr w:rsidR="00CF35AD" w:rsidRPr="00D67485" w14:paraId="59A39065" w14:textId="77777777" w:rsidTr="00D67485">
        <w:trPr>
          <w:trHeight w:val="397"/>
        </w:trPr>
        <w:tc>
          <w:tcPr>
            <w:tcW w:w="5524" w:type="dxa"/>
          </w:tcPr>
          <w:p w14:paraId="48052BCA" w14:textId="31DC1ECC" w:rsidR="00201E2D" w:rsidRPr="00D67485" w:rsidRDefault="00201E2D" w:rsidP="00DE5764">
            <w:pPr>
              <w:rPr>
                <w:sz w:val="22"/>
                <w:szCs w:val="22"/>
              </w:rPr>
            </w:pPr>
            <w:r w:rsidRPr="00D67485">
              <w:rPr>
                <w:sz w:val="22"/>
                <w:szCs w:val="22"/>
              </w:rPr>
              <w:t>Motor Sequencing</w:t>
            </w:r>
            <w:r w:rsidR="00CF35AD" w:rsidRPr="00D67485">
              <w:rPr>
                <w:sz w:val="22"/>
                <w:szCs w:val="22"/>
              </w:rPr>
              <w:t xml:space="preserve"> signs</w:t>
            </w:r>
            <w:r w:rsidRPr="00D6748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</w:tcPr>
          <w:p w14:paraId="096DC27F" w14:textId="271F5A32" w:rsidR="00201E2D" w:rsidRPr="00D67485" w:rsidRDefault="00201E2D" w:rsidP="00CF35AD">
            <w:pPr>
              <w:jc w:val="center"/>
              <w:rPr>
                <w:bCs/>
                <w:sz w:val="22"/>
                <w:szCs w:val="22"/>
              </w:rPr>
            </w:pPr>
            <w:r w:rsidRPr="00D67485">
              <w:rPr>
                <w:bCs/>
                <w:sz w:val="22"/>
                <w:szCs w:val="22"/>
              </w:rPr>
              <w:t>.0</w:t>
            </w:r>
            <w:r w:rsidR="00717F25" w:rsidRPr="00D67485">
              <w:rPr>
                <w:bCs/>
                <w:sz w:val="22"/>
                <w:szCs w:val="22"/>
              </w:rPr>
              <w:t>0</w:t>
            </w:r>
            <w:r w:rsidRPr="00D6748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14:paraId="52CB3B02" w14:textId="52AF7929" w:rsidR="00201E2D" w:rsidRPr="00D67485" w:rsidRDefault="00201E2D" w:rsidP="00CF35AD">
            <w:pPr>
              <w:jc w:val="center"/>
              <w:rPr>
                <w:bCs/>
                <w:sz w:val="22"/>
                <w:szCs w:val="22"/>
              </w:rPr>
            </w:pPr>
            <w:r w:rsidRPr="00D67485">
              <w:rPr>
                <w:bCs/>
                <w:sz w:val="22"/>
                <w:szCs w:val="22"/>
              </w:rPr>
              <w:t>.</w:t>
            </w:r>
            <w:r w:rsidR="00717F25" w:rsidRPr="00D67485">
              <w:rPr>
                <w:bCs/>
                <w:sz w:val="22"/>
                <w:szCs w:val="22"/>
              </w:rPr>
              <w:t>97</w:t>
            </w:r>
          </w:p>
        </w:tc>
      </w:tr>
      <w:tr w:rsidR="00CF35AD" w:rsidRPr="00D67485" w14:paraId="6954B49D" w14:textId="77777777" w:rsidTr="00D67485">
        <w:trPr>
          <w:trHeight w:val="397"/>
        </w:trPr>
        <w:tc>
          <w:tcPr>
            <w:tcW w:w="5524" w:type="dxa"/>
          </w:tcPr>
          <w:p w14:paraId="72E75645" w14:textId="6496389F" w:rsidR="00201E2D" w:rsidRPr="00D67485" w:rsidRDefault="00201E2D" w:rsidP="00DE5764">
            <w:pPr>
              <w:rPr>
                <w:sz w:val="22"/>
                <w:szCs w:val="22"/>
              </w:rPr>
            </w:pPr>
            <w:r w:rsidRPr="00D67485">
              <w:rPr>
                <w:sz w:val="22"/>
                <w:szCs w:val="22"/>
              </w:rPr>
              <w:t>Total</w:t>
            </w:r>
            <w:r w:rsidR="00CF35AD" w:rsidRPr="00D67485">
              <w:rPr>
                <w:sz w:val="22"/>
                <w:szCs w:val="22"/>
              </w:rPr>
              <w:t xml:space="preserve"> signs</w:t>
            </w:r>
          </w:p>
        </w:tc>
        <w:tc>
          <w:tcPr>
            <w:tcW w:w="1559" w:type="dxa"/>
          </w:tcPr>
          <w:p w14:paraId="2FE57E44" w14:textId="7E5A9816" w:rsidR="00201E2D" w:rsidRPr="00D67485" w:rsidRDefault="00201E2D" w:rsidP="00CF35AD">
            <w:pPr>
              <w:jc w:val="center"/>
              <w:rPr>
                <w:bCs/>
                <w:sz w:val="22"/>
                <w:szCs w:val="22"/>
              </w:rPr>
            </w:pPr>
            <w:r w:rsidRPr="00D67485">
              <w:rPr>
                <w:bCs/>
                <w:sz w:val="22"/>
                <w:szCs w:val="22"/>
              </w:rPr>
              <w:t>.0</w:t>
            </w:r>
            <w:r w:rsidR="00717F25" w:rsidRPr="00D6748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14:paraId="1229D172" w14:textId="59316001" w:rsidR="00201E2D" w:rsidRPr="00D67485" w:rsidRDefault="00201E2D" w:rsidP="00CF35AD">
            <w:pPr>
              <w:jc w:val="center"/>
              <w:rPr>
                <w:bCs/>
                <w:sz w:val="22"/>
                <w:szCs w:val="22"/>
              </w:rPr>
            </w:pPr>
            <w:r w:rsidRPr="00D67485">
              <w:rPr>
                <w:bCs/>
                <w:sz w:val="22"/>
                <w:szCs w:val="22"/>
              </w:rPr>
              <w:t>.7</w:t>
            </w:r>
            <w:r w:rsidR="00717F25" w:rsidRPr="00D67485">
              <w:rPr>
                <w:bCs/>
                <w:sz w:val="22"/>
                <w:szCs w:val="22"/>
              </w:rPr>
              <w:t>9</w:t>
            </w:r>
          </w:p>
        </w:tc>
      </w:tr>
    </w:tbl>
    <w:p w14:paraId="30A8A080" w14:textId="77777777" w:rsidR="00C24FE7" w:rsidRDefault="00C24FE7" w:rsidP="00DA18F5">
      <w:pPr>
        <w:rPr>
          <w:b/>
          <w:sz w:val="24"/>
          <w:szCs w:val="24"/>
        </w:rPr>
      </w:pPr>
    </w:p>
    <w:p w14:paraId="48F9A8B5" w14:textId="77777777" w:rsidR="00C24FE7" w:rsidRDefault="00C24FE7" w:rsidP="00DA18F5">
      <w:pPr>
        <w:rPr>
          <w:b/>
          <w:sz w:val="24"/>
          <w:szCs w:val="24"/>
        </w:rPr>
      </w:pPr>
    </w:p>
    <w:sectPr w:rsidR="00C24FE7" w:rsidSect="008D5BAA">
      <w:footerReference w:type="default" r:id="rId8"/>
      <w:pgSz w:w="11906" w:h="16838"/>
      <w:pgMar w:top="1247" w:right="1077" w:bottom="1247" w:left="1077" w:header="0" w:footer="709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9FC03" w14:textId="77777777" w:rsidR="000D28D4" w:rsidRDefault="000D28D4">
      <w:r>
        <w:separator/>
      </w:r>
    </w:p>
  </w:endnote>
  <w:endnote w:type="continuationSeparator" w:id="0">
    <w:p w14:paraId="63BF0AF1" w14:textId="77777777" w:rsidR="000D28D4" w:rsidRDefault="000D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F5B31" w14:textId="6C560CC8" w:rsidR="00DE5764" w:rsidRDefault="00DE5764">
    <w:pPr>
      <w:pStyle w:val="Pidipagin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B1148" w14:textId="77777777" w:rsidR="000D28D4" w:rsidRDefault="000D28D4">
      <w:r>
        <w:separator/>
      </w:r>
    </w:p>
  </w:footnote>
  <w:footnote w:type="continuationSeparator" w:id="0">
    <w:p w14:paraId="00DC1A12" w14:textId="77777777" w:rsidR="000D28D4" w:rsidRDefault="000D2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32F32"/>
    <w:multiLevelType w:val="multilevel"/>
    <w:tmpl w:val="8242898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ED36700"/>
    <w:multiLevelType w:val="hybridMultilevel"/>
    <w:tmpl w:val="590E00B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21BF5"/>
    <w:multiLevelType w:val="multilevel"/>
    <w:tmpl w:val="81FE5C8E"/>
    <w:lvl w:ilvl="0">
      <w:start w:val="1"/>
      <w:numFmt w:val="lowerLetter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3A2DC4"/>
    <w:multiLevelType w:val="hybridMultilevel"/>
    <w:tmpl w:val="965AA0D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95988"/>
    <w:multiLevelType w:val="hybridMultilevel"/>
    <w:tmpl w:val="72E8B63E"/>
    <w:lvl w:ilvl="0" w:tplc="B706D14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C22"/>
    <w:rsid w:val="00005CD4"/>
    <w:rsid w:val="00014D47"/>
    <w:rsid w:val="00015B50"/>
    <w:rsid w:val="0004184E"/>
    <w:rsid w:val="000473C4"/>
    <w:rsid w:val="00047A0B"/>
    <w:rsid w:val="00056AB6"/>
    <w:rsid w:val="00096CD0"/>
    <w:rsid w:val="000B07FF"/>
    <w:rsid w:val="000D2797"/>
    <w:rsid w:val="000D28D4"/>
    <w:rsid w:val="000D6295"/>
    <w:rsid w:val="000E3878"/>
    <w:rsid w:val="000E40D5"/>
    <w:rsid w:val="000F3824"/>
    <w:rsid w:val="00102977"/>
    <w:rsid w:val="001033BF"/>
    <w:rsid w:val="00103DD9"/>
    <w:rsid w:val="00106113"/>
    <w:rsid w:val="00114268"/>
    <w:rsid w:val="00140C22"/>
    <w:rsid w:val="001527AC"/>
    <w:rsid w:val="00176F2B"/>
    <w:rsid w:val="00181A74"/>
    <w:rsid w:val="00190E8A"/>
    <w:rsid w:val="001B6DA9"/>
    <w:rsid w:val="001D2C4C"/>
    <w:rsid w:val="001D3901"/>
    <w:rsid w:val="001E3140"/>
    <w:rsid w:val="001F783F"/>
    <w:rsid w:val="00201E2D"/>
    <w:rsid w:val="0022256C"/>
    <w:rsid w:val="00237378"/>
    <w:rsid w:val="00243776"/>
    <w:rsid w:val="0024671E"/>
    <w:rsid w:val="00246A63"/>
    <w:rsid w:val="00250E40"/>
    <w:rsid w:val="00252236"/>
    <w:rsid w:val="0025266C"/>
    <w:rsid w:val="00257149"/>
    <w:rsid w:val="00260108"/>
    <w:rsid w:val="002659BC"/>
    <w:rsid w:val="00266C74"/>
    <w:rsid w:val="00277E7E"/>
    <w:rsid w:val="0028167B"/>
    <w:rsid w:val="002842FC"/>
    <w:rsid w:val="002866A4"/>
    <w:rsid w:val="00294EE9"/>
    <w:rsid w:val="002B20B5"/>
    <w:rsid w:val="002C35E9"/>
    <w:rsid w:val="002E1082"/>
    <w:rsid w:val="002E17C3"/>
    <w:rsid w:val="002E7F1B"/>
    <w:rsid w:val="003000A3"/>
    <w:rsid w:val="003043B2"/>
    <w:rsid w:val="003110D2"/>
    <w:rsid w:val="003210FC"/>
    <w:rsid w:val="00333F0C"/>
    <w:rsid w:val="00341834"/>
    <w:rsid w:val="00344635"/>
    <w:rsid w:val="0036773A"/>
    <w:rsid w:val="0037132A"/>
    <w:rsid w:val="003876C9"/>
    <w:rsid w:val="00394C53"/>
    <w:rsid w:val="003A03E7"/>
    <w:rsid w:val="003D01F2"/>
    <w:rsid w:val="003D2E05"/>
    <w:rsid w:val="003D5B37"/>
    <w:rsid w:val="003E6789"/>
    <w:rsid w:val="003F27D6"/>
    <w:rsid w:val="003F38B3"/>
    <w:rsid w:val="00407697"/>
    <w:rsid w:val="00415AF0"/>
    <w:rsid w:val="00427328"/>
    <w:rsid w:val="00434B82"/>
    <w:rsid w:val="00435CAD"/>
    <w:rsid w:val="004460D8"/>
    <w:rsid w:val="00447CCB"/>
    <w:rsid w:val="004565B2"/>
    <w:rsid w:val="004610A6"/>
    <w:rsid w:val="0046447B"/>
    <w:rsid w:val="004661D2"/>
    <w:rsid w:val="00473041"/>
    <w:rsid w:val="004849B9"/>
    <w:rsid w:val="004A39EE"/>
    <w:rsid w:val="004A4AA0"/>
    <w:rsid w:val="00514A5B"/>
    <w:rsid w:val="00514BA4"/>
    <w:rsid w:val="00523D35"/>
    <w:rsid w:val="0053396E"/>
    <w:rsid w:val="00533C61"/>
    <w:rsid w:val="00543C92"/>
    <w:rsid w:val="0056332E"/>
    <w:rsid w:val="005802A3"/>
    <w:rsid w:val="00580EB8"/>
    <w:rsid w:val="00582290"/>
    <w:rsid w:val="005D0F74"/>
    <w:rsid w:val="005D4A85"/>
    <w:rsid w:val="005E6C33"/>
    <w:rsid w:val="005F0BB1"/>
    <w:rsid w:val="00607DC2"/>
    <w:rsid w:val="0061122D"/>
    <w:rsid w:val="00630511"/>
    <w:rsid w:val="006349F0"/>
    <w:rsid w:val="006529E4"/>
    <w:rsid w:val="00661AB6"/>
    <w:rsid w:val="00675E50"/>
    <w:rsid w:val="00681086"/>
    <w:rsid w:val="00682D7B"/>
    <w:rsid w:val="00690A5F"/>
    <w:rsid w:val="00691E85"/>
    <w:rsid w:val="006D1347"/>
    <w:rsid w:val="006D13A4"/>
    <w:rsid w:val="006E0999"/>
    <w:rsid w:val="006E2526"/>
    <w:rsid w:val="006F6DF2"/>
    <w:rsid w:val="00705946"/>
    <w:rsid w:val="0070615E"/>
    <w:rsid w:val="0070687C"/>
    <w:rsid w:val="00717F25"/>
    <w:rsid w:val="00732F42"/>
    <w:rsid w:val="00771986"/>
    <w:rsid w:val="007A0B7A"/>
    <w:rsid w:val="00810042"/>
    <w:rsid w:val="008210D4"/>
    <w:rsid w:val="00825039"/>
    <w:rsid w:val="00825BFC"/>
    <w:rsid w:val="0083265D"/>
    <w:rsid w:val="00834308"/>
    <w:rsid w:val="00857708"/>
    <w:rsid w:val="0086123C"/>
    <w:rsid w:val="00873DDA"/>
    <w:rsid w:val="00875D10"/>
    <w:rsid w:val="008A1EAE"/>
    <w:rsid w:val="008A3D13"/>
    <w:rsid w:val="008B13A8"/>
    <w:rsid w:val="008B2CCA"/>
    <w:rsid w:val="008D5BAA"/>
    <w:rsid w:val="008E7E47"/>
    <w:rsid w:val="008F5FE6"/>
    <w:rsid w:val="00912A87"/>
    <w:rsid w:val="00912C53"/>
    <w:rsid w:val="0092529A"/>
    <w:rsid w:val="00936550"/>
    <w:rsid w:val="00937200"/>
    <w:rsid w:val="009420DA"/>
    <w:rsid w:val="0094342F"/>
    <w:rsid w:val="00943FB8"/>
    <w:rsid w:val="009624EE"/>
    <w:rsid w:val="009644AD"/>
    <w:rsid w:val="0097171D"/>
    <w:rsid w:val="00976B58"/>
    <w:rsid w:val="00996006"/>
    <w:rsid w:val="00996054"/>
    <w:rsid w:val="009D17F6"/>
    <w:rsid w:val="009F15FC"/>
    <w:rsid w:val="009F789C"/>
    <w:rsid w:val="00A2471F"/>
    <w:rsid w:val="00A24E30"/>
    <w:rsid w:val="00A5141C"/>
    <w:rsid w:val="00A66F7A"/>
    <w:rsid w:val="00A67F14"/>
    <w:rsid w:val="00A74F64"/>
    <w:rsid w:val="00A81E31"/>
    <w:rsid w:val="00AC1D5F"/>
    <w:rsid w:val="00AC559B"/>
    <w:rsid w:val="00AD72A5"/>
    <w:rsid w:val="00AF53FA"/>
    <w:rsid w:val="00B045DE"/>
    <w:rsid w:val="00B11E9A"/>
    <w:rsid w:val="00B227A3"/>
    <w:rsid w:val="00B409E9"/>
    <w:rsid w:val="00B4339E"/>
    <w:rsid w:val="00B50933"/>
    <w:rsid w:val="00B64CA0"/>
    <w:rsid w:val="00B8464A"/>
    <w:rsid w:val="00BA73A5"/>
    <w:rsid w:val="00BC3D38"/>
    <w:rsid w:val="00BF5E76"/>
    <w:rsid w:val="00C04382"/>
    <w:rsid w:val="00C24FE7"/>
    <w:rsid w:val="00C26869"/>
    <w:rsid w:val="00C26F13"/>
    <w:rsid w:val="00C31F44"/>
    <w:rsid w:val="00C422B8"/>
    <w:rsid w:val="00C55A3C"/>
    <w:rsid w:val="00C70D60"/>
    <w:rsid w:val="00C72BD0"/>
    <w:rsid w:val="00C77728"/>
    <w:rsid w:val="00C83D0D"/>
    <w:rsid w:val="00CD17A3"/>
    <w:rsid w:val="00CD2D05"/>
    <w:rsid w:val="00CF35AD"/>
    <w:rsid w:val="00D20F54"/>
    <w:rsid w:val="00D55728"/>
    <w:rsid w:val="00D57D46"/>
    <w:rsid w:val="00D67485"/>
    <w:rsid w:val="00D70016"/>
    <w:rsid w:val="00D7759B"/>
    <w:rsid w:val="00DA18F5"/>
    <w:rsid w:val="00DB1A02"/>
    <w:rsid w:val="00DC30A2"/>
    <w:rsid w:val="00DE149B"/>
    <w:rsid w:val="00DE5764"/>
    <w:rsid w:val="00DF7827"/>
    <w:rsid w:val="00E11BCB"/>
    <w:rsid w:val="00E30B70"/>
    <w:rsid w:val="00E3255F"/>
    <w:rsid w:val="00E41095"/>
    <w:rsid w:val="00E428A6"/>
    <w:rsid w:val="00E44AE8"/>
    <w:rsid w:val="00E46F25"/>
    <w:rsid w:val="00E62B76"/>
    <w:rsid w:val="00E63FEB"/>
    <w:rsid w:val="00E646BA"/>
    <w:rsid w:val="00E74804"/>
    <w:rsid w:val="00E75355"/>
    <w:rsid w:val="00E77152"/>
    <w:rsid w:val="00E82261"/>
    <w:rsid w:val="00E841D2"/>
    <w:rsid w:val="00EB7187"/>
    <w:rsid w:val="00ED212E"/>
    <w:rsid w:val="00EE2E4C"/>
    <w:rsid w:val="00EF4F28"/>
    <w:rsid w:val="00F009F3"/>
    <w:rsid w:val="00F02FB7"/>
    <w:rsid w:val="00F32034"/>
    <w:rsid w:val="00F360C3"/>
    <w:rsid w:val="00F633D4"/>
    <w:rsid w:val="00FA02A8"/>
    <w:rsid w:val="00FA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927C06"/>
  <w15:docId w15:val="{A4958A22-6585-724C-9EEA-1C16C884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879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olo11">
    <w:name w:val="Titolo 11"/>
    <w:basedOn w:val="Titolo1"/>
  </w:style>
  <w:style w:type="paragraph" w:customStyle="1" w:styleId="Titolo21">
    <w:name w:val="Titolo 21"/>
    <w:basedOn w:val="Titolo1"/>
  </w:style>
  <w:style w:type="paragraph" w:customStyle="1" w:styleId="Titolo31">
    <w:name w:val="Titolo 31"/>
    <w:basedOn w:val="Titolo1"/>
  </w:style>
  <w:style w:type="character" w:customStyle="1" w:styleId="FooterChar">
    <w:name w:val="Footer Char"/>
    <w:basedOn w:val="DefaultParagraphFont"/>
    <w:link w:val="Pidipagina1"/>
    <w:uiPriority w:val="99"/>
    <w:qFormat/>
    <w:rsid w:val="002E170A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qFormat/>
    <w:rsid w:val="002E170A"/>
  </w:style>
  <w:style w:type="character" w:customStyle="1" w:styleId="ListLabel1">
    <w:name w:val="ListLabel 1"/>
    <w:qFormat/>
    <w:rPr>
      <w:sz w:val="24"/>
    </w:rPr>
  </w:style>
  <w:style w:type="character" w:customStyle="1" w:styleId="ListLabel2">
    <w:name w:val="ListLabel 2"/>
    <w:qFormat/>
    <w:rPr>
      <w:rFonts w:eastAsia="Times New Roman" w:cs="Times New Roman"/>
      <w:sz w:val="24"/>
    </w:rPr>
  </w:style>
  <w:style w:type="paragraph" w:customStyle="1" w:styleId="Titolo1">
    <w:name w:val="Titolo1"/>
    <w:basedOn w:val="Normal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"/>
    <w:pPr>
      <w:spacing w:after="140" w:line="288" w:lineRule="auto"/>
    </w:pPr>
  </w:style>
  <w:style w:type="paragraph" w:customStyle="1" w:styleId="Elenco1">
    <w:name w:val="Elenco1"/>
    <w:basedOn w:val="Corpodeltesto"/>
    <w:rPr>
      <w:rFonts w:cs="Mangal"/>
    </w:rPr>
  </w:style>
  <w:style w:type="paragraph" w:customStyle="1" w:styleId="Didascalia1">
    <w:name w:val="Didascali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"/>
    <w:qFormat/>
    <w:pPr>
      <w:suppressLineNumbers/>
    </w:pPr>
    <w:rPr>
      <w:rFonts w:cs="Mangal"/>
    </w:rPr>
  </w:style>
  <w:style w:type="paragraph" w:customStyle="1" w:styleId="Contenutotabella">
    <w:name w:val="Contenuto tabella"/>
    <w:basedOn w:val="Normal"/>
    <w:qFormat/>
    <w:rsid w:val="00AC3998"/>
    <w:pPr>
      <w:suppressLineNumbers/>
    </w:pPr>
  </w:style>
  <w:style w:type="paragraph" w:customStyle="1" w:styleId="Pidipagina1">
    <w:name w:val="Piè di pagina1"/>
    <w:basedOn w:val="Normal"/>
    <w:link w:val="FooterChar"/>
    <w:uiPriority w:val="99"/>
    <w:unhideWhenUsed/>
    <w:rsid w:val="002E170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C5640"/>
    <w:pPr>
      <w:ind w:left="720"/>
      <w:contextualSpacing/>
    </w:pPr>
  </w:style>
  <w:style w:type="paragraph" w:customStyle="1" w:styleId="Contenutocornice">
    <w:name w:val="Contenuto cornice"/>
    <w:basedOn w:val="Normal"/>
    <w:qFormat/>
  </w:style>
  <w:style w:type="paragraph" w:customStyle="1" w:styleId="Quotations">
    <w:name w:val="Quotations"/>
    <w:basedOn w:val="Normal"/>
    <w:qFormat/>
  </w:style>
  <w:style w:type="paragraph" w:customStyle="1" w:styleId="Titoloprincipale">
    <w:name w:val="Titolo principale"/>
    <w:basedOn w:val="Titolo1"/>
  </w:style>
  <w:style w:type="paragraph" w:customStyle="1" w:styleId="Sottotitolo1">
    <w:name w:val="Sottotitolo1"/>
    <w:basedOn w:val="Titolo1"/>
  </w:style>
  <w:style w:type="paragraph" w:styleId="BalloonText">
    <w:name w:val="Balloon Text"/>
    <w:basedOn w:val="Normal"/>
    <w:link w:val="BalloonTextChar"/>
    <w:uiPriority w:val="99"/>
    <w:semiHidden/>
    <w:unhideWhenUsed/>
    <w:rsid w:val="001D3901"/>
    <w:rPr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901"/>
    <w:rPr>
      <w:rFonts w:ascii="Times New Roman" w:eastAsia="Times New Roman" w:hAnsi="Times New Roman" w:cs="Times New Roman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705946"/>
    <w:rPr>
      <w:color w:val="808080"/>
    </w:rPr>
  </w:style>
  <w:style w:type="paragraph" w:customStyle="1" w:styleId="TableContents">
    <w:name w:val="Table Contents"/>
    <w:basedOn w:val="Normal"/>
    <w:rsid w:val="000D6295"/>
    <w:pPr>
      <w:suppressLineNumbers/>
    </w:pPr>
  </w:style>
  <w:style w:type="paragraph" w:styleId="Revision">
    <w:name w:val="Revision"/>
    <w:hidden/>
    <w:uiPriority w:val="99"/>
    <w:semiHidden/>
    <w:rsid w:val="009D17F6"/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633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32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32E"/>
    <w:rPr>
      <w:rFonts w:ascii="Times New Roman" w:eastAsia="Times New Roman" w:hAnsi="Times New Roman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3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32E"/>
    <w:rPr>
      <w:rFonts w:ascii="Times New Roman" w:eastAsia="Times New Roman" w:hAnsi="Times New Roman" w:cs="Times New Roman"/>
      <w:b/>
      <w:bCs/>
      <w:szCs w:val="20"/>
    </w:rPr>
  </w:style>
  <w:style w:type="paragraph" w:styleId="Header">
    <w:name w:val="header"/>
    <w:basedOn w:val="Normal"/>
    <w:link w:val="HeaderChar"/>
    <w:uiPriority w:val="99"/>
    <w:unhideWhenUsed/>
    <w:rsid w:val="00E410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095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1"/>
    <w:uiPriority w:val="99"/>
    <w:unhideWhenUsed/>
    <w:rsid w:val="00E41095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E41095"/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2B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C4263-AA06-E94A-84D2-E6DF13A0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1166</Words>
  <Characters>6649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Dazzan, Paola</cp:lastModifiedBy>
  <cp:revision>7</cp:revision>
  <dcterms:created xsi:type="dcterms:W3CDTF">2020-05-04T14:29:00Z</dcterms:created>
  <dcterms:modified xsi:type="dcterms:W3CDTF">2020-05-11T16:29:00Z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