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6AFB4" w14:textId="77777777" w:rsidR="002012FC" w:rsidRPr="008B1218" w:rsidRDefault="002012FC" w:rsidP="002012FC">
      <w:pPr>
        <w:pStyle w:val="Subtitle"/>
        <w:bidi w:val="0"/>
        <w:rPr>
          <w:rFonts w:asciiTheme="majorBidi" w:hAnsiTheme="majorBidi" w:cstheme="majorBidi"/>
          <w:b/>
          <w:bCs/>
          <w:i/>
          <w:iCs/>
          <w:color w:val="404040" w:themeColor="text1" w:themeTint="BF"/>
          <w:sz w:val="24"/>
          <w:szCs w:val="24"/>
        </w:rPr>
      </w:pPr>
      <w:r w:rsidRPr="008B1218">
        <w:rPr>
          <w:rStyle w:val="SubtleEmphasis"/>
          <w:rFonts w:asciiTheme="majorBidi" w:hAnsiTheme="majorBidi"/>
          <w:b/>
          <w:bCs/>
          <w:sz w:val="24"/>
          <w:szCs w:val="24"/>
        </w:rPr>
        <w:t>Association Between Oral Health and Frailt</w:t>
      </w:r>
      <w:r>
        <w:rPr>
          <w:rStyle w:val="SubtleEmphasis"/>
          <w:rFonts w:asciiTheme="majorBidi" w:hAnsiTheme="majorBidi"/>
          <w:b/>
          <w:bCs/>
          <w:sz w:val="24"/>
          <w:szCs w:val="24"/>
        </w:rPr>
        <w:t xml:space="preserve">y Among American Older Adults. </w:t>
      </w:r>
    </w:p>
    <w:p w14:paraId="45EF6C99" w14:textId="77777777" w:rsidR="002012FC" w:rsidRPr="008B1218" w:rsidRDefault="002012FC" w:rsidP="002012FC"/>
    <w:p w14:paraId="0D260C1E" w14:textId="77777777" w:rsidR="002012FC" w:rsidRPr="008B1218" w:rsidRDefault="002012FC" w:rsidP="002012FC">
      <w:pPr>
        <w:jc w:val="center"/>
      </w:pPr>
      <w:r w:rsidRPr="008B1218">
        <w:t>Faisal F. Hakeem, MSc</w:t>
      </w:r>
      <w:r>
        <w:rPr>
          <w:vertAlign w:val="superscript"/>
        </w:rPr>
        <w:t>a</w:t>
      </w:r>
      <w:r w:rsidRPr="008B1218">
        <w:rPr>
          <w:vertAlign w:val="superscript"/>
        </w:rPr>
        <w:t>,</w:t>
      </w:r>
      <w:r>
        <w:rPr>
          <w:vertAlign w:val="superscript"/>
        </w:rPr>
        <w:t>b</w:t>
      </w:r>
      <w:r w:rsidRPr="008B1218">
        <w:t>, Eduardo Bernabé, PhD</w:t>
      </w:r>
      <w:r>
        <w:rPr>
          <w:vertAlign w:val="superscript"/>
        </w:rPr>
        <w:t>a</w:t>
      </w:r>
      <w:r w:rsidRPr="008B1218">
        <w:t xml:space="preserve"> and Wael Sabbah, PhD</w:t>
      </w:r>
      <w:r>
        <w:rPr>
          <w:vertAlign w:val="superscript"/>
        </w:rPr>
        <w:t>a</w:t>
      </w:r>
    </w:p>
    <w:p w14:paraId="07AB88E8" w14:textId="77777777" w:rsidR="002012FC" w:rsidRPr="008B1218" w:rsidRDefault="002012FC" w:rsidP="002012FC">
      <w:pPr>
        <w:pStyle w:val="Default"/>
        <w:spacing w:line="480" w:lineRule="auto"/>
        <w:rPr>
          <w:rFonts w:ascii="Times New Roman" w:hAnsi="Times New Roman" w:cs="Times New Roman"/>
          <w:color w:val="auto"/>
        </w:rPr>
      </w:pPr>
    </w:p>
    <w:p w14:paraId="5AAFF3FC" w14:textId="77777777" w:rsidR="002012FC" w:rsidRPr="008B1218" w:rsidRDefault="002012FC" w:rsidP="002012FC">
      <w:r>
        <w:rPr>
          <w:vertAlign w:val="superscript"/>
        </w:rPr>
        <w:t>a</w:t>
      </w:r>
      <w:r w:rsidRPr="008B1218">
        <w:rPr>
          <w:rFonts w:ascii="ff3" w:hAnsi="ff3"/>
        </w:rPr>
        <w:t xml:space="preserve"> </w:t>
      </w:r>
      <w:r w:rsidRPr="008B1218">
        <w:t>Faculty of Dentistry, Oral &amp; Craniofacial Sciences, King’s College London, London, United Kingdom</w:t>
      </w:r>
    </w:p>
    <w:p w14:paraId="2B30043B" w14:textId="77777777" w:rsidR="002012FC" w:rsidRDefault="002012FC" w:rsidP="002012FC">
      <w:pPr>
        <w:pStyle w:val="tiny-space-below"/>
        <w:shd w:val="clear" w:color="auto" w:fill="FFFFFF"/>
        <w:spacing w:after="105" w:afterAutospacing="0"/>
        <w:rPr>
          <w:rFonts w:eastAsia="MS Mincho"/>
          <w:lang w:eastAsia="ja-JP"/>
        </w:rPr>
      </w:pPr>
      <w:r>
        <w:rPr>
          <w:rFonts w:eastAsia="MS Mincho"/>
          <w:vertAlign w:val="superscript"/>
          <w:lang w:eastAsia="ja-JP"/>
        </w:rPr>
        <w:t>b</w:t>
      </w:r>
      <w:r w:rsidRPr="008B1218">
        <w:rPr>
          <w:rFonts w:eastAsia="MS Mincho"/>
          <w:lang w:eastAsia="ja-JP"/>
        </w:rPr>
        <w:t xml:space="preserve"> College of Dentistry, Department of Preventive Dental Sciences, Taibah University Dental College &amp; Hospital, Madinah, Saudi Arabia</w:t>
      </w:r>
    </w:p>
    <w:p w14:paraId="6C1F24AC" w14:textId="77777777" w:rsidR="002012FC" w:rsidRDefault="002012FC" w:rsidP="002012FC">
      <w:pPr>
        <w:pStyle w:val="tiny-space-below"/>
        <w:shd w:val="clear" w:color="auto" w:fill="FFFFFF"/>
        <w:spacing w:after="105" w:afterAutospacing="0"/>
        <w:rPr>
          <w:rFonts w:eastAsia="MS Mincho"/>
          <w:lang w:eastAsia="ja-JP"/>
        </w:rPr>
      </w:pPr>
    </w:p>
    <w:p w14:paraId="01CEC124" w14:textId="77777777" w:rsidR="002012FC" w:rsidRPr="008B1218" w:rsidRDefault="002012FC" w:rsidP="002012FC">
      <w:pPr>
        <w:pStyle w:val="Default"/>
        <w:rPr>
          <w:rFonts w:ascii="Times New Roman" w:hAnsi="Times New Roman" w:cs="Times New Roman"/>
          <w:b/>
          <w:bCs/>
          <w:color w:val="auto"/>
        </w:rPr>
      </w:pPr>
      <w:r w:rsidRPr="008B1218">
        <w:rPr>
          <w:rFonts w:ascii="Times New Roman" w:hAnsi="Times New Roman" w:cs="Times New Roman"/>
          <w:b/>
          <w:bCs/>
          <w:color w:val="auto"/>
        </w:rPr>
        <w:t xml:space="preserve">Corresponding Author: </w:t>
      </w:r>
    </w:p>
    <w:p w14:paraId="73D42FDB" w14:textId="77777777" w:rsidR="002012FC" w:rsidRPr="008B1218" w:rsidRDefault="002012FC" w:rsidP="002012FC">
      <w:pPr>
        <w:pStyle w:val="CM7"/>
        <w:spacing w:after="0"/>
        <w:contextualSpacing/>
        <w:rPr>
          <w:rFonts w:ascii="Times New Roman" w:hAnsi="Times New Roman"/>
        </w:rPr>
      </w:pPr>
      <w:r w:rsidRPr="008B1218">
        <w:rPr>
          <w:rFonts w:ascii="Times New Roman" w:hAnsi="Times New Roman"/>
        </w:rPr>
        <w:t>Faisal F. Hakeem</w:t>
      </w:r>
    </w:p>
    <w:p w14:paraId="2E3CE417" w14:textId="77777777" w:rsidR="002012FC" w:rsidRPr="008B1218" w:rsidRDefault="002012FC" w:rsidP="002012FC">
      <w:r w:rsidRPr="008B1218">
        <w:t>Address: Faculty of Dentistry, Oral &amp; Craniofacial Sciences, King’s College London, Denmark Hill Campus, Bessemer Road, London, SE5 9RS, UK</w:t>
      </w:r>
    </w:p>
    <w:p w14:paraId="710716C0" w14:textId="77777777" w:rsidR="002012FC" w:rsidRPr="008B1218" w:rsidRDefault="002012FC" w:rsidP="002012FC">
      <w:pPr>
        <w:pStyle w:val="CM7"/>
        <w:spacing w:after="0"/>
        <w:contextualSpacing/>
        <w:rPr>
          <w:rFonts w:ascii="Times New Roman" w:hAnsi="Times New Roman"/>
        </w:rPr>
      </w:pPr>
      <w:r w:rsidRPr="008B1218">
        <w:rPr>
          <w:rFonts w:ascii="Times New Roman" w:hAnsi="Times New Roman"/>
        </w:rPr>
        <w:t xml:space="preserve">Phone: +447455504232 </w:t>
      </w:r>
    </w:p>
    <w:p w14:paraId="3800C022" w14:textId="77777777" w:rsidR="002012FC" w:rsidRDefault="002012FC" w:rsidP="002012FC">
      <w:pPr>
        <w:pStyle w:val="CM7"/>
        <w:spacing w:after="0"/>
        <w:contextualSpacing/>
        <w:rPr>
          <w:rStyle w:val="Hyperlink"/>
          <w:rFonts w:ascii="Times New Roman" w:hAnsi="Times New Roman"/>
        </w:rPr>
      </w:pPr>
      <w:r w:rsidRPr="008B1218">
        <w:rPr>
          <w:rFonts w:ascii="Times New Roman" w:hAnsi="Times New Roman"/>
        </w:rPr>
        <w:t xml:space="preserve">Email address: </w:t>
      </w:r>
      <w:hyperlink r:id="rId11" w:history="1">
        <w:r w:rsidRPr="008B1218">
          <w:rPr>
            <w:rStyle w:val="Hyperlink"/>
            <w:rFonts w:ascii="Times New Roman" w:hAnsi="Times New Roman"/>
          </w:rPr>
          <w:t>Faisal.Hakeem@kcl.ac.uk</w:t>
        </w:r>
      </w:hyperlink>
    </w:p>
    <w:p w14:paraId="0FD79FE9" w14:textId="77777777" w:rsidR="002012FC" w:rsidRPr="00130C4E" w:rsidRDefault="002012FC" w:rsidP="002012FC">
      <w:pPr>
        <w:pStyle w:val="Default"/>
      </w:pPr>
    </w:p>
    <w:p w14:paraId="5E1E7307" w14:textId="77777777" w:rsidR="002012FC" w:rsidRDefault="002012FC" w:rsidP="002012FC">
      <w:pPr>
        <w:pStyle w:val="Default"/>
        <w:spacing w:line="480" w:lineRule="auto"/>
        <w:rPr>
          <w:rFonts w:ascii="Times New Roman" w:hAnsi="Times New Roman" w:cs="Times New Roman"/>
          <w:color w:val="auto"/>
        </w:rPr>
      </w:pPr>
      <w:r w:rsidRPr="00A740F4">
        <w:rPr>
          <w:rFonts w:ascii="Times New Roman" w:hAnsi="Times New Roman" w:cs="Times New Roman"/>
          <w:b/>
          <w:bCs/>
          <w:color w:val="auto"/>
        </w:rPr>
        <w:t>Running Title:</w:t>
      </w:r>
      <w:r>
        <w:rPr>
          <w:rFonts w:ascii="Times New Roman" w:hAnsi="Times New Roman" w:cs="Times New Roman"/>
          <w:color w:val="auto"/>
        </w:rPr>
        <w:t xml:space="preserve"> </w:t>
      </w:r>
      <w:r w:rsidRPr="00A740F4">
        <w:rPr>
          <w:rFonts w:ascii="Times New Roman" w:hAnsi="Times New Roman" w:cs="Times New Roman"/>
          <w:i/>
          <w:iCs/>
          <w:color w:val="auto"/>
        </w:rPr>
        <w:t>Association between oral health and frailty</w:t>
      </w:r>
      <w:r>
        <w:rPr>
          <w:rFonts w:ascii="Times New Roman" w:hAnsi="Times New Roman" w:cs="Times New Roman"/>
          <w:color w:val="auto"/>
        </w:rPr>
        <w:t>.</w:t>
      </w:r>
    </w:p>
    <w:p w14:paraId="512FB506" w14:textId="77777777" w:rsidR="002012FC" w:rsidRDefault="002012FC" w:rsidP="002012FC">
      <w:pPr>
        <w:spacing w:line="480" w:lineRule="auto"/>
        <w:jc w:val="both"/>
      </w:pPr>
      <w:r w:rsidRPr="00775471">
        <w:rPr>
          <w:rFonts w:asciiTheme="majorBidi" w:hAnsiTheme="majorBidi" w:cstheme="majorBidi"/>
          <w:b/>
          <w:bCs/>
          <w:i/>
          <w:iCs/>
          <w:color w:val="000000" w:themeColor="text1"/>
        </w:rPr>
        <w:t>Keywords:</w:t>
      </w:r>
      <w:r>
        <w:t xml:space="preserve">  Aging, frailty,</w:t>
      </w:r>
      <w:r w:rsidRPr="002B5450">
        <w:t xml:space="preserve"> </w:t>
      </w:r>
      <w:r>
        <w:t>nutrition, oral health, teeth loss.</w:t>
      </w:r>
    </w:p>
    <w:p w14:paraId="2E408D15" w14:textId="77777777" w:rsidR="002012FC" w:rsidRPr="00040A6A" w:rsidRDefault="002012FC" w:rsidP="002012FC">
      <w:r w:rsidRPr="00040A6A">
        <w:rPr>
          <w:b/>
          <w:bCs/>
        </w:rPr>
        <w:t>Funding source:</w:t>
      </w:r>
      <w:r>
        <w:t xml:space="preserve"> </w:t>
      </w:r>
      <w:r w:rsidRPr="00040A6A">
        <w:t>This research did not receive any funding from agencies in the public, commercial, or not-for-profit sectors.</w:t>
      </w:r>
    </w:p>
    <w:p w14:paraId="7D7139AA" w14:textId="77777777" w:rsidR="002012FC" w:rsidRPr="00763E0B" w:rsidRDefault="002012FC" w:rsidP="002012FC">
      <w:pPr>
        <w:pStyle w:val="Default"/>
        <w:rPr>
          <w:color w:val="000000" w:themeColor="text1"/>
          <w:lang w:val="en-GB"/>
        </w:rPr>
      </w:pPr>
    </w:p>
    <w:p w14:paraId="7BBE2331" w14:textId="77777777" w:rsidR="002012FC" w:rsidRDefault="002012FC" w:rsidP="002012FC">
      <w:pPr>
        <w:pStyle w:val="Default"/>
        <w:rPr>
          <w:color w:val="000000" w:themeColor="text1"/>
        </w:rPr>
      </w:pPr>
      <w:r w:rsidRPr="008B1218">
        <w:rPr>
          <w:color w:val="000000" w:themeColor="text1"/>
        </w:rPr>
        <w:t xml:space="preserve">Main text word counts: </w:t>
      </w:r>
      <w:r>
        <w:rPr>
          <w:color w:val="000000" w:themeColor="text1"/>
        </w:rPr>
        <w:t>2878</w:t>
      </w:r>
    </w:p>
    <w:p w14:paraId="4859197E" w14:textId="77777777" w:rsidR="002012FC" w:rsidRDefault="002012FC" w:rsidP="002012FC">
      <w:pPr>
        <w:pStyle w:val="Default"/>
        <w:rPr>
          <w:color w:val="000000" w:themeColor="text1"/>
        </w:rPr>
      </w:pPr>
    </w:p>
    <w:p w14:paraId="1D33D902" w14:textId="77777777" w:rsidR="002012FC" w:rsidRDefault="002012FC" w:rsidP="002012FC">
      <w:pPr>
        <w:pStyle w:val="Default"/>
        <w:rPr>
          <w:color w:val="000000" w:themeColor="text1"/>
        </w:rPr>
      </w:pPr>
      <w:r>
        <w:rPr>
          <w:color w:val="000000" w:themeColor="text1"/>
        </w:rPr>
        <w:t>Abstract word counts: 249</w:t>
      </w:r>
    </w:p>
    <w:p w14:paraId="6918DA38" w14:textId="77777777" w:rsidR="002012FC" w:rsidRDefault="002012FC" w:rsidP="002012FC">
      <w:pPr>
        <w:pStyle w:val="Default"/>
        <w:rPr>
          <w:color w:val="000000" w:themeColor="text1"/>
        </w:rPr>
      </w:pPr>
    </w:p>
    <w:p w14:paraId="797894E5" w14:textId="77777777" w:rsidR="002012FC" w:rsidRPr="008B1218" w:rsidRDefault="002012FC" w:rsidP="002012FC">
      <w:pPr>
        <w:pStyle w:val="Default"/>
        <w:rPr>
          <w:color w:val="000000" w:themeColor="text1"/>
        </w:rPr>
      </w:pPr>
      <w:r>
        <w:rPr>
          <w:color w:val="000000" w:themeColor="text1"/>
        </w:rPr>
        <w:t>Number of references: 38</w:t>
      </w:r>
    </w:p>
    <w:p w14:paraId="21F50D61" w14:textId="77777777" w:rsidR="002012FC" w:rsidRPr="008B1218" w:rsidRDefault="002012FC" w:rsidP="002012FC">
      <w:pPr>
        <w:pStyle w:val="Default"/>
        <w:rPr>
          <w:color w:val="000000" w:themeColor="text1"/>
        </w:rPr>
      </w:pPr>
    </w:p>
    <w:p w14:paraId="510F0333" w14:textId="77777777" w:rsidR="002012FC" w:rsidRDefault="002012FC" w:rsidP="002012FC">
      <w:pPr>
        <w:pStyle w:val="Default"/>
        <w:rPr>
          <w:color w:val="000000" w:themeColor="text1"/>
        </w:rPr>
      </w:pPr>
      <w:r w:rsidRPr="008B1218">
        <w:rPr>
          <w:color w:val="000000" w:themeColor="text1"/>
        </w:rPr>
        <w:t xml:space="preserve">Number of </w:t>
      </w:r>
      <w:r>
        <w:rPr>
          <w:color w:val="000000" w:themeColor="text1"/>
        </w:rPr>
        <w:t>tables</w:t>
      </w:r>
      <w:r w:rsidRPr="008B1218">
        <w:rPr>
          <w:color w:val="000000" w:themeColor="text1"/>
        </w:rPr>
        <w:t xml:space="preserve">: </w:t>
      </w:r>
      <w:r>
        <w:rPr>
          <w:color w:val="000000" w:themeColor="text1"/>
        </w:rPr>
        <w:t>3</w:t>
      </w:r>
    </w:p>
    <w:p w14:paraId="47FAA7E0" w14:textId="77777777" w:rsidR="002012FC" w:rsidRDefault="002012FC" w:rsidP="002012FC">
      <w:pPr>
        <w:pStyle w:val="Default"/>
        <w:rPr>
          <w:color w:val="000000" w:themeColor="text1"/>
        </w:rPr>
      </w:pPr>
    </w:p>
    <w:p w14:paraId="760708E0" w14:textId="77777777" w:rsidR="002012FC" w:rsidRDefault="002012FC" w:rsidP="002012FC">
      <w:r w:rsidRPr="00D8263B">
        <w:rPr>
          <w:b/>
          <w:bCs/>
          <w:color w:val="000000" w:themeColor="text1"/>
        </w:rPr>
        <w:t>Brief Summary:</w:t>
      </w:r>
      <w:r>
        <w:rPr>
          <w:color w:val="000000" w:themeColor="text1"/>
        </w:rPr>
        <w:t xml:space="preserve"> </w:t>
      </w:r>
      <w:r>
        <w:rPr>
          <w:rFonts w:asciiTheme="majorBidi" w:hAnsiTheme="majorBidi" w:cstheme="majorBidi"/>
          <w:color w:val="1C1D1E"/>
        </w:rPr>
        <w:t>The current analysis demonstrated that having poor oral health was associated with frailty and with inadequate nutritional intake. The findings imply that maintaining natural teeth at older age could halt the progress of frailty.</w:t>
      </w:r>
    </w:p>
    <w:p w14:paraId="369C74ED" w14:textId="77777777" w:rsidR="002012FC" w:rsidRDefault="002012FC">
      <w:pPr>
        <w:spacing w:after="160" w:line="259" w:lineRule="auto"/>
        <w:rPr>
          <w:rFonts w:asciiTheme="majorBidi" w:eastAsia="MS Mincho" w:hAnsiTheme="majorBidi" w:cs="LUQTB P+ Times"/>
          <w:b/>
          <w:bCs/>
          <w:i/>
          <w:iCs/>
          <w:color w:val="000000" w:themeColor="text1"/>
          <w:lang w:eastAsia="ja-JP"/>
        </w:rPr>
      </w:pPr>
      <w:r>
        <w:rPr>
          <w:rFonts w:asciiTheme="majorBidi" w:hAnsiTheme="majorBidi"/>
          <w:b/>
          <w:bCs/>
          <w:i/>
          <w:iCs/>
          <w:color w:val="000000" w:themeColor="text1"/>
        </w:rPr>
        <w:br w:type="page"/>
      </w:r>
    </w:p>
    <w:p w14:paraId="017B16EB" w14:textId="52558A03" w:rsidR="00D274B7" w:rsidRPr="00D274B7" w:rsidRDefault="00FC1A45" w:rsidP="00D274B7">
      <w:pPr>
        <w:pStyle w:val="Default"/>
        <w:spacing w:line="480" w:lineRule="auto"/>
        <w:rPr>
          <w:rFonts w:asciiTheme="majorBidi" w:hAnsiTheme="majorBidi"/>
          <w:b/>
          <w:bCs/>
          <w:i/>
          <w:iCs/>
          <w:color w:val="000000" w:themeColor="text1"/>
          <w:lang w:val="en-GB"/>
        </w:rPr>
      </w:pPr>
      <w:r w:rsidRPr="003B7A6A">
        <w:rPr>
          <w:rFonts w:asciiTheme="majorBidi" w:hAnsiTheme="majorBidi"/>
          <w:b/>
          <w:bCs/>
          <w:i/>
          <w:iCs/>
          <w:color w:val="000000" w:themeColor="text1"/>
          <w:lang w:val="en-GB"/>
        </w:rPr>
        <w:lastRenderedPageBreak/>
        <w:t>Abstract:</w:t>
      </w:r>
    </w:p>
    <w:p w14:paraId="6D4853C3" w14:textId="63C5CF7C" w:rsidR="00FC1A45" w:rsidRPr="007E04CB" w:rsidRDefault="00FC1A45" w:rsidP="00D274B7">
      <w:pPr>
        <w:spacing w:line="480" w:lineRule="auto"/>
        <w:jc w:val="both"/>
      </w:pPr>
      <w:r>
        <w:rPr>
          <w:b/>
          <w:bCs/>
        </w:rPr>
        <w:t>Objective</w:t>
      </w:r>
      <w:r w:rsidRPr="003E171D">
        <w:rPr>
          <w:b/>
          <w:bCs/>
        </w:rPr>
        <w:t>:</w:t>
      </w:r>
      <w:r w:rsidRPr="007E04CB">
        <w:t xml:space="preserve"> </w:t>
      </w:r>
      <w:r w:rsidR="00F34181">
        <w:t>We examined</w:t>
      </w:r>
      <w:r w:rsidRPr="007E04CB">
        <w:t xml:space="preserve"> the association </w:t>
      </w:r>
      <w:r w:rsidR="00880845" w:rsidRPr="00F00A6A">
        <w:t xml:space="preserve">between tooth loss, periodontal diseases </w:t>
      </w:r>
      <w:r w:rsidRPr="00F00A6A">
        <w:t>and</w:t>
      </w:r>
      <w:r w:rsidRPr="007E04CB">
        <w:t xml:space="preserve"> frailty among older </w:t>
      </w:r>
      <w:r w:rsidR="006F02FE">
        <w:t>American</w:t>
      </w:r>
      <w:r w:rsidRPr="007E04CB">
        <w:t xml:space="preserve"> adults.</w:t>
      </w:r>
    </w:p>
    <w:p w14:paraId="03C4C630" w14:textId="4E94C6B4" w:rsidR="00FC1A45" w:rsidRPr="007E04CB" w:rsidRDefault="00C4395F" w:rsidP="005F297C">
      <w:pPr>
        <w:spacing w:line="480" w:lineRule="auto"/>
        <w:jc w:val="both"/>
      </w:pPr>
      <w:r>
        <w:rPr>
          <w:b/>
          <w:bCs/>
        </w:rPr>
        <w:t>Designs, settings and participants</w:t>
      </w:r>
      <w:r w:rsidR="00A2098E" w:rsidRPr="00F00A6A">
        <w:rPr>
          <w:b/>
          <w:bCs/>
        </w:rPr>
        <w:t>:</w:t>
      </w:r>
      <w:r w:rsidR="00FC1A45" w:rsidRPr="00F00A6A">
        <w:t xml:space="preserve"> </w:t>
      </w:r>
      <w:r w:rsidR="00880845" w:rsidRPr="00F00A6A">
        <w:t xml:space="preserve">Data from </w:t>
      </w:r>
      <w:r w:rsidR="00EC6A25" w:rsidRPr="00F00A6A">
        <w:rPr>
          <w:rFonts w:asciiTheme="majorBidi" w:hAnsiTheme="majorBidi" w:cstheme="majorBidi"/>
        </w:rPr>
        <w:t>the</w:t>
      </w:r>
      <w:r w:rsidR="00EC6A25" w:rsidRPr="009D1CA6">
        <w:rPr>
          <w:rFonts w:asciiTheme="majorBidi" w:hAnsiTheme="majorBidi" w:cstheme="majorBidi"/>
        </w:rPr>
        <w:t xml:space="preserve"> National Health and Nutrition Examination Surveys (NHANES) 2011</w:t>
      </w:r>
      <w:r w:rsidR="009E75DA">
        <w:rPr>
          <w:rFonts w:asciiTheme="majorBidi" w:hAnsiTheme="majorBidi" w:cstheme="majorBidi"/>
        </w:rPr>
        <w:t>-</w:t>
      </w:r>
      <w:r w:rsidR="00EC6A25" w:rsidRPr="009D1CA6">
        <w:rPr>
          <w:rFonts w:asciiTheme="majorBidi" w:hAnsiTheme="majorBidi" w:cstheme="majorBidi"/>
        </w:rPr>
        <w:t>2014</w:t>
      </w:r>
      <w:r w:rsidR="00880845">
        <w:rPr>
          <w:rFonts w:asciiTheme="majorBidi" w:hAnsiTheme="majorBidi" w:cstheme="majorBidi"/>
        </w:rPr>
        <w:t xml:space="preserve"> was used</w:t>
      </w:r>
      <w:r w:rsidR="00C9416C">
        <w:rPr>
          <w:rFonts w:asciiTheme="majorBidi" w:hAnsiTheme="majorBidi" w:cstheme="majorBidi"/>
        </w:rPr>
        <w:t>.</w:t>
      </w:r>
      <w:r w:rsidR="000B0D13" w:rsidRPr="000B0D13">
        <w:rPr>
          <w:rFonts w:asciiTheme="majorBidi" w:hAnsiTheme="majorBidi" w:cstheme="majorBidi"/>
        </w:rPr>
        <w:t xml:space="preserve"> </w:t>
      </w:r>
      <w:r w:rsidR="00BE5F74">
        <w:rPr>
          <w:rFonts w:asciiTheme="majorBidi" w:hAnsiTheme="majorBidi" w:cstheme="majorBidi"/>
        </w:rPr>
        <w:t xml:space="preserve">We included </w:t>
      </w:r>
      <w:r w:rsidR="000B0D13" w:rsidRPr="004F570E">
        <w:rPr>
          <w:rFonts w:asciiTheme="majorBidi" w:hAnsiTheme="majorBidi" w:cstheme="majorBidi"/>
        </w:rPr>
        <w:t>2</w:t>
      </w:r>
      <w:r w:rsidR="000B0D13">
        <w:rPr>
          <w:rFonts w:asciiTheme="majorBidi" w:hAnsiTheme="majorBidi" w:cstheme="majorBidi"/>
        </w:rPr>
        <w:t>,</w:t>
      </w:r>
      <w:r w:rsidR="000B0D13" w:rsidRPr="004F570E">
        <w:rPr>
          <w:rFonts w:asciiTheme="majorBidi" w:hAnsiTheme="majorBidi" w:cstheme="majorBidi"/>
        </w:rPr>
        <w:t xml:space="preserve">368 </w:t>
      </w:r>
      <w:r w:rsidR="000B0D13">
        <w:rPr>
          <w:rFonts w:asciiTheme="majorBidi" w:hAnsiTheme="majorBidi" w:cstheme="majorBidi"/>
        </w:rPr>
        <w:t>community-dwelling older adults</w:t>
      </w:r>
      <w:r w:rsidR="000B0D13" w:rsidRPr="00EF265A">
        <w:rPr>
          <w:rFonts w:asciiTheme="majorBidi" w:hAnsiTheme="majorBidi" w:cstheme="majorBidi"/>
        </w:rPr>
        <w:t xml:space="preserve"> </w:t>
      </w:r>
      <w:r w:rsidR="000B0D13">
        <w:rPr>
          <w:rFonts w:asciiTheme="majorBidi" w:hAnsiTheme="majorBidi" w:cstheme="majorBidi"/>
        </w:rPr>
        <w:t>aged 60 years and older.</w:t>
      </w:r>
      <w:r w:rsidR="007A4034">
        <w:rPr>
          <w:rFonts w:asciiTheme="majorBidi" w:hAnsiTheme="majorBidi" w:cstheme="majorBidi"/>
        </w:rPr>
        <w:t xml:space="preserve"> </w:t>
      </w:r>
      <w:r w:rsidR="00FC1A45" w:rsidRPr="552AB4B9">
        <w:t xml:space="preserve">Frailty was measured </w:t>
      </w:r>
      <w:r w:rsidR="009F2E8B">
        <w:t>with</w:t>
      </w:r>
      <w:r w:rsidR="00FC1A45" w:rsidRPr="552AB4B9">
        <w:t xml:space="preserve"> </w:t>
      </w:r>
      <w:r w:rsidR="009F2E8B">
        <w:t>49</w:t>
      </w:r>
      <w:r w:rsidR="00FC1A45" w:rsidRPr="552AB4B9">
        <w:t xml:space="preserve">-item </w:t>
      </w:r>
      <w:r w:rsidR="009F2E8B">
        <w:t>frailty index</w:t>
      </w:r>
      <w:r w:rsidR="00FC1A45" w:rsidRPr="552AB4B9">
        <w:t>. Oral health</w:t>
      </w:r>
      <w:r w:rsidR="009F2E8B">
        <w:t xml:space="preserve"> indicators</w:t>
      </w:r>
      <w:r w:rsidR="00FC1A45" w:rsidRPr="552AB4B9">
        <w:t xml:space="preserve"> included</w:t>
      </w:r>
      <w:r w:rsidR="001B71E9">
        <w:t xml:space="preserve">: </w:t>
      </w:r>
      <w:r w:rsidR="00FC1A45" w:rsidRPr="552AB4B9">
        <w:t xml:space="preserve">number of </w:t>
      </w:r>
      <w:r w:rsidR="0033031F" w:rsidRPr="552AB4B9">
        <w:t>teeth</w:t>
      </w:r>
      <w:r w:rsidR="0033031F">
        <w:t xml:space="preserve"> and</w:t>
      </w:r>
      <w:r w:rsidR="003A3A21">
        <w:t xml:space="preserve"> </w:t>
      </w:r>
      <w:r w:rsidR="003B51E4">
        <w:t>periodontal disease</w:t>
      </w:r>
      <w:r w:rsidR="00FC1A45" w:rsidRPr="552AB4B9">
        <w:t>.</w:t>
      </w:r>
      <w:r w:rsidR="003B51E4">
        <w:t xml:space="preserve"> </w:t>
      </w:r>
      <w:r w:rsidR="00880845">
        <w:t xml:space="preserve">A composite </w:t>
      </w:r>
      <w:r w:rsidR="003B51E4">
        <w:t xml:space="preserve">nutritional intake </w:t>
      </w:r>
      <w:r w:rsidR="00880845">
        <w:t xml:space="preserve">variable </w:t>
      </w:r>
      <w:r w:rsidR="00D90D26">
        <w:t xml:space="preserve">based on 13 </w:t>
      </w:r>
      <w:r w:rsidR="00D90D26" w:rsidRPr="009D1CA6">
        <w:rPr>
          <w:rFonts w:asciiTheme="majorBidi" w:hAnsiTheme="majorBidi" w:cstheme="majorBidi"/>
          <w:color w:val="1C1D1E"/>
          <w:shd w:val="clear" w:color="auto" w:fill="FFFFFF"/>
        </w:rPr>
        <w:t xml:space="preserve">micronutrients </w:t>
      </w:r>
      <w:r w:rsidR="0089105D">
        <w:rPr>
          <w:rFonts w:asciiTheme="majorBidi" w:hAnsiTheme="majorBidi" w:cstheme="majorBidi"/>
          <w:color w:val="1C1D1E"/>
          <w:shd w:val="clear" w:color="auto" w:fill="FFFFFF"/>
        </w:rPr>
        <w:t xml:space="preserve">from the dietary assessment was created. </w:t>
      </w:r>
      <w:r w:rsidR="00D36DC4">
        <w:rPr>
          <w:rFonts w:asciiTheme="majorBidi" w:hAnsiTheme="majorBidi" w:cstheme="majorBidi"/>
          <w:color w:val="1C1D1E"/>
          <w:shd w:val="clear" w:color="auto" w:fill="FFFFFF"/>
        </w:rPr>
        <w:t xml:space="preserve">Negative binomial regression </w:t>
      </w:r>
      <w:r w:rsidR="00922CA1">
        <w:rPr>
          <w:rFonts w:asciiTheme="majorBidi" w:hAnsiTheme="majorBidi" w:cstheme="majorBidi"/>
          <w:color w:val="1C1D1E"/>
          <w:shd w:val="clear" w:color="auto" w:fill="FFFFFF"/>
        </w:rPr>
        <w:t>was</w:t>
      </w:r>
      <w:r w:rsidR="00D36DC4">
        <w:rPr>
          <w:rFonts w:asciiTheme="majorBidi" w:hAnsiTheme="majorBidi" w:cstheme="majorBidi"/>
          <w:color w:val="1C1D1E"/>
          <w:shd w:val="clear" w:color="auto" w:fill="FFFFFF"/>
        </w:rPr>
        <w:t xml:space="preserve"> used to test the </w:t>
      </w:r>
      <w:r w:rsidR="00BD50D5">
        <w:rPr>
          <w:rFonts w:asciiTheme="majorBidi" w:hAnsiTheme="majorBidi" w:cstheme="majorBidi"/>
          <w:color w:val="1C1D1E"/>
          <w:shd w:val="clear" w:color="auto" w:fill="FFFFFF"/>
        </w:rPr>
        <w:t>association</w:t>
      </w:r>
      <w:r w:rsidR="00D36DC4">
        <w:rPr>
          <w:rFonts w:asciiTheme="majorBidi" w:hAnsiTheme="majorBidi" w:cstheme="majorBidi"/>
          <w:color w:val="1C1D1E"/>
          <w:shd w:val="clear" w:color="auto" w:fill="FFFFFF"/>
        </w:rPr>
        <w:t xml:space="preserve"> between oral health and frailty</w:t>
      </w:r>
      <w:r w:rsidR="00FC1A45" w:rsidRPr="552AB4B9">
        <w:t>.</w:t>
      </w:r>
      <w:r w:rsidR="00F53E8C">
        <w:t xml:space="preserve"> </w:t>
      </w:r>
      <w:r w:rsidR="00FC1A45" w:rsidRPr="552AB4B9">
        <w:t xml:space="preserve">The first model was adjusted for </w:t>
      </w:r>
      <w:r w:rsidR="00BD50D5">
        <w:t>age and gender</w:t>
      </w:r>
      <w:r w:rsidR="00FC1A45" w:rsidRPr="552AB4B9">
        <w:t>, the second model was additionally adjusted for nutritional</w:t>
      </w:r>
      <w:r w:rsidR="00FC1A45">
        <w:t xml:space="preserve"> </w:t>
      </w:r>
      <w:r w:rsidR="00BD50D5">
        <w:t xml:space="preserve">intake, and the third model was </w:t>
      </w:r>
      <w:r w:rsidR="002D5CB4">
        <w:t>additionally</w:t>
      </w:r>
      <w:r w:rsidR="00BD50D5">
        <w:t xml:space="preserve"> adjusted for other </w:t>
      </w:r>
      <w:r w:rsidR="002D5CB4">
        <w:t>covariates</w:t>
      </w:r>
      <w:r w:rsidR="00BD50D5">
        <w:t>.</w:t>
      </w:r>
    </w:p>
    <w:p w14:paraId="2EF3DE14" w14:textId="6F885D42" w:rsidR="00FC1A45" w:rsidRPr="007E04CB" w:rsidRDefault="00FC1A45" w:rsidP="00C526F6">
      <w:pPr>
        <w:spacing w:line="480" w:lineRule="auto"/>
        <w:jc w:val="both"/>
      </w:pPr>
      <w:r w:rsidRPr="003E171D">
        <w:rPr>
          <w:b/>
          <w:bCs/>
        </w:rPr>
        <w:t>Results</w:t>
      </w:r>
      <w:r w:rsidRPr="007E04CB">
        <w:t>:</w:t>
      </w:r>
      <w:r>
        <w:t xml:space="preserve"> </w:t>
      </w:r>
      <w:r w:rsidR="009D22AC">
        <w:rPr>
          <w:rFonts w:asciiTheme="majorBidi" w:hAnsiTheme="majorBidi" w:cstheme="majorBidi"/>
        </w:rPr>
        <w:t xml:space="preserve">For each additional tooth the rate ratio (RR) for frailty </w:t>
      </w:r>
      <w:r w:rsidR="0044080B">
        <w:rPr>
          <w:rFonts w:asciiTheme="majorBidi" w:hAnsiTheme="majorBidi" w:cstheme="majorBidi"/>
        </w:rPr>
        <w:t>was</w:t>
      </w:r>
      <w:r w:rsidR="009D22AC">
        <w:rPr>
          <w:rFonts w:asciiTheme="majorBidi" w:hAnsiTheme="majorBidi" w:cstheme="majorBidi"/>
        </w:rPr>
        <w:t xml:space="preserve"> 0.99 (95% CI 0.98</w:t>
      </w:r>
      <w:r w:rsidR="0089105D">
        <w:rPr>
          <w:rFonts w:asciiTheme="majorBidi" w:hAnsiTheme="majorBidi" w:cstheme="majorBidi"/>
        </w:rPr>
        <w:t>,</w:t>
      </w:r>
      <w:r w:rsidR="009D22AC">
        <w:rPr>
          <w:rFonts w:asciiTheme="majorBidi" w:hAnsiTheme="majorBidi" w:cstheme="majorBidi"/>
        </w:rPr>
        <w:t xml:space="preserve"> 0.99)</w:t>
      </w:r>
      <w:r w:rsidR="00371601">
        <w:rPr>
          <w:rFonts w:asciiTheme="majorBidi" w:hAnsiTheme="majorBidi" w:cstheme="majorBidi"/>
        </w:rPr>
        <w:t xml:space="preserve"> in the fully adjusted model</w:t>
      </w:r>
      <w:r w:rsidR="0025569B">
        <w:rPr>
          <w:rFonts w:asciiTheme="majorBidi" w:hAnsiTheme="majorBidi" w:cstheme="majorBidi"/>
        </w:rPr>
        <w:t>.</w:t>
      </w:r>
      <w:r w:rsidR="0059432A">
        <w:rPr>
          <w:rFonts w:asciiTheme="majorBidi" w:hAnsiTheme="majorBidi" w:cstheme="majorBidi"/>
        </w:rPr>
        <w:t xml:space="preserve"> </w:t>
      </w:r>
      <w:r w:rsidR="00925FA7">
        <w:rPr>
          <w:rFonts w:asciiTheme="majorBidi" w:hAnsiTheme="majorBidi" w:cstheme="majorBidi"/>
        </w:rPr>
        <w:t>Similarly,</w:t>
      </w:r>
      <w:r w:rsidR="00D742E1">
        <w:rPr>
          <w:rFonts w:asciiTheme="majorBidi" w:hAnsiTheme="majorBidi" w:cstheme="majorBidi"/>
        </w:rPr>
        <w:t xml:space="preserve"> participants w</w:t>
      </w:r>
      <w:r w:rsidR="00925FA7">
        <w:rPr>
          <w:rFonts w:asciiTheme="majorBidi" w:hAnsiTheme="majorBidi" w:cstheme="majorBidi"/>
        </w:rPr>
        <w:t xml:space="preserve">ith </w:t>
      </w:r>
      <w:r w:rsidR="00D742E1">
        <w:rPr>
          <w:rFonts w:asciiTheme="majorBidi" w:hAnsiTheme="majorBidi" w:cstheme="majorBidi"/>
        </w:rPr>
        <w:t>moderate</w:t>
      </w:r>
      <w:r w:rsidR="00925FA7">
        <w:rPr>
          <w:rFonts w:asciiTheme="majorBidi" w:hAnsiTheme="majorBidi" w:cstheme="majorBidi"/>
        </w:rPr>
        <w:t>-</w:t>
      </w:r>
      <w:r w:rsidR="00D742E1">
        <w:rPr>
          <w:rFonts w:asciiTheme="majorBidi" w:hAnsiTheme="majorBidi" w:cstheme="majorBidi"/>
        </w:rPr>
        <w:t xml:space="preserve">severe periodontitis had </w:t>
      </w:r>
      <w:r w:rsidR="00925FA7">
        <w:rPr>
          <w:rFonts w:asciiTheme="majorBidi" w:hAnsiTheme="majorBidi" w:cstheme="majorBidi"/>
        </w:rPr>
        <w:t>1.08</w:t>
      </w:r>
      <w:r w:rsidR="009C1D7A" w:rsidRPr="002D00F2">
        <w:rPr>
          <w:rFonts w:asciiTheme="majorBidi" w:hAnsiTheme="majorBidi" w:cstheme="majorBidi"/>
        </w:rPr>
        <w:t xml:space="preserve"> </w:t>
      </w:r>
      <w:r w:rsidR="0044080B">
        <w:rPr>
          <w:rFonts w:asciiTheme="majorBidi" w:hAnsiTheme="majorBidi" w:cstheme="majorBidi"/>
        </w:rPr>
        <w:t xml:space="preserve">RR </w:t>
      </w:r>
      <w:r w:rsidR="009C1D7A">
        <w:rPr>
          <w:rFonts w:asciiTheme="majorBidi" w:hAnsiTheme="majorBidi" w:cstheme="majorBidi"/>
        </w:rPr>
        <w:t>(95% CI 1.02</w:t>
      </w:r>
      <w:r w:rsidR="0089105D">
        <w:rPr>
          <w:rFonts w:asciiTheme="majorBidi" w:hAnsiTheme="majorBidi" w:cstheme="majorBidi"/>
        </w:rPr>
        <w:t>,</w:t>
      </w:r>
      <w:r w:rsidR="009C1D7A">
        <w:rPr>
          <w:rFonts w:asciiTheme="majorBidi" w:hAnsiTheme="majorBidi" w:cstheme="majorBidi"/>
        </w:rPr>
        <w:t xml:space="preserve"> 1.14)</w:t>
      </w:r>
      <w:r w:rsidR="009C1D7A">
        <w:t xml:space="preserve"> </w:t>
      </w:r>
      <w:r w:rsidR="00D742E1">
        <w:rPr>
          <w:rFonts w:asciiTheme="majorBidi" w:hAnsiTheme="majorBidi" w:cstheme="majorBidi"/>
        </w:rPr>
        <w:t>for</w:t>
      </w:r>
      <w:r w:rsidR="00D742E1" w:rsidRPr="002D00F2">
        <w:rPr>
          <w:rFonts w:asciiTheme="majorBidi" w:hAnsiTheme="majorBidi" w:cstheme="majorBidi"/>
        </w:rPr>
        <w:t xml:space="preserve"> frailty index compared to participants with</w:t>
      </w:r>
      <w:r w:rsidR="00D742E1">
        <w:rPr>
          <w:rFonts w:asciiTheme="majorBidi" w:hAnsiTheme="majorBidi" w:cstheme="majorBidi"/>
        </w:rPr>
        <w:t xml:space="preserve"> no </w:t>
      </w:r>
      <w:r w:rsidR="00D742E1" w:rsidRPr="002D00F2">
        <w:rPr>
          <w:rFonts w:asciiTheme="majorBidi" w:hAnsiTheme="majorBidi" w:cstheme="majorBidi"/>
        </w:rPr>
        <w:t>periodontitis after adjusting for age</w:t>
      </w:r>
      <w:r w:rsidR="00925FA7">
        <w:rPr>
          <w:rFonts w:asciiTheme="majorBidi" w:hAnsiTheme="majorBidi" w:cstheme="majorBidi"/>
        </w:rPr>
        <w:t>,</w:t>
      </w:r>
      <w:r w:rsidR="00D742E1" w:rsidRPr="002D00F2">
        <w:rPr>
          <w:rFonts w:asciiTheme="majorBidi" w:hAnsiTheme="majorBidi" w:cstheme="majorBidi"/>
        </w:rPr>
        <w:t xml:space="preserve"> gender</w:t>
      </w:r>
      <w:r w:rsidR="009C1D7A">
        <w:rPr>
          <w:rFonts w:asciiTheme="majorBidi" w:hAnsiTheme="majorBidi" w:cstheme="majorBidi"/>
        </w:rPr>
        <w:t xml:space="preserve"> and poor nutritional intake</w:t>
      </w:r>
      <w:r w:rsidR="00D742E1" w:rsidRPr="002D00F2">
        <w:rPr>
          <w:rFonts w:asciiTheme="majorBidi" w:hAnsiTheme="majorBidi" w:cstheme="majorBidi"/>
        </w:rPr>
        <w:t xml:space="preserve">. The </w:t>
      </w:r>
      <w:r w:rsidR="009C1D7A">
        <w:rPr>
          <w:rFonts w:asciiTheme="majorBidi" w:hAnsiTheme="majorBidi" w:cstheme="majorBidi"/>
        </w:rPr>
        <w:t xml:space="preserve">association lost significance </w:t>
      </w:r>
      <w:r w:rsidR="00DD330A">
        <w:rPr>
          <w:rFonts w:asciiTheme="majorBidi" w:hAnsiTheme="majorBidi" w:cstheme="majorBidi"/>
        </w:rPr>
        <w:t>in the fully adjusted model.</w:t>
      </w:r>
    </w:p>
    <w:p w14:paraId="19F7912E" w14:textId="1EE441DD" w:rsidR="00775471" w:rsidRDefault="00FC1A45" w:rsidP="00C526F6">
      <w:pPr>
        <w:spacing w:line="480" w:lineRule="auto"/>
        <w:jc w:val="both"/>
        <w:rPr>
          <w:rFonts w:asciiTheme="majorBidi" w:hAnsiTheme="majorBidi" w:cstheme="majorBidi"/>
        </w:rPr>
      </w:pPr>
      <w:r>
        <w:rPr>
          <w:b/>
          <w:bCs/>
        </w:rPr>
        <w:t>Conclusion</w:t>
      </w:r>
      <w:r w:rsidR="00717092">
        <w:rPr>
          <w:b/>
          <w:bCs/>
        </w:rPr>
        <w:t>s and implications</w:t>
      </w:r>
      <w:r>
        <w:rPr>
          <w:b/>
          <w:bCs/>
        </w:rPr>
        <w:t xml:space="preserve">: </w:t>
      </w:r>
      <w:r w:rsidR="00925FA7">
        <w:rPr>
          <w:rFonts w:asciiTheme="majorBidi" w:hAnsiTheme="majorBidi" w:cstheme="majorBidi"/>
        </w:rPr>
        <w:t>O</w:t>
      </w:r>
      <w:r w:rsidR="00A9700A">
        <w:rPr>
          <w:rFonts w:asciiTheme="majorBidi" w:hAnsiTheme="majorBidi" w:cstheme="majorBidi"/>
        </w:rPr>
        <w:t xml:space="preserve">ral health is associated with frailty index, and nutritional intake </w:t>
      </w:r>
      <w:r w:rsidR="0044080B">
        <w:rPr>
          <w:rFonts w:asciiTheme="majorBidi" w:hAnsiTheme="majorBidi" w:cstheme="majorBidi"/>
        </w:rPr>
        <w:t xml:space="preserve">appears </w:t>
      </w:r>
      <w:r w:rsidR="00A9700A">
        <w:rPr>
          <w:rFonts w:asciiTheme="majorBidi" w:hAnsiTheme="majorBidi" w:cstheme="majorBidi"/>
        </w:rPr>
        <w:t xml:space="preserve">to have a modest effect on the association. </w:t>
      </w:r>
      <w:r w:rsidR="00DD330A">
        <w:rPr>
          <w:rFonts w:asciiTheme="majorBidi" w:hAnsiTheme="majorBidi" w:cstheme="majorBidi"/>
        </w:rPr>
        <w:t>P</w:t>
      </w:r>
      <w:r w:rsidR="00A9700A">
        <w:rPr>
          <w:rFonts w:asciiTheme="majorBidi" w:hAnsiTheme="majorBidi" w:cstheme="majorBidi"/>
        </w:rPr>
        <w:t xml:space="preserve">eriodontal disease has a weaker association with frailty compared to number of teeth. </w:t>
      </w:r>
      <w:r w:rsidR="00887535">
        <w:rPr>
          <w:rFonts w:asciiTheme="majorBidi" w:hAnsiTheme="majorBidi" w:cstheme="majorBidi"/>
        </w:rPr>
        <w:t>T</w:t>
      </w:r>
      <w:r w:rsidR="000941A3">
        <w:rPr>
          <w:rFonts w:asciiTheme="majorBidi" w:hAnsiTheme="majorBidi" w:cstheme="majorBidi"/>
        </w:rPr>
        <w:t xml:space="preserve">he findings </w:t>
      </w:r>
      <w:r w:rsidR="0044080B">
        <w:rPr>
          <w:rFonts w:asciiTheme="majorBidi" w:hAnsiTheme="majorBidi" w:cstheme="majorBidi"/>
        </w:rPr>
        <w:t xml:space="preserve">highlight </w:t>
      </w:r>
      <w:r w:rsidR="00A9700A">
        <w:rPr>
          <w:rFonts w:asciiTheme="majorBidi" w:hAnsiTheme="majorBidi" w:cstheme="majorBidi"/>
        </w:rPr>
        <w:t xml:space="preserve">the importance of maintaining </w:t>
      </w:r>
      <w:r w:rsidR="0044080B">
        <w:rPr>
          <w:rFonts w:asciiTheme="majorBidi" w:hAnsiTheme="majorBidi" w:cstheme="majorBidi"/>
        </w:rPr>
        <w:t xml:space="preserve">good </w:t>
      </w:r>
      <w:r w:rsidR="00A9700A">
        <w:rPr>
          <w:rFonts w:asciiTheme="majorBidi" w:hAnsiTheme="majorBidi" w:cstheme="majorBidi"/>
        </w:rPr>
        <w:t>oral health at old</w:t>
      </w:r>
      <w:r w:rsidR="00887535">
        <w:rPr>
          <w:rFonts w:asciiTheme="majorBidi" w:hAnsiTheme="majorBidi" w:cstheme="majorBidi"/>
        </w:rPr>
        <w:t xml:space="preserve"> </w:t>
      </w:r>
      <w:r w:rsidR="00A9700A">
        <w:rPr>
          <w:rFonts w:asciiTheme="majorBidi" w:hAnsiTheme="majorBidi" w:cstheme="majorBidi"/>
        </w:rPr>
        <w:t>age and incorporating oral health</w:t>
      </w:r>
      <w:r w:rsidR="00E67CB7">
        <w:rPr>
          <w:rFonts w:asciiTheme="majorBidi" w:hAnsiTheme="majorBidi" w:cstheme="majorBidi"/>
        </w:rPr>
        <w:t xml:space="preserve"> indicators</w:t>
      </w:r>
      <w:r w:rsidR="00A9700A">
        <w:rPr>
          <w:rFonts w:asciiTheme="majorBidi" w:hAnsiTheme="majorBidi" w:cstheme="majorBidi"/>
        </w:rPr>
        <w:t xml:space="preserve"> in routine geriatric assessments</w:t>
      </w:r>
      <w:r w:rsidR="00A46A83">
        <w:rPr>
          <w:rFonts w:asciiTheme="majorBidi" w:hAnsiTheme="majorBidi" w:cstheme="majorBidi"/>
        </w:rPr>
        <w:t>.</w:t>
      </w:r>
      <w:r w:rsidR="003855B7">
        <w:rPr>
          <w:rFonts w:asciiTheme="majorBidi" w:hAnsiTheme="majorBidi" w:cstheme="majorBidi"/>
        </w:rPr>
        <w:t xml:space="preserve"> Future research </w:t>
      </w:r>
      <w:r w:rsidR="0044080B">
        <w:rPr>
          <w:rFonts w:asciiTheme="majorBidi" w:hAnsiTheme="majorBidi" w:cstheme="majorBidi"/>
        </w:rPr>
        <w:t xml:space="preserve">should </w:t>
      </w:r>
      <w:r w:rsidR="00061EDE">
        <w:rPr>
          <w:rFonts w:asciiTheme="majorBidi" w:hAnsiTheme="majorBidi" w:cstheme="majorBidi"/>
        </w:rPr>
        <w:t>investigate the</w:t>
      </w:r>
      <w:r w:rsidR="003855B7">
        <w:rPr>
          <w:rFonts w:asciiTheme="majorBidi" w:hAnsiTheme="majorBidi" w:cstheme="majorBidi"/>
        </w:rPr>
        <w:t xml:space="preserve"> role of potential mediating factors </w:t>
      </w:r>
      <w:r w:rsidR="0044080B">
        <w:rPr>
          <w:rFonts w:asciiTheme="majorBidi" w:hAnsiTheme="majorBidi" w:cstheme="majorBidi"/>
        </w:rPr>
        <w:t>in this association</w:t>
      </w:r>
      <w:r w:rsidR="003855B7">
        <w:rPr>
          <w:rFonts w:asciiTheme="majorBidi" w:hAnsiTheme="majorBidi" w:cstheme="majorBidi"/>
        </w:rPr>
        <w:t>.</w:t>
      </w:r>
    </w:p>
    <w:p w14:paraId="78850C02" w14:textId="0AA99564" w:rsidR="00905FE1" w:rsidRPr="00C92956" w:rsidRDefault="00204886" w:rsidP="00C526F6">
      <w:pPr>
        <w:spacing w:after="160" w:line="480" w:lineRule="auto"/>
        <w:rPr>
          <w:rStyle w:val="SubtleEmphasis"/>
          <w:b/>
          <w:bCs/>
          <w:sz w:val="27"/>
          <w:szCs w:val="27"/>
        </w:rPr>
      </w:pPr>
      <w:r>
        <w:rPr>
          <w:rStyle w:val="SubtleEmphasis"/>
        </w:rPr>
        <w:br w:type="page"/>
      </w:r>
      <w:r w:rsidR="00905FE1" w:rsidRPr="00C92956">
        <w:rPr>
          <w:rStyle w:val="SubtleEmphasis"/>
          <w:b/>
          <w:bCs/>
        </w:rPr>
        <w:lastRenderedPageBreak/>
        <w:t xml:space="preserve">Introduction: </w:t>
      </w:r>
    </w:p>
    <w:p w14:paraId="11FACC92" w14:textId="46DE6722" w:rsidR="00905FE1" w:rsidRPr="009D1CA6" w:rsidRDefault="00905FE1">
      <w:pPr>
        <w:spacing w:line="480" w:lineRule="auto"/>
        <w:jc w:val="both"/>
        <w:rPr>
          <w:rFonts w:asciiTheme="majorBidi" w:hAnsiTheme="majorBidi" w:cstheme="majorBidi"/>
        </w:rPr>
      </w:pPr>
      <w:r w:rsidRPr="00F7291F">
        <w:rPr>
          <w:rFonts w:asciiTheme="majorBidi" w:hAnsiTheme="majorBidi" w:cstheme="majorBidi"/>
        </w:rPr>
        <w:t xml:space="preserve">Frailty is characterized by decreased functional reserves which leads to </w:t>
      </w:r>
      <w:r w:rsidR="002C460C">
        <w:rPr>
          <w:rFonts w:asciiTheme="majorBidi" w:hAnsiTheme="majorBidi" w:cstheme="majorBidi"/>
        </w:rPr>
        <w:t>greater</w:t>
      </w:r>
      <w:r w:rsidRPr="00F7291F">
        <w:rPr>
          <w:rFonts w:asciiTheme="majorBidi" w:hAnsiTheme="majorBidi" w:cstheme="majorBidi"/>
        </w:rPr>
        <w:t xml:space="preserve"> </w:t>
      </w:r>
      <w:r w:rsidRPr="009D1CA6">
        <w:rPr>
          <w:rFonts w:asciiTheme="majorBidi" w:hAnsiTheme="majorBidi" w:cstheme="majorBidi"/>
        </w:rPr>
        <w:t xml:space="preserve">vulnerability to stressors and </w:t>
      </w:r>
      <w:r w:rsidR="00724D7E" w:rsidRPr="009D1CA6">
        <w:rPr>
          <w:rFonts w:asciiTheme="majorBidi" w:hAnsiTheme="majorBidi" w:cstheme="majorBidi"/>
        </w:rPr>
        <w:t xml:space="preserve">adverse </w:t>
      </w:r>
      <w:r w:rsidR="00724D7E">
        <w:rPr>
          <w:rFonts w:asciiTheme="majorBidi" w:hAnsiTheme="majorBidi" w:cstheme="majorBidi"/>
        </w:rPr>
        <w:t>health</w:t>
      </w:r>
      <w:r w:rsidR="002C460C">
        <w:rPr>
          <w:rFonts w:asciiTheme="majorBidi" w:hAnsiTheme="majorBidi" w:cstheme="majorBidi"/>
        </w:rPr>
        <w:t xml:space="preserve"> </w:t>
      </w:r>
      <w:r w:rsidRPr="009D1CA6">
        <w:rPr>
          <w:rFonts w:asciiTheme="majorBidi" w:hAnsiTheme="majorBidi" w:cstheme="majorBidi"/>
        </w:rPr>
        <w:t>outcomes including falls, increased healthcare usage, disability and mortality</w:t>
      </w:r>
      <w:r w:rsidR="00C82C8C">
        <w:rPr>
          <w:rFonts w:asciiTheme="majorBidi" w:hAnsiTheme="majorBidi" w:cstheme="majorBidi"/>
        </w:rPr>
        <w:t>.</w:t>
      </w:r>
      <w:hyperlink w:anchor="_ENREF_1" w:tooltip="Chen, 2014 #1" w:history="1">
        <w:r w:rsidR="0036052C" w:rsidRPr="009D1CA6">
          <w:rPr>
            <w:rFonts w:asciiTheme="majorBidi" w:hAnsiTheme="majorBidi" w:cstheme="majorBidi"/>
          </w:rPr>
          <w:fldChar w:fldCharType="begin">
            <w:fldData xml:space="preserve">PEVuZE5vdGU+PENpdGU+PEF1dGhvcj5DaGVuPC9BdXRob3I+PFllYXI+MjAxNDwvWWVhcj48UmVj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</w:fldData>
          </w:fldChar>
        </w:r>
        <w:r w:rsidR="0036052C">
          <w:rPr>
            <w:rFonts w:asciiTheme="majorBidi" w:hAnsiTheme="majorBidi" w:cstheme="majorBidi"/>
          </w:rPr>
          <w:instrText xml:space="preserve"> ADDIN EN.CITE </w:instrText>
        </w:r>
        <w:r w:rsidR="0036052C">
          <w:rPr>
            <w:rFonts w:asciiTheme="majorBidi" w:hAnsiTheme="majorBidi" w:cstheme="majorBidi"/>
          </w:rPr>
          <w:fldChar w:fldCharType="begin">
            <w:fldData xml:space="preserve">PEVuZE5vdGU+PENpdGU+PEF1dGhvcj5DaGVuPC9BdXRob3I+PFllYXI+MjAxNDwvWWVhcj48UmVj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</w:fldData>
          </w:fldChar>
        </w:r>
        <w:r w:rsidR="0036052C">
          <w:rPr>
            <w:rFonts w:asciiTheme="majorBidi" w:hAnsiTheme="majorBidi" w:cstheme="majorBidi"/>
          </w:rPr>
          <w:instrText xml:space="preserve"> ADDIN EN.CITE.DATA </w:instrText>
        </w:r>
        <w:r w:rsidR="0036052C">
          <w:rPr>
            <w:rFonts w:asciiTheme="majorBidi" w:hAnsiTheme="majorBidi" w:cstheme="majorBidi"/>
          </w:rPr>
        </w:r>
        <w:r w:rsidR="0036052C">
          <w:rPr>
            <w:rFonts w:asciiTheme="majorBidi" w:hAnsiTheme="majorBidi" w:cstheme="majorBidi"/>
          </w:rPr>
          <w:fldChar w:fldCharType="end"/>
        </w:r>
        <w:r w:rsidR="0036052C" w:rsidRPr="009D1CA6">
          <w:rPr>
            <w:rFonts w:asciiTheme="majorBidi" w:hAnsiTheme="majorBidi" w:cstheme="majorBidi"/>
          </w:rPr>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1-3</w:t>
        </w:r>
        <w:r w:rsidR="0036052C" w:rsidRPr="009D1CA6">
          <w:rPr>
            <w:rFonts w:asciiTheme="majorBidi" w:hAnsiTheme="majorBidi" w:cstheme="majorBidi"/>
          </w:rPr>
          <w:fldChar w:fldCharType="end"/>
        </w:r>
      </w:hyperlink>
      <w:r w:rsidR="0089105D">
        <w:rPr>
          <w:rFonts w:asciiTheme="majorBidi" w:hAnsiTheme="majorBidi" w:cstheme="majorBidi"/>
        </w:rPr>
        <w:t xml:space="preserve"> </w:t>
      </w:r>
      <w:r w:rsidRPr="009D1CA6">
        <w:rPr>
          <w:rFonts w:asciiTheme="majorBidi" w:hAnsiTheme="majorBidi" w:cstheme="majorBidi"/>
        </w:rPr>
        <w:t xml:space="preserve">Frailty </w:t>
      </w:r>
      <w:r w:rsidR="00EC6258" w:rsidRPr="009D1CA6">
        <w:rPr>
          <w:rFonts w:asciiTheme="majorBidi" w:hAnsiTheme="majorBidi" w:cstheme="majorBidi"/>
        </w:rPr>
        <w:t xml:space="preserve">is </w:t>
      </w:r>
      <w:r w:rsidR="000D42AE">
        <w:rPr>
          <w:rFonts w:asciiTheme="majorBidi" w:hAnsiTheme="majorBidi" w:cstheme="majorBidi"/>
        </w:rPr>
        <w:t xml:space="preserve">considered </w:t>
      </w:r>
      <w:r w:rsidRPr="009D1CA6">
        <w:rPr>
          <w:rFonts w:asciiTheme="majorBidi" w:hAnsiTheme="majorBidi" w:cstheme="majorBidi"/>
        </w:rPr>
        <w:t xml:space="preserve">a major public health </w:t>
      </w:r>
      <w:r w:rsidR="004A64C6">
        <w:rPr>
          <w:rFonts w:asciiTheme="majorBidi" w:hAnsiTheme="majorBidi" w:cstheme="majorBidi"/>
        </w:rPr>
        <w:t>issue</w:t>
      </w:r>
      <w:r w:rsidRPr="009D1CA6">
        <w:rPr>
          <w:rFonts w:asciiTheme="majorBidi" w:hAnsiTheme="majorBidi" w:cstheme="majorBidi"/>
        </w:rPr>
        <w:t xml:space="preserve">, </w:t>
      </w:r>
      <w:r w:rsidR="00D80D9F">
        <w:rPr>
          <w:rFonts w:asciiTheme="majorBidi" w:hAnsiTheme="majorBidi" w:cstheme="majorBidi"/>
        </w:rPr>
        <w:t>since</w:t>
      </w:r>
      <w:r w:rsidRPr="009D1CA6">
        <w:rPr>
          <w:rFonts w:asciiTheme="majorBidi" w:hAnsiTheme="majorBidi" w:cstheme="majorBidi"/>
        </w:rPr>
        <w:t xml:space="preserve"> it</w:t>
      </w:r>
      <w:r w:rsidR="000D42AE">
        <w:rPr>
          <w:rFonts w:asciiTheme="majorBidi" w:hAnsiTheme="majorBidi" w:cstheme="majorBidi"/>
        </w:rPr>
        <w:t xml:space="preserve">s </w:t>
      </w:r>
      <w:r w:rsidR="00D80D9F" w:rsidRPr="009D1CA6">
        <w:rPr>
          <w:rFonts w:asciiTheme="majorBidi" w:hAnsiTheme="majorBidi" w:cstheme="majorBidi"/>
        </w:rPr>
        <w:t>preval</w:t>
      </w:r>
      <w:r w:rsidR="00D80D9F">
        <w:rPr>
          <w:rFonts w:asciiTheme="majorBidi" w:hAnsiTheme="majorBidi" w:cstheme="majorBidi"/>
        </w:rPr>
        <w:t>ence is high</w:t>
      </w:r>
      <w:r w:rsidRPr="009D1CA6">
        <w:rPr>
          <w:rFonts w:asciiTheme="majorBidi" w:hAnsiTheme="majorBidi" w:cstheme="majorBidi"/>
        </w:rPr>
        <w:t xml:space="preserve"> in the ageing populations</w:t>
      </w:r>
      <w:r w:rsidR="00C82C8C">
        <w:rPr>
          <w:rFonts w:asciiTheme="majorBidi" w:hAnsiTheme="majorBidi" w:cstheme="majorBidi"/>
        </w:rPr>
        <w:t>.</w:t>
      </w:r>
      <w:hyperlink w:anchor="_ENREF_4" w:tooltip="Collard, 2012 #15"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&lt;EndNote&gt;&lt;Cite&gt;&lt;Author&gt;Collard&lt;/Author&gt;&lt;Year&gt;2012&lt;/Year&gt;&lt;RecNum&gt;15&lt;/RecNum&gt;&lt;DisplayText&gt;&lt;style face="superscript"&gt;4&lt;/style&gt;&lt;/DisplayText&gt;&lt;record&gt;&lt;rec-number&gt;15&lt;/rec-number&gt;&lt;foreign-keys&gt;&lt;key app="EN" db-id="rvxe0exprat2w9evvvvxwe2owzrpwfzpzzv5"&gt;15&lt;/key&gt;&lt;/foreign-keys&gt;&lt;ref-type name="Journal Article"&gt;17&lt;/ref-type&gt;&lt;contributors&gt;&lt;authors&gt;&lt;author&gt;Collard, Rose M&lt;/author&gt;&lt;author&gt;Boter, Han&lt;/author&gt;&lt;author&gt;Schoevers, Robert A&lt;/author&gt;&lt;author&gt;Oude Voshaar, Richard C&lt;/author&gt;&lt;/authors&gt;&lt;/contributors&gt;&lt;titles&gt;&lt;title&gt;Prevalence of frailty in community‐dwelling older persons: a systematic review&lt;/title&gt;&lt;secondary-title&gt;Journal of the American Geriatrics Society&lt;/secondary-title&gt;&lt;/titles&gt;&lt;periodical&gt;&lt;full-title&gt;Journal of the American Geriatrics Society&lt;/full-title&gt;&lt;/periodical&gt;&lt;pages&gt;1487-1492&lt;/pages&gt;&lt;volume&gt;60&lt;/volume&gt;&lt;number&gt;8&lt;/number&gt;&lt;dates&gt;&lt;year&gt;2012&lt;/year&gt;&lt;/dates&gt;&lt;isbn&gt;1532-5415&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4</w:t>
        </w:r>
        <w:r w:rsidR="0036052C" w:rsidRPr="009D1CA6">
          <w:rPr>
            <w:rFonts w:asciiTheme="majorBidi" w:hAnsiTheme="majorBidi" w:cstheme="majorBidi"/>
          </w:rPr>
          <w:fldChar w:fldCharType="end"/>
        </w:r>
      </w:hyperlink>
      <w:r w:rsidR="00C82C8C">
        <w:rPr>
          <w:rFonts w:asciiTheme="majorBidi" w:hAnsiTheme="majorBidi" w:cstheme="majorBidi"/>
        </w:rPr>
        <w:t xml:space="preserve"> </w:t>
      </w:r>
      <w:r w:rsidRPr="009D1CA6">
        <w:rPr>
          <w:rFonts w:asciiTheme="majorBidi" w:hAnsiTheme="majorBidi" w:cstheme="majorBidi"/>
        </w:rPr>
        <w:t xml:space="preserve">It also </w:t>
      </w:r>
      <w:r w:rsidR="00204886" w:rsidRPr="009D1CA6">
        <w:rPr>
          <w:rFonts w:asciiTheme="majorBidi" w:hAnsiTheme="majorBidi" w:cstheme="majorBidi"/>
        </w:rPr>
        <w:t xml:space="preserve">leads </w:t>
      </w:r>
      <w:r w:rsidR="003B61C1">
        <w:rPr>
          <w:rFonts w:asciiTheme="majorBidi" w:hAnsiTheme="majorBidi" w:cstheme="majorBidi"/>
        </w:rPr>
        <w:t>to</w:t>
      </w:r>
      <w:r w:rsidRPr="009D1CA6">
        <w:rPr>
          <w:rFonts w:asciiTheme="majorBidi" w:hAnsiTheme="majorBidi" w:cstheme="majorBidi"/>
        </w:rPr>
        <w:t xml:space="preserve"> greater risk of negative health outcomes at old age</w:t>
      </w:r>
      <w:r w:rsidR="00C82C8C">
        <w:rPr>
          <w:rFonts w:asciiTheme="majorBidi" w:hAnsiTheme="majorBidi" w:cstheme="majorBidi"/>
        </w:rPr>
        <w:t>.</w:t>
      </w:r>
      <w:hyperlink w:anchor="_ENREF_2" w:tooltip="Fried, 2001 #13"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&lt;EndNote&gt;&lt;Cite&gt;&lt;Author&gt;Fried&lt;/Author&gt;&lt;Year&gt;2001&lt;/Year&gt;&lt;RecNum&gt;13&lt;/RecNum&gt;&lt;DisplayText&gt;&lt;style face="superscript"&gt;2&lt;/style&gt;&lt;/DisplayText&gt;&lt;record&gt;&lt;rec-number&gt;13&lt;/rec-number&gt;&lt;foreign-keys&gt;&lt;key app="EN" db-id="rvxe0exprat2w9evvvvxwe2owzrpwfzpzzv5"&gt;13&lt;/key&gt;&lt;/foreign-keys&gt;&lt;ref-type name="Journal Article"&gt;17&lt;/ref-type&gt;&lt;contributors&gt;&lt;authors&gt;&lt;author&gt;Fried, Linda P&lt;/author&gt;&lt;author&gt;Tangen, Catherine M&lt;/author&gt;&lt;author&gt;Walston, Jeremy&lt;/author&gt;&lt;author&gt;Newman, Anne B&lt;/author&gt;&lt;author&gt;Hirsch, Calvin&lt;/author&gt;&lt;author&gt;Gottdiener, John&lt;/author&gt;&lt;author&gt;Seeman, Teresa&lt;/author&gt;&lt;author&gt;Tracy, Russell&lt;/author&gt;&lt;author&gt;Kop, Willem J&lt;/author&gt;&lt;author&gt;Burke, Gregory&lt;/author&gt;&lt;/authors&gt;&lt;/contributors&gt;&lt;titles&gt;&lt;title&gt;Frailty in older adults: evidence for a phenotype&lt;/title&gt;&lt;secondary-title&gt;The Journals of Gerontology Series A: Biological Sciences and Medical Sciences&lt;/secondary-title&gt;&lt;/titles&gt;&lt;periodical&gt;&lt;full-title&gt;The Journals of Gerontology Series A: Biological Sciences and Medical Sciences&lt;/full-title&gt;&lt;/periodical&gt;&lt;pages&gt;M146-M157&lt;/pages&gt;&lt;volume&gt;56&lt;/volume&gt;&lt;number&gt;3&lt;/number&gt;&lt;dates&gt;&lt;year&gt;2001&lt;/year&gt;&lt;/dates&gt;&lt;isbn&gt;1758-535X&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2</w:t>
        </w:r>
        <w:r w:rsidR="0036052C" w:rsidRPr="009D1CA6">
          <w:rPr>
            <w:rFonts w:asciiTheme="majorBidi" w:hAnsiTheme="majorBidi" w:cstheme="majorBidi"/>
          </w:rPr>
          <w:fldChar w:fldCharType="end"/>
        </w:r>
      </w:hyperlink>
      <w:r w:rsidR="00724D7E">
        <w:rPr>
          <w:rFonts w:asciiTheme="majorBidi" w:hAnsiTheme="majorBidi" w:cstheme="majorBidi"/>
        </w:rPr>
        <w:t xml:space="preserve"> </w:t>
      </w:r>
      <w:r w:rsidRPr="009D1CA6">
        <w:rPr>
          <w:rFonts w:asciiTheme="majorBidi" w:hAnsiTheme="majorBidi" w:cstheme="majorBidi"/>
        </w:rPr>
        <w:t>Furthermore, frailty ha</w:t>
      </w:r>
      <w:r w:rsidR="00204886">
        <w:rPr>
          <w:rFonts w:asciiTheme="majorBidi" w:hAnsiTheme="majorBidi" w:cstheme="majorBidi"/>
        </w:rPr>
        <w:t>s</w:t>
      </w:r>
      <w:r w:rsidRPr="009D1CA6">
        <w:rPr>
          <w:rFonts w:asciiTheme="majorBidi" w:hAnsiTheme="majorBidi" w:cstheme="majorBidi"/>
        </w:rPr>
        <w:t xml:space="preserve"> an impact on the society as it subjects groups of the society to higher risk of dependency and greater need </w:t>
      </w:r>
      <w:r w:rsidR="00A53185">
        <w:rPr>
          <w:rFonts w:asciiTheme="majorBidi" w:hAnsiTheme="majorBidi" w:cstheme="majorBidi"/>
        </w:rPr>
        <w:t>for</w:t>
      </w:r>
      <w:r w:rsidR="00A53185" w:rsidRPr="009D1CA6">
        <w:rPr>
          <w:rFonts w:asciiTheme="majorBidi" w:hAnsiTheme="majorBidi" w:cstheme="majorBidi"/>
        </w:rPr>
        <w:t xml:space="preserve"> </w:t>
      </w:r>
      <w:r w:rsidRPr="009D1CA6">
        <w:rPr>
          <w:rFonts w:asciiTheme="majorBidi" w:hAnsiTheme="majorBidi" w:cstheme="majorBidi"/>
        </w:rPr>
        <w:t>medical attention</w:t>
      </w:r>
      <w:r w:rsidR="00C82C8C">
        <w:rPr>
          <w:rFonts w:asciiTheme="majorBidi" w:hAnsiTheme="majorBidi" w:cstheme="majorBidi"/>
        </w:rPr>
        <w:t>.</w:t>
      </w:r>
      <w:hyperlink w:anchor="_ENREF_5" w:tooltip="Buckinx, 2015 #16"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&lt;EndNote&gt;&lt;Cite&gt;&lt;Author&gt;Buckinx&lt;/Author&gt;&lt;Year&gt;2015&lt;/Year&gt;&lt;RecNum&gt;16&lt;/RecNum&gt;&lt;DisplayText&gt;&lt;style face="superscript"&gt;5&lt;/style&gt;&lt;/DisplayText&gt;&lt;record&gt;&lt;rec-number&gt;16&lt;/rec-number&gt;&lt;foreign-keys&gt;&lt;key app="EN" db-id="rvxe0exprat2w9evvvvxwe2owzrpwfzpzzv5"&gt;16&lt;/key&gt;&lt;/foreign-keys&gt;&lt;ref-type name="Journal Article"&gt;17&lt;/ref-type&gt;&lt;contributors&gt;&lt;authors&gt;&lt;author&gt;Buckinx, Fanny&lt;/author&gt;&lt;author&gt;Rolland, Yves&lt;/author&gt;&lt;author&gt;Reginster, Jean-Yves&lt;/author&gt;&lt;author&gt;Ricour, Céline&lt;/author&gt;&lt;author&gt;Petermans, Jean&lt;/author&gt;&lt;author&gt;Bruyère, Olivier&lt;/author&gt;&lt;/authors&gt;&lt;/contributors&gt;&lt;titles&gt;&lt;title&gt;Burden of frailty in the elderly population: perspectives for a public health challenge&lt;/title&gt;&lt;secondary-title&gt;Archives of Public Health&lt;/secondary-title&gt;&lt;/titles&gt;&lt;periodical&gt;&lt;full-title&gt;Archives of Public Health&lt;/full-title&gt;&lt;/periodical&gt;&lt;pages&gt;19&lt;/pages&gt;&lt;volume&gt;73&lt;/volume&gt;&lt;number&gt;1&lt;/number&gt;&lt;dates&gt;&lt;year&gt;2015&lt;/year&gt;&lt;/dates&gt;&lt;isbn&gt;2049-3258&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5</w:t>
        </w:r>
        <w:r w:rsidR="0036052C" w:rsidRPr="009D1CA6">
          <w:rPr>
            <w:rFonts w:asciiTheme="majorBidi" w:hAnsiTheme="majorBidi" w:cstheme="majorBidi"/>
          </w:rPr>
          <w:fldChar w:fldCharType="end"/>
        </w:r>
      </w:hyperlink>
      <w:r w:rsidR="009C0C2E">
        <w:rPr>
          <w:rFonts w:asciiTheme="majorBidi" w:hAnsiTheme="majorBidi" w:cstheme="majorBidi"/>
        </w:rPr>
        <w:t xml:space="preserve"> </w:t>
      </w:r>
      <w:r w:rsidR="00EC6258" w:rsidRPr="009D1CA6">
        <w:rPr>
          <w:rFonts w:asciiTheme="majorBidi" w:hAnsiTheme="majorBidi" w:cstheme="majorBidi"/>
        </w:rPr>
        <w:t xml:space="preserve">It also </w:t>
      </w:r>
      <w:r w:rsidRPr="009D1CA6">
        <w:rPr>
          <w:rFonts w:asciiTheme="majorBidi" w:hAnsiTheme="majorBidi" w:cstheme="majorBidi"/>
        </w:rPr>
        <w:t>impact</w:t>
      </w:r>
      <w:r w:rsidR="00A53185">
        <w:rPr>
          <w:rFonts w:asciiTheme="majorBidi" w:hAnsiTheme="majorBidi" w:cstheme="majorBidi"/>
        </w:rPr>
        <w:t>s</w:t>
      </w:r>
      <w:r w:rsidRPr="009D1CA6">
        <w:rPr>
          <w:rFonts w:asciiTheme="majorBidi" w:hAnsiTheme="majorBidi" w:cstheme="majorBidi"/>
        </w:rPr>
        <w:t xml:space="preserve"> healthcare systems sustainability in terms of management and provision of services and expenditure</w:t>
      </w:r>
      <w:r w:rsidR="00C82C8C">
        <w:rPr>
          <w:rFonts w:asciiTheme="majorBidi" w:hAnsiTheme="majorBidi" w:cstheme="majorBidi"/>
        </w:rPr>
        <w:t>.</w:t>
      </w:r>
      <w:r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&lt;EndNote&gt;&lt;Cite&gt;&lt;Author&gt;Cesari&lt;/Author&gt;&lt;Year&gt;2016&lt;/Year&gt;&lt;RecNum&gt;17&lt;/RecNum&gt;&lt;DisplayText&gt;&lt;style face="superscript"&gt;5, 6&lt;/style&gt;&lt;/DisplayText&gt;&lt;record&gt;&lt;rec-number&gt;17&lt;/rec-number&gt;&lt;foreign-keys&gt;&lt;key app="EN" db-id="rvxe0exprat2w9evvvvxwe2owzrpwfzpzzv5"&gt;17&lt;/key&gt;&lt;/foreign-keys&gt;&lt;ref-type name="Journal Article"&gt;17&lt;/ref-type&gt;&lt;contributors&gt;&lt;authors&gt;&lt;author&gt;Cesari, Matteo&lt;/author&gt;&lt;author&gt;Prince, Martin&lt;/author&gt;&lt;author&gt;Thiyagarajan, Jotheeswaran Amuthavalli&lt;/author&gt;&lt;author&gt;De Carvalho, Islene Araujo&lt;/author&gt;&lt;author&gt;Bernabei, Roberto&lt;/author&gt;&lt;author&gt;Chan, Piu&lt;/author&gt;&lt;author&gt;Gutierrez-Robledo, Luis Miguel&lt;/author&gt;&lt;author&gt;Michel, Jean-Pierre&lt;/author&gt;&lt;author&gt;Morley, John E&lt;/author&gt;&lt;author&gt;Ong, Paul&lt;/author&gt;&lt;/authors&gt;&lt;/contributors&gt;&lt;titles&gt;&lt;title&gt;Frailty: an emerging public health priority&lt;/title&gt;&lt;secondary-title&gt;Journal of the American Medical Directors Association&lt;/secondary-title&gt;&lt;/titles&gt;&lt;periodical&gt;&lt;full-title&gt;Journal of the American Medical Directors Association&lt;/full-title&gt;&lt;/periodical&gt;&lt;pages&gt;188-192&lt;/pages&gt;&lt;volume&gt;17&lt;/volume&gt;&lt;number&gt;3&lt;/number&gt;&lt;dates&gt;&lt;year&gt;2016&lt;/year&gt;&lt;/dates&gt;&lt;isbn&gt;1525-8610&lt;/isbn&gt;&lt;urls&gt;&lt;/urls&gt;&lt;/record&gt;&lt;/Cite&gt;&lt;Cite&gt;&lt;Author&gt;Buckinx&lt;/Author&gt;&lt;Year&gt;2015&lt;/Year&gt;&lt;RecNum&gt;16&lt;/RecNum&gt;&lt;record&gt;&lt;rec-number&gt;16&lt;/rec-number&gt;&lt;foreign-keys&gt;&lt;key app="EN" db-id="rvxe0exprat2w9evvvvxwe2owzrpwfzpzzv5"&gt;16&lt;/key&gt;&lt;/foreign-keys&gt;&lt;ref-type name="Journal Article"&gt;17&lt;/ref-type&gt;&lt;contributors&gt;&lt;authors&gt;&lt;author&gt;Buckinx, Fanny&lt;/author&gt;&lt;author&gt;Rolland, Yves&lt;/author&gt;&lt;author&gt;Reginster, Jean-Yves&lt;/author&gt;&lt;author&gt;Ricour, Céline&lt;/author&gt;&lt;author&gt;Petermans, Jean&lt;/author&gt;&lt;author&gt;Bruyère, Olivier&lt;/author&gt;&lt;/authors&gt;&lt;/contributors&gt;&lt;titles&gt;&lt;title&gt;Burden of frailty in the elderly population: perspectives for a public health challenge&lt;/title&gt;&lt;secondary-title&gt;Archives of Public Health&lt;/secondary-title&gt;&lt;/titles&gt;&lt;periodical&gt;&lt;full-title&gt;Archives of Public Health&lt;/full-title&gt;&lt;/periodical&gt;&lt;pages&gt;19&lt;/pages&gt;&lt;volume&gt;73&lt;/volume&gt;&lt;number&gt;1&lt;/number&gt;&lt;dates&gt;&lt;year&gt;2015&lt;/year&gt;&lt;/dates&gt;&lt;isbn&gt;2049-3258&lt;/isbn&gt;&lt;urls&gt;&lt;/urls&gt;&lt;/record&gt;&lt;/Cite&gt;&lt;/EndNote&gt;</w:instrText>
      </w:r>
      <w:r w:rsidRPr="009D1CA6">
        <w:rPr>
          <w:rFonts w:asciiTheme="majorBidi" w:hAnsiTheme="majorBidi" w:cstheme="majorBidi"/>
        </w:rPr>
        <w:fldChar w:fldCharType="separate"/>
      </w:r>
      <w:hyperlink w:anchor="_ENREF_5" w:tooltip="Buckinx, 2015 #16" w:history="1">
        <w:r w:rsidR="0036052C" w:rsidRPr="0036052C">
          <w:rPr>
            <w:rFonts w:asciiTheme="majorBidi" w:hAnsiTheme="majorBidi" w:cstheme="majorBidi"/>
            <w:noProof/>
            <w:vertAlign w:val="superscript"/>
          </w:rPr>
          <w:t>5</w:t>
        </w:r>
      </w:hyperlink>
      <w:r w:rsidR="0036052C" w:rsidRPr="0036052C">
        <w:rPr>
          <w:rFonts w:asciiTheme="majorBidi" w:hAnsiTheme="majorBidi" w:cstheme="majorBidi"/>
          <w:noProof/>
          <w:vertAlign w:val="superscript"/>
        </w:rPr>
        <w:t xml:space="preserve">, </w:t>
      </w:r>
      <w:hyperlink w:anchor="_ENREF_6" w:tooltip="Cesari, 2016 #17" w:history="1">
        <w:r w:rsidR="0036052C" w:rsidRPr="0036052C">
          <w:rPr>
            <w:rFonts w:asciiTheme="majorBidi" w:hAnsiTheme="majorBidi" w:cstheme="majorBidi"/>
            <w:noProof/>
            <w:vertAlign w:val="superscript"/>
          </w:rPr>
          <w:t>6</w:t>
        </w:r>
      </w:hyperlink>
      <w:r w:rsidRPr="009D1CA6">
        <w:rPr>
          <w:rFonts w:asciiTheme="majorBidi" w:hAnsiTheme="majorBidi" w:cstheme="majorBidi"/>
        </w:rPr>
        <w:fldChar w:fldCharType="end"/>
      </w:r>
      <w:r w:rsidR="00C82C8C">
        <w:rPr>
          <w:rFonts w:asciiTheme="majorBidi" w:hAnsiTheme="majorBidi" w:cstheme="majorBidi"/>
        </w:rPr>
        <w:t xml:space="preserve"> </w:t>
      </w:r>
      <w:r w:rsidRPr="009D1CA6">
        <w:rPr>
          <w:rFonts w:asciiTheme="majorBidi" w:hAnsiTheme="majorBidi" w:cstheme="majorBidi"/>
        </w:rPr>
        <w:t xml:space="preserve"> </w:t>
      </w:r>
      <w:r w:rsidR="00A53185">
        <w:rPr>
          <w:rFonts w:asciiTheme="majorBidi" w:hAnsiTheme="majorBidi" w:cstheme="majorBidi"/>
        </w:rPr>
        <w:t>However</w:t>
      </w:r>
      <w:r w:rsidRPr="009D1CA6">
        <w:rPr>
          <w:rFonts w:asciiTheme="majorBidi" w:hAnsiTheme="majorBidi" w:cstheme="majorBidi"/>
        </w:rPr>
        <w:t xml:space="preserve">, </w:t>
      </w:r>
      <w:r w:rsidR="0015546D">
        <w:rPr>
          <w:rFonts w:asciiTheme="majorBidi" w:hAnsiTheme="majorBidi" w:cstheme="majorBidi"/>
        </w:rPr>
        <w:t xml:space="preserve">it was suggested that </w:t>
      </w:r>
      <w:r w:rsidRPr="009D1CA6">
        <w:rPr>
          <w:rFonts w:asciiTheme="majorBidi" w:hAnsiTheme="majorBidi" w:cstheme="majorBidi"/>
        </w:rPr>
        <w:t>early stages of frailty could be reversible by implementation of nutritional supplementation</w:t>
      </w:r>
      <w:r w:rsidR="00C82C8C">
        <w:rPr>
          <w:rFonts w:asciiTheme="majorBidi" w:hAnsiTheme="majorBidi" w:cstheme="majorBidi"/>
        </w:rPr>
        <w:t>,</w:t>
      </w:r>
      <w:r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&lt;EndNote&gt;&lt;Cite&gt;&lt;Author&gt;Latham&lt;/Author&gt;&lt;Year&gt;2003&lt;/Year&gt;&lt;RecNum&gt;18&lt;/RecNum&gt;&lt;DisplayText&gt;&lt;style face="superscript"&gt;7, 8&lt;/style&gt;&lt;/DisplayText&gt;&lt;record&gt;&lt;rec-number&gt;18&lt;/rec-number&gt;&lt;foreign-keys&gt;&lt;key app="EN" db-id="rvxe0exprat2w9evvvvxwe2owzrpwfzpzzv5"&gt;18&lt;/key&gt;&lt;/foreign-keys&gt;&lt;ref-type name="Journal Article"&gt;17&lt;/ref-type&gt;&lt;contributors&gt;&lt;authors&gt;&lt;author&gt;Latham, Nancy K&lt;/author&gt;&lt;author&gt;Anderson, Craig S&lt;/author&gt;&lt;author&gt;Lee, Arier&lt;/author&gt;&lt;author&gt;Bennett, Derrick A&lt;/author&gt;&lt;author&gt;Moseley, Anne&lt;/author&gt;&lt;author&gt;Cameron, Ian D&lt;/author&gt;&lt;/authors&gt;&lt;/contributors&gt;&lt;titles&gt;&lt;title&gt;A randomized, controlled trial of quadriceps resistance exercise and vitamin D in frail older people: the Frailty Interventions Trial in Elderly Subjects (FITNESS)&lt;/title&gt;&lt;secondary-title&gt;Journal of the American Geriatrics Society&lt;/secondary-title&gt;&lt;/titles&gt;&lt;periodical&gt;&lt;full-title&gt;Journal of the American Geriatrics Society&lt;/full-title&gt;&lt;/periodical&gt;&lt;pages&gt;291-299&lt;/pages&gt;&lt;volume&gt;51&lt;/volume&gt;&lt;number&gt;3&lt;/number&gt;&lt;dates&gt;&lt;year&gt;2003&lt;/year&gt;&lt;/dates&gt;&lt;isbn&gt;1532-5415&lt;/isbn&gt;&lt;urls&gt;&lt;/urls&gt;&lt;/record&gt;&lt;/Cite&gt;&lt;Cite&gt;&lt;Author&gt;Paw&lt;/Author&gt;&lt;Year&gt;2001&lt;/Year&gt;&lt;RecNum&gt;19&lt;/RecNum&gt;&lt;record&gt;&lt;rec-number&gt;19&lt;/rec-number&gt;&lt;foreign-keys&gt;&lt;key app="EN" db-id="rvxe0exprat2w9evvvvxwe2owzrpwfzpzzv5"&gt;19&lt;/key&gt;&lt;/foreign-keys&gt;&lt;ref-type name="Journal Article"&gt;17&lt;/ref-type&gt;&lt;contributors&gt;&lt;authors&gt;&lt;author&gt;Paw, Marijke JM Chin A&lt;/author&gt;&lt;author&gt;de Jong, Nynke&lt;/author&gt;&lt;author&gt;Schouten, Evert G&lt;/author&gt;&lt;author&gt;Hiddink, Gerrit J&lt;/author&gt;&lt;author&gt;Kok, Frans J&lt;/author&gt;&lt;/authors&gt;&lt;/contributors&gt;&lt;titles&gt;&lt;title&gt;Physical exercise and/or enriched foods for functional improvement in frail, independently living elderly: a randomized controlled trial&lt;/title&gt;&lt;secondary-title&gt;Archives of physical medicine and rehabilitation&lt;/secondary-title&gt;&lt;/titles&gt;&lt;periodical&gt;&lt;full-title&gt;Archives of physical medicine and rehabilitation&lt;/full-title&gt;&lt;/periodical&gt;&lt;pages&gt;811-817&lt;/pages&gt;&lt;volume&gt;82&lt;/volume&gt;&lt;number&gt;6&lt;/number&gt;&lt;dates&gt;&lt;year&gt;2001&lt;/year&gt;&lt;/dates&gt;&lt;isbn&gt;0003-9993&lt;/isbn&gt;&lt;urls&gt;&lt;/urls&gt;&lt;/record&gt;&lt;/Cite&gt;&lt;/EndNote&gt;</w:instrText>
      </w:r>
      <w:r w:rsidRPr="009D1CA6">
        <w:rPr>
          <w:rFonts w:asciiTheme="majorBidi" w:hAnsiTheme="majorBidi" w:cstheme="majorBidi"/>
        </w:rPr>
        <w:fldChar w:fldCharType="separate"/>
      </w:r>
      <w:hyperlink w:anchor="_ENREF_7" w:tooltip="Latham, 2003 #18" w:history="1">
        <w:r w:rsidR="0036052C" w:rsidRPr="0036052C">
          <w:rPr>
            <w:rFonts w:asciiTheme="majorBidi" w:hAnsiTheme="majorBidi" w:cstheme="majorBidi"/>
            <w:noProof/>
            <w:vertAlign w:val="superscript"/>
          </w:rPr>
          <w:t>7</w:t>
        </w:r>
      </w:hyperlink>
      <w:r w:rsidR="0036052C" w:rsidRPr="0036052C">
        <w:rPr>
          <w:rFonts w:asciiTheme="majorBidi" w:hAnsiTheme="majorBidi" w:cstheme="majorBidi"/>
          <w:noProof/>
          <w:vertAlign w:val="superscript"/>
        </w:rPr>
        <w:t xml:space="preserve">, </w:t>
      </w:r>
      <w:hyperlink w:anchor="_ENREF_8" w:tooltip="Paw, 2001 #19" w:history="1">
        <w:r w:rsidR="0036052C" w:rsidRPr="0036052C">
          <w:rPr>
            <w:rFonts w:asciiTheme="majorBidi" w:hAnsiTheme="majorBidi" w:cstheme="majorBidi"/>
            <w:noProof/>
            <w:vertAlign w:val="superscript"/>
          </w:rPr>
          <w:t>8</w:t>
        </w:r>
      </w:hyperlink>
      <w:r w:rsidRPr="009D1CA6">
        <w:rPr>
          <w:rFonts w:asciiTheme="majorBidi" w:hAnsiTheme="majorBidi" w:cstheme="majorBidi"/>
        </w:rPr>
        <w:fldChar w:fldCharType="end"/>
      </w:r>
      <w:r w:rsidRPr="009D1CA6">
        <w:rPr>
          <w:rFonts w:asciiTheme="majorBidi" w:hAnsiTheme="majorBidi" w:cstheme="majorBidi"/>
        </w:rPr>
        <w:t xml:space="preserve"> and physical exercise programs</w:t>
      </w:r>
      <w:r w:rsidR="00C82C8C">
        <w:rPr>
          <w:rFonts w:asciiTheme="majorBidi" w:hAnsiTheme="majorBidi" w:cstheme="majorBidi"/>
        </w:rPr>
        <w:t>.</w:t>
      </w:r>
      <w:hyperlink w:anchor="_ENREF_9" w:tooltip="Faber, 2006 #20"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&lt;EndNote&gt;&lt;Cite&gt;&lt;Author&gt;Faber&lt;/Author&gt;&lt;Year&gt;2006&lt;/Year&gt;&lt;RecNum&gt;20&lt;/RecNum&gt;&lt;DisplayText&gt;&lt;style face="superscript"&gt;9&lt;/style&gt;&lt;/DisplayText&gt;&lt;record&gt;&lt;rec-number&gt;20&lt;/rec-number&gt;&lt;foreign-keys&gt;&lt;key app="EN" db-id="rvxe0exprat2w9evvvvxwe2owzrpwfzpzzv5"&gt;20&lt;/key&gt;&lt;/foreign-keys&gt;&lt;ref-type name="Journal Article"&gt;17&lt;/ref-type&gt;&lt;contributors&gt;&lt;authors&gt;&lt;author&gt;Faber, Marjan J&lt;/author&gt;&lt;author&gt;Bosscher, Ruud J&lt;/author&gt;&lt;author&gt;Paw, Marijke J Chin A&lt;/author&gt;&lt;author&gt;van Wieringen, Piet C&lt;/author&gt;&lt;/authors&gt;&lt;/contributors&gt;&lt;titles&gt;&lt;title&gt;Effects of exercise programs on falls and mobility in frail and pre-frail older adults: a multicenter randomized controlled trial&lt;/title&gt;&lt;secondary-title&gt;Archives of physical medicine and rehabilitation&lt;/secondary-title&gt;&lt;/titles&gt;&lt;periodical&gt;&lt;full-title&gt;Archives of physical medicine and rehabilitation&lt;/full-title&gt;&lt;/periodical&gt;&lt;pages&gt;885-896&lt;/pages&gt;&lt;volume&gt;87&lt;/volume&gt;&lt;number&gt;7&lt;/number&gt;&lt;dates&gt;&lt;year&gt;2006&lt;/year&gt;&lt;/dates&gt;&lt;isbn&gt;0003-9993&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9</w:t>
        </w:r>
        <w:r w:rsidR="0036052C" w:rsidRPr="009D1CA6">
          <w:rPr>
            <w:rFonts w:asciiTheme="majorBidi" w:hAnsiTheme="majorBidi" w:cstheme="majorBidi"/>
          </w:rPr>
          <w:fldChar w:fldCharType="end"/>
        </w:r>
      </w:hyperlink>
    </w:p>
    <w:p w14:paraId="5D86B6E2" w14:textId="2AA798AE" w:rsidR="00905FE1" w:rsidRPr="009D1CA6" w:rsidRDefault="00905FE1" w:rsidP="00C526F6">
      <w:pPr>
        <w:spacing w:line="480" w:lineRule="auto"/>
        <w:jc w:val="both"/>
        <w:rPr>
          <w:rFonts w:asciiTheme="majorBidi" w:hAnsiTheme="majorBidi" w:cstheme="majorBidi"/>
        </w:rPr>
      </w:pPr>
      <w:r w:rsidRPr="009D1CA6">
        <w:rPr>
          <w:rFonts w:asciiTheme="majorBidi" w:hAnsiTheme="majorBidi" w:cstheme="majorBidi"/>
        </w:rPr>
        <w:t>Multiple frailty models</w:t>
      </w:r>
      <w:r w:rsidR="003203ED">
        <w:rPr>
          <w:rFonts w:asciiTheme="majorBidi" w:hAnsiTheme="majorBidi" w:cstheme="majorBidi"/>
        </w:rPr>
        <w:t xml:space="preserve"> </w:t>
      </w:r>
      <w:r w:rsidRPr="009D1CA6">
        <w:rPr>
          <w:rFonts w:asciiTheme="majorBidi" w:hAnsiTheme="majorBidi" w:cstheme="majorBidi"/>
        </w:rPr>
        <w:t>have been developed based on different conceptual definitions</w:t>
      </w:r>
      <w:r w:rsidR="00EC6258" w:rsidRPr="009D1CA6">
        <w:rPr>
          <w:rFonts w:asciiTheme="majorBidi" w:hAnsiTheme="majorBidi" w:cstheme="majorBidi"/>
        </w:rPr>
        <w:t>.</w:t>
      </w:r>
      <w:r w:rsidRPr="009D1CA6">
        <w:rPr>
          <w:rFonts w:asciiTheme="majorBidi" w:hAnsiTheme="majorBidi" w:cstheme="majorBidi"/>
        </w:rPr>
        <w:t xml:space="preserve"> </w:t>
      </w:r>
      <w:r w:rsidR="00EC6258" w:rsidRPr="009D1CA6">
        <w:rPr>
          <w:rFonts w:asciiTheme="majorBidi" w:hAnsiTheme="majorBidi" w:cstheme="majorBidi"/>
        </w:rPr>
        <w:t>T</w:t>
      </w:r>
      <w:r w:rsidRPr="009D1CA6">
        <w:rPr>
          <w:rFonts w:asciiTheme="majorBidi" w:hAnsiTheme="majorBidi" w:cstheme="majorBidi"/>
        </w:rPr>
        <w:t xml:space="preserve">he two </w:t>
      </w:r>
      <w:r w:rsidR="00204886">
        <w:rPr>
          <w:rFonts w:asciiTheme="majorBidi" w:hAnsiTheme="majorBidi" w:cstheme="majorBidi"/>
        </w:rPr>
        <w:t>main</w:t>
      </w:r>
      <w:r w:rsidR="00204886" w:rsidRPr="009D1CA6">
        <w:rPr>
          <w:rFonts w:asciiTheme="majorBidi" w:hAnsiTheme="majorBidi" w:cstheme="majorBidi"/>
        </w:rPr>
        <w:t xml:space="preserve"> </w:t>
      </w:r>
      <w:r w:rsidRPr="009D1CA6">
        <w:rPr>
          <w:rFonts w:asciiTheme="majorBidi" w:hAnsiTheme="majorBidi" w:cstheme="majorBidi"/>
        </w:rPr>
        <w:t>models are the</w:t>
      </w:r>
      <w:r w:rsidR="003203ED">
        <w:rPr>
          <w:rFonts w:asciiTheme="majorBidi" w:hAnsiTheme="majorBidi" w:cstheme="majorBidi"/>
        </w:rPr>
        <w:t xml:space="preserve"> Fried’s </w:t>
      </w:r>
      <w:r w:rsidRPr="009D1CA6">
        <w:rPr>
          <w:rFonts w:asciiTheme="majorBidi" w:hAnsiTheme="majorBidi" w:cstheme="majorBidi"/>
        </w:rPr>
        <w:t xml:space="preserve">phenotype model and the frailty index model. </w:t>
      </w:r>
      <w:r w:rsidR="0020075E">
        <w:rPr>
          <w:rFonts w:asciiTheme="majorBidi" w:hAnsiTheme="majorBidi" w:cstheme="majorBidi"/>
        </w:rPr>
        <w:t>The</w:t>
      </w:r>
      <w:r w:rsidRPr="009D1CA6">
        <w:rPr>
          <w:rFonts w:asciiTheme="majorBidi" w:hAnsiTheme="majorBidi" w:cstheme="majorBidi"/>
        </w:rPr>
        <w:t xml:space="preserve"> phenotype</w:t>
      </w:r>
      <w:r w:rsidR="0020075E">
        <w:rPr>
          <w:rFonts w:asciiTheme="majorBidi" w:hAnsiTheme="majorBidi" w:cstheme="majorBidi"/>
        </w:rPr>
        <w:t xml:space="preserve"> model</w:t>
      </w:r>
      <w:r w:rsidRPr="009D1CA6">
        <w:rPr>
          <w:rFonts w:asciiTheme="majorBidi" w:hAnsiTheme="majorBidi" w:cstheme="majorBidi"/>
        </w:rPr>
        <w:t xml:space="preserve"> operationalize</w:t>
      </w:r>
      <w:r w:rsidR="007D768B">
        <w:rPr>
          <w:rFonts w:asciiTheme="majorBidi" w:hAnsiTheme="majorBidi" w:cstheme="majorBidi"/>
        </w:rPr>
        <w:t>s frailty</w:t>
      </w:r>
      <w:r w:rsidRPr="009D1CA6">
        <w:rPr>
          <w:rFonts w:asciiTheme="majorBidi" w:hAnsiTheme="majorBidi" w:cstheme="majorBidi"/>
        </w:rPr>
        <w:t xml:space="preserve"> as fulfilling three or more out of five </w:t>
      </w:r>
      <w:r w:rsidR="00027098">
        <w:rPr>
          <w:rFonts w:asciiTheme="majorBidi" w:hAnsiTheme="majorBidi" w:cstheme="majorBidi"/>
        </w:rPr>
        <w:t xml:space="preserve"> physical </w:t>
      </w:r>
      <w:r w:rsidRPr="009D1CA6">
        <w:rPr>
          <w:rFonts w:asciiTheme="majorBidi" w:hAnsiTheme="majorBidi" w:cstheme="majorBidi"/>
        </w:rPr>
        <w:t>criteri</w:t>
      </w:r>
      <w:r w:rsidR="00027098">
        <w:rPr>
          <w:rFonts w:asciiTheme="majorBidi" w:hAnsiTheme="majorBidi" w:cstheme="majorBidi"/>
        </w:rPr>
        <w:t>a</w:t>
      </w:r>
      <w:r w:rsidR="00C82C8C">
        <w:rPr>
          <w:rFonts w:asciiTheme="majorBidi" w:hAnsiTheme="majorBidi" w:cstheme="majorBidi"/>
        </w:rPr>
        <w:t>.</w:t>
      </w:r>
      <w:hyperlink w:anchor="_ENREF_2" w:tooltip="Fried, 2001 #13"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&lt;EndNote&gt;&lt;Cite&gt;&lt;Author&gt;Fried&lt;/Author&gt;&lt;Year&gt;2001&lt;/Year&gt;&lt;RecNum&gt;13&lt;/RecNum&gt;&lt;DisplayText&gt;&lt;style face="superscript"&gt;2&lt;/style&gt;&lt;/DisplayText&gt;&lt;record&gt;&lt;rec-number&gt;13&lt;/rec-number&gt;&lt;foreign-keys&gt;&lt;key app="EN" db-id="rvxe0exprat2w9evvvvxwe2owzrpwfzpzzv5"&gt;13&lt;/key&gt;&lt;/foreign-keys&gt;&lt;ref-type name="Journal Article"&gt;17&lt;/ref-type&gt;&lt;contributors&gt;&lt;authors&gt;&lt;author&gt;Fried, Linda P&lt;/author&gt;&lt;author&gt;Tangen, Catherine M&lt;/author&gt;&lt;author&gt;Walston, Jeremy&lt;/author&gt;&lt;author&gt;Newman, Anne B&lt;/author&gt;&lt;author&gt;Hirsch, Calvin&lt;/author&gt;&lt;author&gt;Gottdiener, John&lt;/author&gt;&lt;author&gt;Seeman, Teresa&lt;/author&gt;&lt;author&gt;Tracy, Russell&lt;/author&gt;&lt;author&gt;Kop, Willem J&lt;/author&gt;&lt;author&gt;Burke, Gregory&lt;/author&gt;&lt;/authors&gt;&lt;/contributors&gt;&lt;titles&gt;&lt;title&gt;Frailty in older adults: evidence for a phenotype&lt;/title&gt;&lt;secondary-title&gt;The Journals of Gerontology Series A: Biological Sciences and Medical Sciences&lt;/secondary-title&gt;&lt;/titles&gt;&lt;periodical&gt;&lt;full-title&gt;The Journals of Gerontology Series A: Biological Sciences and Medical Sciences&lt;/full-title&gt;&lt;/periodical&gt;&lt;pages&gt;M146-M157&lt;/pages&gt;&lt;volume&gt;56&lt;/volume&gt;&lt;number&gt;3&lt;/number&gt;&lt;dates&gt;&lt;year&gt;2001&lt;/year&gt;&lt;/dates&gt;&lt;isbn&gt;1758-535X&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2</w:t>
        </w:r>
        <w:r w:rsidR="0036052C">
          <w:rPr>
            <w:rFonts w:asciiTheme="majorBidi" w:hAnsiTheme="majorBidi" w:cstheme="majorBidi"/>
          </w:rPr>
          <w:fldChar w:fldCharType="end"/>
        </w:r>
      </w:hyperlink>
      <w:r w:rsidR="00C82C8C">
        <w:rPr>
          <w:rFonts w:asciiTheme="majorBidi" w:hAnsiTheme="majorBidi" w:cstheme="majorBidi"/>
        </w:rPr>
        <w:t xml:space="preserve"> </w:t>
      </w:r>
      <w:r w:rsidR="00475361">
        <w:rPr>
          <w:rFonts w:asciiTheme="majorBidi" w:hAnsiTheme="majorBidi" w:cstheme="majorBidi"/>
        </w:rPr>
        <w:t>T</w:t>
      </w:r>
      <w:r w:rsidRPr="009D1CA6">
        <w:rPr>
          <w:rFonts w:asciiTheme="majorBidi" w:hAnsiTheme="majorBidi" w:cstheme="majorBidi"/>
        </w:rPr>
        <w:t>he frailty index model</w:t>
      </w:r>
      <w:r w:rsidR="00475361">
        <w:rPr>
          <w:rFonts w:asciiTheme="majorBidi" w:hAnsiTheme="majorBidi" w:cstheme="majorBidi"/>
        </w:rPr>
        <w:t>, which was</w:t>
      </w:r>
      <w:r w:rsidRPr="009D1CA6">
        <w:rPr>
          <w:rFonts w:asciiTheme="majorBidi" w:hAnsiTheme="majorBidi" w:cstheme="majorBidi"/>
        </w:rPr>
        <w:t xml:space="preserve"> developed by Rockwood et al </w:t>
      </w:r>
      <w:hyperlink w:anchor="_ENREF_10" w:tooltip="Rockwood, 2005 #28"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&lt;EndNote&gt;&lt;Cite&gt;&lt;Author&gt;Rockwood&lt;/Author&gt;&lt;Year&gt;2005&lt;/Year&gt;&lt;RecNum&gt;28&lt;/RecNum&gt;&lt;DisplayText&gt;&lt;style face="superscript"&gt;10&lt;/style&gt;&lt;/DisplayText&gt;&lt;record&gt;&lt;rec-number&gt;28&lt;/rec-number&gt;&lt;foreign-keys&gt;&lt;key app="EN" db-id="rvxe0exprat2w9evvvvxwe2owzrpwfzpzzv5"&gt;28&lt;/key&gt;&lt;/foreign-keys&gt;&lt;ref-type name="Journal Article"&gt;17&lt;/ref-type&gt;&lt;contributors&gt;&lt;authors&gt;&lt;author&gt;Rockwood, Kenneth&lt;/author&gt;&lt;author&gt;Song, Xiaowei&lt;/author&gt;&lt;author&gt;MacKnight, Chris&lt;/author&gt;&lt;author&gt;Bergman, Howard&lt;/author&gt;&lt;author&gt;Hogan, David B&lt;/author&gt;&lt;author&gt;McDowell, Ian&lt;/author&gt;&lt;author&gt;Mitnitski, Arnold&lt;/author&gt;&lt;/authors&gt;&lt;/contributors&gt;&lt;titles&gt;&lt;title&gt;A global clinical measure of fitness and frailty in elderly people&lt;/title&gt;&lt;secondary-title&gt;Canadian Medical Association Journal&lt;/secondary-title&gt;&lt;/titles&gt;&lt;periodical&gt;&lt;full-title&gt;Canadian Medical Association Journal&lt;/full-title&gt;&lt;/periodical&gt;&lt;pages&gt;489-495&lt;/pages&gt;&lt;volume&gt;173&lt;/volume&gt;&lt;number&gt;5&lt;/number&gt;&lt;dates&gt;&lt;year&gt;2005&lt;/year&gt;&lt;/dates&gt;&lt;isbn&gt;0820-3946&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10</w:t>
        </w:r>
        <w:r w:rsidR="0036052C" w:rsidRPr="009D1CA6">
          <w:rPr>
            <w:rFonts w:asciiTheme="majorBidi" w:hAnsiTheme="majorBidi" w:cstheme="majorBidi"/>
          </w:rPr>
          <w:fldChar w:fldCharType="end"/>
        </w:r>
      </w:hyperlink>
      <w:r w:rsidR="00204886">
        <w:rPr>
          <w:rFonts w:asciiTheme="majorBidi" w:hAnsiTheme="majorBidi" w:cstheme="majorBidi"/>
        </w:rPr>
        <w:t xml:space="preserve"> </w:t>
      </w:r>
      <w:r w:rsidRPr="009D1CA6">
        <w:rPr>
          <w:rFonts w:asciiTheme="majorBidi" w:hAnsiTheme="majorBidi" w:cstheme="majorBidi"/>
        </w:rPr>
        <w:t xml:space="preserve">on the basis of a </w:t>
      </w:r>
      <w:r w:rsidR="00D65748" w:rsidRPr="009D1CA6">
        <w:rPr>
          <w:rFonts w:asciiTheme="majorBidi" w:hAnsiTheme="majorBidi" w:cstheme="majorBidi"/>
        </w:rPr>
        <w:t xml:space="preserve">comprehensive </w:t>
      </w:r>
      <w:r w:rsidR="00D65748">
        <w:rPr>
          <w:rFonts w:asciiTheme="majorBidi" w:hAnsiTheme="majorBidi" w:cstheme="majorBidi"/>
        </w:rPr>
        <w:t>geriatric</w:t>
      </w:r>
      <w:r w:rsidR="00D65748" w:rsidRPr="009D1CA6">
        <w:rPr>
          <w:rFonts w:asciiTheme="majorBidi" w:hAnsiTheme="majorBidi" w:cstheme="majorBidi"/>
        </w:rPr>
        <w:t xml:space="preserve"> </w:t>
      </w:r>
      <w:r w:rsidRPr="009D1CA6">
        <w:rPr>
          <w:rFonts w:asciiTheme="majorBidi" w:hAnsiTheme="majorBidi" w:cstheme="majorBidi"/>
        </w:rPr>
        <w:t xml:space="preserve">assessment by adding </w:t>
      </w:r>
      <w:r w:rsidR="00CF2065" w:rsidRPr="009D1CA6">
        <w:rPr>
          <w:rFonts w:asciiTheme="majorBidi" w:hAnsiTheme="majorBidi" w:cstheme="majorBidi"/>
        </w:rPr>
        <w:t xml:space="preserve">up </w:t>
      </w:r>
      <w:r w:rsidR="00CF2065">
        <w:rPr>
          <w:rFonts w:asciiTheme="majorBidi" w:hAnsiTheme="majorBidi" w:cstheme="majorBidi"/>
        </w:rPr>
        <w:t>accumulated</w:t>
      </w:r>
      <w:r w:rsidR="00EE08E0">
        <w:rPr>
          <w:rFonts w:asciiTheme="majorBidi" w:hAnsiTheme="majorBidi" w:cstheme="majorBidi"/>
        </w:rPr>
        <w:t xml:space="preserve"> </w:t>
      </w:r>
      <w:r w:rsidRPr="009D1CA6">
        <w:rPr>
          <w:rFonts w:asciiTheme="majorBidi" w:hAnsiTheme="majorBidi" w:cstheme="majorBidi"/>
        </w:rPr>
        <w:t xml:space="preserve">deficits, including chronic diseases, psychosocial factors, cognitive </w:t>
      </w:r>
      <w:r w:rsidR="00CF2065">
        <w:rPr>
          <w:rFonts w:asciiTheme="majorBidi" w:hAnsiTheme="majorBidi" w:cstheme="majorBidi"/>
        </w:rPr>
        <w:t>deficits</w:t>
      </w:r>
      <w:r w:rsidRPr="009D1CA6">
        <w:rPr>
          <w:rFonts w:asciiTheme="majorBidi" w:hAnsiTheme="majorBidi" w:cstheme="majorBidi"/>
        </w:rPr>
        <w:t xml:space="preserve">, and other geriatric </w:t>
      </w:r>
      <w:r w:rsidR="00ED7517">
        <w:rPr>
          <w:rFonts w:asciiTheme="majorBidi" w:hAnsiTheme="majorBidi" w:cstheme="majorBidi"/>
        </w:rPr>
        <w:t>signs and symptoms</w:t>
      </w:r>
      <w:r w:rsidRPr="009D1CA6">
        <w:rPr>
          <w:rFonts w:asciiTheme="majorBidi" w:hAnsiTheme="majorBidi" w:cstheme="majorBidi"/>
        </w:rPr>
        <w:t xml:space="preserve">. It </w:t>
      </w:r>
      <w:r w:rsidR="00A53185">
        <w:rPr>
          <w:rFonts w:asciiTheme="majorBidi" w:hAnsiTheme="majorBidi" w:cstheme="majorBidi"/>
        </w:rPr>
        <w:t>provides</w:t>
      </w:r>
      <w:r w:rsidR="00A53185" w:rsidRPr="009D1CA6">
        <w:rPr>
          <w:rFonts w:asciiTheme="majorBidi" w:hAnsiTheme="majorBidi" w:cstheme="majorBidi"/>
        </w:rPr>
        <w:t xml:space="preserve"> </w:t>
      </w:r>
      <w:r w:rsidRPr="009D1CA6">
        <w:rPr>
          <w:rFonts w:asciiTheme="majorBidi" w:hAnsiTheme="majorBidi" w:cstheme="majorBidi"/>
        </w:rPr>
        <w:t xml:space="preserve">a </w:t>
      </w:r>
      <w:r w:rsidR="00A53185">
        <w:rPr>
          <w:rFonts w:asciiTheme="majorBidi" w:hAnsiTheme="majorBidi" w:cstheme="majorBidi"/>
        </w:rPr>
        <w:t xml:space="preserve">cumulative account </w:t>
      </w:r>
      <w:r w:rsidR="00BB576A">
        <w:rPr>
          <w:rFonts w:asciiTheme="majorBidi" w:hAnsiTheme="majorBidi" w:cstheme="majorBidi"/>
        </w:rPr>
        <w:t xml:space="preserve">of </w:t>
      </w:r>
      <w:r w:rsidR="00BB576A" w:rsidRPr="009D1CA6">
        <w:rPr>
          <w:rFonts w:asciiTheme="majorBidi" w:hAnsiTheme="majorBidi" w:cstheme="majorBidi"/>
        </w:rPr>
        <w:t>frailty</w:t>
      </w:r>
      <w:r w:rsidRPr="009D1CA6">
        <w:rPr>
          <w:rFonts w:asciiTheme="majorBidi" w:hAnsiTheme="majorBidi" w:cstheme="majorBidi"/>
        </w:rPr>
        <w:t xml:space="preserve"> as </w:t>
      </w:r>
      <w:r w:rsidR="00A53185">
        <w:rPr>
          <w:rFonts w:asciiTheme="majorBidi" w:hAnsiTheme="majorBidi" w:cstheme="majorBidi"/>
        </w:rPr>
        <w:t xml:space="preserve">a </w:t>
      </w:r>
      <w:r w:rsidRPr="009D1CA6">
        <w:rPr>
          <w:rFonts w:asciiTheme="majorBidi" w:hAnsiTheme="majorBidi" w:cstheme="majorBidi"/>
        </w:rPr>
        <w:t xml:space="preserve">predictor of adverse health outcomes. This index is </w:t>
      </w:r>
      <w:r w:rsidR="00B35CBB">
        <w:rPr>
          <w:rFonts w:asciiTheme="majorBidi" w:hAnsiTheme="majorBidi" w:cstheme="majorBidi"/>
        </w:rPr>
        <w:t>demonstrated</w:t>
      </w:r>
      <w:r w:rsidRPr="009D1CA6">
        <w:rPr>
          <w:rFonts w:asciiTheme="majorBidi" w:hAnsiTheme="majorBidi" w:cstheme="majorBidi"/>
        </w:rPr>
        <w:t xml:space="preserve"> as the ratio of the accumulated </w:t>
      </w:r>
      <w:r w:rsidR="00ED7517">
        <w:rPr>
          <w:rFonts w:asciiTheme="majorBidi" w:hAnsiTheme="majorBidi" w:cstheme="majorBidi"/>
        </w:rPr>
        <w:t xml:space="preserve"> acquired </w:t>
      </w:r>
      <w:r w:rsidRPr="009D1CA6">
        <w:rPr>
          <w:rFonts w:asciiTheme="majorBidi" w:hAnsiTheme="majorBidi" w:cstheme="majorBidi"/>
        </w:rPr>
        <w:t xml:space="preserve">deficits to all </w:t>
      </w:r>
      <w:r w:rsidR="00B35CBB">
        <w:rPr>
          <w:rFonts w:asciiTheme="majorBidi" w:hAnsiTheme="majorBidi" w:cstheme="majorBidi"/>
        </w:rPr>
        <w:t>potential</w:t>
      </w:r>
      <w:r w:rsidRPr="009D1CA6">
        <w:rPr>
          <w:rFonts w:asciiTheme="majorBidi" w:hAnsiTheme="majorBidi" w:cstheme="majorBidi"/>
        </w:rPr>
        <w:t xml:space="preserve"> deficits</w:t>
      </w:r>
      <w:r w:rsidR="00ED7517">
        <w:rPr>
          <w:rFonts w:asciiTheme="majorBidi" w:hAnsiTheme="majorBidi" w:cstheme="majorBidi"/>
        </w:rPr>
        <w:t xml:space="preserve"> in the index</w:t>
      </w:r>
      <w:r w:rsidR="00086BEE">
        <w:rPr>
          <w:rFonts w:asciiTheme="majorBidi" w:hAnsiTheme="majorBidi" w:cstheme="majorBidi"/>
        </w:rPr>
        <w:t>.</w:t>
      </w:r>
      <w:hyperlink w:anchor="_ENREF_10" w:tooltip="Rockwood, 2005 #28"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&lt;EndNote&gt;&lt;Cite&gt;&lt;Author&gt;Rockwood&lt;/Author&gt;&lt;Year&gt;2005&lt;/Year&gt;&lt;RecNum&gt;28&lt;/RecNum&gt;&lt;DisplayText&gt;&lt;style face="superscript"&gt;10&lt;/style&gt;&lt;/DisplayText&gt;&lt;record&gt;&lt;rec-number&gt;28&lt;/rec-number&gt;&lt;foreign-keys&gt;&lt;key app="EN" db-id="rvxe0exprat2w9evvvvxwe2owzrpwfzpzzv5"&gt;28&lt;/key&gt;&lt;/foreign-keys&gt;&lt;ref-type name="Journal Article"&gt;17&lt;/ref-type&gt;&lt;contributors&gt;&lt;authors&gt;&lt;author&gt;Rockwood, Kenneth&lt;/author&gt;&lt;author&gt;Song, Xiaowei&lt;/author&gt;&lt;author&gt;MacKnight, Chris&lt;/author&gt;&lt;author&gt;Bergman, Howard&lt;/author&gt;&lt;author&gt;Hogan, David B&lt;/author&gt;&lt;author&gt;McDowell, Ian&lt;/author&gt;&lt;author&gt;Mitnitski, Arnold&lt;/author&gt;&lt;/authors&gt;&lt;/contributors&gt;&lt;titles&gt;&lt;title&gt;A global clinical measure of fitness and frailty in elderly people&lt;/title&gt;&lt;secondary-title&gt;Canadian Medical Association Journal&lt;/secondary-title&gt;&lt;/titles&gt;&lt;periodical&gt;&lt;full-title&gt;Canadian Medical Association Journal&lt;/full-title&gt;&lt;/periodical&gt;&lt;pages&gt;489-495&lt;/pages&gt;&lt;volume&gt;173&lt;/volume&gt;&lt;number&gt;5&lt;/number&gt;&lt;dates&gt;&lt;year&gt;2005&lt;/year&gt;&lt;/dates&gt;&lt;isbn&gt;0820-3946&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10</w:t>
        </w:r>
        <w:r w:rsidR="0036052C" w:rsidRPr="009D1CA6">
          <w:rPr>
            <w:rFonts w:asciiTheme="majorBidi" w:hAnsiTheme="majorBidi" w:cstheme="majorBidi"/>
          </w:rPr>
          <w:fldChar w:fldCharType="end"/>
        </w:r>
      </w:hyperlink>
    </w:p>
    <w:p w14:paraId="66CEC309" w14:textId="56DA1906" w:rsidR="0092042B" w:rsidRDefault="0092042B" w:rsidP="00C526F6">
      <w:pPr>
        <w:spacing w:line="480" w:lineRule="auto"/>
        <w:jc w:val="both"/>
        <w:rPr>
          <w:rFonts w:asciiTheme="majorBidi" w:hAnsiTheme="majorBidi" w:cstheme="majorBidi"/>
        </w:rPr>
      </w:pPr>
      <w:r w:rsidRPr="009D1CA6">
        <w:rPr>
          <w:rFonts w:asciiTheme="majorBidi" w:hAnsiTheme="majorBidi" w:cstheme="majorBidi"/>
        </w:rPr>
        <w:t>Poor oral health and oral health problems are highly prevalent among older adults</w:t>
      </w:r>
      <w:r w:rsidR="00086BEE">
        <w:rPr>
          <w:rFonts w:asciiTheme="majorBidi" w:hAnsiTheme="majorBidi" w:cstheme="majorBidi"/>
        </w:rPr>
        <w:t>.</w:t>
      </w:r>
      <w:r w:rsidR="00D83719">
        <w:rPr>
          <w:rFonts w:asciiTheme="majorBidi" w:hAnsiTheme="majorBidi" w:cstheme="majorBidi"/>
        </w:rPr>
        <w:t xml:space="preserve"> </w:t>
      </w:r>
      <w:r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&lt;EndNote&gt;&lt;Cite&gt;&lt;Author&gt;Murray Thomson&lt;/Author&gt;&lt;Year&gt;2014&lt;/Year&gt;&lt;RecNum&gt;12&lt;/RecNum&gt;&lt;DisplayText&gt;&lt;style face="superscript"&gt;11, 12&lt;/style&gt;&lt;/DisplayText&gt;&lt;record&gt;&lt;rec-number&gt;12&lt;/rec-number&gt;&lt;foreign-keys&gt;&lt;key app="EN" db-id="pzwwxs52s0rxele2fr3p9srdsadrfw0zfwfr"&gt;12&lt;/key&gt;&lt;/foreign-keys&gt;&lt;ref-type name="Journal Article"&gt;17&lt;/ref-type&gt;&lt;contributors&gt;&lt;authors&gt;&lt;author&gt;Murray Thomson, William&lt;/author&gt;&lt;/authors&gt;&lt;/contributors&gt;&lt;titles&gt;&lt;title&gt;Epidemiology of oral health conditions in older people&lt;/title&gt;&lt;secondary-title&gt;Gerodontology&lt;/secondary-title&gt;&lt;/titles&gt;&lt;periodical&gt;&lt;full-title&gt;Gerodontology&lt;/full-title&gt;&lt;/periodical&gt;&lt;pages&gt;9-16&lt;/pages&gt;&lt;volume&gt;31&lt;/volume&gt;&lt;number&gt;s1&lt;/number&gt;&lt;dates&gt;&lt;year&gt;2014&lt;/year&gt;&lt;/dates&gt;&lt;isbn&gt;1741-2358&lt;/isbn&gt;&lt;urls&gt;&lt;/urls&gt;&lt;/record&gt;&lt;/Cite&gt;&lt;Cite&gt;&lt;Author&gt;Petersen&lt;/Author&gt;&lt;Year&gt;2005&lt;/Year&gt;&lt;RecNum&gt;13&lt;/RecNum&gt;&lt;record&gt;&lt;rec-number&gt;13&lt;/rec-number&gt;&lt;foreign-keys&gt;&lt;key app="EN" db-id="pzwwxs52s0rxele2fr3p9srdsadrfw0zfwfr"&gt;13&lt;/key&gt;&lt;/foreign-keys&gt;&lt;ref-type name="Journal Article"&gt;17&lt;/ref-type&gt;&lt;contributors&gt;&lt;authors&gt;&lt;author&gt;Petersen, Poul Erik&lt;/author&gt;&lt;author&gt;Yamamoto, Tatsuo&lt;/author&gt;&lt;/authors&gt;&lt;/contributors&gt;&lt;titles&gt;&lt;title&gt;Improving the oral health of older people: the approach of the WHO Global Oral Health Programme&lt;/title&gt;&lt;secondary-title&gt;Community dentistry and oral epidemiology&lt;/secondary-title&gt;&lt;/titles&gt;&lt;periodical&gt;&lt;full-title&gt;Community dentistry and oral epidemiology&lt;/full-title&gt;&lt;/periodical&gt;&lt;pages&gt;81-92&lt;/pages&gt;&lt;volume&gt;33&lt;/volume&gt;&lt;number&gt;2&lt;/number&gt;&lt;dates&gt;&lt;year&gt;2005&lt;/year&gt;&lt;/dates&gt;&lt;isbn&gt;1600-0528&lt;/isbn&gt;&lt;urls&gt;&lt;/urls&gt;&lt;/record&gt;&lt;/Cite&gt;&lt;/EndNote&gt;</w:instrText>
      </w:r>
      <w:r w:rsidRPr="009D1CA6">
        <w:rPr>
          <w:rFonts w:asciiTheme="majorBidi" w:hAnsiTheme="majorBidi" w:cstheme="majorBidi"/>
        </w:rPr>
        <w:fldChar w:fldCharType="separate"/>
      </w:r>
      <w:hyperlink w:anchor="_ENREF_11" w:tooltip="Murray Thomson, 2014 #12" w:history="1">
        <w:r w:rsidR="0036052C" w:rsidRPr="0036052C">
          <w:rPr>
            <w:rFonts w:asciiTheme="majorBidi" w:hAnsiTheme="majorBidi" w:cstheme="majorBidi"/>
            <w:noProof/>
            <w:vertAlign w:val="superscript"/>
          </w:rPr>
          <w:t>11</w:t>
        </w:r>
      </w:hyperlink>
      <w:r w:rsidR="0036052C" w:rsidRPr="0036052C">
        <w:rPr>
          <w:rFonts w:asciiTheme="majorBidi" w:hAnsiTheme="majorBidi" w:cstheme="majorBidi"/>
          <w:noProof/>
          <w:vertAlign w:val="superscript"/>
        </w:rPr>
        <w:t xml:space="preserve">, </w:t>
      </w:r>
      <w:hyperlink w:anchor="_ENREF_12" w:tooltip="Petersen, 2005 #13" w:history="1">
        <w:r w:rsidR="0036052C" w:rsidRPr="0036052C">
          <w:rPr>
            <w:rFonts w:asciiTheme="majorBidi" w:hAnsiTheme="majorBidi" w:cstheme="majorBidi"/>
            <w:noProof/>
            <w:vertAlign w:val="superscript"/>
          </w:rPr>
          <w:t>12</w:t>
        </w:r>
      </w:hyperlink>
      <w:r w:rsidRPr="009D1CA6">
        <w:rPr>
          <w:rFonts w:asciiTheme="majorBidi" w:hAnsiTheme="majorBidi" w:cstheme="majorBidi"/>
        </w:rPr>
        <w:fldChar w:fldCharType="end"/>
      </w:r>
      <w:r w:rsidRPr="009D1CA6">
        <w:rPr>
          <w:rFonts w:asciiTheme="majorBidi" w:hAnsiTheme="majorBidi" w:cstheme="majorBidi"/>
        </w:rPr>
        <w:t xml:space="preserve"> </w:t>
      </w:r>
      <w:r w:rsidR="0046672B">
        <w:rPr>
          <w:rFonts w:asciiTheme="majorBidi" w:hAnsiTheme="majorBidi" w:cstheme="majorBidi"/>
        </w:rPr>
        <w:t>Moreover</w:t>
      </w:r>
      <w:r w:rsidRPr="009D1CA6">
        <w:rPr>
          <w:rFonts w:asciiTheme="majorBidi" w:hAnsiTheme="majorBidi" w:cstheme="majorBidi"/>
        </w:rPr>
        <w:t xml:space="preserve">, oral health conditions have </w:t>
      </w:r>
      <w:r w:rsidR="00C867B9">
        <w:rPr>
          <w:rFonts w:asciiTheme="majorBidi" w:hAnsiTheme="majorBidi" w:cstheme="majorBidi"/>
        </w:rPr>
        <w:t>links</w:t>
      </w:r>
      <w:r w:rsidRPr="009D1CA6">
        <w:rPr>
          <w:rFonts w:asciiTheme="majorBidi" w:hAnsiTheme="majorBidi" w:cstheme="majorBidi"/>
        </w:rPr>
        <w:t xml:space="preserve"> with chronic diseases</w:t>
      </w:r>
      <w:r w:rsidR="00D83719">
        <w:rPr>
          <w:rFonts w:asciiTheme="majorBidi" w:hAnsiTheme="majorBidi" w:cstheme="majorBidi"/>
        </w:rPr>
        <w:t xml:space="preserve"> </w:t>
      </w:r>
      <w:hyperlink w:anchor="_ENREF_13" w:tooltip="Lockhart, 2012 #14"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&lt;EndNote&gt;&lt;Cite&gt;&lt;Author&gt;Lockhart&lt;/Author&gt;&lt;Year&gt;2012&lt;/Year&gt;&lt;RecNum&gt;14&lt;/RecNum&gt;&lt;DisplayText&gt;&lt;style face="superscript"&gt;13&lt;/style&gt;&lt;/DisplayText&gt;&lt;record&gt;&lt;rec-number&gt;14&lt;/rec-number&gt;&lt;foreign-keys&gt;&lt;key app="EN" db-id="pzwwxs52s0rxele2fr3p9srdsadrfw0zfwfr"&gt;14&lt;/key&gt;&lt;/foreign-keys&gt;&lt;ref-type name="Journal Article"&gt;17&lt;/ref-type&gt;&lt;contributors&gt;&lt;authors&gt;&lt;author&gt;Lockhart, Peter B&lt;/author&gt;&lt;author&gt;Bolger, Ann F&lt;/author&gt;&lt;author&gt;Papapanou, Panos N&lt;/author&gt;&lt;author&gt;Osinbowale, Olusegun&lt;/author&gt;&lt;author&gt;Trevisan, Maurizio&lt;/author&gt;&lt;author&gt;Levison, Matthew E&lt;/author&gt;&lt;author&gt;Taubert, Kathryn A&lt;/author&gt;&lt;author&gt;Newburger, Jane W&lt;/author&gt;&lt;author&gt;Gornik, Heather L&lt;/author&gt;&lt;author&gt;Gewitz, Michael H&lt;/author&gt;&lt;/authors&gt;&lt;/contributors&gt;&lt;titles&gt;&lt;title&gt;Periodontal disease and atherosclerotic vascular disease: does the evidence support an independent association?: a scientific statement from the American Heart Association&lt;/title&gt;&lt;secondary-title&gt;Circulation&lt;/secondary-title&gt;&lt;/titles&gt;&lt;periodical&gt;&lt;full-title&gt;Circulation&lt;/full-title&gt;&lt;/periodical&gt;&lt;pages&gt;2520-2544&lt;/pages&gt;&lt;volume&gt;125&lt;/volume&gt;&lt;number&gt;20&lt;/number&gt;&lt;dates&gt;&lt;year&gt;2012&lt;/year&gt;&lt;/dates&gt;&lt;isbn&gt;0009-7322&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13</w:t>
        </w:r>
        <w:r w:rsidR="0036052C" w:rsidRPr="009D1CA6">
          <w:rPr>
            <w:rFonts w:asciiTheme="majorBidi" w:hAnsiTheme="majorBidi" w:cstheme="majorBidi"/>
          </w:rPr>
          <w:fldChar w:fldCharType="end"/>
        </w:r>
      </w:hyperlink>
      <w:r w:rsidRPr="009D1CA6">
        <w:rPr>
          <w:rFonts w:asciiTheme="majorBidi" w:hAnsiTheme="majorBidi" w:cstheme="majorBidi"/>
        </w:rPr>
        <w:t xml:space="preserve"> and with </w:t>
      </w:r>
      <w:r w:rsidR="00054A08">
        <w:rPr>
          <w:rFonts w:asciiTheme="majorBidi" w:hAnsiTheme="majorBidi" w:cstheme="majorBidi"/>
        </w:rPr>
        <w:t>physical functions</w:t>
      </w:r>
      <w:r w:rsidR="006A76C7">
        <w:rPr>
          <w:rFonts w:asciiTheme="majorBidi" w:hAnsiTheme="majorBidi" w:cstheme="majorBidi"/>
        </w:rPr>
        <w:t xml:space="preserve"> among older adults</w:t>
      </w:r>
      <w:r w:rsidR="00086BEE">
        <w:rPr>
          <w:rFonts w:asciiTheme="majorBidi" w:hAnsiTheme="majorBidi" w:cstheme="majorBidi"/>
        </w:rPr>
        <w:t>.</w:t>
      </w:r>
      <w:r w:rsidRPr="009D1CA6">
        <w:rPr>
          <w:rFonts w:asciiTheme="majorBidi" w:hAnsiTheme="majorBidi" w:cstheme="majorBidi"/>
        </w:rPr>
        <w:t xml:space="preserve"> </w:t>
      </w:r>
      <w:hyperlink w:anchor="_ENREF_14" w:tooltip="Tôrres, 2015 #102"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&lt;EndNote&gt;&lt;Cite&gt;&lt;Author&gt;Tôrres&lt;/Author&gt;&lt;Year&gt;2015&lt;/Year&gt;&lt;RecNum&gt;102&lt;/RecNum&gt;&lt;DisplayText&gt;&lt;style face="superscript"&gt;14&lt;/style&gt;&lt;/DisplayText&gt;&lt;record&gt;&lt;rec-number&gt;102&lt;/rec-number&gt;&lt;foreign-keys&gt;&lt;key app="EN" db-id="90pv252x7xpz25etx2i5affuwe2ffaptfsvz" timestamp="1586776915"&gt;102&lt;/key&gt;&lt;/foreign-keys&gt;&lt;ref-type name="Journal Article"&gt;17&lt;/ref-type&gt;&lt;contributors&gt;&lt;authors&gt;&lt;author&gt;Tôrres, Luísa Helena do Nascimento&lt;/author&gt;&lt;author&gt;Tellez, Marisol&lt;/author&gt;&lt;author&gt;Hilgert, Juliana Balbinot&lt;/author&gt;&lt;author&gt;Hugo, Fernando Neves&lt;/author&gt;&lt;author&gt;de Sousa, Maria da Luz Rosário&lt;/author&gt;&lt;author&gt;Ismail, Amid Ibrahim&lt;/author&gt;&lt;/authors&gt;&lt;/contributors&gt;&lt;titles&gt;&lt;title&gt;Frailty, frailty components, and oral health: a systematic review&lt;/title&gt;&lt;secondary-title&gt;Journal of the American Geriatrics Society&lt;/secondary-title&gt;&lt;/titles&gt;&lt;periodical&gt;&lt;full-title&gt;Journal of the American Geriatrics Society&lt;/full-title&gt;&lt;/periodical&gt;&lt;pages&gt;2555-2562&lt;/pages&gt;&lt;volume&gt;63&lt;/volume&gt;&lt;number&gt;12&lt;/number&gt;&lt;dates&gt;&lt;year&gt;2015&lt;/year&gt;&lt;/dates&gt;&lt;isbn&gt;0002-8614&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14</w:t>
        </w:r>
        <w:r w:rsidR="0036052C">
          <w:rPr>
            <w:rFonts w:asciiTheme="majorBidi" w:hAnsiTheme="majorBidi" w:cstheme="majorBidi"/>
          </w:rPr>
          <w:fldChar w:fldCharType="end"/>
        </w:r>
      </w:hyperlink>
      <w:r w:rsidR="00C607AC">
        <w:rPr>
          <w:rFonts w:asciiTheme="majorBidi" w:hAnsiTheme="majorBidi" w:cstheme="majorBidi"/>
        </w:rPr>
        <w:t xml:space="preserve"> </w:t>
      </w:r>
      <w:r w:rsidR="00355821">
        <w:rPr>
          <w:rFonts w:asciiTheme="majorBidi" w:hAnsiTheme="majorBidi" w:cstheme="majorBidi"/>
        </w:rPr>
        <w:t xml:space="preserve">It was suggested that </w:t>
      </w:r>
      <w:r w:rsidRPr="009D1CA6">
        <w:rPr>
          <w:rFonts w:asciiTheme="majorBidi" w:hAnsiTheme="majorBidi" w:cstheme="majorBidi"/>
        </w:rPr>
        <w:t>oral health</w:t>
      </w:r>
      <w:r w:rsidR="009B7CE2">
        <w:rPr>
          <w:rFonts w:asciiTheme="majorBidi" w:hAnsiTheme="majorBidi" w:cstheme="majorBidi"/>
        </w:rPr>
        <w:t xml:space="preserve"> conditions</w:t>
      </w:r>
      <w:r w:rsidRPr="009D1CA6">
        <w:rPr>
          <w:rFonts w:asciiTheme="majorBidi" w:hAnsiTheme="majorBidi" w:cstheme="majorBidi"/>
        </w:rPr>
        <w:t xml:space="preserve"> </w:t>
      </w:r>
      <w:r w:rsidR="00116089">
        <w:rPr>
          <w:rFonts w:asciiTheme="majorBidi" w:hAnsiTheme="majorBidi" w:cstheme="majorBidi"/>
        </w:rPr>
        <w:t>could be</w:t>
      </w:r>
      <w:r w:rsidRPr="009D1CA6">
        <w:rPr>
          <w:rFonts w:asciiTheme="majorBidi" w:hAnsiTheme="majorBidi" w:cstheme="majorBidi"/>
        </w:rPr>
        <w:t xml:space="preserve"> </w:t>
      </w:r>
      <w:r w:rsidR="00034F68">
        <w:rPr>
          <w:rFonts w:asciiTheme="majorBidi" w:hAnsiTheme="majorBidi" w:cstheme="majorBidi"/>
        </w:rPr>
        <w:t>link</w:t>
      </w:r>
      <w:r w:rsidR="00116089">
        <w:rPr>
          <w:rFonts w:asciiTheme="majorBidi" w:hAnsiTheme="majorBidi" w:cstheme="majorBidi"/>
        </w:rPr>
        <w:t>ed</w:t>
      </w:r>
      <w:r w:rsidRPr="009D1CA6">
        <w:rPr>
          <w:rFonts w:asciiTheme="majorBidi" w:hAnsiTheme="majorBidi" w:cstheme="majorBidi"/>
        </w:rPr>
        <w:t xml:space="preserve"> to frailty through </w:t>
      </w:r>
      <w:r w:rsidR="00143060">
        <w:rPr>
          <w:rFonts w:asciiTheme="majorBidi" w:hAnsiTheme="majorBidi" w:cstheme="majorBidi"/>
        </w:rPr>
        <w:t>different</w:t>
      </w:r>
      <w:r w:rsidRPr="009D1CA6">
        <w:rPr>
          <w:rFonts w:asciiTheme="majorBidi" w:hAnsiTheme="majorBidi" w:cstheme="majorBidi"/>
        </w:rPr>
        <w:t xml:space="preserve"> pathways, these include: </w:t>
      </w:r>
      <w:r w:rsidR="00CB3FE2">
        <w:rPr>
          <w:rFonts w:asciiTheme="majorBidi" w:hAnsiTheme="majorBidi" w:cstheme="majorBidi"/>
        </w:rPr>
        <w:t>nutritional</w:t>
      </w:r>
      <w:r w:rsidRPr="009D1CA6">
        <w:rPr>
          <w:rFonts w:asciiTheme="majorBidi" w:hAnsiTheme="majorBidi" w:cstheme="majorBidi"/>
        </w:rPr>
        <w:t xml:space="preserve"> pathway as dentition impact the nutritional status; biological pathway </w:t>
      </w:r>
      <w:r w:rsidR="00AC595A">
        <w:rPr>
          <w:rFonts w:asciiTheme="majorBidi" w:hAnsiTheme="majorBidi" w:cstheme="majorBidi"/>
        </w:rPr>
        <w:t>through</w:t>
      </w:r>
      <w:r w:rsidRPr="009D1CA6">
        <w:rPr>
          <w:rFonts w:asciiTheme="majorBidi" w:hAnsiTheme="majorBidi" w:cstheme="majorBidi"/>
        </w:rPr>
        <w:t xml:space="preserve"> </w:t>
      </w:r>
      <w:r w:rsidR="00AC595A">
        <w:rPr>
          <w:rFonts w:asciiTheme="majorBidi" w:hAnsiTheme="majorBidi" w:cstheme="majorBidi"/>
        </w:rPr>
        <w:t xml:space="preserve">the </w:t>
      </w:r>
      <w:r w:rsidR="00CB3FE2">
        <w:rPr>
          <w:rFonts w:asciiTheme="majorBidi" w:hAnsiTheme="majorBidi" w:cstheme="majorBidi"/>
        </w:rPr>
        <w:t>association</w:t>
      </w:r>
      <w:r w:rsidRPr="009D1CA6">
        <w:rPr>
          <w:rFonts w:asciiTheme="majorBidi" w:hAnsiTheme="majorBidi" w:cstheme="majorBidi"/>
        </w:rPr>
        <w:t xml:space="preserve"> with chronic inflammatory </w:t>
      </w:r>
      <w:r w:rsidRPr="009D1CA6">
        <w:rPr>
          <w:rFonts w:asciiTheme="majorBidi" w:hAnsiTheme="majorBidi" w:cstheme="majorBidi"/>
        </w:rPr>
        <w:lastRenderedPageBreak/>
        <w:t xml:space="preserve">responses in the body; and psychological pathway through the impact of oral health on </w:t>
      </w:r>
      <w:r w:rsidR="009F3EA1" w:rsidRPr="009D1CA6">
        <w:rPr>
          <w:rFonts w:asciiTheme="majorBidi" w:hAnsiTheme="majorBidi" w:cstheme="majorBidi"/>
        </w:rPr>
        <w:t>self-esteem</w:t>
      </w:r>
      <w:r w:rsidRPr="009D1CA6">
        <w:rPr>
          <w:rFonts w:asciiTheme="majorBidi" w:hAnsiTheme="majorBidi" w:cstheme="majorBidi"/>
        </w:rPr>
        <w:t xml:space="preserve"> and depression as proposed by </w:t>
      </w:r>
      <w:r w:rsidR="00A53185" w:rsidRPr="00616C74">
        <w:rPr>
          <w:rFonts w:asciiTheme="majorBidi" w:hAnsiTheme="majorBidi" w:cstheme="majorBidi"/>
        </w:rPr>
        <w:t>Castrejón-Pérez et al</w:t>
      </w:r>
      <w:r w:rsidR="00086BEE">
        <w:rPr>
          <w:rFonts w:asciiTheme="majorBidi" w:hAnsiTheme="majorBidi" w:cstheme="majorBidi"/>
        </w:rPr>
        <w:t>.</w:t>
      </w:r>
      <w:hyperlink w:anchor="_ENREF_15" w:tooltip="Castrejón-Pérez, 2012 #51"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&lt;EndNote&gt;&lt;Cite&gt;&lt;Author&gt;Castrejón-Pérez&lt;/Author&gt;&lt;Year&gt;2012&lt;/Year&gt;&lt;RecNum&gt;51&lt;/RecNum&gt;&lt;DisplayText&gt;&lt;style face="superscript"&gt;15&lt;/style&gt;&lt;/DisplayText&gt;&lt;record&gt;&lt;rec-number&gt;51&lt;/rec-number&gt;&lt;foreign-keys&gt;&lt;key app="EN" db-id="rvxe0exprat2w9evvvvxwe2owzrpwfzpzzv5"&gt;51&lt;/key&gt;&lt;/foreign-keys&gt;&lt;ref-type name="Journal Article"&gt;17&lt;/ref-type&gt;&lt;contributors&gt;&lt;authors&gt;&lt;author&gt;Castrejón-Pérez, Roberto Carlos&lt;/author&gt;&lt;author&gt;Borges-Yáñez, S Aída&lt;/author&gt;&lt;author&gt;Gutiérrez-Robledo, Luis M&lt;/author&gt;&lt;author&gt;Ávila-Funes, J Alberto&lt;/author&gt;&lt;/authors&gt;&lt;/contributors&gt;&lt;titles&gt;&lt;title&gt;Oral health conditions and frailty in Mexican community-dwelling elderly: a cross sectional analysis&lt;/title&gt;&lt;secondary-title&gt;BMC public health&lt;/secondary-title&gt;&lt;/titles&gt;&lt;periodical&gt;&lt;full-title&gt;BMC public health&lt;/full-title&gt;&lt;/periodical&gt;&lt;pages&gt;773&lt;/pages&gt;&lt;volume&gt;12&lt;/volume&gt;&lt;number&gt;1&lt;/number&gt;&lt;dates&gt;&lt;year&gt;2012&lt;/year&gt;&lt;/dates&gt;&lt;isbn&gt;1471-2458&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15</w:t>
        </w:r>
        <w:r w:rsidR="0036052C" w:rsidRPr="009D1CA6">
          <w:rPr>
            <w:rFonts w:asciiTheme="majorBidi" w:hAnsiTheme="majorBidi" w:cstheme="majorBidi"/>
          </w:rPr>
          <w:fldChar w:fldCharType="end"/>
        </w:r>
      </w:hyperlink>
    </w:p>
    <w:p w14:paraId="3D21D945" w14:textId="68E76F47" w:rsidR="0092042B" w:rsidRPr="009D1CA6" w:rsidRDefault="00A1189F" w:rsidP="00C526F6">
      <w:pPr>
        <w:spacing w:line="480" w:lineRule="auto"/>
        <w:jc w:val="both"/>
        <w:rPr>
          <w:rFonts w:asciiTheme="majorBidi" w:hAnsiTheme="majorBidi" w:cstheme="majorBidi"/>
        </w:rPr>
      </w:pPr>
      <w:r>
        <w:rPr>
          <w:rFonts w:asciiTheme="majorBidi" w:hAnsiTheme="majorBidi" w:cstheme="majorBidi"/>
        </w:rPr>
        <w:t>Systematic review</w:t>
      </w:r>
      <w:r w:rsidR="00FE182F">
        <w:rPr>
          <w:rFonts w:asciiTheme="majorBidi" w:hAnsiTheme="majorBidi" w:cstheme="majorBidi"/>
        </w:rPr>
        <w:t>s</w:t>
      </w:r>
      <w:r>
        <w:rPr>
          <w:rFonts w:asciiTheme="majorBidi" w:hAnsiTheme="majorBidi" w:cstheme="majorBidi"/>
        </w:rPr>
        <w:t xml:space="preserve"> have suggested positive association</w:t>
      </w:r>
      <w:r w:rsidR="00204886">
        <w:rPr>
          <w:rFonts w:asciiTheme="majorBidi" w:hAnsiTheme="majorBidi" w:cstheme="majorBidi"/>
        </w:rPr>
        <w:t>s</w:t>
      </w:r>
      <w:r>
        <w:rPr>
          <w:rFonts w:asciiTheme="majorBidi" w:hAnsiTheme="majorBidi" w:cstheme="majorBidi"/>
        </w:rPr>
        <w:t xml:space="preserve"> between</w:t>
      </w:r>
      <w:r w:rsidR="000034F4">
        <w:rPr>
          <w:rFonts w:asciiTheme="majorBidi" w:hAnsiTheme="majorBidi" w:cstheme="majorBidi"/>
        </w:rPr>
        <w:t xml:space="preserve"> poor</w:t>
      </w:r>
      <w:r>
        <w:rPr>
          <w:rFonts w:asciiTheme="majorBidi" w:hAnsiTheme="majorBidi" w:cstheme="majorBidi"/>
        </w:rPr>
        <w:t xml:space="preserve"> </w:t>
      </w:r>
      <w:r w:rsidR="00FE182F">
        <w:rPr>
          <w:rFonts w:asciiTheme="majorBidi" w:hAnsiTheme="majorBidi" w:cstheme="majorBidi"/>
        </w:rPr>
        <w:t>oral health and frailty</w:t>
      </w:r>
      <w:r w:rsidR="00DF6666">
        <w:rPr>
          <w:rFonts w:asciiTheme="majorBidi" w:hAnsiTheme="majorBidi" w:cstheme="majorBidi"/>
        </w:rPr>
        <w:t xml:space="preserve"> especially </w:t>
      </w:r>
      <w:r w:rsidR="004E23B2">
        <w:rPr>
          <w:rFonts w:asciiTheme="majorBidi" w:hAnsiTheme="majorBidi" w:cstheme="majorBidi"/>
        </w:rPr>
        <w:t xml:space="preserve">with </w:t>
      </w:r>
      <w:r w:rsidR="00DB1C05">
        <w:rPr>
          <w:rFonts w:asciiTheme="majorBidi" w:hAnsiTheme="majorBidi" w:cstheme="majorBidi"/>
        </w:rPr>
        <w:t>number of teeth</w:t>
      </w:r>
      <w:r w:rsidR="004E23B2">
        <w:rPr>
          <w:rFonts w:asciiTheme="majorBidi" w:hAnsiTheme="majorBidi" w:cstheme="majorBidi"/>
        </w:rPr>
        <w:t xml:space="preserve"> and oral function</w:t>
      </w:r>
      <w:r w:rsidR="00086BEE">
        <w:rPr>
          <w:rFonts w:asciiTheme="majorBidi" w:hAnsiTheme="majorBidi" w:cstheme="majorBidi"/>
        </w:rPr>
        <w:t>.</w:t>
      </w:r>
      <w:r w:rsidR="00A32102">
        <w:rPr>
          <w:rFonts w:asciiTheme="majorBidi" w:hAnsiTheme="majorBidi" w:cstheme="majorBidi"/>
        </w:rPr>
        <w:fldChar w:fldCharType="begin"/>
      </w:r>
      <w:r w:rsidR="0036052C">
        <w:rPr>
          <w:rFonts w:asciiTheme="majorBidi" w:hAnsiTheme="majorBidi" w:cstheme="majorBidi"/>
        </w:rPr>
        <w:instrText xml:space="preserve"> ADDIN EN.CITE &lt;EndNote&gt;&lt;Cite&gt;&lt;Author&gt;Tôrres&lt;/Author&gt;&lt;Year&gt;2015&lt;/Year&gt;&lt;RecNum&gt;43&lt;/RecNum&gt;&lt;DisplayText&gt;&lt;style face="superscript"&gt;14, 16&lt;/style&gt;&lt;/DisplayText&gt;&lt;record&gt;&lt;rec-number&gt;43&lt;/rec-number&gt;&lt;foreign-keys&gt;&lt;key app="EN" db-id="rvxe0exprat2w9evvvvxwe2owzrpwfzpzzv5"&gt;43&lt;/key&gt;&lt;/foreign-keys&gt;&lt;ref-type name="Journal Article"&gt;17&lt;/ref-type&gt;&lt;contributors&gt;&lt;authors&gt;&lt;author&gt;Tôrres, Luísa Helena do Nascimento&lt;/author&gt;&lt;author&gt;Tellez, Marisol&lt;/author&gt;&lt;author&gt;Hilgert, Juliana Balbinot&lt;/author&gt;&lt;author&gt;Hugo, Fernando Neves&lt;/author&gt;&lt;author&gt;de Sousa, Maria da Luz Rosário&lt;/author&gt;&lt;author&gt;Ismail, Amid Ibrahim&lt;/author&gt;&lt;/authors&gt;&lt;/contributors&gt;&lt;titles&gt;&lt;title&gt;Frailty, frailty components, and oral health: a systematic review&lt;/title&gt;&lt;secondary-title&gt;Journal of the American Geriatrics Society&lt;/secondary-title&gt;&lt;/titles&gt;&lt;periodical&gt;&lt;full-title&gt;Journal of the American Geriatrics Society&lt;/full-title&gt;&lt;/periodical&gt;&lt;pages&gt;2555-2562&lt;/pages&gt;&lt;volume&gt;63&lt;/volume&gt;&lt;number&gt;12&lt;/number&gt;&lt;dates&gt;&lt;year&gt;2015&lt;/year&gt;&lt;/dates&gt;&lt;isbn&gt;0002-8614&lt;/isbn&gt;&lt;urls&gt;&lt;/urls&gt;&lt;/record&gt;&lt;/Cite&gt;&lt;Cite&gt;&lt;Author&gt;Hakeem&lt;/Author&gt;&lt;Year&gt;2019&lt;/Year&gt;&lt;RecNum&gt;151&lt;/RecNum&gt;&lt;record&gt;&lt;rec-number&gt;151&lt;/rec-number&gt;&lt;foreign-keys&gt;&lt;key app="EN" db-id="90pv252x7xpz25etx2i5affuwe2ffaptfsvz" timestamp="1589105688"&gt;151&lt;/key&gt;&lt;/foreign-keys&gt;&lt;ref-type name="Journal Article"&gt;17&lt;/ref-type&gt;&lt;contributors&gt;&lt;authors&gt;&lt;author&gt;Hakeem, Faisal F&lt;/author&gt;&lt;author&gt;Bernabé, Eduardo&lt;/author&gt;&lt;author&gt;Sabbah, Wael&lt;/author&gt;&lt;/authors&gt;&lt;/contributors&gt;&lt;titles&gt;&lt;title&gt;Association between oral health and frailty: a systematic review of longitudinal studies&lt;/title&gt;&lt;secondary-title&gt;Gerodontology&lt;/secondary-title&gt;&lt;/titles&gt;&lt;periodical&gt;&lt;full-title&gt;Gerodontology&lt;/full-title&gt;&lt;/periodical&gt;&lt;pages&gt;205-215&lt;/pages&gt;&lt;volume&gt;36&lt;/volume&gt;&lt;number&gt;3&lt;/number&gt;&lt;dates&gt;&lt;year&gt;2019&lt;/year&gt;&lt;/dates&gt;&lt;isbn&gt;0734-0664&lt;/isbn&gt;&lt;urls&gt;&lt;/urls&gt;&lt;/record&gt;&lt;/Cite&gt;&lt;/EndNote&gt;</w:instrText>
      </w:r>
      <w:r w:rsidR="00A32102">
        <w:rPr>
          <w:rFonts w:asciiTheme="majorBidi" w:hAnsiTheme="majorBidi" w:cstheme="majorBidi"/>
        </w:rPr>
        <w:fldChar w:fldCharType="separate"/>
      </w:r>
      <w:hyperlink w:anchor="_ENREF_14" w:tooltip="Tôrres, 2015 #102" w:history="1">
        <w:r w:rsidR="0036052C" w:rsidRPr="0036052C">
          <w:rPr>
            <w:rFonts w:asciiTheme="majorBidi" w:hAnsiTheme="majorBidi" w:cstheme="majorBidi"/>
            <w:noProof/>
            <w:vertAlign w:val="superscript"/>
          </w:rPr>
          <w:t>14</w:t>
        </w:r>
      </w:hyperlink>
      <w:r w:rsidR="0036052C" w:rsidRPr="0036052C">
        <w:rPr>
          <w:rFonts w:asciiTheme="majorBidi" w:hAnsiTheme="majorBidi" w:cstheme="majorBidi"/>
          <w:noProof/>
          <w:vertAlign w:val="superscript"/>
        </w:rPr>
        <w:t xml:space="preserve">, </w:t>
      </w:r>
      <w:hyperlink w:anchor="_ENREF_16" w:tooltip="Hakeem, 2019 #151" w:history="1">
        <w:r w:rsidR="0036052C" w:rsidRPr="0036052C">
          <w:rPr>
            <w:rFonts w:asciiTheme="majorBidi" w:hAnsiTheme="majorBidi" w:cstheme="majorBidi"/>
            <w:noProof/>
            <w:vertAlign w:val="superscript"/>
          </w:rPr>
          <w:t>16</w:t>
        </w:r>
      </w:hyperlink>
      <w:r w:rsidR="00A32102">
        <w:rPr>
          <w:rFonts w:asciiTheme="majorBidi" w:hAnsiTheme="majorBidi" w:cstheme="majorBidi"/>
        </w:rPr>
        <w:fldChar w:fldCharType="end"/>
      </w:r>
      <w:r w:rsidR="006A3ECE">
        <w:rPr>
          <w:rFonts w:asciiTheme="majorBidi" w:hAnsiTheme="majorBidi" w:cstheme="majorBidi"/>
        </w:rPr>
        <w:t xml:space="preserve"> </w:t>
      </w:r>
      <w:r w:rsidR="006F54C0">
        <w:rPr>
          <w:rFonts w:asciiTheme="majorBidi" w:hAnsiTheme="majorBidi" w:cstheme="majorBidi"/>
        </w:rPr>
        <w:t xml:space="preserve">However, </w:t>
      </w:r>
      <w:r w:rsidR="002408FA">
        <w:rPr>
          <w:rFonts w:asciiTheme="majorBidi" w:hAnsiTheme="majorBidi" w:cstheme="majorBidi"/>
        </w:rPr>
        <w:t>periodontal disease as an indicator of oral health showed inconsistent results</w:t>
      </w:r>
      <w:r w:rsidR="00620FE5">
        <w:rPr>
          <w:rFonts w:asciiTheme="majorBidi" w:hAnsiTheme="majorBidi" w:cstheme="majorBidi"/>
        </w:rPr>
        <w:t xml:space="preserve">. </w:t>
      </w:r>
      <w:r w:rsidR="00B333B0">
        <w:rPr>
          <w:rFonts w:asciiTheme="majorBidi" w:hAnsiTheme="majorBidi" w:cstheme="majorBidi"/>
        </w:rPr>
        <w:t xml:space="preserve">Most of </w:t>
      </w:r>
      <w:r w:rsidR="00DB1C05">
        <w:rPr>
          <w:rFonts w:asciiTheme="majorBidi" w:hAnsiTheme="majorBidi" w:cstheme="majorBidi"/>
        </w:rPr>
        <w:t xml:space="preserve">the </w:t>
      </w:r>
      <w:r w:rsidR="00B439D2">
        <w:rPr>
          <w:rFonts w:asciiTheme="majorBidi" w:hAnsiTheme="majorBidi" w:cstheme="majorBidi"/>
        </w:rPr>
        <w:t>i</w:t>
      </w:r>
      <w:r w:rsidR="00B333B0">
        <w:rPr>
          <w:rFonts w:asciiTheme="majorBidi" w:hAnsiTheme="majorBidi" w:cstheme="majorBidi"/>
        </w:rPr>
        <w:t>ncluded</w:t>
      </w:r>
      <w:r w:rsidR="00DB1C05">
        <w:rPr>
          <w:rFonts w:asciiTheme="majorBidi" w:hAnsiTheme="majorBidi" w:cstheme="majorBidi"/>
        </w:rPr>
        <w:t xml:space="preserve"> studies</w:t>
      </w:r>
      <w:r w:rsidR="00B333B0">
        <w:rPr>
          <w:rFonts w:asciiTheme="majorBidi" w:hAnsiTheme="majorBidi" w:cstheme="majorBidi"/>
        </w:rPr>
        <w:t xml:space="preserve"> in these systematic reviews used Fried’s </w:t>
      </w:r>
      <w:r w:rsidR="00B439D2">
        <w:rPr>
          <w:rFonts w:asciiTheme="majorBidi" w:hAnsiTheme="majorBidi" w:cstheme="majorBidi"/>
        </w:rPr>
        <w:t>phenotype</w:t>
      </w:r>
      <w:r w:rsidR="00B333B0">
        <w:rPr>
          <w:rFonts w:asciiTheme="majorBidi" w:hAnsiTheme="majorBidi" w:cstheme="majorBidi"/>
        </w:rPr>
        <w:t xml:space="preserve"> for defining frailt</w:t>
      </w:r>
      <w:r w:rsidR="00B439D2">
        <w:rPr>
          <w:rFonts w:asciiTheme="majorBidi" w:hAnsiTheme="majorBidi" w:cstheme="majorBidi"/>
        </w:rPr>
        <w:t xml:space="preserve">y. </w:t>
      </w:r>
      <w:r w:rsidR="0092042B" w:rsidRPr="009D1CA6">
        <w:rPr>
          <w:rFonts w:asciiTheme="majorBidi" w:hAnsiTheme="majorBidi" w:cstheme="majorBidi"/>
        </w:rPr>
        <w:t xml:space="preserve">To the best of our knowledge, </w:t>
      </w:r>
      <w:r w:rsidR="00C97E91">
        <w:rPr>
          <w:rFonts w:asciiTheme="majorBidi" w:hAnsiTheme="majorBidi" w:cstheme="majorBidi"/>
        </w:rPr>
        <w:t>only two</w:t>
      </w:r>
      <w:r w:rsidR="0092042B" w:rsidRPr="009D1CA6">
        <w:rPr>
          <w:rFonts w:asciiTheme="majorBidi" w:hAnsiTheme="majorBidi" w:cstheme="majorBidi"/>
        </w:rPr>
        <w:t xml:space="preserve"> studies </w:t>
      </w:r>
      <w:r w:rsidR="00C97E91">
        <w:rPr>
          <w:rFonts w:asciiTheme="majorBidi" w:hAnsiTheme="majorBidi" w:cstheme="majorBidi"/>
        </w:rPr>
        <w:t xml:space="preserve">assessed the association </w:t>
      </w:r>
      <w:r w:rsidR="005B75C3">
        <w:rPr>
          <w:rFonts w:asciiTheme="majorBidi" w:hAnsiTheme="majorBidi" w:cstheme="majorBidi"/>
        </w:rPr>
        <w:t xml:space="preserve">of poor </w:t>
      </w:r>
      <w:r w:rsidR="00C97E91">
        <w:rPr>
          <w:rFonts w:asciiTheme="majorBidi" w:hAnsiTheme="majorBidi" w:cstheme="majorBidi"/>
        </w:rPr>
        <w:t xml:space="preserve">oral health and </w:t>
      </w:r>
      <w:r w:rsidR="0092042B" w:rsidRPr="009D1CA6">
        <w:rPr>
          <w:rFonts w:asciiTheme="majorBidi" w:hAnsiTheme="majorBidi" w:cstheme="majorBidi"/>
        </w:rPr>
        <w:t>frailty index</w:t>
      </w:r>
      <w:r w:rsidR="00EE03C2">
        <w:rPr>
          <w:rFonts w:asciiTheme="majorBidi" w:hAnsiTheme="majorBidi" w:cstheme="majorBidi"/>
        </w:rPr>
        <w:t xml:space="preserve">. However, </w:t>
      </w:r>
      <w:r w:rsidR="00DA0D31">
        <w:rPr>
          <w:rFonts w:asciiTheme="majorBidi" w:hAnsiTheme="majorBidi" w:cstheme="majorBidi"/>
        </w:rPr>
        <w:t xml:space="preserve">both studies </w:t>
      </w:r>
      <w:r w:rsidR="005B75C3">
        <w:rPr>
          <w:rFonts w:asciiTheme="majorBidi" w:hAnsiTheme="majorBidi" w:cstheme="majorBidi"/>
        </w:rPr>
        <w:t>utilized</w:t>
      </w:r>
      <w:r w:rsidR="00DA0D31">
        <w:rPr>
          <w:rFonts w:asciiTheme="majorBidi" w:hAnsiTheme="majorBidi" w:cstheme="majorBidi"/>
        </w:rPr>
        <w:t xml:space="preserve"> </w:t>
      </w:r>
      <w:r w:rsidR="00400D63">
        <w:rPr>
          <w:rFonts w:asciiTheme="majorBidi" w:hAnsiTheme="majorBidi" w:cstheme="majorBidi"/>
        </w:rPr>
        <w:t>subjective oral health indicators</w:t>
      </w:r>
      <w:r w:rsidR="00CA04E7">
        <w:rPr>
          <w:rFonts w:asciiTheme="majorBidi" w:hAnsiTheme="majorBidi" w:cstheme="majorBidi"/>
        </w:rPr>
        <w:t>.</w:t>
      </w:r>
      <w:r w:rsidR="00931DAB">
        <w:rPr>
          <w:rFonts w:asciiTheme="majorBidi" w:hAnsiTheme="majorBidi" w:cstheme="majorBidi"/>
        </w:rPr>
        <w:fldChar w:fldCharType="begin"/>
      </w:r>
      <w:r w:rsidR="0036052C">
        <w:rPr>
          <w:rFonts w:asciiTheme="majorBidi" w:hAnsiTheme="majorBidi" w:cstheme="majorBidi"/>
        </w:rPr>
        <w:instrText xml:space="preserve"> ADDIN EN.CITE &lt;EndNote&gt;&lt;Cite&gt;&lt;Author&gt;Bassim&lt;/Author&gt;&lt;Year&gt;2020&lt;/Year&gt;&lt;RecNum&gt;139&lt;/RecNum&gt;&lt;DisplayText&gt;&lt;style face="superscript"&gt;17, 18&lt;/style&gt;&lt;/DisplayText&gt;&lt;record&gt;&lt;rec-number&gt;139&lt;/rec-number&gt;&lt;foreign-keys&gt;&lt;key app="EN" db-id="90pv252x7xpz25etx2i5affuwe2ffaptfsvz" timestamp="1589043629"&gt;139&lt;/key&gt;&lt;/foreign-keys&gt;&lt;ref-type name="Journal Article"&gt;17&lt;/ref-type&gt;&lt;contributors&gt;&lt;authors&gt;&lt;author&gt;Bassim, Carol&lt;/author&gt;&lt;author&gt;Mayhew, Alexandra J&lt;/author&gt;&lt;author&gt;Ma, Jinhui&lt;/author&gt;&lt;author&gt;Kanters, David&lt;/author&gt;&lt;author&gt;Verschoor, Chris P&lt;/author&gt;&lt;author&gt;Griffith, Lauren E&lt;/author&gt;&lt;author&gt;Raina, Parminder&lt;/author&gt;&lt;/authors&gt;&lt;/contributors&gt;&lt;titles&gt;&lt;title&gt;Oral Health, Diet, and Frailty at Baseline of the Canadian Longitudinal Study on Aging&lt;/title&gt;&lt;secondary-title&gt;Journal of the American Geriatrics Society&lt;/secondary-title&gt;&lt;/titles&gt;&lt;periodical&gt;&lt;full-title&gt;Journal of the American Geriatrics Society&lt;/full-title&gt;&lt;/periodical&gt;&lt;dates&gt;&lt;year&gt;2020&lt;/year&gt;&lt;/dates&gt;&lt;isbn&gt;0002-8614&lt;/isbn&gt;&lt;urls&gt;&lt;/urls&gt;&lt;/record&gt;&lt;/Cite&gt;&lt;Cite&gt;&lt;Author&gt;Gu&lt;/Author&gt;&lt;Year&gt;2019&lt;/Year&gt;&lt;RecNum&gt;103&lt;/RecNum&gt;&lt;record&gt;&lt;rec-number&gt;103&lt;/rec-number&gt;&lt;foreign-keys&gt;&lt;key app="EN" db-id="rvxe0exprat2w9evvvvxwe2owzrpwfzpzzv5"&gt;103&lt;/key&gt;&lt;/foreign-keys&gt;&lt;ref-type name="Journal Article"&gt;17&lt;/ref-type&gt;&lt;contributors&gt;&lt;authors&gt;&lt;author&gt;Gu, Yaohua&lt;/author&gt;&lt;author&gt;Wu, Wenwen&lt;/author&gt;&lt;author&gt;Bai, Jinbing&lt;/author&gt;&lt;author&gt;Chen, Xuyu&lt;/author&gt;&lt;author&gt;Chen, Xiaoli&lt;/author&gt;&lt;author&gt;Yu, Liping&lt;/author&gt;&lt;author&gt;Zhang, Qing&lt;/author&gt;&lt;author&gt;Zou, Zhijie&lt;/author&gt;&lt;author&gt;Luo, Xianwu&lt;/author&gt;&lt;author&gt;Pei, Xianbo&lt;/author&gt;&lt;/authors&gt;&lt;/contributors&gt;&lt;titles&gt;&lt;title&gt;Association between the number of teeth and frailty among Chinese older adults: a nationwide cross-sectional study&lt;/title&gt;&lt;secondary-title&gt;BMJ open&lt;/secondary-title&gt;&lt;/titles&gt;&lt;periodical&gt;&lt;full-title&gt;BMJ open&lt;/full-title&gt;&lt;/periodical&gt;&lt;pages&gt;e029929&lt;/pages&gt;&lt;volume&gt;9&lt;/volume&gt;&lt;number&gt;10&lt;/number&gt;&lt;dates&gt;&lt;year&gt;2019&lt;/year&gt;&lt;/dates&gt;&lt;isbn&gt;2044-6055&lt;/isbn&gt;&lt;urls&gt;&lt;/urls&gt;&lt;/record&gt;&lt;/Cite&gt;&lt;/EndNote&gt;</w:instrText>
      </w:r>
      <w:r w:rsidR="00931DAB">
        <w:rPr>
          <w:rFonts w:asciiTheme="majorBidi" w:hAnsiTheme="majorBidi" w:cstheme="majorBidi"/>
        </w:rPr>
        <w:fldChar w:fldCharType="separate"/>
      </w:r>
      <w:hyperlink w:anchor="_ENREF_17" w:tooltip="Bassim, 2020 #139" w:history="1">
        <w:r w:rsidR="0036052C" w:rsidRPr="0036052C">
          <w:rPr>
            <w:rFonts w:asciiTheme="majorBidi" w:hAnsiTheme="majorBidi" w:cstheme="majorBidi"/>
            <w:noProof/>
            <w:vertAlign w:val="superscript"/>
          </w:rPr>
          <w:t>17</w:t>
        </w:r>
      </w:hyperlink>
      <w:r w:rsidR="0036052C" w:rsidRPr="0036052C">
        <w:rPr>
          <w:rFonts w:asciiTheme="majorBidi" w:hAnsiTheme="majorBidi" w:cstheme="majorBidi"/>
          <w:noProof/>
          <w:vertAlign w:val="superscript"/>
        </w:rPr>
        <w:t xml:space="preserve">, </w:t>
      </w:r>
      <w:hyperlink w:anchor="_ENREF_18" w:tooltip="Gu, 2019 #103" w:history="1">
        <w:r w:rsidR="0036052C" w:rsidRPr="0036052C">
          <w:rPr>
            <w:rFonts w:asciiTheme="majorBidi" w:hAnsiTheme="majorBidi" w:cstheme="majorBidi"/>
            <w:noProof/>
            <w:vertAlign w:val="superscript"/>
          </w:rPr>
          <w:t>18</w:t>
        </w:r>
      </w:hyperlink>
      <w:r w:rsidR="00931DAB">
        <w:rPr>
          <w:rFonts w:asciiTheme="majorBidi" w:hAnsiTheme="majorBidi" w:cstheme="majorBidi"/>
        </w:rPr>
        <w:fldChar w:fldCharType="end"/>
      </w:r>
      <w:r w:rsidR="006A3ECE">
        <w:rPr>
          <w:rFonts w:asciiTheme="majorBidi" w:hAnsiTheme="majorBidi" w:cstheme="majorBidi"/>
        </w:rPr>
        <w:t xml:space="preserve"> </w:t>
      </w:r>
      <w:r w:rsidR="0008609C">
        <w:rPr>
          <w:rFonts w:asciiTheme="majorBidi" w:hAnsiTheme="majorBidi" w:cstheme="majorBidi"/>
        </w:rPr>
        <w:t xml:space="preserve">Moreover, </w:t>
      </w:r>
      <w:r w:rsidR="00AC59BF">
        <w:rPr>
          <w:rFonts w:asciiTheme="majorBidi" w:hAnsiTheme="majorBidi" w:cstheme="majorBidi"/>
        </w:rPr>
        <w:t xml:space="preserve">the impact of </w:t>
      </w:r>
      <w:r w:rsidR="002670D5">
        <w:rPr>
          <w:rFonts w:asciiTheme="majorBidi" w:hAnsiTheme="majorBidi" w:cstheme="majorBidi"/>
        </w:rPr>
        <w:t>nutrition</w:t>
      </w:r>
      <w:r w:rsidR="00AD09C6">
        <w:rPr>
          <w:rFonts w:asciiTheme="majorBidi" w:hAnsiTheme="majorBidi" w:cstheme="majorBidi"/>
        </w:rPr>
        <w:t>al intake</w:t>
      </w:r>
      <w:r w:rsidR="002670D5">
        <w:rPr>
          <w:rFonts w:asciiTheme="majorBidi" w:hAnsiTheme="majorBidi" w:cstheme="majorBidi"/>
        </w:rPr>
        <w:t xml:space="preserve"> as</w:t>
      </w:r>
      <w:r w:rsidR="00173424">
        <w:rPr>
          <w:rFonts w:asciiTheme="majorBidi" w:hAnsiTheme="majorBidi" w:cstheme="majorBidi"/>
        </w:rPr>
        <w:t xml:space="preserve"> a</w:t>
      </w:r>
      <w:r w:rsidR="00AC59BF">
        <w:rPr>
          <w:rFonts w:asciiTheme="majorBidi" w:hAnsiTheme="majorBidi" w:cstheme="majorBidi"/>
        </w:rPr>
        <w:t xml:space="preserve"> potential</w:t>
      </w:r>
      <w:r w:rsidR="00173424">
        <w:rPr>
          <w:rFonts w:asciiTheme="majorBidi" w:hAnsiTheme="majorBidi" w:cstheme="majorBidi"/>
        </w:rPr>
        <w:t xml:space="preserve"> m</w:t>
      </w:r>
      <w:r w:rsidR="002670D5">
        <w:rPr>
          <w:rFonts w:asciiTheme="majorBidi" w:hAnsiTheme="majorBidi" w:cstheme="majorBidi"/>
        </w:rPr>
        <w:t>ediator of the relationship is still not fully understood.</w:t>
      </w:r>
      <w:r w:rsidR="000E02F5">
        <w:rPr>
          <w:rFonts w:asciiTheme="majorBidi" w:hAnsiTheme="majorBidi" w:cstheme="majorBidi"/>
        </w:rPr>
        <w:t xml:space="preserve"> </w:t>
      </w:r>
      <w:r w:rsidR="00400D63">
        <w:rPr>
          <w:rFonts w:asciiTheme="majorBidi" w:hAnsiTheme="majorBidi" w:cstheme="majorBidi"/>
        </w:rPr>
        <w:t>T</w:t>
      </w:r>
      <w:r w:rsidR="0092042B" w:rsidRPr="009D1CA6">
        <w:rPr>
          <w:rFonts w:asciiTheme="majorBidi" w:hAnsiTheme="majorBidi" w:cstheme="majorBidi"/>
        </w:rPr>
        <w:t>herefore</w:t>
      </w:r>
      <w:r w:rsidR="00400D63">
        <w:rPr>
          <w:rFonts w:asciiTheme="majorBidi" w:hAnsiTheme="majorBidi" w:cstheme="majorBidi"/>
        </w:rPr>
        <w:t>,</w:t>
      </w:r>
      <w:r w:rsidR="0092042B" w:rsidRPr="009D1CA6">
        <w:rPr>
          <w:rFonts w:asciiTheme="majorBidi" w:hAnsiTheme="majorBidi" w:cstheme="majorBidi"/>
        </w:rPr>
        <w:t xml:space="preserve"> we set out to test </w:t>
      </w:r>
      <w:r w:rsidR="008D5952">
        <w:rPr>
          <w:rFonts w:asciiTheme="majorBidi" w:hAnsiTheme="majorBidi" w:cstheme="majorBidi"/>
        </w:rPr>
        <w:t xml:space="preserve">the association between </w:t>
      </w:r>
      <w:r w:rsidR="00400D63">
        <w:rPr>
          <w:rFonts w:asciiTheme="majorBidi" w:hAnsiTheme="majorBidi" w:cstheme="majorBidi"/>
        </w:rPr>
        <w:t>clinical</w:t>
      </w:r>
      <w:r w:rsidR="0092042B" w:rsidRPr="009D1CA6">
        <w:rPr>
          <w:rFonts w:asciiTheme="majorBidi" w:hAnsiTheme="majorBidi" w:cstheme="majorBidi"/>
        </w:rPr>
        <w:t xml:space="preserve"> oral health indicators </w:t>
      </w:r>
      <w:r w:rsidR="008D5952">
        <w:rPr>
          <w:rFonts w:asciiTheme="majorBidi" w:hAnsiTheme="majorBidi" w:cstheme="majorBidi"/>
        </w:rPr>
        <w:t xml:space="preserve">and </w:t>
      </w:r>
      <w:r w:rsidR="0092042B" w:rsidRPr="009D1CA6">
        <w:rPr>
          <w:rFonts w:asciiTheme="majorBidi" w:hAnsiTheme="majorBidi" w:cstheme="majorBidi"/>
        </w:rPr>
        <w:t>frailty index using data from the National Health and Nutrition Examination Surveys (NHANES) 2011 to 2014.</w:t>
      </w:r>
      <w:r w:rsidR="00B75DBC">
        <w:rPr>
          <w:rFonts w:asciiTheme="majorBidi" w:hAnsiTheme="majorBidi" w:cstheme="majorBidi"/>
        </w:rPr>
        <w:t xml:space="preserve"> </w:t>
      </w:r>
      <w:r w:rsidR="008D5952" w:rsidRPr="00A319DC">
        <w:rPr>
          <w:rFonts w:asciiTheme="majorBidi" w:hAnsiTheme="majorBidi" w:cstheme="majorBidi"/>
          <w:highlight w:val="yellow"/>
        </w:rPr>
        <w:t>The research question of this study</w:t>
      </w:r>
      <w:r w:rsidR="00C1775A">
        <w:rPr>
          <w:rFonts w:asciiTheme="majorBidi" w:hAnsiTheme="majorBidi" w:cstheme="majorBidi"/>
          <w:highlight w:val="yellow"/>
        </w:rPr>
        <w:t xml:space="preserve"> is whether</w:t>
      </w:r>
      <w:r w:rsidR="008D5952" w:rsidRPr="00A319DC">
        <w:rPr>
          <w:rFonts w:asciiTheme="majorBidi" w:hAnsiTheme="majorBidi" w:cstheme="majorBidi"/>
          <w:highlight w:val="yellow"/>
        </w:rPr>
        <w:t xml:space="preserve"> </w:t>
      </w:r>
      <w:r w:rsidR="00B75DBC" w:rsidRPr="00BC4FA8">
        <w:rPr>
          <w:rFonts w:asciiTheme="majorBidi" w:hAnsiTheme="majorBidi" w:cstheme="majorBidi"/>
          <w:highlight w:val="yellow"/>
        </w:rPr>
        <w:t>oral health indic</w:t>
      </w:r>
      <w:r w:rsidR="007B1BAF" w:rsidRPr="00BC4FA8">
        <w:rPr>
          <w:rFonts w:asciiTheme="majorBidi" w:hAnsiTheme="majorBidi" w:cstheme="majorBidi"/>
          <w:highlight w:val="yellow"/>
        </w:rPr>
        <w:t xml:space="preserve">ators, </w:t>
      </w:r>
      <w:r w:rsidR="008D5952" w:rsidRPr="00BC4FA8">
        <w:rPr>
          <w:rFonts w:asciiTheme="majorBidi" w:hAnsiTheme="majorBidi" w:cstheme="majorBidi"/>
          <w:highlight w:val="yellow"/>
        </w:rPr>
        <w:t>namely</w:t>
      </w:r>
      <w:r w:rsidR="007B1BAF" w:rsidRPr="00BC4FA8">
        <w:rPr>
          <w:rFonts w:asciiTheme="majorBidi" w:hAnsiTheme="majorBidi" w:cstheme="majorBidi"/>
          <w:highlight w:val="yellow"/>
        </w:rPr>
        <w:t xml:space="preserve"> number of teeth and </w:t>
      </w:r>
      <w:r w:rsidR="007B1BAF" w:rsidRPr="007B1BAF">
        <w:rPr>
          <w:rFonts w:asciiTheme="majorBidi" w:hAnsiTheme="majorBidi" w:cstheme="majorBidi"/>
          <w:highlight w:val="yellow"/>
        </w:rPr>
        <w:t>periodontal disease</w:t>
      </w:r>
      <w:r w:rsidR="008D5952">
        <w:rPr>
          <w:rFonts w:asciiTheme="majorBidi" w:hAnsiTheme="majorBidi" w:cstheme="majorBidi"/>
          <w:highlight w:val="yellow"/>
        </w:rPr>
        <w:t>,</w:t>
      </w:r>
      <w:r w:rsidR="007B1BAF" w:rsidRPr="007B1BAF">
        <w:rPr>
          <w:rFonts w:asciiTheme="majorBidi" w:hAnsiTheme="majorBidi" w:cstheme="majorBidi"/>
          <w:highlight w:val="yellow"/>
        </w:rPr>
        <w:t xml:space="preserve"> </w:t>
      </w:r>
      <w:r w:rsidR="00C1775A">
        <w:rPr>
          <w:rFonts w:asciiTheme="majorBidi" w:hAnsiTheme="majorBidi" w:cstheme="majorBidi"/>
          <w:highlight w:val="yellow"/>
        </w:rPr>
        <w:t xml:space="preserve">are </w:t>
      </w:r>
      <w:r w:rsidR="007B1BAF" w:rsidRPr="007B1BAF">
        <w:rPr>
          <w:rFonts w:asciiTheme="majorBidi" w:hAnsiTheme="majorBidi" w:cstheme="majorBidi"/>
          <w:highlight w:val="yellow"/>
        </w:rPr>
        <w:t xml:space="preserve">associated with frailty index among </w:t>
      </w:r>
      <w:r w:rsidR="008D5952">
        <w:rPr>
          <w:rFonts w:asciiTheme="majorBidi" w:hAnsiTheme="majorBidi" w:cstheme="majorBidi"/>
          <w:highlight w:val="yellow"/>
        </w:rPr>
        <w:t xml:space="preserve">older </w:t>
      </w:r>
      <w:r w:rsidR="007B1BAF" w:rsidRPr="007B1BAF">
        <w:rPr>
          <w:rFonts w:asciiTheme="majorBidi" w:hAnsiTheme="majorBidi" w:cstheme="majorBidi"/>
          <w:highlight w:val="yellow"/>
        </w:rPr>
        <w:t>American adults?</w:t>
      </w:r>
    </w:p>
    <w:p w14:paraId="4D48C3D6" w14:textId="7AF85ED6" w:rsidR="0092042B" w:rsidRPr="009D1CA6" w:rsidRDefault="0092042B" w:rsidP="00C526F6">
      <w:pPr>
        <w:pStyle w:val="Heading3"/>
        <w:spacing w:line="480" w:lineRule="auto"/>
        <w:rPr>
          <w:rStyle w:val="SubtleEmphasis"/>
          <w:rFonts w:asciiTheme="majorBidi" w:hAnsiTheme="majorBidi" w:cstheme="majorBidi"/>
          <w:sz w:val="24"/>
          <w:szCs w:val="24"/>
        </w:rPr>
      </w:pPr>
      <w:r w:rsidRPr="009D1CA6">
        <w:rPr>
          <w:rStyle w:val="SubtleEmphasis"/>
          <w:rFonts w:asciiTheme="majorBidi" w:hAnsiTheme="majorBidi" w:cstheme="majorBidi"/>
          <w:sz w:val="24"/>
          <w:szCs w:val="24"/>
        </w:rPr>
        <w:t>Materials and Methods:</w:t>
      </w:r>
    </w:p>
    <w:p w14:paraId="34774A81" w14:textId="5D49363F" w:rsidR="004A0C11" w:rsidRPr="009D1CA6" w:rsidRDefault="00B94260" w:rsidP="00C526F6">
      <w:pPr>
        <w:spacing w:line="480" w:lineRule="auto"/>
        <w:jc w:val="both"/>
        <w:rPr>
          <w:rFonts w:asciiTheme="majorBidi" w:hAnsiTheme="majorBidi" w:cstheme="majorBidi"/>
        </w:rPr>
      </w:pPr>
      <w:r>
        <w:rPr>
          <w:rFonts w:asciiTheme="majorBidi" w:hAnsiTheme="majorBidi" w:cstheme="majorBidi"/>
        </w:rPr>
        <w:t xml:space="preserve"> The </w:t>
      </w:r>
      <w:r w:rsidR="004A0C11" w:rsidRPr="009D1CA6">
        <w:rPr>
          <w:rFonts w:asciiTheme="majorBidi" w:hAnsiTheme="majorBidi" w:cstheme="majorBidi"/>
        </w:rPr>
        <w:t>National Health and Nutrition Examination Survey</w:t>
      </w:r>
      <w:r>
        <w:rPr>
          <w:rFonts w:asciiTheme="majorBidi" w:hAnsiTheme="majorBidi" w:cstheme="majorBidi"/>
        </w:rPr>
        <w:t xml:space="preserve"> data</w:t>
      </w:r>
      <w:r w:rsidR="004A0C11" w:rsidRPr="009D1CA6">
        <w:rPr>
          <w:rFonts w:asciiTheme="majorBidi" w:hAnsiTheme="majorBidi" w:cstheme="majorBidi"/>
        </w:rPr>
        <w:t>, a cross-sectional nationally representative survey of Americans</w:t>
      </w:r>
      <w:r w:rsidR="00010605">
        <w:rPr>
          <w:rFonts w:asciiTheme="majorBidi" w:hAnsiTheme="majorBidi" w:cstheme="majorBidi"/>
        </w:rPr>
        <w:t>, was used</w:t>
      </w:r>
      <w:r w:rsidR="004A0C11" w:rsidRPr="009D1CA6">
        <w:rPr>
          <w:rFonts w:asciiTheme="majorBidi" w:hAnsiTheme="majorBidi" w:cstheme="majorBidi"/>
        </w:rPr>
        <w:t xml:space="preserve"> </w:t>
      </w:r>
      <w:r w:rsidR="00C1775A">
        <w:rPr>
          <w:rFonts w:asciiTheme="majorBidi" w:hAnsiTheme="majorBidi" w:cstheme="majorBidi"/>
        </w:rPr>
        <w:t>(</w:t>
      </w:r>
      <w:r w:rsidR="0092042B" w:rsidRPr="009D1CA6">
        <w:rPr>
          <w:rFonts w:asciiTheme="majorBidi" w:hAnsiTheme="majorBidi" w:cstheme="majorBidi"/>
        </w:rPr>
        <w:t>NHANES 2011</w:t>
      </w:r>
      <w:r w:rsidR="00C1775A">
        <w:rPr>
          <w:rFonts w:asciiTheme="majorBidi" w:hAnsiTheme="majorBidi" w:cstheme="majorBidi"/>
        </w:rPr>
        <w:t>-</w:t>
      </w:r>
      <w:r w:rsidR="0092042B" w:rsidRPr="009D1CA6">
        <w:rPr>
          <w:rFonts w:asciiTheme="majorBidi" w:hAnsiTheme="majorBidi" w:cstheme="majorBidi"/>
        </w:rPr>
        <w:t>2012 and 2013</w:t>
      </w:r>
      <w:r w:rsidR="00C1775A">
        <w:rPr>
          <w:rFonts w:asciiTheme="majorBidi" w:hAnsiTheme="majorBidi" w:cstheme="majorBidi"/>
        </w:rPr>
        <w:t>-</w:t>
      </w:r>
      <w:r w:rsidR="0092042B" w:rsidRPr="009D1CA6">
        <w:rPr>
          <w:rFonts w:asciiTheme="majorBidi" w:hAnsiTheme="majorBidi" w:cstheme="majorBidi"/>
        </w:rPr>
        <w:t>2014</w:t>
      </w:r>
      <w:r w:rsidR="00C1775A">
        <w:rPr>
          <w:rFonts w:asciiTheme="majorBidi" w:hAnsiTheme="majorBidi" w:cstheme="majorBidi"/>
        </w:rPr>
        <w:t>)</w:t>
      </w:r>
      <w:r w:rsidR="006B7079">
        <w:rPr>
          <w:rFonts w:asciiTheme="majorBidi" w:hAnsiTheme="majorBidi" w:cstheme="majorBidi"/>
        </w:rPr>
        <w:t xml:space="preserve">. </w:t>
      </w:r>
      <w:r w:rsidR="0073639D" w:rsidRPr="001B4DAD">
        <w:rPr>
          <w:rFonts w:asciiTheme="majorBidi" w:hAnsiTheme="majorBidi" w:cstheme="majorBidi"/>
          <w:color w:val="000000" w:themeColor="text1"/>
        </w:rPr>
        <w:t xml:space="preserve">These </w:t>
      </w:r>
      <w:r w:rsidR="00C1311E">
        <w:rPr>
          <w:rFonts w:asciiTheme="majorBidi" w:hAnsiTheme="majorBidi" w:cstheme="majorBidi"/>
          <w:color w:val="000000" w:themeColor="text1"/>
        </w:rPr>
        <w:t>two</w:t>
      </w:r>
      <w:r w:rsidR="00C1311E" w:rsidRPr="001B4DAD">
        <w:rPr>
          <w:rFonts w:asciiTheme="majorBidi" w:hAnsiTheme="majorBidi" w:cstheme="majorBidi"/>
          <w:color w:val="000000" w:themeColor="text1"/>
        </w:rPr>
        <w:t xml:space="preserve"> </w:t>
      </w:r>
      <w:r w:rsidR="00DE1C2C" w:rsidRPr="001B4DAD">
        <w:rPr>
          <w:rFonts w:asciiTheme="majorBidi" w:hAnsiTheme="majorBidi" w:cstheme="majorBidi"/>
          <w:color w:val="000000" w:themeColor="text1"/>
        </w:rPr>
        <w:t xml:space="preserve">waves were chosen </w:t>
      </w:r>
      <w:r w:rsidR="00754391" w:rsidRPr="001B4DAD">
        <w:rPr>
          <w:rFonts w:asciiTheme="majorBidi" w:hAnsiTheme="majorBidi" w:cstheme="majorBidi"/>
          <w:color w:val="000000" w:themeColor="text1"/>
        </w:rPr>
        <w:t>because</w:t>
      </w:r>
      <w:r w:rsidR="00DE1C2C" w:rsidRPr="001B4DAD">
        <w:rPr>
          <w:rFonts w:asciiTheme="majorBidi" w:hAnsiTheme="majorBidi" w:cstheme="majorBidi"/>
          <w:color w:val="000000" w:themeColor="text1"/>
        </w:rPr>
        <w:t xml:space="preserve"> </w:t>
      </w:r>
      <w:r w:rsidR="00C1311E">
        <w:rPr>
          <w:rFonts w:asciiTheme="majorBidi" w:hAnsiTheme="majorBidi" w:cstheme="majorBidi"/>
          <w:color w:val="000000" w:themeColor="text1"/>
        </w:rPr>
        <w:t xml:space="preserve">data on </w:t>
      </w:r>
      <w:r w:rsidR="00DE1C2C" w:rsidRPr="001B4DAD">
        <w:rPr>
          <w:rFonts w:asciiTheme="majorBidi" w:hAnsiTheme="majorBidi" w:cstheme="majorBidi"/>
          <w:color w:val="000000" w:themeColor="text1"/>
        </w:rPr>
        <w:t>periodontal examinations and handgrips strength are not available in the recent waves</w:t>
      </w:r>
      <w:r w:rsidR="004A0C11" w:rsidRPr="001B4DAD">
        <w:rPr>
          <w:rFonts w:asciiTheme="majorBidi" w:hAnsiTheme="majorBidi" w:cstheme="majorBidi"/>
          <w:color w:val="000000" w:themeColor="text1"/>
        </w:rPr>
        <w:t xml:space="preserve">. </w:t>
      </w:r>
      <w:r w:rsidR="000E2F10">
        <w:rPr>
          <w:rFonts w:asciiTheme="majorBidi" w:hAnsiTheme="majorBidi" w:cstheme="majorBidi"/>
        </w:rPr>
        <w:t>Four</w:t>
      </w:r>
      <w:r w:rsidR="004A0C11" w:rsidRPr="009D1CA6">
        <w:rPr>
          <w:rFonts w:asciiTheme="majorBidi" w:hAnsiTheme="majorBidi" w:cstheme="majorBidi"/>
        </w:rPr>
        <w:t xml:space="preserve"> years </w:t>
      </w:r>
      <w:r w:rsidR="00C1311E" w:rsidRPr="009D1CA6">
        <w:rPr>
          <w:rFonts w:asciiTheme="majorBidi" w:hAnsiTheme="majorBidi" w:cstheme="majorBidi"/>
        </w:rPr>
        <w:t>NHANES</w:t>
      </w:r>
      <w:r w:rsidR="00C1311E">
        <w:rPr>
          <w:rFonts w:asciiTheme="majorBidi" w:hAnsiTheme="majorBidi" w:cstheme="majorBidi"/>
        </w:rPr>
        <w:t xml:space="preserve"> examination weights were calculated and used throughout the analysis</w:t>
      </w:r>
      <w:r w:rsidR="004A0C11" w:rsidRPr="009D1CA6">
        <w:rPr>
          <w:rFonts w:asciiTheme="majorBidi" w:hAnsiTheme="majorBidi" w:cstheme="majorBidi"/>
        </w:rPr>
        <w:t xml:space="preserve">. </w:t>
      </w:r>
      <w:r w:rsidR="001123B0">
        <w:rPr>
          <w:rFonts w:asciiTheme="majorBidi" w:hAnsiTheme="majorBidi" w:cstheme="majorBidi"/>
        </w:rPr>
        <w:t>Only</w:t>
      </w:r>
      <w:r w:rsidR="000C0DB6" w:rsidRPr="009D1CA6">
        <w:rPr>
          <w:rFonts w:asciiTheme="majorBidi" w:hAnsiTheme="majorBidi" w:cstheme="majorBidi"/>
        </w:rPr>
        <w:t xml:space="preserve"> those aged 60 years and older, had a complete NHANES oral health exam, and had no missing data</w:t>
      </w:r>
      <w:r w:rsidR="001123B0">
        <w:rPr>
          <w:rFonts w:asciiTheme="majorBidi" w:hAnsiTheme="majorBidi" w:cstheme="majorBidi"/>
        </w:rPr>
        <w:t xml:space="preserve"> were included in the analysis</w:t>
      </w:r>
      <w:r w:rsidR="000C0DB6" w:rsidRPr="009D1CA6">
        <w:rPr>
          <w:rFonts w:asciiTheme="majorBidi" w:hAnsiTheme="majorBidi" w:cstheme="majorBidi"/>
        </w:rPr>
        <w:t>.</w:t>
      </w:r>
      <w:r w:rsidR="00EE7F1D">
        <w:rPr>
          <w:rFonts w:asciiTheme="majorBidi" w:hAnsiTheme="majorBidi" w:cstheme="majorBidi"/>
        </w:rPr>
        <w:t xml:space="preserve"> </w:t>
      </w:r>
      <w:r w:rsidR="006D7846">
        <w:rPr>
          <w:rFonts w:asciiTheme="majorBidi" w:hAnsiTheme="majorBidi" w:cstheme="majorBidi"/>
        </w:rPr>
        <w:t xml:space="preserve"> </w:t>
      </w:r>
      <w:r w:rsidR="006D7846" w:rsidRPr="009908A0">
        <w:rPr>
          <w:rFonts w:asciiTheme="majorBidi" w:hAnsiTheme="majorBidi" w:cstheme="majorBidi"/>
          <w:highlight w:val="yellow"/>
        </w:rPr>
        <w:t xml:space="preserve">NHANES 2011-2014 had data </w:t>
      </w:r>
      <w:r w:rsidR="00C1311E">
        <w:rPr>
          <w:rFonts w:asciiTheme="majorBidi" w:hAnsiTheme="majorBidi" w:cstheme="majorBidi"/>
          <w:highlight w:val="yellow"/>
        </w:rPr>
        <w:t>on</w:t>
      </w:r>
      <w:r w:rsidR="00C1311E" w:rsidRPr="009908A0">
        <w:rPr>
          <w:rFonts w:asciiTheme="majorBidi" w:hAnsiTheme="majorBidi" w:cstheme="majorBidi"/>
          <w:highlight w:val="yellow"/>
        </w:rPr>
        <w:t xml:space="preserve"> </w:t>
      </w:r>
      <w:r w:rsidR="006D7846" w:rsidRPr="009908A0">
        <w:rPr>
          <w:rFonts w:asciiTheme="majorBidi" w:hAnsiTheme="majorBidi" w:cstheme="majorBidi"/>
          <w:highlight w:val="yellow"/>
        </w:rPr>
        <w:t>19</w:t>
      </w:r>
      <w:r w:rsidR="00C1311E">
        <w:rPr>
          <w:rFonts w:asciiTheme="majorBidi" w:hAnsiTheme="majorBidi" w:cstheme="majorBidi"/>
          <w:highlight w:val="yellow"/>
        </w:rPr>
        <w:t>,</w:t>
      </w:r>
      <w:r w:rsidR="006D7846" w:rsidRPr="009908A0">
        <w:rPr>
          <w:rFonts w:asciiTheme="majorBidi" w:hAnsiTheme="majorBidi" w:cstheme="majorBidi"/>
          <w:highlight w:val="yellow"/>
        </w:rPr>
        <w:t>931 participants</w:t>
      </w:r>
      <w:r w:rsidR="004004C7">
        <w:rPr>
          <w:rFonts w:asciiTheme="majorBidi" w:hAnsiTheme="majorBidi" w:cstheme="majorBidi"/>
          <w:highlight w:val="yellow"/>
        </w:rPr>
        <w:t xml:space="preserve"> among them 3,630 aged </w:t>
      </w:r>
      <w:r w:rsidR="00CE1A09" w:rsidRPr="00D45CE9">
        <w:rPr>
          <w:rFonts w:asciiTheme="majorBidi" w:hAnsiTheme="majorBidi" w:cstheme="majorBidi"/>
          <w:highlight w:val="yellow"/>
        </w:rPr>
        <w:t>60 years</w:t>
      </w:r>
      <w:r w:rsidR="004004C7">
        <w:rPr>
          <w:rFonts w:asciiTheme="majorBidi" w:hAnsiTheme="majorBidi" w:cstheme="majorBidi"/>
          <w:highlight w:val="yellow"/>
        </w:rPr>
        <w:t xml:space="preserve"> or older.  </w:t>
      </w:r>
      <w:r w:rsidR="00345FAA" w:rsidRPr="00D45CE9">
        <w:rPr>
          <w:rFonts w:asciiTheme="majorBidi" w:hAnsiTheme="majorBidi" w:cstheme="majorBidi"/>
          <w:highlight w:val="yellow"/>
        </w:rPr>
        <w:t xml:space="preserve">After excluding </w:t>
      </w:r>
      <w:r w:rsidR="009908A0" w:rsidRPr="00D45CE9">
        <w:rPr>
          <w:rFonts w:asciiTheme="majorBidi" w:hAnsiTheme="majorBidi" w:cstheme="majorBidi"/>
          <w:highlight w:val="yellow"/>
        </w:rPr>
        <w:t>participants</w:t>
      </w:r>
      <w:r w:rsidR="00C71878" w:rsidRPr="00D45CE9">
        <w:rPr>
          <w:rFonts w:asciiTheme="majorBidi" w:hAnsiTheme="majorBidi" w:cstheme="majorBidi"/>
          <w:highlight w:val="yellow"/>
        </w:rPr>
        <w:t xml:space="preserve"> who did not have complete oral health examination</w:t>
      </w:r>
      <w:r w:rsidR="004004C7">
        <w:rPr>
          <w:rFonts w:asciiTheme="majorBidi" w:hAnsiTheme="majorBidi" w:cstheme="majorBidi"/>
          <w:highlight w:val="yellow"/>
        </w:rPr>
        <w:t xml:space="preserve"> or</w:t>
      </w:r>
      <w:r w:rsidR="00C71878" w:rsidRPr="00D45CE9">
        <w:rPr>
          <w:rFonts w:asciiTheme="majorBidi" w:hAnsiTheme="majorBidi" w:cstheme="majorBidi"/>
          <w:highlight w:val="yellow"/>
        </w:rPr>
        <w:t xml:space="preserve"> had missing data</w:t>
      </w:r>
      <w:r w:rsidR="004004C7">
        <w:rPr>
          <w:rFonts w:asciiTheme="majorBidi" w:hAnsiTheme="majorBidi" w:cstheme="majorBidi"/>
          <w:highlight w:val="yellow"/>
        </w:rPr>
        <w:t xml:space="preserve"> in any other covariate, </w:t>
      </w:r>
      <w:r w:rsidR="009908A0" w:rsidRPr="00D45CE9">
        <w:rPr>
          <w:rFonts w:asciiTheme="majorBidi" w:hAnsiTheme="majorBidi" w:cstheme="majorBidi"/>
          <w:highlight w:val="yellow"/>
        </w:rPr>
        <w:t xml:space="preserve">2,368 </w:t>
      </w:r>
      <w:r w:rsidR="00D45CE9" w:rsidRPr="00D45CE9">
        <w:rPr>
          <w:rFonts w:asciiTheme="majorBidi" w:hAnsiTheme="majorBidi" w:cstheme="majorBidi"/>
          <w:highlight w:val="yellow"/>
        </w:rPr>
        <w:t>participants</w:t>
      </w:r>
      <w:r w:rsidR="009908A0" w:rsidRPr="00D45CE9">
        <w:rPr>
          <w:rFonts w:asciiTheme="majorBidi" w:hAnsiTheme="majorBidi" w:cstheme="majorBidi"/>
          <w:highlight w:val="yellow"/>
        </w:rPr>
        <w:t xml:space="preserve"> </w:t>
      </w:r>
      <w:r w:rsidR="00D45CE9" w:rsidRPr="00D45CE9">
        <w:rPr>
          <w:rFonts w:asciiTheme="majorBidi" w:hAnsiTheme="majorBidi" w:cstheme="majorBidi"/>
          <w:highlight w:val="yellow"/>
        </w:rPr>
        <w:t xml:space="preserve">were included in the </w:t>
      </w:r>
      <w:r w:rsidR="00D45CE9" w:rsidRPr="00FA7DBA">
        <w:rPr>
          <w:rFonts w:asciiTheme="majorBidi" w:hAnsiTheme="majorBidi" w:cstheme="majorBidi"/>
          <w:highlight w:val="yellow"/>
        </w:rPr>
        <w:t>analysis.</w:t>
      </w:r>
      <w:r w:rsidR="00ED4990" w:rsidRPr="00FA7DBA">
        <w:rPr>
          <w:rFonts w:asciiTheme="majorBidi" w:hAnsiTheme="majorBidi" w:cstheme="majorBidi"/>
          <w:highlight w:val="yellow"/>
        </w:rPr>
        <w:t xml:space="preserve"> In the included sample, </w:t>
      </w:r>
      <w:r w:rsidR="00117EDB" w:rsidRPr="00FA7DBA">
        <w:rPr>
          <w:rFonts w:asciiTheme="majorBidi" w:hAnsiTheme="majorBidi" w:cstheme="majorBidi"/>
          <w:highlight w:val="yellow"/>
        </w:rPr>
        <w:lastRenderedPageBreak/>
        <w:t xml:space="preserve">the majority were non-Hispanic </w:t>
      </w:r>
      <w:r w:rsidR="004C67E5">
        <w:rPr>
          <w:rFonts w:asciiTheme="majorBidi" w:hAnsiTheme="majorBidi" w:cstheme="majorBidi"/>
          <w:highlight w:val="yellow"/>
        </w:rPr>
        <w:t>W</w:t>
      </w:r>
      <w:r w:rsidR="00117EDB" w:rsidRPr="00FA7DBA">
        <w:rPr>
          <w:rFonts w:asciiTheme="majorBidi" w:hAnsiTheme="majorBidi" w:cstheme="majorBidi"/>
          <w:highlight w:val="yellow"/>
        </w:rPr>
        <w:t>hite</w:t>
      </w:r>
      <w:r w:rsidR="00E022F1" w:rsidRPr="00FA7DBA">
        <w:rPr>
          <w:rFonts w:asciiTheme="majorBidi" w:hAnsiTheme="majorBidi" w:cstheme="majorBidi"/>
          <w:highlight w:val="yellow"/>
        </w:rPr>
        <w:t xml:space="preserve"> (79.2%)</w:t>
      </w:r>
      <w:r w:rsidR="00CB1558" w:rsidRPr="00FA7DBA">
        <w:rPr>
          <w:rFonts w:asciiTheme="majorBidi" w:hAnsiTheme="majorBidi" w:cstheme="majorBidi"/>
          <w:highlight w:val="yellow"/>
        </w:rPr>
        <w:t xml:space="preserve">. Other ethnic group were Non-Hispanic </w:t>
      </w:r>
      <w:r w:rsidR="004C67E5">
        <w:rPr>
          <w:rFonts w:asciiTheme="majorBidi" w:hAnsiTheme="majorBidi" w:cstheme="majorBidi"/>
          <w:highlight w:val="yellow"/>
        </w:rPr>
        <w:t>B</w:t>
      </w:r>
      <w:r w:rsidR="00CB1558" w:rsidRPr="00FA7DBA">
        <w:rPr>
          <w:rFonts w:asciiTheme="majorBidi" w:hAnsiTheme="majorBidi" w:cstheme="majorBidi"/>
          <w:highlight w:val="yellow"/>
        </w:rPr>
        <w:t>lack (</w:t>
      </w:r>
      <w:r w:rsidR="00851C10" w:rsidRPr="00FA7DBA">
        <w:rPr>
          <w:rFonts w:asciiTheme="majorBidi" w:hAnsiTheme="majorBidi" w:cstheme="majorBidi"/>
          <w:highlight w:val="yellow"/>
        </w:rPr>
        <w:t>8.5%), other Hispanic (3.6%), Mexican American</w:t>
      </w:r>
      <w:r w:rsidR="00FA7DBA" w:rsidRPr="00FA7DBA">
        <w:rPr>
          <w:rFonts w:asciiTheme="majorBidi" w:hAnsiTheme="majorBidi" w:cstheme="majorBidi"/>
          <w:highlight w:val="yellow"/>
        </w:rPr>
        <w:t xml:space="preserve"> (3.3</w:t>
      </w:r>
      <w:r w:rsidR="007269CD">
        <w:rPr>
          <w:rFonts w:asciiTheme="majorBidi" w:hAnsiTheme="majorBidi" w:cstheme="majorBidi"/>
          <w:highlight w:val="yellow"/>
        </w:rPr>
        <w:t>%</w:t>
      </w:r>
      <w:r w:rsidR="00FA7DBA" w:rsidRPr="00FA7DBA">
        <w:rPr>
          <w:rFonts w:asciiTheme="majorBidi" w:hAnsiTheme="majorBidi" w:cstheme="majorBidi"/>
          <w:highlight w:val="yellow"/>
        </w:rPr>
        <w:t>), and other ethnic groups (5.3%)</w:t>
      </w:r>
    </w:p>
    <w:p w14:paraId="5593B4A4" w14:textId="513E25FF" w:rsidR="00905FE1" w:rsidRPr="009D1CA6" w:rsidRDefault="000C0DB6" w:rsidP="00C526F6">
      <w:pPr>
        <w:spacing w:line="480" w:lineRule="auto"/>
        <w:jc w:val="both"/>
        <w:rPr>
          <w:rStyle w:val="SubtleEmphasis"/>
          <w:rFonts w:eastAsiaTheme="minorEastAsia"/>
          <w:spacing w:val="15"/>
        </w:rPr>
      </w:pPr>
      <w:r w:rsidRPr="009D1CA6">
        <w:rPr>
          <w:rStyle w:val="SubtleEmphasis"/>
          <w:rFonts w:eastAsiaTheme="minorEastAsia"/>
          <w:spacing w:val="15"/>
        </w:rPr>
        <w:t xml:space="preserve">Outcome variable: </w:t>
      </w:r>
    </w:p>
    <w:p w14:paraId="5844782F" w14:textId="58F29FA2" w:rsidR="000C0DB6" w:rsidRDefault="00DA392A" w:rsidP="00C526F6">
      <w:pPr>
        <w:spacing w:line="480" w:lineRule="auto"/>
        <w:jc w:val="both"/>
        <w:rPr>
          <w:rFonts w:asciiTheme="majorBidi" w:hAnsiTheme="majorBidi" w:cstheme="majorBidi"/>
        </w:rPr>
      </w:pPr>
      <w:r>
        <w:rPr>
          <w:rFonts w:asciiTheme="majorBidi" w:hAnsiTheme="majorBidi" w:cstheme="majorBidi"/>
        </w:rPr>
        <w:t>We constructed</w:t>
      </w:r>
      <w:r w:rsidR="000C0DB6" w:rsidRPr="009D1CA6">
        <w:rPr>
          <w:rFonts w:asciiTheme="majorBidi" w:hAnsiTheme="majorBidi" w:cstheme="majorBidi"/>
        </w:rPr>
        <w:t xml:space="preserve"> frailty </w:t>
      </w:r>
      <w:r>
        <w:rPr>
          <w:rFonts w:asciiTheme="majorBidi" w:hAnsiTheme="majorBidi" w:cstheme="majorBidi"/>
        </w:rPr>
        <w:t>based on</w:t>
      </w:r>
      <w:r w:rsidR="00B768DA" w:rsidRPr="009D1CA6">
        <w:rPr>
          <w:rFonts w:asciiTheme="majorBidi" w:hAnsiTheme="majorBidi" w:cstheme="majorBidi"/>
        </w:rPr>
        <w:t xml:space="preserve"> the standard procedure introduced by </w:t>
      </w:r>
      <w:r w:rsidR="000E02F5" w:rsidRPr="00DC5685">
        <w:rPr>
          <w:rFonts w:asciiTheme="majorBidi" w:hAnsiTheme="majorBidi" w:cstheme="majorBidi"/>
        </w:rPr>
        <w:t>Searle</w:t>
      </w:r>
      <w:r w:rsidR="000E02F5" w:rsidRPr="009D1CA6">
        <w:rPr>
          <w:rFonts w:asciiTheme="majorBidi" w:hAnsiTheme="majorBidi" w:cstheme="majorBidi"/>
        </w:rPr>
        <w:t xml:space="preserve"> </w:t>
      </w:r>
      <w:r w:rsidR="000E02F5">
        <w:rPr>
          <w:rFonts w:asciiTheme="majorBidi" w:hAnsiTheme="majorBidi" w:cstheme="majorBidi"/>
        </w:rPr>
        <w:t>and colleagues</w:t>
      </w:r>
      <w:r w:rsidR="00512D67">
        <w:rPr>
          <w:rFonts w:asciiTheme="majorBidi" w:hAnsiTheme="majorBidi" w:cstheme="majorBidi"/>
        </w:rPr>
        <w:t xml:space="preserve"> </w:t>
      </w:r>
      <w:r w:rsidR="00CA04E7">
        <w:rPr>
          <w:rFonts w:asciiTheme="majorBidi" w:hAnsiTheme="majorBidi" w:cstheme="majorBidi"/>
        </w:rPr>
        <w:t>.</w:t>
      </w:r>
      <w:hyperlink w:anchor="_ENREF_19" w:tooltip="Searle, 2008 #75"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&lt;EndNote&gt;&lt;Cite&gt;&lt;Author&gt;Searle&lt;/Author&gt;&lt;Year&gt;2008&lt;/Year&gt;&lt;RecNum&gt;75&lt;/RecNum&gt;&lt;DisplayText&gt;&lt;style face="superscript"&gt;19&lt;/style&gt;&lt;/DisplayText&gt;&lt;record&gt;&lt;rec-number&gt;75&lt;/rec-number&gt;&lt;foreign-keys&gt;&lt;key app="EN" db-id="rvxe0exprat2w9evvvvxwe2owzrpwfzpzzv5"&gt;75&lt;/key&gt;&lt;/foreign-keys&gt;&lt;ref-type name="Journal Article"&gt;17&lt;/ref-type&gt;&lt;contributors&gt;&lt;authors&gt;&lt;author&gt;Searle, Samuel D&lt;/author&gt;&lt;author&gt;Mitnitski, Arnold&lt;/author&gt;&lt;author&gt;Gahbauer, Evelyne A&lt;/author&gt;&lt;author&gt;Gill, Thomas M&lt;/author&gt;&lt;author&gt;Rockwood, Kenneth&lt;/author&gt;&lt;/authors&gt;&lt;/contributors&gt;&lt;titles&gt;&lt;title&gt;A standard procedure for creating a frailty index&lt;/title&gt;&lt;secondary-title&gt;BMC geriatrics&lt;/secondary-title&gt;&lt;/titles&gt;&lt;periodical&gt;&lt;full-title&gt;BMC geriatrics&lt;/full-title&gt;&lt;/periodical&gt;&lt;pages&gt;24&lt;/pages&gt;&lt;volume&gt;8&lt;/volume&gt;&lt;number&gt;1&lt;/number&gt;&lt;dates&gt;&lt;year&gt;2008&lt;/year&gt;&lt;/dates&gt;&lt;isbn&gt;1471-2318&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19</w:t>
        </w:r>
        <w:r w:rsidR="0036052C" w:rsidRPr="009D1CA6">
          <w:rPr>
            <w:rFonts w:asciiTheme="majorBidi" w:hAnsiTheme="majorBidi" w:cstheme="majorBidi"/>
          </w:rPr>
          <w:fldChar w:fldCharType="end"/>
        </w:r>
      </w:hyperlink>
      <w:r w:rsidR="00CA04E7">
        <w:rPr>
          <w:rFonts w:asciiTheme="majorBidi" w:hAnsiTheme="majorBidi" w:cstheme="majorBidi"/>
        </w:rPr>
        <w:t xml:space="preserve"> </w:t>
      </w:r>
      <w:r w:rsidR="00680EBF">
        <w:rPr>
          <w:rFonts w:asciiTheme="majorBidi" w:hAnsiTheme="majorBidi" w:cstheme="majorBidi"/>
        </w:rPr>
        <w:t>For trait</w:t>
      </w:r>
      <w:r w:rsidR="000F284F">
        <w:rPr>
          <w:rFonts w:asciiTheme="majorBidi" w:hAnsiTheme="majorBidi" w:cstheme="majorBidi"/>
        </w:rPr>
        <w:t>s</w:t>
      </w:r>
      <w:r w:rsidR="00680EBF">
        <w:rPr>
          <w:rFonts w:asciiTheme="majorBidi" w:hAnsiTheme="majorBidi" w:cstheme="majorBidi"/>
        </w:rPr>
        <w:t xml:space="preserve"> to be</w:t>
      </w:r>
      <w:r w:rsidR="00B768DA" w:rsidRPr="009D1CA6">
        <w:rPr>
          <w:rFonts w:asciiTheme="majorBidi" w:hAnsiTheme="majorBidi" w:cstheme="majorBidi"/>
        </w:rPr>
        <w:t xml:space="preserve"> </w:t>
      </w:r>
      <w:r w:rsidR="000E2F10">
        <w:rPr>
          <w:rFonts w:asciiTheme="majorBidi" w:hAnsiTheme="majorBidi" w:cstheme="majorBidi"/>
        </w:rPr>
        <w:t xml:space="preserve">included in </w:t>
      </w:r>
      <w:r w:rsidR="00680EBF">
        <w:rPr>
          <w:rFonts w:asciiTheme="majorBidi" w:hAnsiTheme="majorBidi" w:cstheme="majorBidi"/>
        </w:rPr>
        <w:t>the</w:t>
      </w:r>
      <w:r w:rsidR="000E2F10">
        <w:rPr>
          <w:rFonts w:asciiTheme="majorBidi" w:hAnsiTheme="majorBidi" w:cstheme="majorBidi"/>
        </w:rPr>
        <w:t xml:space="preserve"> index</w:t>
      </w:r>
      <w:r w:rsidR="00680EBF">
        <w:rPr>
          <w:rFonts w:asciiTheme="majorBidi" w:hAnsiTheme="majorBidi" w:cstheme="majorBidi"/>
        </w:rPr>
        <w:t xml:space="preserve">, </w:t>
      </w:r>
      <w:r w:rsidR="000F284F">
        <w:rPr>
          <w:rFonts w:asciiTheme="majorBidi" w:hAnsiTheme="majorBidi" w:cstheme="majorBidi"/>
        </w:rPr>
        <w:t>they</w:t>
      </w:r>
      <w:r w:rsidR="000E2F10">
        <w:rPr>
          <w:rFonts w:asciiTheme="majorBidi" w:hAnsiTheme="majorBidi" w:cstheme="majorBidi"/>
        </w:rPr>
        <w:t xml:space="preserve"> </w:t>
      </w:r>
      <w:r w:rsidR="00B768DA" w:rsidRPr="009D1CA6">
        <w:rPr>
          <w:rFonts w:asciiTheme="majorBidi" w:hAnsiTheme="majorBidi" w:cstheme="majorBidi"/>
        </w:rPr>
        <w:t xml:space="preserve">should be health deficits, their risk should increase with higher age, they should </w:t>
      </w:r>
      <w:r w:rsidR="00F62546">
        <w:rPr>
          <w:rFonts w:asciiTheme="majorBidi" w:hAnsiTheme="majorBidi" w:cstheme="majorBidi"/>
        </w:rPr>
        <w:t>be common</w:t>
      </w:r>
      <w:r w:rsidR="00B768DA" w:rsidRPr="009D1CA6">
        <w:rPr>
          <w:rFonts w:asciiTheme="majorBidi" w:hAnsiTheme="majorBidi" w:cstheme="majorBidi"/>
        </w:rPr>
        <w:t xml:space="preserve">, they should cover </w:t>
      </w:r>
      <w:r w:rsidR="00AA2C44">
        <w:rPr>
          <w:rFonts w:asciiTheme="majorBidi" w:hAnsiTheme="majorBidi" w:cstheme="majorBidi"/>
        </w:rPr>
        <w:t>multiple</w:t>
      </w:r>
      <w:r w:rsidR="00B768DA" w:rsidRPr="009D1CA6">
        <w:rPr>
          <w:rFonts w:asciiTheme="majorBidi" w:hAnsiTheme="majorBidi" w:cstheme="majorBidi"/>
        </w:rPr>
        <w:t xml:space="preserve"> systems and t</w:t>
      </w:r>
      <w:r w:rsidR="00195B16">
        <w:rPr>
          <w:rFonts w:asciiTheme="majorBidi" w:hAnsiTheme="majorBidi" w:cstheme="majorBidi"/>
        </w:rPr>
        <w:t>hey</w:t>
      </w:r>
      <w:r w:rsidR="00B768DA" w:rsidRPr="009D1CA6">
        <w:rPr>
          <w:rFonts w:asciiTheme="majorBidi" w:hAnsiTheme="majorBidi" w:cstheme="majorBidi"/>
        </w:rPr>
        <w:t xml:space="preserve"> should be recorded for at least </w:t>
      </w:r>
      <w:r w:rsidR="00A10B5E" w:rsidRPr="009D1CA6">
        <w:rPr>
          <w:rFonts w:asciiTheme="majorBidi" w:hAnsiTheme="majorBidi" w:cstheme="majorBidi"/>
        </w:rPr>
        <w:t>80% of the participants.</w:t>
      </w:r>
      <w:r w:rsidR="001233C9" w:rsidRPr="009D1CA6">
        <w:rPr>
          <w:rFonts w:asciiTheme="majorBidi" w:hAnsiTheme="majorBidi" w:cstheme="majorBidi"/>
        </w:rPr>
        <w:t xml:space="preserve"> </w:t>
      </w:r>
      <w:r w:rsidR="00B11D0F">
        <w:rPr>
          <w:rFonts w:asciiTheme="majorBidi" w:hAnsiTheme="majorBidi" w:cstheme="majorBidi"/>
        </w:rPr>
        <w:t>A</w:t>
      </w:r>
      <w:r w:rsidR="00010605">
        <w:rPr>
          <w:rFonts w:asciiTheme="majorBidi" w:hAnsiTheme="majorBidi" w:cstheme="majorBidi"/>
        </w:rPr>
        <w:t xml:space="preserve"> </w:t>
      </w:r>
      <w:r w:rsidR="001233C9" w:rsidRPr="009D1CA6">
        <w:rPr>
          <w:rFonts w:asciiTheme="majorBidi" w:hAnsiTheme="majorBidi" w:cstheme="majorBidi"/>
        </w:rPr>
        <w:t>value</w:t>
      </w:r>
      <w:r w:rsidR="00B11D0F" w:rsidRPr="009D1CA6">
        <w:rPr>
          <w:rFonts w:asciiTheme="majorBidi" w:hAnsiTheme="majorBidi" w:cstheme="majorBidi"/>
        </w:rPr>
        <w:t xml:space="preserve"> </w:t>
      </w:r>
      <w:r w:rsidR="001233C9" w:rsidRPr="009D1CA6">
        <w:rPr>
          <w:rFonts w:asciiTheme="majorBidi" w:hAnsiTheme="majorBidi" w:cstheme="majorBidi"/>
        </w:rPr>
        <w:t>between</w:t>
      </w:r>
      <w:r w:rsidR="00010605">
        <w:rPr>
          <w:rFonts w:asciiTheme="majorBidi" w:hAnsiTheme="majorBidi" w:cstheme="majorBidi"/>
        </w:rPr>
        <w:t xml:space="preserve"> </w:t>
      </w:r>
      <w:r w:rsidR="001233C9" w:rsidRPr="009D1CA6">
        <w:rPr>
          <w:rFonts w:asciiTheme="majorBidi" w:hAnsiTheme="majorBidi" w:cstheme="majorBidi"/>
        </w:rPr>
        <w:t>zero</w:t>
      </w:r>
      <w:r w:rsidR="00010605">
        <w:rPr>
          <w:rFonts w:asciiTheme="majorBidi" w:hAnsiTheme="majorBidi" w:cstheme="majorBidi"/>
        </w:rPr>
        <w:t xml:space="preserve"> </w:t>
      </w:r>
      <w:r w:rsidR="001233C9" w:rsidRPr="009D1CA6">
        <w:rPr>
          <w:rFonts w:asciiTheme="majorBidi" w:hAnsiTheme="majorBidi" w:cstheme="majorBidi"/>
        </w:rPr>
        <w:t>and</w:t>
      </w:r>
      <w:r w:rsidR="00010605">
        <w:rPr>
          <w:rFonts w:asciiTheme="majorBidi" w:hAnsiTheme="majorBidi" w:cstheme="majorBidi"/>
        </w:rPr>
        <w:t xml:space="preserve"> </w:t>
      </w:r>
      <w:r w:rsidR="001233C9" w:rsidRPr="009D1CA6">
        <w:rPr>
          <w:rFonts w:asciiTheme="majorBidi" w:hAnsiTheme="majorBidi" w:cstheme="majorBidi"/>
        </w:rPr>
        <w:t>one</w:t>
      </w:r>
      <w:r w:rsidR="00B11D0F">
        <w:rPr>
          <w:rFonts w:asciiTheme="majorBidi" w:hAnsiTheme="majorBidi" w:cstheme="majorBidi"/>
        </w:rPr>
        <w:t xml:space="preserve"> was assigned</w:t>
      </w:r>
      <w:r w:rsidR="00010605">
        <w:rPr>
          <w:rFonts w:asciiTheme="majorBidi" w:hAnsiTheme="majorBidi" w:cstheme="majorBidi"/>
        </w:rPr>
        <w:t xml:space="preserve"> </w:t>
      </w:r>
      <w:r w:rsidR="001233C9" w:rsidRPr="009D1CA6">
        <w:rPr>
          <w:rFonts w:asciiTheme="majorBidi" w:hAnsiTheme="majorBidi" w:cstheme="majorBidi"/>
        </w:rPr>
        <w:t>according</w:t>
      </w:r>
      <w:r w:rsidR="00010605">
        <w:rPr>
          <w:rFonts w:asciiTheme="majorBidi" w:hAnsiTheme="majorBidi" w:cstheme="majorBidi"/>
        </w:rPr>
        <w:t xml:space="preserve"> </w:t>
      </w:r>
      <w:r w:rsidR="001233C9" w:rsidRPr="009D1CA6">
        <w:rPr>
          <w:rFonts w:asciiTheme="majorBidi" w:hAnsiTheme="majorBidi" w:cstheme="majorBidi"/>
        </w:rPr>
        <w:t>to</w:t>
      </w:r>
      <w:r w:rsidR="00010605">
        <w:rPr>
          <w:rFonts w:asciiTheme="majorBidi" w:hAnsiTheme="majorBidi" w:cstheme="majorBidi"/>
        </w:rPr>
        <w:t xml:space="preserve"> </w:t>
      </w:r>
      <w:r w:rsidR="001233C9" w:rsidRPr="009D1CA6">
        <w:rPr>
          <w:rFonts w:asciiTheme="majorBidi" w:hAnsiTheme="majorBidi" w:cstheme="majorBidi"/>
        </w:rPr>
        <w:t>the</w:t>
      </w:r>
      <w:r w:rsidR="00010605">
        <w:rPr>
          <w:rFonts w:asciiTheme="majorBidi" w:hAnsiTheme="majorBidi" w:cstheme="majorBidi"/>
        </w:rPr>
        <w:t xml:space="preserve"> </w:t>
      </w:r>
      <w:r w:rsidR="001233C9" w:rsidRPr="009D1CA6">
        <w:rPr>
          <w:rFonts w:asciiTheme="majorBidi" w:hAnsiTheme="majorBidi" w:cstheme="majorBidi"/>
        </w:rPr>
        <w:t>severity</w:t>
      </w:r>
      <w:r w:rsidR="00010605">
        <w:rPr>
          <w:rFonts w:asciiTheme="majorBidi" w:hAnsiTheme="majorBidi" w:cstheme="majorBidi"/>
        </w:rPr>
        <w:t xml:space="preserve"> </w:t>
      </w:r>
      <w:r w:rsidR="001233C9" w:rsidRPr="009D1CA6">
        <w:rPr>
          <w:rFonts w:asciiTheme="majorBidi" w:hAnsiTheme="majorBidi" w:cstheme="majorBidi"/>
        </w:rPr>
        <w:t>of</w:t>
      </w:r>
      <w:r w:rsidR="00010605">
        <w:rPr>
          <w:rFonts w:asciiTheme="majorBidi" w:hAnsiTheme="majorBidi" w:cstheme="majorBidi"/>
        </w:rPr>
        <w:t xml:space="preserve"> </w:t>
      </w:r>
      <w:r w:rsidR="001233C9" w:rsidRPr="009D1CA6">
        <w:rPr>
          <w:rFonts w:asciiTheme="majorBidi" w:hAnsiTheme="majorBidi" w:cstheme="majorBidi"/>
        </w:rPr>
        <w:t>the</w:t>
      </w:r>
      <w:r w:rsidR="00010605">
        <w:rPr>
          <w:rFonts w:asciiTheme="majorBidi" w:hAnsiTheme="majorBidi" w:cstheme="majorBidi"/>
        </w:rPr>
        <w:t xml:space="preserve"> </w:t>
      </w:r>
      <w:r w:rsidR="001233C9" w:rsidRPr="009D1CA6">
        <w:rPr>
          <w:rFonts w:asciiTheme="majorBidi" w:hAnsiTheme="majorBidi" w:cstheme="majorBidi"/>
        </w:rPr>
        <w:t>deficit,</w:t>
      </w:r>
      <w:r w:rsidR="00010605">
        <w:rPr>
          <w:rFonts w:asciiTheme="majorBidi" w:hAnsiTheme="majorBidi" w:cstheme="majorBidi"/>
        </w:rPr>
        <w:t xml:space="preserve"> </w:t>
      </w:r>
      <w:r w:rsidR="00475516">
        <w:rPr>
          <w:rFonts w:asciiTheme="majorBidi" w:hAnsiTheme="majorBidi" w:cstheme="majorBidi"/>
        </w:rPr>
        <w:t>this</w:t>
      </w:r>
      <w:r w:rsidR="00796315">
        <w:rPr>
          <w:rFonts w:asciiTheme="majorBidi" w:hAnsiTheme="majorBidi" w:cstheme="majorBidi"/>
        </w:rPr>
        <w:t xml:space="preserve"> </w:t>
      </w:r>
      <w:r w:rsidR="002C64AE">
        <w:rPr>
          <w:rFonts w:asciiTheme="majorBidi" w:hAnsiTheme="majorBidi" w:cstheme="majorBidi"/>
        </w:rPr>
        <w:t>allows continuous</w:t>
      </w:r>
      <w:r w:rsidR="00010605">
        <w:rPr>
          <w:rFonts w:asciiTheme="majorBidi" w:hAnsiTheme="majorBidi" w:cstheme="majorBidi"/>
        </w:rPr>
        <w:t xml:space="preserve"> </w:t>
      </w:r>
      <w:r w:rsidR="001233C9" w:rsidRPr="009D1CA6">
        <w:rPr>
          <w:rFonts w:asciiTheme="majorBidi" w:hAnsiTheme="majorBidi" w:cstheme="majorBidi"/>
        </w:rPr>
        <w:t>variables</w:t>
      </w:r>
      <w:r w:rsidR="00010605">
        <w:rPr>
          <w:rFonts w:asciiTheme="majorBidi" w:hAnsiTheme="majorBidi" w:cstheme="majorBidi"/>
        </w:rPr>
        <w:t xml:space="preserve"> </w:t>
      </w:r>
      <w:r w:rsidR="002C64AE">
        <w:rPr>
          <w:rFonts w:asciiTheme="majorBidi" w:hAnsiTheme="majorBidi" w:cstheme="majorBidi"/>
        </w:rPr>
        <w:t xml:space="preserve">to </w:t>
      </w:r>
      <w:r w:rsidR="001233C9" w:rsidRPr="009D1CA6">
        <w:rPr>
          <w:rFonts w:asciiTheme="majorBidi" w:hAnsiTheme="majorBidi" w:cstheme="majorBidi"/>
        </w:rPr>
        <w:t>be</w:t>
      </w:r>
      <w:r w:rsidR="00010605">
        <w:rPr>
          <w:rFonts w:asciiTheme="majorBidi" w:hAnsiTheme="majorBidi" w:cstheme="majorBidi"/>
        </w:rPr>
        <w:t xml:space="preserve"> </w:t>
      </w:r>
      <w:r w:rsidR="001233C9" w:rsidRPr="009D1CA6">
        <w:rPr>
          <w:rFonts w:asciiTheme="majorBidi" w:hAnsiTheme="majorBidi" w:cstheme="majorBidi"/>
        </w:rPr>
        <w:t>combined</w:t>
      </w:r>
      <w:r w:rsidR="00010605">
        <w:rPr>
          <w:rFonts w:asciiTheme="majorBidi" w:hAnsiTheme="majorBidi" w:cstheme="majorBidi"/>
        </w:rPr>
        <w:t xml:space="preserve"> </w:t>
      </w:r>
      <w:r w:rsidR="001233C9" w:rsidRPr="009D1CA6">
        <w:rPr>
          <w:rFonts w:asciiTheme="majorBidi" w:hAnsiTheme="majorBidi" w:cstheme="majorBidi"/>
        </w:rPr>
        <w:t>with</w:t>
      </w:r>
      <w:r w:rsidR="00010605">
        <w:rPr>
          <w:rFonts w:asciiTheme="majorBidi" w:hAnsiTheme="majorBidi" w:cstheme="majorBidi"/>
        </w:rPr>
        <w:t xml:space="preserve"> </w:t>
      </w:r>
      <w:r w:rsidR="001233C9" w:rsidRPr="009D1CA6">
        <w:rPr>
          <w:rFonts w:asciiTheme="majorBidi" w:hAnsiTheme="majorBidi" w:cstheme="majorBidi"/>
        </w:rPr>
        <w:t>categorical</w:t>
      </w:r>
      <w:r w:rsidR="00A7252C">
        <w:rPr>
          <w:rFonts w:asciiTheme="majorBidi" w:hAnsiTheme="majorBidi" w:cstheme="majorBidi"/>
        </w:rPr>
        <w:t xml:space="preserve"> </w:t>
      </w:r>
      <w:r w:rsidR="001233C9" w:rsidRPr="009D1CA6">
        <w:rPr>
          <w:rFonts w:asciiTheme="majorBidi" w:hAnsiTheme="majorBidi" w:cstheme="majorBidi"/>
        </w:rPr>
        <w:t>variables.</w:t>
      </w:r>
      <w:r w:rsidR="00A10B5E" w:rsidRPr="009D1CA6">
        <w:rPr>
          <w:rFonts w:asciiTheme="majorBidi" w:hAnsiTheme="majorBidi" w:cstheme="majorBidi"/>
        </w:rPr>
        <w:t xml:space="preserve"> </w:t>
      </w:r>
      <w:r w:rsidR="00AC1265">
        <w:rPr>
          <w:rFonts w:asciiTheme="majorBidi" w:hAnsiTheme="majorBidi" w:cstheme="majorBidi"/>
        </w:rPr>
        <w:t>The Frailty index included</w:t>
      </w:r>
      <w:r w:rsidR="00A10B5E" w:rsidRPr="009D1CA6">
        <w:rPr>
          <w:rFonts w:asciiTheme="majorBidi" w:hAnsiTheme="majorBidi" w:cstheme="majorBidi"/>
        </w:rPr>
        <w:t xml:space="preserve"> 49 deficits </w:t>
      </w:r>
      <w:r w:rsidR="005C0A47">
        <w:rPr>
          <w:rFonts w:asciiTheme="majorBidi" w:hAnsiTheme="majorBidi" w:cstheme="majorBidi"/>
        </w:rPr>
        <w:t xml:space="preserve">that covered </w:t>
      </w:r>
      <w:r w:rsidR="00A10B5E" w:rsidRPr="009D1CA6">
        <w:rPr>
          <w:rFonts w:asciiTheme="majorBidi" w:hAnsiTheme="majorBidi" w:cstheme="majorBidi"/>
        </w:rPr>
        <w:t>multiple systems. The systems include</w:t>
      </w:r>
      <w:r w:rsidR="00B52563">
        <w:rPr>
          <w:rFonts w:asciiTheme="majorBidi" w:hAnsiTheme="majorBidi" w:cstheme="majorBidi"/>
        </w:rPr>
        <w:t>d</w:t>
      </w:r>
      <w:r w:rsidR="00010605">
        <w:rPr>
          <w:rFonts w:asciiTheme="majorBidi" w:hAnsiTheme="majorBidi" w:cstheme="majorBidi"/>
        </w:rPr>
        <w:t>:</w:t>
      </w:r>
      <w:r w:rsidR="00A10B5E" w:rsidRPr="009D1CA6">
        <w:rPr>
          <w:rFonts w:asciiTheme="majorBidi" w:hAnsiTheme="majorBidi" w:cstheme="majorBidi"/>
        </w:rPr>
        <w:t xml:space="preserve"> cognition (one question regarding confusion and memory problems), </w:t>
      </w:r>
      <w:r w:rsidR="00B52563">
        <w:rPr>
          <w:rFonts w:asciiTheme="majorBidi" w:hAnsiTheme="majorBidi" w:cstheme="majorBidi"/>
        </w:rPr>
        <w:t>d</w:t>
      </w:r>
      <w:r w:rsidR="00A10B5E" w:rsidRPr="009D1CA6">
        <w:rPr>
          <w:rFonts w:asciiTheme="majorBidi" w:hAnsiTheme="majorBidi" w:cstheme="majorBidi"/>
        </w:rPr>
        <w:t xml:space="preserve">ependence </w:t>
      </w:r>
      <w:r w:rsidR="0082568A" w:rsidRPr="009D1CA6">
        <w:rPr>
          <w:rFonts w:asciiTheme="majorBidi" w:hAnsiTheme="majorBidi" w:cstheme="majorBidi"/>
        </w:rPr>
        <w:t xml:space="preserve">(15 items related to </w:t>
      </w:r>
      <w:r w:rsidR="00A81EF4" w:rsidRPr="009D1CA6">
        <w:rPr>
          <w:rFonts w:asciiTheme="majorBidi" w:hAnsiTheme="majorBidi" w:cstheme="majorBidi"/>
        </w:rPr>
        <w:t xml:space="preserve">difficulty performing </w:t>
      </w:r>
      <w:r w:rsidR="0082568A" w:rsidRPr="009D1CA6">
        <w:rPr>
          <w:rFonts w:asciiTheme="majorBidi" w:hAnsiTheme="majorBidi" w:cstheme="majorBidi"/>
        </w:rPr>
        <w:t>activities of daily living</w:t>
      </w:r>
      <w:r w:rsidR="00A81EF4" w:rsidRPr="009D1CA6">
        <w:rPr>
          <w:rFonts w:asciiTheme="majorBidi" w:hAnsiTheme="majorBidi" w:cstheme="majorBidi"/>
        </w:rPr>
        <w:t xml:space="preserve">), </w:t>
      </w:r>
      <w:r w:rsidR="00B52563">
        <w:rPr>
          <w:rFonts w:asciiTheme="majorBidi" w:hAnsiTheme="majorBidi" w:cstheme="majorBidi"/>
        </w:rPr>
        <w:t>d</w:t>
      </w:r>
      <w:r w:rsidR="00A81EF4" w:rsidRPr="009D1CA6">
        <w:rPr>
          <w:rFonts w:asciiTheme="majorBidi" w:hAnsiTheme="majorBidi" w:cstheme="majorBidi"/>
        </w:rPr>
        <w:t>epression (7 items related to depressive symptoms from the Patient Health Questionnaire PHQ-9), comorbidities (</w:t>
      </w:r>
      <w:r w:rsidR="008920FC" w:rsidRPr="009D1CA6">
        <w:rPr>
          <w:rFonts w:asciiTheme="majorBidi" w:hAnsiTheme="majorBidi" w:cstheme="majorBidi"/>
        </w:rPr>
        <w:t xml:space="preserve"> self-reported arthritis, thyroid problems, chronic bronchitis, </w:t>
      </w:r>
      <w:r w:rsidR="00546446">
        <w:rPr>
          <w:rFonts w:asciiTheme="majorBidi" w:hAnsiTheme="majorBidi" w:cstheme="majorBidi"/>
        </w:rPr>
        <w:t>malignancies</w:t>
      </w:r>
      <w:r w:rsidR="008920FC" w:rsidRPr="009D1CA6">
        <w:rPr>
          <w:rFonts w:asciiTheme="majorBidi" w:hAnsiTheme="majorBidi" w:cstheme="majorBidi"/>
        </w:rPr>
        <w:t xml:space="preserve">, heart failure, chronic heart disease, angina, heart attack, stroke, </w:t>
      </w:r>
      <w:r w:rsidR="004E6C5D">
        <w:rPr>
          <w:rFonts w:asciiTheme="majorBidi" w:hAnsiTheme="majorBidi" w:cstheme="majorBidi"/>
        </w:rPr>
        <w:t>hypertension</w:t>
      </w:r>
      <w:r w:rsidR="008920FC" w:rsidRPr="009D1CA6">
        <w:rPr>
          <w:rFonts w:asciiTheme="majorBidi" w:hAnsiTheme="majorBidi" w:cstheme="majorBidi"/>
        </w:rPr>
        <w:t>, diabetes, failing kidneys, urinary leakage), hospital utilization and general health (</w:t>
      </w:r>
      <w:r w:rsidR="00F45A40" w:rsidRPr="009D1CA6">
        <w:rPr>
          <w:rFonts w:asciiTheme="majorBidi" w:hAnsiTheme="majorBidi" w:cstheme="majorBidi"/>
        </w:rPr>
        <w:t>self-rated</w:t>
      </w:r>
      <w:r w:rsidR="008920FC" w:rsidRPr="009D1CA6">
        <w:rPr>
          <w:rFonts w:asciiTheme="majorBidi" w:hAnsiTheme="majorBidi" w:cstheme="majorBidi"/>
        </w:rPr>
        <w:t xml:space="preserve"> health, health compared with 1 year ago, overnight hospitalization last year, frequency of healthcare use during last year, and number of prescribed medications) physical performance and anthropometry (handgrip strength and body mass index) and lab</w:t>
      </w:r>
      <w:r w:rsidR="00010605">
        <w:rPr>
          <w:rFonts w:asciiTheme="majorBidi" w:hAnsiTheme="majorBidi" w:cstheme="majorBidi"/>
        </w:rPr>
        <w:t>oratory</w:t>
      </w:r>
      <w:r w:rsidR="008920FC" w:rsidRPr="009D1CA6">
        <w:rPr>
          <w:rFonts w:asciiTheme="majorBidi" w:hAnsiTheme="majorBidi" w:cstheme="majorBidi"/>
        </w:rPr>
        <w:t xml:space="preserve"> values (Glycohemoglobin, red blood </w:t>
      </w:r>
      <w:r w:rsidR="004F570E" w:rsidRPr="009D1CA6">
        <w:rPr>
          <w:rFonts w:asciiTheme="majorBidi" w:hAnsiTheme="majorBidi" w:cstheme="majorBidi"/>
        </w:rPr>
        <w:t>cell</w:t>
      </w:r>
      <w:r w:rsidR="008920FC" w:rsidRPr="009D1CA6">
        <w:rPr>
          <w:rFonts w:asciiTheme="majorBidi" w:hAnsiTheme="majorBidi" w:cstheme="majorBidi"/>
        </w:rPr>
        <w:t xml:space="preserve"> count, </w:t>
      </w:r>
      <w:r w:rsidR="008237C2" w:rsidRPr="009D1CA6">
        <w:rPr>
          <w:rFonts w:asciiTheme="majorBidi" w:hAnsiTheme="majorBidi" w:cstheme="majorBidi"/>
        </w:rPr>
        <w:t>haemoglobin</w:t>
      </w:r>
      <w:r w:rsidR="008920FC" w:rsidRPr="009D1CA6">
        <w:rPr>
          <w:rFonts w:asciiTheme="majorBidi" w:hAnsiTheme="majorBidi" w:cstheme="majorBidi"/>
        </w:rPr>
        <w:t>, red cell distribution width, lymphocyte and segmented neutrophils)</w:t>
      </w:r>
      <w:r w:rsidR="001233C9" w:rsidRPr="009D1CA6">
        <w:rPr>
          <w:rFonts w:asciiTheme="majorBidi" w:hAnsiTheme="majorBidi" w:cstheme="majorBidi"/>
        </w:rPr>
        <w:t xml:space="preserve">. The frailty index value is expressed as the number of the acquired deficits by the participant divided by the total number </w:t>
      </w:r>
      <w:r w:rsidR="004220AE" w:rsidRPr="009D1CA6">
        <w:rPr>
          <w:rFonts w:asciiTheme="majorBidi" w:hAnsiTheme="majorBidi" w:cstheme="majorBidi"/>
        </w:rPr>
        <w:t xml:space="preserve">of </w:t>
      </w:r>
      <w:r w:rsidR="004220AE">
        <w:rPr>
          <w:rFonts w:asciiTheme="majorBidi" w:hAnsiTheme="majorBidi" w:cstheme="majorBidi"/>
        </w:rPr>
        <w:t>potential</w:t>
      </w:r>
      <w:r w:rsidR="00CC7997">
        <w:rPr>
          <w:rFonts w:asciiTheme="majorBidi" w:hAnsiTheme="majorBidi" w:cstheme="majorBidi"/>
        </w:rPr>
        <w:t xml:space="preserve"> </w:t>
      </w:r>
      <w:r w:rsidR="004D22CB" w:rsidRPr="009D1CA6">
        <w:rPr>
          <w:rFonts w:asciiTheme="majorBidi" w:hAnsiTheme="majorBidi" w:cstheme="majorBidi"/>
        </w:rPr>
        <w:t>deficits</w:t>
      </w:r>
      <w:r w:rsidR="001233C9" w:rsidRPr="009D1CA6">
        <w:rPr>
          <w:rFonts w:asciiTheme="majorBidi" w:hAnsiTheme="majorBidi" w:cstheme="majorBidi"/>
        </w:rPr>
        <w:t xml:space="preserve">. </w:t>
      </w:r>
      <w:r w:rsidR="00C83159">
        <w:rPr>
          <w:rFonts w:asciiTheme="majorBidi" w:hAnsiTheme="majorBidi" w:cstheme="majorBidi"/>
        </w:rPr>
        <w:t xml:space="preserve"> Variables of frailty index and their scores can be found in the</w:t>
      </w:r>
      <w:r w:rsidR="00B45FF3">
        <w:rPr>
          <w:rFonts w:asciiTheme="majorBidi" w:hAnsiTheme="majorBidi" w:cstheme="majorBidi"/>
        </w:rPr>
        <w:t xml:space="preserve"> </w:t>
      </w:r>
      <w:r w:rsidR="009B2C53">
        <w:rPr>
          <w:color w:val="2A2A2A"/>
          <w:sz w:val="23"/>
          <w:szCs w:val="23"/>
          <w:shd w:val="clear" w:color="auto" w:fill="FFFFFF"/>
        </w:rPr>
        <w:t xml:space="preserve">(Table </w:t>
      </w:r>
      <w:r w:rsidR="00177FB2">
        <w:rPr>
          <w:color w:val="2A2A2A"/>
          <w:sz w:val="23"/>
          <w:szCs w:val="23"/>
          <w:shd w:val="clear" w:color="auto" w:fill="FFFFFF"/>
        </w:rPr>
        <w:t>A</w:t>
      </w:r>
      <w:r w:rsidR="009B2C53">
        <w:rPr>
          <w:color w:val="2A2A2A"/>
          <w:sz w:val="23"/>
          <w:szCs w:val="23"/>
          <w:shd w:val="clear" w:color="auto" w:fill="FFFFFF"/>
        </w:rPr>
        <w:t xml:space="preserve">1 in the </w:t>
      </w:r>
      <w:r w:rsidR="00177FB2">
        <w:rPr>
          <w:color w:val="2A2A2A"/>
          <w:sz w:val="23"/>
          <w:szCs w:val="23"/>
          <w:shd w:val="clear" w:color="auto" w:fill="FFFFFF"/>
        </w:rPr>
        <w:t>Append</w:t>
      </w:r>
      <w:r w:rsidR="00917E74">
        <w:rPr>
          <w:color w:val="2A2A2A"/>
          <w:sz w:val="23"/>
          <w:szCs w:val="23"/>
          <w:shd w:val="clear" w:color="auto" w:fill="FFFFFF"/>
        </w:rPr>
        <w:t>ix</w:t>
      </w:r>
      <w:r w:rsidR="009B2C53">
        <w:rPr>
          <w:color w:val="2A2A2A"/>
          <w:sz w:val="23"/>
          <w:szCs w:val="23"/>
          <w:shd w:val="clear" w:color="auto" w:fill="FFFFFF"/>
        </w:rPr>
        <w:t>)</w:t>
      </w:r>
      <w:r w:rsidR="00C83159">
        <w:rPr>
          <w:rFonts w:asciiTheme="majorBidi" w:hAnsiTheme="majorBidi" w:cstheme="majorBidi"/>
        </w:rPr>
        <w:t>.</w:t>
      </w:r>
    </w:p>
    <w:p w14:paraId="6EE2F466" w14:textId="30888110" w:rsidR="00C8331A" w:rsidRDefault="00C8331A" w:rsidP="00C526F6">
      <w:pPr>
        <w:spacing w:line="480" w:lineRule="auto"/>
        <w:jc w:val="both"/>
        <w:rPr>
          <w:rFonts w:asciiTheme="majorBidi" w:hAnsiTheme="majorBidi" w:cstheme="majorBidi"/>
        </w:rPr>
      </w:pPr>
    </w:p>
    <w:p w14:paraId="7FCC0E1D" w14:textId="6E26F917" w:rsidR="00C8331A" w:rsidRDefault="00C8331A" w:rsidP="00C526F6">
      <w:pPr>
        <w:spacing w:line="480" w:lineRule="auto"/>
        <w:jc w:val="both"/>
        <w:rPr>
          <w:rFonts w:asciiTheme="majorBidi" w:hAnsiTheme="majorBidi" w:cstheme="majorBidi"/>
        </w:rPr>
      </w:pPr>
    </w:p>
    <w:p w14:paraId="682ECDA1" w14:textId="77777777" w:rsidR="00C8331A" w:rsidRPr="009D1CA6" w:rsidRDefault="00C8331A" w:rsidP="00C526F6">
      <w:pPr>
        <w:spacing w:line="480" w:lineRule="auto"/>
        <w:jc w:val="both"/>
        <w:rPr>
          <w:rFonts w:asciiTheme="majorBidi" w:hAnsiTheme="majorBidi" w:cstheme="majorBidi"/>
        </w:rPr>
      </w:pPr>
    </w:p>
    <w:p w14:paraId="4E94E201" w14:textId="77777777" w:rsidR="00752965" w:rsidRPr="009D1CA6" w:rsidRDefault="00752965" w:rsidP="00C526F6">
      <w:pPr>
        <w:pStyle w:val="Heading3"/>
        <w:spacing w:line="480" w:lineRule="auto"/>
      </w:pPr>
      <w:r w:rsidRPr="009D1CA6">
        <w:lastRenderedPageBreak/>
        <w:t>Explanatory variables</w:t>
      </w:r>
    </w:p>
    <w:p w14:paraId="3F8481D3" w14:textId="3B7C7E66" w:rsidR="00BB4DD1" w:rsidRPr="0033031F" w:rsidRDefault="0019628F" w:rsidP="0033031F">
      <w:pPr>
        <w:spacing w:line="480" w:lineRule="auto"/>
        <w:rPr>
          <w:rFonts w:asciiTheme="majorBidi" w:hAnsiTheme="majorBidi" w:cstheme="majorBidi"/>
        </w:rPr>
      </w:pPr>
      <w:r w:rsidRPr="009D1CA6">
        <w:rPr>
          <w:rFonts w:asciiTheme="majorBidi" w:hAnsiTheme="majorBidi" w:cstheme="majorBidi"/>
        </w:rPr>
        <w:t xml:space="preserve">Number of teeth was obtained </w:t>
      </w:r>
      <w:r w:rsidR="000E2F10">
        <w:rPr>
          <w:rFonts w:asciiTheme="majorBidi" w:hAnsiTheme="majorBidi" w:cstheme="majorBidi"/>
        </w:rPr>
        <w:t>from</w:t>
      </w:r>
      <w:r w:rsidR="000E2F10" w:rsidRPr="009D1CA6">
        <w:rPr>
          <w:rFonts w:asciiTheme="majorBidi" w:hAnsiTheme="majorBidi" w:cstheme="majorBidi"/>
        </w:rPr>
        <w:t xml:space="preserve"> </w:t>
      </w:r>
      <w:r w:rsidRPr="009D1CA6">
        <w:rPr>
          <w:rFonts w:asciiTheme="majorBidi" w:hAnsiTheme="majorBidi" w:cstheme="majorBidi"/>
        </w:rPr>
        <w:t xml:space="preserve">the </w:t>
      </w:r>
      <w:r w:rsidR="00640CB6">
        <w:rPr>
          <w:rFonts w:asciiTheme="majorBidi" w:hAnsiTheme="majorBidi" w:cstheme="majorBidi"/>
        </w:rPr>
        <w:t>cli</w:t>
      </w:r>
      <w:r w:rsidR="00C10893">
        <w:rPr>
          <w:rFonts w:asciiTheme="majorBidi" w:hAnsiTheme="majorBidi" w:cstheme="majorBidi"/>
        </w:rPr>
        <w:t xml:space="preserve">nical oral </w:t>
      </w:r>
      <w:r w:rsidR="004D22CB" w:rsidRPr="009D1CA6">
        <w:rPr>
          <w:rFonts w:asciiTheme="majorBidi" w:hAnsiTheme="majorBidi" w:cstheme="majorBidi"/>
        </w:rPr>
        <w:t xml:space="preserve">examination performed by licenced dentists at the mobile examination centres. </w:t>
      </w:r>
      <w:r w:rsidR="00732423">
        <w:rPr>
          <w:rFonts w:asciiTheme="majorBidi" w:hAnsiTheme="majorBidi" w:cstheme="majorBidi"/>
        </w:rPr>
        <w:t>Periodontal disease</w:t>
      </w:r>
      <w:r w:rsidR="009C6A42">
        <w:rPr>
          <w:rFonts w:asciiTheme="majorBidi" w:hAnsiTheme="majorBidi" w:cstheme="majorBidi"/>
        </w:rPr>
        <w:t xml:space="preserve"> </w:t>
      </w:r>
      <w:r w:rsidR="00DE2947">
        <w:rPr>
          <w:rFonts w:asciiTheme="majorBidi" w:hAnsiTheme="majorBidi" w:cstheme="majorBidi"/>
        </w:rPr>
        <w:t xml:space="preserve">was </w:t>
      </w:r>
      <w:r w:rsidR="00851E0B">
        <w:rPr>
          <w:rFonts w:asciiTheme="majorBidi" w:hAnsiTheme="majorBidi" w:cstheme="majorBidi"/>
        </w:rPr>
        <w:t>based on</w:t>
      </w:r>
      <w:r w:rsidR="005A5F3F">
        <w:rPr>
          <w:rFonts w:asciiTheme="majorBidi" w:hAnsiTheme="majorBidi" w:cstheme="majorBidi"/>
        </w:rPr>
        <w:t xml:space="preserve"> </w:t>
      </w:r>
      <w:r w:rsidR="00851E0B">
        <w:rPr>
          <w:rFonts w:asciiTheme="majorBidi" w:hAnsiTheme="majorBidi" w:cstheme="majorBidi"/>
        </w:rPr>
        <w:t xml:space="preserve">the </w:t>
      </w:r>
      <w:r w:rsidR="004D22BA">
        <w:rPr>
          <w:rFonts w:asciiTheme="majorBidi" w:hAnsiTheme="majorBidi" w:cstheme="majorBidi"/>
        </w:rPr>
        <w:t xml:space="preserve">CDC/AAP </w:t>
      </w:r>
      <w:r w:rsidR="00FF6BA3">
        <w:rPr>
          <w:rFonts w:asciiTheme="majorBidi" w:hAnsiTheme="majorBidi" w:cstheme="majorBidi"/>
        </w:rPr>
        <w:t>definition for periodont</w:t>
      </w:r>
      <w:r w:rsidR="00C20459">
        <w:rPr>
          <w:rFonts w:asciiTheme="majorBidi" w:hAnsiTheme="majorBidi" w:cstheme="majorBidi"/>
        </w:rPr>
        <w:t>al disease surveillance</w:t>
      </w:r>
      <w:r w:rsidR="00512D67">
        <w:rPr>
          <w:rFonts w:asciiTheme="majorBidi" w:hAnsiTheme="majorBidi" w:cstheme="majorBidi"/>
        </w:rPr>
        <w:t xml:space="preserve"> </w:t>
      </w:r>
      <w:r w:rsidR="001D5944">
        <w:rPr>
          <w:rFonts w:asciiTheme="majorBidi" w:hAnsiTheme="majorBidi" w:cstheme="majorBidi"/>
        </w:rPr>
        <w:t>.</w:t>
      </w:r>
      <w:hyperlink w:anchor="_ENREF_20" w:tooltip="Eke, 2012 #153"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&lt;EndNote&gt;&lt;Cite&gt;&lt;Author&gt;Eke&lt;/Author&gt;&lt;Year&gt;2012&lt;/Year&gt;&lt;RecNum&gt;153&lt;/RecNum&gt;&lt;DisplayText&gt;&lt;style face="superscript"&gt;20&lt;/style&gt;&lt;/DisplayText&gt;&lt;record&gt;&lt;rec-number&gt;153&lt;/rec-number&gt;&lt;foreign-keys&gt;&lt;key app="EN" db-id="90pv252x7xpz25etx2i5affuwe2ffaptfsvz" timestamp="1589317117"&gt;153&lt;/key&gt;&lt;/foreign-keys&gt;&lt;ref-type name="Journal Article"&gt;17&lt;/ref-type&gt;&lt;contributors&gt;&lt;authors&gt;&lt;author&gt;Eke, Paul I&lt;/author&gt;&lt;author&gt;Page, Roy C&lt;/author&gt;&lt;author&gt;Wei, Liang&lt;/author&gt;&lt;author&gt;Thornton‐Evans, Gina&lt;/author&gt;&lt;author&gt;Genco, Robert J&lt;/author&gt;&lt;/authors&gt;&lt;/contributors&gt;&lt;titles&gt;&lt;title&gt;Update of the case definitions for population‐based surveillance of periodontitis&lt;/title&gt;&lt;secondary-title&gt;Journal of periodontology&lt;/secondary-title&gt;&lt;/titles&gt;&lt;periodical&gt;&lt;full-title&gt;Journal of periodontology&lt;/full-title&gt;&lt;/periodical&gt;&lt;pages&gt;1449-1454&lt;/pages&gt;&lt;volume&gt;83&lt;/volume&gt;&lt;number&gt;12&lt;/number&gt;&lt;dates&gt;&lt;year&gt;2012&lt;/year&gt;&lt;/dates&gt;&lt;isbn&gt;0022-3492&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20</w:t>
        </w:r>
        <w:r w:rsidR="0036052C">
          <w:rPr>
            <w:rFonts w:asciiTheme="majorBidi" w:hAnsiTheme="majorBidi" w:cstheme="majorBidi"/>
          </w:rPr>
          <w:fldChar w:fldCharType="end"/>
        </w:r>
      </w:hyperlink>
      <w:r w:rsidR="005A5F3F">
        <w:rPr>
          <w:rFonts w:asciiTheme="majorBidi" w:hAnsiTheme="majorBidi" w:cstheme="majorBidi"/>
        </w:rPr>
        <w:t xml:space="preserve"> </w:t>
      </w:r>
      <w:r w:rsidR="00374562">
        <w:rPr>
          <w:rFonts w:asciiTheme="majorBidi" w:hAnsiTheme="majorBidi" w:cstheme="majorBidi"/>
        </w:rPr>
        <w:t>Periodontal exam</w:t>
      </w:r>
      <w:r w:rsidR="00DE2947">
        <w:rPr>
          <w:rFonts w:asciiTheme="majorBidi" w:hAnsiTheme="majorBidi" w:cstheme="majorBidi"/>
        </w:rPr>
        <w:t>ination</w:t>
      </w:r>
      <w:r w:rsidR="00374562">
        <w:rPr>
          <w:rFonts w:asciiTheme="majorBidi" w:hAnsiTheme="majorBidi" w:cstheme="majorBidi"/>
        </w:rPr>
        <w:t xml:space="preserve"> protocol </w:t>
      </w:r>
      <w:r w:rsidR="00E530B2">
        <w:rPr>
          <w:rFonts w:asciiTheme="majorBidi" w:hAnsiTheme="majorBidi" w:cstheme="majorBidi"/>
        </w:rPr>
        <w:t xml:space="preserve">consisted of measuring </w:t>
      </w:r>
      <w:r w:rsidR="00D40134">
        <w:rPr>
          <w:rFonts w:asciiTheme="majorBidi" w:hAnsiTheme="majorBidi" w:cstheme="majorBidi"/>
        </w:rPr>
        <w:t xml:space="preserve">clinical attachment loss </w:t>
      </w:r>
      <w:r w:rsidR="005E0CEE">
        <w:rPr>
          <w:rFonts w:asciiTheme="majorBidi" w:hAnsiTheme="majorBidi" w:cstheme="majorBidi"/>
        </w:rPr>
        <w:t xml:space="preserve">(CAL) </w:t>
      </w:r>
      <w:r w:rsidR="00D40134">
        <w:rPr>
          <w:rFonts w:asciiTheme="majorBidi" w:hAnsiTheme="majorBidi" w:cstheme="majorBidi"/>
        </w:rPr>
        <w:t xml:space="preserve">and pocket depth </w:t>
      </w:r>
      <w:r w:rsidR="005E0CEE">
        <w:rPr>
          <w:rFonts w:asciiTheme="majorBidi" w:hAnsiTheme="majorBidi" w:cstheme="majorBidi"/>
        </w:rPr>
        <w:t xml:space="preserve">(PD) </w:t>
      </w:r>
      <w:r w:rsidR="00D40134">
        <w:rPr>
          <w:rFonts w:asciiTheme="majorBidi" w:hAnsiTheme="majorBidi" w:cstheme="majorBidi"/>
        </w:rPr>
        <w:t xml:space="preserve">on six sites </w:t>
      </w:r>
      <w:r w:rsidR="00656AD4">
        <w:rPr>
          <w:rFonts w:asciiTheme="majorBidi" w:hAnsiTheme="majorBidi" w:cstheme="majorBidi"/>
        </w:rPr>
        <w:t>for</w:t>
      </w:r>
      <w:r w:rsidR="00D40134">
        <w:rPr>
          <w:rFonts w:asciiTheme="majorBidi" w:hAnsiTheme="majorBidi" w:cstheme="majorBidi"/>
        </w:rPr>
        <w:t xml:space="preserve"> each tooth. </w:t>
      </w:r>
      <w:r w:rsidR="00656AD4">
        <w:rPr>
          <w:rFonts w:asciiTheme="majorBidi" w:hAnsiTheme="majorBidi" w:cstheme="majorBidi"/>
        </w:rPr>
        <w:t xml:space="preserve">Mild periodontitis was </w:t>
      </w:r>
      <w:r w:rsidR="008F00F3">
        <w:rPr>
          <w:rFonts w:asciiTheme="majorBidi" w:hAnsiTheme="majorBidi" w:cstheme="majorBidi"/>
        </w:rPr>
        <w:t xml:space="preserve">defined as having </w:t>
      </w:r>
      <w:r w:rsidR="00CF6EFF">
        <w:rPr>
          <w:rFonts w:asciiTheme="majorBidi" w:hAnsiTheme="majorBidi" w:cstheme="majorBidi"/>
        </w:rPr>
        <w:t xml:space="preserve">two interproximal sites with </w:t>
      </w:r>
      <w:r w:rsidR="003B7EFF">
        <w:rPr>
          <w:rFonts w:asciiTheme="majorBidi" w:hAnsiTheme="majorBidi" w:cstheme="majorBidi"/>
        </w:rPr>
        <w:t xml:space="preserve">CAL </w:t>
      </w:r>
      <w:r w:rsidR="004B03FB" w:rsidRPr="00F02250">
        <w:rPr>
          <w:rFonts w:asciiTheme="majorBidi" w:hAnsiTheme="majorBidi" w:cstheme="majorBidi"/>
        </w:rPr>
        <w:t>≥ 3mm</w:t>
      </w:r>
      <w:r w:rsidR="00132884">
        <w:rPr>
          <w:rFonts w:asciiTheme="majorBidi" w:hAnsiTheme="majorBidi" w:cstheme="majorBidi"/>
        </w:rPr>
        <w:t xml:space="preserve">, and </w:t>
      </w:r>
      <w:r w:rsidR="00132884" w:rsidRPr="00F02250">
        <w:rPr>
          <w:rFonts w:asciiTheme="majorBidi" w:hAnsiTheme="majorBidi" w:cstheme="majorBidi"/>
        </w:rPr>
        <w:t>≥</w:t>
      </w:r>
      <w:r w:rsidR="00132884">
        <w:rPr>
          <w:rFonts w:asciiTheme="majorBidi" w:hAnsiTheme="majorBidi" w:cstheme="majorBidi"/>
        </w:rPr>
        <w:t xml:space="preserve"> 2 interproximal sites with PD </w:t>
      </w:r>
      <w:r w:rsidR="00132884" w:rsidRPr="00F02250">
        <w:rPr>
          <w:rFonts w:asciiTheme="majorBidi" w:hAnsiTheme="majorBidi" w:cstheme="majorBidi"/>
        </w:rPr>
        <w:t>≥</w:t>
      </w:r>
      <w:r w:rsidR="00132884">
        <w:rPr>
          <w:rFonts w:asciiTheme="majorBidi" w:hAnsiTheme="majorBidi" w:cstheme="majorBidi"/>
        </w:rPr>
        <w:t xml:space="preserve">4mm (not on the same </w:t>
      </w:r>
      <w:r w:rsidR="00E11260">
        <w:rPr>
          <w:rFonts w:asciiTheme="majorBidi" w:hAnsiTheme="majorBidi" w:cstheme="majorBidi"/>
        </w:rPr>
        <w:t xml:space="preserve">tooth) or one site with PD </w:t>
      </w:r>
      <w:r w:rsidR="00E11260" w:rsidRPr="00F02250">
        <w:rPr>
          <w:rFonts w:asciiTheme="majorBidi" w:hAnsiTheme="majorBidi" w:cstheme="majorBidi"/>
        </w:rPr>
        <w:t>≥</w:t>
      </w:r>
      <w:r w:rsidR="00E11260">
        <w:rPr>
          <w:rFonts w:asciiTheme="majorBidi" w:hAnsiTheme="majorBidi" w:cstheme="majorBidi"/>
        </w:rPr>
        <w:t xml:space="preserve">5mm. </w:t>
      </w:r>
      <w:r w:rsidR="003F783A">
        <w:rPr>
          <w:rFonts w:asciiTheme="majorBidi" w:hAnsiTheme="majorBidi" w:cstheme="majorBidi"/>
        </w:rPr>
        <w:t xml:space="preserve">Moderate periodontitis was defined as </w:t>
      </w:r>
      <w:r w:rsidR="003F783A" w:rsidRPr="00F02250">
        <w:rPr>
          <w:rFonts w:asciiTheme="majorBidi" w:hAnsiTheme="majorBidi" w:cstheme="majorBidi"/>
        </w:rPr>
        <w:t>≥</w:t>
      </w:r>
      <w:r w:rsidR="003F783A">
        <w:rPr>
          <w:rFonts w:asciiTheme="majorBidi" w:hAnsiTheme="majorBidi" w:cstheme="majorBidi"/>
        </w:rPr>
        <w:t xml:space="preserve"> </w:t>
      </w:r>
      <w:r w:rsidR="00D51D42">
        <w:rPr>
          <w:rFonts w:asciiTheme="majorBidi" w:hAnsiTheme="majorBidi" w:cstheme="majorBidi"/>
        </w:rPr>
        <w:t xml:space="preserve">2 interproximal sites with CAL </w:t>
      </w:r>
      <w:r w:rsidR="00D51D42" w:rsidRPr="00F02250">
        <w:rPr>
          <w:rFonts w:asciiTheme="majorBidi" w:hAnsiTheme="majorBidi" w:cstheme="majorBidi"/>
        </w:rPr>
        <w:t>≥</w:t>
      </w:r>
      <w:r w:rsidR="00D51D42">
        <w:rPr>
          <w:rFonts w:asciiTheme="majorBidi" w:hAnsiTheme="majorBidi" w:cstheme="majorBidi"/>
        </w:rPr>
        <w:t xml:space="preserve"> 4mm (not on the same tooth), or </w:t>
      </w:r>
      <w:r w:rsidR="00D51D42" w:rsidRPr="00F02250">
        <w:rPr>
          <w:rFonts w:asciiTheme="majorBidi" w:hAnsiTheme="majorBidi" w:cstheme="majorBidi"/>
        </w:rPr>
        <w:t>≥</w:t>
      </w:r>
      <w:r w:rsidR="00452889">
        <w:rPr>
          <w:rFonts w:asciiTheme="majorBidi" w:hAnsiTheme="majorBidi" w:cstheme="majorBidi"/>
        </w:rPr>
        <w:t xml:space="preserve"> 2 interproximal si</w:t>
      </w:r>
      <w:r w:rsidR="00A4126D">
        <w:rPr>
          <w:rFonts w:asciiTheme="majorBidi" w:hAnsiTheme="majorBidi" w:cstheme="majorBidi"/>
        </w:rPr>
        <w:t>tes with CAL</w:t>
      </w:r>
      <w:r w:rsidR="00E05020">
        <w:rPr>
          <w:rFonts w:asciiTheme="majorBidi" w:hAnsiTheme="majorBidi" w:cstheme="majorBidi"/>
        </w:rPr>
        <w:t xml:space="preserve"> </w:t>
      </w:r>
      <w:r w:rsidR="00E05020" w:rsidRPr="00F02250">
        <w:rPr>
          <w:rFonts w:asciiTheme="majorBidi" w:hAnsiTheme="majorBidi" w:cstheme="majorBidi"/>
        </w:rPr>
        <w:t>≥</w:t>
      </w:r>
      <w:r w:rsidR="00E05020">
        <w:rPr>
          <w:rFonts w:asciiTheme="majorBidi" w:hAnsiTheme="majorBidi" w:cstheme="majorBidi"/>
        </w:rPr>
        <w:t xml:space="preserve"> 6mm (not on the same tooth) and </w:t>
      </w:r>
      <w:r w:rsidR="00E05020" w:rsidRPr="00F02250">
        <w:rPr>
          <w:rFonts w:asciiTheme="majorBidi" w:hAnsiTheme="majorBidi" w:cstheme="majorBidi"/>
        </w:rPr>
        <w:t>≥</w:t>
      </w:r>
      <w:r w:rsidR="00E05020">
        <w:rPr>
          <w:rFonts w:asciiTheme="majorBidi" w:hAnsiTheme="majorBidi" w:cstheme="majorBidi"/>
        </w:rPr>
        <w:t xml:space="preserve"> 1 interproximal site with PD</w:t>
      </w:r>
      <w:r w:rsidR="00E05020" w:rsidRPr="00F02250">
        <w:rPr>
          <w:rFonts w:asciiTheme="majorBidi" w:hAnsiTheme="majorBidi" w:cstheme="majorBidi"/>
        </w:rPr>
        <w:t>≥</w:t>
      </w:r>
      <w:r w:rsidR="00E05020">
        <w:rPr>
          <w:rFonts w:asciiTheme="majorBidi" w:hAnsiTheme="majorBidi" w:cstheme="majorBidi"/>
        </w:rPr>
        <w:t xml:space="preserve"> 5mm were required.</w:t>
      </w:r>
      <w:r w:rsidR="005A2C11">
        <w:rPr>
          <w:rFonts w:asciiTheme="majorBidi" w:hAnsiTheme="majorBidi" w:cstheme="majorBidi"/>
        </w:rPr>
        <w:t xml:space="preserve"> If participant</w:t>
      </w:r>
      <w:r w:rsidR="00F64ACF">
        <w:rPr>
          <w:rFonts w:asciiTheme="majorBidi" w:hAnsiTheme="majorBidi" w:cstheme="majorBidi"/>
        </w:rPr>
        <w:t>s</w:t>
      </w:r>
      <w:r w:rsidR="005A2C11">
        <w:rPr>
          <w:rFonts w:asciiTheme="majorBidi" w:hAnsiTheme="majorBidi" w:cstheme="majorBidi"/>
        </w:rPr>
        <w:t xml:space="preserve"> did not fall </w:t>
      </w:r>
      <w:r w:rsidR="00F64ACF">
        <w:rPr>
          <w:rFonts w:asciiTheme="majorBidi" w:hAnsiTheme="majorBidi" w:cstheme="majorBidi"/>
        </w:rPr>
        <w:t xml:space="preserve">in any of </w:t>
      </w:r>
      <w:r w:rsidR="00935015">
        <w:rPr>
          <w:rFonts w:asciiTheme="majorBidi" w:hAnsiTheme="majorBidi" w:cstheme="majorBidi"/>
        </w:rPr>
        <w:t>these definitions</w:t>
      </w:r>
      <w:r w:rsidR="00F64ACF">
        <w:rPr>
          <w:rFonts w:asciiTheme="majorBidi" w:hAnsiTheme="majorBidi" w:cstheme="majorBidi"/>
        </w:rPr>
        <w:t xml:space="preserve">, they </w:t>
      </w:r>
      <w:r w:rsidR="00F15E8D">
        <w:rPr>
          <w:rFonts w:asciiTheme="majorBidi" w:hAnsiTheme="majorBidi" w:cstheme="majorBidi"/>
        </w:rPr>
        <w:t xml:space="preserve">were defined </w:t>
      </w:r>
      <w:r w:rsidR="006E7FD4">
        <w:rPr>
          <w:rFonts w:asciiTheme="majorBidi" w:hAnsiTheme="majorBidi" w:cstheme="majorBidi"/>
        </w:rPr>
        <w:t>in</w:t>
      </w:r>
      <w:r w:rsidR="00F15E8D">
        <w:rPr>
          <w:rFonts w:asciiTheme="majorBidi" w:hAnsiTheme="majorBidi" w:cstheme="majorBidi"/>
        </w:rPr>
        <w:t xml:space="preserve"> </w:t>
      </w:r>
      <w:r w:rsidR="006E7FD4">
        <w:rPr>
          <w:rFonts w:asciiTheme="majorBidi" w:hAnsiTheme="majorBidi" w:cstheme="majorBidi"/>
        </w:rPr>
        <w:t>“</w:t>
      </w:r>
      <w:r w:rsidR="00F15E8D">
        <w:rPr>
          <w:rFonts w:asciiTheme="majorBidi" w:hAnsiTheme="majorBidi" w:cstheme="majorBidi"/>
        </w:rPr>
        <w:t>no periodontitis</w:t>
      </w:r>
      <w:r w:rsidR="006E7FD4">
        <w:rPr>
          <w:rFonts w:asciiTheme="majorBidi" w:hAnsiTheme="majorBidi" w:cstheme="majorBidi"/>
        </w:rPr>
        <w:t>” group</w:t>
      </w:r>
      <w:r w:rsidR="00F15E8D">
        <w:rPr>
          <w:rFonts w:asciiTheme="majorBidi" w:hAnsiTheme="majorBidi" w:cstheme="majorBidi"/>
        </w:rPr>
        <w:t xml:space="preserve">. All participants with less than two teeth were </w:t>
      </w:r>
      <w:r w:rsidR="00F15E8D" w:rsidRPr="003C06C2">
        <w:rPr>
          <w:rFonts w:asciiTheme="majorBidi" w:hAnsiTheme="majorBidi" w:cstheme="majorBidi"/>
          <w:color w:val="000000" w:themeColor="text1"/>
        </w:rPr>
        <w:t xml:space="preserve">excluded from the </w:t>
      </w:r>
      <w:r w:rsidR="00935015" w:rsidRPr="003C06C2">
        <w:rPr>
          <w:rFonts w:asciiTheme="majorBidi" w:hAnsiTheme="majorBidi" w:cstheme="majorBidi"/>
          <w:color w:val="000000" w:themeColor="text1"/>
        </w:rPr>
        <w:t>periodontal disease analysis</w:t>
      </w:r>
      <w:r w:rsidR="004004C7">
        <w:rPr>
          <w:rFonts w:asciiTheme="majorBidi" w:hAnsiTheme="majorBidi" w:cstheme="majorBidi"/>
          <w:color w:val="000000" w:themeColor="text1"/>
        </w:rPr>
        <w:t xml:space="preserve"> </w:t>
      </w:r>
      <w:r w:rsidR="004004C7" w:rsidRPr="005C2DD3">
        <w:rPr>
          <w:rFonts w:asciiTheme="majorBidi" w:hAnsiTheme="majorBidi" w:cstheme="majorBidi"/>
          <w:color w:val="000000" w:themeColor="text1"/>
          <w:highlight w:val="yellow"/>
        </w:rPr>
        <w:t xml:space="preserve">as required in the </w:t>
      </w:r>
      <w:r w:rsidR="004004C7" w:rsidRPr="00D67DBF">
        <w:rPr>
          <w:rFonts w:asciiTheme="majorBidi" w:hAnsiTheme="majorBidi" w:cstheme="majorBidi"/>
          <w:highlight w:val="yellow"/>
        </w:rPr>
        <w:t>CDC/</w:t>
      </w:r>
      <w:r w:rsidR="004004C7" w:rsidRPr="00744CCC">
        <w:rPr>
          <w:rFonts w:asciiTheme="majorBidi" w:hAnsiTheme="majorBidi" w:cstheme="majorBidi"/>
          <w:highlight w:val="yellow"/>
        </w:rPr>
        <w:t xml:space="preserve">AAP </w:t>
      </w:r>
      <w:r w:rsidR="004004C7" w:rsidRPr="005C2DD3">
        <w:rPr>
          <w:rFonts w:asciiTheme="majorBidi" w:hAnsiTheme="majorBidi" w:cstheme="majorBidi"/>
          <w:color w:val="000000" w:themeColor="text1"/>
          <w:highlight w:val="yellow"/>
        </w:rPr>
        <w:t xml:space="preserve">case definition of periodontitis. </w:t>
      </w:r>
      <w:hyperlink w:anchor="_ENREF_20" w:tooltip="Eke, 2012 #153" w:history="1">
        <w:r w:rsidR="0036052C" w:rsidRPr="005C2DD3">
          <w:rPr>
            <w:rFonts w:asciiTheme="majorBidi" w:hAnsiTheme="majorBidi" w:cstheme="majorBidi"/>
            <w:highlight w:val="yellow"/>
          </w:rPr>
          <w:fldChar w:fldCharType="begin"/>
        </w:r>
        <w:r w:rsidR="0036052C">
          <w:rPr>
            <w:rFonts w:asciiTheme="majorBidi" w:hAnsiTheme="majorBidi" w:cstheme="majorBidi"/>
            <w:highlight w:val="yellow"/>
          </w:rPr>
          <w:instrText xml:space="preserve"> ADDIN EN.CITE &lt;EndNote&gt;&lt;Cite&gt;&lt;Author&gt;Eke&lt;/Author&gt;&lt;Year&gt;2012&lt;/Year&gt;&lt;RecNum&gt;153&lt;/RecNum&gt;&lt;DisplayText&gt;&lt;style face="superscript"&gt;20&lt;/style&gt;&lt;/DisplayText&gt;&lt;record&gt;&lt;rec-number&gt;153&lt;/rec-number&gt;&lt;foreign-keys&gt;&lt;key app="EN" db-id="90pv252x7xpz25etx2i5affuwe2ffaptfsvz" timestamp="1589317117"&gt;153&lt;/key&gt;&lt;/foreign-keys&gt;&lt;ref-type name="Journal Article"&gt;17&lt;/ref-type&gt;&lt;contributors&gt;&lt;authors&gt;&lt;author&gt;Eke, Paul I&lt;/author&gt;&lt;author&gt;Page, Roy C&lt;/author&gt;&lt;author&gt;Wei, Liang&lt;/author&gt;&lt;author&gt;Thornton‐Evans, Gina&lt;/author&gt;&lt;author&gt;Genco, Robert J&lt;/author&gt;&lt;/authors&gt;&lt;/contributors&gt;&lt;titles&gt;&lt;title&gt;Update of the case definitions for population‐based surveillance of periodontitis&lt;/title&gt;&lt;secondary-title&gt;Journal of periodontology&lt;/secondary-title&gt;&lt;/titles&gt;&lt;periodical&gt;&lt;full-title&gt;Journal of periodontology&lt;/full-title&gt;&lt;/periodical&gt;&lt;pages&gt;1449-1454&lt;/pages&gt;&lt;volume&gt;83&lt;/volume&gt;&lt;number&gt;12&lt;/number&gt;&lt;dates&gt;&lt;year&gt;2012&lt;/year&gt;&lt;/dates&gt;&lt;isbn&gt;0022-3492&lt;/isbn&gt;&lt;urls&gt;&lt;/urls&gt;&lt;/record&gt;&lt;/Cite&gt;&lt;/EndNote&gt;</w:instrText>
        </w:r>
        <w:r w:rsidR="0036052C" w:rsidRPr="005C2DD3">
          <w:rPr>
            <w:rFonts w:asciiTheme="majorBidi" w:hAnsiTheme="majorBidi" w:cstheme="majorBidi"/>
            <w:highlight w:val="yellow"/>
          </w:rPr>
          <w:fldChar w:fldCharType="separate"/>
        </w:r>
        <w:r w:rsidR="0036052C" w:rsidRPr="0036052C">
          <w:rPr>
            <w:rFonts w:asciiTheme="majorBidi" w:hAnsiTheme="majorBidi" w:cstheme="majorBidi"/>
            <w:noProof/>
            <w:highlight w:val="yellow"/>
            <w:vertAlign w:val="superscript"/>
          </w:rPr>
          <w:t>20</w:t>
        </w:r>
        <w:r w:rsidR="0036052C" w:rsidRPr="005C2DD3">
          <w:rPr>
            <w:rFonts w:asciiTheme="majorBidi" w:hAnsiTheme="majorBidi" w:cstheme="majorBidi"/>
            <w:highlight w:val="yellow"/>
          </w:rPr>
          <w:fldChar w:fldCharType="end"/>
        </w:r>
      </w:hyperlink>
      <w:r w:rsidR="00C44336">
        <w:rPr>
          <w:rFonts w:asciiTheme="majorBidi" w:hAnsiTheme="majorBidi" w:cstheme="majorBidi"/>
          <w:color w:val="000000" w:themeColor="text1"/>
        </w:rPr>
        <w:t xml:space="preserve"> </w:t>
      </w:r>
      <w:r w:rsidR="00720890" w:rsidRPr="003C06C2">
        <w:rPr>
          <w:rFonts w:asciiTheme="majorBidi" w:hAnsiTheme="majorBidi" w:cstheme="majorBidi"/>
          <w:color w:val="000000" w:themeColor="text1"/>
        </w:rPr>
        <w:t xml:space="preserve">This </w:t>
      </w:r>
      <w:r w:rsidR="00743DCD" w:rsidRPr="003C06C2">
        <w:rPr>
          <w:rFonts w:asciiTheme="majorBidi" w:hAnsiTheme="majorBidi" w:cstheme="majorBidi"/>
          <w:color w:val="000000" w:themeColor="text1"/>
        </w:rPr>
        <w:t>definition</w:t>
      </w:r>
      <w:r w:rsidR="00720890" w:rsidRPr="003C06C2">
        <w:rPr>
          <w:rFonts w:asciiTheme="majorBidi" w:hAnsiTheme="majorBidi" w:cstheme="majorBidi"/>
          <w:color w:val="000000" w:themeColor="text1"/>
        </w:rPr>
        <w:t xml:space="preserve"> was </w:t>
      </w:r>
      <w:r w:rsidR="004004C7">
        <w:rPr>
          <w:rFonts w:asciiTheme="majorBidi" w:hAnsiTheme="majorBidi" w:cstheme="majorBidi"/>
          <w:color w:val="000000" w:themeColor="text1"/>
        </w:rPr>
        <w:t>used</w:t>
      </w:r>
      <w:r w:rsidR="004004C7" w:rsidRPr="003C06C2">
        <w:rPr>
          <w:rFonts w:asciiTheme="majorBidi" w:hAnsiTheme="majorBidi" w:cstheme="majorBidi"/>
          <w:color w:val="000000" w:themeColor="text1"/>
        </w:rPr>
        <w:t xml:space="preserve"> </w:t>
      </w:r>
      <w:r w:rsidR="00720890" w:rsidRPr="003C06C2">
        <w:rPr>
          <w:rFonts w:asciiTheme="majorBidi" w:hAnsiTheme="majorBidi" w:cstheme="majorBidi"/>
          <w:color w:val="000000" w:themeColor="text1"/>
        </w:rPr>
        <w:t xml:space="preserve">in this </w:t>
      </w:r>
      <w:r w:rsidR="00104EF8" w:rsidRPr="003C06C2">
        <w:rPr>
          <w:rFonts w:asciiTheme="majorBidi" w:hAnsiTheme="majorBidi" w:cstheme="majorBidi"/>
          <w:color w:val="000000" w:themeColor="text1"/>
        </w:rPr>
        <w:t xml:space="preserve">study </w:t>
      </w:r>
      <w:r w:rsidR="004004C7">
        <w:rPr>
          <w:rFonts w:asciiTheme="majorBidi" w:hAnsiTheme="majorBidi" w:cstheme="majorBidi"/>
          <w:color w:val="000000" w:themeColor="text1"/>
        </w:rPr>
        <w:t xml:space="preserve">for its </w:t>
      </w:r>
      <w:r w:rsidR="00F53326" w:rsidRPr="003C06C2">
        <w:rPr>
          <w:rFonts w:asciiTheme="majorBidi" w:hAnsiTheme="majorBidi" w:cstheme="majorBidi"/>
          <w:color w:val="000000" w:themeColor="text1"/>
        </w:rPr>
        <w:t>appropriate</w:t>
      </w:r>
      <w:r w:rsidR="004004C7">
        <w:rPr>
          <w:rFonts w:asciiTheme="majorBidi" w:hAnsiTheme="majorBidi" w:cstheme="majorBidi"/>
          <w:color w:val="000000" w:themeColor="text1"/>
        </w:rPr>
        <w:t>ness</w:t>
      </w:r>
      <w:r w:rsidR="00F53326" w:rsidRPr="003C06C2">
        <w:rPr>
          <w:rFonts w:asciiTheme="majorBidi" w:hAnsiTheme="majorBidi" w:cstheme="majorBidi"/>
          <w:color w:val="000000" w:themeColor="text1"/>
        </w:rPr>
        <w:t xml:space="preserve"> for survey data, </w:t>
      </w:r>
      <w:r w:rsidR="00010605">
        <w:rPr>
          <w:rFonts w:asciiTheme="majorBidi" w:hAnsiTheme="majorBidi" w:cstheme="majorBidi"/>
          <w:color w:val="000000" w:themeColor="text1"/>
        </w:rPr>
        <w:t>and</w:t>
      </w:r>
      <w:r w:rsidR="00010605" w:rsidRPr="003C06C2">
        <w:rPr>
          <w:rFonts w:asciiTheme="majorBidi" w:hAnsiTheme="majorBidi" w:cstheme="majorBidi"/>
          <w:color w:val="000000" w:themeColor="text1"/>
        </w:rPr>
        <w:t xml:space="preserve"> </w:t>
      </w:r>
      <w:r w:rsidR="00D67DBF">
        <w:rPr>
          <w:rFonts w:asciiTheme="majorBidi" w:hAnsiTheme="majorBidi" w:cstheme="majorBidi"/>
          <w:color w:val="000000" w:themeColor="text1"/>
        </w:rPr>
        <w:t>due to</w:t>
      </w:r>
      <w:r w:rsidR="00D67DBF" w:rsidRPr="003C06C2">
        <w:rPr>
          <w:rFonts w:asciiTheme="majorBidi" w:hAnsiTheme="majorBidi" w:cstheme="majorBidi"/>
          <w:color w:val="000000" w:themeColor="text1"/>
        </w:rPr>
        <w:t xml:space="preserve"> </w:t>
      </w:r>
      <w:r w:rsidR="00F53326" w:rsidRPr="003C06C2">
        <w:rPr>
          <w:rFonts w:asciiTheme="majorBidi" w:hAnsiTheme="majorBidi" w:cstheme="majorBidi"/>
          <w:color w:val="000000" w:themeColor="text1"/>
        </w:rPr>
        <w:t xml:space="preserve">the way </w:t>
      </w:r>
      <w:r w:rsidR="00D67DBF">
        <w:rPr>
          <w:rFonts w:asciiTheme="majorBidi" w:hAnsiTheme="majorBidi" w:cstheme="majorBidi"/>
          <w:color w:val="000000" w:themeColor="text1"/>
        </w:rPr>
        <w:t xml:space="preserve">in which </w:t>
      </w:r>
      <w:r w:rsidR="00F53326" w:rsidRPr="003C06C2">
        <w:rPr>
          <w:rFonts w:asciiTheme="majorBidi" w:hAnsiTheme="majorBidi" w:cstheme="majorBidi"/>
          <w:color w:val="000000" w:themeColor="text1"/>
        </w:rPr>
        <w:t xml:space="preserve">periodontal </w:t>
      </w:r>
      <w:r w:rsidR="003C06C2" w:rsidRPr="003C06C2">
        <w:rPr>
          <w:rFonts w:asciiTheme="majorBidi" w:hAnsiTheme="majorBidi" w:cstheme="majorBidi"/>
          <w:color w:val="000000" w:themeColor="text1"/>
        </w:rPr>
        <w:t>status</w:t>
      </w:r>
      <w:r w:rsidR="00104EF8" w:rsidRPr="003C06C2">
        <w:rPr>
          <w:rFonts w:asciiTheme="majorBidi" w:hAnsiTheme="majorBidi" w:cstheme="majorBidi"/>
          <w:color w:val="000000" w:themeColor="text1"/>
        </w:rPr>
        <w:t xml:space="preserve"> was assessed in NHANES</w:t>
      </w:r>
      <w:r w:rsidR="00104EF8" w:rsidRPr="00767C21">
        <w:rPr>
          <w:rFonts w:asciiTheme="majorBidi" w:hAnsiTheme="majorBidi" w:cstheme="majorBidi"/>
          <w:color w:val="000000" w:themeColor="text1"/>
        </w:rPr>
        <w:t xml:space="preserve">. </w:t>
      </w:r>
      <w:r w:rsidR="00774086">
        <w:rPr>
          <w:rFonts w:asciiTheme="majorBidi" w:hAnsiTheme="majorBidi" w:cstheme="majorBidi"/>
        </w:rPr>
        <w:t>Periodontal</w:t>
      </w:r>
      <w:r w:rsidR="00951742">
        <w:rPr>
          <w:rFonts w:asciiTheme="majorBidi" w:hAnsiTheme="majorBidi" w:cstheme="majorBidi"/>
        </w:rPr>
        <w:t xml:space="preserve"> disease in this study was </w:t>
      </w:r>
      <w:r w:rsidR="00774086">
        <w:rPr>
          <w:rFonts w:asciiTheme="majorBidi" w:hAnsiTheme="majorBidi" w:cstheme="majorBidi"/>
        </w:rPr>
        <w:t>categorized</w:t>
      </w:r>
      <w:r w:rsidR="00951742">
        <w:rPr>
          <w:rFonts w:asciiTheme="majorBidi" w:hAnsiTheme="majorBidi" w:cstheme="majorBidi"/>
        </w:rPr>
        <w:t xml:space="preserve"> into two groups, </w:t>
      </w:r>
      <w:r w:rsidR="00774086">
        <w:rPr>
          <w:rFonts w:asciiTheme="majorBidi" w:hAnsiTheme="majorBidi" w:cstheme="majorBidi"/>
        </w:rPr>
        <w:t>“No/Mild periodontitis” and “Moderate/Severe periodontitis”</w:t>
      </w:r>
      <w:r w:rsidR="00361499">
        <w:rPr>
          <w:rFonts w:asciiTheme="majorBidi" w:hAnsiTheme="majorBidi" w:cstheme="majorBidi"/>
        </w:rPr>
        <w:t>.</w:t>
      </w:r>
    </w:p>
    <w:p w14:paraId="32798A06" w14:textId="304CA170" w:rsidR="00C83159" w:rsidRDefault="00951893" w:rsidP="00C526F6">
      <w:pPr>
        <w:spacing w:line="480" w:lineRule="auto"/>
        <w:jc w:val="both"/>
        <w:rPr>
          <w:rFonts w:asciiTheme="majorBidi" w:hAnsiTheme="majorBidi" w:cstheme="majorBidi"/>
          <w:color w:val="1C1D1E"/>
          <w:shd w:val="clear" w:color="auto" w:fill="FFFFFF"/>
        </w:rPr>
      </w:pPr>
      <w:r>
        <w:rPr>
          <w:rFonts w:asciiTheme="majorBidi" w:hAnsiTheme="majorBidi" w:cstheme="majorBidi"/>
          <w:color w:val="1C1D1E"/>
          <w:shd w:val="clear" w:color="auto" w:fill="FFFFFF"/>
        </w:rPr>
        <w:t>Inadequate n</w:t>
      </w:r>
      <w:r w:rsidR="00A32342" w:rsidRPr="009D1CA6">
        <w:rPr>
          <w:rFonts w:asciiTheme="majorBidi" w:hAnsiTheme="majorBidi" w:cstheme="majorBidi"/>
          <w:color w:val="1C1D1E"/>
          <w:shd w:val="clear" w:color="auto" w:fill="FFFFFF"/>
        </w:rPr>
        <w:t xml:space="preserve">utritional </w:t>
      </w:r>
      <w:r w:rsidR="006C7077">
        <w:rPr>
          <w:rFonts w:asciiTheme="majorBidi" w:hAnsiTheme="majorBidi" w:cstheme="majorBidi"/>
          <w:color w:val="1C1D1E"/>
          <w:shd w:val="clear" w:color="auto" w:fill="FFFFFF"/>
        </w:rPr>
        <w:t>intake</w:t>
      </w:r>
      <w:r w:rsidR="00A32342" w:rsidRPr="009D1CA6">
        <w:rPr>
          <w:rFonts w:asciiTheme="majorBidi" w:hAnsiTheme="majorBidi" w:cstheme="majorBidi"/>
          <w:color w:val="1C1D1E"/>
          <w:shd w:val="clear" w:color="auto" w:fill="FFFFFF"/>
        </w:rPr>
        <w:t xml:space="preserve"> was </w:t>
      </w:r>
      <w:r w:rsidR="008E6E41">
        <w:rPr>
          <w:rFonts w:asciiTheme="majorBidi" w:hAnsiTheme="majorBidi" w:cstheme="majorBidi"/>
          <w:color w:val="1C1D1E"/>
          <w:shd w:val="clear" w:color="auto" w:fill="FFFFFF"/>
        </w:rPr>
        <w:t>established</w:t>
      </w:r>
      <w:r w:rsidR="00A32342" w:rsidRPr="009D1CA6">
        <w:rPr>
          <w:rFonts w:asciiTheme="majorBidi" w:hAnsiTheme="majorBidi" w:cstheme="majorBidi"/>
          <w:color w:val="1C1D1E"/>
          <w:shd w:val="clear" w:color="auto" w:fill="FFFFFF"/>
        </w:rPr>
        <w:t xml:space="preserve"> </w:t>
      </w:r>
      <w:r w:rsidR="008E6E41">
        <w:rPr>
          <w:rFonts w:asciiTheme="majorBidi" w:hAnsiTheme="majorBidi" w:cstheme="majorBidi"/>
          <w:color w:val="1C1D1E"/>
          <w:shd w:val="clear" w:color="auto" w:fill="FFFFFF"/>
        </w:rPr>
        <w:t>from</w:t>
      </w:r>
      <w:r w:rsidR="00A32342" w:rsidRPr="009D1CA6">
        <w:rPr>
          <w:rFonts w:asciiTheme="majorBidi" w:hAnsiTheme="majorBidi" w:cstheme="majorBidi"/>
          <w:color w:val="1C1D1E"/>
          <w:shd w:val="clear" w:color="auto" w:fill="FFFFFF"/>
        </w:rPr>
        <w:t xml:space="preserve"> micronutrients intake</w:t>
      </w:r>
      <w:r w:rsidR="008E6E41">
        <w:rPr>
          <w:rFonts w:asciiTheme="majorBidi" w:hAnsiTheme="majorBidi" w:cstheme="majorBidi"/>
          <w:color w:val="1C1D1E"/>
          <w:shd w:val="clear" w:color="auto" w:fill="FFFFFF"/>
        </w:rPr>
        <w:t xml:space="preserve"> data</w:t>
      </w:r>
      <w:r w:rsidR="00A32342" w:rsidRPr="009D1CA6">
        <w:rPr>
          <w:rFonts w:asciiTheme="majorBidi" w:hAnsiTheme="majorBidi" w:cstheme="majorBidi"/>
          <w:color w:val="1C1D1E"/>
          <w:shd w:val="clear" w:color="auto" w:fill="FFFFFF"/>
        </w:rPr>
        <w:t xml:space="preserve"> </w:t>
      </w:r>
      <w:r w:rsidR="005C62FC" w:rsidRPr="009D1CA6">
        <w:rPr>
          <w:rFonts w:asciiTheme="majorBidi" w:hAnsiTheme="majorBidi" w:cstheme="majorBidi"/>
          <w:color w:val="1C1D1E"/>
          <w:shd w:val="clear" w:color="auto" w:fill="FFFFFF"/>
        </w:rPr>
        <w:t xml:space="preserve">from </w:t>
      </w:r>
      <w:r w:rsidR="005C62FC">
        <w:rPr>
          <w:rFonts w:asciiTheme="majorBidi" w:hAnsiTheme="majorBidi" w:cstheme="majorBidi"/>
          <w:color w:val="1C1D1E"/>
          <w:shd w:val="clear" w:color="auto" w:fill="FFFFFF"/>
        </w:rPr>
        <w:t>the</w:t>
      </w:r>
      <w:r w:rsidR="007D3D64">
        <w:rPr>
          <w:rFonts w:asciiTheme="majorBidi" w:hAnsiTheme="majorBidi" w:cstheme="majorBidi"/>
          <w:color w:val="1C1D1E"/>
          <w:shd w:val="clear" w:color="auto" w:fill="FFFFFF"/>
        </w:rPr>
        <w:t xml:space="preserve"> </w:t>
      </w:r>
      <w:r w:rsidR="00A32342" w:rsidRPr="009D1CA6">
        <w:rPr>
          <w:rFonts w:asciiTheme="majorBidi" w:hAnsiTheme="majorBidi" w:cstheme="majorBidi"/>
          <w:color w:val="1C1D1E"/>
          <w:shd w:val="clear" w:color="auto" w:fill="FFFFFF"/>
        </w:rPr>
        <w:t>24</w:t>
      </w:r>
      <w:r w:rsidR="005C62FC">
        <w:rPr>
          <w:rFonts w:asciiTheme="majorBidi" w:hAnsiTheme="majorBidi" w:cstheme="majorBidi"/>
          <w:color w:val="1C1D1E"/>
          <w:shd w:val="clear" w:color="auto" w:fill="FFFFFF"/>
        </w:rPr>
        <w:t xml:space="preserve"> hours</w:t>
      </w:r>
      <w:r w:rsidR="00A32342" w:rsidRPr="009D1CA6">
        <w:rPr>
          <w:rFonts w:asciiTheme="majorBidi" w:hAnsiTheme="majorBidi" w:cstheme="majorBidi"/>
          <w:color w:val="1C1D1E"/>
          <w:shd w:val="clear" w:color="auto" w:fill="FFFFFF"/>
        </w:rPr>
        <w:t xml:space="preserve"> dietary recall</w:t>
      </w:r>
      <w:r w:rsidR="00DC0D76">
        <w:rPr>
          <w:rFonts w:asciiTheme="majorBidi" w:hAnsiTheme="majorBidi" w:cstheme="majorBidi"/>
          <w:color w:val="1C1D1E"/>
          <w:shd w:val="clear" w:color="auto" w:fill="FFFFFF"/>
        </w:rPr>
        <w:t>s</w:t>
      </w:r>
      <w:r w:rsidR="00A32342" w:rsidRPr="009D1CA6">
        <w:rPr>
          <w:rFonts w:asciiTheme="majorBidi" w:hAnsiTheme="majorBidi" w:cstheme="majorBidi"/>
          <w:color w:val="1C1D1E"/>
          <w:shd w:val="clear" w:color="auto" w:fill="FFFFFF"/>
        </w:rPr>
        <w:t xml:space="preserve">, which were </w:t>
      </w:r>
      <w:r w:rsidR="00E53098">
        <w:rPr>
          <w:rFonts w:asciiTheme="majorBidi" w:hAnsiTheme="majorBidi" w:cstheme="majorBidi"/>
          <w:color w:val="1C1D1E"/>
          <w:shd w:val="clear" w:color="auto" w:fill="FFFFFF"/>
        </w:rPr>
        <w:t>obtained</w:t>
      </w:r>
      <w:r w:rsidR="00A32342" w:rsidRPr="00C36F3D">
        <w:rPr>
          <w:rFonts w:asciiTheme="majorBidi" w:hAnsiTheme="majorBidi" w:cstheme="majorBidi"/>
          <w:color w:val="1C1D1E"/>
          <w:shd w:val="clear" w:color="auto" w:fill="FFFFFF"/>
        </w:rPr>
        <w:t xml:space="preserve"> by both in persons and telephone interviews.</w:t>
      </w:r>
      <w:r w:rsidR="009753AB" w:rsidRPr="009D1CA6">
        <w:rPr>
          <w:rFonts w:asciiTheme="majorBidi" w:hAnsiTheme="majorBidi" w:cstheme="majorBidi"/>
          <w:color w:val="1C1D1E"/>
          <w:shd w:val="clear" w:color="auto" w:fill="FFFFFF"/>
        </w:rPr>
        <w:t xml:space="preserve"> To calculate the </w:t>
      </w:r>
      <w:r w:rsidR="00A277AE" w:rsidRPr="009D1CA6">
        <w:rPr>
          <w:rFonts w:asciiTheme="majorBidi" w:hAnsiTheme="majorBidi" w:cstheme="majorBidi"/>
          <w:color w:val="1C1D1E"/>
          <w:shd w:val="clear" w:color="auto" w:fill="FFFFFF"/>
        </w:rPr>
        <w:t xml:space="preserve">nutritional </w:t>
      </w:r>
      <w:r w:rsidR="006C7077">
        <w:rPr>
          <w:rFonts w:asciiTheme="majorBidi" w:hAnsiTheme="majorBidi" w:cstheme="majorBidi"/>
          <w:color w:val="1C1D1E"/>
          <w:shd w:val="clear" w:color="auto" w:fill="FFFFFF"/>
        </w:rPr>
        <w:t>intake</w:t>
      </w:r>
      <w:r w:rsidR="00A277AE" w:rsidRPr="009D1CA6">
        <w:rPr>
          <w:rFonts w:asciiTheme="majorBidi" w:hAnsiTheme="majorBidi" w:cstheme="majorBidi"/>
          <w:color w:val="1C1D1E"/>
          <w:shd w:val="clear" w:color="auto" w:fill="FFFFFF"/>
        </w:rPr>
        <w:t xml:space="preserve"> of the participants</w:t>
      </w:r>
      <w:r w:rsidR="001C01F5">
        <w:rPr>
          <w:rFonts w:asciiTheme="majorBidi" w:hAnsiTheme="majorBidi" w:cstheme="majorBidi"/>
          <w:color w:val="1C1D1E"/>
          <w:shd w:val="clear" w:color="auto" w:fill="FFFFFF"/>
        </w:rPr>
        <w:t>,</w:t>
      </w:r>
      <w:r w:rsidR="0037161F" w:rsidRPr="00C36F3D">
        <w:rPr>
          <w:rFonts w:asciiTheme="majorBidi" w:hAnsiTheme="majorBidi" w:cstheme="majorBidi"/>
          <w:color w:val="1C1D1E"/>
          <w:shd w:val="clear" w:color="auto" w:fill="FFFFFF"/>
        </w:rPr>
        <w:t xml:space="preserve"> the recommendations of Dietary intake and Allowances</w:t>
      </w:r>
      <w:r w:rsidR="0037161F" w:rsidRPr="009D1CA6">
        <w:rPr>
          <w:rFonts w:asciiTheme="majorBidi" w:hAnsiTheme="majorBidi" w:cstheme="majorBidi"/>
          <w:color w:val="1C1D1E"/>
          <w:shd w:val="clear" w:color="auto" w:fill="FFFFFF"/>
        </w:rPr>
        <w:t xml:space="preserve"> produced</w:t>
      </w:r>
      <w:r w:rsidR="00A277AE" w:rsidRPr="009D1CA6">
        <w:rPr>
          <w:rFonts w:asciiTheme="majorBidi" w:hAnsiTheme="majorBidi" w:cstheme="majorBidi"/>
          <w:color w:val="1C1D1E"/>
          <w:shd w:val="clear" w:color="auto" w:fill="FFFFFF"/>
        </w:rPr>
        <w:t xml:space="preserve"> </w:t>
      </w:r>
      <w:r w:rsidR="00C36F3D">
        <w:rPr>
          <w:rFonts w:asciiTheme="majorBidi" w:hAnsiTheme="majorBidi" w:cstheme="majorBidi"/>
          <w:color w:val="1C1D1E"/>
          <w:shd w:val="clear" w:color="auto" w:fill="FFFFFF"/>
        </w:rPr>
        <w:t xml:space="preserve">by the </w:t>
      </w:r>
      <w:r w:rsidR="0037161F" w:rsidRPr="009D1CA6">
        <w:rPr>
          <w:rFonts w:asciiTheme="majorBidi" w:hAnsiTheme="majorBidi" w:cstheme="majorBidi"/>
          <w:color w:val="1C1D1E"/>
          <w:shd w:val="clear" w:color="auto" w:fill="FFFFFF"/>
        </w:rPr>
        <w:t>national institute of health were followed</w:t>
      </w:r>
      <w:r w:rsidR="001D5944">
        <w:rPr>
          <w:rFonts w:asciiTheme="majorBidi" w:hAnsiTheme="majorBidi" w:cstheme="majorBidi"/>
          <w:color w:val="1C1D1E"/>
          <w:shd w:val="clear" w:color="auto" w:fill="FFFFFF"/>
        </w:rPr>
        <w:t>.</w:t>
      </w:r>
      <w:hyperlink w:anchor="_ENREF_21" w:tooltip="Health, 2016 #2" w:history="1">
        <w:r w:rsidR="0036052C" w:rsidRPr="009D1CA6">
          <w:rPr>
            <w:rFonts w:asciiTheme="majorBidi" w:hAnsiTheme="majorBidi" w:cstheme="majorBidi"/>
            <w:color w:val="1C1D1E"/>
            <w:shd w:val="clear" w:color="auto" w:fill="FFFFFF"/>
          </w:rPr>
          <w:fldChar w:fldCharType="begin"/>
        </w:r>
        <w:r w:rsidR="0036052C">
          <w:rPr>
            <w:rFonts w:asciiTheme="majorBidi" w:hAnsiTheme="majorBidi" w:cstheme="majorBidi"/>
            <w:color w:val="1C1D1E"/>
            <w:shd w:val="clear" w:color="auto" w:fill="FFFFFF"/>
          </w:rPr>
          <w:instrText xml:space="preserve"> ADDIN EN.CITE &lt;EndNote&gt;&lt;Cite&gt;&lt;Author&gt;Health&lt;/Author&gt;&lt;Year&gt;2016&lt;/Year&gt;&lt;RecNum&gt;2&lt;/RecNum&gt;&lt;DisplayText&gt;&lt;style face="superscript"&gt;21&lt;/style&gt;&lt;/DisplayText&gt;&lt;record&gt;&lt;rec-number&gt;2&lt;/rec-number&gt;&lt;foreign-keys&gt;&lt;key app="EN" db-id="dwewaresu5fap1epwvbxxrdhaz9rzddwxzde"&gt;2&lt;/key&gt;&lt;/foreign-keys&gt;&lt;ref-type name="Generic"&gt;13&lt;/ref-type&gt;&lt;contributors&gt;&lt;authors&gt;&lt;author&gt;National Institutes of Health&lt;/author&gt;&lt;/authors&gt;&lt;/contributors&gt;&lt;titles&gt;&lt;title&gt;Nutrient recommendations: Dietary reference intakes (DRI)&lt;/title&gt;&lt;/titles&gt;&lt;dates&gt;&lt;year&gt;2016&lt;/year&gt;&lt;/dates&gt;&lt;urls&gt;&lt;/urls&gt;&lt;/record&gt;&lt;/Cite&gt;&lt;/EndNote&gt;</w:instrText>
        </w:r>
        <w:r w:rsidR="0036052C" w:rsidRPr="009D1CA6">
          <w:rPr>
            <w:rFonts w:asciiTheme="majorBidi" w:hAnsiTheme="majorBidi" w:cstheme="majorBidi"/>
            <w:color w:val="1C1D1E"/>
            <w:shd w:val="clear" w:color="auto" w:fill="FFFFFF"/>
          </w:rPr>
          <w:fldChar w:fldCharType="separate"/>
        </w:r>
        <w:r w:rsidR="0036052C" w:rsidRPr="0036052C">
          <w:rPr>
            <w:rFonts w:asciiTheme="majorBidi" w:hAnsiTheme="majorBidi" w:cstheme="majorBidi"/>
            <w:noProof/>
            <w:color w:val="1C1D1E"/>
            <w:shd w:val="clear" w:color="auto" w:fill="FFFFFF"/>
            <w:vertAlign w:val="superscript"/>
          </w:rPr>
          <w:t>21</w:t>
        </w:r>
        <w:r w:rsidR="0036052C" w:rsidRPr="009D1CA6">
          <w:rPr>
            <w:rFonts w:asciiTheme="majorBidi" w:hAnsiTheme="majorBidi" w:cstheme="majorBidi"/>
            <w:color w:val="1C1D1E"/>
            <w:shd w:val="clear" w:color="auto" w:fill="FFFFFF"/>
          </w:rPr>
          <w:fldChar w:fldCharType="end"/>
        </w:r>
      </w:hyperlink>
      <w:r w:rsidR="0037161F" w:rsidRPr="009D1CA6">
        <w:rPr>
          <w:rFonts w:asciiTheme="majorBidi" w:hAnsiTheme="majorBidi" w:cstheme="majorBidi"/>
          <w:color w:val="1C1D1E"/>
          <w:shd w:val="clear" w:color="auto" w:fill="FFFFFF"/>
        </w:rPr>
        <w:t xml:space="preserve"> The exact cut off points for the 13 micronutrients are presented in </w:t>
      </w:r>
      <w:r w:rsidR="009B2C53">
        <w:rPr>
          <w:color w:val="2A2A2A"/>
          <w:sz w:val="23"/>
          <w:szCs w:val="23"/>
          <w:shd w:val="clear" w:color="auto" w:fill="FFFFFF"/>
        </w:rPr>
        <w:t xml:space="preserve">(Table </w:t>
      </w:r>
      <w:r w:rsidR="00917E74">
        <w:rPr>
          <w:color w:val="2A2A2A"/>
          <w:sz w:val="23"/>
          <w:szCs w:val="23"/>
          <w:shd w:val="clear" w:color="auto" w:fill="FFFFFF"/>
        </w:rPr>
        <w:t>A</w:t>
      </w:r>
      <w:r w:rsidR="009B2C53">
        <w:rPr>
          <w:color w:val="2A2A2A"/>
          <w:sz w:val="23"/>
          <w:szCs w:val="23"/>
          <w:shd w:val="clear" w:color="auto" w:fill="FFFFFF"/>
        </w:rPr>
        <w:t xml:space="preserve">2 in the </w:t>
      </w:r>
      <w:r w:rsidR="00917E74">
        <w:rPr>
          <w:color w:val="2A2A2A"/>
          <w:sz w:val="23"/>
          <w:szCs w:val="23"/>
          <w:shd w:val="clear" w:color="auto" w:fill="FFFFFF"/>
        </w:rPr>
        <w:t>Appendix</w:t>
      </w:r>
      <w:r w:rsidR="009B2C53">
        <w:rPr>
          <w:color w:val="2A2A2A"/>
          <w:sz w:val="23"/>
          <w:szCs w:val="23"/>
          <w:shd w:val="clear" w:color="auto" w:fill="FFFFFF"/>
        </w:rPr>
        <w:t>)</w:t>
      </w:r>
      <w:r w:rsidR="0037161F" w:rsidRPr="009D1CA6">
        <w:rPr>
          <w:rFonts w:asciiTheme="majorBidi" w:hAnsiTheme="majorBidi" w:cstheme="majorBidi"/>
          <w:color w:val="1C1D1E"/>
          <w:shd w:val="clear" w:color="auto" w:fill="FFFFFF"/>
        </w:rPr>
        <w:t xml:space="preserve">. </w:t>
      </w:r>
      <w:r w:rsidR="00E53098">
        <w:rPr>
          <w:rFonts w:asciiTheme="majorBidi" w:hAnsiTheme="majorBidi" w:cstheme="majorBidi"/>
          <w:color w:val="1C1D1E"/>
          <w:shd w:val="clear" w:color="auto" w:fill="FFFFFF"/>
        </w:rPr>
        <w:t xml:space="preserve">We created a </w:t>
      </w:r>
      <w:r w:rsidR="0037161F" w:rsidRPr="009D1CA6">
        <w:rPr>
          <w:rFonts w:asciiTheme="majorBidi" w:hAnsiTheme="majorBidi" w:cstheme="majorBidi"/>
          <w:color w:val="1C1D1E"/>
          <w:shd w:val="clear" w:color="auto" w:fill="FFFFFF"/>
        </w:rPr>
        <w:t xml:space="preserve">nutritional </w:t>
      </w:r>
      <w:r w:rsidR="006C7077">
        <w:rPr>
          <w:rFonts w:asciiTheme="majorBidi" w:hAnsiTheme="majorBidi" w:cstheme="majorBidi"/>
          <w:color w:val="1C1D1E"/>
          <w:shd w:val="clear" w:color="auto" w:fill="FFFFFF"/>
        </w:rPr>
        <w:t>intake</w:t>
      </w:r>
      <w:r w:rsidR="0037161F" w:rsidRPr="009D1CA6">
        <w:rPr>
          <w:rFonts w:asciiTheme="majorBidi" w:hAnsiTheme="majorBidi" w:cstheme="majorBidi"/>
          <w:color w:val="1C1D1E"/>
          <w:shd w:val="clear" w:color="auto" w:fill="FFFFFF"/>
        </w:rPr>
        <w:t xml:space="preserve"> variable by summing up the 13 micronutrients</w:t>
      </w:r>
      <w:r w:rsidR="00F45D91" w:rsidRPr="009D1CA6">
        <w:rPr>
          <w:rFonts w:asciiTheme="majorBidi" w:hAnsiTheme="majorBidi" w:cstheme="majorBidi"/>
          <w:color w:val="1C1D1E"/>
          <w:shd w:val="clear" w:color="auto" w:fill="FFFFFF"/>
        </w:rPr>
        <w:t xml:space="preserve"> </w:t>
      </w:r>
      <w:r w:rsidR="0037161F" w:rsidRPr="009D1CA6">
        <w:rPr>
          <w:rFonts w:asciiTheme="majorBidi" w:hAnsiTheme="majorBidi" w:cstheme="majorBidi"/>
          <w:color w:val="1C1D1E"/>
          <w:shd w:val="clear" w:color="auto" w:fill="FFFFFF"/>
        </w:rPr>
        <w:t xml:space="preserve">variables (0 </w:t>
      </w:r>
      <w:r w:rsidR="00F45D91" w:rsidRPr="009D1CA6">
        <w:rPr>
          <w:rFonts w:asciiTheme="majorBidi" w:hAnsiTheme="majorBidi" w:cstheme="majorBidi"/>
          <w:color w:val="1C1D1E"/>
          <w:shd w:val="clear" w:color="auto" w:fill="FFFFFF"/>
        </w:rPr>
        <w:t>indicates adequate intake of all the nutrients, 13 indicates inadequate intake of all the nutrients).</w:t>
      </w:r>
      <w:r w:rsidR="00C83159">
        <w:rPr>
          <w:rFonts w:asciiTheme="majorBidi" w:hAnsiTheme="majorBidi" w:cstheme="majorBidi"/>
          <w:color w:val="1C1D1E"/>
          <w:shd w:val="clear" w:color="auto" w:fill="FFFFFF"/>
        </w:rPr>
        <w:t xml:space="preserve"> </w:t>
      </w:r>
    </w:p>
    <w:p w14:paraId="06DA0741" w14:textId="77777777" w:rsidR="00C8331A" w:rsidRPr="009D1CA6" w:rsidRDefault="00C8331A" w:rsidP="00C526F6">
      <w:pPr>
        <w:spacing w:line="480" w:lineRule="auto"/>
        <w:jc w:val="both"/>
        <w:rPr>
          <w:rFonts w:asciiTheme="majorBidi" w:hAnsiTheme="majorBidi" w:cstheme="majorBidi"/>
          <w:color w:val="1C1D1E"/>
          <w:shd w:val="clear" w:color="auto" w:fill="FFFFFF"/>
        </w:rPr>
      </w:pPr>
    </w:p>
    <w:p w14:paraId="709D6482" w14:textId="0B70924C" w:rsidR="00F45D91" w:rsidRPr="009D1CA6" w:rsidRDefault="00F45D91" w:rsidP="00C526F6">
      <w:pPr>
        <w:pStyle w:val="Heading3"/>
        <w:spacing w:line="480" w:lineRule="auto"/>
        <w:jc w:val="both"/>
        <w:rPr>
          <w:shd w:val="clear" w:color="auto" w:fill="FFFFFF"/>
        </w:rPr>
      </w:pPr>
      <w:r w:rsidRPr="009D1CA6">
        <w:rPr>
          <w:shd w:val="clear" w:color="auto" w:fill="FFFFFF"/>
        </w:rPr>
        <w:lastRenderedPageBreak/>
        <w:t>Covariates:</w:t>
      </w:r>
    </w:p>
    <w:p w14:paraId="78A921E8" w14:textId="72F29D27" w:rsidR="00F45D91" w:rsidRPr="009D1CA6" w:rsidRDefault="00912C44" w:rsidP="00C526F6">
      <w:pPr>
        <w:spacing w:line="480" w:lineRule="auto"/>
        <w:jc w:val="both"/>
        <w:rPr>
          <w:rFonts w:asciiTheme="majorBidi" w:hAnsiTheme="majorBidi" w:cstheme="majorBidi"/>
        </w:rPr>
      </w:pPr>
      <w:r w:rsidRPr="009D1CA6">
        <w:rPr>
          <w:rFonts w:asciiTheme="majorBidi" w:hAnsiTheme="majorBidi" w:cstheme="majorBidi"/>
        </w:rPr>
        <w:t xml:space="preserve">Sociodemographic factors were age and it was used as continuous variable (age in years), </w:t>
      </w:r>
      <w:r w:rsidR="00E834F7">
        <w:rPr>
          <w:rFonts w:asciiTheme="majorBidi" w:hAnsiTheme="majorBidi" w:cstheme="majorBidi"/>
        </w:rPr>
        <w:t>gender</w:t>
      </w:r>
      <w:r w:rsidRPr="009D1CA6">
        <w:rPr>
          <w:rFonts w:asciiTheme="majorBidi" w:hAnsiTheme="majorBidi" w:cstheme="majorBidi"/>
        </w:rPr>
        <w:t xml:space="preserve">, </w:t>
      </w:r>
      <w:r w:rsidR="00C44DEE">
        <w:rPr>
          <w:rFonts w:asciiTheme="majorBidi" w:hAnsiTheme="majorBidi" w:cstheme="majorBidi"/>
        </w:rPr>
        <w:t xml:space="preserve">and </w:t>
      </w:r>
      <w:r w:rsidR="00DC309D">
        <w:rPr>
          <w:rFonts w:asciiTheme="majorBidi" w:hAnsiTheme="majorBidi" w:cstheme="majorBidi"/>
        </w:rPr>
        <w:t>ethnicity</w:t>
      </w:r>
      <w:r w:rsidR="00110FF1" w:rsidRPr="009D1CA6">
        <w:rPr>
          <w:rFonts w:asciiTheme="majorBidi" w:hAnsiTheme="majorBidi" w:cstheme="majorBidi"/>
        </w:rPr>
        <w:t xml:space="preserve"> which was </w:t>
      </w:r>
      <w:r w:rsidR="00F24715" w:rsidRPr="009D1CA6">
        <w:rPr>
          <w:rFonts w:asciiTheme="majorBidi" w:hAnsiTheme="majorBidi" w:cstheme="majorBidi"/>
        </w:rPr>
        <w:t>categorized into</w:t>
      </w:r>
      <w:r w:rsidR="00110FF1" w:rsidRPr="009D1CA6">
        <w:rPr>
          <w:rFonts w:asciiTheme="majorBidi" w:hAnsiTheme="majorBidi" w:cstheme="majorBidi"/>
        </w:rPr>
        <w:t xml:space="preserve"> five groups (</w:t>
      </w:r>
      <w:r w:rsidR="00110FF1" w:rsidRPr="009D1CA6">
        <w:rPr>
          <w:rFonts w:asciiTheme="majorBidi" w:hAnsiTheme="majorBidi" w:cstheme="majorBidi"/>
          <w:color w:val="1C1D1E"/>
          <w:shd w:val="clear" w:color="auto" w:fill="FFFFFF"/>
        </w:rPr>
        <w:t xml:space="preserve">Hispanics “Mexican American and other Hispanics,” non‐Hispanic </w:t>
      </w:r>
      <w:r w:rsidR="00DE2947">
        <w:rPr>
          <w:rFonts w:asciiTheme="majorBidi" w:hAnsiTheme="majorBidi" w:cstheme="majorBidi"/>
          <w:color w:val="1C1D1E"/>
          <w:shd w:val="clear" w:color="auto" w:fill="FFFFFF"/>
        </w:rPr>
        <w:t>B</w:t>
      </w:r>
      <w:r w:rsidR="00110FF1" w:rsidRPr="009D1CA6">
        <w:rPr>
          <w:rFonts w:asciiTheme="majorBidi" w:hAnsiTheme="majorBidi" w:cstheme="majorBidi"/>
          <w:color w:val="1C1D1E"/>
          <w:shd w:val="clear" w:color="auto" w:fill="FFFFFF"/>
        </w:rPr>
        <w:t xml:space="preserve">lack, non‐Hispanic </w:t>
      </w:r>
      <w:r w:rsidR="00DE2947">
        <w:rPr>
          <w:rFonts w:asciiTheme="majorBidi" w:hAnsiTheme="majorBidi" w:cstheme="majorBidi"/>
          <w:color w:val="1C1D1E"/>
          <w:shd w:val="clear" w:color="auto" w:fill="FFFFFF"/>
        </w:rPr>
        <w:t>W</w:t>
      </w:r>
      <w:r w:rsidR="00110FF1" w:rsidRPr="009D1CA6">
        <w:rPr>
          <w:rFonts w:asciiTheme="majorBidi" w:hAnsiTheme="majorBidi" w:cstheme="majorBidi"/>
          <w:color w:val="1C1D1E"/>
          <w:shd w:val="clear" w:color="auto" w:fill="FFFFFF"/>
        </w:rPr>
        <w:t>hite and other races)</w:t>
      </w:r>
      <w:r w:rsidR="00F24715" w:rsidRPr="009D1CA6">
        <w:rPr>
          <w:rFonts w:asciiTheme="majorBidi" w:hAnsiTheme="majorBidi" w:cstheme="majorBidi"/>
          <w:color w:val="1C1D1E"/>
          <w:shd w:val="clear" w:color="auto" w:fill="FFFFFF"/>
        </w:rPr>
        <w:t xml:space="preserve">. Education was </w:t>
      </w:r>
      <w:r w:rsidR="001463DC">
        <w:rPr>
          <w:rFonts w:asciiTheme="majorBidi" w:hAnsiTheme="majorBidi" w:cstheme="majorBidi"/>
          <w:color w:val="1C1D1E"/>
          <w:shd w:val="clear" w:color="auto" w:fill="FFFFFF"/>
        </w:rPr>
        <w:t>grouped</w:t>
      </w:r>
      <w:r w:rsidR="001463DC" w:rsidRPr="009D1CA6">
        <w:rPr>
          <w:rFonts w:asciiTheme="majorBidi" w:hAnsiTheme="majorBidi" w:cstheme="majorBidi"/>
          <w:color w:val="1C1D1E"/>
          <w:shd w:val="clear" w:color="auto" w:fill="FFFFFF"/>
        </w:rPr>
        <w:t xml:space="preserve"> into</w:t>
      </w:r>
      <w:r w:rsidR="00B52493">
        <w:rPr>
          <w:rFonts w:asciiTheme="majorBidi" w:hAnsiTheme="majorBidi" w:cstheme="majorBidi"/>
          <w:color w:val="1C1D1E"/>
          <w:shd w:val="clear" w:color="auto" w:fill="FFFFFF"/>
        </w:rPr>
        <w:t xml:space="preserve"> </w:t>
      </w:r>
      <w:r w:rsidR="00F24715" w:rsidRPr="009D1CA6">
        <w:rPr>
          <w:rFonts w:asciiTheme="majorBidi" w:hAnsiTheme="majorBidi" w:cstheme="majorBidi"/>
          <w:color w:val="1C1D1E"/>
          <w:shd w:val="clear" w:color="auto" w:fill="FFFFFF"/>
        </w:rPr>
        <w:t>(less</w:t>
      </w:r>
      <w:r w:rsidR="00E7628E">
        <w:rPr>
          <w:rFonts w:asciiTheme="majorBidi" w:hAnsiTheme="majorBidi" w:cstheme="majorBidi"/>
          <w:color w:val="1C1D1E"/>
          <w:shd w:val="clear" w:color="auto" w:fill="FFFFFF"/>
        </w:rPr>
        <w:t xml:space="preserve"> than </w:t>
      </w:r>
      <w:r w:rsidR="00F24715" w:rsidRPr="009D1CA6">
        <w:rPr>
          <w:rFonts w:asciiTheme="majorBidi" w:hAnsiTheme="majorBidi" w:cstheme="majorBidi"/>
          <w:color w:val="1C1D1E"/>
          <w:shd w:val="clear" w:color="auto" w:fill="FFFFFF"/>
        </w:rPr>
        <w:t>12 years</w:t>
      </w:r>
      <w:r w:rsidR="00B16534">
        <w:rPr>
          <w:rFonts w:asciiTheme="majorBidi" w:hAnsiTheme="majorBidi" w:cstheme="majorBidi"/>
          <w:color w:val="1C1D1E"/>
          <w:shd w:val="clear" w:color="auto" w:fill="FFFFFF"/>
        </w:rPr>
        <w:t>,</w:t>
      </w:r>
      <w:r w:rsidR="00F24715" w:rsidRPr="009D1CA6">
        <w:rPr>
          <w:rFonts w:asciiTheme="majorBidi" w:hAnsiTheme="majorBidi" w:cstheme="majorBidi"/>
          <w:color w:val="1C1D1E"/>
          <w:shd w:val="clear" w:color="auto" w:fill="FFFFFF"/>
        </w:rPr>
        <w:t xml:space="preserve"> 12 years</w:t>
      </w:r>
      <w:r w:rsidR="00E7628E">
        <w:rPr>
          <w:rFonts w:asciiTheme="majorBidi" w:hAnsiTheme="majorBidi" w:cstheme="majorBidi"/>
          <w:color w:val="1C1D1E"/>
          <w:shd w:val="clear" w:color="auto" w:fill="FFFFFF"/>
        </w:rPr>
        <w:t xml:space="preserve"> of education</w:t>
      </w:r>
      <w:r w:rsidR="00F24715" w:rsidRPr="009D1CA6">
        <w:rPr>
          <w:rFonts w:asciiTheme="majorBidi" w:hAnsiTheme="majorBidi" w:cstheme="majorBidi"/>
          <w:color w:val="1C1D1E"/>
          <w:shd w:val="clear" w:color="auto" w:fill="FFFFFF"/>
        </w:rPr>
        <w:t xml:space="preserve"> and</w:t>
      </w:r>
      <w:r w:rsidR="00E7628E">
        <w:rPr>
          <w:rFonts w:asciiTheme="majorBidi" w:hAnsiTheme="majorBidi" w:cstheme="majorBidi"/>
          <w:color w:val="1C1D1E"/>
          <w:shd w:val="clear" w:color="auto" w:fill="FFFFFF"/>
        </w:rPr>
        <w:t xml:space="preserve"> more than 12 years of </w:t>
      </w:r>
      <w:r w:rsidR="002C4F29">
        <w:rPr>
          <w:rFonts w:asciiTheme="majorBidi" w:hAnsiTheme="majorBidi" w:cstheme="majorBidi"/>
          <w:color w:val="1C1D1E"/>
          <w:shd w:val="clear" w:color="auto" w:fill="FFFFFF"/>
        </w:rPr>
        <w:t>education</w:t>
      </w:r>
      <w:r w:rsidR="002C4F29" w:rsidRPr="009D1CA6">
        <w:rPr>
          <w:rFonts w:asciiTheme="majorBidi" w:hAnsiTheme="majorBidi" w:cstheme="majorBidi"/>
          <w:color w:val="1C1D1E"/>
          <w:shd w:val="clear" w:color="auto" w:fill="FFFFFF"/>
        </w:rPr>
        <w:t>)</w:t>
      </w:r>
      <w:r w:rsidR="00F24715" w:rsidRPr="009D1CA6">
        <w:rPr>
          <w:rFonts w:asciiTheme="majorBidi" w:hAnsiTheme="majorBidi" w:cstheme="majorBidi"/>
          <w:color w:val="1C1D1E"/>
          <w:shd w:val="clear" w:color="auto" w:fill="FFFFFF"/>
        </w:rPr>
        <w:t>. Poverty income ratio was used to indicate income and it was used as a continuous variable.</w:t>
      </w:r>
      <w:r w:rsidR="002C481D" w:rsidRPr="009D1CA6">
        <w:rPr>
          <w:rFonts w:asciiTheme="majorBidi" w:hAnsiTheme="majorBidi" w:cstheme="majorBidi"/>
          <w:color w:val="1C1D1E"/>
          <w:shd w:val="clear" w:color="auto" w:fill="FFFFFF"/>
        </w:rPr>
        <w:t xml:space="preserve"> </w:t>
      </w:r>
      <w:r w:rsidR="00B274F4" w:rsidRPr="009D1CA6">
        <w:rPr>
          <w:rFonts w:asciiTheme="majorBidi" w:hAnsiTheme="majorBidi" w:cstheme="majorBidi"/>
          <w:color w:val="1C1D1E"/>
          <w:shd w:val="clear" w:color="auto" w:fill="FFFFFF"/>
        </w:rPr>
        <w:t>Finally,</w:t>
      </w:r>
      <w:r w:rsidR="002C481D" w:rsidRPr="009D1CA6">
        <w:rPr>
          <w:rFonts w:asciiTheme="majorBidi" w:hAnsiTheme="majorBidi" w:cstheme="majorBidi"/>
          <w:color w:val="1C1D1E"/>
          <w:shd w:val="clear" w:color="auto" w:fill="FFFFFF"/>
        </w:rPr>
        <w:t xml:space="preserve"> smoking status </w:t>
      </w:r>
      <w:r w:rsidR="000C6A00" w:rsidRPr="009D1CA6">
        <w:rPr>
          <w:rFonts w:asciiTheme="majorBidi" w:hAnsiTheme="majorBidi" w:cstheme="majorBidi"/>
          <w:color w:val="1C1D1E"/>
          <w:shd w:val="clear" w:color="auto" w:fill="FFFFFF"/>
        </w:rPr>
        <w:t>was categorized into three groups</w:t>
      </w:r>
      <w:r w:rsidR="00F24715" w:rsidRPr="009D1CA6">
        <w:rPr>
          <w:rFonts w:asciiTheme="majorBidi" w:hAnsiTheme="majorBidi" w:cstheme="majorBidi"/>
          <w:color w:val="1C1D1E"/>
          <w:shd w:val="clear" w:color="auto" w:fill="FFFFFF"/>
        </w:rPr>
        <w:t xml:space="preserve"> </w:t>
      </w:r>
      <w:r w:rsidR="000C6A00" w:rsidRPr="009D1CA6">
        <w:rPr>
          <w:rFonts w:asciiTheme="majorBidi" w:hAnsiTheme="majorBidi" w:cstheme="majorBidi"/>
          <w:color w:val="1C1D1E"/>
          <w:shd w:val="clear" w:color="auto" w:fill="FFFFFF"/>
        </w:rPr>
        <w:t>(</w:t>
      </w:r>
      <w:r w:rsidR="00FC651A" w:rsidRPr="009D1CA6">
        <w:rPr>
          <w:rFonts w:asciiTheme="majorBidi" w:hAnsiTheme="majorBidi" w:cstheme="majorBidi"/>
          <w:color w:val="1C1D1E"/>
          <w:shd w:val="clear" w:color="auto" w:fill="FFFFFF"/>
        </w:rPr>
        <w:t xml:space="preserve">never smoker </w:t>
      </w:r>
      <w:r w:rsidR="00010605">
        <w:rPr>
          <w:rFonts w:asciiTheme="majorBidi" w:hAnsiTheme="majorBidi" w:cstheme="majorBidi"/>
          <w:color w:val="1C1D1E"/>
          <w:shd w:val="clear" w:color="auto" w:fill="FFFFFF"/>
        </w:rPr>
        <w:t>“</w:t>
      </w:r>
      <w:r w:rsidR="00FC651A" w:rsidRPr="009D1CA6">
        <w:rPr>
          <w:rFonts w:asciiTheme="majorBidi" w:hAnsiTheme="majorBidi" w:cstheme="majorBidi"/>
          <w:color w:val="1C1D1E"/>
          <w:shd w:val="clear" w:color="auto" w:fill="FFFFFF"/>
        </w:rPr>
        <w:t>smoked less than 100 cigarettes’’, previous smoker</w:t>
      </w:r>
      <w:r w:rsidR="00274696">
        <w:rPr>
          <w:rFonts w:asciiTheme="majorBidi" w:hAnsiTheme="majorBidi" w:cstheme="majorBidi"/>
          <w:color w:val="1C1D1E"/>
          <w:shd w:val="clear" w:color="auto" w:fill="FFFFFF"/>
        </w:rPr>
        <w:t>s</w:t>
      </w:r>
      <w:r w:rsidR="00FC651A" w:rsidRPr="009D1CA6">
        <w:rPr>
          <w:rFonts w:asciiTheme="majorBidi" w:hAnsiTheme="majorBidi" w:cstheme="majorBidi"/>
          <w:color w:val="1C1D1E"/>
          <w:shd w:val="clear" w:color="auto" w:fill="FFFFFF"/>
        </w:rPr>
        <w:t xml:space="preserve"> and current smoker</w:t>
      </w:r>
      <w:r w:rsidR="00274696">
        <w:rPr>
          <w:rFonts w:asciiTheme="majorBidi" w:hAnsiTheme="majorBidi" w:cstheme="majorBidi"/>
          <w:color w:val="1C1D1E"/>
          <w:shd w:val="clear" w:color="auto" w:fill="FFFFFF"/>
        </w:rPr>
        <w:t>s</w:t>
      </w:r>
      <w:r w:rsidR="00FC651A" w:rsidRPr="009D1CA6">
        <w:rPr>
          <w:rFonts w:asciiTheme="majorBidi" w:hAnsiTheme="majorBidi" w:cstheme="majorBidi"/>
          <w:color w:val="1C1D1E"/>
          <w:shd w:val="clear" w:color="auto" w:fill="FFFFFF"/>
        </w:rPr>
        <w:t>).</w:t>
      </w:r>
    </w:p>
    <w:p w14:paraId="20D5DB14" w14:textId="29069699" w:rsidR="00905FE1" w:rsidRPr="009D1CA6" w:rsidRDefault="00A5167C" w:rsidP="00C526F6">
      <w:pPr>
        <w:pStyle w:val="Heading3"/>
        <w:spacing w:line="480" w:lineRule="auto"/>
        <w:jc w:val="both"/>
      </w:pPr>
      <w:r w:rsidRPr="009D1CA6">
        <w:t xml:space="preserve">Statistical analysis: </w:t>
      </w:r>
    </w:p>
    <w:p w14:paraId="7CCC33E2" w14:textId="208DE779" w:rsidR="002075D1" w:rsidRPr="009D1CA6" w:rsidRDefault="004F2F27" w:rsidP="00C526F6">
      <w:pPr>
        <w:spacing w:line="480" w:lineRule="auto"/>
        <w:jc w:val="both"/>
        <w:rPr>
          <w:rFonts w:asciiTheme="majorBidi" w:hAnsiTheme="majorBidi" w:cstheme="majorBidi"/>
          <w:color w:val="1C1D1E"/>
          <w:shd w:val="clear" w:color="auto" w:fill="FFFFFF"/>
        </w:rPr>
      </w:pPr>
      <w:r>
        <w:rPr>
          <w:rFonts w:asciiTheme="majorBidi" w:hAnsiTheme="majorBidi" w:cstheme="majorBidi"/>
          <w:color w:val="1C1D1E"/>
          <w:shd w:val="clear" w:color="auto" w:fill="FFFFFF"/>
        </w:rPr>
        <w:t xml:space="preserve">Statistical </w:t>
      </w:r>
      <w:r w:rsidR="002075D1" w:rsidRPr="009D1CA6">
        <w:rPr>
          <w:rFonts w:asciiTheme="majorBidi" w:hAnsiTheme="majorBidi" w:cstheme="majorBidi"/>
          <w:color w:val="1C1D1E"/>
          <w:shd w:val="clear" w:color="auto" w:fill="FFFFFF"/>
        </w:rPr>
        <w:t xml:space="preserve">analyses were performed with </w:t>
      </w:r>
      <w:r w:rsidR="00796315">
        <w:rPr>
          <w:rFonts w:asciiTheme="majorBidi" w:hAnsiTheme="majorBidi" w:cstheme="majorBidi"/>
          <w:color w:val="1C1D1E"/>
          <w:shd w:val="clear" w:color="auto" w:fill="FFFFFF"/>
        </w:rPr>
        <w:t>Stata</w:t>
      </w:r>
      <w:r w:rsidR="002075D1" w:rsidRPr="009D1CA6">
        <w:rPr>
          <w:rFonts w:asciiTheme="majorBidi" w:hAnsiTheme="majorBidi" w:cstheme="majorBidi"/>
          <w:color w:val="1C1D1E"/>
          <w:shd w:val="clear" w:color="auto" w:fill="FFFFFF"/>
        </w:rPr>
        <w:t xml:space="preserve"> version </w:t>
      </w:r>
      <w:r w:rsidR="00E771B4">
        <w:rPr>
          <w:rFonts w:asciiTheme="majorBidi" w:hAnsiTheme="majorBidi" w:cstheme="majorBidi"/>
          <w:color w:val="1C1D1E"/>
          <w:shd w:val="clear" w:color="auto" w:fill="FFFFFF"/>
        </w:rPr>
        <w:t>16</w:t>
      </w:r>
      <w:r w:rsidR="002075D1" w:rsidRPr="009D1CA6">
        <w:rPr>
          <w:rFonts w:asciiTheme="majorBidi" w:hAnsiTheme="majorBidi" w:cstheme="majorBidi"/>
          <w:color w:val="1C1D1E"/>
          <w:shd w:val="clear" w:color="auto" w:fill="FFFFFF"/>
        </w:rPr>
        <w:t xml:space="preserve"> (StataCorp, College Station, TX, USA).</w:t>
      </w:r>
      <w:r w:rsidR="00E52E44" w:rsidRPr="009D1CA6">
        <w:rPr>
          <w:rFonts w:asciiTheme="majorBidi" w:hAnsiTheme="majorBidi" w:cstheme="majorBidi"/>
          <w:color w:val="1C1D1E"/>
          <w:shd w:val="clear" w:color="auto" w:fill="FFFFFF"/>
        </w:rPr>
        <w:t xml:space="preserve"> </w:t>
      </w:r>
      <w:r w:rsidR="008075DE">
        <w:rPr>
          <w:rFonts w:asciiTheme="majorBidi" w:hAnsiTheme="majorBidi" w:cstheme="majorBidi"/>
          <w:color w:val="1C1D1E"/>
          <w:shd w:val="clear" w:color="auto" w:fill="FFFFFF"/>
        </w:rPr>
        <w:t xml:space="preserve">Stata survey command was used </w:t>
      </w:r>
      <w:r w:rsidR="008075DE" w:rsidRPr="00C31BE3">
        <w:rPr>
          <w:rFonts w:asciiTheme="majorBidi" w:hAnsiTheme="majorBidi" w:cstheme="majorBidi"/>
          <w:color w:val="1C1D1E"/>
          <w:shd w:val="clear" w:color="auto" w:fill="FFFFFF"/>
        </w:rPr>
        <w:t xml:space="preserve">throughout the analysis. </w:t>
      </w:r>
      <w:r w:rsidR="00F9571F" w:rsidRPr="00C31BE3">
        <w:rPr>
          <w:rFonts w:asciiTheme="majorBidi" w:hAnsiTheme="majorBidi" w:cstheme="majorBidi"/>
          <w:color w:val="1C1D1E"/>
          <w:shd w:val="clear" w:color="auto" w:fill="FFFFFF"/>
        </w:rPr>
        <w:t>Descriptive</w:t>
      </w:r>
      <w:r w:rsidR="00F9571F" w:rsidRPr="009D1CA6">
        <w:rPr>
          <w:rFonts w:asciiTheme="majorBidi" w:hAnsiTheme="majorBidi" w:cstheme="majorBidi"/>
          <w:color w:val="1C1D1E"/>
          <w:shd w:val="clear" w:color="auto" w:fill="FFFFFF"/>
        </w:rPr>
        <w:t xml:space="preserve"> statistics were carried out stratified by frailty status.</w:t>
      </w:r>
      <w:r w:rsidR="00523F22" w:rsidRPr="009D1CA6">
        <w:rPr>
          <w:rFonts w:asciiTheme="majorBidi" w:hAnsiTheme="majorBidi" w:cstheme="majorBidi"/>
          <w:color w:val="1C1D1E"/>
          <w:shd w:val="clear" w:color="auto" w:fill="FFFFFF"/>
        </w:rPr>
        <w:t xml:space="preserve"> A frailty index cut-off point of 0.21 was assigned based on proposed cut-off scores </w:t>
      </w:r>
      <w:r w:rsidR="000F5FF4">
        <w:rPr>
          <w:rFonts w:asciiTheme="majorBidi" w:hAnsiTheme="majorBidi" w:cstheme="majorBidi"/>
          <w:color w:val="1C1D1E"/>
          <w:shd w:val="clear" w:color="auto" w:fill="FFFFFF"/>
        </w:rPr>
        <w:t xml:space="preserve">for </w:t>
      </w:r>
      <w:r w:rsidR="00503A58">
        <w:rPr>
          <w:rFonts w:asciiTheme="majorBidi" w:hAnsiTheme="majorBidi" w:cstheme="majorBidi"/>
          <w:color w:val="1C1D1E"/>
          <w:shd w:val="clear" w:color="auto" w:fill="FFFFFF"/>
        </w:rPr>
        <w:t>use in descriptive analysis</w:t>
      </w:r>
      <w:r w:rsidR="001D5944">
        <w:rPr>
          <w:rFonts w:asciiTheme="majorBidi" w:hAnsiTheme="majorBidi" w:cstheme="majorBidi"/>
          <w:color w:val="1C1D1E"/>
          <w:shd w:val="clear" w:color="auto" w:fill="FFFFFF"/>
        </w:rPr>
        <w:t>.</w:t>
      </w:r>
      <w:hyperlink w:anchor="_ENREF_22" w:tooltip="Blodgett, 2015 #105" w:history="1">
        <w:r w:rsidR="0036052C" w:rsidRPr="009D1CA6">
          <w:rPr>
            <w:rFonts w:asciiTheme="majorBidi" w:hAnsiTheme="majorBidi" w:cstheme="majorBidi"/>
            <w:color w:val="1C1D1E"/>
            <w:shd w:val="clear" w:color="auto" w:fill="FFFFFF"/>
          </w:rPr>
          <w:fldChar w:fldCharType="begin"/>
        </w:r>
        <w:r w:rsidR="0036052C">
          <w:rPr>
            <w:rFonts w:asciiTheme="majorBidi" w:hAnsiTheme="majorBidi" w:cstheme="majorBidi"/>
            <w:color w:val="1C1D1E"/>
            <w:shd w:val="clear" w:color="auto" w:fill="FFFFFF"/>
          </w:rPr>
          <w:instrText xml:space="preserve"> ADDIN EN.CITE &lt;EndNote&gt;&lt;Cite&gt;&lt;Author&gt;Blodgett&lt;/Author&gt;&lt;Year&gt;2015&lt;/Year&gt;&lt;RecNum&gt;105&lt;/RecNum&gt;&lt;DisplayText&gt;&lt;style face="superscript"&gt;22&lt;/style&gt;&lt;/DisplayText&gt;&lt;record&gt;&lt;rec-number&gt;105&lt;/rec-number&gt;&lt;foreign-keys&gt;&lt;key app="EN" db-id="rvxe0exprat2w9evvvvxwe2owzrpwfzpzzv5"&gt;105&lt;/key&gt;&lt;/foreign-keys&gt;&lt;ref-type name="Journal Article"&gt;17&lt;/ref-type&gt;&lt;contributors&gt;&lt;authors&gt;&lt;author&gt;Blodgett, Joanna&lt;/author&gt;&lt;author&gt;Theou, Olga&lt;/author&gt;&lt;author&gt;Kirkland, Susan&lt;/author&gt;&lt;author&gt;Andreou, Pantelis&lt;/author&gt;&lt;author&gt;Rockwood, Kenneth&lt;/author&gt;&lt;/authors&gt;&lt;/contributors&gt;&lt;titles&gt;&lt;title&gt;Frailty in NHANES: comparing the frailty index and phenotype&lt;/title&gt;&lt;secondary-title&gt;Archives of gerontology and geriatrics&lt;/secondary-title&gt;&lt;/titles&gt;&lt;periodical&gt;&lt;full-title&gt;Archives of gerontology and geriatrics&lt;/full-title&gt;&lt;/periodical&gt;&lt;pages&gt;464-470&lt;/pages&gt;&lt;volume&gt;60&lt;/volume&gt;&lt;number&gt;3&lt;/number&gt;&lt;dates&gt;&lt;year&gt;2015&lt;/year&gt;&lt;/dates&gt;&lt;isbn&gt;0167-4943&lt;/isbn&gt;&lt;urls&gt;&lt;/urls&gt;&lt;/record&gt;&lt;/Cite&gt;&lt;/EndNote&gt;</w:instrText>
        </w:r>
        <w:r w:rsidR="0036052C" w:rsidRPr="009D1CA6">
          <w:rPr>
            <w:rFonts w:asciiTheme="majorBidi" w:hAnsiTheme="majorBidi" w:cstheme="majorBidi"/>
            <w:color w:val="1C1D1E"/>
            <w:shd w:val="clear" w:color="auto" w:fill="FFFFFF"/>
          </w:rPr>
          <w:fldChar w:fldCharType="separate"/>
        </w:r>
        <w:r w:rsidR="0036052C" w:rsidRPr="0036052C">
          <w:rPr>
            <w:rFonts w:asciiTheme="majorBidi" w:hAnsiTheme="majorBidi" w:cstheme="majorBidi"/>
            <w:noProof/>
            <w:color w:val="1C1D1E"/>
            <w:shd w:val="clear" w:color="auto" w:fill="FFFFFF"/>
            <w:vertAlign w:val="superscript"/>
          </w:rPr>
          <w:t>22</w:t>
        </w:r>
        <w:r w:rsidR="0036052C" w:rsidRPr="009D1CA6">
          <w:rPr>
            <w:rFonts w:asciiTheme="majorBidi" w:hAnsiTheme="majorBidi" w:cstheme="majorBidi"/>
            <w:color w:val="1C1D1E"/>
            <w:shd w:val="clear" w:color="auto" w:fill="FFFFFF"/>
          </w:rPr>
          <w:fldChar w:fldCharType="end"/>
        </w:r>
      </w:hyperlink>
    </w:p>
    <w:p w14:paraId="7303D1AA" w14:textId="62E27824" w:rsidR="000A34FC" w:rsidRPr="009D1CA6" w:rsidRDefault="00EE1056" w:rsidP="00C526F6">
      <w:pPr>
        <w:spacing w:line="480" w:lineRule="auto"/>
        <w:jc w:val="both"/>
        <w:rPr>
          <w:rFonts w:asciiTheme="majorBidi" w:hAnsiTheme="majorBidi" w:cstheme="majorBidi"/>
        </w:rPr>
      </w:pPr>
      <w:r>
        <w:rPr>
          <w:rFonts w:asciiTheme="majorBidi" w:hAnsiTheme="majorBidi" w:cstheme="majorBidi"/>
        </w:rPr>
        <w:t>N</w:t>
      </w:r>
      <w:r w:rsidR="00C53C72">
        <w:rPr>
          <w:rFonts w:asciiTheme="majorBidi" w:hAnsiTheme="majorBidi" w:cstheme="majorBidi"/>
        </w:rPr>
        <w:t>egative binomial</w:t>
      </w:r>
      <w:r w:rsidR="0021372B" w:rsidRPr="009D1CA6">
        <w:rPr>
          <w:rFonts w:asciiTheme="majorBidi" w:hAnsiTheme="majorBidi" w:cstheme="majorBidi"/>
        </w:rPr>
        <w:t xml:space="preserve"> regression </w:t>
      </w:r>
      <w:r>
        <w:rPr>
          <w:rFonts w:asciiTheme="majorBidi" w:hAnsiTheme="majorBidi" w:cstheme="majorBidi"/>
        </w:rPr>
        <w:t>was used</w:t>
      </w:r>
      <w:r w:rsidRPr="009D1CA6">
        <w:rPr>
          <w:rFonts w:asciiTheme="majorBidi" w:hAnsiTheme="majorBidi" w:cstheme="majorBidi"/>
        </w:rPr>
        <w:t xml:space="preserve"> </w:t>
      </w:r>
      <w:r w:rsidR="0021372B" w:rsidRPr="009D1CA6">
        <w:rPr>
          <w:rFonts w:asciiTheme="majorBidi" w:hAnsiTheme="majorBidi" w:cstheme="majorBidi"/>
        </w:rPr>
        <w:t xml:space="preserve">to test the association between frailty index and </w:t>
      </w:r>
      <w:r w:rsidR="00DE2947">
        <w:rPr>
          <w:rFonts w:asciiTheme="majorBidi" w:hAnsiTheme="majorBidi" w:cstheme="majorBidi"/>
        </w:rPr>
        <w:t xml:space="preserve">each of the </w:t>
      </w:r>
      <w:r w:rsidR="0021372B" w:rsidRPr="009D1CA6">
        <w:rPr>
          <w:rFonts w:asciiTheme="majorBidi" w:hAnsiTheme="majorBidi" w:cstheme="majorBidi"/>
        </w:rPr>
        <w:t>oral health indicators</w:t>
      </w:r>
      <w:r>
        <w:rPr>
          <w:rFonts w:asciiTheme="majorBidi" w:hAnsiTheme="majorBidi" w:cstheme="majorBidi"/>
        </w:rPr>
        <w:t>,</w:t>
      </w:r>
      <w:r w:rsidR="00A65DC8">
        <w:rPr>
          <w:rFonts w:asciiTheme="majorBidi" w:hAnsiTheme="majorBidi" w:cstheme="majorBidi"/>
        </w:rPr>
        <w:t xml:space="preserve"> </w:t>
      </w:r>
      <w:r w:rsidR="00DE2947">
        <w:rPr>
          <w:rFonts w:asciiTheme="majorBidi" w:hAnsiTheme="majorBidi" w:cstheme="majorBidi"/>
        </w:rPr>
        <w:t>namely</w:t>
      </w:r>
      <w:r w:rsidR="004F570E">
        <w:rPr>
          <w:rFonts w:asciiTheme="majorBidi" w:hAnsiTheme="majorBidi" w:cstheme="majorBidi"/>
        </w:rPr>
        <w:t xml:space="preserve"> number of teeth (0-32)</w:t>
      </w:r>
      <w:r>
        <w:rPr>
          <w:rFonts w:asciiTheme="majorBidi" w:hAnsiTheme="majorBidi" w:cstheme="majorBidi"/>
        </w:rPr>
        <w:t xml:space="preserve"> and</w:t>
      </w:r>
      <w:r w:rsidR="004F570E">
        <w:rPr>
          <w:rFonts w:asciiTheme="majorBidi" w:hAnsiTheme="majorBidi" w:cstheme="majorBidi"/>
        </w:rPr>
        <w:t xml:space="preserve"> </w:t>
      </w:r>
      <w:r w:rsidR="002C4F29">
        <w:rPr>
          <w:rFonts w:asciiTheme="majorBidi" w:hAnsiTheme="majorBidi" w:cstheme="majorBidi"/>
        </w:rPr>
        <w:t>periodontitis (No</w:t>
      </w:r>
      <w:r w:rsidR="00440F89">
        <w:rPr>
          <w:rFonts w:asciiTheme="majorBidi" w:hAnsiTheme="majorBidi" w:cstheme="majorBidi"/>
        </w:rPr>
        <w:t xml:space="preserve">/Mild </w:t>
      </w:r>
      <w:r w:rsidR="00DE2947">
        <w:rPr>
          <w:rFonts w:asciiTheme="majorBidi" w:hAnsiTheme="majorBidi" w:cstheme="majorBidi"/>
        </w:rPr>
        <w:t>versus</w:t>
      </w:r>
      <w:r w:rsidR="00D00EE7">
        <w:rPr>
          <w:rFonts w:asciiTheme="majorBidi" w:hAnsiTheme="majorBidi" w:cstheme="majorBidi"/>
        </w:rPr>
        <w:t xml:space="preserve"> Moderate/Severe periodontitis</w:t>
      </w:r>
      <w:r w:rsidR="00440F89">
        <w:rPr>
          <w:rFonts w:asciiTheme="majorBidi" w:hAnsiTheme="majorBidi" w:cstheme="majorBidi"/>
        </w:rPr>
        <w:t>)</w:t>
      </w:r>
      <w:r w:rsidR="002D0AB8">
        <w:rPr>
          <w:rFonts w:asciiTheme="majorBidi" w:hAnsiTheme="majorBidi" w:cstheme="majorBidi"/>
        </w:rPr>
        <w:t xml:space="preserve">. </w:t>
      </w:r>
      <w:r w:rsidR="00F44AC8" w:rsidRPr="009D1CA6">
        <w:rPr>
          <w:rFonts w:asciiTheme="majorBidi" w:hAnsiTheme="majorBidi" w:cstheme="majorBidi"/>
        </w:rPr>
        <w:t xml:space="preserve">For each </w:t>
      </w:r>
      <w:r w:rsidR="00E479C0">
        <w:rPr>
          <w:rFonts w:asciiTheme="majorBidi" w:hAnsiTheme="majorBidi" w:cstheme="majorBidi"/>
        </w:rPr>
        <w:t xml:space="preserve">oral health </w:t>
      </w:r>
      <w:r w:rsidR="007266A3">
        <w:rPr>
          <w:rFonts w:asciiTheme="majorBidi" w:hAnsiTheme="majorBidi" w:cstheme="majorBidi"/>
        </w:rPr>
        <w:t>indicator</w:t>
      </w:r>
      <w:r w:rsidR="00F44AC8" w:rsidRPr="009D1CA6">
        <w:rPr>
          <w:rFonts w:asciiTheme="majorBidi" w:hAnsiTheme="majorBidi" w:cstheme="majorBidi"/>
        </w:rPr>
        <w:t xml:space="preserve"> three models were constructed, the first one was adjusted for age and </w:t>
      </w:r>
      <w:r w:rsidR="001F33DF">
        <w:rPr>
          <w:rFonts w:asciiTheme="majorBidi" w:hAnsiTheme="majorBidi" w:cstheme="majorBidi"/>
        </w:rPr>
        <w:t>gender</w:t>
      </w:r>
      <w:r w:rsidR="00F44AC8" w:rsidRPr="009D1CA6">
        <w:rPr>
          <w:rFonts w:asciiTheme="majorBidi" w:hAnsiTheme="majorBidi" w:cstheme="majorBidi"/>
        </w:rPr>
        <w:t xml:space="preserve">, the second was additionally adjusted </w:t>
      </w:r>
      <w:r w:rsidR="00796315">
        <w:rPr>
          <w:rFonts w:asciiTheme="majorBidi" w:hAnsiTheme="majorBidi" w:cstheme="majorBidi"/>
        </w:rPr>
        <w:t xml:space="preserve">for </w:t>
      </w:r>
      <w:r w:rsidR="00E479C0">
        <w:rPr>
          <w:rFonts w:asciiTheme="majorBidi" w:hAnsiTheme="majorBidi" w:cstheme="majorBidi"/>
        </w:rPr>
        <w:t xml:space="preserve">inadequate </w:t>
      </w:r>
      <w:r w:rsidR="001F33DF">
        <w:rPr>
          <w:rFonts w:asciiTheme="majorBidi" w:hAnsiTheme="majorBidi" w:cstheme="majorBidi"/>
        </w:rPr>
        <w:t xml:space="preserve">nutritional intake, and the third </w:t>
      </w:r>
      <w:r w:rsidR="00977001">
        <w:rPr>
          <w:rFonts w:asciiTheme="majorBidi" w:hAnsiTheme="majorBidi" w:cstheme="majorBidi"/>
        </w:rPr>
        <w:t xml:space="preserve">was additionally adjusted </w:t>
      </w:r>
      <w:r w:rsidR="00F44AC8" w:rsidRPr="009D1CA6">
        <w:rPr>
          <w:rFonts w:asciiTheme="majorBidi" w:hAnsiTheme="majorBidi" w:cstheme="majorBidi"/>
        </w:rPr>
        <w:t xml:space="preserve">for </w:t>
      </w:r>
      <w:r w:rsidR="00E479C0">
        <w:rPr>
          <w:rFonts w:asciiTheme="majorBidi" w:hAnsiTheme="majorBidi" w:cstheme="majorBidi"/>
        </w:rPr>
        <w:t>poverty</w:t>
      </w:r>
      <w:r w:rsidR="00E479C0" w:rsidRPr="009D1CA6">
        <w:rPr>
          <w:rFonts w:asciiTheme="majorBidi" w:hAnsiTheme="majorBidi" w:cstheme="majorBidi"/>
        </w:rPr>
        <w:t xml:space="preserve"> </w:t>
      </w:r>
      <w:r w:rsidR="00F44AC8" w:rsidRPr="009D1CA6">
        <w:rPr>
          <w:rFonts w:asciiTheme="majorBidi" w:hAnsiTheme="majorBidi" w:cstheme="majorBidi"/>
        </w:rPr>
        <w:t xml:space="preserve">income ratio, education, ethnicity and smoking. </w:t>
      </w:r>
      <w:r w:rsidR="008731BD">
        <w:rPr>
          <w:rFonts w:asciiTheme="majorBidi" w:hAnsiTheme="majorBidi" w:cstheme="majorBidi"/>
        </w:rPr>
        <w:t xml:space="preserve">To </w:t>
      </w:r>
      <w:r w:rsidR="00BD34D6">
        <w:rPr>
          <w:rFonts w:asciiTheme="majorBidi" w:hAnsiTheme="majorBidi" w:cstheme="majorBidi"/>
        </w:rPr>
        <w:t xml:space="preserve">yield integer values without changing the </w:t>
      </w:r>
      <w:r w:rsidR="00694197">
        <w:rPr>
          <w:rFonts w:asciiTheme="majorBidi" w:hAnsiTheme="majorBidi" w:cstheme="majorBidi"/>
        </w:rPr>
        <w:t>distribution</w:t>
      </w:r>
      <w:r w:rsidR="00BD34D6">
        <w:rPr>
          <w:rFonts w:asciiTheme="majorBidi" w:hAnsiTheme="majorBidi" w:cstheme="majorBidi"/>
        </w:rPr>
        <w:t xml:space="preserve">, the frailty index was multiplied </w:t>
      </w:r>
      <w:r w:rsidR="00694197">
        <w:rPr>
          <w:rFonts w:asciiTheme="majorBidi" w:hAnsiTheme="majorBidi" w:cstheme="majorBidi"/>
        </w:rPr>
        <w:t>by 100.</w:t>
      </w:r>
      <w:r w:rsidR="0069284C">
        <w:rPr>
          <w:rFonts w:asciiTheme="majorBidi" w:hAnsiTheme="majorBidi" w:cstheme="majorBidi"/>
        </w:rPr>
        <w:t xml:space="preserve"> </w:t>
      </w:r>
      <w:r w:rsidR="00BD4871">
        <w:rPr>
          <w:rFonts w:asciiTheme="majorBidi" w:hAnsiTheme="majorBidi" w:cstheme="majorBidi"/>
        </w:rPr>
        <w:t xml:space="preserve">To </w:t>
      </w:r>
      <w:r w:rsidR="00744CCC">
        <w:rPr>
          <w:rFonts w:asciiTheme="majorBidi" w:hAnsiTheme="majorBidi" w:cstheme="majorBidi"/>
        </w:rPr>
        <w:t>test</w:t>
      </w:r>
      <w:r>
        <w:rPr>
          <w:rFonts w:asciiTheme="majorBidi" w:hAnsiTheme="majorBidi" w:cstheme="majorBidi"/>
        </w:rPr>
        <w:t xml:space="preserve"> the potential mediating role of nutritional intake and oral health</w:t>
      </w:r>
      <w:r w:rsidR="00264675">
        <w:rPr>
          <w:rFonts w:asciiTheme="majorBidi" w:hAnsiTheme="majorBidi" w:cstheme="majorBidi"/>
        </w:rPr>
        <w:t>,</w:t>
      </w:r>
      <w:hyperlink w:anchor="_ENREF_23" w:tooltip="VanderWeele, 2016 #203"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&lt;EndNote&gt;&lt;Cite&gt;&lt;Author&gt;VanderWeele&lt;/Author&gt;&lt;Year&gt;2016&lt;/Year&gt;&lt;RecNum&gt;203&lt;/RecNum&gt;&lt;DisplayText&gt;&lt;style face="superscript"&gt;23&lt;/style&gt;&lt;/DisplayText&gt;&lt;record&gt;&lt;rec-number&gt;203&lt;/rec-number&gt;&lt;foreign-keys&gt;&lt;key app="EN" db-id="90pv252x7xpz25etx2i5affuwe2ffaptfsvz" timestamp="1594208179"&gt;203&lt;/key&gt;&lt;/foreign-keys&gt;&lt;ref-type name="Journal Article"&gt;17&lt;/ref-type&gt;&lt;contributors&gt;&lt;authors&gt;&lt;author&gt;VanderWeele, Tyler J&lt;/author&gt;&lt;/authors&gt;&lt;/contributors&gt;&lt;titles&gt;&lt;title&gt;Mediation analysis: a practitioner&amp;apos;s guide&lt;/title&gt;&lt;secondary-title&gt;Annual review of public health&lt;/secondary-title&gt;&lt;/titles&gt;&lt;periodical&gt;&lt;full-title&gt;Annual review of public health&lt;/full-title&gt;&lt;/periodical&gt;&lt;pages&gt;17-32&lt;/pages&gt;&lt;volume&gt;37&lt;/volume&gt;&lt;dates&gt;&lt;year&gt;2016&lt;/year&gt;&lt;/dates&gt;&lt;isbn&gt;0163-7525&lt;/isbn&gt;&lt;urls&gt;&lt;/urls&gt;&lt;/record&gt;&lt;/Cite&gt;&lt;/EndNote&gt;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23</w:t>
        </w:r>
        <w:r w:rsidR="0036052C">
          <w:rPr>
            <w:rFonts w:asciiTheme="majorBidi" w:hAnsiTheme="majorBidi" w:cstheme="majorBidi"/>
          </w:rPr>
          <w:fldChar w:fldCharType="end"/>
        </w:r>
      </w:hyperlink>
      <w:r w:rsidR="00744CCC">
        <w:rPr>
          <w:rFonts w:asciiTheme="majorBidi" w:hAnsiTheme="majorBidi" w:cstheme="majorBidi"/>
        </w:rPr>
        <w:t xml:space="preserve"> </w:t>
      </w:r>
      <w:r w:rsidR="00BD4871">
        <w:rPr>
          <w:rFonts w:asciiTheme="majorBidi" w:hAnsiTheme="majorBidi" w:cstheme="majorBidi"/>
        </w:rPr>
        <w:t>the</w:t>
      </w:r>
      <w:r w:rsidR="000A34FC">
        <w:rPr>
          <w:rFonts w:asciiTheme="majorBidi" w:hAnsiTheme="majorBidi" w:cstheme="majorBidi"/>
        </w:rPr>
        <w:t xml:space="preserve"> association between </w:t>
      </w:r>
      <w:r w:rsidR="00387632">
        <w:rPr>
          <w:rFonts w:asciiTheme="majorBidi" w:hAnsiTheme="majorBidi" w:cstheme="majorBidi"/>
        </w:rPr>
        <w:t xml:space="preserve">inadequate </w:t>
      </w:r>
      <w:r w:rsidR="00843835">
        <w:rPr>
          <w:rFonts w:asciiTheme="majorBidi" w:hAnsiTheme="majorBidi" w:cstheme="majorBidi"/>
        </w:rPr>
        <w:t>nutritional</w:t>
      </w:r>
      <w:r w:rsidR="00F3587F">
        <w:rPr>
          <w:rFonts w:asciiTheme="majorBidi" w:hAnsiTheme="majorBidi" w:cstheme="majorBidi"/>
        </w:rPr>
        <w:t xml:space="preserve"> intake and oral health</w:t>
      </w:r>
      <w:r>
        <w:rPr>
          <w:rFonts w:asciiTheme="majorBidi" w:hAnsiTheme="majorBidi" w:cstheme="majorBidi"/>
        </w:rPr>
        <w:t xml:space="preserve"> was examined using </w:t>
      </w:r>
      <w:r w:rsidR="00F3587F">
        <w:rPr>
          <w:rFonts w:asciiTheme="majorBidi" w:hAnsiTheme="majorBidi" w:cstheme="majorBidi"/>
        </w:rPr>
        <w:t>negative binomial regression models</w:t>
      </w:r>
      <w:r w:rsidR="00BD4871">
        <w:rPr>
          <w:rFonts w:asciiTheme="majorBidi" w:hAnsiTheme="majorBidi" w:cstheme="majorBidi"/>
        </w:rPr>
        <w:t xml:space="preserve"> </w:t>
      </w:r>
      <w:r w:rsidR="00933975">
        <w:rPr>
          <w:rFonts w:asciiTheme="majorBidi" w:hAnsiTheme="majorBidi" w:cstheme="majorBidi"/>
        </w:rPr>
        <w:t>adjusted for age and gender.</w:t>
      </w:r>
    </w:p>
    <w:p w14:paraId="2BF84C83" w14:textId="679AE64B" w:rsidR="00D604A8" w:rsidRDefault="00D604A8" w:rsidP="00C526F6">
      <w:pPr>
        <w:spacing w:line="480" w:lineRule="auto"/>
        <w:jc w:val="both"/>
      </w:pPr>
    </w:p>
    <w:p w14:paraId="3C81AC47" w14:textId="0E5B9910" w:rsidR="002515CA" w:rsidRPr="00C92956" w:rsidRDefault="001368A2" w:rsidP="00C526F6">
      <w:pPr>
        <w:pStyle w:val="Heading3"/>
        <w:spacing w:line="480" w:lineRule="auto"/>
        <w:rPr>
          <w:i/>
          <w:iCs/>
        </w:rPr>
      </w:pPr>
      <w:r w:rsidRPr="00C92956">
        <w:rPr>
          <w:i/>
          <w:iCs/>
        </w:rPr>
        <w:lastRenderedPageBreak/>
        <w:t xml:space="preserve">Results: </w:t>
      </w:r>
    </w:p>
    <w:p w14:paraId="066E8B39" w14:textId="5A830881" w:rsidR="00191CDB" w:rsidRDefault="004F570E" w:rsidP="00C526F6">
      <w:pPr>
        <w:shd w:val="clear" w:color="auto" w:fill="FFFFFF"/>
        <w:spacing w:line="480" w:lineRule="auto"/>
        <w:jc w:val="both"/>
        <w:rPr>
          <w:rFonts w:asciiTheme="majorBidi" w:hAnsiTheme="majorBidi" w:cstheme="majorBidi"/>
        </w:rPr>
      </w:pPr>
      <w:r w:rsidRPr="00C92956">
        <w:rPr>
          <w:rFonts w:asciiTheme="majorBidi" w:hAnsiTheme="majorBidi" w:cstheme="majorBidi"/>
        </w:rPr>
        <w:t xml:space="preserve">Among </w:t>
      </w:r>
      <w:r w:rsidR="00431540" w:rsidRPr="00C92956">
        <w:rPr>
          <w:rFonts w:asciiTheme="majorBidi" w:hAnsiTheme="majorBidi" w:cstheme="majorBidi"/>
        </w:rPr>
        <w:t>study</w:t>
      </w:r>
      <w:r w:rsidRPr="00C92956">
        <w:rPr>
          <w:rFonts w:asciiTheme="majorBidi" w:hAnsiTheme="majorBidi" w:cstheme="majorBidi"/>
        </w:rPr>
        <w:t xml:space="preserve"> </w:t>
      </w:r>
      <w:r w:rsidRPr="00724DF5">
        <w:rPr>
          <w:rFonts w:asciiTheme="majorBidi" w:hAnsiTheme="majorBidi" w:cstheme="majorBidi"/>
        </w:rPr>
        <w:t>participants, 3</w:t>
      </w:r>
      <w:r w:rsidR="00431540" w:rsidRPr="00724DF5">
        <w:rPr>
          <w:rFonts w:asciiTheme="majorBidi" w:hAnsiTheme="majorBidi" w:cstheme="majorBidi"/>
        </w:rPr>
        <w:t>8</w:t>
      </w:r>
      <w:r w:rsidRPr="00724DF5">
        <w:rPr>
          <w:rFonts w:asciiTheme="majorBidi" w:hAnsiTheme="majorBidi" w:cstheme="majorBidi"/>
        </w:rPr>
        <w:t>.</w:t>
      </w:r>
      <w:r w:rsidR="00431540" w:rsidRPr="00724DF5">
        <w:rPr>
          <w:rFonts w:asciiTheme="majorBidi" w:hAnsiTheme="majorBidi" w:cstheme="majorBidi"/>
        </w:rPr>
        <w:t>7% (95% CI 35.3 – 42.2)</w:t>
      </w:r>
      <w:r w:rsidRPr="00724DF5">
        <w:rPr>
          <w:rFonts w:asciiTheme="majorBidi" w:hAnsiTheme="majorBidi" w:cstheme="majorBidi"/>
        </w:rPr>
        <w:t xml:space="preserve"> were frail. The mean age for frail and non-frail participants were </w:t>
      </w:r>
      <w:r w:rsidR="00431540" w:rsidRPr="00724DF5">
        <w:rPr>
          <w:rFonts w:asciiTheme="majorBidi" w:hAnsiTheme="majorBidi" w:cstheme="majorBidi"/>
        </w:rPr>
        <w:t>67.9 (95% CI 67.4 – 68.4)</w:t>
      </w:r>
      <w:r w:rsidRPr="00724DF5">
        <w:rPr>
          <w:rFonts w:asciiTheme="majorBidi" w:hAnsiTheme="majorBidi" w:cstheme="majorBidi"/>
        </w:rPr>
        <w:t xml:space="preserve"> and</w:t>
      </w:r>
      <w:r w:rsidR="00191CDB" w:rsidRPr="00724DF5">
        <w:rPr>
          <w:rFonts w:asciiTheme="majorBidi" w:hAnsiTheme="majorBidi" w:cstheme="majorBidi"/>
        </w:rPr>
        <w:t xml:space="preserve"> </w:t>
      </w:r>
      <w:r w:rsidR="00431540" w:rsidRPr="00724DF5">
        <w:rPr>
          <w:rFonts w:asciiTheme="majorBidi" w:hAnsiTheme="majorBidi" w:cstheme="majorBidi"/>
        </w:rPr>
        <w:t>71 years (95% CI 70.3 – 71.6</w:t>
      </w:r>
      <w:r w:rsidR="00C92956" w:rsidRPr="00724DF5">
        <w:rPr>
          <w:rFonts w:asciiTheme="majorBidi" w:hAnsiTheme="majorBidi" w:cstheme="majorBidi"/>
        </w:rPr>
        <w:t>),</w:t>
      </w:r>
      <w:r w:rsidR="00191CDB" w:rsidRPr="00724DF5">
        <w:rPr>
          <w:rFonts w:asciiTheme="majorBidi" w:hAnsiTheme="majorBidi" w:cstheme="majorBidi"/>
        </w:rPr>
        <w:t xml:space="preserve"> respectively. </w:t>
      </w:r>
      <w:r w:rsidR="00E479C0" w:rsidRPr="00724DF5">
        <w:rPr>
          <w:rFonts w:asciiTheme="majorBidi" w:hAnsiTheme="majorBidi" w:cstheme="majorBidi"/>
        </w:rPr>
        <w:t>F</w:t>
      </w:r>
      <w:r w:rsidR="00191CDB" w:rsidRPr="00724DF5">
        <w:rPr>
          <w:rFonts w:asciiTheme="majorBidi" w:hAnsiTheme="majorBidi" w:cstheme="majorBidi"/>
        </w:rPr>
        <w:t xml:space="preserve">rail participants </w:t>
      </w:r>
      <w:r w:rsidR="00E479C0" w:rsidRPr="00724DF5">
        <w:rPr>
          <w:rFonts w:asciiTheme="majorBidi" w:hAnsiTheme="majorBidi" w:cstheme="majorBidi"/>
        </w:rPr>
        <w:t xml:space="preserve">had </w:t>
      </w:r>
      <w:r w:rsidR="00191CDB" w:rsidRPr="00724DF5">
        <w:rPr>
          <w:rFonts w:asciiTheme="majorBidi" w:hAnsiTheme="majorBidi" w:cstheme="majorBidi"/>
        </w:rPr>
        <w:t xml:space="preserve">higher </w:t>
      </w:r>
      <w:r w:rsidR="00E479C0" w:rsidRPr="00724DF5">
        <w:rPr>
          <w:rFonts w:asciiTheme="majorBidi" w:hAnsiTheme="majorBidi" w:cstheme="majorBidi"/>
        </w:rPr>
        <w:t xml:space="preserve">percentage </w:t>
      </w:r>
      <w:r w:rsidR="00191CDB" w:rsidRPr="00724DF5">
        <w:rPr>
          <w:rFonts w:asciiTheme="majorBidi" w:hAnsiTheme="majorBidi" w:cstheme="majorBidi"/>
        </w:rPr>
        <w:t xml:space="preserve">of current and previous smokers, and </w:t>
      </w:r>
      <w:r w:rsidR="00E479C0" w:rsidRPr="00724DF5">
        <w:rPr>
          <w:rFonts w:asciiTheme="majorBidi" w:hAnsiTheme="majorBidi" w:cstheme="majorBidi"/>
        </w:rPr>
        <w:t xml:space="preserve">lower percentage </w:t>
      </w:r>
      <w:r w:rsidR="00191CDB" w:rsidRPr="00724DF5">
        <w:rPr>
          <w:rFonts w:asciiTheme="majorBidi" w:hAnsiTheme="majorBidi" w:cstheme="majorBidi"/>
        </w:rPr>
        <w:t xml:space="preserve">of </w:t>
      </w:r>
      <w:r w:rsidR="00E479C0" w:rsidRPr="00724DF5">
        <w:rPr>
          <w:rFonts w:asciiTheme="majorBidi" w:hAnsiTheme="majorBidi" w:cstheme="majorBidi"/>
        </w:rPr>
        <w:t xml:space="preserve">high education </w:t>
      </w:r>
      <w:r w:rsidR="00191CDB" w:rsidRPr="00724DF5">
        <w:rPr>
          <w:rFonts w:asciiTheme="majorBidi" w:hAnsiTheme="majorBidi" w:cstheme="majorBidi"/>
        </w:rPr>
        <w:t xml:space="preserve">(more than 12 years) and </w:t>
      </w:r>
      <w:r w:rsidR="00E479C0" w:rsidRPr="00724DF5">
        <w:rPr>
          <w:rFonts w:asciiTheme="majorBidi" w:hAnsiTheme="majorBidi" w:cstheme="majorBidi"/>
        </w:rPr>
        <w:t>lower poverty-income ratios</w:t>
      </w:r>
      <w:r w:rsidR="00191CDB" w:rsidRPr="00724DF5">
        <w:rPr>
          <w:rFonts w:asciiTheme="majorBidi" w:hAnsiTheme="majorBidi" w:cstheme="majorBidi"/>
        </w:rPr>
        <w:t xml:space="preserve">. </w:t>
      </w:r>
      <w:r w:rsidR="009B5BAD" w:rsidRPr="00724DF5">
        <w:rPr>
          <w:rFonts w:asciiTheme="majorBidi" w:hAnsiTheme="majorBidi" w:cstheme="majorBidi"/>
        </w:rPr>
        <w:t xml:space="preserve">Frail </w:t>
      </w:r>
      <w:r w:rsidR="0003704D" w:rsidRPr="00724DF5">
        <w:rPr>
          <w:rFonts w:asciiTheme="majorBidi" w:hAnsiTheme="majorBidi" w:cstheme="majorBidi"/>
        </w:rPr>
        <w:t>individuals</w:t>
      </w:r>
      <w:r w:rsidR="009B5BAD" w:rsidRPr="00724DF5">
        <w:rPr>
          <w:rFonts w:asciiTheme="majorBidi" w:hAnsiTheme="majorBidi" w:cstheme="majorBidi"/>
        </w:rPr>
        <w:t xml:space="preserve"> had a higher </w:t>
      </w:r>
      <w:r w:rsidR="0003704D" w:rsidRPr="00724DF5">
        <w:rPr>
          <w:rFonts w:asciiTheme="majorBidi" w:hAnsiTheme="majorBidi" w:cstheme="majorBidi"/>
        </w:rPr>
        <w:t>mean of</w:t>
      </w:r>
      <w:r w:rsidR="00E274F4" w:rsidRPr="00724DF5">
        <w:rPr>
          <w:rFonts w:asciiTheme="majorBidi" w:hAnsiTheme="majorBidi" w:cstheme="majorBidi"/>
        </w:rPr>
        <w:t xml:space="preserve"> inadequate</w:t>
      </w:r>
      <w:r w:rsidR="0003704D" w:rsidRPr="00724DF5">
        <w:rPr>
          <w:rFonts w:asciiTheme="majorBidi" w:hAnsiTheme="majorBidi" w:cstheme="majorBidi"/>
        </w:rPr>
        <w:t xml:space="preserve"> nutritional intake</w:t>
      </w:r>
      <w:r w:rsidR="00C92956" w:rsidRPr="00724DF5">
        <w:rPr>
          <w:rFonts w:asciiTheme="majorBidi" w:hAnsiTheme="majorBidi" w:cstheme="majorBidi"/>
        </w:rPr>
        <w:t xml:space="preserve"> 8.5 (95% CI 7.3 – 8.6)</w:t>
      </w:r>
      <w:r w:rsidR="00E14916" w:rsidRPr="00724DF5">
        <w:rPr>
          <w:rFonts w:asciiTheme="majorBidi" w:hAnsiTheme="majorBidi" w:cstheme="majorBidi"/>
        </w:rPr>
        <w:t xml:space="preserve">. </w:t>
      </w:r>
      <w:r w:rsidR="0014745D" w:rsidRPr="00724DF5">
        <w:rPr>
          <w:rFonts w:asciiTheme="majorBidi" w:hAnsiTheme="majorBidi" w:cstheme="majorBidi"/>
        </w:rPr>
        <w:t>T</w:t>
      </w:r>
      <w:r w:rsidR="00842995" w:rsidRPr="00724DF5">
        <w:rPr>
          <w:rFonts w:asciiTheme="majorBidi" w:hAnsiTheme="majorBidi" w:cstheme="majorBidi"/>
        </w:rPr>
        <w:t xml:space="preserve">he mean number of teeth was </w:t>
      </w:r>
      <w:r w:rsidR="00C92956" w:rsidRPr="00724DF5">
        <w:rPr>
          <w:rFonts w:asciiTheme="majorBidi" w:hAnsiTheme="majorBidi" w:cstheme="majorBidi"/>
        </w:rPr>
        <w:t xml:space="preserve">14.8 (95% CI 13.5 – 16.0) </w:t>
      </w:r>
      <w:r w:rsidR="00842995" w:rsidRPr="00724DF5">
        <w:rPr>
          <w:rFonts w:asciiTheme="majorBidi" w:hAnsiTheme="majorBidi" w:cstheme="majorBidi"/>
        </w:rPr>
        <w:t xml:space="preserve">and </w:t>
      </w:r>
      <w:r w:rsidR="00C92956" w:rsidRPr="00724DF5">
        <w:rPr>
          <w:rFonts w:asciiTheme="majorBidi" w:hAnsiTheme="majorBidi" w:cstheme="majorBidi"/>
        </w:rPr>
        <w:t xml:space="preserve">20.7 (95% CI 20.1 – 21.3) </w:t>
      </w:r>
      <w:r w:rsidR="00842995" w:rsidRPr="00724DF5">
        <w:rPr>
          <w:rFonts w:asciiTheme="majorBidi" w:hAnsiTheme="majorBidi" w:cstheme="majorBidi"/>
        </w:rPr>
        <w:t xml:space="preserve">for frail and non-frail </w:t>
      </w:r>
      <w:r w:rsidR="00CB4C02" w:rsidRPr="00724DF5">
        <w:rPr>
          <w:rFonts w:asciiTheme="majorBidi" w:hAnsiTheme="majorBidi" w:cstheme="majorBidi"/>
        </w:rPr>
        <w:t>older adults</w:t>
      </w:r>
      <w:r w:rsidR="00842995" w:rsidRPr="00724DF5">
        <w:rPr>
          <w:rFonts w:asciiTheme="majorBidi" w:hAnsiTheme="majorBidi" w:cstheme="majorBidi"/>
        </w:rPr>
        <w:t>, respectively</w:t>
      </w:r>
      <w:r w:rsidR="00C92956" w:rsidRPr="00724DF5">
        <w:rPr>
          <w:rFonts w:asciiTheme="majorBidi" w:hAnsiTheme="majorBidi" w:cstheme="majorBidi"/>
        </w:rPr>
        <w:t xml:space="preserve">. </w:t>
      </w:r>
      <w:r w:rsidR="003A18DB" w:rsidRPr="00724DF5">
        <w:rPr>
          <w:rFonts w:asciiTheme="majorBidi" w:hAnsiTheme="majorBidi" w:cstheme="majorBidi"/>
        </w:rPr>
        <w:t xml:space="preserve">As fewer participants were included in periodontal assessment, the analysis pertaining to periodontitis only included 1,884 </w:t>
      </w:r>
      <w:r w:rsidR="00C92956" w:rsidRPr="00724DF5">
        <w:rPr>
          <w:rFonts w:asciiTheme="majorBidi" w:hAnsiTheme="majorBidi" w:cstheme="majorBidi"/>
        </w:rPr>
        <w:t>participants (Table 1).</w:t>
      </w:r>
    </w:p>
    <w:p w14:paraId="30D4DFC8" w14:textId="1B336040" w:rsidR="000F7598" w:rsidRDefault="00191CDB" w:rsidP="00C526F6">
      <w:pPr>
        <w:shd w:val="clear" w:color="auto" w:fill="FFFFFF"/>
        <w:spacing w:line="480" w:lineRule="auto"/>
        <w:jc w:val="both"/>
        <w:rPr>
          <w:rFonts w:asciiTheme="majorBidi" w:hAnsiTheme="majorBidi" w:cstheme="majorBidi"/>
        </w:rPr>
      </w:pPr>
      <w:r>
        <w:rPr>
          <w:rFonts w:asciiTheme="majorBidi" w:hAnsiTheme="majorBidi" w:cstheme="majorBidi"/>
        </w:rPr>
        <w:t>The association between frailty</w:t>
      </w:r>
      <w:r w:rsidR="00A7318F">
        <w:rPr>
          <w:rFonts w:asciiTheme="majorBidi" w:hAnsiTheme="majorBidi" w:cstheme="majorBidi"/>
        </w:rPr>
        <w:t xml:space="preserve"> index</w:t>
      </w:r>
      <w:r>
        <w:rPr>
          <w:rFonts w:asciiTheme="majorBidi" w:hAnsiTheme="majorBidi" w:cstheme="majorBidi"/>
        </w:rPr>
        <w:t xml:space="preserve"> and </w:t>
      </w:r>
      <w:r w:rsidR="00185900">
        <w:rPr>
          <w:rFonts w:asciiTheme="majorBidi" w:hAnsiTheme="majorBidi" w:cstheme="majorBidi"/>
        </w:rPr>
        <w:t>number of teeth</w:t>
      </w:r>
      <w:r>
        <w:rPr>
          <w:rFonts w:asciiTheme="majorBidi" w:hAnsiTheme="majorBidi" w:cstheme="majorBidi"/>
        </w:rPr>
        <w:t xml:space="preserve"> is presented in Table 2. In </w:t>
      </w:r>
      <w:r w:rsidR="00185900">
        <w:rPr>
          <w:rFonts w:asciiTheme="majorBidi" w:hAnsiTheme="majorBidi" w:cstheme="majorBidi"/>
        </w:rPr>
        <w:t>the first mode</w:t>
      </w:r>
      <w:r w:rsidR="00C329F3">
        <w:rPr>
          <w:rFonts w:asciiTheme="majorBidi" w:hAnsiTheme="majorBidi" w:cstheme="majorBidi"/>
        </w:rPr>
        <w:t>l</w:t>
      </w:r>
      <w:r w:rsidR="007475DC">
        <w:rPr>
          <w:rFonts w:asciiTheme="majorBidi" w:hAnsiTheme="majorBidi" w:cstheme="majorBidi"/>
        </w:rPr>
        <w:t xml:space="preserve">, </w:t>
      </w:r>
      <w:r w:rsidR="00F52FA9">
        <w:rPr>
          <w:rFonts w:asciiTheme="majorBidi" w:hAnsiTheme="majorBidi" w:cstheme="majorBidi"/>
        </w:rPr>
        <w:t xml:space="preserve">for each additional tooth the rate ratio </w:t>
      </w:r>
      <w:r w:rsidR="00E274F4">
        <w:rPr>
          <w:rFonts w:asciiTheme="majorBidi" w:hAnsiTheme="majorBidi" w:cstheme="majorBidi"/>
        </w:rPr>
        <w:t xml:space="preserve">(RR) </w:t>
      </w:r>
      <w:r w:rsidR="0014745D">
        <w:rPr>
          <w:rFonts w:asciiTheme="majorBidi" w:hAnsiTheme="majorBidi" w:cstheme="majorBidi"/>
        </w:rPr>
        <w:t xml:space="preserve">for frailty </w:t>
      </w:r>
      <w:r w:rsidR="0033597C">
        <w:rPr>
          <w:rFonts w:asciiTheme="majorBidi" w:hAnsiTheme="majorBidi" w:cstheme="majorBidi"/>
        </w:rPr>
        <w:t>decreased to</w:t>
      </w:r>
      <w:r w:rsidR="006E59EF">
        <w:rPr>
          <w:rFonts w:asciiTheme="majorBidi" w:hAnsiTheme="majorBidi" w:cstheme="majorBidi"/>
        </w:rPr>
        <w:t xml:space="preserve"> 0.98</w:t>
      </w:r>
      <w:r w:rsidR="00F52FA9">
        <w:rPr>
          <w:rFonts w:asciiTheme="majorBidi" w:hAnsiTheme="majorBidi" w:cstheme="majorBidi"/>
        </w:rPr>
        <w:t xml:space="preserve"> </w:t>
      </w:r>
      <w:r w:rsidR="007475DC">
        <w:rPr>
          <w:rFonts w:asciiTheme="majorBidi" w:hAnsiTheme="majorBidi" w:cstheme="majorBidi"/>
        </w:rPr>
        <w:t xml:space="preserve">(95% CI </w:t>
      </w:r>
      <w:r w:rsidR="00A74D32">
        <w:rPr>
          <w:rFonts w:asciiTheme="majorBidi" w:hAnsiTheme="majorBidi" w:cstheme="majorBidi"/>
        </w:rPr>
        <w:t>0.97 – 0.99</w:t>
      </w:r>
      <w:r w:rsidR="007475DC">
        <w:rPr>
          <w:rFonts w:asciiTheme="majorBidi" w:hAnsiTheme="majorBidi" w:cstheme="majorBidi"/>
        </w:rPr>
        <w:t>)</w:t>
      </w:r>
      <w:r w:rsidR="00C329F3">
        <w:rPr>
          <w:rFonts w:asciiTheme="majorBidi" w:hAnsiTheme="majorBidi" w:cstheme="majorBidi"/>
        </w:rPr>
        <w:t xml:space="preserve">. After adjusting for </w:t>
      </w:r>
      <w:r w:rsidR="00186309">
        <w:rPr>
          <w:rFonts w:asciiTheme="majorBidi" w:hAnsiTheme="majorBidi" w:cstheme="majorBidi"/>
        </w:rPr>
        <w:t xml:space="preserve">nutritional </w:t>
      </w:r>
      <w:r w:rsidR="000F7598">
        <w:rPr>
          <w:rFonts w:asciiTheme="majorBidi" w:hAnsiTheme="majorBidi" w:cstheme="majorBidi"/>
        </w:rPr>
        <w:t>intake in model 2,</w:t>
      </w:r>
      <w:r w:rsidR="00186309">
        <w:rPr>
          <w:rFonts w:asciiTheme="majorBidi" w:hAnsiTheme="majorBidi" w:cstheme="majorBidi"/>
        </w:rPr>
        <w:t xml:space="preserve"> </w:t>
      </w:r>
      <w:r w:rsidR="00E274F4">
        <w:rPr>
          <w:rFonts w:asciiTheme="majorBidi" w:hAnsiTheme="majorBidi" w:cstheme="majorBidi"/>
        </w:rPr>
        <w:t>RR</w:t>
      </w:r>
      <w:r w:rsidR="00186309">
        <w:rPr>
          <w:rFonts w:asciiTheme="majorBidi" w:hAnsiTheme="majorBidi" w:cstheme="majorBidi"/>
        </w:rPr>
        <w:t xml:space="preserve"> </w:t>
      </w:r>
      <w:r w:rsidR="0014745D">
        <w:rPr>
          <w:rFonts w:asciiTheme="majorBidi" w:hAnsiTheme="majorBidi" w:cstheme="majorBidi"/>
        </w:rPr>
        <w:t xml:space="preserve">was </w:t>
      </w:r>
      <w:r w:rsidR="00186309">
        <w:rPr>
          <w:rFonts w:asciiTheme="majorBidi" w:hAnsiTheme="majorBidi" w:cstheme="majorBidi"/>
        </w:rPr>
        <w:t>slightly attenuated</w:t>
      </w:r>
      <w:r w:rsidR="0025653E">
        <w:rPr>
          <w:rFonts w:asciiTheme="majorBidi" w:hAnsiTheme="majorBidi" w:cstheme="majorBidi"/>
        </w:rPr>
        <w:t xml:space="preserve">. </w:t>
      </w:r>
      <w:r w:rsidR="005B6ABD">
        <w:rPr>
          <w:rFonts w:asciiTheme="majorBidi" w:hAnsiTheme="majorBidi" w:cstheme="majorBidi"/>
        </w:rPr>
        <w:t>After f</w:t>
      </w:r>
      <w:r w:rsidR="0025653E">
        <w:rPr>
          <w:rFonts w:asciiTheme="majorBidi" w:hAnsiTheme="majorBidi" w:cstheme="majorBidi"/>
        </w:rPr>
        <w:t xml:space="preserve">urther adjustment for </w:t>
      </w:r>
      <w:r w:rsidR="00C329F3">
        <w:rPr>
          <w:rFonts w:asciiTheme="majorBidi" w:hAnsiTheme="majorBidi" w:cstheme="majorBidi"/>
        </w:rPr>
        <w:t>socioeconomic factors and smoking</w:t>
      </w:r>
      <w:r w:rsidR="005B6ABD">
        <w:rPr>
          <w:rFonts w:asciiTheme="majorBidi" w:hAnsiTheme="majorBidi" w:cstheme="majorBidi"/>
        </w:rPr>
        <w:t>,</w:t>
      </w:r>
      <w:r w:rsidR="00C329F3">
        <w:rPr>
          <w:rFonts w:asciiTheme="majorBidi" w:hAnsiTheme="majorBidi" w:cstheme="majorBidi"/>
        </w:rPr>
        <w:t xml:space="preserve"> </w:t>
      </w:r>
      <w:r w:rsidR="00E274F4">
        <w:rPr>
          <w:rFonts w:asciiTheme="majorBidi" w:hAnsiTheme="majorBidi" w:cstheme="majorBidi"/>
        </w:rPr>
        <w:t>RR</w:t>
      </w:r>
      <w:r w:rsidR="0014745D">
        <w:rPr>
          <w:rFonts w:asciiTheme="majorBidi" w:hAnsiTheme="majorBidi" w:cstheme="majorBidi"/>
        </w:rPr>
        <w:t xml:space="preserve"> </w:t>
      </w:r>
      <w:r w:rsidR="00C329F3">
        <w:rPr>
          <w:rFonts w:asciiTheme="majorBidi" w:hAnsiTheme="majorBidi" w:cstheme="majorBidi"/>
        </w:rPr>
        <w:t xml:space="preserve">attenuated to </w:t>
      </w:r>
      <w:r w:rsidR="000F7598">
        <w:rPr>
          <w:rFonts w:asciiTheme="majorBidi" w:hAnsiTheme="majorBidi" w:cstheme="majorBidi"/>
        </w:rPr>
        <w:t>0.99</w:t>
      </w:r>
      <w:r w:rsidR="00C329F3">
        <w:rPr>
          <w:rFonts w:asciiTheme="majorBidi" w:hAnsiTheme="majorBidi" w:cstheme="majorBidi"/>
        </w:rPr>
        <w:t xml:space="preserve"> (95% CI </w:t>
      </w:r>
      <w:r w:rsidR="000F7598">
        <w:rPr>
          <w:rFonts w:asciiTheme="majorBidi" w:hAnsiTheme="majorBidi" w:cstheme="majorBidi"/>
        </w:rPr>
        <w:t>0.98</w:t>
      </w:r>
      <w:r w:rsidR="00C329F3">
        <w:rPr>
          <w:rFonts w:asciiTheme="majorBidi" w:hAnsiTheme="majorBidi" w:cstheme="majorBidi"/>
        </w:rPr>
        <w:t xml:space="preserve"> </w:t>
      </w:r>
      <w:r w:rsidR="000F7598">
        <w:rPr>
          <w:rFonts w:asciiTheme="majorBidi" w:hAnsiTheme="majorBidi" w:cstheme="majorBidi"/>
        </w:rPr>
        <w:t>–</w:t>
      </w:r>
      <w:r w:rsidR="00C329F3">
        <w:rPr>
          <w:rFonts w:asciiTheme="majorBidi" w:hAnsiTheme="majorBidi" w:cstheme="majorBidi"/>
        </w:rPr>
        <w:t xml:space="preserve"> </w:t>
      </w:r>
      <w:r w:rsidR="000F7598">
        <w:rPr>
          <w:rFonts w:asciiTheme="majorBidi" w:hAnsiTheme="majorBidi" w:cstheme="majorBidi"/>
        </w:rPr>
        <w:t>0.99</w:t>
      </w:r>
      <w:r w:rsidR="00C329F3">
        <w:rPr>
          <w:rFonts w:asciiTheme="majorBidi" w:hAnsiTheme="majorBidi" w:cstheme="majorBidi"/>
        </w:rPr>
        <w:t xml:space="preserve">). </w:t>
      </w:r>
    </w:p>
    <w:p w14:paraId="450D41D6" w14:textId="43AB7CD9" w:rsidR="00B05046" w:rsidRPr="002D00F2" w:rsidRDefault="009F023C" w:rsidP="00C526F6">
      <w:pPr>
        <w:shd w:val="clear" w:color="auto" w:fill="FFFFFF"/>
        <w:spacing w:line="480" w:lineRule="auto"/>
        <w:jc w:val="both"/>
        <w:rPr>
          <w:rFonts w:asciiTheme="majorBidi" w:hAnsiTheme="majorBidi" w:cstheme="majorBidi"/>
          <w:rtl/>
        </w:rPr>
      </w:pPr>
      <w:r>
        <w:rPr>
          <w:rFonts w:asciiTheme="majorBidi" w:hAnsiTheme="majorBidi" w:cstheme="majorBidi"/>
        </w:rPr>
        <w:t xml:space="preserve">Table 3 </w:t>
      </w:r>
      <w:r w:rsidR="002D0040">
        <w:rPr>
          <w:rFonts w:asciiTheme="majorBidi" w:hAnsiTheme="majorBidi" w:cstheme="majorBidi"/>
        </w:rPr>
        <w:t>demonstrates</w:t>
      </w:r>
      <w:r>
        <w:rPr>
          <w:rFonts w:asciiTheme="majorBidi" w:hAnsiTheme="majorBidi" w:cstheme="majorBidi"/>
        </w:rPr>
        <w:t xml:space="preserve"> the association between periodontal disease and frailty, </w:t>
      </w:r>
      <w:r w:rsidR="007D79E2">
        <w:rPr>
          <w:rFonts w:asciiTheme="majorBidi" w:hAnsiTheme="majorBidi" w:cstheme="majorBidi"/>
        </w:rPr>
        <w:t>partici</w:t>
      </w:r>
      <w:r w:rsidR="00107E02">
        <w:rPr>
          <w:rFonts w:asciiTheme="majorBidi" w:hAnsiTheme="majorBidi" w:cstheme="majorBidi"/>
        </w:rPr>
        <w:t>pant</w:t>
      </w:r>
      <w:r w:rsidR="00D742E1">
        <w:rPr>
          <w:rFonts w:asciiTheme="majorBidi" w:hAnsiTheme="majorBidi" w:cstheme="majorBidi"/>
        </w:rPr>
        <w:t>s</w:t>
      </w:r>
      <w:r w:rsidR="00107E02">
        <w:rPr>
          <w:rFonts w:asciiTheme="majorBidi" w:hAnsiTheme="majorBidi" w:cstheme="majorBidi"/>
        </w:rPr>
        <w:t xml:space="preserve"> who ha</w:t>
      </w:r>
      <w:r w:rsidR="00E274F4">
        <w:rPr>
          <w:rFonts w:asciiTheme="majorBidi" w:hAnsiTheme="majorBidi" w:cstheme="majorBidi"/>
        </w:rPr>
        <w:t>d</w:t>
      </w:r>
      <w:r w:rsidR="00107E02">
        <w:rPr>
          <w:rFonts w:asciiTheme="majorBidi" w:hAnsiTheme="majorBidi" w:cstheme="majorBidi"/>
        </w:rPr>
        <w:t xml:space="preserve"> moderate or severe </w:t>
      </w:r>
      <w:r w:rsidR="00C86C1D">
        <w:rPr>
          <w:rFonts w:asciiTheme="majorBidi" w:hAnsiTheme="majorBidi" w:cstheme="majorBidi"/>
        </w:rPr>
        <w:t xml:space="preserve">periodontitis </w:t>
      </w:r>
      <w:r w:rsidR="00E274F4">
        <w:rPr>
          <w:rFonts w:asciiTheme="majorBidi" w:hAnsiTheme="majorBidi" w:cstheme="majorBidi"/>
        </w:rPr>
        <w:t xml:space="preserve">had RR </w:t>
      </w:r>
      <w:r w:rsidR="00C170FA">
        <w:rPr>
          <w:rFonts w:asciiTheme="majorBidi" w:hAnsiTheme="majorBidi" w:cstheme="majorBidi"/>
        </w:rPr>
        <w:t xml:space="preserve">1.09 </w:t>
      </w:r>
      <w:r w:rsidR="00E274F4">
        <w:rPr>
          <w:rFonts w:asciiTheme="majorBidi" w:hAnsiTheme="majorBidi" w:cstheme="majorBidi"/>
        </w:rPr>
        <w:t>for</w:t>
      </w:r>
      <w:r w:rsidR="00C170FA" w:rsidRPr="002D00F2">
        <w:rPr>
          <w:rFonts w:asciiTheme="majorBidi" w:hAnsiTheme="majorBidi" w:cstheme="majorBidi"/>
        </w:rPr>
        <w:t xml:space="preserve"> </w:t>
      </w:r>
      <w:r w:rsidR="007450E8" w:rsidRPr="002D00F2">
        <w:rPr>
          <w:rFonts w:asciiTheme="majorBidi" w:hAnsiTheme="majorBidi" w:cstheme="majorBidi"/>
        </w:rPr>
        <w:t xml:space="preserve">frailty index compared to participants </w:t>
      </w:r>
      <w:r w:rsidR="00BE4C5E" w:rsidRPr="002D00F2">
        <w:rPr>
          <w:rFonts w:asciiTheme="majorBidi" w:hAnsiTheme="majorBidi" w:cstheme="majorBidi"/>
        </w:rPr>
        <w:t>with</w:t>
      </w:r>
      <w:r w:rsidR="0014745D">
        <w:rPr>
          <w:rFonts w:asciiTheme="majorBidi" w:hAnsiTheme="majorBidi" w:cstheme="majorBidi"/>
        </w:rPr>
        <w:t xml:space="preserve"> </w:t>
      </w:r>
      <w:r w:rsidR="007450E8" w:rsidRPr="002D00F2">
        <w:rPr>
          <w:rFonts w:asciiTheme="majorBidi" w:hAnsiTheme="majorBidi" w:cstheme="majorBidi"/>
        </w:rPr>
        <w:t xml:space="preserve">mild </w:t>
      </w:r>
      <w:r w:rsidR="0014745D">
        <w:rPr>
          <w:rFonts w:asciiTheme="majorBidi" w:hAnsiTheme="majorBidi" w:cstheme="majorBidi"/>
        </w:rPr>
        <w:t xml:space="preserve">or no </w:t>
      </w:r>
      <w:r w:rsidR="00BE4C5E" w:rsidRPr="002D00F2">
        <w:rPr>
          <w:rFonts w:asciiTheme="majorBidi" w:hAnsiTheme="majorBidi" w:cstheme="majorBidi"/>
        </w:rPr>
        <w:t>periodontitis after adjusting for age and gender</w:t>
      </w:r>
      <w:r w:rsidR="000D201D" w:rsidRPr="002D00F2">
        <w:rPr>
          <w:rFonts w:asciiTheme="majorBidi" w:hAnsiTheme="majorBidi" w:cstheme="majorBidi"/>
        </w:rPr>
        <w:t xml:space="preserve">. The </w:t>
      </w:r>
      <w:r w:rsidR="00E274F4">
        <w:rPr>
          <w:rFonts w:asciiTheme="majorBidi" w:hAnsiTheme="majorBidi" w:cstheme="majorBidi"/>
        </w:rPr>
        <w:t>RR</w:t>
      </w:r>
      <w:r w:rsidR="00F20DAF" w:rsidRPr="002D00F2">
        <w:rPr>
          <w:rFonts w:asciiTheme="majorBidi" w:hAnsiTheme="majorBidi" w:cstheme="majorBidi"/>
        </w:rPr>
        <w:t xml:space="preserve"> attenuated to 1.08</w:t>
      </w:r>
      <w:r w:rsidR="004B3D7F" w:rsidRPr="002D00F2">
        <w:rPr>
          <w:rFonts w:asciiTheme="majorBidi" w:hAnsiTheme="majorBidi" w:cstheme="majorBidi"/>
        </w:rPr>
        <w:t xml:space="preserve"> </w:t>
      </w:r>
      <w:r w:rsidR="004B3D7F">
        <w:rPr>
          <w:rFonts w:asciiTheme="majorBidi" w:hAnsiTheme="majorBidi" w:cstheme="majorBidi"/>
        </w:rPr>
        <w:t>(95% CI 1.</w:t>
      </w:r>
      <w:r w:rsidR="00236339">
        <w:rPr>
          <w:rFonts w:asciiTheme="majorBidi" w:hAnsiTheme="majorBidi" w:cstheme="majorBidi"/>
        </w:rPr>
        <w:t>02</w:t>
      </w:r>
      <w:r w:rsidR="004B3D7F">
        <w:rPr>
          <w:rFonts w:asciiTheme="majorBidi" w:hAnsiTheme="majorBidi" w:cstheme="majorBidi"/>
        </w:rPr>
        <w:t xml:space="preserve"> – 1.</w:t>
      </w:r>
      <w:r w:rsidR="00236339">
        <w:rPr>
          <w:rFonts w:asciiTheme="majorBidi" w:hAnsiTheme="majorBidi" w:cstheme="majorBidi"/>
        </w:rPr>
        <w:t>14</w:t>
      </w:r>
      <w:r w:rsidR="004B3D7F">
        <w:rPr>
          <w:rFonts w:asciiTheme="majorBidi" w:hAnsiTheme="majorBidi" w:cstheme="majorBidi"/>
        </w:rPr>
        <w:t>)</w:t>
      </w:r>
      <w:r w:rsidR="00F20DAF" w:rsidRPr="002D00F2">
        <w:rPr>
          <w:rFonts w:asciiTheme="majorBidi" w:hAnsiTheme="majorBidi" w:cstheme="majorBidi"/>
        </w:rPr>
        <w:t xml:space="preserve"> but remained significant after additional</w:t>
      </w:r>
      <w:r w:rsidR="00EC5B19">
        <w:rPr>
          <w:rFonts w:asciiTheme="majorBidi" w:hAnsiTheme="majorBidi" w:cstheme="majorBidi"/>
        </w:rPr>
        <w:t>ly</w:t>
      </w:r>
      <w:r w:rsidR="00F20DAF" w:rsidRPr="002D00F2">
        <w:rPr>
          <w:rFonts w:asciiTheme="majorBidi" w:hAnsiTheme="majorBidi" w:cstheme="majorBidi"/>
        </w:rPr>
        <w:t xml:space="preserve"> adjusting for nutritional intake. However, </w:t>
      </w:r>
      <w:r w:rsidR="0027747A" w:rsidRPr="002D00F2">
        <w:rPr>
          <w:rFonts w:asciiTheme="majorBidi" w:hAnsiTheme="majorBidi" w:cstheme="majorBidi"/>
        </w:rPr>
        <w:t xml:space="preserve">the rate ratio was no longer significant </w:t>
      </w:r>
      <w:r w:rsidR="00744B3E" w:rsidRPr="002D00F2">
        <w:rPr>
          <w:rFonts w:asciiTheme="majorBidi" w:hAnsiTheme="majorBidi" w:cstheme="majorBidi"/>
        </w:rPr>
        <w:t xml:space="preserve">in the fully adjusted model. </w:t>
      </w:r>
      <w:r w:rsidR="00F20DAF" w:rsidRPr="002D00F2">
        <w:rPr>
          <w:rFonts w:asciiTheme="majorBidi" w:hAnsiTheme="majorBidi" w:cstheme="majorBidi"/>
        </w:rPr>
        <w:t xml:space="preserve"> </w:t>
      </w:r>
    </w:p>
    <w:p w14:paraId="5FF40AAF" w14:textId="68945D24" w:rsidR="00B913F9" w:rsidRDefault="00E274F4" w:rsidP="00C37640">
      <w:pPr>
        <w:shd w:val="clear" w:color="auto" w:fill="FFFFFF"/>
        <w:spacing w:line="480" w:lineRule="auto"/>
        <w:jc w:val="both"/>
        <w:rPr>
          <w:rFonts w:asciiTheme="majorBidi" w:hAnsiTheme="majorBidi" w:cstheme="majorBidi"/>
        </w:rPr>
      </w:pPr>
      <w:r w:rsidRPr="00053153">
        <w:rPr>
          <w:rFonts w:asciiTheme="majorBidi" w:hAnsiTheme="majorBidi" w:cstheme="majorBidi"/>
          <w:highlight w:val="yellow"/>
        </w:rPr>
        <w:t>Inadequate n</w:t>
      </w:r>
      <w:r w:rsidR="008715EE" w:rsidRPr="00053153">
        <w:rPr>
          <w:rFonts w:asciiTheme="majorBidi" w:hAnsiTheme="majorBidi" w:cstheme="majorBidi"/>
          <w:highlight w:val="yellow"/>
        </w:rPr>
        <w:t xml:space="preserve">utritional intake was </w:t>
      </w:r>
      <w:r w:rsidRPr="00053153">
        <w:rPr>
          <w:rFonts w:asciiTheme="majorBidi" w:hAnsiTheme="majorBidi" w:cstheme="majorBidi"/>
          <w:highlight w:val="yellow"/>
        </w:rPr>
        <w:t xml:space="preserve">negatively and significantly associated with number of teeth </w:t>
      </w:r>
      <w:r w:rsidR="00C1775A">
        <w:rPr>
          <w:rFonts w:asciiTheme="majorBidi" w:hAnsiTheme="majorBidi" w:cstheme="majorBidi"/>
          <w:highlight w:val="yellow"/>
        </w:rPr>
        <w:t xml:space="preserve">with </w:t>
      </w:r>
      <w:r w:rsidRPr="00053153">
        <w:rPr>
          <w:rFonts w:asciiTheme="majorBidi" w:hAnsiTheme="majorBidi" w:cstheme="majorBidi"/>
          <w:highlight w:val="yellow"/>
        </w:rPr>
        <w:t>RR: 0.99</w:t>
      </w:r>
      <w:r w:rsidR="006757CD" w:rsidRPr="00053153">
        <w:rPr>
          <w:rFonts w:asciiTheme="majorBidi" w:hAnsiTheme="majorBidi" w:cstheme="majorBidi"/>
          <w:highlight w:val="yellow"/>
        </w:rPr>
        <w:t xml:space="preserve"> </w:t>
      </w:r>
      <w:r w:rsidR="00E25605" w:rsidRPr="00053153">
        <w:rPr>
          <w:rFonts w:asciiTheme="majorBidi" w:hAnsiTheme="majorBidi" w:cstheme="majorBidi"/>
          <w:highlight w:val="yellow"/>
        </w:rPr>
        <w:t>(95%</w:t>
      </w:r>
      <w:r w:rsidR="009812ED" w:rsidRPr="00053153">
        <w:rPr>
          <w:rFonts w:asciiTheme="majorBidi" w:hAnsiTheme="majorBidi" w:cstheme="majorBidi"/>
          <w:highlight w:val="yellow"/>
        </w:rPr>
        <w:t xml:space="preserve"> </w:t>
      </w:r>
      <w:r w:rsidR="00E25605" w:rsidRPr="00053153">
        <w:rPr>
          <w:rFonts w:asciiTheme="majorBidi" w:hAnsiTheme="majorBidi" w:cstheme="majorBidi"/>
          <w:highlight w:val="yellow"/>
        </w:rPr>
        <w:t xml:space="preserve">CI 0.99 – 0.99) </w:t>
      </w:r>
      <w:r w:rsidRPr="00053153">
        <w:rPr>
          <w:rFonts w:asciiTheme="majorBidi" w:hAnsiTheme="majorBidi" w:cstheme="majorBidi"/>
          <w:highlight w:val="yellow"/>
        </w:rPr>
        <w:t xml:space="preserve">and positively and significantly associated with </w:t>
      </w:r>
      <w:r w:rsidR="00D0156E" w:rsidRPr="00053153">
        <w:rPr>
          <w:rFonts w:asciiTheme="majorBidi" w:hAnsiTheme="majorBidi" w:cstheme="majorBidi"/>
          <w:highlight w:val="yellow"/>
        </w:rPr>
        <w:t>periodont</w:t>
      </w:r>
      <w:r w:rsidRPr="00053153">
        <w:rPr>
          <w:rFonts w:asciiTheme="majorBidi" w:hAnsiTheme="majorBidi" w:cstheme="majorBidi"/>
          <w:highlight w:val="yellow"/>
        </w:rPr>
        <w:t>itis</w:t>
      </w:r>
      <w:r w:rsidR="00D0156E" w:rsidRPr="00053153">
        <w:rPr>
          <w:rFonts w:asciiTheme="majorBidi" w:hAnsiTheme="majorBidi" w:cstheme="majorBidi"/>
          <w:highlight w:val="yellow"/>
        </w:rPr>
        <w:t xml:space="preserve"> </w:t>
      </w:r>
      <w:r w:rsidR="00C1775A">
        <w:rPr>
          <w:rFonts w:asciiTheme="majorBidi" w:hAnsiTheme="majorBidi" w:cstheme="majorBidi"/>
          <w:highlight w:val="yellow"/>
        </w:rPr>
        <w:t xml:space="preserve">with </w:t>
      </w:r>
      <w:r w:rsidR="00223303" w:rsidRPr="00053153">
        <w:rPr>
          <w:rFonts w:asciiTheme="majorBidi" w:hAnsiTheme="majorBidi" w:cstheme="majorBidi"/>
          <w:highlight w:val="yellow"/>
        </w:rPr>
        <w:t>RR</w:t>
      </w:r>
      <w:r w:rsidR="00156065" w:rsidRPr="00053153">
        <w:rPr>
          <w:rFonts w:asciiTheme="majorBidi" w:hAnsiTheme="majorBidi" w:cstheme="majorBidi"/>
          <w:highlight w:val="yellow"/>
        </w:rPr>
        <w:t xml:space="preserve"> </w:t>
      </w:r>
      <w:r w:rsidR="007012C7" w:rsidRPr="00053153">
        <w:rPr>
          <w:rFonts w:asciiTheme="majorBidi" w:hAnsiTheme="majorBidi" w:cstheme="majorBidi"/>
          <w:highlight w:val="yellow"/>
        </w:rPr>
        <w:t>1.08</w:t>
      </w:r>
      <w:r w:rsidR="009812ED" w:rsidRPr="00053153">
        <w:rPr>
          <w:rFonts w:asciiTheme="majorBidi" w:hAnsiTheme="majorBidi" w:cstheme="majorBidi"/>
          <w:highlight w:val="yellow"/>
        </w:rPr>
        <w:t xml:space="preserve"> (95 % CI 1.04 – 1.11).</w:t>
      </w:r>
    </w:p>
    <w:p w14:paraId="1EC61495" w14:textId="785E3D80" w:rsidR="00C8331A" w:rsidRDefault="00C8331A" w:rsidP="00C37640">
      <w:pPr>
        <w:shd w:val="clear" w:color="auto" w:fill="FFFFFF"/>
        <w:spacing w:line="480" w:lineRule="auto"/>
        <w:jc w:val="both"/>
        <w:rPr>
          <w:rFonts w:asciiTheme="majorBidi" w:hAnsiTheme="majorBidi" w:cstheme="majorBidi"/>
        </w:rPr>
      </w:pPr>
    </w:p>
    <w:p w14:paraId="526A511C" w14:textId="77777777" w:rsidR="00C8331A" w:rsidRPr="00B913F9" w:rsidRDefault="00C8331A" w:rsidP="00C37640">
      <w:pPr>
        <w:shd w:val="clear" w:color="auto" w:fill="FFFFFF"/>
        <w:spacing w:line="480" w:lineRule="auto"/>
        <w:jc w:val="both"/>
        <w:rPr>
          <w:rFonts w:asciiTheme="majorBidi" w:hAnsiTheme="majorBidi" w:cstheme="majorBidi"/>
        </w:rPr>
      </w:pPr>
    </w:p>
    <w:p w14:paraId="44BA9AC3" w14:textId="0045351A" w:rsidR="002515CA" w:rsidRPr="00C92956" w:rsidRDefault="005C1909" w:rsidP="00C526F6">
      <w:pPr>
        <w:pStyle w:val="Heading3"/>
        <w:spacing w:line="480" w:lineRule="auto"/>
        <w:rPr>
          <w:rFonts w:asciiTheme="majorBidi" w:eastAsiaTheme="minorHAnsi" w:hAnsiTheme="majorBidi" w:cstheme="majorBidi"/>
          <w:i/>
          <w:iCs/>
          <w:sz w:val="28"/>
          <w:szCs w:val="28"/>
          <w:lang w:val="en-US" w:eastAsia="en-US"/>
        </w:rPr>
      </w:pPr>
      <w:r w:rsidRPr="00C92956">
        <w:rPr>
          <w:rFonts w:asciiTheme="majorBidi" w:eastAsiaTheme="minorHAnsi" w:hAnsiTheme="majorBidi" w:cstheme="majorBidi"/>
          <w:i/>
          <w:iCs/>
          <w:sz w:val="28"/>
          <w:szCs w:val="28"/>
          <w:lang w:val="en-US" w:eastAsia="en-US"/>
        </w:rPr>
        <w:lastRenderedPageBreak/>
        <w:t xml:space="preserve">Discussion: </w:t>
      </w:r>
    </w:p>
    <w:p w14:paraId="006D7C94" w14:textId="23F7F3CB" w:rsidR="00974371" w:rsidRDefault="00211A9C" w:rsidP="00C526F6">
      <w:pPr>
        <w:spacing w:line="480" w:lineRule="auto"/>
        <w:jc w:val="both"/>
        <w:rPr>
          <w:rFonts w:asciiTheme="majorBidi" w:hAnsiTheme="majorBidi" w:cstheme="majorBidi"/>
        </w:rPr>
      </w:pPr>
      <w:r>
        <w:rPr>
          <w:rFonts w:asciiTheme="majorBidi" w:hAnsiTheme="majorBidi" w:cstheme="majorBidi"/>
        </w:rPr>
        <w:t>This</w:t>
      </w:r>
      <w:r w:rsidRPr="009D1CA6">
        <w:rPr>
          <w:rFonts w:asciiTheme="majorBidi" w:hAnsiTheme="majorBidi" w:cstheme="majorBidi"/>
        </w:rPr>
        <w:t xml:space="preserve"> </w:t>
      </w:r>
      <w:r w:rsidR="000F2AED" w:rsidRPr="009D1CA6">
        <w:rPr>
          <w:rFonts w:asciiTheme="majorBidi" w:hAnsiTheme="majorBidi" w:cstheme="majorBidi"/>
        </w:rPr>
        <w:t xml:space="preserve">study demonstrated that in </w:t>
      </w:r>
      <w:r>
        <w:rPr>
          <w:rFonts w:asciiTheme="majorBidi" w:hAnsiTheme="majorBidi" w:cstheme="majorBidi"/>
        </w:rPr>
        <w:t>a</w:t>
      </w:r>
      <w:r w:rsidRPr="009D1CA6">
        <w:rPr>
          <w:rFonts w:asciiTheme="majorBidi" w:hAnsiTheme="majorBidi" w:cstheme="majorBidi"/>
        </w:rPr>
        <w:t xml:space="preserve"> </w:t>
      </w:r>
      <w:r w:rsidR="000F2AED" w:rsidRPr="009D1CA6">
        <w:rPr>
          <w:rFonts w:asciiTheme="majorBidi" w:hAnsiTheme="majorBidi" w:cstheme="majorBidi"/>
        </w:rPr>
        <w:t>national</w:t>
      </w:r>
      <w:r w:rsidR="00041583">
        <w:rPr>
          <w:rFonts w:asciiTheme="majorBidi" w:hAnsiTheme="majorBidi" w:cstheme="majorBidi"/>
        </w:rPr>
        <w:t>ly</w:t>
      </w:r>
      <w:r w:rsidR="000F2AED" w:rsidRPr="009D1CA6">
        <w:rPr>
          <w:rFonts w:asciiTheme="majorBidi" w:hAnsiTheme="majorBidi" w:cstheme="majorBidi"/>
        </w:rPr>
        <w:t xml:space="preserve"> representative sample of </w:t>
      </w:r>
      <w:r w:rsidR="00EC5B19">
        <w:rPr>
          <w:rFonts w:asciiTheme="majorBidi" w:hAnsiTheme="majorBidi" w:cstheme="majorBidi"/>
        </w:rPr>
        <w:t xml:space="preserve">older </w:t>
      </w:r>
      <w:r w:rsidR="006E4866" w:rsidRPr="009D1CA6">
        <w:rPr>
          <w:rFonts w:asciiTheme="majorBidi" w:hAnsiTheme="majorBidi" w:cstheme="majorBidi"/>
        </w:rPr>
        <w:t>American</w:t>
      </w:r>
      <w:r w:rsidR="00041583">
        <w:rPr>
          <w:rFonts w:asciiTheme="majorBidi" w:hAnsiTheme="majorBidi" w:cstheme="majorBidi"/>
        </w:rPr>
        <w:t xml:space="preserve"> adults</w:t>
      </w:r>
      <w:r w:rsidR="000F2AED" w:rsidRPr="009D1CA6">
        <w:rPr>
          <w:rFonts w:asciiTheme="majorBidi" w:hAnsiTheme="majorBidi" w:cstheme="majorBidi"/>
        </w:rPr>
        <w:t xml:space="preserve">, </w:t>
      </w:r>
      <w:r w:rsidR="00974371" w:rsidRPr="009D1CA6">
        <w:rPr>
          <w:rFonts w:asciiTheme="majorBidi" w:hAnsiTheme="majorBidi" w:cstheme="majorBidi"/>
        </w:rPr>
        <w:t>oral health</w:t>
      </w:r>
      <w:r w:rsidR="000F2AED" w:rsidRPr="009D1CA6">
        <w:rPr>
          <w:rFonts w:asciiTheme="majorBidi" w:hAnsiTheme="majorBidi" w:cstheme="majorBidi"/>
        </w:rPr>
        <w:t xml:space="preserve"> </w:t>
      </w:r>
      <w:r w:rsidR="00041583">
        <w:rPr>
          <w:rFonts w:asciiTheme="majorBidi" w:hAnsiTheme="majorBidi" w:cstheme="majorBidi"/>
        </w:rPr>
        <w:t xml:space="preserve">indicated by tooth loss and periodontal disease </w:t>
      </w:r>
      <w:r w:rsidR="006E15CE">
        <w:rPr>
          <w:rFonts w:asciiTheme="majorBidi" w:hAnsiTheme="majorBidi" w:cstheme="majorBidi"/>
        </w:rPr>
        <w:t>was</w:t>
      </w:r>
      <w:r w:rsidR="006E15CE" w:rsidRPr="009D1CA6">
        <w:rPr>
          <w:rFonts w:asciiTheme="majorBidi" w:hAnsiTheme="majorBidi" w:cstheme="majorBidi"/>
        </w:rPr>
        <w:t xml:space="preserve"> </w:t>
      </w:r>
      <w:r w:rsidR="000F2AED" w:rsidRPr="009D1CA6">
        <w:rPr>
          <w:rFonts w:asciiTheme="majorBidi" w:hAnsiTheme="majorBidi" w:cstheme="majorBidi"/>
        </w:rPr>
        <w:t>associated with frailty</w:t>
      </w:r>
      <w:r w:rsidR="00EC5B19">
        <w:rPr>
          <w:rFonts w:asciiTheme="majorBidi" w:hAnsiTheme="majorBidi" w:cstheme="majorBidi"/>
        </w:rPr>
        <w:t xml:space="preserve"> index</w:t>
      </w:r>
      <w:r w:rsidR="00041583">
        <w:rPr>
          <w:rFonts w:asciiTheme="majorBidi" w:hAnsiTheme="majorBidi" w:cstheme="majorBidi"/>
        </w:rPr>
        <w:t>.</w:t>
      </w:r>
      <w:r w:rsidR="000F2AED" w:rsidRPr="009D1CA6">
        <w:rPr>
          <w:rFonts w:asciiTheme="majorBidi" w:hAnsiTheme="majorBidi" w:cstheme="majorBidi"/>
        </w:rPr>
        <w:t xml:space="preserve"> </w:t>
      </w:r>
      <w:r w:rsidR="00041583">
        <w:rPr>
          <w:rFonts w:asciiTheme="majorBidi" w:hAnsiTheme="majorBidi" w:cstheme="majorBidi"/>
        </w:rPr>
        <w:t>T</w:t>
      </w:r>
      <w:r w:rsidR="000F2AED" w:rsidRPr="009D1CA6">
        <w:rPr>
          <w:rFonts w:asciiTheme="majorBidi" w:hAnsiTheme="majorBidi" w:cstheme="majorBidi"/>
        </w:rPr>
        <w:t>h</w:t>
      </w:r>
      <w:r w:rsidR="00041583">
        <w:rPr>
          <w:rFonts w:asciiTheme="majorBidi" w:hAnsiTheme="majorBidi" w:cstheme="majorBidi"/>
        </w:rPr>
        <w:t>e</w:t>
      </w:r>
      <w:r w:rsidR="000F2AED" w:rsidRPr="009D1CA6">
        <w:rPr>
          <w:rFonts w:asciiTheme="majorBidi" w:hAnsiTheme="majorBidi" w:cstheme="majorBidi"/>
        </w:rPr>
        <w:t xml:space="preserve"> </w:t>
      </w:r>
      <w:r w:rsidR="00041583">
        <w:rPr>
          <w:rFonts w:asciiTheme="majorBidi" w:hAnsiTheme="majorBidi" w:cstheme="majorBidi"/>
        </w:rPr>
        <w:t xml:space="preserve">significant </w:t>
      </w:r>
      <w:r w:rsidR="000F2AED" w:rsidRPr="009D1CA6">
        <w:rPr>
          <w:rFonts w:asciiTheme="majorBidi" w:hAnsiTheme="majorBidi" w:cstheme="majorBidi"/>
        </w:rPr>
        <w:t xml:space="preserve">association </w:t>
      </w:r>
      <w:r w:rsidR="00041583">
        <w:rPr>
          <w:rFonts w:asciiTheme="majorBidi" w:hAnsiTheme="majorBidi" w:cstheme="majorBidi"/>
        </w:rPr>
        <w:t xml:space="preserve">between tooth loss and frailty persisted </w:t>
      </w:r>
      <w:r w:rsidR="00974371" w:rsidRPr="009D1CA6">
        <w:rPr>
          <w:rFonts w:asciiTheme="majorBidi" w:hAnsiTheme="majorBidi" w:cstheme="majorBidi"/>
        </w:rPr>
        <w:t>even</w:t>
      </w:r>
      <w:r w:rsidR="000F2AED" w:rsidRPr="009D1CA6">
        <w:rPr>
          <w:rFonts w:asciiTheme="majorBidi" w:hAnsiTheme="majorBidi" w:cstheme="majorBidi"/>
        </w:rPr>
        <w:t xml:space="preserve"> after adjusting of important covariates. </w:t>
      </w:r>
      <w:r w:rsidR="00974371" w:rsidRPr="009D1CA6">
        <w:rPr>
          <w:rFonts w:asciiTheme="majorBidi" w:hAnsiTheme="majorBidi" w:cstheme="majorBidi"/>
        </w:rPr>
        <w:t>These results are in line with previous studies, as complete tooth loss</w:t>
      </w:r>
      <w:r w:rsidR="001D5944">
        <w:rPr>
          <w:rFonts w:asciiTheme="majorBidi" w:hAnsiTheme="majorBidi" w:cstheme="majorBidi"/>
        </w:rPr>
        <w:t>,</w:t>
      </w:r>
      <w:hyperlink w:anchor="_ENREF_24" w:tooltip="Ramsay, 2018 #52"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&lt;EndNote&gt;&lt;Cite&gt;&lt;Author&gt;Ramsay&lt;/Author&gt;&lt;Year&gt;2018&lt;/Year&gt;&lt;RecNum&gt;52&lt;/RecNum&gt;&lt;DisplayText&gt;&lt;style face="superscript"&gt;24&lt;/style&gt;&lt;/DisplayText&gt;&lt;record&gt;&lt;rec-number&gt;52&lt;/rec-number&gt;&lt;foreign-keys&gt;&lt;key app="EN" db-id="rvxe0exprat2w9evvvvxwe2owzrpwfzpzzv5"&gt;52&lt;/key&gt;&lt;/foreign-keys&gt;&lt;ref-type name="Journal Article"&gt;17&lt;/ref-type&gt;&lt;contributors&gt;&lt;authors&gt;&lt;author&gt;Ramsay, Sheena E&lt;/author&gt;&lt;author&gt;Papachristou, Efstathios&lt;/author&gt;&lt;author&gt;Watt, Richard G&lt;/author&gt;&lt;author&gt;Tsakos, Georgios&lt;/author&gt;&lt;author&gt;Lennon, Lucy T&lt;/author&gt;&lt;author&gt;Papacosta, A Olia&lt;/author&gt;&lt;author&gt;Moynihan, Paula&lt;/author&gt;&lt;author&gt;Sayer, Avan A&lt;/author&gt;&lt;author&gt;Whincup, Peter H&lt;/author&gt;&lt;author&gt;Wannamethee, S Goya&lt;/author&gt;&lt;/authors&gt;&lt;/contributors&gt;&lt;titles&gt;&lt;title&gt;Influence of Poor Oral Health on Physical Frailty: A Population‐Based Cohort Study of Older British Men&lt;/title&gt;&lt;secondary-title&gt;Journal of the American Geriatrics Society&lt;/secondary-title&gt;&lt;/titles&gt;&lt;periodical&gt;&lt;full-title&gt;Journal of the American Geriatrics Society&lt;/full-title&gt;&lt;/periodical&gt;&lt;pages&gt;473-479&lt;/pages&gt;&lt;volume&gt;66&lt;/volume&gt;&lt;number&gt;3&lt;/number&gt;&lt;dates&gt;&lt;year&gt;2018&lt;/year&gt;&lt;/dates&gt;&lt;isbn&gt;0002-8614&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24</w:t>
        </w:r>
        <w:r w:rsidR="0036052C" w:rsidRPr="009D1CA6">
          <w:rPr>
            <w:rFonts w:asciiTheme="majorBidi" w:hAnsiTheme="majorBidi" w:cstheme="majorBidi"/>
          </w:rPr>
          <w:fldChar w:fldCharType="end"/>
        </w:r>
      </w:hyperlink>
      <w:r w:rsidR="00974371" w:rsidRPr="009D1CA6">
        <w:rPr>
          <w:rFonts w:asciiTheme="majorBidi" w:hAnsiTheme="majorBidi" w:cstheme="majorBidi"/>
        </w:rPr>
        <w:t xml:space="preserve"> number of teeth</w:t>
      </w:r>
      <w:r w:rsidR="001D5944">
        <w:rPr>
          <w:rFonts w:asciiTheme="majorBidi" w:hAnsiTheme="majorBidi" w:cstheme="majorBidi"/>
        </w:rPr>
        <w:t>,</w:t>
      </w:r>
      <w:hyperlink w:anchor="_ENREF_25" w:tooltip="Castrejón-Pérez, 2017 #54"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&lt;EndNote&gt;&lt;Cite&gt;&lt;Author&gt;Castrejón-Pérez&lt;/Author&gt;&lt;Year&gt;2017&lt;/Year&gt;&lt;RecNum&gt;54&lt;/RecNum&gt;&lt;DisplayText&gt;&lt;style face="superscript"&gt;25&lt;/style&gt;&lt;/DisplayText&gt;&lt;record&gt;&lt;rec-number&gt;54&lt;/rec-number&gt;&lt;foreign-keys&gt;&lt;key app="EN" db-id="rvxe0exprat2w9evvvvxwe2owzrpwfzpzzv5"&gt;54&lt;/key&gt;&lt;/foreign-keys&gt;&lt;ref-type name="Journal Article"&gt;17&lt;/ref-type&gt;&lt;contributors&gt;&lt;authors&gt;&lt;author&gt;Castrejón-Pérez, Roberto Carlos&lt;/author&gt;&lt;author&gt;Jiménez-Corona, Aida&lt;/author&gt;&lt;author&gt;Bernabé, Eduardo&lt;/author&gt;&lt;author&gt;Villa-Romero, Antonio R&lt;/author&gt;&lt;author&gt;Arrivé, Elise&lt;/author&gt;&lt;author&gt;Dartigues, Jean-François&lt;/author&gt;&lt;author&gt;Gutiérrez-Robledo, Luis Miguel&lt;/author&gt;&lt;author&gt;Borges-Yáñez, S Aída&lt;/author&gt;&lt;/authors&gt;&lt;/contributors&gt;&lt;titles&gt;&lt;title&gt;Oral disease and 3-year incidence of frailty in Mexican older adults&lt;/title&gt;&lt;secondary-title&gt;The Journals of Gerontology: Series A&lt;/secondary-title&gt;&lt;/titles&gt;&lt;periodical&gt;&lt;full-title&gt;The Journals of Gerontology: Series A&lt;/full-title&gt;&lt;/periodical&gt;&lt;pages&gt;951-957&lt;/pages&gt;&lt;volume&gt;72&lt;/volume&gt;&lt;number&gt;7&lt;/number&gt;&lt;dates&gt;&lt;year&gt;2017&lt;/year&gt;&lt;/dates&gt;&lt;isbn&gt;1079-5006&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25</w:t>
        </w:r>
        <w:r w:rsidR="0036052C" w:rsidRPr="009D1CA6">
          <w:rPr>
            <w:rFonts w:asciiTheme="majorBidi" w:hAnsiTheme="majorBidi" w:cstheme="majorBidi"/>
          </w:rPr>
          <w:fldChar w:fldCharType="end"/>
        </w:r>
      </w:hyperlink>
      <w:r w:rsidR="00974371" w:rsidRPr="009D1CA6">
        <w:rPr>
          <w:rFonts w:asciiTheme="majorBidi" w:hAnsiTheme="majorBidi" w:cstheme="majorBidi"/>
        </w:rPr>
        <w:t xml:space="preserve"> having more than 20 teeth</w:t>
      </w:r>
      <w:r w:rsidR="001D5944">
        <w:rPr>
          <w:rFonts w:asciiTheme="majorBidi" w:hAnsiTheme="majorBidi" w:cstheme="majorBidi"/>
        </w:rPr>
        <w:t>,</w:t>
      </w:r>
      <w:hyperlink w:anchor="_ENREF_26" w:tooltip="Lee, 2018 #47"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&lt;EndNote&gt;&lt;Cite&gt;&lt;Author&gt;Lee&lt;/Author&gt;&lt;Year&gt;2018&lt;/Year&gt;&lt;RecNum&gt;47&lt;/RecNum&gt;&lt;DisplayText&gt;&lt;style face="superscript"&gt;26&lt;/style&gt;&lt;/DisplayText&gt;&lt;record&gt;&lt;rec-number&gt;47&lt;/rec-number&gt;&lt;foreign-keys&gt;&lt;key app="EN" db-id="rvxe0exprat2w9evvvvxwe2owzrpwfzpzzv5"&gt;47&lt;/key&gt;&lt;/foreign-keys&gt;&lt;ref-type name="Journal Article"&gt;17&lt;/ref-type&gt;&lt;contributors&gt;&lt;authors&gt;&lt;author&gt;Lee, Seoyoung&lt;/author&gt;&lt;author&gt;Sabbah, Wael&lt;/author&gt;&lt;/authors&gt;&lt;/contributors&gt;&lt;titles&gt;&lt;title&gt;Association between number of teeth, use of dentures and musculoskeletal frailty among older adults&lt;/title&gt;&lt;secondary-title&gt;Geriatrics &amp;amp; gerontology international&lt;/secondary-title&gt;&lt;/titles&gt;&lt;periodical&gt;&lt;full-title&gt;Geriatrics &amp;amp; gerontology international&lt;/full-title&gt;&lt;/periodical&gt;&lt;pages&gt;592-598&lt;/pages&gt;&lt;volume&gt;18&lt;/volume&gt;&lt;number&gt;4&lt;/number&gt;&lt;dates&gt;&lt;year&gt;2018&lt;/year&gt;&lt;/dates&gt;&lt;isbn&gt;1444-1586&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26</w:t>
        </w:r>
        <w:r w:rsidR="0036052C" w:rsidRPr="009D1CA6">
          <w:rPr>
            <w:rFonts w:asciiTheme="majorBidi" w:hAnsiTheme="majorBidi" w:cstheme="majorBidi"/>
          </w:rPr>
          <w:fldChar w:fldCharType="end"/>
        </w:r>
      </w:hyperlink>
      <w:r w:rsidR="00974371" w:rsidRPr="009D1CA6">
        <w:rPr>
          <w:rFonts w:asciiTheme="majorBidi" w:hAnsiTheme="majorBidi" w:cstheme="majorBidi"/>
        </w:rPr>
        <w:t xml:space="preserve"> were associated with frailty. </w:t>
      </w:r>
      <w:r w:rsidR="001C29C2" w:rsidRPr="009D1CA6">
        <w:rPr>
          <w:rFonts w:asciiTheme="majorBidi" w:hAnsiTheme="majorBidi" w:cstheme="majorBidi"/>
        </w:rPr>
        <w:t xml:space="preserve"> This could be </w:t>
      </w:r>
      <w:r w:rsidR="00FA673F">
        <w:rPr>
          <w:rFonts w:asciiTheme="majorBidi" w:hAnsiTheme="majorBidi" w:cstheme="majorBidi"/>
        </w:rPr>
        <w:t xml:space="preserve">attributed to </w:t>
      </w:r>
      <w:r w:rsidR="001C29C2" w:rsidRPr="009D1CA6">
        <w:rPr>
          <w:rFonts w:asciiTheme="majorBidi" w:hAnsiTheme="majorBidi" w:cstheme="majorBidi"/>
        </w:rPr>
        <w:t xml:space="preserve">the effect </w:t>
      </w:r>
      <w:r w:rsidR="00880845">
        <w:rPr>
          <w:rFonts w:asciiTheme="majorBidi" w:hAnsiTheme="majorBidi" w:cstheme="majorBidi"/>
        </w:rPr>
        <w:t xml:space="preserve">having </w:t>
      </w:r>
      <w:r w:rsidR="00FA673F">
        <w:rPr>
          <w:rFonts w:asciiTheme="majorBidi" w:hAnsiTheme="majorBidi" w:cstheme="majorBidi"/>
        </w:rPr>
        <w:t xml:space="preserve">fewer teeth </w:t>
      </w:r>
      <w:r w:rsidR="00893B94">
        <w:rPr>
          <w:rFonts w:asciiTheme="majorBidi" w:hAnsiTheme="majorBidi" w:cstheme="majorBidi"/>
        </w:rPr>
        <w:t>on</w:t>
      </w:r>
      <w:r w:rsidR="001C29C2" w:rsidRPr="009D1CA6">
        <w:rPr>
          <w:rFonts w:asciiTheme="majorBidi" w:hAnsiTheme="majorBidi" w:cstheme="majorBidi"/>
        </w:rPr>
        <w:t xml:space="preserve"> chewing </w:t>
      </w:r>
      <w:r w:rsidR="00EC5B19">
        <w:rPr>
          <w:rFonts w:asciiTheme="majorBidi" w:hAnsiTheme="majorBidi" w:cstheme="majorBidi"/>
        </w:rPr>
        <w:t>abilities</w:t>
      </w:r>
      <w:r w:rsidR="00FA673F">
        <w:rPr>
          <w:rFonts w:asciiTheme="majorBidi" w:hAnsiTheme="majorBidi" w:cstheme="majorBidi"/>
        </w:rPr>
        <w:t xml:space="preserve"> which subsequently impacts </w:t>
      </w:r>
      <w:r w:rsidR="001C29C2" w:rsidRPr="009D1CA6">
        <w:rPr>
          <w:rFonts w:asciiTheme="majorBidi" w:hAnsiTheme="majorBidi" w:cstheme="majorBidi"/>
        </w:rPr>
        <w:t xml:space="preserve">changes of </w:t>
      </w:r>
      <w:r w:rsidR="008279BF">
        <w:rPr>
          <w:rFonts w:asciiTheme="majorBidi" w:hAnsiTheme="majorBidi" w:cstheme="majorBidi"/>
        </w:rPr>
        <w:t>food</w:t>
      </w:r>
      <w:r w:rsidR="001C29C2" w:rsidRPr="009D1CA6">
        <w:rPr>
          <w:rFonts w:asciiTheme="majorBidi" w:hAnsiTheme="majorBidi" w:cstheme="majorBidi"/>
        </w:rPr>
        <w:t xml:space="preserve"> quality and quantity </w:t>
      </w:r>
      <w:r w:rsidR="00FA673F">
        <w:rPr>
          <w:rFonts w:asciiTheme="majorBidi" w:hAnsiTheme="majorBidi" w:cstheme="majorBidi"/>
        </w:rPr>
        <w:t>leading to inadequate</w:t>
      </w:r>
      <w:r w:rsidR="001C29C2" w:rsidRPr="009D1CA6">
        <w:rPr>
          <w:rFonts w:asciiTheme="majorBidi" w:hAnsiTheme="majorBidi" w:cstheme="majorBidi"/>
        </w:rPr>
        <w:t xml:space="preserve"> nutritional </w:t>
      </w:r>
      <w:r w:rsidR="005D72C6">
        <w:rPr>
          <w:rFonts w:asciiTheme="majorBidi" w:hAnsiTheme="majorBidi" w:cstheme="majorBidi"/>
        </w:rPr>
        <w:t>intake</w:t>
      </w:r>
      <w:r w:rsidR="001D5944">
        <w:rPr>
          <w:rFonts w:asciiTheme="majorBidi" w:hAnsiTheme="majorBidi" w:cstheme="majorBidi"/>
        </w:rPr>
        <w:t>.</w:t>
      </w:r>
      <w:r w:rsidR="004F7E95">
        <w:rPr>
          <w:rFonts w:asciiTheme="majorBidi" w:hAnsiTheme="majorBidi" w:cstheme="majorBidi"/>
        </w:rPr>
        <w:t xml:space="preserve"> </w:t>
      </w:r>
      <w:hyperlink w:anchor="_ENREF_16" w:tooltip="Hakeem, 2019 #151"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&lt;EndNote&gt;&lt;Cite&gt;&lt;Author&gt;Hakeem&lt;/Author&gt;&lt;Year&gt;2019&lt;/Year&gt;&lt;RecNum&gt;151&lt;/RecNum&gt;&lt;DisplayText&gt;&lt;style face="superscript"&gt;16&lt;/style&gt;&lt;/DisplayText&gt;&lt;record&gt;&lt;rec-number&gt;151&lt;/rec-number&gt;&lt;foreign-keys&gt;&lt;key app="EN" db-id="90pv252x7xpz25etx2i5affuwe2ffaptfsvz" timestamp="1589105688"&gt;151&lt;/key&gt;&lt;/foreign-keys&gt;&lt;ref-type name="Journal Article"&gt;17&lt;/ref-type&gt;&lt;contributors&gt;&lt;authors&gt;&lt;author&gt;Hakeem, Faisal F&lt;/author&gt;&lt;author&gt;Bernabé, Eduardo&lt;/author&gt;&lt;author&gt;Sabbah, Wael&lt;/author&gt;&lt;/authors&gt;&lt;/contributors&gt;&lt;titles&gt;&lt;title&gt;Association between oral health and frailty: a systematic review of longitudinal studies&lt;/title&gt;&lt;secondary-title&gt;Gerodontology&lt;/secondary-title&gt;&lt;/titles&gt;&lt;periodical&gt;&lt;full-title&gt;Gerodontology&lt;/full-title&gt;&lt;/periodical&gt;&lt;pages&gt;205-215&lt;/pages&gt;&lt;volume&gt;36&lt;/volume&gt;&lt;number&gt;3&lt;/number&gt;&lt;dates&gt;&lt;year&gt;2019&lt;/year&gt;&lt;/dates&gt;&lt;isbn&gt;0734-0664&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16</w:t>
        </w:r>
        <w:r w:rsidR="0036052C">
          <w:rPr>
            <w:rFonts w:asciiTheme="majorBidi" w:hAnsiTheme="majorBidi" w:cstheme="majorBidi"/>
          </w:rPr>
          <w:fldChar w:fldCharType="end"/>
        </w:r>
      </w:hyperlink>
    </w:p>
    <w:p w14:paraId="48BDD483" w14:textId="4FC9DC99" w:rsidR="00532512" w:rsidRPr="002D00F2" w:rsidRDefault="00055560" w:rsidP="00C526F6">
      <w:pPr>
        <w:spacing w:line="480" w:lineRule="auto"/>
        <w:jc w:val="both"/>
        <w:rPr>
          <w:rFonts w:asciiTheme="majorBidi" w:hAnsiTheme="majorBidi" w:cstheme="majorBidi"/>
        </w:rPr>
      </w:pPr>
      <w:r w:rsidRPr="002D00F2">
        <w:rPr>
          <w:rFonts w:asciiTheme="majorBidi" w:hAnsiTheme="majorBidi" w:cstheme="majorBidi"/>
        </w:rPr>
        <w:t>Previous studies have found</w:t>
      </w:r>
      <w:r w:rsidR="001B4D5A" w:rsidRPr="002D00F2">
        <w:rPr>
          <w:rFonts w:asciiTheme="majorBidi" w:hAnsiTheme="majorBidi" w:cstheme="majorBidi"/>
        </w:rPr>
        <w:t xml:space="preserve"> conflicting results </w:t>
      </w:r>
      <w:r w:rsidR="00225C49">
        <w:rPr>
          <w:rFonts w:asciiTheme="majorBidi" w:hAnsiTheme="majorBidi" w:cstheme="majorBidi"/>
        </w:rPr>
        <w:t>pertaining to</w:t>
      </w:r>
      <w:r w:rsidR="001B4D5A" w:rsidRPr="002D00F2">
        <w:rPr>
          <w:rFonts w:asciiTheme="majorBidi" w:hAnsiTheme="majorBidi" w:cstheme="majorBidi"/>
        </w:rPr>
        <w:t xml:space="preserve"> th</w:t>
      </w:r>
      <w:r w:rsidR="00A20934" w:rsidRPr="002D00F2">
        <w:rPr>
          <w:rFonts w:asciiTheme="majorBidi" w:hAnsiTheme="majorBidi" w:cstheme="majorBidi"/>
        </w:rPr>
        <w:t>e</w:t>
      </w:r>
      <w:r w:rsidR="001B4D5A" w:rsidRPr="002D00F2">
        <w:rPr>
          <w:rFonts w:asciiTheme="majorBidi" w:hAnsiTheme="majorBidi" w:cstheme="majorBidi"/>
        </w:rPr>
        <w:t xml:space="preserve"> association</w:t>
      </w:r>
      <w:r w:rsidR="00A20934" w:rsidRPr="002D00F2">
        <w:rPr>
          <w:rFonts w:asciiTheme="majorBidi" w:hAnsiTheme="majorBidi" w:cstheme="majorBidi"/>
        </w:rPr>
        <w:t xml:space="preserve"> between periodontal disease and frailty</w:t>
      </w:r>
      <w:r w:rsidR="001B4D5A" w:rsidRPr="002D00F2">
        <w:rPr>
          <w:rFonts w:asciiTheme="majorBidi" w:hAnsiTheme="majorBidi" w:cstheme="majorBidi"/>
        </w:rPr>
        <w:t xml:space="preserve">. </w:t>
      </w:r>
      <w:r w:rsidR="001F4A42" w:rsidRPr="002D00F2">
        <w:rPr>
          <w:rFonts w:asciiTheme="majorBidi" w:hAnsiTheme="majorBidi" w:cstheme="majorBidi"/>
        </w:rPr>
        <w:t>Ramsay and colleagues</w:t>
      </w:r>
      <w:r w:rsidR="00EB663A" w:rsidRPr="002D00F2">
        <w:rPr>
          <w:rFonts w:asciiTheme="majorBidi" w:hAnsiTheme="majorBidi" w:cstheme="majorBidi"/>
        </w:rPr>
        <w:t xml:space="preserve"> found that</w:t>
      </w:r>
      <w:r w:rsidR="001F4A42" w:rsidRPr="002D00F2">
        <w:rPr>
          <w:rFonts w:asciiTheme="majorBidi" w:hAnsiTheme="majorBidi" w:cstheme="majorBidi"/>
        </w:rPr>
        <w:t xml:space="preserve"> </w:t>
      </w:r>
      <w:r w:rsidR="00D512B0" w:rsidRPr="002D00F2">
        <w:rPr>
          <w:rFonts w:asciiTheme="majorBidi" w:hAnsiTheme="majorBidi" w:cstheme="majorBidi"/>
        </w:rPr>
        <w:t>periodontal disease markers</w:t>
      </w:r>
      <w:r w:rsidR="00EB663A" w:rsidRPr="002D00F2">
        <w:rPr>
          <w:rFonts w:asciiTheme="majorBidi" w:hAnsiTheme="majorBidi" w:cstheme="majorBidi"/>
        </w:rPr>
        <w:t xml:space="preserve"> (</w:t>
      </w:r>
      <w:r w:rsidR="00780CCA" w:rsidRPr="002D00F2">
        <w:rPr>
          <w:rFonts w:asciiTheme="majorBidi" w:hAnsiTheme="majorBidi" w:cstheme="majorBidi"/>
        </w:rPr>
        <w:t>Pocket</w:t>
      </w:r>
      <w:r w:rsidR="00EB663A" w:rsidRPr="002D00F2">
        <w:rPr>
          <w:rFonts w:asciiTheme="majorBidi" w:hAnsiTheme="majorBidi" w:cstheme="majorBidi"/>
        </w:rPr>
        <w:t xml:space="preserve"> depth and</w:t>
      </w:r>
      <w:r w:rsidR="002476D7">
        <w:rPr>
          <w:rFonts w:asciiTheme="majorBidi" w:hAnsiTheme="majorBidi" w:cstheme="majorBidi"/>
        </w:rPr>
        <w:t xml:space="preserve"> </w:t>
      </w:r>
      <w:r w:rsidR="00475A4A">
        <w:rPr>
          <w:rFonts w:asciiTheme="majorBidi" w:hAnsiTheme="majorBidi" w:cstheme="majorBidi"/>
        </w:rPr>
        <w:t>clinical</w:t>
      </w:r>
      <w:r w:rsidR="002476D7">
        <w:rPr>
          <w:rFonts w:asciiTheme="majorBidi" w:hAnsiTheme="majorBidi" w:cstheme="majorBidi"/>
        </w:rPr>
        <w:t xml:space="preserve"> attachment loss</w:t>
      </w:r>
      <w:r w:rsidR="006A1016" w:rsidRPr="002D00F2">
        <w:rPr>
          <w:rFonts w:asciiTheme="majorBidi" w:hAnsiTheme="majorBidi" w:cstheme="majorBidi"/>
        </w:rPr>
        <w:t xml:space="preserve"> measure</w:t>
      </w:r>
      <w:r w:rsidR="00205BFA" w:rsidRPr="002D00F2">
        <w:rPr>
          <w:rFonts w:asciiTheme="majorBidi" w:hAnsiTheme="majorBidi" w:cstheme="majorBidi"/>
        </w:rPr>
        <w:t>d</w:t>
      </w:r>
      <w:r w:rsidR="006A1016" w:rsidRPr="002D00F2">
        <w:rPr>
          <w:rFonts w:asciiTheme="majorBidi" w:hAnsiTheme="majorBidi" w:cstheme="majorBidi"/>
        </w:rPr>
        <w:t xml:space="preserve"> on six index teeth)</w:t>
      </w:r>
      <w:r w:rsidR="00D512B0" w:rsidRPr="002D00F2">
        <w:rPr>
          <w:rFonts w:asciiTheme="majorBidi" w:hAnsiTheme="majorBidi" w:cstheme="majorBidi"/>
        </w:rPr>
        <w:t xml:space="preserve"> </w:t>
      </w:r>
      <w:r w:rsidR="009761FE" w:rsidRPr="002D00F2">
        <w:rPr>
          <w:rFonts w:asciiTheme="majorBidi" w:hAnsiTheme="majorBidi" w:cstheme="majorBidi"/>
        </w:rPr>
        <w:t>w</w:t>
      </w:r>
      <w:r w:rsidR="006A1016" w:rsidRPr="002D00F2">
        <w:rPr>
          <w:rFonts w:asciiTheme="majorBidi" w:hAnsiTheme="majorBidi" w:cstheme="majorBidi"/>
        </w:rPr>
        <w:t>ere</w:t>
      </w:r>
      <w:r w:rsidR="009761FE" w:rsidRPr="002D00F2">
        <w:rPr>
          <w:rFonts w:asciiTheme="majorBidi" w:hAnsiTheme="majorBidi" w:cstheme="majorBidi"/>
        </w:rPr>
        <w:t xml:space="preserve"> not </w:t>
      </w:r>
      <w:r w:rsidR="00D512B0" w:rsidRPr="002D00F2">
        <w:rPr>
          <w:rFonts w:asciiTheme="majorBidi" w:hAnsiTheme="majorBidi" w:cstheme="majorBidi"/>
        </w:rPr>
        <w:t>associated with frailty</w:t>
      </w:r>
      <w:r w:rsidR="00F4397D" w:rsidRPr="002D00F2">
        <w:rPr>
          <w:rFonts w:asciiTheme="majorBidi" w:hAnsiTheme="majorBidi" w:cstheme="majorBidi"/>
        </w:rPr>
        <w:t xml:space="preserve"> phenotype </w:t>
      </w:r>
      <w:r w:rsidR="00225C49">
        <w:rPr>
          <w:rFonts w:asciiTheme="majorBidi" w:hAnsiTheme="majorBidi" w:cstheme="majorBidi"/>
        </w:rPr>
        <w:t>in</w:t>
      </w:r>
      <w:r w:rsidR="00F4397D" w:rsidRPr="002D00F2">
        <w:rPr>
          <w:rFonts w:asciiTheme="majorBidi" w:hAnsiTheme="majorBidi" w:cstheme="majorBidi"/>
        </w:rPr>
        <w:t xml:space="preserve"> cross-sectional and </w:t>
      </w:r>
      <w:r w:rsidR="00EB663A" w:rsidRPr="002D00F2">
        <w:rPr>
          <w:rFonts w:asciiTheme="majorBidi" w:hAnsiTheme="majorBidi" w:cstheme="majorBidi"/>
        </w:rPr>
        <w:t>prospective</w:t>
      </w:r>
      <w:r w:rsidR="00F4397D" w:rsidRPr="002D00F2">
        <w:rPr>
          <w:rFonts w:asciiTheme="majorBidi" w:hAnsiTheme="majorBidi" w:cstheme="majorBidi"/>
        </w:rPr>
        <w:t xml:space="preserve"> </w:t>
      </w:r>
      <w:r w:rsidR="00225C49">
        <w:rPr>
          <w:rFonts w:asciiTheme="majorBidi" w:hAnsiTheme="majorBidi" w:cstheme="majorBidi"/>
        </w:rPr>
        <w:t>analyses</w:t>
      </w:r>
      <w:r w:rsidR="00225C49" w:rsidRPr="002D00F2">
        <w:rPr>
          <w:rFonts w:asciiTheme="majorBidi" w:hAnsiTheme="majorBidi" w:cstheme="majorBidi"/>
        </w:rPr>
        <w:t xml:space="preserve"> </w:t>
      </w:r>
      <w:r w:rsidR="00225C49">
        <w:rPr>
          <w:rFonts w:asciiTheme="majorBidi" w:hAnsiTheme="majorBidi" w:cstheme="majorBidi"/>
        </w:rPr>
        <w:t>of data on</w:t>
      </w:r>
      <w:r w:rsidR="00225C49" w:rsidRPr="002D00F2">
        <w:rPr>
          <w:rFonts w:asciiTheme="majorBidi" w:hAnsiTheme="majorBidi" w:cstheme="majorBidi"/>
        </w:rPr>
        <w:t xml:space="preserve"> </w:t>
      </w:r>
      <w:r w:rsidR="0056704F" w:rsidRPr="002D00F2">
        <w:rPr>
          <w:rFonts w:asciiTheme="majorBidi" w:hAnsiTheme="majorBidi" w:cstheme="majorBidi"/>
        </w:rPr>
        <w:t xml:space="preserve">older </w:t>
      </w:r>
      <w:r w:rsidR="00A8548B" w:rsidRPr="002D00F2">
        <w:rPr>
          <w:rFonts w:asciiTheme="majorBidi" w:hAnsiTheme="majorBidi" w:cstheme="majorBidi"/>
        </w:rPr>
        <w:t>British men</w:t>
      </w:r>
      <w:r w:rsidR="001D5944">
        <w:rPr>
          <w:rFonts w:asciiTheme="majorBidi" w:hAnsiTheme="majorBidi" w:cstheme="majorBidi"/>
        </w:rPr>
        <w:t>.</w:t>
      </w:r>
      <w:hyperlink w:anchor="_ENREF_24" w:tooltip="Ramsay, 2018 #52" w:history="1">
        <w:r w:rsidR="0036052C" w:rsidRPr="002D00F2">
          <w:rPr>
            <w:rFonts w:asciiTheme="majorBidi" w:hAnsiTheme="majorBidi" w:cstheme="majorBidi"/>
          </w:rPr>
          <w:fldChar w:fldCharType="begin"/>
        </w:r>
        <w:r w:rsidR="0036052C">
          <w:rPr>
            <w:rFonts w:asciiTheme="majorBidi" w:hAnsiTheme="majorBidi" w:cstheme="majorBidi"/>
          </w:rPr>
          <w:instrText xml:space="preserve"> ADDIN EN.CITE &lt;EndNote&gt;&lt;Cite&gt;&lt;Author&gt;Ramsay&lt;/Author&gt;&lt;Year&gt;2018&lt;/Year&gt;&lt;RecNum&gt;52&lt;/RecNum&gt;&lt;DisplayText&gt;&lt;style face="superscript"&gt;24&lt;/style&gt;&lt;/DisplayText&gt;&lt;record&gt;&lt;rec-number&gt;52&lt;/rec-number&gt;&lt;foreign-keys&gt;&lt;key app="EN" db-id="rvxe0exprat2w9evvvvxwe2owzrpwfzpzzv5"&gt;52&lt;/key&gt;&lt;/foreign-keys&gt;&lt;ref-type name="Journal Article"&gt;17&lt;/ref-type&gt;&lt;contributors&gt;&lt;authors&gt;&lt;author&gt;Ramsay, Sheena E&lt;/author&gt;&lt;author&gt;Papachristou, Efstathios&lt;/author&gt;&lt;author&gt;Watt, Richard G&lt;/author&gt;&lt;author&gt;Tsakos, Georgios&lt;/author&gt;&lt;author&gt;Lennon, Lucy T&lt;/author&gt;&lt;author&gt;Papacosta, A Olia&lt;/author&gt;&lt;author&gt;Moynihan, Paula&lt;/author&gt;&lt;author&gt;Sayer, Avan A&lt;/author&gt;&lt;author&gt;Whincup, Peter H&lt;/author&gt;&lt;author&gt;Wannamethee, S Goya&lt;/author&gt;&lt;/authors&gt;&lt;/contributors&gt;&lt;titles&gt;&lt;title&gt;Influence of Poor Oral Health on Physical Frailty: A Population‐Based Cohort Study of Older British Men&lt;/title&gt;&lt;secondary-title&gt;Journal of the American Geriatrics Society&lt;/secondary-title&gt;&lt;/titles&gt;&lt;periodical&gt;&lt;full-title&gt;Journal of the American Geriatrics Society&lt;/full-title&gt;&lt;/periodical&gt;&lt;pages&gt;473-479&lt;/pages&gt;&lt;volume&gt;66&lt;/volume&gt;&lt;number&gt;3&lt;/number&gt;&lt;dates&gt;&lt;year&gt;2018&lt;/year&gt;&lt;/dates&gt;&lt;isbn&gt;0002-8614&lt;/isbn&gt;&lt;urls&gt;&lt;/urls&gt;&lt;/record&gt;&lt;/Cite&gt;&lt;/EndNote&gt;</w:instrText>
        </w:r>
        <w:r w:rsidR="0036052C" w:rsidRPr="002D00F2">
          <w:rPr>
            <w:rFonts w:asciiTheme="majorBidi" w:hAnsiTheme="majorBidi" w:cstheme="majorBidi"/>
          </w:rPr>
          <w:fldChar w:fldCharType="separate"/>
        </w:r>
        <w:r w:rsidR="0036052C" w:rsidRPr="0036052C">
          <w:rPr>
            <w:rFonts w:asciiTheme="majorBidi" w:hAnsiTheme="majorBidi" w:cstheme="majorBidi"/>
            <w:noProof/>
            <w:vertAlign w:val="superscript"/>
          </w:rPr>
          <w:t>24</w:t>
        </w:r>
        <w:r w:rsidR="0036052C" w:rsidRPr="002D00F2">
          <w:rPr>
            <w:rFonts w:asciiTheme="majorBidi" w:hAnsiTheme="majorBidi" w:cstheme="majorBidi"/>
          </w:rPr>
          <w:fldChar w:fldCharType="end"/>
        </w:r>
      </w:hyperlink>
      <w:r w:rsidR="00A8548B" w:rsidRPr="002D00F2">
        <w:rPr>
          <w:rFonts w:asciiTheme="majorBidi" w:hAnsiTheme="majorBidi" w:cstheme="majorBidi"/>
        </w:rPr>
        <w:t xml:space="preserve"> On the other hand, </w:t>
      </w:r>
      <w:r w:rsidR="00EC5B19" w:rsidRPr="00CB6FD4">
        <w:t>Castrejón-Pérez</w:t>
      </w:r>
      <w:r w:rsidR="00EC5B19" w:rsidRPr="002D00F2" w:rsidDel="00EC5B19">
        <w:rPr>
          <w:rFonts w:asciiTheme="majorBidi" w:hAnsiTheme="majorBidi" w:cstheme="majorBidi"/>
        </w:rPr>
        <w:t xml:space="preserve"> </w:t>
      </w:r>
      <w:r w:rsidR="008551D1" w:rsidRPr="002D00F2">
        <w:rPr>
          <w:rFonts w:asciiTheme="majorBidi" w:hAnsiTheme="majorBidi" w:cstheme="majorBidi"/>
        </w:rPr>
        <w:t xml:space="preserve">and </w:t>
      </w:r>
      <w:r w:rsidR="007B715A" w:rsidRPr="002D00F2">
        <w:rPr>
          <w:rFonts w:asciiTheme="majorBidi" w:hAnsiTheme="majorBidi" w:cstheme="majorBidi"/>
        </w:rPr>
        <w:t xml:space="preserve">colleagues found that </w:t>
      </w:r>
      <w:r w:rsidR="003945F8" w:rsidRPr="002D00F2">
        <w:rPr>
          <w:rFonts w:asciiTheme="majorBidi" w:hAnsiTheme="majorBidi" w:cstheme="majorBidi"/>
        </w:rPr>
        <w:t>sever</w:t>
      </w:r>
      <w:r w:rsidR="00EC5B19">
        <w:rPr>
          <w:rFonts w:asciiTheme="majorBidi" w:hAnsiTheme="majorBidi" w:cstheme="majorBidi"/>
        </w:rPr>
        <w:t>e</w:t>
      </w:r>
      <w:r w:rsidR="003945F8" w:rsidRPr="002D00F2">
        <w:rPr>
          <w:rFonts w:asciiTheme="majorBidi" w:hAnsiTheme="majorBidi" w:cstheme="majorBidi"/>
        </w:rPr>
        <w:t xml:space="preserve"> periodontitis </w:t>
      </w:r>
      <w:r w:rsidR="00F41C38" w:rsidRPr="002D00F2">
        <w:rPr>
          <w:rFonts w:asciiTheme="majorBidi" w:hAnsiTheme="majorBidi" w:cstheme="majorBidi"/>
        </w:rPr>
        <w:t>(</w:t>
      </w:r>
      <w:r w:rsidR="00F87B4A" w:rsidRPr="002D00F2">
        <w:rPr>
          <w:rFonts w:asciiTheme="majorBidi" w:hAnsiTheme="majorBidi" w:cstheme="majorBidi"/>
        </w:rPr>
        <w:t>based on po</w:t>
      </w:r>
      <w:r w:rsidR="006E15CE">
        <w:rPr>
          <w:rFonts w:asciiTheme="majorBidi" w:hAnsiTheme="majorBidi" w:cstheme="majorBidi"/>
        </w:rPr>
        <w:t>c</w:t>
      </w:r>
      <w:r w:rsidR="00F87B4A" w:rsidRPr="002D00F2">
        <w:rPr>
          <w:rFonts w:asciiTheme="majorBidi" w:hAnsiTheme="majorBidi" w:cstheme="majorBidi"/>
        </w:rPr>
        <w:t>ke</w:t>
      </w:r>
      <w:r w:rsidR="006E15CE">
        <w:rPr>
          <w:rFonts w:asciiTheme="majorBidi" w:hAnsiTheme="majorBidi" w:cstheme="majorBidi"/>
        </w:rPr>
        <w:t>t</w:t>
      </w:r>
      <w:r w:rsidR="00F87B4A" w:rsidRPr="002D00F2">
        <w:rPr>
          <w:rFonts w:asciiTheme="majorBidi" w:hAnsiTheme="majorBidi" w:cstheme="majorBidi"/>
        </w:rPr>
        <w:t xml:space="preserve"> depth </w:t>
      </w:r>
      <w:r w:rsidR="00F41C38" w:rsidRPr="002D00F2">
        <w:rPr>
          <w:rFonts w:asciiTheme="majorBidi" w:hAnsiTheme="majorBidi" w:cstheme="majorBidi"/>
        </w:rPr>
        <w:t>measured</w:t>
      </w:r>
      <w:r w:rsidR="00CC7CDF" w:rsidRPr="002D00F2">
        <w:rPr>
          <w:rFonts w:asciiTheme="majorBidi" w:hAnsiTheme="majorBidi" w:cstheme="majorBidi"/>
        </w:rPr>
        <w:t xml:space="preserve"> on six sites per tooth</w:t>
      </w:r>
      <w:r w:rsidR="00D706FD">
        <w:rPr>
          <w:rFonts w:asciiTheme="majorBidi" w:hAnsiTheme="majorBidi" w:cstheme="majorBidi"/>
        </w:rPr>
        <w:t xml:space="preserve"> with the highest score recorded</w:t>
      </w:r>
      <w:r w:rsidR="002F1CDA" w:rsidRPr="002D00F2">
        <w:rPr>
          <w:rFonts w:asciiTheme="majorBidi" w:hAnsiTheme="majorBidi" w:cstheme="majorBidi"/>
        </w:rPr>
        <w:t>)</w:t>
      </w:r>
      <w:r w:rsidR="00F41C38" w:rsidRPr="002D00F2">
        <w:rPr>
          <w:rFonts w:asciiTheme="majorBidi" w:hAnsiTheme="majorBidi" w:cstheme="majorBidi"/>
        </w:rPr>
        <w:t xml:space="preserve"> </w:t>
      </w:r>
      <w:r w:rsidR="003945F8" w:rsidRPr="002D00F2">
        <w:rPr>
          <w:rFonts w:asciiTheme="majorBidi" w:hAnsiTheme="majorBidi" w:cstheme="majorBidi"/>
        </w:rPr>
        <w:t xml:space="preserve">was associated with </w:t>
      </w:r>
      <w:r w:rsidR="00755F3D" w:rsidRPr="002D00F2">
        <w:rPr>
          <w:rFonts w:asciiTheme="majorBidi" w:hAnsiTheme="majorBidi" w:cstheme="majorBidi"/>
        </w:rPr>
        <w:t>three-year inciden</w:t>
      </w:r>
      <w:r w:rsidR="006E15CE">
        <w:rPr>
          <w:rFonts w:asciiTheme="majorBidi" w:hAnsiTheme="majorBidi" w:cstheme="majorBidi"/>
        </w:rPr>
        <w:t>ce</w:t>
      </w:r>
      <w:r w:rsidR="00755F3D" w:rsidRPr="002D00F2">
        <w:rPr>
          <w:rFonts w:asciiTheme="majorBidi" w:hAnsiTheme="majorBidi" w:cstheme="majorBidi"/>
        </w:rPr>
        <w:t xml:space="preserve"> </w:t>
      </w:r>
      <w:r w:rsidR="003945F8" w:rsidRPr="002D00F2">
        <w:rPr>
          <w:rFonts w:asciiTheme="majorBidi" w:hAnsiTheme="majorBidi" w:cstheme="majorBidi"/>
        </w:rPr>
        <w:t>frailty</w:t>
      </w:r>
      <w:r w:rsidR="001D5944">
        <w:rPr>
          <w:rFonts w:asciiTheme="majorBidi" w:hAnsiTheme="majorBidi" w:cstheme="majorBidi"/>
        </w:rPr>
        <w:t>.</w:t>
      </w:r>
      <w:hyperlink w:anchor="_ENREF_25" w:tooltip="Castrejón-Pérez, 2017 #54" w:history="1">
        <w:r w:rsidR="0036052C" w:rsidRPr="002D00F2">
          <w:rPr>
            <w:rFonts w:asciiTheme="majorBidi" w:hAnsiTheme="majorBidi" w:cstheme="majorBidi"/>
          </w:rPr>
          <w:fldChar w:fldCharType="begin"/>
        </w:r>
        <w:r w:rsidR="0036052C">
          <w:rPr>
            <w:rFonts w:asciiTheme="majorBidi" w:hAnsiTheme="majorBidi" w:cstheme="majorBidi"/>
          </w:rPr>
          <w:instrText xml:space="preserve"> ADDIN EN.CITE &lt;EndNote&gt;&lt;Cite&gt;&lt;Author&gt;Castrejón-Pérez&lt;/Author&gt;&lt;Year&gt;2017&lt;/Year&gt;&lt;RecNum&gt;101&lt;/RecNum&gt;&lt;DisplayText&gt;&lt;style face="superscript"&gt;25&lt;/style&gt;&lt;/DisplayText&gt;&lt;record&gt;&lt;rec-number&gt;101&lt;/rec-number&gt;&lt;foreign-keys&gt;&lt;key app="EN" db-id="90pv252x7xpz25etx2i5affuwe2ffaptfsvz" timestamp="1586776915"&gt;101&lt;/key&gt;&lt;/foreign-keys&gt;&lt;ref-type name="Journal Article"&gt;17&lt;/ref-type&gt;&lt;contributors&gt;&lt;authors&gt;&lt;author&gt;Castrejón-Pérez, Roberto Carlos&lt;/author&gt;&lt;author&gt;Jiménez-Corona, Aida&lt;/author&gt;&lt;author&gt;Bernabé, Eduardo&lt;/author&gt;&lt;author&gt;Villa-Romero, Antonio R&lt;/author&gt;&lt;author&gt;Arrivé, Elise&lt;/author&gt;&lt;author&gt;Dartigues, Jean-François&lt;/author&gt;&lt;author&gt;Gutiérrez-Robledo, Luis Miguel&lt;/author&gt;&lt;author&gt;Borges-Yáñez, S Aída&lt;/author&gt;&lt;/authors&gt;&lt;/contributors&gt;&lt;titles&gt;&lt;title&gt;Oral disease and 3-year incidence of frailty in Mexican older adults&lt;/title&gt;&lt;secondary-title&gt;The Journals of Gerontology: Series A&lt;/secondary-title&gt;&lt;/titles&gt;&lt;periodical&gt;&lt;full-title&gt;The Journals of Gerontology: Series A&lt;/full-title&gt;&lt;/periodical&gt;&lt;pages&gt;951-957&lt;/pages&gt;&lt;volume&gt;72&lt;/volume&gt;&lt;number&gt;7&lt;/number&gt;&lt;dates&gt;&lt;year&gt;2017&lt;/year&gt;&lt;/dates&gt;&lt;isbn&gt;1079-5006&lt;/isbn&gt;&lt;urls&gt;&lt;/urls&gt;&lt;/record&gt;&lt;/Cite&gt;&lt;/EndNote&gt;</w:instrText>
        </w:r>
        <w:r w:rsidR="0036052C" w:rsidRPr="002D00F2">
          <w:rPr>
            <w:rFonts w:asciiTheme="majorBidi" w:hAnsiTheme="majorBidi" w:cstheme="majorBidi"/>
          </w:rPr>
          <w:fldChar w:fldCharType="separate"/>
        </w:r>
        <w:r w:rsidR="0036052C" w:rsidRPr="0036052C">
          <w:rPr>
            <w:rFonts w:asciiTheme="majorBidi" w:hAnsiTheme="majorBidi" w:cstheme="majorBidi"/>
            <w:noProof/>
            <w:vertAlign w:val="superscript"/>
          </w:rPr>
          <w:t>25</w:t>
        </w:r>
        <w:r w:rsidR="0036052C" w:rsidRPr="002D00F2">
          <w:rPr>
            <w:rFonts w:asciiTheme="majorBidi" w:hAnsiTheme="majorBidi" w:cstheme="majorBidi"/>
          </w:rPr>
          <w:fldChar w:fldCharType="end"/>
        </w:r>
      </w:hyperlink>
      <w:r w:rsidR="003945F8" w:rsidRPr="002D00F2">
        <w:rPr>
          <w:rFonts w:asciiTheme="majorBidi" w:hAnsiTheme="majorBidi" w:cstheme="majorBidi"/>
        </w:rPr>
        <w:t xml:space="preserve"> </w:t>
      </w:r>
      <w:r w:rsidR="00EE1598" w:rsidRPr="002D00F2">
        <w:rPr>
          <w:rFonts w:asciiTheme="majorBidi" w:hAnsiTheme="majorBidi" w:cstheme="majorBidi"/>
        </w:rPr>
        <w:t xml:space="preserve">Both of these studies used frailty phenotype for defining frailty and did not use established case definition for </w:t>
      </w:r>
      <w:r w:rsidR="00D931CB" w:rsidRPr="002D00F2">
        <w:rPr>
          <w:rFonts w:asciiTheme="majorBidi" w:hAnsiTheme="majorBidi" w:cstheme="majorBidi"/>
        </w:rPr>
        <w:t xml:space="preserve">defining periodontal disease. </w:t>
      </w:r>
      <w:r w:rsidR="00532512" w:rsidRPr="002D00F2">
        <w:rPr>
          <w:rFonts w:asciiTheme="majorBidi" w:hAnsiTheme="majorBidi" w:cstheme="majorBidi"/>
        </w:rPr>
        <w:t xml:space="preserve">In this study, </w:t>
      </w:r>
      <w:r w:rsidR="006E4650" w:rsidRPr="002D00F2">
        <w:rPr>
          <w:rFonts w:asciiTheme="majorBidi" w:hAnsiTheme="majorBidi" w:cstheme="majorBidi"/>
        </w:rPr>
        <w:t xml:space="preserve">we found that </w:t>
      </w:r>
      <w:r w:rsidR="00C326D6" w:rsidRPr="002D00F2">
        <w:rPr>
          <w:rFonts w:asciiTheme="majorBidi" w:hAnsiTheme="majorBidi" w:cstheme="majorBidi"/>
        </w:rPr>
        <w:t xml:space="preserve">older adults with </w:t>
      </w:r>
      <w:r w:rsidR="006E4650" w:rsidRPr="002D00F2">
        <w:rPr>
          <w:rFonts w:asciiTheme="majorBidi" w:hAnsiTheme="majorBidi" w:cstheme="majorBidi"/>
        </w:rPr>
        <w:t>sever</w:t>
      </w:r>
      <w:r w:rsidR="006E15CE">
        <w:rPr>
          <w:rFonts w:asciiTheme="majorBidi" w:hAnsiTheme="majorBidi" w:cstheme="majorBidi"/>
        </w:rPr>
        <w:t>e</w:t>
      </w:r>
      <w:r w:rsidR="006E4650" w:rsidRPr="002D00F2">
        <w:rPr>
          <w:rFonts w:asciiTheme="majorBidi" w:hAnsiTheme="majorBidi" w:cstheme="majorBidi"/>
        </w:rPr>
        <w:t xml:space="preserve">/moderate periodontitis based on </w:t>
      </w:r>
      <w:r w:rsidR="00C326D6" w:rsidRPr="002D00F2">
        <w:rPr>
          <w:rFonts w:asciiTheme="majorBidi" w:hAnsiTheme="majorBidi" w:cstheme="majorBidi"/>
        </w:rPr>
        <w:t>CDC</w:t>
      </w:r>
      <w:r w:rsidR="00E27522">
        <w:rPr>
          <w:rFonts w:asciiTheme="majorBidi" w:hAnsiTheme="majorBidi" w:cstheme="majorBidi"/>
        </w:rPr>
        <w:t>/</w:t>
      </w:r>
      <w:r w:rsidR="00C326D6" w:rsidRPr="002D00F2">
        <w:rPr>
          <w:rFonts w:asciiTheme="majorBidi" w:hAnsiTheme="majorBidi" w:cstheme="majorBidi"/>
        </w:rPr>
        <w:t>AAP definition</w:t>
      </w:r>
      <w:r w:rsidR="00F8722F" w:rsidRPr="002D00F2">
        <w:rPr>
          <w:rFonts w:asciiTheme="majorBidi" w:hAnsiTheme="majorBidi" w:cstheme="majorBidi"/>
        </w:rPr>
        <w:t xml:space="preserve"> had a higher frailty index score compared with older adults </w:t>
      </w:r>
      <w:r w:rsidR="000C7076" w:rsidRPr="002D00F2">
        <w:rPr>
          <w:rFonts w:asciiTheme="majorBidi" w:hAnsiTheme="majorBidi" w:cstheme="majorBidi"/>
        </w:rPr>
        <w:t>with mild or no periodontitis.</w:t>
      </w:r>
      <w:r w:rsidR="00532512" w:rsidRPr="002D00F2">
        <w:rPr>
          <w:rFonts w:asciiTheme="majorBidi" w:hAnsiTheme="majorBidi" w:cstheme="majorBidi"/>
        </w:rPr>
        <w:t xml:space="preserve"> </w:t>
      </w:r>
      <w:r w:rsidR="00B82ACB" w:rsidRPr="002D00F2">
        <w:rPr>
          <w:rFonts w:asciiTheme="majorBidi" w:hAnsiTheme="majorBidi" w:cstheme="majorBidi"/>
        </w:rPr>
        <w:t xml:space="preserve">However, this association was </w:t>
      </w:r>
      <w:r w:rsidR="00F26437" w:rsidRPr="002D00F2">
        <w:rPr>
          <w:rFonts w:asciiTheme="majorBidi" w:hAnsiTheme="majorBidi" w:cstheme="majorBidi"/>
        </w:rPr>
        <w:t>only significant</w:t>
      </w:r>
      <w:r w:rsidR="00532512" w:rsidRPr="002D00F2">
        <w:rPr>
          <w:rFonts w:asciiTheme="majorBidi" w:hAnsiTheme="majorBidi" w:cstheme="majorBidi"/>
        </w:rPr>
        <w:t xml:space="preserve"> after adjusting for age and gender but not after further adjustments </w:t>
      </w:r>
      <w:r w:rsidR="00C117FF" w:rsidRPr="002D00F2">
        <w:rPr>
          <w:rFonts w:asciiTheme="majorBidi" w:hAnsiTheme="majorBidi" w:cstheme="majorBidi"/>
        </w:rPr>
        <w:t xml:space="preserve">of </w:t>
      </w:r>
      <w:r w:rsidR="00C117FF">
        <w:rPr>
          <w:rFonts w:asciiTheme="majorBidi" w:hAnsiTheme="majorBidi" w:cstheme="majorBidi"/>
        </w:rPr>
        <w:t>inadequate</w:t>
      </w:r>
      <w:r w:rsidR="00177523">
        <w:rPr>
          <w:rFonts w:asciiTheme="majorBidi" w:hAnsiTheme="majorBidi" w:cstheme="majorBidi"/>
        </w:rPr>
        <w:t xml:space="preserve"> </w:t>
      </w:r>
      <w:r w:rsidR="00532512" w:rsidRPr="002D00F2">
        <w:rPr>
          <w:rFonts w:asciiTheme="majorBidi" w:hAnsiTheme="majorBidi" w:cstheme="majorBidi"/>
        </w:rPr>
        <w:t>nutritional intake and other covariates.</w:t>
      </w:r>
    </w:p>
    <w:p w14:paraId="01DCDAA4" w14:textId="5CB2EF3E" w:rsidR="00B66E87" w:rsidRPr="002D00F2" w:rsidRDefault="00896E17" w:rsidP="00C526F6">
      <w:pPr>
        <w:spacing w:line="480" w:lineRule="auto"/>
        <w:jc w:val="both"/>
        <w:rPr>
          <w:rFonts w:asciiTheme="majorBidi" w:hAnsiTheme="majorBidi" w:cstheme="majorBidi"/>
        </w:rPr>
      </w:pPr>
      <w:r w:rsidRPr="002D00F2">
        <w:rPr>
          <w:rFonts w:asciiTheme="majorBidi" w:hAnsiTheme="majorBidi" w:cstheme="majorBidi"/>
        </w:rPr>
        <w:t xml:space="preserve">Previous studies have hypothesized that periodontal disease might influence frailty status through </w:t>
      </w:r>
      <w:r w:rsidR="0082361A" w:rsidRPr="002D00F2">
        <w:rPr>
          <w:rFonts w:asciiTheme="majorBidi" w:hAnsiTheme="majorBidi" w:cstheme="majorBidi"/>
        </w:rPr>
        <w:t xml:space="preserve">its association with the inflammatory </w:t>
      </w:r>
      <w:r w:rsidR="008A3B70" w:rsidRPr="002D00F2">
        <w:rPr>
          <w:rFonts w:asciiTheme="majorBidi" w:hAnsiTheme="majorBidi" w:cstheme="majorBidi"/>
        </w:rPr>
        <w:t>biomarkers in the body.</w:t>
      </w:r>
      <w:r w:rsidRPr="002D00F2">
        <w:rPr>
          <w:rFonts w:asciiTheme="majorBidi" w:hAnsiTheme="majorBidi" w:cstheme="majorBidi"/>
        </w:rPr>
        <w:t xml:space="preserve"> </w:t>
      </w:r>
      <w:r w:rsidR="008A3B70" w:rsidRPr="002D00F2">
        <w:rPr>
          <w:rFonts w:asciiTheme="majorBidi" w:hAnsiTheme="majorBidi" w:cstheme="majorBidi"/>
        </w:rPr>
        <w:t xml:space="preserve">However, </w:t>
      </w:r>
      <w:r w:rsidR="003E3B74" w:rsidRPr="002D00F2">
        <w:rPr>
          <w:rFonts w:asciiTheme="majorBidi" w:hAnsiTheme="majorBidi" w:cstheme="majorBidi"/>
        </w:rPr>
        <w:t>the impact of inflammation on frailty is still not fully understood</w:t>
      </w:r>
      <w:r w:rsidR="00266992">
        <w:rPr>
          <w:rFonts w:asciiTheme="majorBidi" w:hAnsiTheme="majorBidi" w:cstheme="majorBidi"/>
        </w:rPr>
        <w:t xml:space="preserve"> </w:t>
      </w:r>
      <w:hyperlink w:anchor="_ENREF_27" w:tooltip="Soysal, 2016 #42" w:history="1">
        <w:r w:rsidR="0036052C" w:rsidRPr="002D00F2">
          <w:rPr>
            <w:rFonts w:asciiTheme="majorBidi" w:hAnsiTheme="majorBidi" w:cstheme="majorBidi"/>
          </w:rPr>
          <w:fldChar w:fldCharType="begin"/>
        </w:r>
        <w:r w:rsidR="0036052C">
          <w:rPr>
            <w:rFonts w:asciiTheme="majorBidi" w:hAnsiTheme="majorBidi" w:cstheme="majorBidi"/>
          </w:rPr>
          <w:instrText xml:space="preserve"> ADDIN EN.CITE &lt;EndNote&gt;&lt;Cite&gt;&lt;Author&gt;Soysal&lt;/Author&gt;&lt;Year&gt;2016&lt;/Year&gt;&lt;RecNum&gt;42&lt;/RecNum&gt;&lt;DisplayText&gt;&lt;style face="superscript"&gt;27&lt;/style&gt;&lt;/DisplayText&gt;&lt;record&gt;&lt;rec-number&gt;42&lt;/rec-number&gt;&lt;foreign-keys&gt;&lt;key app="EN" db-id="rvxe0exprat2w9evvvvxwe2owzrpwfzpzzv5"&gt;42&lt;/key&gt;&lt;/foreign-keys&gt;&lt;ref-type name="Journal Article"&gt;17&lt;/ref-type&gt;&lt;contributors&gt;&lt;authors&gt;&lt;author&gt;Soysal, Pinar&lt;/author&gt;&lt;author&gt;Stubbs, Brendon&lt;/author&gt;&lt;author&gt;Lucato, Paola&lt;/author&gt;&lt;author&gt;Luchini, Claudio&lt;/author&gt;&lt;author&gt;Solmi, Marco&lt;/author&gt;&lt;author&gt;Peluso, Roberto&lt;/author&gt;&lt;author&gt;Sergi, Giuseppe&lt;/author&gt;&lt;author&gt;Isik, Ahmet Turan&lt;/author&gt;&lt;author&gt;Manzato, Enzo&lt;/author&gt;&lt;author&gt;Maggi, Stefania&lt;/author&gt;&lt;/authors&gt;&lt;/contributors&gt;&lt;titles&gt;&lt;title&gt;Inflammation and frailty in the elderly: A systematic review and meta-analysis&lt;/title&gt;&lt;secondary-title&gt;Ageing research reviews&lt;/secondary-title&gt;&lt;/titles&gt;&lt;periodical&gt;&lt;full-title&gt;Ageing research reviews&lt;/full-title&gt;&lt;/periodical&gt;&lt;pages&gt;1-8&lt;/pages&gt;&lt;volume&gt;31&lt;/volume&gt;&lt;dates&gt;&lt;year&gt;2016&lt;/year&gt;&lt;/dates&gt;&lt;isbn&gt;1568-1637&lt;/isbn&gt;&lt;urls&gt;&lt;/urls&gt;&lt;/record&gt;&lt;/Cite&gt;&lt;/EndNote&gt;</w:instrText>
        </w:r>
        <w:r w:rsidR="0036052C" w:rsidRPr="002D00F2">
          <w:rPr>
            <w:rFonts w:asciiTheme="majorBidi" w:hAnsiTheme="majorBidi" w:cstheme="majorBidi"/>
          </w:rPr>
          <w:fldChar w:fldCharType="separate"/>
        </w:r>
        <w:r w:rsidR="0036052C" w:rsidRPr="0036052C">
          <w:rPr>
            <w:rFonts w:asciiTheme="majorBidi" w:hAnsiTheme="majorBidi" w:cstheme="majorBidi"/>
            <w:noProof/>
            <w:vertAlign w:val="superscript"/>
          </w:rPr>
          <w:t>27</w:t>
        </w:r>
        <w:r w:rsidR="0036052C" w:rsidRPr="002D00F2">
          <w:rPr>
            <w:rFonts w:asciiTheme="majorBidi" w:hAnsiTheme="majorBidi" w:cstheme="majorBidi"/>
          </w:rPr>
          <w:fldChar w:fldCharType="end"/>
        </w:r>
      </w:hyperlink>
      <w:r w:rsidR="003E3B74" w:rsidRPr="002D00F2">
        <w:rPr>
          <w:rFonts w:asciiTheme="majorBidi" w:hAnsiTheme="majorBidi" w:cstheme="majorBidi"/>
        </w:rPr>
        <w:t xml:space="preserve"> and we did not test the inflammatory pathway in this study</w:t>
      </w:r>
      <w:r w:rsidR="006D1031" w:rsidRPr="002D00F2">
        <w:rPr>
          <w:rFonts w:asciiTheme="majorBidi" w:hAnsiTheme="majorBidi" w:cstheme="majorBidi"/>
        </w:rPr>
        <w:t xml:space="preserve">. It </w:t>
      </w:r>
      <w:r w:rsidR="00605C11">
        <w:rPr>
          <w:rFonts w:asciiTheme="majorBidi" w:hAnsiTheme="majorBidi" w:cstheme="majorBidi"/>
        </w:rPr>
        <w:t>is also possible</w:t>
      </w:r>
      <w:r w:rsidR="00605C11" w:rsidRPr="002D00F2">
        <w:rPr>
          <w:rFonts w:asciiTheme="majorBidi" w:hAnsiTheme="majorBidi" w:cstheme="majorBidi"/>
        </w:rPr>
        <w:t xml:space="preserve"> </w:t>
      </w:r>
      <w:r w:rsidR="006D1031" w:rsidRPr="002D00F2">
        <w:rPr>
          <w:rFonts w:asciiTheme="majorBidi" w:hAnsiTheme="majorBidi" w:cstheme="majorBidi"/>
        </w:rPr>
        <w:t>that periodontitis is associated with frailty through tooth loss as a</w:t>
      </w:r>
      <w:r w:rsidR="00925C0D">
        <w:rPr>
          <w:rFonts w:asciiTheme="majorBidi" w:hAnsiTheme="majorBidi" w:cstheme="majorBidi"/>
        </w:rPr>
        <w:t xml:space="preserve">n ultimate </w:t>
      </w:r>
      <w:r w:rsidR="006D1031" w:rsidRPr="002D00F2">
        <w:rPr>
          <w:rFonts w:asciiTheme="majorBidi" w:hAnsiTheme="majorBidi" w:cstheme="majorBidi"/>
        </w:rPr>
        <w:t xml:space="preserve">consequence of periodontal </w:t>
      </w:r>
      <w:r w:rsidR="00E8103D" w:rsidRPr="002D00F2">
        <w:rPr>
          <w:rFonts w:asciiTheme="majorBidi" w:hAnsiTheme="majorBidi" w:cstheme="majorBidi"/>
        </w:rPr>
        <w:t>disease</w:t>
      </w:r>
      <w:r w:rsidR="006D1031" w:rsidRPr="002D00F2">
        <w:rPr>
          <w:rFonts w:asciiTheme="majorBidi" w:hAnsiTheme="majorBidi" w:cstheme="majorBidi"/>
        </w:rPr>
        <w:t xml:space="preserve"> and its impact on food selection </w:t>
      </w:r>
      <w:r w:rsidR="006D1031" w:rsidRPr="002D00F2">
        <w:rPr>
          <w:rFonts w:asciiTheme="majorBidi" w:hAnsiTheme="majorBidi" w:cstheme="majorBidi"/>
        </w:rPr>
        <w:lastRenderedPageBreak/>
        <w:t>and nutritional status.</w:t>
      </w:r>
      <w:r w:rsidR="00E8103D" w:rsidRPr="002D00F2">
        <w:rPr>
          <w:rFonts w:asciiTheme="majorBidi" w:hAnsiTheme="majorBidi" w:cstheme="majorBidi"/>
        </w:rPr>
        <w:t xml:space="preserve"> </w:t>
      </w:r>
      <w:r w:rsidR="00605C11">
        <w:rPr>
          <w:rFonts w:asciiTheme="majorBidi" w:hAnsiTheme="majorBidi" w:cstheme="majorBidi"/>
        </w:rPr>
        <w:t>A</w:t>
      </w:r>
      <w:r w:rsidR="0069431E" w:rsidRPr="002D00F2">
        <w:rPr>
          <w:rFonts w:asciiTheme="majorBidi" w:hAnsiTheme="majorBidi" w:cstheme="majorBidi"/>
        </w:rPr>
        <w:t xml:space="preserve"> systematic review </w:t>
      </w:r>
      <w:r w:rsidR="003B54E4" w:rsidRPr="002D00F2">
        <w:rPr>
          <w:rFonts w:asciiTheme="majorBidi" w:hAnsiTheme="majorBidi" w:cstheme="majorBidi"/>
        </w:rPr>
        <w:t xml:space="preserve">found positive associations between lower intake of </w:t>
      </w:r>
      <w:r w:rsidR="00094CC4" w:rsidRPr="002D00F2">
        <w:rPr>
          <w:rFonts w:asciiTheme="majorBidi" w:hAnsiTheme="majorBidi" w:cstheme="majorBidi"/>
        </w:rPr>
        <w:t>some micronutrients like vitamin C, vitamin E</w:t>
      </w:r>
      <w:r w:rsidR="00F314EF" w:rsidRPr="002D00F2">
        <w:rPr>
          <w:rFonts w:asciiTheme="majorBidi" w:hAnsiTheme="majorBidi" w:cstheme="majorBidi"/>
        </w:rPr>
        <w:t xml:space="preserve">, B-carotene and dietary </w:t>
      </w:r>
      <w:r w:rsidR="00F314EF" w:rsidRPr="00F22873">
        <w:rPr>
          <w:rFonts w:asciiTheme="majorBidi" w:hAnsiTheme="majorBidi" w:cstheme="majorBidi"/>
          <w:lang w:val="en-US"/>
        </w:rPr>
        <w:t>fibers</w:t>
      </w:r>
      <w:r w:rsidR="00A56FBF" w:rsidRPr="002D00F2">
        <w:rPr>
          <w:rFonts w:asciiTheme="majorBidi" w:hAnsiTheme="majorBidi" w:cstheme="majorBidi"/>
        </w:rPr>
        <w:t xml:space="preserve"> and periodont</w:t>
      </w:r>
      <w:r w:rsidR="00AE42F7">
        <w:rPr>
          <w:rFonts w:asciiTheme="majorBidi" w:hAnsiTheme="majorBidi" w:cstheme="majorBidi"/>
        </w:rPr>
        <w:t xml:space="preserve">itis </w:t>
      </w:r>
      <w:r w:rsidR="005C6D16" w:rsidRPr="002D00F2">
        <w:rPr>
          <w:rFonts w:asciiTheme="majorBidi" w:hAnsiTheme="majorBidi" w:cstheme="majorBidi"/>
        </w:rPr>
        <w:t>among community dwelling older adults</w:t>
      </w:r>
      <w:r w:rsidR="00F22873">
        <w:rPr>
          <w:rFonts w:asciiTheme="majorBidi" w:hAnsiTheme="majorBidi" w:cstheme="majorBidi"/>
        </w:rPr>
        <w:t>.</w:t>
      </w:r>
      <w:hyperlink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&lt;EndNote&gt;&lt;Cite&gt;&lt;Author&gt;O’Connor&lt;/Author&gt;&lt;Year&gt;2020&lt;/Year&gt;&lt;RecNum&gt;142&lt;/RecNum&gt;&lt;DisplayText&gt;&lt;style face="superscript"&gt;28&lt;/style&gt;&lt;/DisplayText&gt;&lt;record&gt;&lt;rec-number&gt;142&lt;/rec-number&gt;&lt;foreign-keys&gt;&lt;key app="EN" db-id="90pv252x7xpz25etx2i5affuwe2ffaptfsvz" timestamp="1589044275"&gt;142&lt;/key&gt;&lt;/foreign-keys&gt;&lt;ref-type name="Journal Article"&gt;17&lt;/ref-type&gt;&lt;contributors&gt;&lt;authors&gt;&lt;author&gt;O’Connor, Jessie-Leigh P&lt;/author&gt;&lt;author&gt;Milledge, Kate L&lt;/author&gt;&lt;author&gt;O’Leary, Fiona&lt;/author&gt;&lt;author&gt;Cumming, Robert&lt;/author&gt;&lt;author&gt;Eberhard, Joerg&lt;/author&gt;&lt;author&gt;Hirani, Vasant&lt;/author&gt;&lt;/authors&gt;&lt;/contributors&gt;&lt;titles&gt;&lt;title&gt;Poor dietary intake of nutrients and food groups are associated with increased risk of periodontal disease among community-dwelling older adults: a systematic literature review&lt;/title&gt;&lt;secondary-title&gt;Nutrition Reviews&lt;/secondary-title&gt;&lt;/titles&gt;&lt;periodical&gt;&lt;full-title&gt;Nutrition Reviews&lt;/full-title&gt;&lt;/periodical&gt;&lt;pages&gt;175-188&lt;/pages&gt;&lt;volume&gt;78&lt;/volume&gt;&lt;number&gt;2&lt;/number&gt;&lt;dates&gt;&lt;year&gt;2020&lt;/year&gt;&lt;/dates&gt;&lt;isbn&gt;0029-6643&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28</w:t>
        </w:r>
        <w:r w:rsidR="0036052C">
          <w:rPr>
            <w:rFonts w:asciiTheme="majorBidi" w:hAnsiTheme="majorBidi" w:cstheme="majorBidi"/>
          </w:rPr>
          <w:fldChar w:fldCharType="end"/>
        </w:r>
      </w:hyperlink>
      <w:hyperlink w:history="1"/>
      <w:hyperlink w:history="1"/>
      <w:hyperlink w:history="1"/>
      <w:r w:rsidR="00A55E61" w:rsidRPr="002D00F2">
        <w:rPr>
          <w:rFonts w:asciiTheme="majorBidi" w:hAnsiTheme="majorBidi" w:cstheme="majorBidi"/>
        </w:rPr>
        <w:t xml:space="preserve"> </w:t>
      </w:r>
      <w:r w:rsidR="00FA673F" w:rsidRPr="002967BE">
        <w:rPr>
          <w:rFonts w:asciiTheme="majorBidi" w:hAnsiTheme="majorBidi" w:cstheme="majorBidi"/>
          <w:highlight w:val="yellow"/>
        </w:rPr>
        <w:t xml:space="preserve">Testing the potential nutritional  pathway between periodontal diseases and frailty cannot be </w:t>
      </w:r>
      <w:r w:rsidR="004C67E5">
        <w:rPr>
          <w:rFonts w:asciiTheme="majorBidi" w:hAnsiTheme="majorBidi" w:cstheme="majorBidi"/>
          <w:highlight w:val="yellow"/>
        </w:rPr>
        <w:t>conducted</w:t>
      </w:r>
      <w:r w:rsidR="004C67E5" w:rsidRPr="002967BE">
        <w:rPr>
          <w:rFonts w:asciiTheme="majorBidi" w:hAnsiTheme="majorBidi" w:cstheme="majorBidi"/>
          <w:highlight w:val="yellow"/>
        </w:rPr>
        <w:t xml:space="preserve"> </w:t>
      </w:r>
      <w:r w:rsidR="00FA673F" w:rsidRPr="002967BE">
        <w:rPr>
          <w:rFonts w:asciiTheme="majorBidi" w:hAnsiTheme="majorBidi" w:cstheme="majorBidi"/>
          <w:highlight w:val="yellow"/>
        </w:rPr>
        <w:t>with cross-sectional data.</w:t>
      </w:r>
      <w:r w:rsidR="00FA673F">
        <w:rPr>
          <w:rFonts w:asciiTheme="majorBidi" w:hAnsiTheme="majorBidi" w:cstheme="majorBidi"/>
        </w:rPr>
        <w:t xml:space="preserve"> </w:t>
      </w:r>
      <w:r w:rsidR="001A33EF">
        <w:rPr>
          <w:rFonts w:asciiTheme="majorBidi" w:hAnsiTheme="majorBidi" w:cstheme="majorBidi"/>
        </w:rPr>
        <w:t>Future</w:t>
      </w:r>
      <w:r w:rsidR="00BE5FA6" w:rsidRPr="002D00F2">
        <w:rPr>
          <w:rFonts w:asciiTheme="majorBidi" w:hAnsiTheme="majorBidi" w:cstheme="majorBidi"/>
        </w:rPr>
        <w:t xml:space="preserve"> longitudinal studies are needed to </w:t>
      </w:r>
      <w:r w:rsidR="00FA08E9" w:rsidRPr="002D00F2">
        <w:rPr>
          <w:rFonts w:asciiTheme="majorBidi" w:hAnsiTheme="majorBidi" w:cstheme="majorBidi"/>
        </w:rPr>
        <w:t>confirm the association between periodont</w:t>
      </w:r>
      <w:r w:rsidR="00AE42F7">
        <w:rPr>
          <w:rFonts w:asciiTheme="majorBidi" w:hAnsiTheme="majorBidi" w:cstheme="majorBidi"/>
        </w:rPr>
        <w:t>itis</w:t>
      </w:r>
      <w:r w:rsidR="00FA08E9" w:rsidRPr="002D00F2">
        <w:rPr>
          <w:rFonts w:asciiTheme="majorBidi" w:hAnsiTheme="majorBidi" w:cstheme="majorBidi"/>
        </w:rPr>
        <w:t xml:space="preserve"> and frailty.</w:t>
      </w:r>
    </w:p>
    <w:p w14:paraId="516AF743" w14:textId="078E90A0" w:rsidR="000A208E" w:rsidRPr="002D00F2" w:rsidRDefault="005013B7" w:rsidP="00880845">
      <w:pPr>
        <w:spacing w:line="480" w:lineRule="auto"/>
        <w:jc w:val="both"/>
        <w:rPr>
          <w:rFonts w:asciiTheme="majorBidi" w:hAnsiTheme="majorBidi" w:cstheme="majorBidi"/>
        </w:rPr>
      </w:pPr>
      <w:r w:rsidRPr="002D00F2">
        <w:rPr>
          <w:rFonts w:asciiTheme="majorBidi" w:hAnsiTheme="majorBidi" w:cstheme="majorBidi"/>
        </w:rPr>
        <w:t xml:space="preserve">Most of the previous studies used frailty phenotype for </w:t>
      </w:r>
      <w:r w:rsidR="00A83C88">
        <w:rPr>
          <w:rFonts w:asciiTheme="majorBidi" w:hAnsiTheme="majorBidi" w:cstheme="majorBidi"/>
        </w:rPr>
        <w:t>studying</w:t>
      </w:r>
      <w:r w:rsidRPr="002D00F2">
        <w:rPr>
          <w:rFonts w:asciiTheme="majorBidi" w:hAnsiTheme="majorBidi" w:cstheme="majorBidi"/>
        </w:rPr>
        <w:t xml:space="preserve"> the </w:t>
      </w:r>
      <w:r w:rsidR="00A83C88">
        <w:rPr>
          <w:rFonts w:asciiTheme="majorBidi" w:hAnsiTheme="majorBidi" w:cstheme="majorBidi"/>
        </w:rPr>
        <w:t>association</w:t>
      </w:r>
      <w:r w:rsidRPr="002D00F2">
        <w:rPr>
          <w:rFonts w:asciiTheme="majorBidi" w:hAnsiTheme="majorBidi" w:cstheme="majorBidi"/>
        </w:rPr>
        <w:t xml:space="preserve"> between oral health </w:t>
      </w:r>
      <w:r w:rsidR="00C76BEB">
        <w:rPr>
          <w:rFonts w:asciiTheme="majorBidi" w:hAnsiTheme="majorBidi" w:cstheme="majorBidi"/>
        </w:rPr>
        <w:t xml:space="preserve">indicators </w:t>
      </w:r>
      <w:r w:rsidRPr="002D00F2">
        <w:rPr>
          <w:rFonts w:asciiTheme="majorBidi" w:hAnsiTheme="majorBidi" w:cstheme="majorBidi"/>
        </w:rPr>
        <w:t xml:space="preserve">and frailty. </w:t>
      </w:r>
      <w:r w:rsidR="00C541A6" w:rsidRPr="002D00F2">
        <w:rPr>
          <w:rFonts w:asciiTheme="majorBidi" w:hAnsiTheme="majorBidi" w:cstheme="majorBidi"/>
        </w:rPr>
        <w:t>Two recent studies have used frailty index</w:t>
      </w:r>
      <w:r w:rsidR="001D5944">
        <w:rPr>
          <w:rFonts w:asciiTheme="majorBidi" w:hAnsiTheme="majorBidi" w:cstheme="majorBidi"/>
        </w:rPr>
        <w:t>.</w:t>
      </w:r>
      <w:r w:rsidR="00E92E77" w:rsidRPr="001F5F99">
        <w:rPr>
          <w:rFonts w:asciiTheme="majorBidi" w:hAnsiTheme="majorBidi" w:cstheme="majorBidi"/>
          <w:lang w:val="en-US"/>
        </w:rPr>
        <w:fldChar w:fldCharType="begin"/>
      </w:r>
      <w:r w:rsidR="0036052C">
        <w:rPr>
          <w:rFonts w:asciiTheme="majorBidi" w:hAnsiTheme="majorBidi" w:cstheme="majorBidi"/>
          <w:lang w:val="en-US"/>
        </w:rPr>
        <w:instrText xml:space="preserve"> ADDIN EN.CITE &lt;EndNote&gt;&lt;Cite&gt;&lt;Author&gt;Bassim&lt;/Author&gt;&lt;Year&gt;2020&lt;/Year&gt;&lt;RecNum&gt;139&lt;/RecNum&gt;&lt;DisplayText&gt;&lt;style face="superscript"&gt;17, 18&lt;/style&gt;&lt;/DisplayText&gt;&lt;record&gt;&lt;rec-number&gt;139&lt;/rec-number&gt;&lt;foreign-keys&gt;&lt;key app="EN" db-id="90pv252x7xpz25etx2i5affuwe2ffaptfsvz" timestamp="1589043629"&gt;139&lt;/key&gt;&lt;/foreign-keys&gt;&lt;ref-type name="Journal Article"&gt;17&lt;/ref-type&gt;&lt;contributors&gt;&lt;authors&gt;&lt;author&gt;Bassim, Carol&lt;/author&gt;&lt;author&gt;Mayhew, Alexandra J&lt;/author&gt;&lt;author&gt;Ma, Jinhui&lt;/author&gt;&lt;author&gt;Kanters, David&lt;/author&gt;&lt;author&gt;Verschoor, Chris P&lt;/author&gt;&lt;author&gt;Griffith, Lauren E&lt;/author&gt;&lt;author&gt;Raina, Parminder&lt;/author&gt;&lt;/authors&gt;&lt;/contributors&gt;&lt;titles&gt;&lt;title&gt;Oral Health, Diet, and Frailty at Baseline of the Canadian Longitudinal Study on Aging&lt;/title&gt;&lt;secondary-title&gt;Journal of the American Geriatrics Society&lt;/secondary-title&gt;&lt;/titles&gt;&lt;periodical&gt;&lt;full-title&gt;Journal of the American Geriatrics Society&lt;/full-title&gt;&lt;/periodical&gt;&lt;dates&gt;&lt;year&gt;2020&lt;/year&gt;&lt;/dates&gt;&lt;isbn&gt;0002-8614&lt;/isbn&gt;&lt;urls&gt;&lt;/urls&gt;&lt;/record&gt;&lt;/Cite&gt;&lt;Cite&gt;&lt;Author&gt;Gu&lt;/Author&gt;&lt;Year&gt;2019&lt;/Year&gt;&lt;RecNum&gt;103&lt;/RecNum&gt;&lt;record&gt;&lt;rec-number&gt;103&lt;/rec-number&gt;&lt;foreign-keys&gt;&lt;key app="EN" db-id="rvxe0exprat2w9evvvvxwe2owzrpwfzpzzv5"&gt;103&lt;/key&gt;&lt;/foreign-keys&gt;&lt;ref-type name="Journal Article"&gt;17&lt;/ref-type&gt;&lt;contributors&gt;&lt;authors&gt;&lt;author&gt;Gu, Yaohua&lt;/author&gt;&lt;author&gt;Wu, Wenwen&lt;/author&gt;&lt;author&gt;Bai, Jinbing&lt;/author&gt;&lt;author&gt;Chen, Xuyu&lt;/author&gt;&lt;author&gt;Chen, Xiaoli&lt;/author&gt;&lt;author&gt;Yu, Liping&lt;/author&gt;&lt;author&gt;Zhang, Qing&lt;/author&gt;&lt;author&gt;Zou, Zhijie&lt;/author&gt;&lt;author&gt;Luo, Xianwu&lt;/author&gt;&lt;author&gt;Pei, Xianbo&lt;/author&gt;&lt;/authors&gt;&lt;/contributors&gt;&lt;titles&gt;&lt;title&gt;Association between the number of teeth and frailty among Chinese older adults: a nationwide cross-sectional study&lt;/title&gt;&lt;secondary-title&gt;BMJ open&lt;/secondary-title&gt;&lt;/titles&gt;&lt;periodical&gt;&lt;full-title&gt;BMJ open&lt;/full-title&gt;&lt;/periodical&gt;&lt;pages&gt;e029929&lt;/pages&gt;&lt;volume&gt;9&lt;/volume&gt;&lt;number&gt;10&lt;/number&gt;&lt;dates&gt;&lt;year&gt;2019&lt;/year&gt;&lt;/dates&gt;&lt;isbn&gt;2044-6055&lt;/isbn&gt;&lt;urls&gt;&lt;/urls&gt;&lt;/record&gt;&lt;/Cite&gt;&lt;/EndNote&gt;</w:instrText>
      </w:r>
      <w:r w:rsidR="00E92E77" w:rsidRPr="001F5F99">
        <w:rPr>
          <w:rFonts w:asciiTheme="majorBidi" w:hAnsiTheme="majorBidi" w:cstheme="majorBidi"/>
          <w:lang w:val="en-US"/>
        </w:rPr>
        <w:fldChar w:fldCharType="separate"/>
      </w:r>
      <w:hyperlink w:anchor="_ENREF_17" w:tooltip="Bassim, 2020 #139" w:history="1">
        <w:r w:rsidR="0036052C" w:rsidRPr="0036052C">
          <w:rPr>
            <w:rFonts w:asciiTheme="majorBidi" w:hAnsiTheme="majorBidi" w:cstheme="majorBidi"/>
            <w:noProof/>
            <w:vertAlign w:val="superscript"/>
            <w:lang w:val="en-US"/>
          </w:rPr>
          <w:t>17</w:t>
        </w:r>
      </w:hyperlink>
      <w:r w:rsidR="0036052C" w:rsidRPr="0036052C">
        <w:rPr>
          <w:rFonts w:asciiTheme="majorBidi" w:hAnsiTheme="majorBidi" w:cstheme="majorBidi"/>
          <w:noProof/>
          <w:vertAlign w:val="superscript"/>
          <w:lang w:val="en-US"/>
        </w:rPr>
        <w:t xml:space="preserve">, </w:t>
      </w:r>
      <w:hyperlink w:anchor="_ENREF_18" w:tooltip="Gu, 2019 #103" w:history="1">
        <w:r w:rsidR="0036052C" w:rsidRPr="0036052C">
          <w:rPr>
            <w:rFonts w:asciiTheme="majorBidi" w:hAnsiTheme="majorBidi" w:cstheme="majorBidi"/>
            <w:noProof/>
            <w:vertAlign w:val="superscript"/>
            <w:lang w:val="en-US"/>
          </w:rPr>
          <w:t>18</w:t>
        </w:r>
      </w:hyperlink>
      <w:r w:rsidR="00E92E77" w:rsidRPr="001F5F99">
        <w:rPr>
          <w:rFonts w:asciiTheme="majorBidi" w:hAnsiTheme="majorBidi" w:cstheme="majorBidi"/>
          <w:lang w:val="en-US"/>
        </w:rPr>
        <w:fldChar w:fldCharType="end"/>
      </w:r>
      <w:r w:rsidR="00C541A6" w:rsidRPr="002D00F2">
        <w:rPr>
          <w:rFonts w:asciiTheme="majorBidi" w:hAnsiTheme="majorBidi" w:cstheme="majorBidi"/>
        </w:rPr>
        <w:t xml:space="preserve"> </w:t>
      </w:r>
      <w:r w:rsidR="0067438D" w:rsidRPr="002D00F2">
        <w:rPr>
          <w:rFonts w:asciiTheme="majorBidi" w:hAnsiTheme="majorBidi" w:cstheme="majorBidi"/>
        </w:rPr>
        <w:t>T</w:t>
      </w:r>
      <w:r w:rsidR="00C541A6" w:rsidRPr="002D00F2">
        <w:rPr>
          <w:rFonts w:asciiTheme="majorBidi" w:hAnsiTheme="majorBidi" w:cstheme="majorBidi"/>
        </w:rPr>
        <w:t xml:space="preserve">he first study </w:t>
      </w:r>
      <w:r w:rsidR="002F7A04" w:rsidRPr="002D00F2">
        <w:rPr>
          <w:rFonts w:asciiTheme="majorBidi" w:hAnsiTheme="majorBidi" w:cstheme="majorBidi"/>
        </w:rPr>
        <w:t xml:space="preserve">found </w:t>
      </w:r>
      <w:r w:rsidR="00EE1FF2" w:rsidRPr="002D00F2">
        <w:rPr>
          <w:rFonts w:asciiTheme="majorBidi" w:hAnsiTheme="majorBidi" w:cstheme="majorBidi"/>
        </w:rPr>
        <w:t>that</w:t>
      </w:r>
      <w:r w:rsidR="00A4666F" w:rsidRPr="002D00F2">
        <w:rPr>
          <w:rFonts w:asciiTheme="majorBidi" w:hAnsiTheme="majorBidi" w:cstheme="majorBidi"/>
        </w:rPr>
        <w:t xml:space="preserve"> older adults with fewer</w:t>
      </w:r>
      <w:r w:rsidR="0064086C">
        <w:rPr>
          <w:rFonts w:asciiTheme="majorBidi" w:hAnsiTheme="majorBidi" w:cstheme="majorBidi"/>
        </w:rPr>
        <w:t xml:space="preserve"> number of</w:t>
      </w:r>
      <w:r w:rsidR="00A4666F" w:rsidRPr="002D00F2">
        <w:rPr>
          <w:rFonts w:asciiTheme="majorBidi" w:hAnsiTheme="majorBidi" w:cstheme="majorBidi"/>
        </w:rPr>
        <w:t xml:space="preserve"> teeth had higher odds of frailty </w:t>
      </w:r>
      <w:r w:rsidR="002F7A04" w:rsidRPr="002D00F2">
        <w:rPr>
          <w:rFonts w:asciiTheme="majorBidi" w:hAnsiTheme="majorBidi" w:cstheme="majorBidi"/>
        </w:rPr>
        <w:t>compared</w:t>
      </w:r>
      <w:r w:rsidR="00A4666F" w:rsidRPr="002D00F2">
        <w:rPr>
          <w:rFonts w:asciiTheme="majorBidi" w:hAnsiTheme="majorBidi" w:cstheme="majorBidi"/>
        </w:rPr>
        <w:t xml:space="preserve"> </w:t>
      </w:r>
      <w:r w:rsidR="00EA4B6D">
        <w:rPr>
          <w:rFonts w:asciiTheme="majorBidi" w:hAnsiTheme="majorBidi" w:cstheme="majorBidi"/>
        </w:rPr>
        <w:t xml:space="preserve">to </w:t>
      </w:r>
      <w:r w:rsidR="00A4666F" w:rsidRPr="002D00F2">
        <w:rPr>
          <w:rFonts w:asciiTheme="majorBidi" w:hAnsiTheme="majorBidi" w:cstheme="majorBidi"/>
        </w:rPr>
        <w:t>those with 20 or more teeth except for older adults with 11 to 20 teeth.</w:t>
      </w:r>
      <w:r w:rsidR="00744BAE" w:rsidRPr="002D00F2">
        <w:rPr>
          <w:rFonts w:asciiTheme="majorBidi" w:hAnsiTheme="majorBidi" w:cstheme="majorBidi"/>
        </w:rPr>
        <w:t xml:space="preserve"> </w:t>
      </w:r>
      <w:r w:rsidR="005A753E" w:rsidRPr="002D00F2">
        <w:rPr>
          <w:rFonts w:asciiTheme="majorBidi" w:hAnsiTheme="majorBidi" w:cstheme="majorBidi"/>
        </w:rPr>
        <w:t xml:space="preserve">However, </w:t>
      </w:r>
      <w:r w:rsidR="00C84B1C" w:rsidRPr="002D00F2">
        <w:rPr>
          <w:rFonts w:asciiTheme="majorBidi" w:hAnsiTheme="majorBidi" w:cstheme="majorBidi"/>
        </w:rPr>
        <w:t>number of teeth was self-report</w:t>
      </w:r>
      <w:r w:rsidR="00FA673F">
        <w:rPr>
          <w:rFonts w:asciiTheme="majorBidi" w:hAnsiTheme="majorBidi" w:cstheme="majorBidi"/>
        </w:rPr>
        <w:t>ed,</w:t>
      </w:r>
      <w:r w:rsidR="00C84B1C" w:rsidRPr="002D00F2">
        <w:rPr>
          <w:rFonts w:asciiTheme="majorBidi" w:hAnsiTheme="majorBidi" w:cstheme="majorBidi"/>
        </w:rPr>
        <w:t xml:space="preserve"> the frailty index</w:t>
      </w:r>
      <w:r w:rsidR="00744BAE" w:rsidRPr="002D00F2">
        <w:rPr>
          <w:rFonts w:asciiTheme="majorBidi" w:hAnsiTheme="majorBidi" w:cstheme="majorBidi"/>
        </w:rPr>
        <w:t xml:space="preserve"> was </w:t>
      </w:r>
      <w:r w:rsidR="00605C11" w:rsidRPr="002D00F2">
        <w:rPr>
          <w:rFonts w:asciiTheme="majorBidi" w:hAnsiTheme="majorBidi" w:cstheme="majorBidi"/>
        </w:rPr>
        <w:t>dichotomi</w:t>
      </w:r>
      <w:r w:rsidR="00FA673F">
        <w:rPr>
          <w:rFonts w:asciiTheme="majorBidi" w:hAnsiTheme="majorBidi" w:cstheme="majorBidi"/>
        </w:rPr>
        <w:t>sed</w:t>
      </w:r>
      <w:r w:rsidR="001D5944">
        <w:rPr>
          <w:rFonts w:asciiTheme="majorBidi" w:hAnsiTheme="majorBidi" w:cstheme="majorBidi"/>
        </w:rPr>
        <w:t>.</w:t>
      </w:r>
      <w:hyperlink w:anchor="_ENREF_18" w:tooltip="Gu, 2019 #103" w:history="1">
        <w:r w:rsidR="0036052C" w:rsidRPr="002D00F2">
          <w:rPr>
            <w:rFonts w:asciiTheme="majorBidi" w:hAnsiTheme="majorBidi" w:cstheme="majorBidi"/>
          </w:rPr>
          <w:fldChar w:fldCharType="begin"/>
        </w:r>
        <w:r w:rsidR="0036052C">
          <w:rPr>
            <w:rFonts w:asciiTheme="majorBidi" w:hAnsiTheme="majorBidi" w:cstheme="majorBidi"/>
          </w:rPr>
          <w:instrText xml:space="preserve"> ADDIN EN.CITE &lt;EndNote&gt;&lt;Cite&gt;&lt;Author&gt;Gu&lt;/Author&gt;&lt;Year&gt;2019&lt;/Year&gt;&lt;RecNum&gt;103&lt;/RecNum&gt;&lt;DisplayText&gt;&lt;style face="superscript"&gt;18&lt;/style&gt;&lt;/DisplayText&gt;&lt;record&gt;&lt;rec-number&gt;103&lt;/rec-number&gt;&lt;foreign-keys&gt;&lt;key app="EN" db-id="rvxe0exprat2w9evvvvxwe2owzrpwfzpzzv5"&gt;103&lt;/key&gt;&lt;/foreign-keys&gt;&lt;ref-type name="Journal Article"&gt;17&lt;/ref-type&gt;&lt;contributors&gt;&lt;authors&gt;&lt;author&gt;Gu, Yaohua&lt;/author&gt;&lt;author&gt;Wu, Wenwen&lt;/author&gt;&lt;author&gt;Bai, Jinbing&lt;/author&gt;&lt;author&gt;Chen, Xuyu&lt;/author&gt;&lt;author&gt;Chen, Xiaoli&lt;/author&gt;&lt;author&gt;Yu, Liping&lt;/author&gt;&lt;author&gt;Zhang, Qing&lt;/author&gt;&lt;author&gt;Zou, Zhijie&lt;/author&gt;&lt;author&gt;Luo, Xianwu&lt;/author&gt;&lt;author&gt;Pei, Xianbo&lt;/author&gt;&lt;/authors&gt;&lt;/contributors&gt;&lt;titles&gt;&lt;title&gt;Association between the number of teeth and frailty among Chinese older adults: a nationwide cross-sectional study&lt;/title&gt;&lt;secondary-title&gt;BMJ open&lt;/secondary-title&gt;&lt;/titles&gt;&lt;periodical&gt;&lt;full-title&gt;BMJ open&lt;/full-title&gt;&lt;/periodical&gt;&lt;pages&gt;e029929&lt;/pages&gt;&lt;volume&gt;9&lt;/volume&gt;&lt;number&gt;10&lt;/number&gt;&lt;dates&gt;&lt;year&gt;2019&lt;/year&gt;&lt;/dates&gt;&lt;isbn&gt;2044-6055&lt;/isbn&gt;&lt;urls&gt;&lt;/urls&gt;&lt;/record&gt;&lt;/Cite&gt;&lt;/EndNote&gt;</w:instrText>
        </w:r>
        <w:r w:rsidR="0036052C" w:rsidRPr="002D00F2">
          <w:rPr>
            <w:rFonts w:asciiTheme="majorBidi" w:hAnsiTheme="majorBidi" w:cstheme="majorBidi"/>
          </w:rPr>
          <w:fldChar w:fldCharType="separate"/>
        </w:r>
        <w:r w:rsidR="0036052C" w:rsidRPr="0036052C">
          <w:rPr>
            <w:rFonts w:asciiTheme="majorBidi" w:hAnsiTheme="majorBidi" w:cstheme="majorBidi"/>
            <w:noProof/>
            <w:vertAlign w:val="superscript"/>
          </w:rPr>
          <w:t>18</w:t>
        </w:r>
        <w:r w:rsidR="0036052C" w:rsidRPr="002D00F2">
          <w:rPr>
            <w:rFonts w:asciiTheme="majorBidi" w:hAnsiTheme="majorBidi" w:cstheme="majorBidi"/>
          </w:rPr>
          <w:fldChar w:fldCharType="end"/>
        </w:r>
      </w:hyperlink>
      <w:r w:rsidR="00605C11">
        <w:rPr>
          <w:rFonts w:asciiTheme="majorBidi" w:hAnsiTheme="majorBidi" w:cstheme="majorBidi"/>
        </w:rPr>
        <w:t xml:space="preserve"> </w:t>
      </w:r>
      <w:r w:rsidR="00B93364" w:rsidRPr="002D00F2">
        <w:rPr>
          <w:rFonts w:asciiTheme="majorBidi" w:hAnsiTheme="majorBidi" w:cstheme="majorBidi"/>
        </w:rPr>
        <w:t xml:space="preserve">In the other study that was conducted </w:t>
      </w:r>
      <w:r w:rsidR="0009650B" w:rsidRPr="002D00F2">
        <w:rPr>
          <w:rFonts w:asciiTheme="majorBidi" w:hAnsiTheme="majorBidi" w:cstheme="majorBidi"/>
        </w:rPr>
        <w:t>in Canada, the authors found that</w:t>
      </w:r>
      <w:r w:rsidR="0051784C" w:rsidRPr="002D00F2">
        <w:rPr>
          <w:rFonts w:asciiTheme="majorBidi" w:hAnsiTheme="majorBidi" w:cstheme="majorBidi"/>
        </w:rPr>
        <w:t xml:space="preserve"> poor</w:t>
      </w:r>
      <w:r w:rsidR="0009650B" w:rsidRPr="002D00F2">
        <w:rPr>
          <w:rFonts w:asciiTheme="majorBidi" w:hAnsiTheme="majorBidi" w:cstheme="majorBidi"/>
        </w:rPr>
        <w:t xml:space="preserve"> oral health </w:t>
      </w:r>
      <w:r w:rsidR="0051784C" w:rsidRPr="002D00F2">
        <w:rPr>
          <w:rFonts w:asciiTheme="majorBidi" w:hAnsiTheme="majorBidi" w:cstheme="majorBidi"/>
        </w:rPr>
        <w:t xml:space="preserve">(based on </w:t>
      </w:r>
      <w:r w:rsidR="00385DFB" w:rsidRPr="002D00F2">
        <w:rPr>
          <w:rFonts w:asciiTheme="majorBidi" w:hAnsiTheme="majorBidi" w:cstheme="majorBidi"/>
        </w:rPr>
        <w:t>24 self-report</w:t>
      </w:r>
      <w:r w:rsidR="00605C11">
        <w:rPr>
          <w:rFonts w:asciiTheme="majorBidi" w:hAnsiTheme="majorBidi" w:cstheme="majorBidi"/>
        </w:rPr>
        <w:t>ed</w:t>
      </w:r>
      <w:r w:rsidR="00385DFB" w:rsidRPr="002D00F2">
        <w:rPr>
          <w:rFonts w:asciiTheme="majorBidi" w:hAnsiTheme="majorBidi" w:cstheme="majorBidi"/>
        </w:rPr>
        <w:t xml:space="preserve"> </w:t>
      </w:r>
      <w:r w:rsidR="006D50DF" w:rsidRPr="002D00F2">
        <w:rPr>
          <w:rFonts w:asciiTheme="majorBidi" w:hAnsiTheme="majorBidi" w:cstheme="majorBidi"/>
        </w:rPr>
        <w:t>oral health problems) was associated with frailty index</w:t>
      </w:r>
      <w:r w:rsidR="00C24437" w:rsidRPr="002D00F2">
        <w:rPr>
          <w:rFonts w:asciiTheme="majorBidi" w:hAnsiTheme="majorBidi" w:cstheme="majorBidi"/>
        </w:rPr>
        <w:t>. Poor diet</w:t>
      </w:r>
      <w:r w:rsidR="00434A4A" w:rsidRPr="002D00F2">
        <w:rPr>
          <w:rFonts w:asciiTheme="majorBidi" w:hAnsiTheme="majorBidi" w:cstheme="majorBidi"/>
        </w:rPr>
        <w:t xml:space="preserve"> (based on the consumption of healthy food)</w:t>
      </w:r>
      <w:r w:rsidR="00C24437" w:rsidRPr="002D00F2">
        <w:rPr>
          <w:rFonts w:asciiTheme="majorBidi" w:hAnsiTheme="majorBidi" w:cstheme="majorBidi"/>
        </w:rPr>
        <w:t xml:space="preserve"> explained </w:t>
      </w:r>
      <w:r w:rsidR="00C4361B" w:rsidRPr="002D00F2">
        <w:rPr>
          <w:rFonts w:asciiTheme="majorBidi" w:hAnsiTheme="majorBidi" w:cstheme="majorBidi"/>
        </w:rPr>
        <w:t xml:space="preserve">almost 1% of the </w:t>
      </w:r>
      <w:r w:rsidR="00EA4B6D">
        <w:rPr>
          <w:rFonts w:asciiTheme="majorBidi" w:hAnsiTheme="majorBidi" w:cstheme="majorBidi"/>
        </w:rPr>
        <w:t>association between</w:t>
      </w:r>
      <w:r w:rsidR="00EA4B6D" w:rsidRPr="002D00F2">
        <w:rPr>
          <w:rFonts w:asciiTheme="majorBidi" w:hAnsiTheme="majorBidi" w:cstheme="majorBidi"/>
        </w:rPr>
        <w:t xml:space="preserve"> </w:t>
      </w:r>
      <w:r w:rsidR="00716040">
        <w:rPr>
          <w:rFonts w:asciiTheme="majorBidi" w:hAnsiTheme="majorBidi" w:cstheme="majorBidi"/>
        </w:rPr>
        <w:t>self-reported</w:t>
      </w:r>
      <w:r w:rsidR="00C4361B" w:rsidRPr="002D00F2">
        <w:rPr>
          <w:rFonts w:asciiTheme="majorBidi" w:hAnsiTheme="majorBidi" w:cstheme="majorBidi"/>
        </w:rPr>
        <w:t xml:space="preserve"> poor oral health </w:t>
      </w:r>
      <w:r w:rsidR="00EA4B6D">
        <w:rPr>
          <w:rFonts w:asciiTheme="majorBidi" w:hAnsiTheme="majorBidi" w:cstheme="majorBidi"/>
        </w:rPr>
        <w:t>and</w:t>
      </w:r>
      <w:r w:rsidR="00EA4B6D" w:rsidRPr="002D00F2">
        <w:rPr>
          <w:rFonts w:asciiTheme="majorBidi" w:hAnsiTheme="majorBidi" w:cstheme="majorBidi"/>
        </w:rPr>
        <w:t xml:space="preserve"> </w:t>
      </w:r>
      <w:r w:rsidR="00C4361B" w:rsidRPr="002D00F2">
        <w:rPr>
          <w:rFonts w:asciiTheme="majorBidi" w:hAnsiTheme="majorBidi" w:cstheme="majorBidi"/>
        </w:rPr>
        <w:t>frailty</w:t>
      </w:r>
      <w:r w:rsidR="00EA4B6D">
        <w:rPr>
          <w:rFonts w:asciiTheme="majorBidi" w:hAnsiTheme="majorBidi" w:cstheme="majorBidi"/>
        </w:rPr>
        <w:t xml:space="preserve"> index</w:t>
      </w:r>
      <w:r w:rsidR="001D5944">
        <w:rPr>
          <w:rFonts w:asciiTheme="majorBidi" w:hAnsiTheme="majorBidi" w:cstheme="majorBidi"/>
        </w:rPr>
        <w:t>.</w:t>
      </w:r>
      <w:hyperlink w:anchor="_ENREF_17" w:tooltip="Bassim, 2020 #139" w:history="1">
        <w:r w:rsidR="0036052C" w:rsidRPr="002D00F2">
          <w:rPr>
            <w:rFonts w:asciiTheme="majorBidi" w:hAnsiTheme="majorBidi" w:cstheme="majorBidi"/>
          </w:rPr>
          <w:fldChar w:fldCharType="begin"/>
        </w:r>
        <w:r w:rsidR="0036052C">
          <w:rPr>
            <w:rFonts w:asciiTheme="majorBidi" w:hAnsiTheme="majorBidi" w:cstheme="majorBidi"/>
          </w:rPr>
          <w:instrText xml:space="preserve"> ADDIN EN.CITE &lt;EndNote&gt;&lt;Cite&gt;&lt;Author&gt;Bassim&lt;/Author&gt;&lt;Year&gt;2020&lt;/Year&gt;&lt;RecNum&gt;139&lt;/RecNum&gt;&lt;DisplayText&gt;&lt;style face="superscript"&gt;17&lt;/style&gt;&lt;/DisplayText&gt;&lt;record&gt;&lt;rec-number&gt;139&lt;/rec-number&gt;&lt;foreign-keys&gt;&lt;key app="EN" db-id="90pv252x7xpz25etx2i5affuwe2ffaptfsvz" timestamp="1589043629"&gt;139&lt;/key&gt;&lt;/foreign-keys&gt;&lt;ref-type name="Journal Article"&gt;17&lt;/ref-type&gt;&lt;contributors&gt;&lt;authors&gt;&lt;author&gt;Bassim, Carol&lt;/author&gt;&lt;author&gt;Mayhew, Alexandra J&lt;/author&gt;&lt;author&gt;Ma, Jinhui&lt;/author&gt;&lt;author&gt;Kanters, David&lt;/author&gt;&lt;author&gt;Verschoor, Chris P&lt;/author&gt;&lt;author&gt;Griffith, Lauren E&lt;/author&gt;&lt;author&gt;Raina, Parminder&lt;/author&gt;&lt;/authors&gt;&lt;/contributors&gt;&lt;titles&gt;&lt;title&gt;Oral Health, Diet, and Frailty at Baseline of the Canadian Longitudinal Study on Aging&lt;/title&gt;&lt;secondary-title&gt;Journal of the American Geriatrics Society&lt;/secondary-title&gt;&lt;/titles&gt;&lt;periodical&gt;&lt;full-title&gt;Journal of the American Geriatrics Society&lt;/full-title&gt;&lt;/periodical&gt;&lt;dates&gt;&lt;year&gt;2020&lt;/year&gt;&lt;/dates&gt;&lt;isbn&gt;0002-8614&lt;/isbn&gt;&lt;urls&gt;&lt;/urls&gt;&lt;/record&gt;&lt;/Cite&gt;&lt;/EndNote&gt;</w:instrText>
        </w:r>
        <w:r w:rsidR="0036052C" w:rsidRPr="002D00F2">
          <w:rPr>
            <w:rFonts w:asciiTheme="majorBidi" w:hAnsiTheme="majorBidi" w:cstheme="majorBidi"/>
          </w:rPr>
          <w:fldChar w:fldCharType="separate"/>
        </w:r>
        <w:r w:rsidR="0036052C" w:rsidRPr="0036052C">
          <w:rPr>
            <w:rFonts w:asciiTheme="majorBidi" w:hAnsiTheme="majorBidi" w:cstheme="majorBidi"/>
            <w:noProof/>
            <w:vertAlign w:val="superscript"/>
          </w:rPr>
          <w:t>17</w:t>
        </w:r>
        <w:r w:rsidR="0036052C" w:rsidRPr="002D00F2">
          <w:rPr>
            <w:rFonts w:asciiTheme="majorBidi" w:hAnsiTheme="majorBidi" w:cstheme="majorBidi"/>
          </w:rPr>
          <w:fldChar w:fldCharType="end"/>
        </w:r>
      </w:hyperlink>
      <w:r w:rsidR="009B3FC6" w:rsidRPr="002D00F2">
        <w:rPr>
          <w:rFonts w:asciiTheme="majorBidi" w:hAnsiTheme="majorBidi" w:cstheme="majorBidi"/>
        </w:rPr>
        <w:t xml:space="preserve"> </w:t>
      </w:r>
      <w:r w:rsidR="00EA4B6D">
        <w:rPr>
          <w:rFonts w:asciiTheme="majorBidi" w:hAnsiTheme="majorBidi" w:cstheme="majorBidi"/>
        </w:rPr>
        <w:t xml:space="preserve">In the current analysis, while nutritional intake was associated with </w:t>
      </w:r>
      <w:r w:rsidR="00134053">
        <w:rPr>
          <w:rFonts w:asciiTheme="majorBidi" w:hAnsiTheme="majorBidi" w:cstheme="majorBidi"/>
        </w:rPr>
        <w:t>each of</w:t>
      </w:r>
      <w:r w:rsidR="00EA4B6D">
        <w:rPr>
          <w:rFonts w:asciiTheme="majorBidi" w:hAnsiTheme="majorBidi" w:cstheme="majorBidi"/>
        </w:rPr>
        <w:t xml:space="preserve"> frail</w:t>
      </w:r>
      <w:r w:rsidR="00134053">
        <w:rPr>
          <w:rFonts w:asciiTheme="majorBidi" w:hAnsiTheme="majorBidi" w:cstheme="majorBidi"/>
        </w:rPr>
        <w:t>t</w:t>
      </w:r>
      <w:r w:rsidR="00EA4B6D">
        <w:rPr>
          <w:rFonts w:asciiTheme="majorBidi" w:hAnsiTheme="majorBidi" w:cstheme="majorBidi"/>
        </w:rPr>
        <w:t xml:space="preserve">y index and oral health indicators, but the </w:t>
      </w:r>
      <w:r w:rsidR="00134053">
        <w:rPr>
          <w:rFonts w:asciiTheme="majorBidi" w:hAnsiTheme="majorBidi" w:cstheme="majorBidi"/>
        </w:rPr>
        <w:t>impact on their associations was negligible</w:t>
      </w:r>
      <w:r w:rsidR="00B8036F" w:rsidRPr="002D00F2">
        <w:rPr>
          <w:rFonts w:asciiTheme="majorBidi" w:hAnsiTheme="majorBidi" w:cstheme="majorBidi"/>
        </w:rPr>
        <w:t xml:space="preserve">. Nevertheless, </w:t>
      </w:r>
      <w:r w:rsidR="00CC387C" w:rsidRPr="002D00F2">
        <w:rPr>
          <w:rFonts w:asciiTheme="majorBidi" w:hAnsiTheme="majorBidi" w:cstheme="majorBidi"/>
        </w:rPr>
        <w:t xml:space="preserve">we used stronger oral health </w:t>
      </w:r>
      <w:r w:rsidR="00EA4B6D">
        <w:rPr>
          <w:rFonts w:asciiTheme="majorBidi" w:hAnsiTheme="majorBidi" w:cstheme="majorBidi"/>
        </w:rPr>
        <w:t>indicators</w:t>
      </w:r>
      <w:r w:rsidR="00EA4B6D" w:rsidRPr="002D00F2">
        <w:rPr>
          <w:rFonts w:asciiTheme="majorBidi" w:hAnsiTheme="majorBidi" w:cstheme="majorBidi"/>
        </w:rPr>
        <w:t xml:space="preserve"> </w:t>
      </w:r>
      <w:r w:rsidR="00CC387C" w:rsidRPr="002D00F2">
        <w:rPr>
          <w:rFonts w:asciiTheme="majorBidi" w:hAnsiTheme="majorBidi" w:cstheme="majorBidi"/>
        </w:rPr>
        <w:t xml:space="preserve">which </w:t>
      </w:r>
      <w:r w:rsidR="00EA4B6D">
        <w:rPr>
          <w:rFonts w:asciiTheme="majorBidi" w:hAnsiTheme="majorBidi" w:cstheme="majorBidi"/>
        </w:rPr>
        <w:t>we</w:t>
      </w:r>
      <w:r w:rsidR="00CC387C" w:rsidRPr="002D00F2">
        <w:rPr>
          <w:rFonts w:asciiTheme="majorBidi" w:hAnsiTheme="majorBidi" w:cstheme="majorBidi"/>
        </w:rPr>
        <w:t>re based on clinical examination.</w:t>
      </w:r>
      <w:r w:rsidR="00434A4A" w:rsidRPr="002D00F2">
        <w:rPr>
          <w:rFonts w:asciiTheme="majorBidi" w:hAnsiTheme="majorBidi" w:cstheme="majorBidi"/>
        </w:rPr>
        <w:t xml:space="preserve"> </w:t>
      </w:r>
    </w:p>
    <w:p w14:paraId="06E8BD10" w14:textId="44532798" w:rsidR="0084566F" w:rsidRPr="002D00F2" w:rsidRDefault="00BF2217" w:rsidP="0084566F">
      <w:pPr>
        <w:spacing w:line="480" w:lineRule="auto"/>
        <w:jc w:val="both"/>
        <w:rPr>
          <w:rFonts w:asciiTheme="majorBidi" w:hAnsiTheme="majorBidi" w:cstheme="majorBidi"/>
        </w:rPr>
      </w:pPr>
      <w:r>
        <w:rPr>
          <w:rFonts w:asciiTheme="majorBidi" w:hAnsiTheme="majorBidi" w:cstheme="majorBidi"/>
        </w:rPr>
        <w:t xml:space="preserve">Nutrition </w:t>
      </w:r>
      <w:r w:rsidR="00654BDD">
        <w:rPr>
          <w:rFonts w:asciiTheme="majorBidi" w:hAnsiTheme="majorBidi" w:cstheme="majorBidi"/>
        </w:rPr>
        <w:t xml:space="preserve">has a great impact </w:t>
      </w:r>
      <w:r w:rsidR="00CA67EB">
        <w:rPr>
          <w:rFonts w:asciiTheme="majorBidi" w:hAnsiTheme="majorBidi" w:cstheme="majorBidi"/>
        </w:rPr>
        <w:t>on the</w:t>
      </w:r>
      <w:r w:rsidR="00654BDD">
        <w:rPr>
          <w:rFonts w:asciiTheme="majorBidi" w:hAnsiTheme="majorBidi" w:cstheme="majorBidi"/>
        </w:rPr>
        <w:t xml:space="preserve"> health of older adults</w:t>
      </w:r>
      <w:r w:rsidR="00695989">
        <w:rPr>
          <w:rFonts w:asciiTheme="majorBidi" w:hAnsiTheme="majorBidi" w:cstheme="majorBidi"/>
        </w:rPr>
        <w:t xml:space="preserve">. </w:t>
      </w:r>
      <w:r w:rsidR="005F4F69">
        <w:rPr>
          <w:rFonts w:asciiTheme="majorBidi" w:hAnsiTheme="majorBidi" w:cstheme="majorBidi"/>
        </w:rPr>
        <w:t xml:space="preserve">Low nutritional intake </w:t>
      </w:r>
      <w:r w:rsidR="00D54B7D">
        <w:rPr>
          <w:rFonts w:asciiTheme="majorBidi" w:hAnsiTheme="majorBidi" w:cstheme="majorBidi"/>
        </w:rPr>
        <w:t>contributes</w:t>
      </w:r>
      <w:r w:rsidR="00627AC8">
        <w:rPr>
          <w:rFonts w:asciiTheme="majorBidi" w:hAnsiTheme="majorBidi" w:cstheme="majorBidi"/>
        </w:rPr>
        <w:t xml:space="preserve"> to the progression of many morbidities</w:t>
      </w:r>
      <w:r w:rsidR="00D54B7D">
        <w:rPr>
          <w:rFonts w:asciiTheme="majorBidi" w:hAnsiTheme="majorBidi" w:cstheme="majorBidi"/>
        </w:rPr>
        <w:t xml:space="preserve"> which </w:t>
      </w:r>
      <w:r w:rsidR="004813AA">
        <w:rPr>
          <w:rFonts w:asciiTheme="majorBidi" w:hAnsiTheme="majorBidi" w:cstheme="majorBidi"/>
        </w:rPr>
        <w:t>contribute</w:t>
      </w:r>
      <w:r w:rsidR="001B720D">
        <w:rPr>
          <w:rFonts w:asciiTheme="majorBidi" w:hAnsiTheme="majorBidi" w:cstheme="majorBidi"/>
        </w:rPr>
        <w:t xml:space="preserve"> to the complex </w:t>
      </w:r>
      <w:r w:rsidR="008237C2">
        <w:rPr>
          <w:rFonts w:asciiTheme="majorBidi" w:hAnsiTheme="majorBidi" w:cstheme="majorBidi"/>
        </w:rPr>
        <w:t>aetiology</w:t>
      </w:r>
      <w:r w:rsidR="001B720D">
        <w:rPr>
          <w:rFonts w:asciiTheme="majorBidi" w:hAnsiTheme="majorBidi" w:cstheme="majorBidi"/>
        </w:rPr>
        <w:t xml:space="preserve"> of frailty</w:t>
      </w:r>
      <w:r w:rsidR="00697337">
        <w:rPr>
          <w:rFonts w:asciiTheme="majorBidi" w:hAnsiTheme="majorBidi" w:cstheme="majorBidi"/>
        </w:rPr>
        <w:t>.</w:t>
      </w:r>
      <w:hyperlink w:anchor="_ENREF_29" w:tooltip="Morley, 2017 #143"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&lt;EndNote&gt;&lt;Cite&gt;&lt;Author&gt;Morley&lt;/Author&gt;&lt;Year&gt;2017&lt;/Year&gt;&lt;RecNum&gt;143&lt;/RecNum&gt;&lt;DisplayText&gt;&lt;style face="superscript"&gt;29&lt;/style&gt;&lt;/DisplayText&gt;&lt;record&gt;&lt;rec-number&gt;143&lt;/rec-number&gt;&lt;foreign-keys&gt;&lt;key app="EN" db-id="90pv252x7xpz25etx2i5affuwe2ffaptfsvz" timestamp="1589102243"&gt;143&lt;/key&gt;&lt;/foreign-keys&gt;&lt;ref-type name="Journal Article"&gt;17&lt;/ref-type&gt;&lt;contributors&gt;&lt;authors&gt;&lt;author&gt;Morley, John E&lt;/author&gt;&lt;/authors&gt;&lt;/contributors&gt;&lt;titles&gt;&lt;title&gt;Anorexia of ageing: a key component in the pathogenesis of both sarcopenia and cachexia&lt;/title&gt;&lt;secondary-title&gt;Journal of cachexia, sarcopenia and muscle&lt;/secondary-title&gt;&lt;/titles&gt;&lt;periodical&gt;&lt;full-title&gt;Journal of cachexia, sarcopenia and muscle&lt;/full-title&gt;&lt;/periodical&gt;&lt;pages&gt;523-526&lt;/pages&gt;&lt;volume&gt;8&lt;/volume&gt;&lt;number&gt;4&lt;/number&gt;&lt;dates&gt;&lt;year&gt;2017&lt;/year&gt;&lt;/dates&gt;&lt;isbn&gt;2190-5991&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29</w:t>
        </w:r>
        <w:r w:rsidR="0036052C">
          <w:rPr>
            <w:rFonts w:asciiTheme="majorBidi" w:hAnsiTheme="majorBidi" w:cstheme="majorBidi"/>
          </w:rPr>
          <w:fldChar w:fldCharType="end"/>
        </w:r>
      </w:hyperlink>
      <w:r w:rsidR="00C362B9">
        <w:rPr>
          <w:rFonts w:asciiTheme="majorBidi" w:hAnsiTheme="majorBidi" w:cstheme="majorBidi"/>
        </w:rPr>
        <w:t xml:space="preserve"> </w:t>
      </w:r>
      <w:r w:rsidR="00150FC5">
        <w:rPr>
          <w:rFonts w:asciiTheme="majorBidi" w:hAnsiTheme="majorBidi" w:cstheme="majorBidi"/>
        </w:rPr>
        <w:t>On the other hand, o</w:t>
      </w:r>
      <w:r w:rsidR="00C362B9">
        <w:rPr>
          <w:rFonts w:asciiTheme="majorBidi" w:hAnsiTheme="majorBidi" w:cstheme="majorBidi"/>
        </w:rPr>
        <w:t xml:space="preserve">ral health conditions </w:t>
      </w:r>
      <w:r w:rsidR="00180943">
        <w:rPr>
          <w:rFonts w:asciiTheme="majorBidi" w:hAnsiTheme="majorBidi" w:cstheme="majorBidi"/>
        </w:rPr>
        <w:t>impact</w:t>
      </w:r>
      <w:r w:rsidR="00CE6712">
        <w:rPr>
          <w:rFonts w:asciiTheme="majorBidi" w:hAnsiTheme="majorBidi" w:cstheme="majorBidi"/>
        </w:rPr>
        <w:t xml:space="preserve"> nutritional intake </w:t>
      </w:r>
      <w:r w:rsidR="006F5E9F">
        <w:rPr>
          <w:rFonts w:asciiTheme="majorBidi" w:hAnsiTheme="majorBidi" w:cstheme="majorBidi"/>
        </w:rPr>
        <w:t>through</w:t>
      </w:r>
      <w:r w:rsidR="00697C36">
        <w:rPr>
          <w:rFonts w:asciiTheme="majorBidi" w:hAnsiTheme="majorBidi" w:cstheme="majorBidi"/>
        </w:rPr>
        <w:t xml:space="preserve"> </w:t>
      </w:r>
      <w:r w:rsidR="00151EC4">
        <w:rPr>
          <w:rFonts w:asciiTheme="majorBidi" w:hAnsiTheme="majorBidi" w:cstheme="majorBidi"/>
        </w:rPr>
        <w:t xml:space="preserve">changes related to </w:t>
      </w:r>
      <w:r w:rsidR="001952AF">
        <w:rPr>
          <w:rFonts w:asciiTheme="majorBidi" w:hAnsiTheme="majorBidi" w:cstheme="majorBidi"/>
        </w:rPr>
        <w:t xml:space="preserve">chewing </w:t>
      </w:r>
      <w:r w:rsidR="00180943">
        <w:rPr>
          <w:rFonts w:asciiTheme="majorBidi" w:hAnsiTheme="majorBidi" w:cstheme="majorBidi"/>
        </w:rPr>
        <w:t>ability</w:t>
      </w:r>
      <w:r w:rsidR="001952AF">
        <w:rPr>
          <w:rFonts w:asciiTheme="majorBidi" w:hAnsiTheme="majorBidi" w:cstheme="majorBidi"/>
        </w:rPr>
        <w:t xml:space="preserve"> and </w:t>
      </w:r>
      <w:r w:rsidR="00151EC4">
        <w:rPr>
          <w:rFonts w:asciiTheme="majorBidi" w:hAnsiTheme="majorBidi" w:cstheme="majorBidi"/>
        </w:rPr>
        <w:t>food selection</w:t>
      </w:r>
      <w:r w:rsidR="00697337">
        <w:rPr>
          <w:rFonts w:asciiTheme="majorBidi" w:hAnsiTheme="majorBidi" w:cstheme="majorBidi"/>
        </w:rPr>
        <w:t>.</w:t>
      </w:r>
      <w:hyperlink w:anchor="_ENREF_30" w:tooltip="Lee, 2014 #144"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&lt;EndNote&gt;&lt;Cite&gt;&lt;Author&gt;Lee&lt;/Author&gt;&lt;Year&gt;2014&lt;/Year&gt;&lt;RecNum&gt;144&lt;/RecNum&gt;&lt;DisplayText&gt;&lt;style face="superscript"&gt;30&lt;/style&gt;&lt;/DisplayText&gt;&lt;record&gt;&lt;rec-number&gt;144&lt;/rec-number&gt;&lt;foreign-keys&gt;&lt;key app="EN" db-id="90pv252x7xpz25etx2i5affuwe2ffaptfsvz" timestamp="1589102733"&gt;144&lt;/key&gt;&lt;/foreign-keys&gt;&lt;ref-type name="Journal Article"&gt;17&lt;/ref-type&gt;&lt;contributors&gt;&lt;authors&gt;&lt;author&gt;Lee, I‐C&lt;/author&gt;&lt;author&gt;Yang, Y‐H&lt;/author&gt;&lt;author&gt;Ho, P‐S&lt;/author&gt;&lt;author&gt;Lee, I‐C&lt;/author&gt;&lt;/authors&gt;&lt;/contributors&gt;&lt;titles&gt;&lt;title&gt;Chewing ability, nutritional status and quality of life&lt;/title&gt;&lt;secondary-title&gt;Journal of oral rehabilitation&lt;/secondary-title&gt;&lt;/titles&gt;&lt;periodical&gt;&lt;full-title&gt;Journal of oral rehabilitation&lt;/full-title&gt;&lt;/periodical&gt;&lt;pages&gt;79-86&lt;/pages&gt;&lt;volume&gt;41&lt;/volume&gt;&lt;number&gt;2&lt;/number&gt;&lt;dates&gt;&lt;year&gt;2014&lt;/year&gt;&lt;/dates&gt;&lt;isbn&gt;0305-182X&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30</w:t>
        </w:r>
        <w:r w:rsidR="0036052C">
          <w:rPr>
            <w:rFonts w:asciiTheme="majorBidi" w:hAnsiTheme="majorBidi" w:cstheme="majorBidi"/>
          </w:rPr>
          <w:fldChar w:fldCharType="end"/>
        </w:r>
      </w:hyperlink>
      <w:r w:rsidR="0039462D">
        <w:rPr>
          <w:rFonts w:asciiTheme="majorBidi" w:hAnsiTheme="majorBidi" w:cstheme="majorBidi"/>
        </w:rPr>
        <w:t xml:space="preserve"> Reduced</w:t>
      </w:r>
      <w:r w:rsidR="0012361A">
        <w:rPr>
          <w:rFonts w:asciiTheme="majorBidi" w:hAnsiTheme="majorBidi" w:cstheme="majorBidi"/>
        </w:rPr>
        <w:t xml:space="preserve"> number of teeth is linked to impaired chewing abilitie</w:t>
      </w:r>
      <w:r w:rsidR="00697337">
        <w:rPr>
          <w:rFonts w:asciiTheme="majorBidi" w:hAnsiTheme="majorBidi" w:cstheme="majorBidi"/>
        </w:rPr>
        <w:t>s.</w:t>
      </w:r>
      <w:hyperlink w:anchor="_ENREF_31" w:tooltip="Naka, 2014 #145"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&lt;EndNote&gt;&lt;Cite&gt;&lt;Author&gt;Naka&lt;/Author&gt;&lt;Year&gt;2014&lt;/Year&gt;&lt;RecNum&gt;145&lt;/RecNum&gt;&lt;DisplayText&gt;&lt;style face="superscript"&gt;31&lt;/style&gt;&lt;/DisplayText&gt;&lt;record&gt;&lt;rec-number&gt;145&lt;/rec-number&gt;&lt;foreign-keys&gt;&lt;key app="EN" db-id="90pv252x7xpz25etx2i5affuwe2ffaptfsvz" timestamp="1589102858"&gt;145&lt;/key&gt;&lt;/foreign-keys&gt;&lt;ref-type name="Journal Article"&gt;17&lt;/ref-type&gt;&lt;contributors&gt;&lt;authors&gt;&lt;author&gt;Naka, Olga&lt;/author&gt;&lt;author&gt;Anastassiadou, Vassiliki&lt;/author&gt;&lt;author&gt;Pissiotis, Argirios&lt;/author&gt;&lt;/authors&gt;&lt;/contributors&gt;&lt;titles&gt;&lt;title&gt;Association between functional tooth units and chewing ability in older adults: a systematic review&lt;/title&gt;&lt;secondary-title&gt;Gerodontology&lt;/secondary-title&gt;&lt;/titles&gt;&lt;periodical&gt;&lt;full-title&gt;Gerodontology&lt;/full-title&gt;&lt;/periodical&gt;&lt;pages&gt;166-177&lt;/pages&gt;&lt;volume&gt;31&lt;/volume&gt;&lt;number&gt;3&lt;/number&gt;&lt;dates&gt;&lt;year&gt;2014&lt;/year&gt;&lt;/dates&gt;&lt;isbn&gt;0734-0664&lt;/isbn&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31</w:t>
        </w:r>
        <w:r w:rsidR="0036052C">
          <w:rPr>
            <w:rFonts w:asciiTheme="majorBidi" w:hAnsiTheme="majorBidi" w:cstheme="majorBidi"/>
          </w:rPr>
          <w:fldChar w:fldCharType="end"/>
        </w:r>
      </w:hyperlink>
      <w:r w:rsidR="0012361A">
        <w:rPr>
          <w:rFonts w:asciiTheme="majorBidi" w:hAnsiTheme="majorBidi" w:cstheme="majorBidi"/>
        </w:rPr>
        <w:t xml:space="preserve"> Furthermore, edentate older adults – even those who </w:t>
      </w:r>
      <w:r w:rsidR="00EA4B6D">
        <w:rPr>
          <w:rFonts w:asciiTheme="majorBidi" w:hAnsiTheme="majorBidi" w:cstheme="majorBidi"/>
        </w:rPr>
        <w:t xml:space="preserve">use </w:t>
      </w:r>
      <w:r w:rsidR="0012361A">
        <w:rPr>
          <w:rFonts w:asciiTheme="majorBidi" w:hAnsiTheme="majorBidi" w:cstheme="majorBidi"/>
        </w:rPr>
        <w:t>well fitted dentures – experience</w:t>
      </w:r>
      <w:r w:rsidR="006E5188">
        <w:rPr>
          <w:rFonts w:asciiTheme="majorBidi" w:hAnsiTheme="majorBidi" w:cstheme="majorBidi"/>
        </w:rPr>
        <w:t xml:space="preserve"> more</w:t>
      </w:r>
      <w:r w:rsidR="0012361A">
        <w:rPr>
          <w:rFonts w:asciiTheme="majorBidi" w:hAnsiTheme="majorBidi" w:cstheme="majorBidi"/>
        </w:rPr>
        <w:t xml:space="preserve"> chewing </w:t>
      </w:r>
      <w:r w:rsidR="006E5188">
        <w:rPr>
          <w:rFonts w:asciiTheme="majorBidi" w:hAnsiTheme="majorBidi" w:cstheme="majorBidi"/>
        </w:rPr>
        <w:t>problems</w:t>
      </w:r>
      <w:r w:rsidR="0012361A">
        <w:rPr>
          <w:rFonts w:asciiTheme="majorBidi" w:hAnsiTheme="majorBidi" w:cstheme="majorBidi"/>
        </w:rPr>
        <w:t xml:space="preserve"> compared to dentate older adults</w:t>
      </w:r>
      <w:r w:rsidR="00EA4B6D">
        <w:rPr>
          <w:rFonts w:asciiTheme="majorBidi" w:hAnsiTheme="majorBidi" w:cstheme="majorBidi"/>
        </w:rPr>
        <w:t>,</w:t>
      </w:r>
      <w:r w:rsidR="0012361A">
        <w:rPr>
          <w:rFonts w:asciiTheme="majorBidi" w:hAnsiTheme="majorBidi" w:cstheme="majorBidi"/>
        </w:rPr>
        <w:t xml:space="preserve"> implicating a higher chance</w:t>
      </w:r>
      <w:r w:rsidR="009D11C9">
        <w:rPr>
          <w:rFonts w:asciiTheme="majorBidi" w:hAnsiTheme="majorBidi" w:cstheme="majorBidi"/>
        </w:rPr>
        <w:t xml:space="preserve"> </w:t>
      </w:r>
      <w:r w:rsidR="00FB0126">
        <w:rPr>
          <w:rFonts w:asciiTheme="majorBidi" w:hAnsiTheme="majorBidi" w:cstheme="majorBidi"/>
        </w:rPr>
        <w:t xml:space="preserve">for </w:t>
      </w:r>
      <w:r w:rsidR="00647970">
        <w:rPr>
          <w:rFonts w:asciiTheme="majorBidi" w:hAnsiTheme="majorBidi" w:cstheme="majorBidi"/>
        </w:rPr>
        <w:t>diet change</w:t>
      </w:r>
      <w:r w:rsidR="0012361A">
        <w:rPr>
          <w:rFonts w:asciiTheme="majorBidi" w:hAnsiTheme="majorBidi" w:cstheme="majorBidi"/>
        </w:rPr>
        <w:t xml:space="preserve"> </w:t>
      </w:r>
      <w:r w:rsidR="00647970">
        <w:rPr>
          <w:rFonts w:asciiTheme="majorBidi" w:hAnsiTheme="majorBidi" w:cstheme="majorBidi"/>
        </w:rPr>
        <w:t>and</w:t>
      </w:r>
      <w:r w:rsidR="0012361A">
        <w:rPr>
          <w:rFonts w:asciiTheme="majorBidi" w:hAnsiTheme="majorBidi" w:cstheme="majorBidi"/>
        </w:rPr>
        <w:t xml:space="preserve"> </w:t>
      </w:r>
      <w:r w:rsidR="0084566F">
        <w:rPr>
          <w:rFonts w:asciiTheme="majorBidi" w:hAnsiTheme="majorBidi" w:cstheme="majorBidi"/>
        </w:rPr>
        <w:t xml:space="preserve">inadequate </w:t>
      </w:r>
      <w:r w:rsidR="0012361A">
        <w:rPr>
          <w:rFonts w:asciiTheme="majorBidi" w:hAnsiTheme="majorBidi" w:cstheme="majorBidi"/>
        </w:rPr>
        <w:t>nutritional intake</w:t>
      </w:r>
      <w:r w:rsidR="00697337">
        <w:rPr>
          <w:rFonts w:asciiTheme="majorBidi" w:hAnsiTheme="majorBidi" w:cstheme="majorBidi"/>
        </w:rPr>
        <w:t>.</w:t>
      </w:r>
      <w:r w:rsidR="00524C9F">
        <w:rPr>
          <w:rFonts w:asciiTheme="majorBidi" w:hAnsiTheme="majorBidi" w:cstheme="majorBidi"/>
        </w:rPr>
        <w:fldChar w:fldCharType="begin"/>
      </w:r>
      <w:r w:rsidR="0036052C">
        <w:rPr>
          <w:rFonts w:asciiTheme="majorBidi" w:hAnsiTheme="majorBidi" w:cstheme="majorBidi"/>
        </w:rPr>
        <w:instrText xml:space="preserve"> ADDIN EN.CITE &lt;EndNote&gt;&lt;Cite&gt;&lt;Author&gt;Hutton&lt;/Author&gt;&lt;Year&gt;2002&lt;/Year&gt;&lt;RecNum&gt;146&lt;/RecNum&gt;&lt;DisplayText&gt;&lt;style face="superscript"&gt;32, 33&lt;/style&gt;&lt;/DisplayText&gt;&lt;record&gt;&lt;rec-number&gt;146&lt;/rec-number&gt;&lt;foreign-keys&gt;&lt;key app="EN" db-id="90pv252x7xpz25etx2i5affuwe2ffaptfsvz" timestamp="1589102942"&gt;146&lt;/key&gt;&lt;/foreign-keys&gt;&lt;ref-type name="Journal Article"&gt;17&lt;/ref-type&gt;&lt;contributors&gt;&lt;authors&gt;&lt;author&gt;Hutton, Brian&lt;/author&gt;&lt;author&gt;Feine, Jocelyne&lt;/author&gt;&lt;author&gt;Morais, José&lt;/author&gt;&lt;/authors&gt;&lt;/contributors&gt;&lt;titles&gt;&lt;title&gt;Is there an association between edentulism and nutritional state?&lt;/title&gt;&lt;secondary-title&gt;Journal-Canadian Dental Association&lt;/secondary-title&gt;&lt;/titles&gt;&lt;periodical&gt;&lt;full-title&gt;Journal-Canadian Dental Association&lt;/full-title&gt;&lt;/periodical&gt;&lt;pages&gt;182-187&lt;/pages&gt;&lt;volume&gt;68&lt;/volume&gt;&lt;number&gt;3&lt;/number&gt;&lt;dates&gt;&lt;year&gt;2002&lt;/year&gt;&lt;/dates&gt;&lt;isbn&gt;0709-8936&lt;/isbn&gt;&lt;urls&gt;&lt;/urls&gt;&lt;/record&gt;&lt;/Cite&gt;&lt;Cite&gt;&lt;Author&gt;Fontijn-Tekamp&lt;/Author&gt;&lt;Year&gt;1996&lt;/Year&gt;&lt;RecNum&gt;147&lt;/RecNum&gt;&lt;record&gt;&lt;rec-number&gt;147&lt;/rec-number&gt;&lt;foreign-keys&gt;&lt;key app="EN" db-id="90pv252x7xpz25etx2i5affuwe2ffaptfsvz" timestamp="1589103077"&gt;147&lt;/key&gt;&lt;/foreign-keys&gt;&lt;ref-type name="Journal Article"&gt;17&lt;/ref-type&gt;&lt;contributors&gt;&lt;authors&gt;&lt;author&gt;Fontijn-Tekamp, FA&lt;/author&gt;&lt;author&gt;Slagter, AP&lt;/author&gt;&lt;/authors&gt;&lt;/contributors&gt;&lt;titles&gt;&lt;title&gt;The state of dentition in relation to nutrition in elderly Europeans in the SENECA Study of 1993&lt;/title&gt;&lt;secondary-title&gt;European journal of clinical nutrition&lt;/secondary-title&gt;&lt;/titles&gt;&lt;periodical&gt;&lt;full-title&gt;European journal of clinical nutrition&lt;/full-title&gt;&lt;/periodical&gt;&lt;pages&gt;S117-22&lt;/pages&gt;&lt;volume&gt;50&lt;/volume&gt;&lt;dates&gt;&lt;year&gt;1996&lt;/year&gt;&lt;/dates&gt;&lt;isbn&gt;0954-3007&lt;/isbn&gt;&lt;urls&gt;&lt;/urls&gt;&lt;/record&gt;&lt;/Cite&gt;&lt;/EndNote&gt;</w:instrText>
      </w:r>
      <w:r w:rsidR="00524C9F">
        <w:rPr>
          <w:rFonts w:asciiTheme="majorBidi" w:hAnsiTheme="majorBidi" w:cstheme="majorBidi"/>
        </w:rPr>
        <w:fldChar w:fldCharType="separate"/>
      </w:r>
      <w:hyperlink w:anchor="_ENREF_32" w:tooltip="Hutton, 2002 #146" w:history="1">
        <w:r w:rsidR="0036052C" w:rsidRPr="0036052C">
          <w:rPr>
            <w:rFonts w:asciiTheme="majorBidi" w:hAnsiTheme="majorBidi" w:cstheme="majorBidi"/>
            <w:noProof/>
            <w:vertAlign w:val="superscript"/>
          </w:rPr>
          <w:t>32</w:t>
        </w:r>
      </w:hyperlink>
      <w:r w:rsidR="0036052C" w:rsidRPr="0036052C">
        <w:rPr>
          <w:rFonts w:asciiTheme="majorBidi" w:hAnsiTheme="majorBidi" w:cstheme="majorBidi"/>
          <w:noProof/>
          <w:vertAlign w:val="superscript"/>
        </w:rPr>
        <w:t xml:space="preserve">, </w:t>
      </w:r>
      <w:hyperlink w:anchor="_ENREF_33" w:tooltip="Fontijn-Tekamp, 1996 #147" w:history="1">
        <w:r w:rsidR="0036052C" w:rsidRPr="0036052C">
          <w:rPr>
            <w:rFonts w:asciiTheme="majorBidi" w:hAnsiTheme="majorBidi" w:cstheme="majorBidi"/>
            <w:noProof/>
            <w:vertAlign w:val="superscript"/>
          </w:rPr>
          <w:t>33</w:t>
        </w:r>
      </w:hyperlink>
      <w:r w:rsidR="00524C9F">
        <w:rPr>
          <w:rFonts w:asciiTheme="majorBidi" w:hAnsiTheme="majorBidi" w:cstheme="majorBidi"/>
        </w:rPr>
        <w:fldChar w:fldCharType="end"/>
      </w:r>
      <w:r w:rsidR="00D9743F">
        <w:rPr>
          <w:rFonts w:asciiTheme="majorBidi" w:hAnsiTheme="majorBidi" w:cstheme="majorBidi"/>
        </w:rPr>
        <w:t xml:space="preserve"> </w:t>
      </w:r>
      <w:r w:rsidR="006F7FBB">
        <w:rPr>
          <w:rFonts w:asciiTheme="majorBidi" w:hAnsiTheme="majorBidi" w:cstheme="majorBidi"/>
        </w:rPr>
        <w:t>O</w:t>
      </w:r>
      <w:r w:rsidR="00D9743F">
        <w:rPr>
          <w:rFonts w:asciiTheme="majorBidi" w:hAnsiTheme="majorBidi" w:cstheme="majorBidi"/>
        </w:rPr>
        <w:t xml:space="preserve">lder adults tend to </w:t>
      </w:r>
      <w:r w:rsidR="006F7FBB">
        <w:rPr>
          <w:rFonts w:asciiTheme="majorBidi" w:hAnsiTheme="majorBidi" w:cstheme="majorBidi"/>
        </w:rPr>
        <w:t xml:space="preserve">select </w:t>
      </w:r>
      <w:r w:rsidR="006F7FBB">
        <w:rPr>
          <w:rFonts w:asciiTheme="majorBidi" w:hAnsiTheme="majorBidi" w:cstheme="majorBidi"/>
        </w:rPr>
        <w:lastRenderedPageBreak/>
        <w:t xml:space="preserve">processed </w:t>
      </w:r>
      <w:r w:rsidR="00D9743F">
        <w:rPr>
          <w:rFonts w:asciiTheme="majorBidi" w:hAnsiTheme="majorBidi" w:cstheme="majorBidi"/>
        </w:rPr>
        <w:t xml:space="preserve">soft food, </w:t>
      </w:r>
      <w:r w:rsidR="00EA4B6D">
        <w:rPr>
          <w:rFonts w:asciiTheme="majorBidi" w:hAnsiTheme="majorBidi" w:cstheme="majorBidi"/>
        </w:rPr>
        <w:t xml:space="preserve">which </w:t>
      </w:r>
      <w:r w:rsidR="00D9743F">
        <w:rPr>
          <w:rFonts w:asciiTheme="majorBidi" w:hAnsiTheme="majorBidi" w:cstheme="majorBidi"/>
        </w:rPr>
        <w:t>are usually</w:t>
      </w:r>
      <w:r w:rsidR="006F7FBB">
        <w:rPr>
          <w:rFonts w:asciiTheme="majorBidi" w:hAnsiTheme="majorBidi" w:cstheme="majorBidi"/>
        </w:rPr>
        <w:t xml:space="preserve"> </w:t>
      </w:r>
      <w:r w:rsidR="00D9743F">
        <w:rPr>
          <w:rFonts w:asciiTheme="majorBidi" w:hAnsiTheme="majorBidi" w:cstheme="majorBidi"/>
        </w:rPr>
        <w:t xml:space="preserve">high in fat and </w:t>
      </w:r>
      <w:r w:rsidR="00662DD5">
        <w:rPr>
          <w:rFonts w:asciiTheme="majorBidi" w:hAnsiTheme="majorBidi" w:cstheme="majorBidi"/>
        </w:rPr>
        <w:t>sugar,</w:t>
      </w:r>
      <w:r w:rsidR="00D9743F">
        <w:rPr>
          <w:rFonts w:asciiTheme="majorBidi" w:hAnsiTheme="majorBidi" w:cstheme="majorBidi"/>
        </w:rPr>
        <w:t xml:space="preserve"> and low in</w:t>
      </w:r>
      <w:r w:rsidR="006F7FBB">
        <w:rPr>
          <w:rFonts w:asciiTheme="majorBidi" w:hAnsiTheme="majorBidi" w:cstheme="majorBidi"/>
        </w:rPr>
        <w:t xml:space="preserve"> </w:t>
      </w:r>
      <w:r w:rsidR="00117ADC">
        <w:rPr>
          <w:rFonts w:asciiTheme="majorBidi" w:hAnsiTheme="majorBidi" w:cstheme="majorBidi"/>
        </w:rPr>
        <w:t>protein</w:t>
      </w:r>
      <w:r w:rsidR="006F7FBB">
        <w:rPr>
          <w:rFonts w:asciiTheme="majorBidi" w:hAnsiTheme="majorBidi" w:cstheme="majorBidi"/>
        </w:rPr>
        <w:t>,</w:t>
      </w:r>
      <w:r w:rsidR="00D9743F">
        <w:rPr>
          <w:rFonts w:asciiTheme="majorBidi" w:hAnsiTheme="majorBidi" w:cstheme="majorBidi"/>
        </w:rPr>
        <w:t xml:space="preserve"> vitamins and minerals</w:t>
      </w:r>
      <w:r w:rsidR="00027956">
        <w:rPr>
          <w:rFonts w:asciiTheme="majorBidi" w:hAnsiTheme="majorBidi" w:cstheme="majorBidi"/>
        </w:rPr>
        <w:t xml:space="preserve"> </w:t>
      </w:r>
      <w:r w:rsidR="00697337">
        <w:rPr>
          <w:rFonts w:asciiTheme="majorBidi" w:hAnsiTheme="majorBidi" w:cstheme="majorBidi"/>
        </w:rPr>
        <w:t>.</w:t>
      </w:r>
      <w:hyperlink w:anchor="_ENREF_34" w:tooltip="Shlisky, 2017 #150" w:history="1">
        <w:r w:rsidR="0036052C">
          <w:rPr>
            <w:rFonts w:asciiTheme="majorBidi" w:hAnsiTheme="majorBidi" w:cstheme="majorBidi"/>
          </w:rPr>
          <w:fldChar w:fldCharType="begin"/>
        </w:r>
        <w:r w:rsidR="0036052C">
          <w:rPr>
            <w:rFonts w:asciiTheme="majorBidi" w:hAnsiTheme="majorBidi" w:cstheme="majorBidi"/>
          </w:rPr>
          <w:instrText xml:space="preserve"> ADDIN EN.CITE &lt;EndNote&gt;&lt;Cite&gt;&lt;Author&gt;Shlisky&lt;/Author&gt;&lt;Year&gt;2017&lt;/Year&gt;&lt;RecNum&gt;150&lt;/RecNum&gt;&lt;DisplayText&gt;&lt;style face="superscript"&gt;34&lt;/style&gt;&lt;/DisplayText&gt;&lt;record&gt;&lt;rec-number&gt;150&lt;/rec-number&gt;&lt;foreign-keys&gt;&lt;key app="EN" db-id="90pv252x7xpz25etx2i5affuwe2ffaptfsvz" timestamp="1589104857"&gt;150&lt;/key&gt;&lt;/foreign-keys&gt;&lt;ref-type name="Journal Article"&gt;17&lt;/ref-type&gt;&lt;contributors&gt;&lt;authors&gt;&lt;author&gt;Shlisky, Julie&lt;/author&gt;&lt;author&gt;Bloom, David E&lt;/author&gt;&lt;author&gt;Beaudreault, Amy R&lt;/author&gt;&lt;author&gt;Tucker, Katherine L&lt;/author&gt;&lt;author&gt;Keller, Heather H&lt;/author&gt;&lt;author&gt;Freund-Levi, Yvonne&lt;/author&gt;&lt;author&gt;Fielding, Roger A&lt;/author&gt;&lt;author&gt;Cheng, Feon W&lt;/author&gt;&lt;author&gt;Jensen, Gordon L&lt;/author&gt;&lt;author&gt;Wu, Dayong&lt;/author&gt;&lt;/authors&gt;&lt;/contributors&gt;&lt;titles&gt;&lt;title&gt;Nutritional considerations for healthy aging and reduction in age-related chronic disease&lt;/title&gt;&lt;secondary-title&gt;Advances in Nutrition&lt;/secondary-title&gt;&lt;/titles&gt;&lt;periodical&gt;&lt;full-title&gt;Advances in Nutrition&lt;/full-title&gt;&lt;/periodical&gt;&lt;pages&gt;17&lt;/pages&gt;&lt;volume&gt;8&lt;/volume&gt;&lt;number&gt;1&lt;/number&gt;&lt;dates&gt;&lt;year&gt;2017&lt;/year&gt;&lt;/dates&gt;&lt;urls&gt;&lt;/urls&gt;&lt;/record&gt;&lt;/Cite&gt;&lt;/EndNote&gt;</w:instrText>
        </w:r>
        <w:r w:rsidR="0036052C">
          <w:rPr>
            <w:rFonts w:asciiTheme="majorBidi" w:hAnsiTheme="majorBidi" w:cstheme="majorBidi"/>
          </w:rPr>
          <w:fldChar w:fldCharType="separate"/>
        </w:r>
        <w:r w:rsidR="0036052C" w:rsidRPr="0036052C">
          <w:rPr>
            <w:rFonts w:asciiTheme="majorBidi" w:hAnsiTheme="majorBidi" w:cstheme="majorBidi"/>
            <w:noProof/>
            <w:vertAlign w:val="superscript"/>
          </w:rPr>
          <w:t>34</w:t>
        </w:r>
        <w:r w:rsidR="0036052C">
          <w:rPr>
            <w:rFonts w:asciiTheme="majorBidi" w:hAnsiTheme="majorBidi" w:cstheme="majorBidi"/>
          </w:rPr>
          <w:fldChar w:fldCharType="end"/>
        </w:r>
      </w:hyperlink>
      <w:r w:rsidR="00697337">
        <w:rPr>
          <w:rFonts w:asciiTheme="majorBidi" w:hAnsiTheme="majorBidi" w:cstheme="majorBidi"/>
        </w:rPr>
        <w:t xml:space="preserve"> </w:t>
      </w:r>
      <w:r w:rsidR="00A87303">
        <w:rPr>
          <w:rFonts w:asciiTheme="majorBidi" w:hAnsiTheme="majorBidi" w:cstheme="majorBidi"/>
        </w:rPr>
        <w:t xml:space="preserve">The low intake of micronutrient </w:t>
      </w:r>
      <w:r w:rsidR="00095ED9">
        <w:rPr>
          <w:rFonts w:asciiTheme="majorBidi" w:hAnsiTheme="majorBidi" w:cstheme="majorBidi"/>
        </w:rPr>
        <w:t>exposes older adults to higher risks of malnutrition</w:t>
      </w:r>
      <w:r w:rsidR="00A02827">
        <w:rPr>
          <w:rFonts w:asciiTheme="majorBidi" w:hAnsiTheme="majorBidi" w:cstheme="majorBidi"/>
        </w:rPr>
        <w:t>, oxidative stress</w:t>
      </w:r>
      <w:r w:rsidR="00662DD5">
        <w:rPr>
          <w:rFonts w:asciiTheme="majorBidi" w:hAnsiTheme="majorBidi" w:cstheme="majorBidi"/>
        </w:rPr>
        <w:t>, inflammation</w:t>
      </w:r>
      <w:r w:rsidR="00095ED9">
        <w:rPr>
          <w:rFonts w:asciiTheme="majorBidi" w:hAnsiTheme="majorBidi" w:cstheme="majorBidi"/>
        </w:rPr>
        <w:t xml:space="preserve"> and </w:t>
      </w:r>
      <w:r w:rsidR="00662DD5">
        <w:rPr>
          <w:rFonts w:asciiTheme="majorBidi" w:hAnsiTheme="majorBidi" w:cstheme="majorBidi"/>
        </w:rPr>
        <w:t xml:space="preserve">ultimately </w:t>
      </w:r>
      <w:r w:rsidR="00095ED9">
        <w:rPr>
          <w:rFonts w:asciiTheme="majorBidi" w:hAnsiTheme="majorBidi" w:cstheme="majorBidi"/>
        </w:rPr>
        <w:t>frailty</w:t>
      </w:r>
      <w:r w:rsidR="00697337">
        <w:rPr>
          <w:rFonts w:asciiTheme="majorBidi" w:hAnsiTheme="majorBidi" w:cstheme="majorBidi"/>
        </w:rPr>
        <w:t>.</w:t>
      </w:r>
      <w:r w:rsidR="0018576A">
        <w:rPr>
          <w:rFonts w:asciiTheme="majorBidi" w:hAnsiTheme="majorBidi" w:cstheme="majorBidi"/>
        </w:rPr>
        <w:fldChar w:fldCharType="begin">
          <w:fldData xml:space="preserve">PEVuZE5vdGU+PENpdGU+PEF1dGhvcj5IdXR0b248L0F1dGhvcj48WWVhcj4yMDAyPC9ZZWFyPjxS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</w:fldData>
        </w:fldChar>
      </w:r>
      <w:r w:rsidR="0036052C">
        <w:rPr>
          <w:rFonts w:asciiTheme="majorBidi" w:hAnsiTheme="majorBidi" w:cstheme="majorBidi"/>
        </w:rPr>
        <w:instrText xml:space="preserve"> ADDIN EN.CITE </w:instrText>
      </w:r>
      <w:r w:rsidR="0036052C">
        <w:rPr>
          <w:rFonts w:asciiTheme="majorBidi" w:hAnsiTheme="majorBidi" w:cstheme="majorBidi"/>
        </w:rPr>
        <w:fldChar w:fldCharType="begin">
          <w:fldData xml:space="preserve">PEVuZE5vdGU+PENpdGU+PEF1dGhvcj5IdXR0b248L0F1dGhvcj48WWVhcj4yMDAyPC9ZZWFyPjxS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</w:fldData>
        </w:fldChar>
      </w:r>
      <w:r w:rsidR="0036052C">
        <w:rPr>
          <w:rFonts w:asciiTheme="majorBidi" w:hAnsiTheme="majorBidi" w:cstheme="majorBidi"/>
        </w:rPr>
        <w:instrText xml:space="preserve"> ADDIN EN.CITE.DATA </w:instrText>
      </w:r>
      <w:r w:rsidR="0036052C">
        <w:rPr>
          <w:rFonts w:asciiTheme="majorBidi" w:hAnsiTheme="majorBidi" w:cstheme="majorBidi"/>
        </w:rPr>
      </w:r>
      <w:r w:rsidR="0036052C">
        <w:rPr>
          <w:rFonts w:asciiTheme="majorBidi" w:hAnsiTheme="majorBidi" w:cstheme="majorBidi"/>
        </w:rPr>
        <w:fldChar w:fldCharType="end"/>
      </w:r>
      <w:r w:rsidR="0018576A">
        <w:rPr>
          <w:rFonts w:asciiTheme="majorBidi" w:hAnsiTheme="majorBidi" w:cstheme="majorBidi"/>
        </w:rPr>
      </w:r>
      <w:r w:rsidR="0018576A">
        <w:rPr>
          <w:rFonts w:asciiTheme="majorBidi" w:hAnsiTheme="majorBidi" w:cstheme="majorBidi"/>
        </w:rPr>
        <w:fldChar w:fldCharType="separate"/>
      </w:r>
      <w:hyperlink w:anchor="_ENREF_32" w:tooltip="Hutton, 2002 #146" w:history="1">
        <w:r w:rsidR="0036052C" w:rsidRPr="0036052C">
          <w:rPr>
            <w:rFonts w:asciiTheme="majorBidi" w:hAnsiTheme="majorBidi" w:cstheme="majorBidi"/>
            <w:noProof/>
            <w:vertAlign w:val="superscript"/>
          </w:rPr>
          <w:t>32</w:t>
        </w:r>
      </w:hyperlink>
      <w:r w:rsidR="0036052C" w:rsidRPr="0036052C">
        <w:rPr>
          <w:rFonts w:asciiTheme="majorBidi" w:hAnsiTheme="majorBidi" w:cstheme="majorBidi"/>
          <w:noProof/>
          <w:vertAlign w:val="superscript"/>
        </w:rPr>
        <w:t xml:space="preserve">, </w:t>
      </w:r>
      <w:hyperlink w:anchor="_ENREF_35" w:tooltip="Tan, 2018 #148" w:history="1">
        <w:r w:rsidR="0036052C" w:rsidRPr="0036052C">
          <w:rPr>
            <w:rFonts w:asciiTheme="majorBidi" w:hAnsiTheme="majorBidi" w:cstheme="majorBidi"/>
            <w:noProof/>
            <w:vertAlign w:val="superscript"/>
          </w:rPr>
          <w:t>35</w:t>
        </w:r>
      </w:hyperlink>
      <w:r w:rsidR="0036052C" w:rsidRPr="0036052C">
        <w:rPr>
          <w:rFonts w:asciiTheme="majorBidi" w:hAnsiTheme="majorBidi" w:cstheme="majorBidi"/>
          <w:noProof/>
          <w:vertAlign w:val="superscript"/>
        </w:rPr>
        <w:t xml:space="preserve">, </w:t>
      </w:r>
      <w:hyperlink w:anchor="_ENREF_36" w:tooltip="Azzolino, 2019 #149" w:history="1">
        <w:r w:rsidR="0036052C" w:rsidRPr="0036052C">
          <w:rPr>
            <w:rFonts w:asciiTheme="majorBidi" w:hAnsiTheme="majorBidi" w:cstheme="majorBidi"/>
            <w:noProof/>
            <w:vertAlign w:val="superscript"/>
          </w:rPr>
          <w:t>36</w:t>
        </w:r>
      </w:hyperlink>
      <w:r w:rsidR="0018576A">
        <w:rPr>
          <w:rFonts w:asciiTheme="majorBidi" w:hAnsiTheme="majorBidi" w:cstheme="majorBidi"/>
        </w:rPr>
        <w:fldChar w:fldCharType="end"/>
      </w:r>
      <w:r w:rsidR="00D73E55">
        <w:rPr>
          <w:rFonts w:asciiTheme="majorBidi" w:hAnsiTheme="majorBidi" w:cstheme="majorBidi"/>
        </w:rPr>
        <w:t xml:space="preserve"> </w:t>
      </w:r>
      <w:r w:rsidR="00F87B42">
        <w:rPr>
          <w:rFonts w:asciiTheme="majorBidi" w:hAnsiTheme="majorBidi" w:cstheme="majorBidi"/>
        </w:rPr>
        <w:t>A</w:t>
      </w:r>
      <w:r w:rsidR="001E3984" w:rsidRPr="001E3984">
        <w:rPr>
          <w:rFonts w:asciiTheme="majorBidi" w:hAnsiTheme="majorBidi" w:cstheme="majorBidi"/>
        </w:rPr>
        <w:t>lthough nutrition</w:t>
      </w:r>
      <w:r w:rsidR="002F0B0B">
        <w:rPr>
          <w:rFonts w:asciiTheme="majorBidi" w:hAnsiTheme="majorBidi" w:cstheme="majorBidi"/>
        </w:rPr>
        <w:t>al intake</w:t>
      </w:r>
      <w:r w:rsidR="001E3984" w:rsidRPr="001E3984">
        <w:rPr>
          <w:rFonts w:asciiTheme="majorBidi" w:hAnsiTheme="majorBidi" w:cstheme="majorBidi"/>
        </w:rPr>
        <w:t xml:space="preserve"> was associated with both number of teeth and frailty</w:t>
      </w:r>
      <w:r w:rsidR="002F0B0B">
        <w:rPr>
          <w:rFonts w:asciiTheme="majorBidi" w:hAnsiTheme="majorBidi" w:cstheme="majorBidi"/>
        </w:rPr>
        <w:t xml:space="preserve"> in our analysis</w:t>
      </w:r>
      <w:r w:rsidR="001E3984" w:rsidRPr="001E3984">
        <w:rPr>
          <w:rFonts w:asciiTheme="majorBidi" w:hAnsiTheme="majorBidi" w:cstheme="majorBidi"/>
        </w:rPr>
        <w:t xml:space="preserve">, but it did not </w:t>
      </w:r>
      <w:r w:rsidR="00EA4B6D">
        <w:rPr>
          <w:rFonts w:asciiTheme="majorBidi" w:hAnsiTheme="majorBidi" w:cstheme="majorBidi"/>
        </w:rPr>
        <w:t xml:space="preserve">seem to </w:t>
      </w:r>
      <w:r w:rsidR="001E3984" w:rsidRPr="001E3984">
        <w:rPr>
          <w:rFonts w:asciiTheme="majorBidi" w:hAnsiTheme="majorBidi" w:cstheme="majorBidi"/>
        </w:rPr>
        <w:t>impact their association.  </w:t>
      </w:r>
      <w:r w:rsidR="001E3984" w:rsidRPr="00C3170F">
        <w:rPr>
          <w:rFonts w:asciiTheme="majorBidi" w:hAnsiTheme="majorBidi" w:cstheme="majorBidi"/>
        </w:rPr>
        <w:t xml:space="preserve">Other factors could explain this relationship, given the cross-sectional association it could be comorbidity </w:t>
      </w:r>
      <w:r w:rsidR="00BB4644" w:rsidRPr="00C3170F">
        <w:rPr>
          <w:rFonts w:asciiTheme="majorBidi" w:hAnsiTheme="majorBidi" w:cstheme="majorBidi"/>
        </w:rPr>
        <w:t xml:space="preserve">related </w:t>
      </w:r>
      <w:r w:rsidR="00983D2E" w:rsidRPr="00C3170F">
        <w:rPr>
          <w:rFonts w:asciiTheme="majorBidi" w:hAnsiTheme="majorBidi" w:cstheme="majorBidi"/>
        </w:rPr>
        <w:t xml:space="preserve">to </w:t>
      </w:r>
      <w:r w:rsidR="00BB4644" w:rsidRPr="00C3170F">
        <w:rPr>
          <w:rFonts w:asciiTheme="majorBidi" w:hAnsiTheme="majorBidi" w:cstheme="majorBidi"/>
        </w:rPr>
        <w:t>common risk factors</w:t>
      </w:r>
      <w:r w:rsidR="00C62761" w:rsidRPr="00C3170F">
        <w:rPr>
          <w:rFonts w:asciiTheme="majorBidi" w:hAnsiTheme="majorBidi" w:cstheme="majorBidi"/>
        </w:rPr>
        <w:t xml:space="preserve"> </w:t>
      </w:r>
      <w:r w:rsidR="00134053">
        <w:rPr>
          <w:rFonts w:asciiTheme="majorBidi" w:hAnsiTheme="majorBidi" w:cstheme="majorBidi"/>
        </w:rPr>
        <w:t>for</w:t>
      </w:r>
      <w:r w:rsidR="00134053" w:rsidRPr="00C3170F">
        <w:rPr>
          <w:rFonts w:asciiTheme="majorBidi" w:hAnsiTheme="majorBidi" w:cstheme="majorBidi"/>
        </w:rPr>
        <w:t xml:space="preserve"> </w:t>
      </w:r>
      <w:r w:rsidR="00C62761" w:rsidRPr="00C3170F">
        <w:rPr>
          <w:rFonts w:asciiTheme="majorBidi" w:hAnsiTheme="majorBidi" w:cstheme="majorBidi"/>
        </w:rPr>
        <w:t>oral health, nutrition and frailty</w:t>
      </w:r>
      <w:r w:rsidR="00134053">
        <w:rPr>
          <w:rFonts w:asciiTheme="majorBidi" w:hAnsiTheme="majorBidi" w:cstheme="majorBidi"/>
        </w:rPr>
        <w:t>. Adverse socioeconomic conditions</w:t>
      </w:r>
      <w:r w:rsidR="000365C4" w:rsidRPr="00C3170F">
        <w:rPr>
          <w:rFonts w:asciiTheme="majorBidi" w:hAnsiTheme="majorBidi" w:cstheme="majorBidi"/>
        </w:rPr>
        <w:t xml:space="preserve"> </w:t>
      </w:r>
      <w:r w:rsidR="00134053">
        <w:rPr>
          <w:rFonts w:asciiTheme="majorBidi" w:hAnsiTheme="majorBidi" w:cstheme="majorBidi"/>
        </w:rPr>
        <w:t>could also lead to poor oral health and frailty simultaneously</w:t>
      </w:r>
      <w:r w:rsidR="00697337">
        <w:rPr>
          <w:rFonts w:asciiTheme="majorBidi" w:hAnsiTheme="majorBidi" w:cstheme="majorBidi"/>
        </w:rPr>
        <w:t>.</w:t>
      </w:r>
      <w:hyperlink w:anchor="_ENREF_16" w:tooltip="Hakeem, 2019 #151" w:history="1">
        <w:r w:rsidR="0036052C" w:rsidRPr="00C3170F">
          <w:rPr>
            <w:rFonts w:asciiTheme="majorBidi" w:hAnsiTheme="majorBidi" w:cstheme="majorBidi"/>
          </w:rPr>
          <w:fldChar w:fldCharType="begin"/>
        </w:r>
        <w:r w:rsidR="0036052C">
          <w:rPr>
            <w:rFonts w:asciiTheme="majorBidi" w:hAnsiTheme="majorBidi" w:cstheme="majorBidi"/>
          </w:rPr>
          <w:instrText xml:space="preserve"> ADDIN EN.CITE &lt;EndNote&gt;&lt;Cite&gt;&lt;Author&gt;Hakeem&lt;/Author&gt;&lt;Year&gt;2019&lt;/Year&gt;&lt;RecNum&gt;151&lt;/RecNum&gt;&lt;DisplayText&gt;&lt;style face="superscript"&gt;16&lt;/style&gt;&lt;/DisplayText&gt;&lt;record&gt;&lt;rec-number&gt;151&lt;/rec-number&gt;&lt;foreign-keys&gt;&lt;key app="EN" db-id="90pv252x7xpz25etx2i5affuwe2ffaptfsvz" timestamp="1589105688"&gt;151&lt;/key&gt;&lt;/foreign-keys&gt;&lt;ref-type name="Journal Article"&gt;17&lt;/ref-type&gt;&lt;contributors&gt;&lt;authors&gt;&lt;author&gt;Hakeem, Faisal F&lt;/author&gt;&lt;author&gt;Bernabé, Eduardo&lt;/author&gt;&lt;author&gt;Sabbah, Wael&lt;/author&gt;&lt;/authors&gt;&lt;/contributors&gt;&lt;titles&gt;&lt;title&gt;Association between oral health and frailty: a systematic review of longitudinal studies&lt;/title&gt;&lt;secondary-title&gt;Gerodontology&lt;/secondary-title&gt;&lt;/titles&gt;&lt;periodical&gt;&lt;full-title&gt;Gerodontology&lt;/full-title&gt;&lt;/periodical&gt;&lt;pages&gt;205-215&lt;/pages&gt;&lt;volume&gt;36&lt;/volume&gt;&lt;number&gt;3&lt;/number&gt;&lt;dates&gt;&lt;year&gt;2019&lt;/year&gt;&lt;/dates&gt;&lt;isbn&gt;0734-0664&lt;/isbn&gt;&lt;urls&gt;&lt;/urls&gt;&lt;/record&gt;&lt;/Cite&gt;&lt;/EndNote&gt;</w:instrText>
        </w:r>
        <w:r w:rsidR="0036052C" w:rsidRPr="00C3170F">
          <w:rPr>
            <w:rFonts w:asciiTheme="majorBidi" w:hAnsiTheme="majorBidi" w:cstheme="majorBidi"/>
          </w:rPr>
          <w:fldChar w:fldCharType="separate"/>
        </w:r>
        <w:r w:rsidR="0036052C" w:rsidRPr="0036052C">
          <w:rPr>
            <w:rFonts w:asciiTheme="majorBidi" w:hAnsiTheme="majorBidi" w:cstheme="majorBidi"/>
            <w:noProof/>
            <w:vertAlign w:val="superscript"/>
          </w:rPr>
          <w:t>16</w:t>
        </w:r>
        <w:r w:rsidR="0036052C" w:rsidRPr="00C3170F">
          <w:rPr>
            <w:rFonts w:asciiTheme="majorBidi" w:hAnsiTheme="majorBidi" w:cstheme="majorBidi"/>
          </w:rPr>
          <w:fldChar w:fldCharType="end"/>
        </w:r>
      </w:hyperlink>
      <w:r w:rsidR="0084566F">
        <w:rPr>
          <w:rFonts w:asciiTheme="majorBidi" w:hAnsiTheme="majorBidi" w:cstheme="majorBidi"/>
        </w:rPr>
        <w:t xml:space="preserve">   That aside, in this cross-sectional analysis,</w:t>
      </w:r>
      <w:r w:rsidR="0084566F" w:rsidRPr="002D00F2">
        <w:rPr>
          <w:rFonts w:asciiTheme="majorBidi" w:hAnsiTheme="majorBidi" w:cstheme="majorBidi"/>
        </w:rPr>
        <w:t xml:space="preserve"> bidirectional association between oral health and frailty </w:t>
      </w:r>
      <w:r w:rsidR="0084566F">
        <w:rPr>
          <w:rFonts w:asciiTheme="majorBidi" w:hAnsiTheme="majorBidi" w:cstheme="majorBidi"/>
        </w:rPr>
        <w:t>can</w:t>
      </w:r>
      <w:r w:rsidR="0084566F" w:rsidRPr="002D00F2">
        <w:rPr>
          <w:rFonts w:asciiTheme="majorBidi" w:hAnsiTheme="majorBidi" w:cstheme="majorBidi"/>
        </w:rPr>
        <w:t xml:space="preserve">not </w:t>
      </w:r>
      <w:r w:rsidR="0084566F">
        <w:rPr>
          <w:rFonts w:asciiTheme="majorBidi" w:hAnsiTheme="majorBidi" w:cstheme="majorBidi"/>
        </w:rPr>
        <w:t>be dis</w:t>
      </w:r>
      <w:r w:rsidR="0084566F" w:rsidRPr="002D00F2">
        <w:rPr>
          <w:rFonts w:asciiTheme="majorBidi" w:hAnsiTheme="majorBidi" w:cstheme="majorBidi"/>
        </w:rPr>
        <w:t>missed, as frailty could impacts oral health through sarcopenia, loss of functions, cognitive decline which leads to difficulties performing oral hygiene and accessing dental services</w:t>
      </w:r>
      <w:r w:rsidR="0084566F">
        <w:rPr>
          <w:rFonts w:asciiTheme="majorBidi" w:hAnsiTheme="majorBidi" w:cstheme="majorBidi"/>
        </w:rPr>
        <w:t>.</w:t>
      </w:r>
      <w:hyperlink w:anchor="_ENREF_37" w:tooltip="MacEntee, 2016 #152" w:history="1">
        <w:r w:rsidR="0036052C" w:rsidRPr="002D00F2">
          <w:rPr>
            <w:rFonts w:asciiTheme="majorBidi" w:hAnsiTheme="majorBidi" w:cstheme="majorBidi"/>
          </w:rPr>
          <w:fldChar w:fldCharType="begin"/>
        </w:r>
        <w:r w:rsidR="0036052C">
          <w:rPr>
            <w:rFonts w:asciiTheme="majorBidi" w:hAnsiTheme="majorBidi" w:cstheme="majorBidi"/>
          </w:rPr>
          <w:instrText xml:space="preserve"> ADDIN EN.CITE &lt;EndNote&gt;&lt;Cite&gt;&lt;Author&gt;MacEntee&lt;/Author&gt;&lt;Year&gt;2016&lt;/Year&gt;&lt;RecNum&gt;152&lt;/RecNum&gt;&lt;DisplayText&gt;&lt;style face="superscript"&gt;37&lt;/style&gt;&lt;/DisplayText&gt;&lt;record&gt;&lt;rec-number&gt;152&lt;/rec-number&gt;&lt;foreign-keys&gt;&lt;key app="EN" db-id="90pv252x7xpz25etx2i5affuwe2ffaptfsvz" timestamp="1589110596"&gt;152&lt;/key&gt;&lt;/foreign-keys&gt;&lt;ref-type name="Journal Article"&gt;17&lt;/ref-type&gt;&lt;contributors&gt;&lt;authors&gt;&lt;author&gt;MacEntee, Michael I&lt;/author&gt;&lt;author&gt;Donnelly, Leeann R&lt;/author&gt;&lt;/authors&gt;&lt;/contributors&gt;&lt;titles&gt;&lt;title&gt;Oral health and the frailty syndrome&lt;/title&gt;&lt;secondary-title&gt;Periodontology 2000&lt;/secondary-title&gt;&lt;/titles&gt;&lt;periodical&gt;&lt;full-title&gt;Periodontology 2000&lt;/full-title&gt;&lt;/periodical&gt;&lt;pages&gt;135-141&lt;/pages&gt;&lt;volume&gt;72&lt;/volume&gt;&lt;number&gt;1&lt;/number&gt;&lt;dates&gt;&lt;year&gt;2016&lt;/year&gt;&lt;/dates&gt;&lt;isbn&gt;0906-6713&lt;/isbn&gt;&lt;urls&gt;&lt;/urls&gt;&lt;/record&gt;&lt;/Cite&gt;&lt;/EndNote&gt;</w:instrText>
        </w:r>
        <w:r w:rsidR="0036052C" w:rsidRPr="002D00F2">
          <w:rPr>
            <w:rFonts w:asciiTheme="majorBidi" w:hAnsiTheme="majorBidi" w:cstheme="majorBidi"/>
          </w:rPr>
          <w:fldChar w:fldCharType="separate"/>
        </w:r>
        <w:r w:rsidR="0036052C" w:rsidRPr="0036052C">
          <w:rPr>
            <w:rFonts w:asciiTheme="majorBidi" w:hAnsiTheme="majorBidi" w:cstheme="majorBidi"/>
            <w:noProof/>
            <w:vertAlign w:val="superscript"/>
          </w:rPr>
          <w:t>37</w:t>
        </w:r>
        <w:r w:rsidR="0036052C" w:rsidRPr="002D00F2">
          <w:rPr>
            <w:rFonts w:asciiTheme="majorBidi" w:hAnsiTheme="majorBidi" w:cstheme="majorBidi"/>
          </w:rPr>
          <w:fldChar w:fldCharType="end"/>
        </w:r>
      </w:hyperlink>
    </w:p>
    <w:p w14:paraId="03FA9232" w14:textId="29A9CCC8" w:rsidR="001E3984" w:rsidRPr="009D1CA6" w:rsidRDefault="001E3984" w:rsidP="00C526F6">
      <w:pPr>
        <w:spacing w:line="480" w:lineRule="auto"/>
        <w:jc w:val="both"/>
        <w:rPr>
          <w:rFonts w:asciiTheme="majorBidi" w:hAnsiTheme="majorBidi" w:cstheme="majorBidi"/>
        </w:rPr>
      </w:pPr>
    </w:p>
    <w:p w14:paraId="125BCDCD" w14:textId="16AD733A" w:rsidR="00BB16F9" w:rsidRDefault="00134053" w:rsidP="00C526F6">
      <w:pPr>
        <w:spacing w:line="480" w:lineRule="auto"/>
        <w:jc w:val="both"/>
        <w:rPr>
          <w:rFonts w:asciiTheme="majorBidi" w:hAnsiTheme="majorBidi" w:cstheme="majorBidi"/>
        </w:rPr>
      </w:pPr>
      <w:r>
        <w:rPr>
          <w:rFonts w:asciiTheme="majorBidi" w:hAnsiTheme="majorBidi" w:cstheme="majorBidi"/>
        </w:rPr>
        <w:t>There are few</w:t>
      </w:r>
      <w:r w:rsidR="006D36AE" w:rsidRPr="009D1CA6">
        <w:rPr>
          <w:rFonts w:asciiTheme="majorBidi" w:hAnsiTheme="majorBidi" w:cstheme="majorBidi"/>
        </w:rPr>
        <w:t xml:space="preserve"> limitations </w:t>
      </w:r>
      <w:r>
        <w:rPr>
          <w:rFonts w:asciiTheme="majorBidi" w:hAnsiTheme="majorBidi" w:cstheme="majorBidi"/>
        </w:rPr>
        <w:t>worth mentioning</w:t>
      </w:r>
      <w:r w:rsidR="00245D0D" w:rsidRPr="009D1CA6">
        <w:rPr>
          <w:rFonts w:asciiTheme="majorBidi" w:hAnsiTheme="majorBidi" w:cstheme="majorBidi"/>
        </w:rPr>
        <w:t xml:space="preserve">. First, due to the cross-sectional nature of the study we </w:t>
      </w:r>
      <w:r w:rsidR="00FB0126">
        <w:rPr>
          <w:rFonts w:asciiTheme="majorBidi" w:hAnsiTheme="majorBidi" w:cstheme="majorBidi"/>
        </w:rPr>
        <w:t>are</w:t>
      </w:r>
      <w:r w:rsidR="00FB0126" w:rsidRPr="009D1CA6">
        <w:rPr>
          <w:rFonts w:asciiTheme="majorBidi" w:hAnsiTheme="majorBidi" w:cstheme="majorBidi"/>
        </w:rPr>
        <w:t xml:space="preserve"> </w:t>
      </w:r>
      <w:r w:rsidR="00245D0D" w:rsidRPr="009D1CA6">
        <w:rPr>
          <w:rFonts w:asciiTheme="majorBidi" w:hAnsiTheme="majorBidi" w:cstheme="majorBidi"/>
        </w:rPr>
        <w:t>unable to draw causal relationship</w:t>
      </w:r>
      <w:r w:rsidR="00161CB3" w:rsidRPr="009D1CA6">
        <w:rPr>
          <w:rFonts w:asciiTheme="majorBidi" w:hAnsiTheme="majorBidi" w:cstheme="majorBidi"/>
        </w:rPr>
        <w:t xml:space="preserve"> between frailty and oral health indicators. Second, information regarding comorbidities were self-report</w:t>
      </w:r>
      <w:r w:rsidR="0084566F">
        <w:rPr>
          <w:rFonts w:asciiTheme="majorBidi" w:hAnsiTheme="majorBidi" w:cstheme="majorBidi"/>
        </w:rPr>
        <w:t>ed</w:t>
      </w:r>
      <w:r w:rsidR="00161CB3" w:rsidRPr="009D1CA6">
        <w:rPr>
          <w:rFonts w:asciiTheme="majorBidi" w:hAnsiTheme="majorBidi" w:cstheme="majorBidi"/>
        </w:rPr>
        <w:t xml:space="preserve"> which might </w:t>
      </w:r>
      <w:r w:rsidR="0084566F">
        <w:rPr>
          <w:rFonts w:asciiTheme="majorBidi" w:hAnsiTheme="majorBidi" w:cstheme="majorBidi"/>
        </w:rPr>
        <w:t>be subjected to</w:t>
      </w:r>
      <w:r w:rsidR="0084566F" w:rsidRPr="009D1CA6">
        <w:rPr>
          <w:rFonts w:asciiTheme="majorBidi" w:hAnsiTheme="majorBidi" w:cstheme="majorBidi"/>
        </w:rPr>
        <w:t xml:space="preserve"> </w:t>
      </w:r>
      <w:r>
        <w:rPr>
          <w:rFonts w:asciiTheme="majorBidi" w:hAnsiTheme="majorBidi" w:cstheme="majorBidi"/>
        </w:rPr>
        <w:t>recall</w:t>
      </w:r>
      <w:r w:rsidRPr="009D1CA6">
        <w:rPr>
          <w:rFonts w:asciiTheme="majorBidi" w:hAnsiTheme="majorBidi" w:cstheme="majorBidi"/>
        </w:rPr>
        <w:t xml:space="preserve"> </w:t>
      </w:r>
      <w:r w:rsidR="00BB16F9" w:rsidRPr="009D1CA6">
        <w:rPr>
          <w:rFonts w:asciiTheme="majorBidi" w:hAnsiTheme="majorBidi" w:cstheme="majorBidi"/>
        </w:rPr>
        <w:t xml:space="preserve">bias. Nevertheless, to our knowledge, </w:t>
      </w:r>
      <w:r w:rsidR="00857A2A">
        <w:rPr>
          <w:rFonts w:asciiTheme="majorBidi" w:hAnsiTheme="majorBidi" w:cstheme="majorBidi"/>
        </w:rPr>
        <w:t>this is the first study that</w:t>
      </w:r>
      <w:r w:rsidR="00BB16F9" w:rsidRPr="009D1CA6">
        <w:rPr>
          <w:rFonts w:asciiTheme="majorBidi" w:hAnsiTheme="majorBidi" w:cstheme="majorBidi"/>
        </w:rPr>
        <w:t xml:space="preserve"> assessed the association between </w:t>
      </w:r>
      <w:r w:rsidR="00857A2A">
        <w:rPr>
          <w:rFonts w:asciiTheme="majorBidi" w:hAnsiTheme="majorBidi" w:cstheme="majorBidi"/>
        </w:rPr>
        <w:t xml:space="preserve">clinical indicators of </w:t>
      </w:r>
      <w:r w:rsidR="00BB16F9" w:rsidRPr="009D1CA6">
        <w:rPr>
          <w:rFonts w:asciiTheme="majorBidi" w:hAnsiTheme="majorBidi" w:cstheme="majorBidi"/>
        </w:rPr>
        <w:t xml:space="preserve">oral health and frailty index </w:t>
      </w:r>
      <w:r w:rsidR="006333A1">
        <w:rPr>
          <w:rFonts w:asciiTheme="majorBidi" w:hAnsiTheme="majorBidi" w:cstheme="majorBidi"/>
        </w:rPr>
        <w:t>which</w:t>
      </w:r>
      <w:r w:rsidR="006333A1" w:rsidRPr="009D1CA6">
        <w:rPr>
          <w:rFonts w:asciiTheme="majorBidi" w:hAnsiTheme="majorBidi" w:cstheme="majorBidi"/>
        </w:rPr>
        <w:t xml:space="preserve"> </w:t>
      </w:r>
      <w:r w:rsidR="00BB16F9" w:rsidRPr="009D1CA6">
        <w:rPr>
          <w:rFonts w:asciiTheme="majorBidi" w:hAnsiTheme="majorBidi" w:cstheme="majorBidi"/>
        </w:rPr>
        <w:t>included clinical</w:t>
      </w:r>
      <w:r>
        <w:rPr>
          <w:rFonts w:asciiTheme="majorBidi" w:hAnsiTheme="majorBidi" w:cstheme="majorBidi"/>
        </w:rPr>
        <w:t xml:space="preserve"> and</w:t>
      </w:r>
      <w:r w:rsidR="00BB16F9" w:rsidRPr="009D1CA6">
        <w:rPr>
          <w:rFonts w:asciiTheme="majorBidi" w:hAnsiTheme="majorBidi" w:cstheme="majorBidi"/>
        </w:rPr>
        <w:t xml:space="preserve"> laboratory </w:t>
      </w:r>
      <w:r w:rsidR="00606711">
        <w:rPr>
          <w:rFonts w:asciiTheme="majorBidi" w:hAnsiTheme="majorBidi" w:cstheme="majorBidi"/>
        </w:rPr>
        <w:t>assessments</w:t>
      </w:r>
      <w:r w:rsidR="00BB16F9" w:rsidRPr="009D1CA6">
        <w:rPr>
          <w:rFonts w:asciiTheme="majorBidi" w:hAnsiTheme="majorBidi" w:cstheme="majorBidi"/>
        </w:rPr>
        <w:t xml:space="preserve">. </w:t>
      </w:r>
      <w:r w:rsidR="00606711">
        <w:rPr>
          <w:rFonts w:asciiTheme="majorBidi" w:hAnsiTheme="majorBidi" w:cstheme="majorBidi"/>
        </w:rPr>
        <w:t>This</w:t>
      </w:r>
      <w:r w:rsidR="00606711" w:rsidRPr="009D1CA6">
        <w:rPr>
          <w:rFonts w:asciiTheme="majorBidi" w:hAnsiTheme="majorBidi" w:cstheme="majorBidi"/>
        </w:rPr>
        <w:t xml:space="preserve"> </w:t>
      </w:r>
      <w:r w:rsidR="001D1A19" w:rsidRPr="009D1CA6">
        <w:rPr>
          <w:rFonts w:asciiTheme="majorBidi" w:hAnsiTheme="majorBidi" w:cstheme="majorBidi"/>
        </w:rPr>
        <w:t>study showed similar results to previous studies that used frailty phenotype for assessing frailty. It should be highlighted that the phenotype model and frailty index model manifest overlap in the assessment of frailty</w:t>
      </w:r>
      <w:r w:rsidR="00697337">
        <w:rPr>
          <w:rFonts w:asciiTheme="majorBidi" w:hAnsiTheme="majorBidi" w:cstheme="majorBidi"/>
        </w:rPr>
        <w:t>,</w:t>
      </w:r>
      <w:hyperlink w:anchor="_ENREF_3" w:tooltip="Clegg, 2013 #14"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&lt;EndNote&gt;&lt;Cite&gt;&lt;Author&gt;Clegg&lt;/Author&gt;&lt;Year&gt;2013&lt;/Year&gt;&lt;RecNum&gt;14&lt;/RecNum&gt;&lt;DisplayText&gt;&lt;style face="superscript"&gt;3&lt;/style&gt;&lt;/DisplayText&gt;&lt;record&gt;&lt;rec-number&gt;14&lt;/rec-number&gt;&lt;foreign-keys&gt;&lt;key app="EN" db-id="rvxe0exprat2w9evvvvxwe2owzrpwfzpzzv5"&gt;14&lt;/key&gt;&lt;/foreign-keys&gt;&lt;ref-type name="Journal Article"&gt;17&lt;/ref-type&gt;&lt;contributors&gt;&lt;authors&gt;&lt;author&gt;Clegg, Andrew&lt;/author&gt;&lt;author&gt;Young, John&lt;/author&gt;&lt;author&gt;Iliffe, Steve&lt;/author&gt;&lt;author&gt;Rikkert, Marcel Olde&lt;/author&gt;&lt;author&gt;Rockwood, Kenneth&lt;/author&gt;&lt;/authors&gt;&lt;/contributors&gt;&lt;titles&gt;&lt;title&gt;Frailty in elderly people&lt;/title&gt;&lt;secondary-title&gt;The Lancet&lt;/secondary-title&gt;&lt;/titles&gt;&lt;periodical&gt;&lt;full-title&gt;The Lancet&lt;/full-title&gt;&lt;/periodical&gt;&lt;pages&gt;752-762&lt;/pages&gt;&lt;volume&gt;381&lt;/volume&gt;&lt;number&gt;9868&lt;/number&gt;&lt;dates&gt;&lt;year&gt;2013&lt;/year&gt;&lt;/dates&gt;&lt;isbn&gt;0140-6736&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3</w:t>
        </w:r>
        <w:r w:rsidR="0036052C" w:rsidRPr="009D1CA6">
          <w:rPr>
            <w:rFonts w:asciiTheme="majorBidi" w:hAnsiTheme="majorBidi" w:cstheme="majorBidi"/>
          </w:rPr>
          <w:fldChar w:fldCharType="end"/>
        </w:r>
      </w:hyperlink>
      <w:r w:rsidR="001D1A19" w:rsidRPr="009D1CA6">
        <w:rPr>
          <w:rFonts w:asciiTheme="majorBidi" w:hAnsiTheme="majorBidi" w:cstheme="majorBidi"/>
        </w:rPr>
        <w:t xml:space="preserve"> and should be considered as complementary rather than alternatives based on the differences of these two models</w:t>
      </w:r>
      <w:r w:rsidR="00697337">
        <w:rPr>
          <w:rFonts w:asciiTheme="majorBidi" w:hAnsiTheme="majorBidi" w:cstheme="majorBidi"/>
        </w:rPr>
        <w:t>.</w:t>
      </w:r>
      <w:hyperlink w:anchor="_ENREF_38" w:tooltip="Cesari, 2013 #30"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&lt;EndNote&gt;&lt;Cite&gt;&lt;Author&gt;Cesari&lt;/Author&gt;&lt;Year&gt;2013&lt;/Year&gt;&lt;RecNum&gt;30&lt;/RecNum&gt;&lt;DisplayText&gt;&lt;style face="superscript"&gt;38&lt;/style&gt;&lt;/DisplayText&gt;&lt;record&gt;&lt;rec-number&gt;30&lt;/rec-number&gt;&lt;foreign-keys&gt;&lt;key app="EN" db-id="rvxe0exprat2w9evvvvxwe2owzrpwfzpzzv5"&gt;30&lt;/key&gt;&lt;/foreign-keys&gt;&lt;ref-type name="Journal Article"&gt;17&lt;/ref-type&gt;&lt;contributors&gt;&lt;authors&gt;&lt;author&gt;Cesari, Matteo&lt;/author&gt;&lt;author&gt;Gambassi, Giovanni&lt;/author&gt;&lt;author&gt;Abellan van Kan, Gabor&lt;/author&gt;&lt;author&gt;Vellas, Bruno&lt;/author&gt;&lt;/authors&gt;&lt;/contributors&gt;&lt;titles&gt;&lt;title&gt;The frailty phenotype and the frailty index: different instruments for different purposes&lt;/title&gt;&lt;secondary-title&gt;Age and ageing&lt;/secondary-title&gt;&lt;/titles&gt;&lt;periodical&gt;&lt;full-title&gt;Age and ageing&lt;/full-title&gt;&lt;/periodical&gt;&lt;pages&gt;10-12&lt;/pages&gt;&lt;volume&gt;43&lt;/volume&gt;&lt;number&gt;1&lt;/number&gt;&lt;dates&gt;&lt;year&gt;2013&lt;/year&gt;&lt;/dates&gt;&lt;isbn&gt;1468-2834&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38</w:t>
        </w:r>
        <w:r w:rsidR="0036052C" w:rsidRPr="009D1CA6">
          <w:rPr>
            <w:rFonts w:asciiTheme="majorBidi" w:hAnsiTheme="majorBidi" w:cstheme="majorBidi"/>
          </w:rPr>
          <w:fldChar w:fldCharType="end"/>
        </w:r>
      </w:hyperlink>
      <w:r w:rsidR="001D1A19" w:rsidRPr="009D1CA6">
        <w:rPr>
          <w:rFonts w:asciiTheme="majorBidi" w:hAnsiTheme="majorBidi" w:cstheme="majorBidi"/>
        </w:rPr>
        <w:t xml:space="preserve"> Selecting the most suitable frailty assessment tool should be based on the purpose of the investigation, the tool’s validity, the examined population, and the study setting in which the tool </w:t>
      </w:r>
      <w:r>
        <w:rPr>
          <w:rFonts w:asciiTheme="majorBidi" w:hAnsiTheme="majorBidi" w:cstheme="majorBidi"/>
        </w:rPr>
        <w:t>is</w:t>
      </w:r>
      <w:r w:rsidR="001D1A19" w:rsidRPr="009D1CA6">
        <w:rPr>
          <w:rFonts w:asciiTheme="majorBidi" w:hAnsiTheme="majorBidi" w:cstheme="majorBidi"/>
        </w:rPr>
        <w:t xml:space="preserve"> used</w:t>
      </w:r>
      <w:r w:rsidR="00697337">
        <w:rPr>
          <w:rFonts w:asciiTheme="majorBidi" w:hAnsiTheme="majorBidi" w:cstheme="majorBidi"/>
        </w:rPr>
        <w:t>.</w:t>
      </w:r>
      <w:hyperlink w:anchor="_ENREF_6" w:tooltip="Cesari, 2016 #17" w:history="1">
        <w:r w:rsidR="0036052C" w:rsidRPr="009D1CA6">
          <w:rPr>
            <w:rFonts w:asciiTheme="majorBidi" w:hAnsiTheme="majorBidi" w:cstheme="majorBidi"/>
          </w:rPr>
          <w:fldChar w:fldCharType="begin"/>
        </w:r>
        <w:r w:rsidR="0036052C">
          <w:rPr>
            <w:rFonts w:asciiTheme="majorBidi" w:hAnsiTheme="majorBidi" w:cstheme="majorBidi"/>
          </w:rPr>
          <w:instrText xml:space="preserve"> ADDIN EN.CITE &lt;EndNote&gt;&lt;Cite&gt;&lt;Author&gt;Cesari&lt;/Author&gt;&lt;Year&gt;2016&lt;/Year&gt;&lt;RecNum&gt;17&lt;/RecNum&gt;&lt;DisplayText&gt;&lt;style face="superscript"&gt;6&lt;/style&gt;&lt;/DisplayText&gt;&lt;record&gt;&lt;rec-number&gt;17&lt;/rec-number&gt;&lt;foreign-keys&gt;&lt;key app="EN" db-id="rvxe0exprat2w9evvvvxwe2owzrpwfzpzzv5"&gt;17&lt;/key&gt;&lt;/foreign-keys&gt;&lt;ref-type name="Journal Article"&gt;17&lt;/ref-type&gt;&lt;contributors&gt;&lt;authors&gt;&lt;author&gt;Cesari, Matteo&lt;/author&gt;&lt;author&gt;Prince, Martin&lt;/author&gt;&lt;author&gt;Thiyagarajan, Jotheeswaran Amuthavalli&lt;/author&gt;&lt;author&gt;De Carvalho, Islene Araujo&lt;/author&gt;&lt;author&gt;Bernabei, Roberto&lt;/author&gt;&lt;author&gt;Chan, Piu&lt;/author&gt;&lt;author&gt;Gutierrez-Robledo, Luis Miguel&lt;/author&gt;&lt;author&gt;Michel, Jean-Pierre&lt;/author&gt;&lt;author&gt;Morley, John E&lt;/author&gt;&lt;author&gt;Ong, Paul&lt;/author&gt;&lt;/authors&gt;&lt;/contributors&gt;&lt;titles&gt;&lt;title&gt;Frailty: an emerging public health priority&lt;/title&gt;&lt;secondary-title&gt;Journal of the American Medical Directors Association&lt;/secondary-title&gt;&lt;/titles&gt;&lt;periodical&gt;&lt;full-title&gt;Journal of the American Medical Directors Association&lt;/full-title&gt;&lt;/periodical&gt;&lt;pages&gt;188-192&lt;/pages&gt;&lt;volume&gt;17&lt;/volume&gt;&lt;number&gt;3&lt;/number&gt;&lt;dates&gt;&lt;year&gt;2016&lt;/year&gt;&lt;/dates&gt;&lt;isbn&gt;1525-8610&lt;/isbn&gt;&lt;urls&gt;&lt;/urls&gt;&lt;/record&gt;&lt;/Cite&gt;&lt;/EndNote&gt;</w:instrText>
        </w:r>
        <w:r w:rsidR="0036052C" w:rsidRPr="009D1CA6">
          <w:rPr>
            <w:rFonts w:asciiTheme="majorBidi" w:hAnsiTheme="majorBidi" w:cstheme="majorBidi"/>
          </w:rPr>
          <w:fldChar w:fldCharType="separate"/>
        </w:r>
        <w:r w:rsidR="0036052C" w:rsidRPr="0036052C">
          <w:rPr>
            <w:rFonts w:asciiTheme="majorBidi" w:hAnsiTheme="majorBidi" w:cstheme="majorBidi"/>
            <w:noProof/>
            <w:vertAlign w:val="superscript"/>
          </w:rPr>
          <w:t>6</w:t>
        </w:r>
        <w:r w:rsidR="0036052C" w:rsidRPr="009D1CA6">
          <w:rPr>
            <w:rFonts w:asciiTheme="majorBidi" w:hAnsiTheme="majorBidi" w:cstheme="majorBidi"/>
          </w:rPr>
          <w:fldChar w:fldCharType="end"/>
        </w:r>
      </w:hyperlink>
      <w:r w:rsidR="001D1A19" w:rsidRPr="009D1CA6">
        <w:rPr>
          <w:rFonts w:asciiTheme="majorBidi" w:hAnsiTheme="majorBidi" w:cstheme="majorBidi"/>
        </w:rPr>
        <w:t xml:space="preserve"> The use of frailty index in this study allowed test</w:t>
      </w:r>
      <w:r w:rsidR="00211A9C">
        <w:rPr>
          <w:rFonts w:asciiTheme="majorBidi" w:hAnsiTheme="majorBidi" w:cstheme="majorBidi"/>
        </w:rPr>
        <w:t>ing the</w:t>
      </w:r>
      <w:r w:rsidR="001D1A19" w:rsidRPr="009D1CA6">
        <w:rPr>
          <w:rFonts w:asciiTheme="majorBidi" w:hAnsiTheme="majorBidi" w:cstheme="majorBidi"/>
        </w:rPr>
        <w:t xml:space="preserve"> association of oral health and frailty based on a comprehensive and informative geriatric assessment</w:t>
      </w:r>
      <w:r w:rsidR="004D5AE8" w:rsidRPr="009D1CA6">
        <w:rPr>
          <w:rFonts w:asciiTheme="majorBidi" w:hAnsiTheme="majorBidi" w:cstheme="majorBidi"/>
        </w:rPr>
        <w:t xml:space="preserve"> compared to assessing physical signs and </w:t>
      </w:r>
      <w:r w:rsidR="004D5AE8" w:rsidRPr="009D1CA6">
        <w:rPr>
          <w:rFonts w:asciiTheme="majorBidi" w:hAnsiTheme="majorBidi" w:cstheme="majorBidi"/>
        </w:rPr>
        <w:lastRenderedPageBreak/>
        <w:t>symptoms in the case of the phenotype model.</w:t>
      </w:r>
      <w:r w:rsidR="001D1A19" w:rsidRPr="009D1CA6">
        <w:rPr>
          <w:rFonts w:asciiTheme="majorBidi" w:hAnsiTheme="majorBidi" w:cstheme="majorBidi"/>
        </w:rPr>
        <w:t xml:space="preserve"> Using the frailty index in future longitudinal studies assessing the relationship with oral health should be considered as it</w:t>
      </w:r>
      <w:r w:rsidR="00FB0126">
        <w:rPr>
          <w:rFonts w:asciiTheme="majorBidi" w:hAnsiTheme="majorBidi" w:cstheme="majorBidi"/>
        </w:rPr>
        <w:t xml:space="preserve"> is</w:t>
      </w:r>
      <w:r w:rsidR="001D1A19" w:rsidRPr="009D1CA6">
        <w:rPr>
          <w:rFonts w:asciiTheme="majorBidi" w:hAnsiTheme="majorBidi" w:cstheme="majorBidi"/>
        </w:rPr>
        <w:t xml:space="preserve"> more sensitive to </w:t>
      </w:r>
      <w:r w:rsidR="00606711">
        <w:rPr>
          <w:rFonts w:asciiTheme="majorBidi" w:hAnsiTheme="majorBidi" w:cstheme="majorBidi"/>
        </w:rPr>
        <w:t>changes in health</w:t>
      </w:r>
      <w:r w:rsidR="00606711" w:rsidRPr="009D1CA6">
        <w:rPr>
          <w:rFonts w:asciiTheme="majorBidi" w:hAnsiTheme="majorBidi" w:cstheme="majorBidi"/>
        </w:rPr>
        <w:t xml:space="preserve"> </w:t>
      </w:r>
      <w:r w:rsidR="001D1A19" w:rsidRPr="009D1CA6">
        <w:rPr>
          <w:rFonts w:asciiTheme="majorBidi" w:hAnsiTheme="majorBidi" w:cstheme="majorBidi"/>
        </w:rPr>
        <w:t xml:space="preserve">compared to the phenotype model. However, the consistency of the result of this study with results of previous studies that used the phenotype model indicates the importance of maintaining </w:t>
      </w:r>
      <w:r>
        <w:rPr>
          <w:rFonts w:asciiTheme="majorBidi" w:hAnsiTheme="majorBidi" w:cstheme="majorBidi"/>
        </w:rPr>
        <w:t xml:space="preserve">natural teeth and good </w:t>
      </w:r>
      <w:r w:rsidR="001D1A19" w:rsidRPr="009D1CA6">
        <w:rPr>
          <w:rFonts w:asciiTheme="majorBidi" w:hAnsiTheme="majorBidi" w:cstheme="majorBidi"/>
        </w:rPr>
        <w:t xml:space="preserve">oral health </w:t>
      </w:r>
      <w:r w:rsidR="00FB0126">
        <w:rPr>
          <w:rFonts w:asciiTheme="majorBidi" w:hAnsiTheme="majorBidi" w:cstheme="majorBidi"/>
        </w:rPr>
        <w:t>at</w:t>
      </w:r>
      <w:r w:rsidR="00FB0126" w:rsidRPr="009D1CA6">
        <w:rPr>
          <w:rFonts w:asciiTheme="majorBidi" w:hAnsiTheme="majorBidi" w:cstheme="majorBidi"/>
        </w:rPr>
        <w:t xml:space="preserve"> </w:t>
      </w:r>
      <w:r w:rsidR="001D1A19" w:rsidRPr="009D1CA6">
        <w:rPr>
          <w:rFonts w:asciiTheme="majorBidi" w:hAnsiTheme="majorBidi" w:cstheme="majorBidi"/>
        </w:rPr>
        <w:t xml:space="preserve">older age. </w:t>
      </w:r>
    </w:p>
    <w:p w14:paraId="172A2DA6" w14:textId="1DC21A04" w:rsidR="0036052C" w:rsidRDefault="0036052C" w:rsidP="00C526F6">
      <w:pPr>
        <w:spacing w:line="480" w:lineRule="auto"/>
        <w:jc w:val="both"/>
        <w:rPr>
          <w:rFonts w:asciiTheme="majorBidi" w:hAnsiTheme="majorBidi" w:cstheme="majorBidi"/>
        </w:rPr>
      </w:pPr>
    </w:p>
    <w:p w14:paraId="3A6CBF61" w14:textId="2FFA704E" w:rsidR="0036052C" w:rsidRDefault="0036052C" w:rsidP="00C526F6">
      <w:pPr>
        <w:spacing w:line="480" w:lineRule="auto"/>
        <w:jc w:val="both"/>
        <w:rPr>
          <w:rFonts w:asciiTheme="majorBidi" w:hAnsiTheme="majorBidi" w:cstheme="majorBidi"/>
        </w:rPr>
      </w:pPr>
    </w:p>
    <w:p w14:paraId="35B33DD9" w14:textId="77777777" w:rsidR="0036052C" w:rsidRPr="009D1CA6" w:rsidRDefault="0036052C" w:rsidP="00C526F6">
      <w:pPr>
        <w:spacing w:line="480" w:lineRule="auto"/>
        <w:jc w:val="both"/>
        <w:rPr>
          <w:rFonts w:asciiTheme="majorBidi" w:hAnsiTheme="majorBidi" w:cstheme="majorBidi"/>
        </w:rPr>
      </w:pPr>
    </w:p>
    <w:p w14:paraId="58C63394" w14:textId="49F89D32" w:rsidR="002515CA" w:rsidRPr="00C92956" w:rsidRDefault="004D5AE8" w:rsidP="00C526F6">
      <w:pPr>
        <w:pStyle w:val="Heading3"/>
        <w:spacing w:line="480" w:lineRule="auto"/>
        <w:rPr>
          <w:i/>
          <w:iCs/>
        </w:rPr>
      </w:pPr>
      <w:r w:rsidRPr="00C92956">
        <w:rPr>
          <w:i/>
          <w:iCs/>
        </w:rPr>
        <w:t>Conclusion</w:t>
      </w:r>
      <w:r w:rsidR="00921AF1">
        <w:rPr>
          <w:i/>
          <w:iCs/>
        </w:rPr>
        <w:t>s and Implications</w:t>
      </w:r>
      <w:r w:rsidRPr="00C92956">
        <w:rPr>
          <w:i/>
          <w:iCs/>
        </w:rPr>
        <w:t>:</w:t>
      </w:r>
    </w:p>
    <w:p w14:paraId="18278743" w14:textId="56F8A6B8" w:rsidR="00885047" w:rsidRDefault="00134053" w:rsidP="008C2155">
      <w:pPr>
        <w:spacing w:line="480" w:lineRule="auto"/>
        <w:jc w:val="both"/>
        <w:rPr>
          <w:rFonts w:asciiTheme="majorBidi" w:hAnsiTheme="majorBidi" w:cstheme="majorBidi"/>
        </w:rPr>
      </w:pPr>
      <w:r>
        <w:rPr>
          <w:rFonts w:asciiTheme="majorBidi" w:hAnsiTheme="majorBidi" w:cstheme="majorBidi"/>
        </w:rPr>
        <w:t xml:space="preserve">This </w:t>
      </w:r>
      <w:r w:rsidR="00076891">
        <w:rPr>
          <w:rFonts w:asciiTheme="majorBidi" w:hAnsiTheme="majorBidi" w:cstheme="majorBidi"/>
        </w:rPr>
        <w:t>study illustrated that oral health is associated with frailty assessed by the frailty index</w:t>
      </w:r>
      <w:r w:rsidR="001E71D6">
        <w:rPr>
          <w:rFonts w:asciiTheme="majorBidi" w:hAnsiTheme="majorBidi" w:cstheme="majorBidi"/>
        </w:rPr>
        <w:t xml:space="preserve">, and nutritional intake </w:t>
      </w:r>
      <w:r>
        <w:rPr>
          <w:rFonts w:asciiTheme="majorBidi" w:hAnsiTheme="majorBidi" w:cstheme="majorBidi"/>
        </w:rPr>
        <w:t xml:space="preserve">appeared </w:t>
      </w:r>
      <w:r w:rsidR="00A45FB2">
        <w:rPr>
          <w:rFonts w:asciiTheme="majorBidi" w:hAnsiTheme="majorBidi" w:cstheme="majorBidi"/>
        </w:rPr>
        <w:t xml:space="preserve">to have a modest effect on the </w:t>
      </w:r>
      <w:r w:rsidR="003402B5">
        <w:rPr>
          <w:rFonts w:asciiTheme="majorBidi" w:hAnsiTheme="majorBidi" w:cstheme="majorBidi"/>
        </w:rPr>
        <w:t>association</w:t>
      </w:r>
      <w:r w:rsidR="00076891">
        <w:rPr>
          <w:rFonts w:asciiTheme="majorBidi" w:hAnsiTheme="majorBidi" w:cstheme="majorBidi"/>
        </w:rPr>
        <w:t>.</w:t>
      </w:r>
      <w:r w:rsidR="00941151">
        <w:rPr>
          <w:rFonts w:asciiTheme="majorBidi" w:hAnsiTheme="majorBidi" w:cstheme="majorBidi"/>
        </w:rPr>
        <w:t xml:space="preserve"> It also demonstrated that </w:t>
      </w:r>
      <w:r w:rsidR="00C566F9">
        <w:rPr>
          <w:rFonts w:asciiTheme="majorBidi" w:hAnsiTheme="majorBidi" w:cstheme="majorBidi"/>
        </w:rPr>
        <w:t xml:space="preserve">periodontal disease </w:t>
      </w:r>
      <w:r w:rsidR="00D51A00">
        <w:rPr>
          <w:rFonts w:asciiTheme="majorBidi" w:hAnsiTheme="majorBidi" w:cstheme="majorBidi"/>
        </w:rPr>
        <w:t xml:space="preserve">has a weaker </w:t>
      </w:r>
      <w:r w:rsidR="00B82C2A">
        <w:rPr>
          <w:rFonts w:asciiTheme="majorBidi" w:hAnsiTheme="majorBidi" w:cstheme="majorBidi"/>
        </w:rPr>
        <w:t>associat</w:t>
      </w:r>
      <w:r w:rsidR="00D51A00">
        <w:rPr>
          <w:rFonts w:asciiTheme="majorBidi" w:hAnsiTheme="majorBidi" w:cstheme="majorBidi"/>
        </w:rPr>
        <w:t>ion</w:t>
      </w:r>
      <w:r w:rsidR="00B82C2A">
        <w:rPr>
          <w:rFonts w:asciiTheme="majorBidi" w:hAnsiTheme="majorBidi" w:cstheme="majorBidi"/>
        </w:rPr>
        <w:t xml:space="preserve"> with frailty</w:t>
      </w:r>
      <w:r w:rsidR="00D350CB">
        <w:rPr>
          <w:rFonts w:asciiTheme="majorBidi" w:hAnsiTheme="majorBidi" w:cstheme="majorBidi"/>
        </w:rPr>
        <w:t xml:space="preserve"> </w:t>
      </w:r>
      <w:r w:rsidR="00C969DA">
        <w:rPr>
          <w:rFonts w:asciiTheme="majorBidi" w:hAnsiTheme="majorBidi" w:cstheme="majorBidi"/>
        </w:rPr>
        <w:t xml:space="preserve">index </w:t>
      </w:r>
      <w:r w:rsidR="00D350CB">
        <w:rPr>
          <w:rFonts w:asciiTheme="majorBidi" w:hAnsiTheme="majorBidi" w:cstheme="majorBidi"/>
        </w:rPr>
        <w:t xml:space="preserve">compared to </w:t>
      </w:r>
      <w:r w:rsidR="00D51A00">
        <w:rPr>
          <w:rFonts w:asciiTheme="majorBidi" w:hAnsiTheme="majorBidi" w:cstheme="majorBidi"/>
        </w:rPr>
        <w:t>number of teeth</w:t>
      </w:r>
      <w:r w:rsidR="00D350CB">
        <w:rPr>
          <w:rFonts w:asciiTheme="majorBidi" w:hAnsiTheme="majorBidi" w:cstheme="majorBidi"/>
        </w:rPr>
        <w:t>.</w:t>
      </w:r>
      <w:r w:rsidR="00C566F9">
        <w:rPr>
          <w:rFonts w:asciiTheme="majorBidi" w:hAnsiTheme="majorBidi" w:cstheme="majorBidi"/>
        </w:rPr>
        <w:t xml:space="preserve"> </w:t>
      </w:r>
      <w:r w:rsidR="00076891">
        <w:rPr>
          <w:rFonts w:asciiTheme="majorBidi" w:hAnsiTheme="majorBidi" w:cstheme="majorBidi"/>
        </w:rPr>
        <w:t xml:space="preserve"> It also highlighted the importance </w:t>
      </w:r>
      <w:r w:rsidR="00FB0126">
        <w:rPr>
          <w:rFonts w:asciiTheme="majorBidi" w:hAnsiTheme="majorBidi" w:cstheme="majorBidi"/>
        </w:rPr>
        <w:t xml:space="preserve">of </w:t>
      </w:r>
      <w:r w:rsidR="00076891">
        <w:rPr>
          <w:rFonts w:asciiTheme="majorBidi" w:hAnsiTheme="majorBidi" w:cstheme="majorBidi"/>
        </w:rPr>
        <w:t xml:space="preserve">maintaining </w:t>
      </w:r>
      <w:r w:rsidR="00C969DA">
        <w:rPr>
          <w:rFonts w:asciiTheme="majorBidi" w:hAnsiTheme="majorBidi" w:cstheme="majorBidi"/>
        </w:rPr>
        <w:t xml:space="preserve">good </w:t>
      </w:r>
      <w:r w:rsidR="00076891">
        <w:rPr>
          <w:rFonts w:asciiTheme="majorBidi" w:hAnsiTheme="majorBidi" w:cstheme="majorBidi"/>
        </w:rPr>
        <w:t xml:space="preserve">oral health </w:t>
      </w:r>
      <w:r w:rsidR="00FB0126">
        <w:rPr>
          <w:rFonts w:asciiTheme="majorBidi" w:hAnsiTheme="majorBidi" w:cstheme="majorBidi"/>
        </w:rPr>
        <w:t xml:space="preserve">at </w:t>
      </w:r>
      <w:r w:rsidR="00076891">
        <w:rPr>
          <w:rFonts w:asciiTheme="majorBidi" w:hAnsiTheme="majorBidi" w:cstheme="majorBidi"/>
        </w:rPr>
        <w:t>older age and incorporating indicators of oral health in routine geriatric assessments and health surveys.</w:t>
      </w:r>
      <w:r w:rsidR="004F6403">
        <w:rPr>
          <w:rFonts w:asciiTheme="majorBidi" w:hAnsiTheme="majorBidi" w:cstheme="majorBidi"/>
        </w:rPr>
        <w:t xml:space="preserve"> </w:t>
      </w:r>
      <w:r w:rsidR="00076891">
        <w:rPr>
          <w:rFonts w:asciiTheme="majorBidi" w:hAnsiTheme="majorBidi" w:cstheme="majorBidi"/>
        </w:rPr>
        <w:t xml:space="preserve">Future longitudinal studies assessing the association between oral health and frailty should consider using the frailty index as it reflects a comprehensive geriatric status and is more sensitive to </w:t>
      </w:r>
      <w:r w:rsidR="00880845">
        <w:rPr>
          <w:rFonts w:asciiTheme="majorBidi" w:hAnsiTheme="majorBidi" w:cstheme="majorBidi"/>
        </w:rPr>
        <w:t>changes in clinical and laboratory assessments</w:t>
      </w:r>
      <w:r w:rsidR="00076891">
        <w:rPr>
          <w:rFonts w:asciiTheme="majorBidi" w:hAnsiTheme="majorBidi" w:cstheme="majorBidi"/>
        </w:rPr>
        <w:t>. Future research should also assess the role of potential mediati</w:t>
      </w:r>
      <w:r w:rsidR="00C969DA">
        <w:rPr>
          <w:rFonts w:asciiTheme="majorBidi" w:hAnsiTheme="majorBidi" w:cstheme="majorBidi"/>
        </w:rPr>
        <w:t>ng</w:t>
      </w:r>
      <w:r w:rsidR="00076891">
        <w:rPr>
          <w:rFonts w:asciiTheme="majorBidi" w:hAnsiTheme="majorBidi" w:cstheme="majorBidi"/>
        </w:rPr>
        <w:t xml:space="preserve"> factors </w:t>
      </w:r>
      <w:r w:rsidR="00880845">
        <w:rPr>
          <w:rFonts w:asciiTheme="majorBidi" w:hAnsiTheme="majorBidi" w:cstheme="majorBidi"/>
        </w:rPr>
        <w:t xml:space="preserve">for </w:t>
      </w:r>
      <w:r w:rsidR="00076891">
        <w:rPr>
          <w:rFonts w:asciiTheme="majorBidi" w:hAnsiTheme="majorBidi" w:cstheme="majorBidi"/>
        </w:rPr>
        <w:t>this association.</w:t>
      </w:r>
    </w:p>
    <w:p w14:paraId="0B5D4625" w14:textId="77777777" w:rsidR="00885047" w:rsidRDefault="00885047" w:rsidP="008C2155">
      <w:pPr>
        <w:spacing w:line="480" w:lineRule="auto"/>
        <w:jc w:val="both"/>
        <w:rPr>
          <w:rFonts w:asciiTheme="majorBidi" w:hAnsiTheme="majorBidi" w:cstheme="majorBidi"/>
        </w:rPr>
      </w:pPr>
    </w:p>
    <w:p w14:paraId="0C94107D" w14:textId="77777777" w:rsidR="00921721" w:rsidRPr="00921721" w:rsidRDefault="00885047" w:rsidP="008C2155">
      <w:pPr>
        <w:spacing w:line="480" w:lineRule="auto"/>
        <w:jc w:val="both"/>
        <w:rPr>
          <w:rFonts w:asciiTheme="majorBidi" w:hAnsiTheme="majorBidi" w:cstheme="majorBidi"/>
          <w:b/>
          <w:bCs/>
        </w:rPr>
      </w:pPr>
      <w:r w:rsidRPr="00921721">
        <w:rPr>
          <w:rFonts w:asciiTheme="majorBidi" w:hAnsiTheme="majorBidi" w:cstheme="majorBidi"/>
          <w:b/>
          <w:bCs/>
        </w:rPr>
        <w:t xml:space="preserve">Conflict of </w:t>
      </w:r>
      <w:r w:rsidR="00921721" w:rsidRPr="00921721">
        <w:rPr>
          <w:rFonts w:asciiTheme="majorBidi" w:hAnsiTheme="majorBidi" w:cstheme="majorBidi"/>
          <w:b/>
          <w:bCs/>
        </w:rPr>
        <w:t>Interest:</w:t>
      </w:r>
    </w:p>
    <w:p w14:paraId="2063FDB7" w14:textId="3B8CD520" w:rsidR="00C92956" w:rsidRPr="00E5210F" w:rsidRDefault="00921721" w:rsidP="008C2155">
      <w:pPr>
        <w:spacing w:line="480" w:lineRule="auto"/>
        <w:jc w:val="both"/>
        <w:rPr>
          <w:rFonts w:asciiTheme="majorBidi" w:hAnsiTheme="majorBidi" w:cstheme="majorBidi"/>
        </w:rPr>
      </w:pPr>
      <w:r>
        <w:rPr>
          <w:rFonts w:asciiTheme="majorBidi" w:hAnsiTheme="majorBidi" w:cstheme="majorBidi"/>
        </w:rPr>
        <w:t>The authors declare no conflict</w:t>
      </w:r>
      <w:r w:rsidR="00ED412E">
        <w:rPr>
          <w:rFonts w:asciiTheme="majorBidi" w:hAnsiTheme="majorBidi" w:cstheme="majorBidi"/>
        </w:rPr>
        <w:t>s</w:t>
      </w:r>
      <w:r>
        <w:rPr>
          <w:rFonts w:asciiTheme="majorBidi" w:hAnsiTheme="majorBidi" w:cstheme="majorBidi"/>
        </w:rPr>
        <w:t xml:space="preserve"> of interests.</w:t>
      </w:r>
      <w:r w:rsidR="00885047">
        <w:rPr>
          <w:rFonts w:asciiTheme="majorBidi" w:hAnsiTheme="majorBidi" w:cstheme="majorBidi"/>
        </w:rPr>
        <w:t xml:space="preserve"> </w:t>
      </w:r>
      <w:r w:rsidR="00E5210F">
        <w:rPr>
          <w:rFonts w:asciiTheme="majorBidi" w:hAnsiTheme="majorBidi" w:cstheme="majorBidi"/>
        </w:rPr>
        <w:br w:type="page"/>
      </w:r>
    </w:p>
    <w:p w14:paraId="651791C3" w14:textId="64922736" w:rsidR="0092042B" w:rsidRDefault="009D1CA6" w:rsidP="009D1CA6">
      <w:pPr>
        <w:pStyle w:val="Heading3"/>
      </w:pPr>
      <w:r>
        <w:lastRenderedPageBreak/>
        <w:t>References:</w:t>
      </w:r>
    </w:p>
    <w:p w14:paraId="0AA0DD34" w14:textId="77777777" w:rsidR="0036052C" w:rsidRPr="0036052C" w:rsidRDefault="0092042B" w:rsidP="0036052C">
      <w:pPr>
        <w:pStyle w:val="EndNoteBibliography"/>
        <w:bidi w:val="0"/>
        <w:spacing w:after="0"/>
        <w:ind w:left="720" w:hanging="720"/>
      </w:pPr>
      <w:r w:rsidRPr="00B45FF3">
        <w:rPr>
          <w:rFonts w:asciiTheme="majorBidi" w:hAnsiTheme="majorBidi" w:cstheme="majorBidi"/>
        </w:rPr>
        <w:fldChar w:fldCharType="begin"/>
      </w:r>
      <w:r w:rsidRPr="00B45FF3">
        <w:rPr>
          <w:rFonts w:asciiTheme="majorBidi" w:hAnsiTheme="majorBidi" w:cstheme="majorBidi"/>
          <w:lang w:val="en-GB"/>
        </w:rPr>
        <w:instrText xml:space="preserve"> ADDIN EN.REFLIST </w:instrText>
      </w:r>
      <w:r w:rsidRPr="00B45FF3">
        <w:rPr>
          <w:rFonts w:asciiTheme="majorBidi" w:hAnsiTheme="majorBidi" w:cstheme="majorBidi"/>
        </w:rPr>
        <w:fldChar w:fldCharType="separate"/>
      </w:r>
      <w:bookmarkStart w:id="0" w:name="_ENREF_1"/>
      <w:r w:rsidR="0036052C" w:rsidRPr="0036052C">
        <w:t>1.</w:t>
      </w:r>
      <w:r w:rsidR="0036052C" w:rsidRPr="0036052C">
        <w:tab/>
        <w:t>Chen, X, Mao, G, Leng, SX. Frailty syndrome: an overview. Clinical interventions in aging 2014;9:433.</w:t>
      </w:r>
      <w:bookmarkEnd w:id="0"/>
    </w:p>
    <w:p w14:paraId="72DF11C9" w14:textId="77777777" w:rsidR="0036052C" w:rsidRPr="0036052C" w:rsidRDefault="0036052C" w:rsidP="0036052C">
      <w:pPr>
        <w:pStyle w:val="EndNoteBibliography"/>
        <w:bidi w:val="0"/>
        <w:spacing w:after="0"/>
        <w:ind w:left="720" w:hanging="720"/>
      </w:pPr>
      <w:bookmarkStart w:id="1" w:name="_ENREF_2"/>
      <w:r w:rsidRPr="0036052C">
        <w:t>2.</w:t>
      </w:r>
      <w:r w:rsidRPr="0036052C">
        <w:tab/>
        <w:t>Fried, LP, Tangen, CM, Walston, J, et al. Frailty in older adults: evidence for a phenotype. The Journals of Gerontology Series A: Biological Sciences and Medical Sciences 2001;56(3):M146-M157.</w:t>
      </w:r>
      <w:bookmarkEnd w:id="1"/>
    </w:p>
    <w:p w14:paraId="6E3F0D25" w14:textId="77777777" w:rsidR="0036052C" w:rsidRPr="0036052C" w:rsidRDefault="0036052C" w:rsidP="0036052C">
      <w:pPr>
        <w:pStyle w:val="EndNoteBibliography"/>
        <w:bidi w:val="0"/>
        <w:spacing w:after="0"/>
        <w:ind w:left="720" w:hanging="720"/>
      </w:pPr>
      <w:bookmarkStart w:id="2" w:name="_ENREF_3"/>
      <w:r w:rsidRPr="0036052C">
        <w:t>3.</w:t>
      </w:r>
      <w:r w:rsidRPr="0036052C">
        <w:tab/>
        <w:t>Clegg, A, Young, J, Iliffe, S, et al. Frailty in elderly people. The Lancet 2013;381(9868):752-762.</w:t>
      </w:r>
      <w:bookmarkEnd w:id="2"/>
    </w:p>
    <w:p w14:paraId="07C67729" w14:textId="77777777" w:rsidR="0036052C" w:rsidRPr="0036052C" w:rsidRDefault="0036052C" w:rsidP="0036052C">
      <w:pPr>
        <w:pStyle w:val="EndNoteBibliography"/>
        <w:bidi w:val="0"/>
        <w:spacing w:after="0"/>
        <w:ind w:left="720" w:hanging="720"/>
      </w:pPr>
      <w:bookmarkStart w:id="3" w:name="_ENREF_4"/>
      <w:r w:rsidRPr="0036052C">
        <w:t>4.</w:t>
      </w:r>
      <w:r w:rsidRPr="0036052C">
        <w:tab/>
        <w:t>Collard, RM, Boter, H, Schoevers, RA, et al. Prevalence of frailty in community‐dwelling older persons: a systematic review. Journal of the American Geriatrics Society 2012;60(8):1487-1492.</w:t>
      </w:r>
      <w:bookmarkEnd w:id="3"/>
    </w:p>
    <w:p w14:paraId="3B1A9F99" w14:textId="77777777" w:rsidR="0036052C" w:rsidRPr="0036052C" w:rsidRDefault="0036052C" w:rsidP="0036052C">
      <w:pPr>
        <w:pStyle w:val="EndNoteBibliography"/>
        <w:bidi w:val="0"/>
        <w:spacing w:after="0"/>
        <w:ind w:left="720" w:hanging="720"/>
      </w:pPr>
      <w:bookmarkStart w:id="4" w:name="_ENREF_5"/>
      <w:r w:rsidRPr="0036052C">
        <w:t>5.</w:t>
      </w:r>
      <w:r w:rsidRPr="0036052C">
        <w:tab/>
        <w:t>Buckinx, F, Rolland, Y, Reginster, J-Y, et al. Burden of frailty in the elderly population: perspectives for a public health challenge. Archives of Public Health 2015;73(1):19.</w:t>
      </w:r>
      <w:bookmarkEnd w:id="4"/>
    </w:p>
    <w:p w14:paraId="74ED9A0D" w14:textId="77777777" w:rsidR="0036052C" w:rsidRPr="0036052C" w:rsidRDefault="0036052C" w:rsidP="0036052C">
      <w:pPr>
        <w:pStyle w:val="EndNoteBibliography"/>
        <w:bidi w:val="0"/>
        <w:spacing w:after="0"/>
        <w:ind w:left="720" w:hanging="720"/>
      </w:pPr>
      <w:bookmarkStart w:id="5" w:name="_ENREF_6"/>
      <w:r w:rsidRPr="0036052C">
        <w:t>6.</w:t>
      </w:r>
      <w:r w:rsidRPr="0036052C">
        <w:tab/>
        <w:t>Cesari, M, Prince, M, Thiyagarajan, JA, et al. Frailty: an emerging public health priority. Journal of the American Medical Directors Association 2016;17(3):188-192.</w:t>
      </w:r>
      <w:bookmarkEnd w:id="5"/>
    </w:p>
    <w:p w14:paraId="253EED90" w14:textId="77777777" w:rsidR="0036052C" w:rsidRPr="0036052C" w:rsidRDefault="0036052C" w:rsidP="0036052C">
      <w:pPr>
        <w:pStyle w:val="EndNoteBibliography"/>
        <w:bidi w:val="0"/>
        <w:spacing w:after="0"/>
        <w:ind w:left="720" w:hanging="720"/>
      </w:pPr>
      <w:bookmarkStart w:id="6" w:name="_ENREF_7"/>
      <w:r w:rsidRPr="0036052C">
        <w:t>7.</w:t>
      </w:r>
      <w:r w:rsidRPr="0036052C">
        <w:tab/>
        <w:t>Latham, NK, Anderson, CS, Lee, A, et al. A randomized, controlled trial of quadriceps resistance exercise and vitamin D in frail older people: the Frailty Interventions Trial in Elderly Subjects (FITNESS). Journal of the American Geriatrics Society 2003;51(3):291-299.</w:t>
      </w:r>
      <w:bookmarkEnd w:id="6"/>
    </w:p>
    <w:p w14:paraId="1A9BA1C5" w14:textId="77777777" w:rsidR="0036052C" w:rsidRPr="0036052C" w:rsidRDefault="0036052C" w:rsidP="0036052C">
      <w:pPr>
        <w:pStyle w:val="EndNoteBibliography"/>
        <w:bidi w:val="0"/>
        <w:spacing w:after="0"/>
        <w:ind w:left="720" w:hanging="720"/>
      </w:pPr>
      <w:bookmarkStart w:id="7" w:name="_ENREF_8"/>
      <w:r w:rsidRPr="0036052C">
        <w:t>8.</w:t>
      </w:r>
      <w:r w:rsidRPr="0036052C">
        <w:tab/>
        <w:t>Paw, MJCA, de Jong, N, Schouten, EG, et al. Physical exercise and/or enriched foods for functional improvement in frail, independently living elderly: a randomized controlled trial. Archives of physical medicine and rehabilitation 2001;82(6):811-817.</w:t>
      </w:r>
      <w:bookmarkEnd w:id="7"/>
    </w:p>
    <w:p w14:paraId="26A9B2E2" w14:textId="77777777" w:rsidR="0036052C" w:rsidRPr="0036052C" w:rsidRDefault="0036052C" w:rsidP="0036052C">
      <w:pPr>
        <w:pStyle w:val="EndNoteBibliography"/>
        <w:bidi w:val="0"/>
        <w:spacing w:after="0"/>
        <w:ind w:left="720" w:hanging="720"/>
      </w:pPr>
      <w:bookmarkStart w:id="8" w:name="_ENREF_9"/>
      <w:r w:rsidRPr="0036052C">
        <w:t>9.</w:t>
      </w:r>
      <w:r w:rsidRPr="0036052C">
        <w:tab/>
        <w:t>Faber, MJ, Bosscher, RJ, Paw, MJCA, et al. Effects of exercise programs on falls and mobility in frail and pre-frail older adults: a multicenter randomized controlled trial. Archives of physical medicine and rehabilitation 2006;87(7):885-896.</w:t>
      </w:r>
      <w:bookmarkEnd w:id="8"/>
    </w:p>
    <w:p w14:paraId="6B1464D5" w14:textId="77777777" w:rsidR="0036052C" w:rsidRPr="0036052C" w:rsidRDefault="0036052C" w:rsidP="0036052C">
      <w:pPr>
        <w:pStyle w:val="EndNoteBibliography"/>
        <w:bidi w:val="0"/>
        <w:spacing w:after="0"/>
        <w:ind w:left="720" w:hanging="720"/>
      </w:pPr>
      <w:bookmarkStart w:id="9" w:name="_ENREF_10"/>
      <w:r w:rsidRPr="0036052C">
        <w:t>10.</w:t>
      </w:r>
      <w:r w:rsidRPr="0036052C">
        <w:tab/>
        <w:t>Rockwood, K, Song, X, MacKnight, C, et al. A global clinical measure of fitness and frailty in elderly people. Canadian Medical Association Journal 2005;173(5):489-495.</w:t>
      </w:r>
      <w:bookmarkEnd w:id="9"/>
    </w:p>
    <w:p w14:paraId="5ED18F78" w14:textId="77777777" w:rsidR="0036052C" w:rsidRPr="0036052C" w:rsidRDefault="0036052C" w:rsidP="0036052C">
      <w:pPr>
        <w:pStyle w:val="EndNoteBibliography"/>
        <w:bidi w:val="0"/>
        <w:spacing w:after="0"/>
        <w:ind w:left="720" w:hanging="720"/>
      </w:pPr>
      <w:bookmarkStart w:id="10" w:name="_ENREF_11"/>
      <w:r w:rsidRPr="0036052C">
        <w:t>11.</w:t>
      </w:r>
      <w:r w:rsidRPr="0036052C">
        <w:tab/>
        <w:t>Murray Thomson, W. Epidemiology of oral health conditions in older people. Gerodontology 2014;31(s1):9-16.</w:t>
      </w:r>
      <w:bookmarkEnd w:id="10"/>
    </w:p>
    <w:p w14:paraId="6D5E9F03" w14:textId="77777777" w:rsidR="0036052C" w:rsidRPr="0036052C" w:rsidRDefault="0036052C" w:rsidP="0036052C">
      <w:pPr>
        <w:pStyle w:val="EndNoteBibliography"/>
        <w:bidi w:val="0"/>
        <w:spacing w:after="0"/>
        <w:ind w:left="720" w:hanging="720"/>
      </w:pPr>
      <w:bookmarkStart w:id="11" w:name="_ENREF_12"/>
      <w:r w:rsidRPr="0036052C">
        <w:t>12.</w:t>
      </w:r>
      <w:r w:rsidRPr="0036052C">
        <w:tab/>
        <w:t>Petersen, PE, Yamamoto, T. Improving the oral health of older people: the approach of the WHO Global Oral Health Programme. Community dentistry and oral epidemiology 2005;33(2):81-92.</w:t>
      </w:r>
      <w:bookmarkEnd w:id="11"/>
    </w:p>
    <w:p w14:paraId="3DB9477E" w14:textId="77777777" w:rsidR="0036052C" w:rsidRPr="0036052C" w:rsidRDefault="0036052C" w:rsidP="0036052C">
      <w:pPr>
        <w:pStyle w:val="EndNoteBibliography"/>
        <w:bidi w:val="0"/>
        <w:spacing w:after="0"/>
        <w:ind w:left="720" w:hanging="720"/>
      </w:pPr>
      <w:bookmarkStart w:id="12" w:name="_ENREF_13"/>
      <w:r w:rsidRPr="0036052C">
        <w:t>13.</w:t>
      </w:r>
      <w:r w:rsidRPr="0036052C">
        <w:tab/>
        <w:t>Lockhart, PB, Bolger, AF, Papapanou, PN, et al. Periodontal disease and atherosclerotic vascular disease: does the evidence support an independent association?: a scientific statement from the American Heart Association. Circulation 2012;125(20):2520-2544.</w:t>
      </w:r>
      <w:bookmarkEnd w:id="12"/>
    </w:p>
    <w:p w14:paraId="05ECB07C" w14:textId="77777777" w:rsidR="0036052C" w:rsidRPr="0036052C" w:rsidRDefault="0036052C" w:rsidP="0036052C">
      <w:pPr>
        <w:pStyle w:val="EndNoteBibliography"/>
        <w:bidi w:val="0"/>
        <w:spacing w:after="0"/>
        <w:ind w:left="720" w:hanging="720"/>
      </w:pPr>
      <w:bookmarkStart w:id="13" w:name="_ENREF_14"/>
      <w:r w:rsidRPr="0036052C">
        <w:t>14.</w:t>
      </w:r>
      <w:r w:rsidRPr="0036052C">
        <w:tab/>
        <w:t>Tôrres, LHdN, Tellez, M, Hilgert, JB, et al. Frailty, frailty components, and oral health: a systematic review. Journal of the American Geriatrics Society 2015;63(12):2555-2562.</w:t>
      </w:r>
      <w:bookmarkEnd w:id="13"/>
    </w:p>
    <w:p w14:paraId="1C45FDC5" w14:textId="77777777" w:rsidR="0036052C" w:rsidRPr="0036052C" w:rsidRDefault="0036052C" w:rsidP="0036052C">
      <w:pPr>
        <w:pStyle w:val="EndNoteBibliography"/>
        <w:bidi w:val="0"/>
        <w:spacing w:after="0"/>
        <w:ind w:left="720" w:hanging="720"/>
      </w:pPr>
      <w:bookmarkStart w:id="14" w:name="_ENREF_15"/>
      <w:r w:rsidRPr="0036052C">
        <w:t>15.</w:t>
      </w:r>
      <w:r w:rsidRPr="0036052C">
        <w:tab/>
        <w:t>Castrejón-Pérez, RC, Borges-Yáñez, SA, Gutiérrez-Robledo, LM, et al. Oral health conditions and frailty in Mexican community-dwelling elderly: a cross sectional analysis. BMC public health 2012;12(1):773.</w:t>
      </w:r>
      <w:bookmarkEnd w:id="14"/>
    </w:p>
    <w:p w14:paraId="60E542AA" w14:textId="77777777" w:rsidR="0036052C" w:rsidRPr="0036052C" w:rsidRDefault="0036052C" w:rsidP="0036052C">
      <w:pPr>
        <w:pStyle w:val="EndNoteBibliography"/>
        <w:bidi w:val="0"/>
        <w:spacing w:after="0"/>
        <w:ind w:left="720" w:hanging="720"/>
      </w:pPr>
      <w:bookmarkStart w:id="15" w:name="_ENREF_16"/>
      <w:r w:rsidRPr="0036052C">
        <w:t>16.</w:t>
      </w:r>
      <w:r w:rsidRPr="0036052C">
        <w:tab/>
        <w:t>Hakeem, FF, Bernabé, E, Sabbah, W. Association between oral health and frailty: a systematic review of longitudinal studies. Gerodontology 2019;36(3):205-215.</w:t>
      </w:r>
      <w:bookmarkEnd w:id="15"/>
    </w:p>
    <w:p w14:paraId="03191D7C" w14:textId="77777777" w:rsidR="0036052C" w:rsidRPr="0036052C" w:rsidRDefault="0036052C" w:rsidP="0036052C">
      <w:pPr>
        <w:pStyle w:val="EndNoteBibliography"/>
        <w:bidi w:val="0"/>
        <w:spacing w:after="0"/>
        <w:ind w:left="720" w:hanging="720"/>
      </w:pPr>
      <w:bookmarkStart w:id="16" w:name="_ENREF_17"/>
      <w:r w:rsidRPr="0036052C">
        <w:t>17.</w:t>
      </w:r>
      <w:r w:rsidRPr="0036052C">
        <w:tab/>
        <w:t>Bassim, C, Mayhew, AJ, Ma, J, et al. Oral Health, Diet, and Frailty at Baseline of the Canadian Longitudinal Study on Aging. Journal of the American Geriatrics Society 2020.</w:t>
      </w:r>
      <w:bookmarkEnd w:id="16"/>
    </w:p>
    <w:p w14:paraId="3217CF64" w14:textId="77777777" w:rsidR="0036052C" w:rsidRPr="0036052C" w:rsidRDefault="0036052C" w:rsidP="0036052C">
      <w:pPr>
        <w:pStyle w:val="EndNoteBibliography"/>
        <w:bidi w:val="0"/>
        <w:spacing w:after="0"/>
        <w:ind w:left="720" w:hanging="720"/>
      </w:pPr>
      <w:bookmarkStart w:id="17" w:name="_ENREF_18"/>
      <w:r w:rsidRPr="0036052C">
        <w:t>18.</w:t>
      </w:r>
      <w:r w:rsidRPr="0036052C">
        <w:tab/>
        <w:t>Gu, Y, Wu, W, Bai, J, et al. Association between the number of teeth and frailty among Chinese older adults: a nationwide cross-sectional study. BMJ open 2019;9(10):e029929.</w:t>
      </w:r>
      <w:bookmarkEnd w:id="17"/>
    </w:p>
    <w:p w14:paraId="70391FA0" w14:textId="77777777" w:rsidR="0036052C" w:rsidRPr="0036052C" w:rsidRDefault="0036052C" w:rsidP="0036052C">
      <w:pPr>
        <w:pStyle w:val="EndNoteBibliography"/>
        <w:bidi w:val="0"/>
        <w:spacing w:after="0"/>
        <w:ind w:left="720" w:hanging="720"/>
      </w:pPr>
      <w:bookmarkStart w:id="18" w:name="_ENREF_19"/>
      <w:r w:rsidRPr="0036052C">
        <w:t>19.</w:t>
      </w:r>
      <w:r w:rsidRPr="0036052C">
        <w:tab/>
        <w:t>Searle, SD, Mitnitski, A, Gahbauer, EA, et al. A standard procedure for creating a frailty index. BMC geriatrics 2008;8(1):24.</w:t>
      </w:r>
      <w:bookmarkEnd w:id="18"/>
    </w:p>
    <w:p w14:paraId="22407587" w14:textId="77777777" w:rsidR="0036052C" w:rsidRPr="0036052C" w:rsidRDefault="0036052C" w:rsidP="0036052C">
      <w:pPr>
        <w:pStyle w:val="EndNoteBibliography"/>
        <w:bidi w:val="0"/>
        <w:spacing w:after="0"/>
        <w:ind w:left="720" w:hanging="720"/>
      </w:pPr>
      <w:bookmarkStart w:id="19" w:name="_ENREF_20"/>
      <w:r w:rsidRPr="0036052C">
        <w:t>20.</w:t>
      </w:r>
      <w:r w:rsidRPr="0036052C">
        <w:tab/>
        <w:t>Eke, PI, Page, RC, Wei, L, et al. Update of the case definitions for population‐based surveillance of periodontitis. Journal of periodontology 2012;83(12):1449-1454.</w:t>
      </w:r>
      <w:bookmarkEnd w:id="19"/>
    </w:p>
    <w:p w14:paraId="232827CC" w14:textId="77777777" w:rsidR="0036052C" w:rsidRPr="0036052C" w:rsidRDefault="0036052C" w:rsidP="0036052C">
      <w:pPr>
        <w:pStyle w:val="EndNoteBibliography"/>
        <w:bidi w:val="0"/>
        <w:spacing w:after="0"/>
        <w:ind w:left="720" w:hanging="720"/>
      </w:pPr>
      <w:bookmarkStart w:id="20" w:name="_ENREF_21"/>
      <w:r w:rsidRPr="0036052C">
        <w:t>21.</w:t>
      </w:r>
      <w:r w:rsidRPr="0036052C">
        <w:tab/>
        <w:t>Health, NIo. Nutrient recommendations: Dietary reference intakes (DRI). 2016.</w:t>
      </w:r>
      <w:bookmarkEnd w:id="20"/>
    </w:p>
    <w:p w14:paraId="48BFDA86" w14:textId="77777777" w:rsidR="0036052C" w:rsidRPr="0036052C" w:rsidRDefault="0036052C" w:rsidP="0036052C">
      <w:pPr>
        <w:pStyle w:val="EndNoteBibliography"/>
        <w:bidi w:val="0"/>
        <w:spacing w:after="0"/>
        <w:ind w:left="720" w:hanging="720"/>
      </w:pPr>
      <w:bookmarkStart w:id="21" w:name="_ENREF_22"/>
      <w:r w:rsidRPr="0036052C">
        <w:lastRenderedPageBreak/>
        <w:t>22.</w:t>
      </w:r>
      <w:r w:rsidRPr="0036052C">
        <w:tab/>
        <w:t>Blodgett, J, Theou, O, Kirkland, S, et al. Frailty in NHANES: comparing the frailty index and phenotype. Archives of gerontology and geriatrics 2015;60(3):464-470.</w:t>
      </w:r>
      <w:bookmarkEnd w:id="21"/>
    </w:p>
    <w:p w14:paraId="4366AFD3" w14:textId="77777777" w:rsidR="0036052C" w:rsidRPr="0036052C" w:rsidRDefault="0036052C" w:rsidP="0036052C">
      <w:pPr>
        <w:pStyle w:val="EndNoteBibliography"/>
        <w:bidi w:val="0"/>
        <w:spacing w:after="0"/>
        <w:ind w:left="720" w:hanging="720"/>
      </w:pPr>
      <w:bookmarkStart w:id="22" w:name="_ENREF_23"/>
      <w:r w:rsidRPr="0036052C">
        <w:t>23.</w:t>
      </w:r>
      <w:r w:rsidRPr="0036052C">
        <w:tab/>
        <w:t>VanderWeele, TJ. Mediation analysis: a practitioner's guide. Annual review of public health 2016;37:17-32.</w:t>
      </w:r>
      <w:bookmarkEnd w:id="22"/>
    </w:p>
    <w:p w14:paraId="3AFEFFB4" w14:textId="77777777" w:rsidR="0036052C" w:rsidRPr="0036052C" w:rsidRDefault="0036052C" w:rsidP="0036052C">
      <w:pPr>
        <w:pStyle w:val="EndNoteBibliography"/>
        <w:bidi w:val="0"/>
        <w:spacing w:after="0"/>
        <w:ind w:left="720" w:hanging="720"/>
      </w:pPr>
      <w:bookmarkStart w:id="23" w:name="_ENREF_24"/>
      <w:r w:rsidRPr="0036052C">
        <w:t>24.</w:t>
      </w:r>
      <w:r w:rsidRPr="0036052C">
        <w:tab/>
        <w:t>Ramsay, SE, Papachristou, E, Watt, RG, et al. Influence of Poor Oral Health on Physical Frailty: A Population‐Based Cohort Study of Older British Men. Journal of the American Geriatrics Society 2018;66(3):473-479.</w:t>
      </w:r>
      <w:bookmarkEnd w:id="23"/>
    </w:p>
    <w:p w14:paraId="50E098FC" w14:textId="77777777" w:rsidR="0036052C" w:rsidRPr="0036052C" w:rsidRDefault="0036052C" w:rsidP="0036052C">
      <w:pPr>
        <w:pStyle w:val="EndNoteBibliography"/>
        <w:bidi w:val="0"/>
        <w:spacing w:after="0"/>
        <w:ind w:left="720" w:hanging="720"/>
      </w:pPr>
      <w:bookmarkStart w:id="24" w:name="_ENREF_25"/>
      <w:r w:rsidRPr="0036052C">
        <w:t>25.</w:t>
      </w:r>
      <w:r w:rsidRPr="0036052C">
        <w:tab/>
        <w:t>Castrejón-Pérez, RC, Jiménez-Corona, A, Bernabé, E, et al. Oral disease and 3-year incidence of frailty in Mexican older adults. The Journals of Gerontology: Series A 2017;72(7):951-957.</w:t>
      </w:r>
      <w:bookmarkEnd w:id="24"/>
    </w:p>
    <w:p w14:paraId="70ACB58C" w14:textId="77777777" w:rsidR="0036052C" w:rsidRPr="0036052C" w:rsidRDefault="0036052C" w:rsidP="0036052C">
      <w:pPr>
        <w:pStyle w:val="EndNoteBibliography"/>
        <w:bidi w:val="0"/>
        <w:spacing w:after="0"/>
        <w:ind w:left="720" w:hanging="720"/>
      </w:pPr>
      <w:bookmarkStart w:id="25" w:name="_ENREF_26"/>
      <w:r w:rsidRPr="0036052C">
        <w:t>26.</w:t>
      </w:r>
      <w:r w:rsidRPr="0036052C">
        <w:tab/>
        <w:t>Lee, S, Sabbah, W. Association between number of teeth, use of dentures and musculoskeletal frailty among older adults. Geriatrics &amp; gerontology international 2018;18(4):592-598.</w:t>
      </w:r>
      <w:bookmarkEnd w:id="25"/>
    </w:p>
    <w:p w14:paraId="01699717" w14:textId="77777777" w:rsidR="0036052C" w:rsidRPr="0036052C" w:rsidRDefault="0036052C" w:rsidP="0036052C">
      <w:pPr>
        <w:pStyle w:val="EndNoteBibliography"/>
        <w:bidi w:val="0"/>
        <w:spacing w:after="0"/>
        <w:ind w:left="720" w:hanging="720"/>
      </w:pPr>
      <w:bookmarkStart w:id="26" w:name="_ENREF_27"/>
      <w:r w:rsidRPr="0036052C">
        <w:t>27.</w:t>
      </w:r>
      <w:r w:rsidRPr="0036052C">
        <w:tab/>
        <w:t>Soysal, P, Stubbs, B, Lucato, P, et al. Inflammation and frailty in the elderly: A systematic review and meta-analysis. Ageing research reviews 2016;31:1-8.</w:t>
      </w:r>
      <w:bookmarkEnd w:id="26"/>
    </w:p>
    <w:p w14:paraId="3335A6FF" w14:textId="77777777" w:rsidR="0036052C" w:rsidRPr="0036052C" w:rsidRDefault="0036052C" w:rsidP="0036052C">
      <w:pPr>
        <w:pStyle w:val="EndNoteBibliography"/>
        <w:bidi w:val="0"/>
        <w:spacing w:after="0"/>
        <w:ind w:left="720" w:hanging="720"/>
      </w:pPr>
      <w:bookmarkStart w:id="27" w:name="_ENREF_28"/>
      <w:r w:rsidRPr="0036052C">
        <w:t>28.</w:t>
      </w:r>
      <w:r w:rsidRPr="0036052C">
        <w:tab/>
        <w:t>O’Connor, J-LP, Milledge, KL, O’Leary, F, et al. Poor dietary intake of nutrients and food groups are associated with increased risk of periodontal disease among community-dwelling older adults: a systematic literature review. Nutrition Reviews 2020;78(2):175-188.</w:t>
      </w:r>
      <w:bookmarkEnd w:id="27"/>
    </w:p>
    <w:p w14:paraId="25B6F56D" w14:textId="77777777" w:rsidR="0036052C" w:rsidRPr="0036052C" w:rsidRDefault="0036052C" w:rsidP="0036052C">
      <w:pPr>
        <w:pStyle w:val="EndNoteBibliography"/>
        <w:bidi w:val="0"/>
        <w:spacing w:after="0"/>
        <w:ind w:left="720" w:hanging="720"/>
      </w:pPr>
      <w:bookmarkStart w:id="28" w:name="_ENREF_29"/>
      <w:r w:rsidRPr="0036052C">
        <w:t>29.</w:t>
      </w:r>
      <w:r w:rsidRPr="0036052C">
        <w:tab/>
        <w:t>Morley, JE. Anorexia of ageing: a key component in the pathogenesis of both sarcopenia and cachexia. Journal of cachexia, sarcopenia and muscle 2017;8(4):523-526.</w:t>
      </w:r>
      <w:bookmarkEnd w:id="28"/>
    </w:p>
    <w:p w14:paraId="5FD7BB94" w14:textId="77777777" w:rsidR="0036052C" w:rsidRPr="0036052C" w:rsidRDefault="0036052C" w:rsidP="0036052C">
      <w:pPr>
        <w:pStyle w:val="EndNoteBibliography"/>
        <w:bidi w:val="0"/>
        <w:spacing w:after="0"/>
        <w:ind w:left="720" w:hanging="720"/>
      </w:pPr>
      <w:bookmarkStart w:id="29" w:name="_ENREF_30"/>
      <w:r w:rsidRPr="0036052C">
        <w:t>30.</w:t>
      </w:r>
      <w:r w:rsidRPr="0036052C">
        <w:tab/>
        <w:t>Lee, IC, Yang, YH, Ho, PS, et al. Chewing ability, nutritional status and quality of life. Journal of oral rehabilitation 2014;41(2):79-86.</w:t>
      </w:r>
      <w:bookmarkEnd w:id="29"/>
    </w:p>
    <w:p w14:paraId="37BF62CC" w14:textId="77777777" w:rsidR="0036052C" w:rsidRPr="0036052C" w:rsidRDefault="0036052C" w:rsidP="0036052C">
      <w:pPr>
        <w:pStyle w:val="EndNoteBibliography"/>
        <w:bidi w:val="0"/>
        <w:spacing w:after="0"/>
        <w:ind w:left="720" w:hanging="720"/>
      </w:pPr>
      <w:bookmarkStart w:id="30" w:name="_ENREF_31"/>
      <w:r w:rsidRPr="0036052C">
        <w:t>31.</w:t>
      </w:r>
      <w:r w:rsidRPr="0036052C">
        <w:tab/>
        <w:t>Naka, O, Anastassiadou, V, Pissiotis, A. Association between functional tooth units and chewing ability in older adults: a systematic review. Gerodontology 2014;31(3):166-177.</w:t>
      </w:r>
      <w:bookmarkEnd w:id="30"/>
    </w:p>
    <w:p w14:paraId="318E52F0" w14:textId="77777777" w:rsidR="0036052C" w:rsidRPr="0036052C" w:rsidRDefault="0036052C" w:rsidP="0036052C">
      <w:pPr>
        <w:pStyle w:val="EndNoteBibliography"/>
        <w:bidi w:val="0"/>
        <w:spacing w:after="0"/>
        <w:ind w:left="720" w:hanging="720"/>
      </w:pPr>
      <w:bookmarkStart w:id="31" w:name="_ENREF_32"/>
      <w:r w:rsidRPr="0036052C">
        <w:t>32.</w:t>
      </w:r>
      <w:r w:rsidRPr="0036052C">
        <w:tab/>
        <w:t>Hutton, B, Feine, J, Morais, J. Is there an association between edentulism and nutritional state? Journal-Canadian Dental Association 2002;68(3):182-187.</w:t>
      </w:r>
      <w:bookmarkEnd w:id="31"/>
    </w:p>
    <w:p w14:paraId="73112BBA" w14:textId="77777777" w:rsidR="0036052C" w:rsidRPr="0036052C" w:rsidRDefault="0036052C" w:rsidP="0036052C">
      <w:pPr>
        <w:pStyle w:val="EndNoteBibliography"/>
        <w:bidi w:val="0"/>
        <w:spacing w:after="0"/>
        <w:ind w:left="720" w:hanging="720"/>
      </w:pPr>
      <w:bookmarkStart w:id="32" w:name="_ENREF_33"/>
      <w:r w:rsidRPr="0036052C">
        <w:t>33.</w:t>
      </w:r>
      <w:r w:rsidRPr="0036052C">
        <w:tab/>
        <w:t>Fontijn-Tekamp, F, Slagter, A. The state of dentition in relation to nutrition in elderly Europeans in the SENECA Study of 1993. European journal of clinical nutrition 1996;50:S117-122.</w:t>
      </w:r>
      <w:bookmarkEnd w:id="32"/>
    </w:p>
    <w:p w14:paraId="1FD97769" w14:textId="77777777" w:rsidR="0036052C" w:rsidRPr="0036052C" w:rsidRDefault="0036052C" w:rsidP="0036052C">
      <w:pPr>
        <w:pStyle w:val="EndNoteBibliography"/>
        <w:bidi w:val="0"/>
        <w:spacing w:after="0"/>
        <w:ind w:left="720" w:hanging="720"/>
      </w:pPr>
      <w:bookmarkStart w:id="33" w:name="_ENREF_34"/>
      <w:r w:rsidRPr="0036052C">
        <w:t>34.</w:t>
      </w:r>
      <w:r w:rsidRPr="0036052C">
        <w:tab/>
        <w:t>Shlisky, J, Bloom, DE, Beaudreault, AR, et al. Nutritional considerations for healthy aging and reduction in age-related chronic disease. Advances in Nutrition 2017;8(1):17.</w:t>
      </w:r>
      <w:bookmarkEnd w:id="33"/>
    </w:p>
    <w:p w14:paraId="1D36AEFE" w14:textId="77777777" w:rsidR="0036052C" w:rsidRPr="0036052C" w:rsidRDefault="0036052C" w:rsidP="0036052C">
      <w:pPr>
        <w:pStyle w:val="EndNoteBibliography"/>
        <w:bidi w:val="0"/>
        <w:spacing w:after="0"/>
        <w:ind w:left="720" w:hanging="720"/>
      </w:pPr>
      <w:bookmarkStart w:id="34" w:name="_ENREF_35"/>
      <w:r w:rsidRPr="0036052C">
        <w:t>35.</w:t>
      </w:r>
      <w:r w:rsidRPr="0036052C">
        <w:tab/>
        <w:t>Tan, BL, Norhaizan, ME, Liew, W-P-P. Nutrients and oxidative stress: friend or foe? Oxidative medicine and cellular longevity 2018;2018.</w:t>
      </w:r>
      <w:bookmarkEnd w:id="34"/>
    </w:p>
    <w:p w14:paraId="2A54F9DB" w14:textId="77777777" w:rsidR="0036052C" w:rsidRPr="0036052C" w:rsidRDefault="0036052C" w:rsidP="0036052C">
      <w:pPr>
        <w:pStyle w:val="EndNoteBibliography"/>
        <w:bidi w:val="0"/>
        <w:spacing w:after="0"/>
        <w:ind w:left="720" w:hanging="720"/>
      </w:pPr>
      <w:bookmarkStart w:id="35" w:name="_ENREF_36"/>
      <w:r w:rsidRPr="0036052C">
        <w:t>36.</w:t>
      </w:r>
      <w:r w:rsidRPr="0036052C">
        <w:tab/>
        <w:t>Azzolino, D, Passarelli, PC, De Angelis, P, et al. Poor Oral Health as a Determinant of Malnutrition and Sarcopenia. Nutrients 2019;11(12):2898.</w:t>
      </w:r>
      <w:bookmarkEnd w:id="35"/>
    </w:p>
    <w:p w14:paraId="309865BA" w14:textId="77777777" w:rsidR="0036052C" w:rsidRPr="0036052C" w:rsidRDefault="0036052C" w:rsidP="0036052C">
      <w:pPr>
        <w:pStyle w:val="EndNoteBibliography"/>
        <w:bidi w:val="0"/>
        <w:spacing w:after="0"/>
        <w:ind w:left="720" w:hanging="720"/>
      </w:pPr>
      <w:bookmarkStart w:id="36" w:name="_ENREF_37"/>
      <w:r w:rsidRPr="0036052C">
        <w:t>37.</w:t>
      </w:r>
      <w:r w:rsidRPr="0036052C">
        <w:tab/>
        <w:t>MacEntee, MI, Donnelly, LR. Oral health and the frailty syndrome. Periodontology 2000 2016;72(1):135-141.</w:t>
      </w:r>
      <w:bookmarkEnd w:id="36"/>
    </w:p>
    <w:p w14:paraId="06604334" w14:textId="77777777" w:rsidR="0036052C" w:rsidRPr="0036052C" w:rsidRDefault="0036052C" w:rsidP="0036052C">
      <w:pPr>
        <w:pStyle w:val="EndNoteBibliography"/>
        <w:bidi w:val="0"/>
        <w:ind w:left="720" w:hanging="720"/>
      </w:pPr>
      <w:bookmarkStart w:id="37" w:name="_ENREF_38"/>
      <w:r w:rsidRPr="0036052C">
        <w:t>38.</w:t>
      </w:r>
      <w:r w:rsidRPr="0036052C">
        <w:tab/>
        <w:t>Cesari, M, Gambassi, G, Abellan van Kan, G, et al. The frailty phenotype and the frailty index: different instruments for different purposes. Age and ageing 2013;43(1):10-12.</w:t>
      </w:r>
      <w:bookmarkEnd w:id="37"/>
    </w:p>
    <w:p w14:paraId="00AB2D49" w14:textId="0773F3E5" w:rsidR="00E5210F" w:rsidRDefault="0092042B" w:rsidP="0036052C">
      <w:pPr>
        <w:spacing w:line="480" w:lineRule="auto"/>
      </w:pPr>
      <w:r w:rsidRPr="00B45FF3">
        <w:rPr>
          <w:rFonts w:asciiTheme="majorBidi" w:hAnsiTheme="majorBidi" w:cstheme="majorBidi"/>
        </w:rPr>
        <w:fldChar w:fldCharType="end"/>
      </w:r>
    </w:p>
    <w:p w14:paraId="1EF016E8" w14:textId="414F2289" w:rsidR="00DD0F05" w:rsidRDefault="00DD0F05">
      <w:pPr>
        <w:spacing w:after="160" w:line="259" w:lineRule="auto"/>
      </w:pPr>
      <w:r>
        <w:br w:type="page"/>
      </w:r>
    </w:p>
    <w:p w14:paraId="13ECA908" w14:textId="77777777" w:rsidR="00C92956" w:rsidRDefault="00C92956" w:rsidP="00E5210F"/>
    <w:p w14:paraId="2A72386A" w14:textId="65520F21" w:rsidR="006A15D5" w:rsidRPr="00E5210F" w:rsidRDefault="00C041AD" w:rsidP="006A15D5">
      <w:pPr>
        <w:rPr>
          <w:rFonts w:asciiTheme="majorBidi" w:hAnsiTheme="majorBidi" w:cstheme="majorBidi"/>
          <w:b/>
          <w:bCs/>
          <w:sz w:val="32"/>
          <w:szCs w:val="32"/>
        </w:rPr>
      </w:pPr>
      <w:r>
        <w:rPr>
          <w:rFonts w:asciiTheme="majorBidi" w:hAnsiTheme="majorBidi" w:cstheme="majorBidi"/>
          <w:b/>
          <w:bCs/>
          <w:color w:val="1C1D1E"/>
          <w:shd w:val="clear" w:color="auto" w:fill="FFFFFF"/>
        </w:rPr>
        <w:t xml:space="preserve">List of </w:t>
      </w:r>
      <w:r w:rsidR="00E5210F" w:rsidRPr="00E5210F">
        <w:rPr>
          <w:rFonts w:asciiTheme="majorBidi" w:hAnsiTheme="majorBidi" w:cstheme="majorBidi"/>
          <w:b/>
          <w:bCs/>
          <w:color w:val="1C1D1E"/>
          <w:shd w:val="clear" w:color="auto" w:fill="FFFFFF"/>
        </w:rPr>
        <w:t>Table</w:t>
      </w:r>
      <w:r>
        <w:rPr>
          <w:rFonts w:asciiTheme="majorBidi" w:hAnsiTheme="majorBidi" w:cstheme="majorBidi"/>
          <w:b/>
          <w:bCs/>
          <w:color w:val="1C1D1E"/>
          <w:shd w:val="clear" w:color="auto" w:fill="FFFFFF"/>
        </w:rPr>
        <w:t>s</w:t>
      </w:r>
      <w:r w:rsidR="00C34387" w:rsidRPr="00E5210F">
        <w:rPr>
          <w:rFonts w:asciiTheme="majorBidi" w:hAnsiTheme="majorBidi" w:cstheme="majorBidi"/>
          <w:b/>
          <w:bCs/>
          <w:color w:val="1C1D1E"/>
          <w:shd w:val="clear" w:color="auto" w:fill="FFFFFF"/>
        </w:rPr>
        <w:t>:</w:t>
      </w:r>
    </w:p>
    <w:p w14:paraId="00D0112E" w14:textId="07459401" w:rsidR="00C92956" w:rsidRPr="003B7A6A" w:rsidRDefault="00C92956" w:rsidP="00C92956">
      <w:pPr>
        <w:rPr>
          <w:rFonts w:asciiTheme="majorBidi" w:hAnsiTheme="majorBidi" w:cstheme="majorBidi"/>
        </w:rPr>
      </w:pPr>
      <w:r w:rsidRPr="003B7A6A">
        <w:t xml:space="preserve"> </w:t>
      </w:r>
      <w:r w:rsidRPr="003B7A6A">
        <w:rPr>
          <w:rFonts w:asciiTheme="majorBidi" w:hAnsiTheme="majorBidi" w:cstheme="majorBidi"/>
        </w:rPr>
        <w:t>Table 1: Demographic, socioeconomic and oral health characteristics of study participants stratified by frailty status (percentage/means) NHANES 2011-14 (N=2,368)</w:t>
      </w:r>
    </w:p>
    <w:p w14:paraId="134B9B5F" w14:textId="5694370B" w:rsidR="00C92956" w:rsidRDefault="00C92956" w:rsidP="00C92956">
      <w:pPr>
        <w:rPr>
          <w:rFonts w:asciiTheme="majorBidi" w:hAnsiTheme="majorBidi" w:cstheme="majorBidi"/>
          <w:i/>
          <w:iCs/>
        </w:rPr>
      </w:pPr>
    </w:p>
    <w:p w14:paraId="0F108F4B" w14:textId="03DFB9EE" w:rsidR="00C92956" w:rsidRDefault="00C92956" w:rsidP="00C92956">
      <w:pPr>
        <w:rPr>
          <w:rFonts w:asciiTheme="majorBidi" w:hAnsiTheme="majorBidi" w:cstheme="majorBidi"/>
          <w:i/>
          <w:iCs/>
        </w:rPr>
      </w:pPr>
      <w:r w:rsidRPr="00A82EF6">
        <w:rPr>
          <w:rFonts w:asciiTheme="majorBidi" w:hAnsiTheme="majorBidi" w:cstheme="majorBidi"/>
        </w:rPr>
        <w:t>Table</w:t>
      </w:r>
      <w:r w:rsidR="00E3346D">
        <w:rPr>
          <w:rFonts w:asciiTheme="majorBidi" w:hAnsiTheme="majorBidi" w:cstheme="majorBidi"/>
        </w:rPr>
        <w:t xml:space="preserve"> </w:t>
      </w:r>
      <w:r w:rsidRPr="00A82EF6">
        <w:rPr>
          <w:rFonts w:asciiTheme="majorBidi" w:hAnsiTheme="majorBidi" w:cstheme="majorBidi"/>
        </w:rPr>
        <w:t xml:space="preserve">2:  Negative binomial regression </w:t>
      </w:r>
      <w:r>
        <w:rPr>
          <w:rFonts w:asciiTheme="majorBidi" w:hAnsiTheme="majorBidi" w:cstheme="majorBidi"/>
        </w:rPr>
        <w:t>m</w:t>
      </w:r>
      <w:r w:rsidRPr="00A82EF6">
        <w:rPr>
          <w:rFonts w:asciiTheme="majorBidi" w:hAnsiTheme="majorBidi" w:cstheme="majorBidi"/>
        </w:rPr>
        <w:t>odels showing the associations between number of teeth and frailty NHANES 2011-14 (N= 2</w:t>
      </w:r>
      <w:r>
        <w:rPr>
          <w:rFonts w:asciiTheme="majorBidi" w:hAnsiTheme="majorBidi" w:cstheme="majorBidi"/>
        </w:rPr>
        <w:t>,</w:t>
      </w:r>
      <w:r w:rsidRPr="00A82EF6">
        <w:rPr>
          <w:rFonts w:asciiTheme="majorBidi" w:hAnsiTheme="majorBidi" w:cstheme="majorBidi"/>
        </w:rPr>
        <w:t>368)</w:t>
      </w:r>
    </w:p>
    <w:p w14:paraId="72D663D7" w14:textId="757A5D24" w:rsidR="000C4C17" w:rsidRDefault="000C4C17" w:rsidP="00CB6FD4"/>
    <w:p w14:paraId="72542E94" w14:textId="09DC69A1" w:rsidR="00C92956" w:rsidRDefault="00C92956" w:rsidP="00CB6FD4">
      <w:r w:rsidRPr="00A828CA">
        <w:rPr>
          <w:rFonts w:asciiTheme="majorBidi" w:hAnsiTheme="majorBidi" w:cstheme="majorBidi"/>
        </w:rPr>
        <w:t>Table</w:t>
      </w:r>
      <w:r w:rsidR="00E3346D">
        <w:rPr>
          <w:rFonts w:asciiTheme="majorBidi" w:hAnsiTheme="majorBidi" w:cstheme="majorBidi"/>
        </w:rPr>
        <w:t xml:space="preserve"> </w:t>
      </w:r>
      <w:r w:rsidRPr="00A828CA">
        <w:rPr>
          <w:rFonts w:asciiTheme="majorBidi" w:hAnsiTheme="majorBidi" w:cstheme="majorBidi"/>
        </w:rPr>
        <w:t xml:space="preserve">3:  Negative binomial regression models showing the associations between </w:t>
      </w:r>
      <w:r>
        <w:rPr>
          <w:rFonts w:asciiTheme="majorBidi" w:hAnsiTheme="majorBidi" w:cstheme="majorBidi"/>
        </w:rPr>
        <w:t>Periodontal disease</w:t>
      </w:r>
      <w:r w:rsidRPr="00A828CA">
        <w:rPr>
          <w:rFonts w:asciiTheme="majorBidi" w:hAnsiTheme="majorBidi" w:cstheme="majorBidi"/>
        </w:rPr>
        <w:t xml:space="preserve"> and frailty index NHANES 2011-14 (N= </w:t>
      </w:r>
      <w:r>
        <w:rPr>
          <w:rFonts w:asciiTheme="majorBidi" w:hAnsiTheme="majorBidi" w:cstheme="majorBidi"/>
        </w:rPr>
        <w:t>1,884</w:t>
      </w:r>
      <w:r w:rsidRPr="00A828CA">
        <w:rPr>
          <w:rFonts w:asciiTheme="majorBidi" w:hAnsiTheme="majorBidi" w:cstheme="majorBidi"/>
        </w:rPr>
        <w:t>)</w:t>
      </w:r>
    </w:p>
    <w:p w14:paraId="49AF4879" w14:textId="52AB83D8" w:rsidR="00C92956" w:rsidRDefault="00C92956" w:rsidP="00CB6FD4"/>
    <w:p w14:paraId="0E589E68" w14:textId="78C1A1E1" w:rsidR="003B7A6A" w:rsidRDefault="003B7A6A" w:rsidP="00CB6FD4">
      <w:pPr>
        <w:rPr>
          <w:rFonts w:asciiTheme="majorBidi" w:hAnsiTheme="majorBidi" w:cstheme="majorBidi"/>
        </w:rPr>
      </w:pPr>
    </w:p>
    <w:p w14:paraId="376C2FBC" w14:textId="0CFB959D" w:rsidR="003B7A6A" w:rsidRPr="003B7A6A" w:rsidRDefault="00283DD3" w:rsidP="00CB6FD4">
      <w:pPr>
        <w:rPr>
          <w:rFonts w:asciiTheme="majorBidi" w:hAnsiTheme="majorBidi" w:cstheme="majorBidi"/>
          <w:b/>
          <w:bCs/>
        </w:rPr>
      </w:pPr>
      <w:r>
        <w:rPr>
          <w:rFonts w:asciiTheme="majorBidi" w:hAnsiTheme="majorBidi" w:cstheme="majorBidi"/>
          <w:b/>
          <w:bCs/>
        </w:rPr>
        <w:t>Supplementary material</w:t>
      </w:r>
      <w:r w:rsidR="003B7A6A" w:rsidRPr="003B7A6A">
        <w:rPr>
          <w:rFonts w:asciiTheme="majorBidi" w:hAnsiTheme="majorBidi" w:cstheme="majorBidi"/>
          <w:b/>
          <w:bCs/>
        </w:rPr>
        <w:t>:</w:t>
      </w:r>
    </w:p>
    <w:p w14:paraId="2FD33CA7" w14:textId="56F8FA8F" w:rsidR="003B7A6A" w:rsidRDefault="003B7A6A" w:rsidP="00CB6FD4">
      <w:pPr>
        <w:rPr>
          <w:rFonts w:asciiTheme="majorBidi" w:hAnsiTheme="majorBidi" w:cstheme="majorBidi"/>
        </w:rPr>
      </w:pPr>
      <w:r>
        <w:rPr>
          <w:rFonts w:asciiTheme="majorBidi" w:hAnsiTheme="majorBidi" w:cstheme="majorBidi"/>
        </w:rPr>
        <w:t xml:space="preserve"> </w:t>
      </w:r>
    </w:p>
    <w:p w14:paraId="2E95DC47" w14:textId="700C66CA" w:rsidR="003B7A6A" w:rsidRPr="008237C2" w:rsidRDefault="009B2C53" w:rsidP="00DD5020">
      <w:pPr>
        <w:rPr>
          <w:lang w:val="en-US"/>
        </w:rPr>
      </w:pPr>
      <w:r>
        <w:rPr>
          <w:color w:val="2A2A2A"/>
          <w:sz w:val="23"/>
          <w:szCs w:val="23"/>
          <w:shd w:val="clear" w:color="auto" w:fill="FFFFFF"/>
        </w:rPr>
        <w:t xml:space="preserve">(Table </w:t>
      </w:r>
      <w:r w:rsidR="00917E74">
        <w:rPr>
          <w:color w:val="2A2A2A"/>
          <w:sz w:val="23"/>
          <w:szCs w:val="23"/>
          <w:shd w:val="clear" w:color="auto" w:fill="FFFFFF"/>
        </w:rPr>
        <w:t>A</w:t>
      </w:r>
      <w:r>
        <w:rPr>
          <w:color w:val="2A2A2A"/>
          <w:sz w:val="23"/>
          <w:szCs w:val="23"/>
          <w:shd w:val="clear" w:color="auto" w:fill="FFFFFF"/>
        </w:rPr>
        <w:t xml:space="preserve">1 in the </w:t>
      </w:r>
      <w:r w:rsidR="00917E74">
        <w:rPr>
          <w:color w:val="2A2A2A"/>
          <w:sz w:val="23"/>
          <w:szCs w:val="23"/>
          <w:shd w:val="clear" w:color="auto" w:fill="FFFFFF"/>
        </w:rPr>
        <w:t>App</w:t>
      </w:r>
      <w:r w:rsidR="00C041AD">
        <w:rPr>
          <w:color w:val="2A2A2A"/>
          <w:sz w:val="23"/>
          <w:szCs w:val="23"/>
          <w:shd w:val="clear" w:color="auto" w:fill="FFFFFF"/>
        </w:rPr>
        <w:t>endix</w:t>
      </w:r>
      <w:r>
        <w:rPr>
          <w:color w:val="2A2A2A"/>
          <w:sz w:val="23"/>
          <w:szCs w:val="23"/>
          <w:shd w:val="clear" w:color="auto" w:fill="FFFFFF"/>
        </w:rPr>
        <w:t>)</w:t>
      </w:r>
      <w:r w:rsidR="003B7A6A" w:rsidRPr="00593B59">
        <w:rPr>
          <w:b/>
        </w:rPr>
        <w:t xml:space="preserve">. </w:t>
      </w:r>
      <w:r w:rsidR="003B7A6A" w:rsidRPr="00593B59">
        <w:t xml:space="preserve">Variables </w:t>
      </w:r>
      <w:r w:rsidR="003B7A6A">
        <w:t>i</w:t>
      </w:r>
      <w:r w:rsidR="003B7A6A" w:rsidRPr="00593B59">
        <w:t>n</w:t>
      </w:r>
      <w:r w:rsidR="00DD5020">
        <w:t xml:space="preserve"> </w:t>
      </w:r>
      <w:r w:rsidR="003B7A6A">
        <w:t>t</w:t>
      </w:r>
      <w:r w:rsidR="003B7A6A" w:rsidRPr="00593B59">
        <w:t xml:space="preserve">he </w:t>
      </w:r>
      <w:r w:rsidR="003B7A6A">
        <w:t>49</w:t>
      </w:r>
      <w:r w:rsidR="003B7A6A" w:rsidRPr="00593B59">
        <w:t xml:space="preserve">-Item Frailty Index </w:t>
      </w:r>
      <w:r w:rsidR="00DD5020" w:rsidRPr="00593B59">
        <w:t>and</w:t>
      </w:r>
      <w:r w:rsidR="003B7A6A" w:rsidRPr="00593B59">
        <w:t xml:space="preserve"> Their Respective Scorings </w:t>
      </w:r>
    </w:p>
    <w:p w14:paraId="5BE50998" w14:textId="0D2A0771" w:rsidR="003B7A6A" w:rsidRDefault="003B7A6A" w:rsidP="003B7A6A"/>
    <w:p w14:paraId="1A7BD250" w14:textId="77777777" w:rsidR="002012FC" w:rsidRDefault="009B2C53" w:rsidP="00E74D1A">
      <w:r>
        <w:rPr>
          <w:color w:val="2A2A2A"/>
          <w:sz w:val="23"/>
          <w:szCs w:val="23"/>
          <w:shd w:val="clear" w:color="auto" w:fill="FFFFFF"/>
        </w:rPr>
        <w:t xml:space="preserve">(Table </w:t>
      </w:r>
      <w:r w:rsidR="00917E74">
        <w:rPr>
          <w:color w:val="2A2A2A"/>
          <w:sz w:val="23"/>
          <w:szCs w:val="23"/>
          <w:shd w:val="clear" w:color="auto" w:fill="FFFFFF"/>
        </w:rPr>
        <w:t>A</w:t>
      </w:r>
      <w:r>
        <w:rPr>
          <w:color w:val="2A2A2A"/>
          <w:sz w:val="23"/>
          <w:szCs w:val="23"/>
          <w:shd w:val="clear" w:color="auto" w:fill="FFFFFF"/>
        </w:rPr>
        <w:t xml:space="preserve">2 in the </w:t>
      </w:r>
      <w:r w:rsidR="00917E74">
        <w:rPr>
          <w:color w:val="2A2A2A"/>
          <w:sz w:val="23"/>
          <w:szCs w:val="23"/>
          <w:shd w:val="clear" w:color="auto" w:fill="FFFFFF"/>
        </w:rPr>
        <w:t>Appendix</w:t>
      </w:r>
      <w:r>
        <w:rPr>
          <w:color w:val="2A2A2A"/>
          <w:sz w:val="23"/>
          <w:szCs w:val="23"/>
          <w:shd w:val="clear" w:color="auto" w:fill="FFFFFF"/>
        </w:rPr>
        <w:t>)</w:t>
      </w:r>
      <w:r w:rsidR="003B7A6A" w:rsidRPr="004427AC">
        <w:rPr>
          <w:b/>
          <w:bCs/>
          <w:color w:val="000000" w:themeColor="text1"/>
        </w:rPr>
        <w:t>:</w:t>
      </w:r>
      <w:r w:rsidR="003B7A6A" w:rsidRPr="004427AC">
        <w:rPr>
          <w:color w:val="000000" w:themeColor="text1"/>
        </w:rPr>
        <w:t xml:space="preserve"> </w:t>
      </w:r>
      <w:r w:rsidR="003B7A6A" w:rsidRPr="00D243EB">
        <w:t>Recommended Dietary Allowances and Adequate Intakes</w:t>
      </w:r>
    </w:p>
    <w:p w14:paraId="03D6CB24" w14:textId="77777777" w:rsidR="002012FC" w:rsidRDefault="002012FC">
      <w:pPr>
        <w:spacing w:after="160" w:line="259" w:lineRule="auto"/>
      </w:pPr>
      <w:r>
        <w:br w:type="page"/>
      </w:r>
    </w:p>
    <w:p w14:paraId="7F856DE6" w14:textId="77777777" w:rsidR="002012FC" w:rsidRPr="00275A48" w:rsidRDefault="002012FC" w:rsidP="002012FC">
      <w:pPr>
        <w:rPr>
          <w:b/>
          <w:bCs/>
          <w:i/>
          <w:iCs/>
          <w:sz w:val="32"/>
          <w:szCs w:val="32"/>
        </w:rPr>
      </w:pPr>
      <w:r w:rsidRPr="00C92956">
        <w:rPr>
          <w:b/>
          <w:bCs/>
          <w:i/>
          <w:iCs/>
          <w:sz w:val="32"/>
          <w:szCs w:val="32"/>
        </w:rPr>
        <w:lastRenderedPageBreak/>
        <w:t>Tables:</w:t>
      </w:r>
    </w:p>
    <w:tbl>
      <w:tblPr>
        <w:tblStyle w:val="TableGrid"/>
        <w:tblpPr w:leftFromText="180" w:rightFromText="180" w:vertAnchor="text" w:horzAnchor="margin" w:tblpXSpec="center" w:tblpY="365"/>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843"/>
        <w:gridCol w:w="1815"/>
        <w:gridCol w:w="821"/>
      </w:tblGrid>
      <w:tr w:rsidR="002012FC" w:rsidRPr="00AB21F9" w14:paraId="3A38640F" w14:textId="77777777" w:rsidTr="00291350">
        <w:tc>
          <w:tcPr>
            <w:tcW w:w="9015" w:type="dxa"/>
            <w:gridSpan w:val="5"/>
            <w:tcBorders>
              <w:top w:val="single" w:sz="4" w:space="0" w:color="auto"/>
            </w:tcBorders>
          </w:tcPr>
          <w:p w14:paraId="3CD6025F" w14:textId="77777777" w:rsidR="002012FC" w:rsidRDefault="002012FC" w:rsidP="00291350">
            <w:pPr>
              <w:rPr>
                <w:rFonts w:asciiTheme="majorBidi" w:hAnsiTheme="majorBidi" w:cstheme="majorBidi"/>
                <w:i/>
                <w:iCs/>
              </w:rPr>
            </w:pPr>
            <w:r w:rsidRPr="00D64B17">
              <w:rPr>
                <w:rFonts w:asciiTheme="majorBidi" w:hAnsiTheme="majorBidi" w:cstheme="majorBidi"/>
                <w:i/>
                <w:iCs/>
              </w:rPr>
              <w:t>Table 1: Demographic</w:t>
            </w:r>
            <w:r>
              <w:rPr>
                <w:rFonts w:asciiTheme="majorBidi" w:hAnsiTheme="majorBidi" w:cstheme="majorBidi"/>
                <w:i/>
                <w:iCs/>
              </w:rPr>
              <w:t>,</w:t>
            </w:r>
            <w:r w:rsidRPr="00D64B17">
              <w:rPr>
                <w:rFonts w:asciiTheme="majorBidi" w:hAnsiTheme="majorBidi" w:cstheme="majorBidi"/>
                <w:i/>
                <w:iCs/>
              </w:rPr>
              <w:t xml:space="preserve"> socioeconomic</w:t>
            </w:r>
            <w:r>
              <w:rPr>
                <w:rFonts w:asciiTheme="majorBidi" w:hAnsiTheme="majorBidi" w:cstheme="majorBidi"/>
                <w:i/>
                <w:iCs/>
              </w:rPr>
              <w:t xml:space="preserve"> and oral health</w:t>
            </w:r>
            <w:r w:rsidRPr="00D64B17">
              <w:rPr>
                <w:rFonts w:asciiTheme="majorBidi" w:hAnsiTheme="majorBidi" w:cstheme="majorBidi"/>
                <w:i/>
                <w:iCs/>
              </w:rPr>
              <w:t xml:space="preserve"> characteristics of study participants stratified by frailty status (percentage/means) NHANES 2011-14 (N=2</w:t>
            </w:r>
            <w:r>
              <w:rPr>
                <w:rFonts w:asciiTheme="majorBidi" w:hAnsiTheme="majorBidi" w:cstheme="majorBidi"/>
                <w:i/>
                <w:iCs/>
              </w:rPr>
              <w:t>,</w:t>
            </w:r>
            <w:r w:rsidRPr="00D64B17">
              <w:rPr>
                <w:rFonts w:asciiTheme="majorBidi" w:hAnsiTheme="majorBidi" w:cstheme="majorBidi"/>
                <w:i/>
                <w:iCs/>
              </w:rPr>
              <w:t>368)</w:t>
            </w:r>
          </w:p>
          <w:p w14:paraId="7925CD0D" w14:textId="77777777" w:rsidR="002012FC" w:rsidRPr="00D7023E" w:rsidRDefault="002012FC" w:rsidP="00291350">
            <w:pPr>
              <w:rPr>
                <w:rFonts w:asciiTheme="majorBidi" w:hAnsiTheme="majorBidi" w:cstheme="majorBidi"/>
              </w:rPr>
            </w:pPr>
          </w:p>
        </w:tc>
      </w:tr>
      <w:tr w:rsidR="002012FC" w:rsidRPr="00AB21F9" w14:paraId="3670D7FC" w14:textId="77777777" w:rsidTr="00291350">
        <w:tc>
          <w:tcPr>
            <w:tcW w:w="2552" w:type="dxa"/>
            <w:tcBorders>
              <w:top w:val="single" w:sz="4" w:space="0" w:color="auto"/>
            </w:tcBorders>
          </w:tcPr>
          <w:p w14:paraId="20636280" w14:textId="77777777" w:rsidR="002012FC" w:rsidRPr="00AB21F9" w:rsidRDefault="002012FC" w:rsidP="00291350">
            <w:pPr>
              <w:rPr>
                <w:rFonts w:asciiTheme="majorBidi" w:hAnsiTheme="majorBidi" w:cstheme="majorBidi"/>
              </w:rPr>
            </w:pPr>
          </w:p>
        </w:tc>
        <w:tc>
          <w:tcPr>
            <w:tcW w:w="1984" w:type="dxa"/>
            <w:tcBorders>
              <w:top w:val="single" w:sz="4" w:space="0" w:color="auto"/>
              <w:bottom w:val="single" w:sz="4" w:space="0" w:color="auto"/>
            </w:tcBorders>
          </w:tcPr>
          <w:p w14:paraId="1FC6942E" w14:textId="77777777" w:rsidR="002012FC" w:rsidRPr="00D7023E" w:rsidRDefault="002012FC" w:rsidP="00291350">
            <w:pPr>
              <w:rPr>
                <w:rFonts w:asciiTheme="majorBidi" w:hAnsiTheme="majorBidi" w:cstheme="majorBidi"/>
              </w:rPr>
            </w:pPr>
            <w:r w:rsidRPr="00D7023E">
              <w:rPr>
                <w:rFonts w:asciiTheme="majorBidi" w:hAnsiTheme="majorBidi" w:cstheme="majorBidi"/>
              </w:rPr>
              <w:t>Non-frail</w:t>
            </w:r>
          </w:p>
        </w:tc>
        <w:tc>
          <w:tcPr>
            <w:tcW w:w="1843" w:type="dxa"/>
            <w:tcBorders>
              <w:top w:val="single" w:sz="4" w:space="0" w:color="auto"/>
              <w:bottom w:val="single" w:sz="4" w:space="0" w:color="auto"/>
            </w:tcBorders>
          </w:tcPr>
          <w:p w14:paraId="202F6DB9" w14:textId="77777777" w:rsidR="002012FC" w:rsidRPr="00D7023E" w:rsidRDefault="002012FC" w:rsidP="00291350">
            <w:pPr>
              <w:rPr>
                <w:rFonts w:asciiTheme="majorBidi" w:hAnsiTheme="majorBidi" w:cstheme="majorBidi"/>
              </w:rPr>
            </w:pPr>
            <w:r w:rsidRPr="00D7023E">
              <w:rPr>
                <w:rFonts w:asciiTheme="majorBidi" w:hAnsiTheme="majorBidi" w:cstheme="majorBidi"/>
              </w:rPr>
              <w:t>Frail</w:t>
            </w:r>
          </w:p>
        </w:tc>
        <w:tc>
          <w:tcPr>
            <w:tcW w:w="1815" w:type="dxa"/>
            <w:tcBorders>
              <w:top w:val="single" w:sz="4" w:space="0" w:color="auto"/>
              <w:bottom w:val="single" w:sz="4" w:space="0" w:color="auto"/>
            </w:tcBorders>
          </w:tcPr>
          <w:p w14:paraId="569110D9" w14:textId="77777777" w:rsidR="002012FC" w:rsidRPr="00D7023E" w:rsidRDefault="002012FC" w:rsidP="00291350">
            <w:pPr>
              <w:rPr>
                <w:rFonts w:asciiTheme="majorBidi" w:hAnsiTheme="majorBidi" w:cstheme="majorBidi"/>
              </w:rPr>
            </w:pPr>
            <w:r w:rsidRPr="00D7023E">
              <w:rPr>
                <w:rFonts w:asciiTheme="majorBidi" w:hAnsiTheme="majorBidi" w:cstheme="majorBidi"/>
              </w:rPr>
              <w:t>Total</w:t>
            </w:r>
          </w:p>
        </w:tc>
        <w:tc>
          <w:tcPr>
            <w:tcW w:w="821" w:type="dxa"/>
            <w:tcBorders>
              <w:top w:val="single" w:sz="4" w:space="0" w:color="auto"/>
              <w:bottom w:val="single" w:sz="4" w:space="0" w:color="auto"/>
            </w:tcBorders>
          </w:tcPr>
          <w:p w14:paraId="164028FB" w14:textId="77777777" w:rsidR="002012FC" w:rsidRPr="00D7023E" w:rsidRDefault="002012FC" w:rsidP="00291350">
            <w:pPr>
              <w:rPr>
                <w:rFonts w:asciiTheme="majorBidi" w:hAnsiTheme="majorBidi" w:cstheme="majorBidi"/>
              </w:rPr>
            </w:pPr>
            <w:r w:rsidRPr="00D7023E">
              <w:rPr>
                <w:rFonts w:asciiTheme="majorBidi" w:hAnsiTheme="majorBidi" w:cstheme="majorBidi"/>
              </w:rPr>
              <w:t>P-value</w:t>
            </w:r>
          </w:p>
        </w:tc>
      </w:tr>
      <w:tr w:rsidR="002012FC" w:rsidRPr="00AB21F9" w14:paraId="7F999D6C" w14:textId="77777777" w:rsidTr="00291350">
        <w:tc>
          <w:tcPr>
            <w:tcW w:w="2552" w:type="dxa"/>
            <w:tcBorders>
              <w:top w:val="single" w:sz="4" w:space="0" w:color="auto"/>
            </w:tcBorders>
          </w:tcPr>
          <w:p w14:paraId="221ABE3C" w14:textId="77777777" w:rsidR="002012FC" w:rsidRPr="00D7023E" w:rsidRDefault="002012FC" w:rsidP="00291350">
            <w:pPr>
              <w:rPr>
                <w:rFonts w:asciiTheme="majorBidi" w:hAnsiTheme="majorBidi" w:cstheme="majorBidi"/>
                <w:i/>
                <w:iCs/>
              </w:rPr>
            </w:pPr>
          </w:p>
        </w:tc>
        <w:tc>
          <w:tcPr>
            <w:tcW w:w="5642" w:type="dxa"/>
            <w:gridSpan w:val="3"/>
            <w:tcBorders>
              <w:top w:val="single" w:sz="4" w:space="0" w:color="auto"/>
            </w:tcBorders>
          </w:tcPr>
          <w:p w14:paraId="7700B58C" w14:textId="77777777" w:rsidR="002012FC" w:rsidRPr="00D7023E" w:rsidRDefault="002012FC" w:rsidP="00291350">
            <w:pPr>
              <w:jc w:val="center"/>
              <w:rPr>
                <w:rFonts w:asciiTheme="majorBidi" w:hAnsiTheme="majorBidi" w:cstheme="majorBidi"/>
              </w:rPr>
            </w:pPr>
            <w:r>
              <w:rPr>
                <w:rFonts w:asciiTheme="majorBidi" w:hAnsiTheme="majorBidi" w:cstheme="majorBidi"/>
              </w:rPr>
              <w:t xml:space="preserve">Percentage /mean </w:t>
            </w:r>
          </w:p>
        </w:tc>
        <w:tc>
          <w:tcPr>
            <w:tcW w:w="821" w:type="dxa"/>
            <w:tcBorders>
              <w:top w:val="single" w:sz="4" w:space="0" w:color="auto"/>
            </w:tcBorders>
          </w:tcPr>
          <w:p w14:paraId="7141AD13" w14:textId="77777777" w:rsidR="002012FC" w:rsidRPr="00D7023E" w:rsidRDefault="002012FC" w:rsidP="00291350">
            <w:pPr>
              <w:rPr>
                <w:rFonts w:asciiTheme="majorBidi" w:hAnsiTheme="majorBidi" w:cstheme="majorBidi"/>
              </w:rPr>
            </w:pPr>
          </w:p>
        </w:tc>
      </w:tr>
      <w:tr w:rsidR="002012FC" w:rsidRPr="00AB21F9" w14:paraId="2EACC4D3" w14:textId="77777777" w:rsidTr="00291350">
        <w:tc>
          <w:tcPr>
            <w:tcW w:w="2552" w:type="dxa"/>
            <w:shd w:val="clear" w:color="auto" w:fill="E7E6E6" w:themeFill="background2"/>
          </w:tcPr>
          <w:p w14:paraId="43392B40" w14:textId="77777777" w:rsidR="002012FC" w:rsidRPr="00D7023E" w:rsidRDefault="002012FC" w:rsidP="00291350">
            <w:pPr>
              <w:rPr>
                <w:rFonts w:asciiTheme="majorBidi" w:hAnsiTheme="majorBidi" w:cstheme="majorBidi"/>
                <w:i/>
                <w:iCs/>
              </w:rPr>
            </w:pPr>
            <w:r>
              <w:rPr>
                <w:rFonts w:asciiTheme="majorBidi" w:hAnsiTheme="majorBidi" w:cstheme="majorBidi"/>
                <w:i/>
                <w:iCs/>
              </w:rPr>
              <w:t xml:space="preserve">Mean </w:t>
            </w:r>
            <w:r w:rsidRPr="00D7023E">
              <w:rPr>
                <w:rFonts w:asciiTheme="majorBidi" w:hAnsiTheme="majorBidi" w:cstheme="majorBidi"/>
                <w:i/>
                <w:iCs/>
              </w:rPr>
              <w:t xml:space="preserve">Age </w:t>
            </w:r>
          </w:p>
        </w:tc>
        <w:tc>
          <w:tcPr>
            <w:tcW w:w="1984" w:type="dxa"/>
            <w:shd w:val="clear" w:color="auto" w:fill="E7E6E6" w:themeFill="background2"/>
          </w:tcPr>
          <w:p w14:paraId="033D0933"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67.9 (67.4 – 68.4)</w:t>
            </w:r>
          </w:p>
        </w:tc>
        <w:tc>
          <w:tcPr>
            <w:tcW w:w="1843" w:type="dxa"/>
            <w:shd w:val="clear" w:color="auto" w:fill="E7E6E6" w:themeFill="background2"/>
          </w:tcPr>
          <w:p w14:paraId="57969FE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71 (70.3 – 71.6)</w:t>
            </w:r>
          </w:p>
        </w:tc>
        <w:tc>
          <w:tcPr>
            <w:tcW w:w="1815" w:type="dxa"/>
            <w:shd w:val="clear" w:color="auto" w:fill="E7E6E6" w:themeFill="background2"/>
          </w:tcPr>
          <w:p w14:paraId="48821BFE"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69.1 (69.6 - 69.5)</w:t>
            </w:r>
          </w:p>
        </w:tc>
        <w:tc>
          <w:tcPr>
            <w:tcW w:w="821" w:type="dxa"/>
            <w:shd w:val="clear" w:color="auto" w:fill="E7E6E6" w:themeFill="background2"/>
          </w:tcPr>
          <w:p w14:paraId="4278C866"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0.0001</w:t>
            </w:r>
          </w:p>
        </w:tc>
      </w:tr>
      <w:tr w:rsidR="002012FC" w:rsidRPr="00AB21F9" w14:paraId="16679466" w14:textId="77777777" w:rsidTr="00291350">
        <w:tc>
          <w:tcPr>
            <w:tcW w:w="2552" w:type="dxa"/>
            <w:shd w:val="clear" w:color="auto" w:fill="BFBFBF" w:themeFill="background1" w:themeFillShade="BF"/>
          </w:tcPr>
          <w:p w14:paraId="3507AF57"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Education Groups</w:t>
            </w:r>
          </w:p>
        </w:tc>
        <w:tc>
          <w:tcPr>
            <w:tcW w:w="1984" w:type="dxa"/>
            <w:shd w:val="clear" w:color="auto" w:fill="BFBFBF" w:themeFill="background1" w:themeFillShade="BF"/>
          </w:tcPr>
          <w:p w14:paraId="02DE6A89" w14:textId="77777777" w:rsidR="002012FC" w:rsidRPr="008235C0" w:rsidRDefault="002012FC" w:rsidP="00291350">
            <w:pPr>
              <w:rPr>
                <w:rFonts w:asciiTheme="majorBidi" w:hAnsiTheme="majorBidi" w:cstheme="majorBidi"/>
                <w:sz w:val="22"/>
                <w:szCs w:val="22"/>
              </w:rPr>
            </w:pPr>
          </w:p>
        </w:tc>
        <w:tc>
          <w:tcPr>
            <w:tcW w:w="1843" w:type="dxa"/>
            <w:shd w:val="clear" w:color="auto" w:fill="BFBFBF" w:themeFill="background1" w:themeFillShade="BF"/>
          </w:tcPr>
          <w:p w14:paraId="29A9B9A7" w14:textId="77777777" w:rsidR="002012FC" w:rsidRPr="008235C0" w:rsidRDefault="002012FC" w:rsidP="00291350">
            <w:pPr>
              <w:rPr>
                <w:rFonts w:asciiTheme="majorBidi" w:hAnsiTheme="majorBidi" w:cstheme="majorBidi"/>
                <w:sz w:val="22"/>
                <w:szCs w:val="22"/>
              </w:rPr>
            </w:pPr>
          </w:p>
        </w:tc>
        <w:tc>
          <w:tcPr>
            <w:tcW w:w="1815" w:type="dxa"/>
            <w:shd w:val="clear" w:color="auto" w:fill="BFBFBF" w:themeFill="background1" w:themeFillShade="BF"/>
          </w:tcPr>
          <w:p w14:paraId="6F43F1C4" w14:textId="77777777" w:rsidR="002012FC" w:rsidRPr="008235C0" w:rsidRDefault="002012FC" w:rsidP="00291350">
            <w:pPr>
              <w:rPr>
                <w:rFonts w:asciiTheme="majorBidi" w:hAnsiTheme="majorBidi" w:cstheme="majorBidi"/>
                <w:sz w:val="22"/>
                <w:szCs w:val="22"/>
              </w:rPr>
            </w:pPr>
          </w:p>
        </w:tc>
        <w:tc>
          <w:tcPr>
            <w:tcW w:w="821" w:type="dxa"/>
            <w:shd w:val="clear" w:color="auto" w:fill="BFBFBF" w:themeFill="background1" w:themeFillShade="BF"/>
          </w:tcPr>
          <w:p w14:paraId="1C9EE298" w14:textId="77777777" w:rsidR="002012FC" w:rsidRPr="008235C0" w:rsidRDefault="002012FC" w:rsidP="00291350">
            <w:pPr>
              <w:rPr>
                <w:rFonts w:asciiTheme="majorBidi" w:hAnsiTheme="majorBidi" w:cstheme="majorBidi"/>
                <w:sz w:val="22"/>
                <w:szCs w:val="22"/>
              </w:rPr>
            </w:pPr>
          </w:p>
        </w:tc>
      </w:tr>
      <w:tr w:rsidR="002012FC" w:rsidRPr="00AB21F9" w14:paraId="30E82D03" w14:textId="77777777" w:rsidTr="00291350">
        <w:tc>
          <w:tcPr>
            <w:tcW w:w="2552" w:type="dxa"/>
          </w:tcPr>
          <w:p w14:paraId="1EB4C2DB"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&lt;12 years</w:t>
            </w:r>
          </w:p>
        </w:tc>
        <w:tc>
          <w:tcPr>
            <w:tcW w:w="1984" w:type="dxa"/>
          </w:tcPr>
          <w:p w14:paraId="17A40F12"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12.2 (9.7 – 15</w:t>
            </w:r>
            <w:r>
              <w:rPr>
                <w:rFonts w:asciiTheme="majorBidi" w:hAnsiTheme="majorBidi" w:cstheme="majorBidi"/>
                <w:sz w:val="22"/>
                <w:szCs w:val="22"/>
              </w:rPr>
              <w:t>.0</w:t>
            </w:r>
            <w:r w:rsidRPr="008235C0">
              <w:rPr>
                <w:rFonts w:asciiTheme="majorBidi" w:hAnsiTheme="majorBidi" w:cstheme="majorBidi"/>
                <w:sz w:val="22"/>
                <w:szCs w:val="22"/>
              </w:rPr>
              <w:t>)</w:t>
            </w:r>
          </w:p>
        </w:tc>
        <w:tc>
          <w:tcPr>
            <w:tcW w:w="1843" w:type="dxa"/>
          </w:tcPr>
          <w:p w14:paraId="0BE2F245"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25.7 (21.8 – 29.9)</w:t>
            </w:r>
          </w:p>
        </w:tc>
        <w:tc>
          <w:tcPr>
            <w:tcW w:w="1815" w:type="dxa"/>
          </w:tcPr>
          <w:p w14:paraId="1C74F48B"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17.4 (14.5 – 20.1)</w:t>
            </w:r>
          </w:p>
        </w:tc>
        <w:tc>
          <w:tcPr>
            <w:tcW w:w="821" w:type="dxa"/>
          </w:tcPr>
          <w:p w14:paraId="4DD64A2B"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0.0001</w:t>
            </w:r>
          </w:p>
        </w:tc>
      </w:tr>
      <w:tr w:rsidR="002012FC" w:rsidRPr="00AB21F9" w14:paraId="5B40D7D7" w14:textId="77777777" w:rsidTr="00291350">
        <w:tc>
          <w:tcPr>
            <w:tcW w:w="2552" w:type="dxa"/>
          </w:tcPr>
          <w:p w14:paraId="56139A50"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=12 years</w:t>
            </w:r>
          </w:p>
        </w:tc>
        <w:tc>
          <w:tcPr>
            <w:tcW w:w="1984" w:type="dxa"/>
          </w:tcPr>
          <w:p w14:paraId="4913E12E"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20.1 (15.9 – 24.9)</w:t>
            </w:r>
          </w:p>
        </w:tc>
        <w:tc>
          <w:tcPr>
            <w:tcW w:w="1843" w:type="dxa"/>
          </w:tcPr>
          <w:p w14:paraId="1AB26DB1"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25.8 (22.3 – 29.6)</w:t>
            </w:r>
          </w:p>
        </w:tc>
        <w:tc>
          <w:tcPr>
            <w:tcW w:w="1815" w:type="dxa"/>
          </w:tcPr>
          <w:p w14:paraId="4A26D9D2"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22.3 (19.6 – 25.2)</w:t>
            </w:r>
          </w:p>
        </w:tc>
        <w:tc>
          <w:tcPr>
            <w:tcW w:w="821" w:type="dxa"/>
          </w:tcPr>
          <w:p w14:paraId="4F7F21CF" w14:textId="77777777" w:rsidR="002012FC" w:rsidRPr="008235C0" w:rsidRDefault="002012FC" w:rsidP="00291350">
            <w:pPr>
              <w:rPr>
                <w:rFonts w:asciiTheme="majorBidi" w:hAnsiTheme="majorBidi" w:cstheme="majorBidi"/>
                <w:sz w:val="22"/>
                <w:szCs w:val="22"/>
              </w:rPr>
            </w:pPr>
          </w:p>
        </w:tc>
      </w:tr>
      <w:tr w:rsidR="002012FC" w:rsidRPr="00AB21F9" w14:paraId="24989C93" w14:textId="77777777" w:rsidTr="00291350">
        <w:tc>
          <w:tcPr>
            <w:tcW w:w="2552" w:type="dxa"/>
          </w:tcPr>
          <w:p w14:paraId="61A5448C"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&gt;12 years</w:t>
            </w:r>
          </w:p>
        </w:tc>
        <w:tc>
          <w:tcPr>
            <w:tcW w:w="1984" w:type="dxa"/>
          </w:tcPr>
          <w:p w14:paraId="1C4388DA"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67.7 (62.3 – 72.7)</w:t>
            </w:r>
          </w:p>
        </w:tc>
        <w:tc>
          <w:tcPr>
            <w:tcW w:w="1843" w:type="dxa"/>
          </w:tcPr>
          <w:p w14:paraId="65E5CC70"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48.4 (45.1 – 51.8)</w:t>
            </w:r>
          </w:p>
        </w:tc>
        <w:tc>
          <w:tcPr>
            <w:tcW w:w="1815" w:type="dxa"/>
          </w:tcPr>
          <w:p w14:paraId="3BE0DC33"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60.2 (56.4 – 64</w:t>
            </w:r>
            <w:r>
              <w:rPr>
                <w:rFonts w:asciiTheme="majorBidi" w:hAnsiTheme="majorBidi" w:cstheme="majorBidi"/>
                <w:sz w:val="22"/>
                <w:szCs w:val="22"/>
              </w:rPr>
              <w:t>.0</w:t>
            </w:r>
            <w:r w:rsidRPr="008235C0">
              <w:rPr>
                <w:rFonts w:asciiTheme="majorBidi" w:hAnsiTheme="majorBidi" w:cstheme="majorBidi"/>
                <w:sz w:val="22"/>
                <w:szCs w:val="22"/>
              </w:rPr>
              <w:t>)</w:t>
            </w:r>
          </w:p>
        </w:tc>
        <w:tc>
          <w:tcPr>
            <w:tcW w:w="821" w:type="dxa"/>
          </w:tcPr>
          <w:p w14:paraId="3C6C5F81" w14:textId="77777777" w:rsidR="002012FC" w:rsidRPr="008235C0" w:rsidRDefault="002012FC" w:rsidP="00291350">
            <w:pPr>
              <w:rPr>
                <w:rFonts w:asciiTheme="majorBidi" w:hAnsiTheme="majorBidi" w:cstheme="majorBidi"/>
                <w:sz w:val="22"/>
                <w:szCs w:val="22"/>
              </w:rPr>
            </w:pPr>
          </w:p>
        </w:tc>
      </w:tr>
      <w:tr w:rsidR="002012FC" w:rsidRPr="00AB21F9" w14:paraId="5953CB0C" w14:textId="77777777" w:rsidTr="00291350">
        <w:tc>
          <w:tcPr>
            <w:tcW w:w="2552" w:type="dxa"/>
            <w:shd w:val="clear" w:color="auto" w:fill="D0CECE" w:themeFill="background2" w:themeFillShade="E6"/>
          </w:tcPr>
          <w:p w14:paraId="0DBB7C89" w14:textId="77777777" w:rsidR="002012FC" w:rsidRPr="00B16D9B" w:rsidRDefault="002012FC" w:rsidP="00291350">
            <w:pPr>
              <w:rPr>
                <w:rFonts w:asciiTheme="majorBidi" w:hAnsiTheme="majorBidi" w:cstheme="majorBidi"/>
                <w:i/>
                <w:iCs/>
              </w:rPr>
            </w:pPr>
            <w:r w:rsidRPr="00B16D9B">
              <w:rPr>
                <w:rFonts w:asciiTheme="majorBidi" w:hAnsiTheme="majorBidi" w:cstheme="majorBidi"/>
                <w:i/>
                <w:iCs/>
              </w:rPr>
              <w:t>Gender</w:t>
            </w:r>
          </w:p>
        </w:tc>
        <w:tc>
          <w:tcPr>
            <w:tcW w:w="1984" w:type="dxa"/>
            <w:shd w:val="clear" w:color="auto" w:fill="D0CECE" w:themeFill="background2" w:themeFillShade="E6"/>
          </w:tcPr>
          <w:p w14:paraId="6CA55208" w14:textId="77777777" w:rsidR="002012FC" w:rsidRPr="008235C0" w:rsidRDefault="002012FC" w:rsidP="00291350">
            <w:pPr>
              <w:rPr>
                <w:rFonts w:asciiTheme="majorBidi" w:hAnsiTheme="majorBidi" w:cstheme="majorBidi"/>
                <w:sz w:val="22"/>
                <w:szCs w:val="22"/>
                <w:highlight w:val="yellow"/>
              </w:rPr>
            </w:pPr>
          </w:p>
        </w:tc>
        <w:tc>
          <w:tcPr>
            <w:tcW w:w="1843" w:type="dxa"/>
            <w:shd w:val="clear" w:color="auto" w:fill="D0CECE" w:themeFill="background2" w:themeFillShade="E6"/>
          </w:tcPr>
          <w:p w14:paraId="1D48FAF0" w14:textId="77777777" w:rsidR="002012FC" w:rsidRPr="008235C0" w:rsidRDefault="002012FC" w:rsidP="00291350">
            <w:pPr>
              <w:rPr>
                <w:rFonts w:asciiTheme="majorBidi" w:hAnsiTheme="majorBidi" w:cstheme="majorBidi"/>
                <w:sz w:val="22"/>
                <w:szCs w:val="22"/>
                <w:highlight w:val="yellow"/>
              </w:rPr>
            </w:pPr>
          </w:p>
        </w:tc>
        <w:tc>
          <w:tcPr>
            <w:tcW w:w="1815" w:type="dxa"/>
            <w:shd w:val="clear" w:color="auto" w:fill="D0CECE" w:themeFill="background2" w:themeFillShade="E6"/>
          </w:tcPr>
          <w:p w14:paraId="13CF90BF" w14:textId="77777777" w:rsidR="002012FC" w:rsidRPr="008235C0" w:rsidRDefault="002012FC" w:rsidP="00291350">
            <w:pPr>
              <w:rPr>
                <w:rFonts w:asciiTheme="majorBidi" w:hAnsiTheme="majorBidi" w:cstheme="majorBidi"/>
                <w:sz w:val="22"/>
                <w:szCs w:val="22"/>
                <w:highlight w:val="yellow"/>
              </w:rPr>
            </w:pPr>
          </w:p>
        </w:tc>
        <w:tc>
          <w:tcPr>
            <w:tcW w:w="821" w:type="dxa"/>
            <w:shd w:val="clear" w:color="auto" w:fill="D0CECE" w:themeFill="background2" w:themeFillShade="E6"/>
          </w:tcPr>
          <w:p w14:paraId="1CF0B4C6" w14:textId="77777777" w:rsidR="002012FC" w:rsidRPr="008235C0" w:rsidRDefault="002012FC" w:rsidP="00291350">
            <w:pPr>
              <w:rPr>
                <w:rFonts w:asciiTheme="majorBidi" w:hAnsiTheme="majorBidi" w:cstheme="majorBidi"/>
                <w:sz w:val="22"/>
                <w:szCs w:val="22"/>
              </w:rPr>
            </w:pPr>
          </w:p>
        </w:tc>
      </w:tr>
      <w:tr w:rsidR="002012FC" w:rsidRPr="00AB21F9" w14:paraId="665E7D5B" w14:textId="77777777" w:rsidTr="00291350">
        <w:tc>
          <w:tcPr>
            <w:tcW w:w="2552" w:type="dxa"/>
          </w:tcPr>
          <w:p w14:paraId="7EA17142" w14:textId="77777777" w:rsidR="002012FC" w:rsidRPr="00B16D9B" w:rsidRDefault="002012FC" w:rsidP="00291350">
            <w:pPr>
              <w:rPr>
                <w:rFonts w:asciiTheme="majorBidi" w:hAnsiTheme="majorBidi" w:cstheme="majorBidi"/>
                <w:i/>
                <w:iCs/>
              </w:rPr>
            </w:pPr>
            <w:r w:rsidRPr="00B16D9B">
              <w:rPr>
                <w:rFonts w:asciiTheme="majorBidi" w:hAnsiTheme="majorBidi" w:cstheme="majorBidi"/>
                <w:i/>
                <w:iCs/>
              </w:rPr>
              <w:t>Male</w:t>
            </w:r>
          </w:p>
        </w:tc>
        <w:tc>
          <w:tcPr>
            <w:tcW w:w="1984" w:type="dxa"/>
          </w:tcPr>
          <w:p w14:paraId="1282F261"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51.7 (49 – 54.4)</w:t>
            </w:r>
          </w:p>
        </w:tc>
        <w:tc>
          <w:tcPr>
            <w:tcW w:w="1843" w:type="dxa"/>
          </w:tcPr>
          <w:p w14:paraId="44994163"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41.5 (37.4 – 45.7)</w:t>
            </w:r>
          </w:p>
        </w:tc>
        <w:tc>
          <w:tcPr>
            <w:tcW w:w="1815" w:type="dxa"/>
          </w:tcPr>
          <w:p w14:paraId="466E5E1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47.8 (45.4 – 50.2)</w:t>
            </w:r>
          </w:p>
        </w:tc>
        <w:tc>
          <w:tcPr>
            <w:tcW w:w="821" w:type="dxa"/>
          </w:tcPr>
          <w:p w14:paraId="131D4EA3"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0.0002</w:t>
            </w:r>
          </w:p>
        </w:tc>
      </w:tr>
      <w:tr w:rsidR="002012FC" w:rsidRPr="00AB21F9" w14:paraId="6BA83D46" w14:textId="77777777" w:rsidTr="00291350">
        <w:tc>
          <w:tcPr>
            <w:tcW w:w="2552" w:type="dxa"/>
          </w:tcPr>
          <w:p w14:paraId="51FC0A76" w14:textId="77777777" w:rsidR="002012FC" w:rsidRPr="00B16D9B" w:rsidRDefault="002012FC" w:rsidP="00291350">
            <w:pPr>
              <w:rPr>
                <w:rFonts w:asciiTheme="majorBidi" w:hAnsiTheme="majorBidi" w:cstheme="majorBidi"/>
                <w:i/>
                <w:iCs/>
              </w:rPr>
            </w:pPr>
            <w:r w:rsidRPr="00B16D9B">
              <w:rPr>
                <w:rFonts w:asciiTheme="majorBidi" w:hAnsiTheme="majorBidi" w:cstheme="majorBidi"/>
                <w:i/>
                <w:iCs/>
              </w:rPr>
              <w:t>Female</w:t>
            </w:r>
          </w:p>
        </w:tc>
        <w:tc>
          <w:tcPr>
            <w:tcW w:w="1984" w:type="dxa"/>
          </w:tcPr>
          <w:p w14:paraId="4D2A3B1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48.2 (45.5 – 50</w:t>
            </w:r>
            <w:r>
              <w:rPr>
                <w:rFonts w:asciiTheme="majorBidi" w:hAnsiTheme="majorBidi" w:cstheme="majorBidi"/>
                <w:sz w:val="22"/>
                <w:szCs w:val="22"/>
              </w:rPr>
              <w:t>.0</w:t>
            </w:r>
            <w:r w:rsidRPr="008235C0">
              <w:rPr>
                <w:rFonts w:asciiTheme="majorBidi" w:hAnsiTheme="majorBidi" w:cstheme="majorBidi"/>
                <w:sz w:val="22"/>
                <w:szCs w:val="22"/>
              </w:rPr>
              <w:t>)</w:t>
            </w:r>
          </w:p>
        </w:tc>
        <w:tc>
          <w:tcPr>
            <w:tcW w:w="1843" w:type="dxa"/>
          </w:tcPr>
          <w:p w14:paraId="682AB71A"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58.5 (54.3 – 62.5)</w:t>
            </w:r>
          </w:p>
        </w:tc>
        <w:tc>
          <w:tcPr>
            <w:tcW w:w="1815" w:type="dxa"/>
          </w:tcPr>
          <w:p w14:paraId="49BF4C0B"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52.2 (49.7 – 54.6)</w:t>
            </w:r>
          </w:p>
        </w:tc>
        <w:tc>
          <w:tcPr>
            <w:tcW w:w="821" w:type="dxa"/>
          </w:tcPr>
          <w:p w14:paraId="4AD5158A" w14:textId="77777777" w:rsidR="002012FC" w:rsidRPr="008235C0" w:rsidRDefault="002012FC" w:rsidP="00291350">
            <w:pPr>
              <w:rPr>
                <w:rFonts w:asciiTheme="majorBidi" w:hAnsiTheme="majorBidi" w:cstheme="majorBidi"/>
                <w:sz w:val="22"/>
                <w:szCs w:val="22"/>
              </w:rPr>
            </w:pPr>
          </w:p>
        </w:tc>
      </w:tr>
      <w:tr w:rsidR="002012FC" w:rsidRPr="00AB21F9" w14:paraId="577E99CA" w14:textId="77777777" w:rsidTr="00291350">
        <w:tc>
          <w:tcPr>
            <w:tcW w:w="2552" w:type="dxa"/>
            <w:shd w:val="clear" w:color="auto" w:fill="BFBFBF" w:themeFill="background1" w:themeFillShade="BF"/>
          </w:tcPr>
          <w:p w14:paraId="3043A715"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Ethnicity</w:t>
            </w:r>
          </w:p>
        </w:tc>
        <w:tc>
          <w:tcPr>
            <w:tcW w:w="1984" w:type="dxa"/>
            <w:shd w:val="clear" w:color="auto" w:fill="BFBFBF" w:themeFill="background1" w:themeFillShade="BF"/>
          </w:tcPr>
          <w:p w14:paraId="2E6DA5D3" w14:textId="77777777" w:rsidR="002012FC" w:rsidRPr="008235C0" w:rsidRDefault="002012FC" w:rsidP="00291350">
            <w:pPr>
              <w:rPr>
                <w:rFonts w:asciiTheme="majorBidi" w:hAnsiTheme="majorBidi" w:cstheme="majorBidi"/>
                <w:sz w:val="22"/>
                <w:szCs w:val="22"/>
              </w:rPr>
            </w:pPr>
          </w:p>
        </w:tc>
        <w:tc>
          <w:tcPr>
            <w:tcW w:w="1843" w:type="dxa"/>
            <w:shd w:val="clear" w:color="auto" w:fill="BFBFBF" w:themeFill="background1" w:themeFillShade="BF"/>
          </w:tcPr>
          <w:p w14:paraId="3F7F5749" w14:textId="77777777" w:rsidR="002012FC" w:rsidRPr="008235C0" w:rsidRDefault="002012FC" w:rsidP="00291350">
            <w:pPr>
              <w:rPr>
                <w:rFonts w:asciiTheme="majorBidi" w:hAnsiTheme="majorBidi" w:cstheme="majorBidi"/>
                <w:sz w:val="22"/>
                <w:szCs w:val="22"/>
              </w:rPr>
            </w:pPr>
          </w:p>
        </w:tc>
        <w:tc>
          <w:tcPr>
            <w:tcW w:w="1815" w:type="dxa"/>
            <w:shd w:val="clear" w:color="auto" w:fill="BFBFBF" w:themeFill="background1" w:themeFillShade="BF"/>
          </w:tcPr>
          <w:p w14:paraId="134457E0" w14:textId="77777777" w:rsidR="002012FC" w:rsidRPr="008235C0" w:rsidRDefault="002012FC" w:rsidP="00291350">
            <w:pPr>
              <w:rPr>
                <w:rFonts w:asciiTheme="majorBidi" w:hAnsiTheme="majorBidi" w:cstheme="majorBidi"/>
                <w:sz w:val="22"/>
                <w:szCs w:val="22"/>
              </w:rPr>
            </w:pPr>
          </w:p>
        </w:tc>
        <w:tc>
          <w:tcPr>
            <w:tcW w:w="821" w:type="dxa"/>
            <w:shd w:val="clear" w:color="auto" w:fill="BFBFBF" w:themeFill="background1" w:themeFillShade="BF"/>
          </w:tcPr>
          <w:p w14:paraId="3FEBE35F" w14:textId="77777777" w:rsidR="002012FC" w:rsidRPr="008235C0" w:rsidRDefault="002012FC" w:rsidP="00291350">
            <w:pPr>
              <w:rPr>
                <w:rFonts w:asciiTheme="majorBidi" w:hAnsiTheme="majorBidi" w:cstheme="majorBidi"/>
                <w:sz w:val="22"/>
                <w:szCs w:val="22"/>
              </w:rPr>
            </w:pPr>
          </w:p>
        </w:tc>
      </w:tr>
      <w:tr w:rsidR="002012FC" w:rsidRPr="00AB21F9" w14:paraId="013E8FAE" w14:textId="77777777" w:rsidTr="00291350">
        <w:tc>
          <w:tcPr>
            <w:tcW w:w="2552" w:type="dxa"/>
          </w:tcPr>
          <w:p w14:paraId="2EDEB1E7"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Mexican American</w:t>
            </w:r>
          </w:p>
        </w:tc>
        <w:tc>
          <w:tcPr>
            <w:tcW w:w="1984" w:type="dxa"/>
          </w:tcPr>
          <w:p w14:paraId="305BA464"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3.1 (1.8 – 5)</w:t>
            </w:r>
          </w:p>
        </w:tc>
        <w:tc>
          <w:tcPr>
            <w:tcW w:w="1843" w:type="dxa"/>
          </w:tcPr>
          <w:p w14:paraId="46BE5004"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3.8 (2.2 – 6.4)</w:t>
            </w:r>
          </w:p>
        </w:tc>
        <w:tc>
          <w:tcPr>
            <w:tcW w:w="1815" w:type="dxa"/>
          </w:tcPr>
          <w:p w14:paraId="0E10926E"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3.3 (2 – 5.4)</w:t>
            </w:r>
          </w:p>
        </w:tc>
        <w:tc>
          <w:tcPr>
            <w:tcW w:w="821" w:type="dxa"/>
          </w:tcPr>
          <w:p w14:paraId="2CCE4BCC"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0.014</w:t>
            </w:r>
          </w:p>
        </w:tc>
      </w:tr>
      <w:tr w:rsidR="002012FC" w:rsidRPr="00AB21F9" w14:paraId="2130E0C7" w14:textId="77777777" w:rsidTr="00291350">
        <w:tc>
          <w:tcPr>
            <w:tcW w:w="2552" w:type="dxa"/>
          </w:tcPr>
          <w:p w14:paraId="581AAD06"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Other Hispanic</w:t>
            </w:r>
          </w:p>
        </w:tc>
        <w:tc>
          <w:tcPr>
            <w:tcW w:w="1984" w:type="dxa"/>
          </w:tcPr>
          <w:p w14:paraId="126C9C78"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3.3 (2.2 – 4.8)</w:t>
            </w:r>
          </w:p>
        </w:tc>
        <w:tc>
          <w:tcPr>
            <w:tcW w:w="1843" w:type="dxa"/>
          </w:tcPr>
          <w:p w14:paraId="6BBB6C00"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4.1 (2.5 – 6.4)</w:t>
            </w:r>
          </w:p>
        </w:tc>
        <w:tc>
          <w:tcPr>
            <w:tcW w:w="1815" w:type="dxa"/>
          </w:tcPr>
          <w:p w14:paraId="102B35F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3.6 (2.4 – 5.2)</w:t>
            </w:r>
          </w:p>
        </w:tc>
        <w:tc>
          <w:tcPr>
            <w:tcW w:w="821" w:type="dxa"/>
          </w:tcPr>
          <w:p w14:paraId="64C2D34B" w14:textId="77777777" w:rsidR="002012FC" w:rsidRPr="008235C0" w:rsidRDefault="002012FC" w:rsidP="00291350">
            <w:pPr>
              <w:rPr>
                <w:rFonts w:asciiTheme="majorBidi" w:hAnsiTheme="majorBidi" w:cstheme="majorBidi"/>
                <w:sz w:val="22"/>
                <w:szCs w:val="22"/>
              </w:rPr>
            </w:pPr>
          </w:p>
        </w:tc>
      </w:tr>
      <w:tr w:rsidR="002012FC" w:rsidRPr="00AB21F9" w14:paraId="67FCFFE8" w14:textId="77777777" w:rsidTr="00291350">
        <w:tc>
          <w:tcPr>
            <w:tcW w:w="2552" w:type="dxa"/>
          </w:tcPr>
          <w:p w14:paraId="6B2C07C9"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 xml:space="preserve">Non-Hispanic </w:t>
            </w:r>
            <w:r>
              <w:rPr>
                <w:rFonts w:asciiTheme="majorBidi" w:hAnsiTheme="majorBidi" w:cstheme="majorBidi"/>
                <w:i/>
                <w:iCs/>
              </w:rPr>
              <w:t>W</w:t>
            </w:r>
            <w:r w:rsidRPr="00D7023E">
              <w:rPr>
                <w:rFonts w:asciiTheme="majorBidi" w:hAnsiTheme="majorBidi" w:cstheme="majorBidi"/>
                <w:i/>
                <w:iCs/>
              </w:rPr>
              <w:t>hite</w:t>
            </w:r>
          </w:p>
        </w:tc>
        <w:tc>
          <w:tcPr>
            <w:tcW w:w="1984" w:type="dxa"/>
          </w:tcPr>
          <w:p w14:paraId="13338D87"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80.5 (76.1 – 84.2)</w:t>
            </w:r>
          </w:p>
        </w:tc>
        <w:tc>
          <w:tcPr>
            <w:tcW w:w="1843" w:type="dxa"/>
          </w:tcPr>
          <w:p w14:paraId="3BC92FE9"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77</w:t>
            </w:r>
            <w:r>
              <w:rPr>
                <w:rFonts w:asciiTheme="majorBidi" w:hAnsiTheme="majorBidi" w:cstheme="majorBidi"/>
                <w:sz w:val="22"/>
                <w:szCs w:val="22"/>
              </w:rPr>
              <w:t>.0</w:t>
            </w:r>
            <w:r w:rsidRPr="008235C0">
              <w:rPr>
                <w:rFonts w:asciiTheme="majorBidi" w:hAnsiTheme="majorBidi" w:cstheme="majorBidi"/>
                <w:sz w:val="22"/>
                <w:szCs w:val="22"/>
              </w:rPr>
              <w:t xml:space="preserve"> (72</w:t>
            </w:r>
            <w:r>
              <w:rPr>
                <w:rFonts w:asciiTheme="majorBidi" w:hAnsiTheme="majorBidi" w:cstheme="majorBidi"/>
                <w:sz w:val="22"/>
                <w:szCs w:val="22"/>
              </w:rPr>
              <w:t>.0</w:t>
            </w:r>
            <w:r w:rsidRPr="008235C0">
              <w:rPr>
                <w:rFonts w:asciiTheme="majorBidi" w:hAnsiTheme="majorBidi" w:cstheme="majorBidi"/>
                <w:sz w:val="22"/>
                <w:szCs w:val="22"/>
              </w:rPr>
              <w:t xml:space="preserve"> – 81</w:t>
            </w:r>
            <w:r>
              <w:rPr>
                <w:rFonts w:asciiTheme="majorBidi" w:hAnsiTheme="majorBidi" w:cstheme="majorBidi"/>
                <w:sz w:val="22"/>
                <w:szCs w:val="22"/>
              </w:rPr>
              <w:t>.0</w:t>
            </w:r>
            <w:r w:rsidRPr="008235C0">
              <w:rPr>
                <w:rFonts w:asciiTheme="majorBidi" w:hAnsiTheme="majorBidi" w:cstheme="majorBidi"/>
                <w:sz w:val="22"/>
                <w:szCs w:val="22"/>
              </w:rPr>
              <w:t>)</w:t>
            </w:r>
          </w:p>
        </w:tc>
        <w:tc>
          <w:tcPr>
            <w:tcW w:w="1815" w:type="dxa"/>
          </w:tcPr>
          <w:p w14:paraId="303FDC81"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79.2 (74.8 – 8)</w:t>
            </w:r>
          </w:p>
        </w:tc>
        <w:tc>
          <w:tcPr>
            <w:tcW w:w="821" w:type="dxa"/>
          </w:tcPr>
          <w:p w14:paraId="1CFB190E" w14:textId="77777777" w:rsidR="002012FC" w:rsidRPr="008235C0" w:rsidRDefault="002012FC" w:rsidP="00291350">
            <w:pPr>
              <w:rPr>
                <w:rFonts w:asciiTheme="majorBidi" w:hAnsiTheme="majorBidi" w:cstheme="majorBidi"/>
                <w:sz w:val="22"/>
                <w:szCs w:val="22"/>
              </w:rPr>
            </w:pPr>
          </w:p>
        </w:tc>
      </w:tr>
      <w:tr w:rsidR="002012FC" w:rsidRPr="00AB21F9" w14:paraId="7906AE44" w14:textId="77777777" w:rsidTr="00291350">
        <w:tc>
          <w:tcPr>
            <w:tcW w:w="2552" w:type="dxa"/>
          </w:tcPr>
          <w:p w14:paraId="6FF24E9B"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 xml:space="preserve">Non-Hispanic </w:t>
            </w:r>
            <w:r>
              <w:rPr>
                <w:rFonts w:asciiTheme="majorBidi" w:hAnsiTheme="majorBidi" w:cstheme="majorBidi"/>
                <w:i/>
                <w:iCs/>
              </w:rPr>
              <w:t>B</w:t>
            </w:r>
            <w:r w:rsidRPr="00D7023E">
              <w:rPr>
                <w:rFonts w:asciiTheme="majorBidi" w:hAnsiTheme="majorBidi" w:cstheme="majorBidi"/>
                <w:i/>
                <w:iCs/>
              </w:rPr>
              <w:t>lack</w:t>
            </w:r>
          </w:p>
        </w:tc>
        <w:tc>
          <w:tcPr>
            <w:tcW w:w="1984" w:type="dxa"/>
          </w:tcPr>
          <w:p w14:paraId="3DBE7CA8"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7.3 (5.2 -10</w:t>
            </w:r>
            <w:r>
              <w:rPr>
                <w:rFonts w:asciiTheme="majorBidi" w:hAnsiTheme="majorBidi" w:cstheme="majorBidi"/>
                <w:sz w:val="22"/>
                <w:szCs w:val="22"/>
              </w:rPr>
              <w:t>.0</w:t>
            </w:r>
            <w:r w:rsidRPr="008235C0">
              <w:rPr>
                <w:rFonts w:asciiTheme="majorBidi" w:hAnsiTheme="majorBidi" w:cstheme="majorBidi"/>
                <w:sz w:val="22"/>
                <w:szCs w:val="22"/>
              </w:rPr>
              <w:t>)</w:t>
            </w:r>
          </w:p>
        </w:tc>
        <w:tc>
          <w:tcPr>
            <w:tcW w:w="1843" w:type="dxa"/>
          </w:tcPr>
          <w:p w14:paraId="4FC105AF"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10</w:t>
            </w:r>
            <w:r>
              <w:rPr>
                <w:rFonts w:asciiTheme="majorBidi" w:hAnsiTheme="majorBidi" w:cstheme="majorBidi"/>
                <w:sz w:val="22"/>
                <w:szCs w:val="22"/>
              </w:rPr>
              <w:t>.0</w:t>
            </w:r>
            <w:r w:rsidRPr="008235C0">
              <w:rPr>
                <w:rFonts w:asciiTheme="majorBidi" w:hAnsiTheme="majorBidi" w:cstheme="majorBidi"/>
                <w:sz w:val="22"/>
                <w:szCs w:val="22"/>
              </w:rPr>
              <w:t xml:space="preserve"> (7.5 – 14</w:t>
            </w:r>
            <w:r>
              <w:rPr>
                <w:rFonts w:asciiTheme="majorBidi" w:hAnsiTheme="majorBidi" w:cstheme="majorBidi"/>
                <w:sz w:val="22"/>
                <w:szCs w:val="22"/>
              </w:rPr>
              <w:t>.0</w:t>
            </w:r>
            <w:r w:rsidRPr="008235C0">
              <w:rPr>
                <w:rFonts w:asciiTheme="majorBidi" w:hAnsiTheme="majorBidi" w:cstheme="majorBidi"/>
                <w:sz w:val="22"/>
                <w:szCs w:val="22"/>
              </w:rPr>
              <w:t>)</w:t>
            </w:r>
          </w:p>
        </w:tc>
        <w:tc>
          <w:tcPr>
            <w:tcW w:w="1815" w:type="dxa"/>
          </w:tcPr>
          <w:p w14:paraId="3B03DD72"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8.5 (6.2 – 1)</w:t>
            </w:r>
          </w:p>
        </w:tc>
        <w:tc>
          <w:tcPr>
            <w:tcW w:w="821" w:type="dxa"/>
          </w:tcPr>
          <w:p w14:paraId="1E533436" w14:textId="77777777" w:rsidR="002012FC" w:rsidRPr="008235C0" w:rsidRDefault="002012FC" w:rsidP="00291350">
            <w:pPr>
              <w:rPr>
                <w:rFonts w:asciiTheme="majorBidi" w:hAnsiTheme="majorBidi" w:cstheme="majorBidi"/>
                <w:sz w:val="22"/>
                <w:szCs w:val="22"/>
              </w:rPr>
            </w:pPr>
          </w:p>
        </w:tc>
      </w:tr>
      <w:tr w:rsidR="002012FC" w:rsidRPr="00AB21F9" w14:paraId="3FF23742" w14:textId="77777777" w:rsidTr="00291350">
        <w:tc>
          <w:tcPr>
            <w:tcW w:w="2552" w:type="dxa"/>
          </w:tcPr>
          <w:p w14:paraId="10585ED1"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Other</w:t>
            </w:r>
          </w:p>
        </w:tc>
        <w:tc>
          <w:tcPr>
            <w:tcW w:w="1984" w:type="dxa"/>
          </w:tcPr>
          <w:p w14:paraId="293A31FF"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5.7 (4.1 – 7.9)</w:t>
            </w:r>
          </w:p>
        </w:tc>
        <w:tc>
          <w:tcPr>
            <w:tcW w:w="1843" w:type="dxa"/>
          </w:tcPr>
          <w:p w14:paraId="389CD4B6"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4.6 (3.3 – 6.4)</w:t>
            </w:r>
          </w:p>
        </w:tc>
        <w:tc>
          <w:tcPr>
            <w:tcW w:w="1815" w:type="dxa"/>
          </w:tcPr>
          <w:p w14:paraId="7399121F"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5.3 (4 – 7.1)</w:t>
            </w:r>
          </w:p>
        </w:tc>
        <w:tc>
          <w:tcPr>
            <w:tcW w:w="821" w:type="dxa"/>
          </w:tcPr>
          <w:p w14:paraId="52591E74" w14:textId="77777777" w:rsidR="002012FC" w:rsidRPr="008235C0" w:rsidRDefault="002012FC" w:rsidP="00291350">
            <w:pPr>
              <w:rPr>
                <w:rFonts w:asciiTheme="majorBidi" w:hAnsiTheme="majorBidi" w:cstheme="majorBidi"/>
                <w:sz w:val="22"/>
                <w:szCs w:val="22"/>
              </w:rPr>
            </w:pPr>
          </w:p>
        </w:tc>
      </w:tr>
      <w:tr w:rsidR="002012FC" w:rsidRPr="00AB21F9" w14:paraId="5C80759F" w14:textId="77777777" w:rsidTr="00291350">
        <w:tc>
          <w:tcPr>
            <w:tcW w:w="2552" w:type="dxa"/>
            <w:shd w:val="clear" w:color="auto" w:fill="BFBFBF" w:themeFill="background1" w:themeFillShade="BF"/>
          </w:tcPr>
          <w:p w14:paraId="4A3EC720"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Smoking Groups</w:t>
            </w:r>
          </w:p>
        </w:tc>
        <w:tc>
          <w:tcPr>
            <w:tcW w:w="1984" w:type="dxa"/>
            <w:shd w:val="clear" w:color="auto" w:fill="BFBFBF" w:themeFill="background1" w:themeFillShade="BF"/>
          </w:tcPr>
          <w:p w14:paraId="656A02E5" w14:textId="77777777" w:rsidR="002012FC" w:rsidRPr="008235C0" w:rsidRDefault="002012FC" w:rsidP="00291350">
            <w:pPr>
              <w:rPr>
                <w:rFonts w:asciiTheme="majorBidi" w:hAnsiTheme="majorBidi" w:cstheme="majorBidi"/>
                <w:sz w:val="22"/>
                <w:szCs w:val="22"/>
              </w:rPr>
            </w:pPr>
          </w:p>
        </w:tc>
        <w:tc>
          <w:tcPr>
            <w:tcW w:w="1843" w:type="dxa"/>
            <w:shd w:val="clear" w:color="auto" w:fill="BFBFBF" w:themeFill="background1" w:themeFillShade="BF"/>
          </w:tcPr>
          <w:p w14:paraId="2EFDF717" w14:textId="77777777" w:rsidR="002012FC" w:rsidRPr="008235C0" w:rsidRDefault="002012FC" w:rsidP="00291350">
            <w:pPr>
              <w:rPr>
                <w:rFonts w:asciiTheme="majorBidi" w:hAnsiTheme="majorBidi" w:cstheme="majorBidi"/>
                <w:sz w:val="22"/>
                <w:szCs w:val="22"/>
              </w:rPr>
            </w:pPr>
          </w:p>
        </w:tc>
        <w:tc>
          <w:tcPr>
            <w:tcW w:w="1815" w:type="dxa"/>
            <w:shd w:val="clear" w:color="auto" w:fill="BFBFBF" w:themeFill="background1" w:themeFillShade="BF"/>
          </w:tcPr>
          <w:p w14:paraId="5FFCF669" w14:textId="77777777" w:rsidR="002012FC" w:rsidRPr="008235C0" w:rsidRDefault="002012FC" w:rsidP="00291350">
            <w:pPr>
              <w:rPr>
                <w:rFonts w:asciiTheme="majorBidi" w:hAnsiTheme="majorBidi" w:cstheme="majorBidi"/>
                <w:sz w:val="22"/>
                <w:szCs w:val="22"/>
              </w:rPr>
            </w:pPr>
          </w:p>
        </w:tc>
        <w:tc>
          <w:tcPr>
            <w:tcW w:w="821" w:type="dxa"/>
            <w:shd w:val="clear" w:color="auto" w:fill="BFBFBF" w:themeFill="background1" w:themeFillShade="BF"/>
          </w:tcPr>
          <w:p w14:paraId="0685F7CF" w14:textId="77777777" w:rsidR="002012FC" w:rsidRPr="008235C0" w:rsidRDefault="002012FC" w:rsidP="00291350">
            <w:pPr>
              <w:rPr>
                <w:rFonts w:asciiTheme="majorBidi" w:hAnsiTheme="majorBidi" w:cstheme="majorBidi"/>
                <w:sz w:val="22"/>
                <w:szCs w:val="22"/>
              </w:rPr>
            </w:pPr>
          </w:p>
        </w:tc>
      </w:tr>
      <w:tr w:rsidR="002012FC" w:rsidRPr="00AB21F9" w14:paraId="07576829" w14:textId="77777777" w:rsidTr="00291350">
        <w:tc>
          <w:tcPr>
            <w:tcW w:w="2552" w:type="dxa"/>
          </w:tcPr>
          <w:p w14:paraId="472D4228"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Never</w:t>
            </w:r>
          </w:p>
        </w:tc>
        <w:tc>
          <w:tcPr>
            <w:tcW w:w="1984" w:type="dxa"/>
          </w:tcPr>
          <w:p w14:paraId="2E4FD9D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52.4 (48.7 – 56.1)</w:t>
            </w:r>
          </w:p>
        </w:tc>
        <w:tc>
          <w:tcPr>
            <w:tcW w:w="1843" w:type="dxa"/>
          </w:tcPr>
          <w:p w14:paraId="4865CB40"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42.9 (38.7 – 47.2)</w:t>
            </w:r>
          </w:p>
        </w:tc>
        <w:tc>
          <w:tcPr>
            <w:tcW w:w="1815" w:type="dxa"/>
          </w:tcPr>
          <w:p w14:paraId="04333989"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48.7 (45.6 – 51.9)</w:t>
            </w:r>
          </w:p>
        </w:tc>
        <w:tc>
          <w:tcPr>
            <w:tcW w:w="821" w:type="dxa"/>
          </w:tcPr>
          <w:p w14:paraId="3C32E3BC"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0.006</w:t>
            </w:r>
          </w:p>
        </w:tc>
      </w:tr>
      <w:tr w:rsidR="002012FC" w:rsidRPr="00AB21F9" w14:paraId="418790EB" w14:textId="77777777" w:rsidTr="00291350">
        <w:tc>
          <w:tcPr>
            <w:tcW w:w="2552" w:type="dxa"/>
          </w:tcPr>
          <w:p w14:paraId="3F439D99"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Previous</w:t>
            </w:r>
          </w:p>
        </w:tc>
        <w:tc>
          <w:tcPr>
            <w:tcW w:w="1984" w:type="dxa"/>
          </w:tcPr>
          <w:p w14:paraId="2001D2F9"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36.3 (32.9 – 39.8)</w:t>
            </w:r>
          </w:p>
        </w:tc>
        <w:tc>
          <w:tcPr>
            <w:tcW w:w="1843" w:type="dxa"/>
          </w:tcPr>
          <w:p w14:paraId="01074C83"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43.6 (39.6 – 47.8)</w:t>
            </w:r>
          </w:p>
        </w:tc>
        <w:tc>
          <w:tcPr>
            <w:tcW w:w="1815" w:type="dxa"/>
          </w:tcPr>
          <w:p w14:paraId="100EFDF5"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39.1 (36.3 – 42)</w:t>
            </w:r>
          </w:p>
        </w:tc>
        <w:tc>
          <w:tcPr>
            <w:tcW w:w="821" w:type="dxa"/>
          </w:tcPr>
          <w:p w14:paraId="2A31549B" w14:textId="77777777" w:rsidR="002012FC" w:rsidRPr="008235C0" w:rsidRDefault="002012FC" w:rsidP="00291350">
            <w:pPr>
              <w:rPr>
                <w:rFonts w:asciiTheme="majorBidi" w:hAnsiTheme="majorBidi" w:cstheme="majorBidi"/>
                <w:sz w:val="22"/>
                <w:szCs w:val="22"/>
              </w:rPr>
            </w:pPr>
          </w:p>
        </w:tc>
      </w:tr>
      <w:tr w:rsidR="002012FC" w:rsidRPr="00AB21F9" w14:paraId="28CAE95E" w14:textId="77777777" w:rsidTr="00291350">
        <w:tc>
          <w:tcPr>
            <w:tcW w:w="2552" w:type="dxa"/>
          </w:tcPr>
          <w:p w14:paraId="08CF57F6"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Current</w:t>
            </w:r>
          </w:p>
        </w:tc>
        <w:tc>
          <w:tcPr>
            <w:tcW w:w="1984" w:type="dxa"/>
          </w:tcPr>
          <w:p w14:paraId="156E263A"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11.2 (9.1 – 13.7)</w:t>
            </w:r>
          </w:p>
        </w:tc>
        <w:tc>
          <w:tcPr>
            <w:tcW w:w="1843" w:type="dxa"/>
          </w:tcPr>
          <w:p w14:paraId="3DBD38D7"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13.3 (10.6 – 16)</w:t>
            </w:r>
          </w:p>
        </w:tc>
        <w:tc>
          <w:tcPr>
            <w:tcW w:w="1815" w:type="dxa"/>
          </w:tcPr>
          <w:p w14:paraId="1F3A6BAC"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12 (10.5 – 13.6)</w:t>
            </w:r>
          </w:p>
        </w:tc>
        <w:tc>
          <w:tcPr>
            <w:tcW w:w="821" w:type="dxa"/>
          </w:tcPr>
          <w:p w14:paraId="1F41579D" w14:textId="77777777" w:rsidR="002012FC" w:rsidRPr="008235C0" w:rsidRDefault="002012FC" w:rsidP="00291350">
            <w:pPr>
              <w:rPr>
                <w:rFonts w:asciiTheme="majorBidi" w:hAnsiTheme="majorBidi" w:cstheme="majorBidi"/>
                <w:sz w:val="22"/>
                <w:szCs w:val="22"/>
              </w:rPr>
            </w:pPr>
          </w:p>
        </w:tc>
      </w:tr>
      <w:tr w:rsidR="002012FC" w:rsidRPr="00AB21F9" w14:paraId="2EA63AF9" w14:textId="77777777" w:rsidTr="00291350">
        <w:tc>
          <w:tcPr>
            <w:tcW w:w="2552" w:type="dxa"/>
            <w:shd w:val="clear" w:color="auto" w:fill="E7E6E6" w:themeFill="background2"/>
          </w:tcPr>
          <w:p w14:paraId="0B6791FE" w14:textId="77777777" w:rsidR="002012FC" w:rsidRPr="00D7023E" w:rsidRDefault="002012FC" w:rsidP="00291350">
            <w:pPr>
              <w:rPr>
                <w:rFonts w:asciiTheme="majorBidi" w:hAnsiTheme="majorBidi" w:cstheme="majorBidi"/>
                <w:i/>
                <w:iCs/>
              </w:rPr>
            </w:pPr>
            <w:r>
              <w:rPr>
                <w:rFonts w:asciiTheme="majorBidi" w:hAnsiTheme="majorBidi" w:cstheme="majorBidi"/>
                <w:i/>
                <w:iCs/>
              </w:rPr>
              <w:t>Mean poverty-income ratio</w:t>
            </w:r>
            <w:r w:rsidRPr="00D7023E">
              <w:rPr>
                <w:rFonts w:asciiTheme="majorBidi" w:hAnsiTheme="majorBidi" w:cstheme="majorBidi"/>
                <w:i/>
                <w:iCs/>
              </w:rPr>
              <w:t xml:space="preserve"> </w:t>
            </w:r>
          </w:p>
        </w:tc>
        <w:tc>
          <w:tcPr>
            <w:tcW w:w="1984" w:type="dxa"/>
            <w:shd w:val="clear" w:color="auto" w:fill="E7E6E6" w:themeFill="background2"/>
          </w:tcPr>
          <w:p w14:paraId="1F5884C2"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3.4 (3.2 – 3.5)</w:t>
            </w:r>
          </w:p>
        </w:tc>
        <w:tc>
          <w:tcPr>
            <w:tcW w:w="1843" w:type="dxa"/>
            <w:shd w:val="clear" w:color="auto" w:fill="E7E6E6" w:themeFill="background2"/>
          </w:tcPr>
          <w:p w14:paraId="21E9C4E5"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2.4 (2.34 – 2.6)</w:t>
            </w:r>
          </w:p>
        </w:tc>
        <w:tc>
          <w:tcPr>
            <w:tcW w:w="1815" w:type="dxa"/>
            <w:shd w:val="clear" w:color="auto" w:fill="E7E6E6" w:themeFill="background2"/>
          </w:tcPr>
          <w:p w14:paraId="2033446F"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3.0 (2.</w:t>
            </w:r>
            <w:r>
              <w:rPr>
                <w:rFonts w:asciiTheme="majorBidi" w:hAnsiTheme="majorBidi" w:cstheme="majorBidi"/>
                <w:sz w:val="22"/>
                <w:szCs w:val="22"/>
              </w:rPr>
              <w:t>9</w:t>
            </w:r>
            <w:r w:rsidRPr="008235C0">
              <w:rPr>
                <w:rFonts w:asciiTheme="majorBidi" w:hAnsiTheme="majorBidi" w:cstheme="majorBidi"/>
                <w:sz w:val="22"/>
                <w:szCs w:val="22"/>
              </w:rPr>
              <w:t xml:space="preserve"> – 3.2)</w:t>
            </w:r>
          </w:p>
        </w:tc>
        <w:tc>
          <w:tcPr>
            <w:tcW w:w="821" w:type="dxa"/>
            <w:shd w:val="clear" w:color="auto" w:fill="E7E6E6" w:themeFill="background2"/>
          </w:tcPr>
          <w:p w14:paraId="69D5157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0.0001</w:t>
            </w:r>
          </w:p>
        </w:tc>
      </w:tr>
      <w:tr w:rsidR="002012FC" w:rsidRPr="00AB21F9" w14:paraId="3F7D9E3A" w14:textId="77777777" w:rsidTr="00291350">
        <w:tc>
          <w:tcPr>
            <w:tcW w:w="2552" w:type="dxa"/>
            <w:shd w:val="clear" w:color="auto" w:fill="E7E6E6" w:themeFill="background2"/>
          </w:tcPr>
          <w:p w14:paraId="3A311EC6" w14:textId="77777777" w:rsidR="002012FC" w:rsidRPr="0069226A" w:rsidRDefault="002012FC" w:rsidP="00291350">
            <w:pPr>
              <w:rPr>
                <w:rFonts w:asciiTheme="majorBidi" w:hAnsiTheme="majorBidi" w:cstheme="majorBidi"/>
                <w:i/>
                <w:iCs/>
              </w:rPr>
            </w:pPr>
            <w:r>
              <w:rPr>
                <w:rFonts w:asciiTheme="majorBidi" w:hAnsiTheme="majorBidi" w:cstheme="majorBidi"/>
                <w:i/>
                <w:iCs/>
              </w:rPr>
              <w:t xml:space="preserve">Mean </w:t>
            </w:r>
            <w:r w:rsidRPr="00147822">
              <w:rPr>
                <w:rFonts w:asciiTheme="majorBidi" w:hAnsiTheme="majorBidi" w:cstheme="majorBidi"/>
                <w:i/>
                <w:iCs/>
              </w:rPr>
              <w:t xml:space="preserve">Inadequate </w:t>
            </w:r>
            <w:r w:rsidRPr="0038602A">
              <w:rPr>
                <w:rFonts w:asciiTheme="majorBidi" w:hAnsiTheme="majorBidi" w:cstheme="majorBidi"/>
                <w:i/>
                <w:iCs/>
              </w:rPr>
              <w:t xml:space="preserve">nutritional </w:t>
            </w:r>
            <w:r w:rsidRPr="0069226A">
              <w:rPr>
                <w:rFonts w:asciiTheme="majorBidi" w:hAnsiTheme="majorBidi" w:cstheme="majorBidi"/>
                <w:i/>
                <w:iCs/>
              </w:rPr>
              <w:t xml:space="preserve">intake </w:t>
            </w:r>
          </w:p>
        </w:tc>
        <w:tc>
          <w:tcPr>
            <w:tcW w:w="1984" w:type="dxa"/>
            <w:shd w:val="clear" w:color="auto" w:fill="E7E6E6" w:themeFill="background2"/>
          </w:tcPr>
          <w:p w14:paraId="0976743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7.9 (7.6 – 8.2)</w:t>
            </w:r>
          </w:p>
        </w:tc>
        <w:tc>
          <w:tcPr>
            <w:tcW w:w="1843" w:type="dxa"/>
            <w:shd w:val="clear" w:color="auto" w:fill="E7E6E6" w:themeFill="background2"/>
          </w:tcPr>
          <w:p w14:paraId="205607A0"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8.</w:t>
            </w:r>
            <w:r>
              <w:rPr>
                <w:rFonts w:asciiTheme="majorBidi" w:hAnsiTheme="majorBidi" w:cstheme="majorBidi"/>
                <w:sz w:val="22"/>
                <w:szCs w:val="22"/>
              </w:rPr>
              <w:t>5</w:t>
            </w:r>
            <w:r w:rsidRPr="008235C0">
              <w:rPr>
                <w:rFonts w:asciiTheme="majorBidi" w:hAnsiTheme="majorBidi" w:cstheme="majorBidi"/>
                <w:sz w:val="22"/>
                <w:szCs w:val="22"/>
              </w:rPr>
              <w:t xml:space="preserve"> (</w:t>
            </w:r>
            <w:r>
              <w:rPr>
                <w:rFonts w:asciiTheme="majorBidi" w:hAnsiTheme="majorBidi" w:cstheme="majorBidi"/>
                <w:sz w:val="22"/>
                <w:szCs w:val="22"/>
              </w:rPr>
              <w:t>7</w:t>
            </w:r>
            <w:r w:rsidRPr="008235C0">
              <w:rPr>
                <w:rFonts w:asciiTheme="majorBidi" w:hAnsiTheme="majorBidi" w:cstheme="majorBidi"/>
                <w:sz w:val="22"/>
                <w:szCs w:val="22"/>
              </w:rPr>
              <w:t>.</w:t>
            </w:r>
            <w:r>
              <w:rPr>
                <w:rFonts w:asciiTheme="majorBidi" w:hAnsiTheme="majorBidi" w:cstheme="majorBidi"/>
                <w:sz w:val="22"/>
                <w:szCs w:val="22"/>
              </w:rPr>
              <w:t>3</w:t>
            </w:r>
            <w:r w:rsidRPr="008235C0">
              <w:rPr>
                <w:rFonts w:asciiTheme="majorBidi" w:hAnsiTheme="majorBidi" w:cstheme="majorBidi"/>
                <w:sz w:val="22"/>
                <w:szCs w:val="22"/>
              </w:rPr>
              <w:t xml:space="preserve"> – 8.6)</w:t>
            </w:r>
          </w:p>
        </w:tc>
        <w:tc>
          <w:tcPr>
            <w:tcW w:w="1815" w:type="dxa"/>
            <w:shd w:val="clear" w:color="auto" w:fill="E7E6E6" w:themeFill="background2"/>
          </w:tcPr>
          <w:p w14:paraId="1F6F5932"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8.1 (7.9 – 8.3)</w:t>
            </w:r>
          </w:p>
        </w:tc>
        <w:tc>
          <w:tcPr>
            <w:tcW w:w="821" w:type="dxa"/>
            <w:shd w:val="clear" w:color="auto" w:fill="E7E6E6" w:themeFill="background2"/>
          </w:tcPr>
          <w:p w14:paraId="0DBDA55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0.002</w:t>
            </w:r>
          </w:p>
        </w:tc>
      </w:tr>
      <w:tr w:rsidR="002012FC" w:rsidRPr="00AB21F9" w14:paraId="4423C755" w14:textId="77777777" w:rsidTr="00291350">
        <w:tc>
          <w:tcPr>
            <w:tcW w:w="2552" w:type="dxa"/>
            <w:shd w:val="clear" w:color="auto" w:fill="E7E6E6" w:themeFill="background2"/>
          </w:tcPr>
          <w:p w14:paraId="512BEED0" w14:textId="77777777" w:rsidR="002012FC" w:rsidRPr="00D7023E" w:rsidRDefault="002012FC" w:rsidP="00291350">
            <w:pPr>
              <w:rPr>
                <w:rFonts w:asciiTheme="majorBidi" w:hAnsiTheme="majorBidi" w:cstheme="majorBidi"/>
                <w:i/>
                <w:iCs/>
              </w:rPr>
            </w:pPr>
            <w:r>
              <w:rPr>
                <w:rFonts w:asciiTheme="majorBidi" w:hAnsiTheme="majorBidi" w:cstheme="majorBidi"/>
                <w:i/>
                <w:iCs/>
              </w:rPr>
              <w:t xml:space="preserve">Mean </w:t>
            </w:r>
            <w:r w:rsidRPr="00D7023E">
              <w:rPr>
                <w:rFonts w:asciiTheme="majorBidi" w:hAnsiTheme="majorBidi" w:cstheme="majorBidi"/>
                <w:i/>
                <w:iCs/>
              </w:rPr>
              <w:t xml:space="preserve">Number of teeth </w:t>
            </w:r>
          </w:p>
        </w:tc>
        <w:tc>
          <w:tcPr>
            <w:tcW w:w="1984" w:type="dxa"/>
            <w:shd w:val="clear" w:color="auto" w:fill="E7E6E6" w:themeFill="background2"/>
          </w:tcPr>
          <w:p w14:paraId="1D756FF1"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20.7 (20.1 – 21.3)</w:t>
            </w:r>
          </w:p>
        </w:tc>
        <w:tc>
          <w:tcPr>
            <w:tcW w:w="1843" w:type="dxa"/>
            <w:shd w:val="clear" w:color="auto" w:fill="E7E6E6" w:themeFill="background2"/>
          </w:tcPr>
          <w:p w14:paraId="3D5423E1"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14.8 (13.5 – 16</w:t>
            </w:r>
            <w:r>
              <w:rPr>
                <w:rFonts w:asciiTheme="majorBidi" w:hAnsiTheme="majorBidi" w:cstheme="majorBidi"/>
                <w:sz w:val="22"/>
                <w:szCs w:val="22"/>
              </w:rPr>
              <w:t>.0</w:t>
            </w:r>
            <w:r w:rsidRPr="008235C0">
              <w:rPr>
                <w:rFonts w:asciiTheme="majorBidi" w:hAnsiTheme="majorBidi" w:cstheme="majorBidi"/>
                <w:sz w:val="22"/>
                <w:szCs w:val="22"/>
              </w:rPr>
              <w:t>)</w:t>
            </w:r>
          </w:p>
        </w:tc>
        <w:tc>
          <w:tcPr>
            <w:tcW w:w="1815" w:type="dxa"/>
            <w:shd w:val="clear" w:color="auto" w:fill="E7E6E6" w:themeFill="background2"/>
          </w:tcPr>
          <w:p w14:paraId="5FF13279"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18.4 (17.6 – 19.2)</w:t>
            </w:r>
          </w:p>
        </w:tc>
        <w:tc>
          <w:tcPr>
            <w:tcW w:w="821" w:type="dxa"/>
            <w:shd w:val="clear" w:color="auto" w:fill="E7E6E6" w:themeFill="background2"/>
          </w:tcPr>
          <w:p w14:paraId="432A2D97"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0.0001</w:t>
            </w:r>
          </w:p>
        </w:tc>
      </w:tr>
      <w:tr w:rsidR="002012FC" w:rsidRPr="00AB21F9" w14:paraId="6E6D7B24" w14:textId="77777777" w:rsidTr="00291350">
        <w:tc>
          <w:tcPr>
            <w:tcW w:w="2552" w:type="dxa"/>
            <w:shd w:val="clear" w:color="auto" w:fill="AEAAAA" w:themeFill="background2" w:themeFillShade="BF"/>
          </w:tcPr>
          <w:p w14:paraId="2BA2DAAD"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Self-rated Oral health</w:t>
            </w:r>
          </w:p>
        </w:tc>
        <w:tc>
          <w:tcPr>
            <w:tcW w:w="1984" w:type="dxa"/>
            <w:shd w:val="clear" w:color="auto" w:fill="AEAAAA" w:themeFill="background2" w:themeFillShade="BF"/>
          </w:tcPr>
          <w:p w14:paraId="21ABEDAD" w14:textId="77777777" w:rsidR="002012FC" w:rsidRPr="008235C0" w:rsidRDefault="002012FC" w:rsidP="00291350">
            <w:pPr>
              <w:rPr>
                <w:rFonts w:asciiTheme="majorBidi" w:hAnsiTheme="majorBidi" w:cstheme="majorBidi"/>
                <w:sz w:val="22"/>
                <w:szCs w:val="22"/>
              </w:rPr>
            </w:pPr>
          </w:p>
        </w:tc>
        <w:tc>
          <w:tcPr>
            <w:tcW w:w="1843" w:type="dxa"/>
            <w:shd w:val="clear" w:color="auto" w:fill="AEAAAA" w:themeFill="background2" w:themeFillShade="BF"/>
          </w:tcPr>
          <w:p w14:paraId="5BC9BC9E" w14:textId="77777777" w:rsidR="002012FC" w:rsidRPr="008235C0" w:rsidRDefault="002012FC" w:rsidP="00291350">
            <w:pPr>
              <w:rPr>
                <w:rFonts w:asciiTheme="majorBidi" w:hAnsiTheme="majorBidi" w:cstheme="majorBidi"/>
                <w:sz w:val="22"/>
                <w:szCs w:val="22"/>
              </w:rPr>
            </w:pPr>
          </w:p>
        </w:tc>
        <w:tc>
          <w:tcPr>
            <w:tcW w:w="1815" w:type="dxa"/>
            <w:shd w:val="clear" w:color="auto" w:fill="AEAAAA" w:themeFill="background2" w:themeFillShade="BF"/>
          </w:tcPr>
          <w:p w14:paraId="6555F122" w14:textId="77777777" w:rsidR="002012FC" w:rsidRPr="008235C0" w:rsidRDefault="002012FC" w:rsidP="00291350">
            <w:pPr>
              <w:rPr>
                <w:rFonts w:asciiTheme="majorBidi" w:hAnsiTheme="majorBidi" w:cstheme="majorBidi"/>
                <w:sz w:val="22"/>
                <w:szCs w:val="22"/>
              </w:rPr>
            </w:pPr>
          </w:p>
        </w:tc>
        <w:tc>
          <w:tcPr>
            <w:tcW w:w="821" w:type="dxa"/>
            <w:shd w:val="clear" w:color="auto" w:fill="AEAAAA" w:themeFill="background2" w:themeFillShade="BF"/>
          </w:tcPr>
          <w:p w14:paraId="2D10893C" w14:textId="77777777" w:rsidR="002012FC" w:rsidRPr="008235C0" w:rsidRDefault="002012FC" w:rsidP="00291350">
            <w:pPr>
              <w:rPr>
                <w:rFonts w:asciiTheme="majorBidi" w:hAnsiTheme="majorBidi" w:cstheme="majorBidi"/>
                <w:sz w:val="22"/>
                <w:szCs w:val="22"/>
              </w:rPr>
            </w:pPr>
          </w:p>
        </w:tc>
      </w:tr>
      <w:tr w:rsidR="002012FC" w:rsidRPr="00AB21F9" w14:paraId="5772D0BB" w14:textId="77777777" w:rsidTr="00291350">
        <w:tc>
          <w:tcPr>
            <w:tcW w:w="2552" w:type="dxa"/>
          </w:tcPr>
          <w:p w14:paraId="791A04B1"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Excellent/ very good/ good</w:t>
            </w:r>
          </w:p>
        </w:tc>
        <w:tc>
          <w:tcPr>
            <w:tcW w:w="1984" w:type="dxa"/>
          </w:tcPr>
          <w:p w14:paraId="7632FACD"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83.2 (80.3 - 85.8)</w:t>
            </w:r>
          </w:p>
        </w:tc>
        <w:tc>
          <w:tcPr>
            <w:tcW w:w="1843" w:type="dxa"/>
          </w:tcPr>
          <w:p w14:paraId="1CCC7818"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68.1 (63.6 – 72.3)</w:t>
            </w:r>
          </w:p>
        </w:tc>
        <w:tc>
          <w:tcPr>
            <w:tcW w:w="1815" w:type="dxa"/>
          </w:tcPr>
          <w:p w14:paraId="6B2800AA"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77.4 (74.6 – 8</w:t>
            </w:r>
            <w:r>
              <w:rPr>
                <w:rFonts w:asciiTheme="majorBidi" w:hAnsiTheme="majorBidi" w:cstheme="majorBidi"/>
                <w:sz w:val="22"/>
                <w:szCs w:val="22"/>
              </w:rPr>
              <w:t>.0</w:t>
            </w:r>
            <w:r w:rsidRPr="008235C0">
              <w:rPr>
                <w:rFonts w:asciiTheme="majorBidi" w:hAnsiTheme="majorBidi" w:cstheme="majorBidi"/>
                <w:sz w:val="22"/>
                <w:szCs w:val="22"/>
              </w:rPr>
              <w:t>)</w:t>
            </w:r>
          </w:p>
        </w:tc>
        <w:tc>
          <w:tcPr>
            <w:tcW w:w="821" w:type="dxa"/>
          </w:tcPr>
          <w:p w14:paraId="78AE72B0"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0.0001</w:t>
            </w:r>
          </w:p>
        </w:tc>
      </w:tr>
      <w:tr w:rsidR="002012FC" w:rsidRPr="00AB21F9" w14:paraId="46825643" w14:textId="77777777" w:rsidTr="00291350">
        <w:tc>
          <w:tcPr>
            <w:tcW w:w="2552" w:type="dxa"/>
          </w:tcPr>
          <w:p w14:paraId="6ABE8D71" w14:textId="77777777" w:rsidR="002012FC" w:rsidRPr="00D7023E" w:rsidRDefault="002012FC" w:rsidP="00291350">
            <w:pPr>
              <w:rPr>
                <w:rFonts w:asciiTheme="majorBidi" w:hAnsiTheme="majorBidi" w:cstheme="majorBidi"/>
                <w:i/>
                <w:iCs/>
              </w:rPr>
            </w:pPr>
            <w:r w:rsidRPr="00D7023E">
              <w:rPr>
                <w:rFonts w:asciiTheme="majorBidi" w:hAnsiTheme="majorBidi" w:cstheme="majorBidi"/>
                <w:i/>
                <w:iCs/>
              </w:rPr>
              <w:t>Fair/Poor</w:t>
            </w:r>
          </w:p>
        </w:tc>
        <w:tc>
          <w:tcPr>
            <w:tcW w:w="1984" w:type="dxa"/>
          </w:tcPr>
          <w:p w14:paraId="2B451D64"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16.7 (14.1 – 19.6)</w:t>
            </w:r>
          </w:p>
        </w:tc>
        <w:tc>
          <w:tcPr>
            <w:tcW w:w="1843" w:type="dxa"/>
          </w:tcPr>
          <w:p w14:paraId="15854A0A"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31.8 (27.6 – 36.3)</w:t>
            </w:r>
          </w:p>
        </w:tc>
        <w:tc>
          <w:tcPr>
            <w:tcW w:w="1815" w:type="dxa"/>
          </w:tcPr>
          <w:p w14:paraId="35762AC4"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22.6 (20</w:t>
            </w:r>
            <w:r>
              <w:rPr>
                <w:rFonts w:asciiTheme="majorBidi" w:hAnsiTheme="majorBidi" w:cstheme="majorBidi"/>
                <w:sz w:val="22"/>
                <w:szCs w:val="22"/>
              </w:rPr>
              <w:t>.0</w:t>
            </w:r>
            <w:r w:rsidRPr="008235C0">
              <w:rPr>
                <w:rFonts w:asciiTheme="majorBidi" w:hAnsiTheme="majorBidi" w:cstheme="majorBidi"/>
                <w:sz w:val="22"/>
                <w:szCs w:val="22"/>
              </w:rPr>
              <w:t xml:space="preserve"> – 2</w:t>
            </w:r>
            <w:r>
              <w:rPr>
                <w:rFonts w:asciiTheme="majorBidi" w:hAnsiTheme="majorBidi" w:cstheme="majorBidi"/>
                <w:sz w:val="22"/>
                <w:szCs w:val="22"/>
              </w:rPr>
              <w:t>.0</w:t>
            </w:r>
            <w:r w:rsidRPr="008235C0">
              <w:rPr>
                <w:rFonts w:asciiTheme="majorBidi" w:hAnsiTheme="majorBidi" w:cstheme="majorBidi"/>
                <w:sz w:val="22"/>
                <w:szCs w:val="22"/>
              </w:rPr>
              <w:t>)</w:t>
            </w:r>
          </w:p>
        </w:tc>
        <w:tc>
          <w:tcPr>
            <w:tcW w:w="821" w:type="dxa"/>
          </w:tcPr>
          <w:p w14:paraId="11535F79" w14:textId="77777777" w:rsidR="002012FC" w:rsidRPr="008235C0" w:rsidRDefault="002012FC" w:rsidP="00291350">
            <w:pPr>
              <w:rPr>
                <w:rFonts w:asciiTheme="majorBidi" w:hAnsiTheme="majorBidi" w:cstheme="majorBidi"/>
                <w:sz w:val="22"/>
                <w:szCs w:val="22"/>
              </w:rPr>
            </w:pPr>
          </w:p>
        </w:tc>
      </w:tr>
      <w:tr w:rsidR="002012FC" w:rsidRPr="00AB21F9" w14:paraId="6AB9169B" w14:textId="77777777" w:rsidTr="00291350">
        <w:tc>
          <w:tcPr>
            <w:tcW w:w="2552" w:type="dxa"/>
            <w:shd w:val="clear" w:color="auto" w:fill="D0CECE" w:themeFill="background2" w:themeFillShade="E6"/>
          </w:tcPr>
          <w:p w14:paraId="11340FC0" w14:textId="77777777" w:rsidR="002012FC" w:rsidRPr="00D7023E" w:rsidRDefault="002012FC" w:rsidP="00291350">
            <w:pPr>
              <w:rPr>
                <w:rFonts w:asciiTheme="majorBidi" w:hAnsiTheme="majorBidi" w:cstheme="majorBidi"/>
                <w:i/>
                <w:iCs/>
              </w:rPr>
            </w:pPr>
            <w:r>
              <w:rPr>
                <w:rFonts w:asciiTheme="majorBidi" w:hAnsiTheme="majorBidi" w:cstheme="majorBidi"/>
                <w:i/>
                <w:iCs/>
              </w:rPr>
              <w:t xml:space="preserve">Periodontal disease (N: </w:t>
            </w:r>
            <w:r>
              <w:rPr>
                <w:rFonts w:asciiTheme="majorBidi" w:hAnsiTheme="majorBidi" w:cstheme="majorBidi"/>
                <w:sz w:val="22"/>
                <w:szCs w:val="22"/>
              </w:rPr>
              <w:t>1,884)</w:t>
            </w:r>
          </w:p>
        </w:tc>
        <w:tc>
          <w:tcPr>
            <w:tcW w:w="1984" w:type="dxa"/>
            <w:shd w:val="clear" w:color="auto" w:fill="D0CECE" w:themeFill="background2" w:themeFillShade="E6"/>
          </w:tcPr>
          <w:p w14:paraId="154CF033" w14:textId="77777777" w:rsidR="002012FC" w:rsidRPr="008235C0" w:rsidRDefault="002012FC" w:rsidP="00291350">
            <w:pPr>
              <w:rPr>
                <w:rFonts w:asciiTheme="majorBidi" w:hAnsiTheme="majorBidi" w:cstheme="majorBidi"/>
                <w:sz w:val="22"/>
                <w:szCs w:val="22"/>
              </w:rPr>
            </w:pPr>
          </w:p>
        </w:tc>
        <w:tc>
          <w:tcPr>
            <w:tcW w:w="1843" w:type="dxa"/>
            <w:shd w:val="clear" w:color="auto" w:fill="D0CECE" w:themeFill="background2" w:themeFillShade="E6"/>
          </w:tcPr>
          <w:p w14:paraId="43A797E3" w14:textId="77777777" w:rsidR="002012FC" w:rsidRPr="008235C0" w:rsidRDefault="002012FC" w:rsidP="00291350">
            <w:pPr>
              <w:rPr>
                <w:rFonts w:asciiTheme="majorBidi" w:hAnsiTheme="majorBidi" w:cstheme="majorBidi"/>
                <w:sz w:val="22"/>
                <w:szCs w:val="22"/>
              </w:rPr>
            </w:pPr>
          </w:p>
        </w:tc>
        <w:tc>
          <w:tcPr>
            <w:tcW w:w="1815" w:type="dxa"/>
            <w:shd w:val="clear" w:color="auto" w:fill="D0CECE" w:themeFill="background2" w:themeFillShade="E6"/>
          </w:tcPr>
          <w:p w14:paraId="0F7AC49F" w14:textId="77777777" w:rsidR="002012FC" w:rsidRPr="008235C0" w:rsidRDefault="002012FC" w:rsidP="00291350">
            <w:pPr>
              <w:rPr>
                <w:rFonts w:asciiTheme="majorBidi" w:hAnsiTheme="majorBidi" w:cstheme="majorBidi"/>
                <w:sz w:val="22"/>
                <w:szCs w:val="22"/>
              </w:rPr>
            </w:pPr>
          </w:p>
        </w:tc>
        <w:tc>
          <w:tcPr>
            <w:tcW w:w="821" w:type="dxa"/>
            <w:shd w:val="clear" w:color="auto" w:fill="D0CECE" w:themeFill="background2" w:themeFillShade="E6"/>
          </w:tcPr>
          <w:p w14:paraId="73D5C37A" w14:textId="77777777" w:rsidR="002012FC" w:rsidRPr="008235C0" w:rsidRDefault="002012FC" w:rsidP="00291350">
            <w:pPr>
              <w:rPr>
                <w:rFonts w:asciiTheme="majorBidi" w:hAnsiTheme="majorBidi" w:cstheme="majorBidi"/>
                <w:sz w:val="22"/>
                <w:szCs w:val="22"/>
              </w:rPr>
            </w:pPr>
          </w:p>
        </w:tc>
      </w:tr>
      <w:tr w:rsidR="002012FC" w:rsidRPr="00AB21F9" w14:paraId="737CAA06" w14:textId="77777777" w:rsidTr="00291350">
        <w:tc>
          <w:tcPr>
            <w:tcW w:w="2552" w:type="dxa"/>
          </w:tcPr>
          <w:p w14:paraId="59A518BD" w14:textId="77777777" w:rsidR="002012FC" w:rsidRPr="00F67CDA" w:rsidRDefault="002012FC" w:rsidP="00291350">
            <w:pPr>
              <w:rPr>
                <w:rFonts w:asciiTheme="majorBidi" w:hAnsiTheme="majorBidi" w:cstheme="majorBidi"/>
                <w:i/>
                <w:iCs/>
                <w:sz w:val="20"/>
                <w:szCs w:val="20"/>
              </w:rPr>
            </w:pPr>
            <w:r w:rsidRPr="00F67CDA">
              <w:rPr>
                <w:rFonts w:asciiTheme="majorBidi" w:hAnsiTheme="majorBidi" w:cstheme="majorBidi"/>
                <w:i/>
                <w:iCs/>
                <w:sz w:val="20"/>
                <w:szCs w:val="20"/>
              </w:rPr>
              <w:t xml:space="preserve">No/Mild periodontal disease </w:t>
            </w:r>
          </w:p>
        </w:tc>
        <w:tc>
          <w:tcPr>
            <w:tcW w:w="1984" w:type="dxa"/>
          </w:tcPr>
          <w:p w14:paraId="2DB30219"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53.5 (48.9 – 58.2)</w:t>
            </w:r>
          </w:p>
        </w:tc>
        <w:tc>
          <w:tcPr>
            <w:tcW w:w="1843" w:type="dxa"/>
          </w:tcPr>
          <w:p w14:paraId="47644117"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44 (36.1 – 52.2)</w:t>
            </w:r>
          </w:p>
        </w:tc>
        <w:tc>
          <w:tcPr>
            <w:tcW w:w="1815" w:type="dxa"/>
          </w:tcPr>
          <w:p w14:paraId="6C21D82F"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50.2 (45.4 – 55.1)</w:t>
            </w:r>
          </w:p>
        </w:tc>
        <w:tc>
          <w:tcPr>
            <w:tcW w:w="821" w:type="dxa"/>
          </w:tcPr>
          <w:p w14:paraId="696F7231"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0.028</w:t>
            </w:r>
          </w:p>
        </w:tc>
      </w:tr>
      <w:tr w:rsidR="002012FC" w:rsidRPr="00AB21F9" w14:paraId="39BEC4E9" w14:textId="77777777" w:rsidTr="00291350">
        <w:trPr>
          <w:trHeight w:val="83"/>
        </w:trPr>
        <w:tc>
          <w:tcPr>
            <w:tcW w:w="2552" w:type="dxa"/>
          </w:tcPr>
          <w:p w14:paraId="10939B6C" w14:textId="77777777" w:rsidR="002012FC" w:rsidRDefault="002012FC" w:rsidP="00291350">
            <w:pPr>
              <w:rPr>
                <w:rFonts w:asciiTheme="majorBidi" w:hAnsiTheme="majorBidi" w:cstheme="majorBidi"/>
                <w:i/>
                <w:iCs/>
                <w:sz w:val="20"/>
                <w:szCs w:val="20"/>
              </w:rPr>
            </w:pPr>
            <w:r w:rsidRPr="00F67CDA">
              <w:rPr>
                <w:rFonts w:asciiTheme="majorBidi" w:hAnsiTheme="majorBidi" w:cstheme="majorBidi"/>
                <w:i/>
                <w:iCs/>
                <w:sz w:val="20"/>
                <w:szCs w:val="20"/>
              </w:rPr>
              <w:t xml:space="preserve">Moderate/Severe </w:t>
            </w:r>
          </w:p>
          <w:p w14:paraId="09BE3FCD" w14:textId="77777777" w:rsidR="002012FC" w:rsidRPr="00F67CDA" w:rsidRDefault="002012FC" w:rsidP="00291350">
            <w:pPr>
              <w:rPr>
                <w:rFonts w:asciiTheme="majorBidi" w:hAnsiTheme="majorBidi" w:cstheme="majorBidi"/>
                <w:i/>
                <w:iCs/>
                <w:sz w:val="20"/>
                <w:szCs w:val="20"/>
              </w:rPr>
            </w:pPr>
            <w:r w:rsidRPr="00F67CDA">
              <w:rPr>
                <w:rFonts w:asciiTheme="majorBidi" w:hAnsiTheme="majorBidi" w:cstheme="majorBidi"/>
                <w:i/>
                <w:iCs/>
                <w:sz w:val="20"/>
                <w:szCs w:val="20"/>
              </w:rPr>
              <w:t xml:space="preserve">periodontitis  </w:t>
            </w:r>
          </w:p>
        </w:tc>
        <w:tc>
          <w:tcPr>
            <w:tcW w:w="1984" w:type="dxa"/>
          </w:tcPr>
          <w:p w14:paraId="62A24C79"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46.4 (41.7 – 51.1)</w:t>
            </w:r>
          </w:p>
        </w:tc>
        <w:tc>
          <w:tcPr>
            <w:tcW w:w="1843" w:type="dxa"/>
          </w:tcPr>
          <w:p w14:paraId="075CB639"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56 (47.7 – 64</w:t>
            </w:r>
            <w:r>
              <w:rPr>
                <w:rFonts w:asciiTheme="majorBidi" w:hAnsiTheme="majorBidi" w:cstheme="majorBidi"/>
                <w:sz w:val="22"/>
                <w:szCs w:val="22"/>
              </w:rPr>
              <w:t>.0</w:t>
            </w:r>
            <w:r w:rsidRPr="008235C0">
              <w:rPr>
                <w:rFonts w:asciiTheme="majorBidi" w:hAnsiTheme="majorBidi" w:cstheme="majorBidi"/>
                <w:sz w:val="22"/>
                <w:szCs w:val="22"/>
              </w:rPr>
              <w:t>)</w:t>
            </w:r>
          </w:p>
        </w:tc>
        <w:tc>
          <w:tcPr>
            <w:tcW w:w="1815" w:type="dxa"/>
          </w:tcPr>
          <w:p w14:paraId="0AC74A47" w14:textId="77777777" w:rsidR="002012FC" w:rsidRPr="008235C0" w:rsidRDefault="002012FC" w:rsidP="00291350">
            <w:pPr>
              <w:rPr>
                <w:rFonts w:asciiTheme="majorBidi" w:hAnsiTheme="majorBidi" w:cstheme="majorBidi"/>
                <w:sz w:val="22"/>
                <w:szCs w:val="22"/>
              </w:rPr>
            </w:pPr>
            <w:r w:rsidRPr="008235C0">
              <w:rPr>
                <w:rFonts w:asciiTheme="majorBidi" w:hAnsiTheme="majorBidi" w:cstheme="majorBidi"/>
                <w:sz w:val="22"/>
                <w:szCs w:val="22"/>
              </w:rPr>
              <w:t>49.7 (44.8 – 54.5)</w:t>
            </w:r>
          </w:p>
        </w:tc>
        <w:tc>
          <w:tcPr>
            <w:tcW w:w="821" w:type="dxa"/>
          </w:tcPr>
          <w:p w14:paraId="1A7947A8" w14:textId="77777777" w:rsidR="002012FC" w:rsidRPr="008235C0" w:rsidRDefault="002012FC" w:rsidP="00291350">
            <w:pPr>
              <w:rPr>
                <w:rFonts w:asciiTheme="majorBidi" w:hAnsiTheme="majorBidi" w:cstheme="majorBidi"/>
                <w:sz w:val="22"/>
                <w:szCs w:val="22"/>
              </w:rPr>
            </w:pPr>
          </w:p>
        </w:tc>
      </w:tr>
    </w:tbl>
    <w:p w14:paraId="6694E00E" w14:textId="77777777" w:rsidR="002012FC" w:rsidRDefault="002012FC" w:rsidP="002012FC"/>
    <w:p w14:paraId="786468E0" w14:textId="77777777" w:rsidR="002012FC" w:rsidRDefault="002012FC" w:rsidP="002012FC">
      <w:pPr>
        <w:spacing w:after="160" w:line="259" w:lineRule="auto"/>
      </w:pPr>
      <w:r>
        <w:br w:type="page"/>
      </w:r>
    </w:p>
    <w:p w14:paraId="3F1859E1" w14:textId="77777777" w:rsidR="002012FC" w:rsidRDefault="002012FC" w:rsidP="002012FC"/>
    <w:tbl>
      <w:tblPr>
        <w:tblStyle w:val="TableGrid"/>
        <w:tblpPr w:leftFromText="180" w:rightFromText="180" w:vertAnchor="text" w:horzAnchor="margin" w:tblpXSpec="center" w:tblpY="-55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625"/>
        <w:gridCol w:w="1494"/>
        <w:gridCol w:w="955"/>
        <w:gridCol w:w="1478"/>
        <w:gridCol w:w="964"/>
        <w:gridCol w:w="1474"/>
        <w:gridCol w:w="1310"/>
      </w:tblGrid>
      <w:tr w:rsidR="002012FC" w:rsidRPr="003A4C85" w14:paraId="4C9DAD83" w14:textId="77777777" w:rsidTr="00291350">
        <w:tc>
          <w:tcPr>
            <w:tcW w:w="10490" w:type="dxa"/>
            <w:gridSpan w:val="8"/>
            <w:tcBorders>
              <w:bottom w:val="single" w:sz="4" w:space="0" w:color="auto"/>
            </w:tcBorders>
          </w:tcPr>
          <w:p w14:paraId="243CD3FF" w14:textId="77777777" w:rsidR="002012FC" w:rsidRPr="00A82EF6" w:rsidRDefault="002012FC" w:rsidP="00291350">
            <w:pPr>
              <w:rPr>
                <w:rFonts w:asciiTheme="majorBidi" w:hAnsiTheme="majorBidi" w:cstheme="majorBidi"/>
              </w:rPr>
            </w:pPr>
            <w:r w:rsidRPr="00A82EF6">
              <w:rPr>
                <w:rFonts w:asciiTheme="majorBidi" w:hAnsiTheme="majorBidi" w:cstheme="majorBidi"/>
              </w:rPr>
              <w:t xml:space="preserve">Table2:  Negative binomial regression </w:t>
            </w:r>
            <w:r>
              <w:rPr>
                <w:rFonts w:asciiTheme="majorBidi" w:hAnsiTheme="majorBidi" w:cstheme="majorBidi"/>
              </w:rPr>
              <w:t>m</w:t>
            </w:r>
            <w:r w:rsidRPr="00A82EF6">
              <w:rPr>
                <w:rFonts w:asciiTheme="majorBidi" w:hAnsiTheme="majorBidi" w:cstheme="majorBidi"/>
              </w:rPr>
              <w:t>odels showing the associations between number of teeth and frailty NHANES 2011-14 (N= 2</w:t>
            </w:r>
            <w:r>
              <w:rPr>
                <w:rFonts w:asciiTheme="majorBidi" w:hAnsiTheme="majorBidi" w:cstheme="majorBidi"/>
              </w:rPr>
              <w:t>,</w:t>
            </w:r>
            <w:r w:rsidRPr="00A82EF6">
              <w:rPr>
                <w:rFonts w:asciiTheme="majorBidi" w:hAnsiTheme="majorBidi" w:cstheme="majorBidi"/>
              </w:rPr>
              <w:t>368)</w:t>
            </w:r>
          </w:p>
        </w:tc>
      </w:tr>
      <w:tr w:rsidR="002012FC" w:rsidRPr="003A4C85" w14:paraId="64E73E9D" w14:textId="77777777" w:rsidTr="00291350">
        <w:tc>
          <w:tcPr>
            <w:tcW w:w="986" w:type="dxa"/>
          </w:tcPr>
          <w:p w14:paraId="58164631" w14:textId="77777777" w:rsidR="002012FC" w:rsidRPr="003A4C85" w:rsidRDefault="002012FC" w:rsidP="00291350">
            <w:pPr>
              <w:rPr>
                <w:rFonts w:asciiTheme="majorBidi" w:hAnsiTheme="majorBidi" w:cstheme="majorBidi"/>
              </w:rPr>
            </w:pPr>
          </w:p>
        </w:tc>
        <w:tc>
          <w:tcPr>
            <w:tcW w:w="1660" w:type="dxa"/>
          </w:tcPr>
          <w:p w14:paraId="698FAA34" w14:textId="77777777" w:rsidR="002012FC" w:rsidRPr="003A4C85" w:rsidRDefault="002012FC" w:rsidP="00291350">
            <w:pPr>
              <w:rPr>
                <w:rFonts w:asciiTheme="majorBidi" w:hAnsiTheme="majorBidi" w:cstheme="majorBidi"/>
              </w:rPr>
            </w:pPr>
          </w:p>
        </w:tc>
        <w:tc>
          <w:tcPr>
            <w:tcW w:w="2465" w:type="dxa"/>
            <w:gridSpan w:val="2"/>
            <w:tcBorders>
              <w:top w:val="single" w:sz="4" w:space="0" w:color="auto"/>
              <w:bottom w:val="single" w:sz="4" w:space="0" w:color="auto"/>
            </w:tcBorders>
          </w:tcPr>
          <w:p w14:paraId="47817604" w14:textId="77777777" w:rsidR="002012FC" w:rsidRPr="003A4C85" w:rsidRDefault="002012FC" w:rsidP="00291350">
            <w:pPr>
              <w:rPr>
                <w:rFonts w:asciiTheme="majorBidi" w:hAnsiTheme="majorBidi" w:cstheme="majorBidi"/>
              </w:rPr>
            </w:pPr>
            <w:r>
              <w:rPr>
                <w:rFonts w:asciiTheme="majorBidi" w:hAnsiTheme="majorBidi" w:cstheme="majorBidi"/>
              </w:rPr>
              <w:t>Model 1</w:t>
            </w:r>
          </w:p>
        </w:tc>
        <w:tc>
          <w:tcPr>
            <w:tcW w:w="2505" w:type="dxa"/>
            <w:gridSpan w:val="2"/>
            <w:tcBorders>
              <w:top w:val="single" w:sz="4" w:space="0" w:color="auto"/>
              <w:bottom w:val="single" w:sz="4" w:space="0" w:color="auto"/>
            </w:tcBorders>
          </w:tcPr>
          <w:p w14:paraId="4C994B39" w14:textId="77777777" w:rsidR="002012FC" w:rsidRPr="003A4C85" w:rsidRDefault="002012FC" w:rsidP="00291350">
            <w:pPr>
              <w:rPr>
                <w:rFonts w:asciiTheme="majorBidi" w:hAnsiTheme="majorBidi" w:cstheme="majorBidi"/>
              </w:rPr>
            </w:pPr>
            <w:r>
              <w:rPr>
                <w:rFonts w:asciiTheme="majorBidi" w:hAnsiTheme="majorBidi" w:cstheme="majorBidi"/>
              </w:rPr>
              <w:t>Model 2</w:t>
            </w:r>
          </w:p>
        </w:tc>
        <w:tc>
          <w:tcPr>
            <w:tcW w:w="2874" w:type="dxa"/>
            <w:gridSpan w:val="2"/>
            <w:tcBorders>
              <w:top w:val="single" w:sz="4" w:space="0" w:color="auto"/>
              <w:bottom w:val="single" w:sz="4" w:space="0" w:color="auto"/>
            </w:tcBorders>
          </w:tcPr>
          <w:p w14:paraId="2FE7A665" w14:textId="77777777" w:rsidR="002012FC" w:rsidRPr="003A4C85" w:rsidRDefault="002012FC" w:rsidP="00291350">
            <w:pPr>
              <w:rPr>
                <w:rFonts w:asciiTheme="majorBidi" w:hAnsiTheme="majorBidi" w:cstheme="majorBidi"/>
              </w:rPr>
            </w:pPr>
            <w:r>
              <w:rPr>
                <w:rFonts w:asciiTheme="majorBidi" w:hAnsiTheme="majorBidi" w:cstheme="majorBidi"/>
              </w:rPr>
              <w:t>Model 3</w:t>
            </w:r>
          </w:p>
        </w:tc>
      </w:tr>
      <w:tr w:rsidR="002012FC" w:rsidRPr="003A4C85" w14:paraId="63A2797D" w14:textId="77777777" w:rsidTr="00291350">
        <w:tc>
          <w:tcPr>
            <w:tcW w:w="986" w:type="dxa"/>
            <w:tcBorders>
              <w:top w:val="single" w:sz="4" w:space="0" w:color="auto"/>
            </w:tcBorders>
            <w:shd w:val="clear" w:color="auto" w:fill="D0CECE" w:themeFill="background2" w:themeFillShade="E6"/>
          </w:tcPr>
          <w:p w14:paraId="165A09A5" w14:textId="77777777" w:rsidR="002012FC" w:rsidRPr="003A4C85" w:rsidRDefault="002012FC" w:rsidP="00291350">
            <w:pPr>
              <w:rPr>
                <w:rFonts w:asciiTheme="majorBidi" w:hAnsiTheme="majorBidi" w:cstheme="majorBidi"/>
              </w:rPr>
            </w:pPr>
          </w:p>
        </w:tc>
        <w:tc>
          <w:tcPr>
            <w:tcW w:w="1660" w:type="dxa"/>
            <w:tcBorders>
              <w:top w:val="single" w:sz="4" w:space="0" w:color="auto"/>
            </w:tcBorders>
            <w:shd w:val="clear" w:color="auto" w:fill="D0CECE" w:themeFill="background2" w:themeFillShade="E6"/>
          </w:tcPr>
          <w:p w14:paraId="1730B50B" w14:textId="77777777" w:rsidR="002012FC" w:rsidRPr="003A4C85" w:rsidRDefault="002012FC" w:rsidP="00291350">
            <w:pPr>
              <w:rPr>
                <w:rFonts w:asciiTheme="majorBidi" w:hAnsiTheme="majorBidi" w:cstheme="majorBidi"/>
              </w:rPr>
            </w:pPr>
          </w:p>
        </w:tc>
        <w:tc>
          <w:tcPr>
            <w:tcW w:w="1505" w:type="dxa"/>
            <w:tcBorders>
              <w:top w:val="single" w:sz="4" w:space="0" w:color="auto"/>
            </w:tcBorders>
          </w:tcPr>
          <w:p w14:paraId="429E2004" w14:textId="77777777" w:rsidR="002012FC" w:rsidRDefault="002012FC" w:rsidP="00291350">
            <w:pPr>
              <w:rPr>
                <w:rFonts w:asciiTheme="majorBidi" w:hAnsiTheme="majorBidi" w:cstheme="majorBidi"/>
              </w:rPr>
            </w:pPr>
            <w:r>
              <w:rPr>
                <w:rFonts w:asciiTheme="majorBidi" w:hAnsiTheme="majorBidi" w:cstheme="majorBidi"/>
              </w:rPr>
              <w:t>RR</w:t>
            </w:r>
          </w:p>
        </w:tc>
        <w:tc>
          <w:tcPr>
            <w:tcW w:w="960" w:type="dxa"/>
            <w:tcBorders>
              <w:top w:val="single" w:sz="4" w:space="0" w:color="auto"/>
            </w:tcBorders>
          </w:tcPr>
          <w:p w14:paraId="473F1C0F"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p-value</w:t>
            </w:r>
          </w:p>
        </w:tc>
        <w:tc>
          <w:tcPr>
            <w:tcW w:w="1536" w:type="dxa"/>
            <w:tcBorders>
              <w:top w:val="single" w:sz="4" w:space="0" w:color="auto"/>
            </w:tcBorders>
          </w:tcPr>
          <w:p w14:paraId="5B2446C9" w14:textId="77777777" w:rsidR="002012FC" w:rsidRDefault="002012FC" w:rsidP="00291350">
            <w:pPr>
              <w:rPr>
                <w:rFonts w:asciiTheme="majorBidi" w:hAnsiTheme="majorBidi" w:cstheme="majorBidi"/>
              </w:rPr>
            </w:pPr>
            <w:r>
              <w:rPr>
                <w:rFonts w:asciiTheme="majorBidi" w:hAnsiTheme="majorBidi" w:cstheme="majorBidi"/>
              </w:rPr>
              <w:t>RR</w:t>
            </w:r>
          </w:p>
        </w:tc>
        <w:tc>
          <w:tcPr>
            <w:tcW w:w="969" w:type="dxa"/>
            <w:tcBorders>
              <w:top w:val="single" w:sz="4" w:space="0" w:color="auto"/>
            </w:tcBorders>
          </w:tcPr>
          <w:p w14:paraId="19BC76F9"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p-value</w:t>
            </w:r>
          </w:p>
        </w:tc>
        <w:tc>
          <w:tcPr>
            <w:tcW w:w="1532" w:type="dxa"/>
            <w:tcBorders>
              <w:top w:val="single" w:sz="4" w:space="0" w:color="auto"/>
            </w:tcBorders>
          </w:tcPr>
          <w:p w14:paraId="6E2CDBC9" w14:textId="77777777" w:rsidR="002012FC" w:rsidRDefault="002012FC" w:rsidP="00291350">
            <w:pPr>
              <w:rPr>
                <w:rFonts w:asciiTheme="majorBidi" w:hAnsiTheme="majorBidi" w:cstheme="majorBidi"/>
              </w:rPr>
            </w:pPr>
            <w:r>
              <w:rPr>
                <w:rFonts w:asciiTheme="majorBidi" w:hAnsiTheme="majorBidi" w:cstheme="majorBidi"/>
              </w:rPr>
              <w:t>RR</w:t>
            </w:r>
          </w:p>
        </w:tc>
        <w:tc>
          <w:tcPr>
            <w:tcW w:w="1342" w:type="dxa"/>
            <w:tcBorders>
              <w:top w:val="single" w:sz="4" w:space="0" w:color="auto"/>
            </w:tcBorders>
          </w:tcPr>
          <w:p w14:paraId="49F8AA1A"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p-value</w:t>
            </w:r>
          </w:p>
        </w:tc>
      </w:tr>
      <w:tr w:rsidR="002012FC" w:rsidRPr="003A4C85" w14:paraId="12B3F32B" w14:textId="77777777" w:rsidTr="00291350">
        <w:tc>
          <w:tcPr>
            <w:tcW w:w="986" w:type="dxa"/>
            <w:shd w:val="clear" w:color="auto" w:fill="D0CECE" w:themeFill="background2" w:themeFillShade="E6"/>
          </w:tcPr>
          <w:p w14:paraId="6B1BACA4" w14:textId="77777777" w:rsidR="002012FC" w:rsidRPr="003A4C85" w:rsidRDefault="002012FC" w:rsidP="00291350">
            <w:pPr>
              <w:rPr>
                <w:rFonts w:asciiTheme="majorBidi" w:hAnsiTheme="majorBidi" w:cstheme="majorBidi"/>
              </w:rPr>
            </w:pPr>
            <w:r w:rsidRPr="003A4C85">
              <w:rPr>
                <w:rFonts w:asciiTheme="majorBidi" w:hAnsiTheme="majorBidi" w:cstheme="majorBidi"/>
              </w:rPr>
              <w:t>Age</w:t>
            </w:r>
          </w:p>
        </w:tc>
        <w:tc>
          <w:tcPr>
            <w:tcW w:w="1660" w:type="dxa"/>
            <w:shd w:val="clear" w:color="auto" w:fill="D0CECE" w:themeFill="background2" w:themeFillShade="E6"/>
          </w:tcPr>
          <w:p w14:paraId="1FBAEF90" w14:textId="77777777" w:rsidR="002012FC" w:rsidRPr="003A4C85" w:rsidRDefault="002012FC" w:rsidP="00291350">
            <w:pPr>
              <w:rPr>
                <w:rFonts w:asciiTheme="majorBidi" w:hAnsiTheme="majorBidi" w:cstheme="majorBidi"/>
              </w:rPr>
            </w:pPr>
          </w:p>
        </w:tc>
        <w:tc>
          <w:tcPr>
            <w:tcW w:w="1505" w:type="dxa"/>
          </w:tcPr>
          <w:p w14:paraId="61853503" w14:textId="77777777" w:rsidR="002012FC" w:rsidRPr="003A4C85" w:rsidRDefault="002012FC" w:rsidP="00291350">
            <w:pPr>
              <w:rPr>
                <w:rFonts w:asciiTheme="majorBidi" w:hAnsiTheme="majorBidi" w:cstheme="majorBidi"/>
              </w:rPr>
            </w:pPr>
            <w:r>
              <w:rPr>
                <w:rFonts w:asciiTheme="majorBidi" w:hAnsiTheme="majorBidi" w:cstheme="majorBidi"/>
              </w:rPr>
              <w:t>1.01</w:t>
            </w:r>
          </w:p>
          <w:p w14:paraId="4E4F9BCA" w14:textId="77777777" w:rsidR="002012FC" w:rsidRPr="003A4C85" w:rsidRDefault="002012FC" w:rsidP="00291350">
            <w:pPr>
              <w:rPr>
                <w:rFonts w:asciiTheme="majorBidi" w:hAnsiTheme="majorBidi" w:cstheme="majorBidi"/>
              </w:rPr>
            </w:pPr>
            <w:r w:rsidRPr="003A4C85">
              <w:rPr>
                <w:rFonts w:asciiTheme="majorBidi" w:hAnsiTheme="majorBidi" w:cstheme="majorBidi"/>
              </w:rPr>
              <w:t>(</w:t>
            </w:r>
            <w:r>
              <w:rPr>
                <w:rFonts w:asciiTheme="majorBidi" w:hAnsiTheme="majorBidi" w:cstheme="majorBidi"/>
              </w:rPr>
              <w:t>1.00</w:t>
            </w:r>
            <w:r w:rsidRPr="003A4C85">
              <w:rPr>
                <w:rFonts w:asciiTheme="majorBidi" w:hAnsiTheme="majorBidi" w:cstheme="majorBidi"/>
              </w:rPr>
              <w:t xml:space="preserve">- </w:t>
            </w:r>
            <w:r>
              <w:rPr>
                <w:rFonts w:asciiTheme="majorBidi" w:hAnsiTheme="majorBidi" w:cstheme="majorBidi"/>
              </w:rPr>
              <w:t>1.02</w:t>
            </w:r>
            <w:r w:rsidRPr="003A4C85">
              <w:rPr>
                <w:rFonts w:asciiTheme="majorBidi" w:hAnsiTheme="majorBidi" w:cstheme="majorBidi"/>
              </w:rPr>
              <w:t>)</w:t>
            </w:r>
          </w:p>
        </w:tc>
        <w:tc>
          <w:tcPr>
            <w:tcW w:w="960" w:type="dxa"/>
          </w:tcPr>
          <w:p w14:paraId="5F187D35"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536" w:type="dxa"/>
          </w:tcPr>
          <w:p w14:paraId="49883883" w14:textId="77777777" w:rsidR="002012FC" w:rsidRPr="003A4C85" w:rsidRDefault="002012FC" w:rsidP="00291350">
            <w:pPr>
              <w:rPr>
                <w:rFonts w:asciiTheme="majorBidi" w:hAnsiTheme="majorBidi" w:cstheme="majorBidi"/>
              </w:rPr>
            </w:pPr>
            <w:r>
              <w:rPr>
                <w:rFonts w:asciiTheme="majorBidi" w:hAnsiTheme="majorBidi" w:cstheme="majorBidi"/>
              </w:rPr>
              <w:t>1.01</w:t>
            </w:r>
          </w:p>
          <w:p w14:paraId="09ECE6C4" w14:textId="77777777" w:rsidR="002012FC" w:rsidRPr="003A4C85" w:rsidRDefault="002012FC" w:rsidP="00291350">
            <w:pPr>
              <w:rPr>
                <w:rFonts w:asciiTheme="majorBidi" w:hAnsiTheme="majorBidi" w:cstheme="majorBidi"/>
              </w:rPr>
            </w:pPr>
            <w:r w:rsidRPr="003A4C85">
              <w:rPr>
                <w:rFonts w:asciiTheme="majorBidi" w:hAnsiTheme="majorBidi" w:cstheme="majorBidi"/>
              </w:rPr>
              <w:t>(</w:t>
            </w:r>
            <w:r>
              <w:rPr>
                <w:rFonts w:asciiTheme="majorBidi" w:hAnsiTheme="majorBidi" w:cstheme="majorBidi"/>
              </w:rPr>
              <w:t>1.00</w:t>
            </w:r>
            <w:r w:rsidRPr="003A4C85">
              <w:rPr>
                <w:rFonts w:asciiTheme="majorBidi" w:hAnsiTheme="majorBidi" w:cstheme="majorBidi"/>
              </w:rPr>
              <w:t xml:space="preserve"> – </w:t>
            </w:r>
            <w:r>
              <w:rPr>
                <w:rFonts w:asciiTheme="majorBidi" w:hAnsiTheme="majorBidi" w:cstheme="majorBidi"/>
              </w:rPr>
              <w:t>1.01)</w:t>
            </w:r>
          </w:p>
        </w:tc>
        <w:tc>
          <w:tcPr>
            <w:tcW w:w="969" w:type="dxa"/>
          </w:tcPr>
          <w:p w14:paraId="605D9344"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532" w:type="dxa"/>
          </w:tcPr>
          <w:p w14:paraId="00E77C09" w14:textId="77777777" w:rsidR="002012FC" w:rsidRDefault="002012FC" w:rsidP="00291350">
            <w:pPr>
              <w:rPr>
                <w:rFonts w:asciiTheme="majorBidi" w:hAnsiTheme="majorBidi" w:cstheme="majorBidi"/>
              </w:rPr>
            </w:pPr>
            <w:r>
              <w:rPr>
                <w:rFonts w:asciiTheme="majorBidi" w:hAnsiTheme="majorBidi" w:cstheme="majorBidi"/>
              </w:rPr>
              <w:t>1.01</w:t>
            </w:r>
          </w:p>
          <w:p w14:paraId="4B8E2110" w14:textId="77777777" w:rsidR="002012FC" w:rsidRPr="003A4C85" w:rsidRDefault="002012FC" w:rsidP="00291350">
            <w:pPr>
              <w:rPr>
                <w:rFonts w:asciiTheme="majorBidi" w:hAnsiTheme="majorBidi" w:cstheme="majorBidi"/>
              </w:rPr>
            </w:pPr>
            <w:r>
              <w:rPr>
                <w:rFonts w:asciiTheme="majorBidi" w:hAnsiTheme="majorBidi" w:cstheme="majorBidi"/>
              </w:rPr>
              <w:t>(1.00 – 1.01)</w:t>
            </w:r>
          </w:p>
        </w:tc>
        <w:tc>
          <w:tcPr>
            <w:tcW w:w="1342" w:type="dxa"/>
          </w:tcPr>
          <w:p w14:paraId="26973AB5"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r>
      <w:tr w:rsidR="002012FC" w:rsidRPr="003A4C85" w14:paraId="168BDAEA" w14:textId="77777777" w:rsidTr="00291350">
        <w:tc>
          <w:tcPr>
            <w:tcW w:w="986" w:type="dxa"/>
            <w:shd w:val="clear" w:color="auto" w:fill="D0CECE" w:themeFill="background2" w:themeFillShade="E6"/>
          </w:tcPr>
          <w:p w14:paraId="1C84820E" w14:textId="77777777" w:rsidR="002012FC" w:rsidRPr="003A4C85" w:rsidRDefault="002012FC" w:rsidP="00291350">
            <w:pPr>
              <w:rPr>
                <w:rFonts w:asciiTheme="majorBidi" w:hAnsiTheme="majorBidi" w:cstheme="majorBidi"/>
              </w:rPr>
            </w:pPr>
            <w:r w:rsidRPr="003A4C85">
              <w:rPr>
                <w:rFonts w:asciiTheme="majorBidi" w:hAnsiTheme="majorBidi" w:cstheme="majorBidi"/>
              </w:rPr>
              <w:t>Gender</w:t>
            </w:r>
          </w:p>
        </w:tc>
        <w:tc>
          <w:tcPr>
            <w:tcW w:w="1660" w:type="dxa"/>
            <w:shd w:val="clear" w:color="auto" w:fill="D0CECE" w:themeFill="background2" w:themeFillShade="E6"/>
          </w:tcPr>
          <w:p w14:paraId="227E06DD" w14:textId="77777777" w:rsidR="002012FC" w:rsidRPr="003A4C85" w:rsidRDefault="002012FC" w:rsidP="00291350">
            <w:pPr>
              <w:rPr>
                <w:rFonts w:asciiTheme="majorBidi" w:hAnsiTheme="majorBidi" w:cstheme="majorBidi"/>
              </w:rPr>
            </w:pPr>
            <w:r w:rsidRPr="003A4C85">
              <w:rPr>
                <w:rFonts w:asciiTheme="majorBidi" w:hAnsiTheme="majorBidi" w:cstheme="majorBidi"/>
              </w:rPr>
              <w:t xml:space="preserve">Male </w:t>
            </w:r>
          </w:p>
        </w:tc>
        <w:tc>
          <w:tcPr>
            <w:tcW w:w="1505" w:type="dxa"/>
            <w:shd w:val="clear" w:color="auto" w:fill="E7E6E6" w:themeFill="background2"/>
          </w:tcPr>
          <w:p w14:paraId="57DA1377" w14:textId="77777777" w:rsidR="002012FC" w:rsidRPr="003A4C85" w:rsidRDefault="002012FC" w:rsidP="00291350">
            <w:pPr>
              <w:rPr>
                <w:rFonts w:asciiTheme="majorBidi" w:hAnsiTheme="majorBidi" w:cstheme="majorBidi"/>
              </w:rPr>
            </w:pPr>
            <w:r w:rsidRPr="003A4C85">
              <w:rPr>
                <w:rFonts w:asciiTheme="majorBidi" w:hAnsiTheme="majorBidi" w:cstheme="majorBidi"/>
              </w:rPr>
              <w:t>(Reference)</w:t>
            </w:r>
          </w:p>
        </w:tc>
        <w:tc>
          <w:tcPr>
            <w:tcW w:w="960" w:type="dxa"/>
            <w:shd w:val="clear" w:color="auto" w:fill="E7E6E6" w:themeFill="background2"/>
          </w:tcPr>
          <w:p w14:paraId="6429AB7F" w14:textId="77777777" w:rsidR="002012FC" w:rsidRPr="003A4C85" w:rsidRDefault="002012FC" w:rsidP="00291350">
            <w:pPr>
              <w:rPr>
                <w:rFonts w:asciiTheme="majorBidi" w:hAnsiTheme="majorBidi" w:cstheme="majorBidi"/>
              </w:rPr>
            </w:pPr>
          </w:p>
        </w:tc>
        <w:tc>
          <w:tcPr>
            <w:tcW w:w="1536" w:type="dxa"/>
            <w:shd w:val="clear" w:color="auto" w:fill="E7E6E6" w:themeFill="background2"/>
          </w:tcPr>
          <w:p w14:paraId="2DA51D3A" w14:textId="77777777" w:rsidR="002012FC" w:rsidRPr="003A4C85" w:rsidRDefault="002012FC" w:rsidP="00291350">
            <w:pPr>
              <w:rPr>
                <w:rFonts w:asciiTheme="majorBidi" w:hAnsiTheme="majorBidi" w:cstheme="majorBidi"/>
              </w:rPr>
            </w:pPr>
          </w:p>
        </w:tc>
        <w:tc>
          <w:tcPr>
            <w:tcW w:w="969" w:type="dxa"/>
            <w:shd w:val="clear" w:color="auto" w:fill="E7E6E6" w:themeFill="background2"/>
          </w:tcPr>
          <w:p w14:paraId="325EF7BD" w14:textId="77777777" w:rsidR="002012FC" w:rsidRPr="003A4C85" w:rsidRDefault="002012FC" w:rsidP="00291350">
            <w:pPr>
              <w:rPr>
                <w:rFonts w:asciiTheme="majorBidi" w:hAnsiTheme="majorBidi" w:cstheme="majorBidi"/>
              </w:rPr>
            </w:pPr>
          </w:p>
        </w:tc>
        <w:tc>
          <w:tcPr>
            <w:tcW w:w="1532" w:type="dxa"/>
            <w:shd w:val="clear" w:color="auto" w:fill="E7E6E6" w:themeFill="background2"/>
          </w:tcPr>
          <w:p w14:paraId="0052D3F2" w14:textId="77777777" w:rsidR="002012FC" w:rsidRPr="003A4C85" w:rsidRDefault="002012FC" w:rsidP="00291350">
            <w:pPr>
              <w:rPr>
                <w:rFonts w:asciiTheme="majorBidi" w:hAnsiTheme="majorBidi" w:cstheme="majorBidi"/>
              </w:rPr>
            </w:pPr>
          </w:p>
        </w:tc>
        <w:tc>
          <w:tcPr>
            <w:tcW w:w="1342" w:type="dxa"/>
            <w:shd w:val="clear" w:color="auto" w:fill="E7E6E6" w:themeFill="background2"/>
          </w:tcPr>
          <w:p w14:paraId="0499ACEE" w14:textId="77777777" w:rsidR="002012FC" w:rsidRPr="003A4C85" w:rsidRDefault="002012FC" w:rsidP="00291350">
            <w:pPr>
              <w:rPr>
                <w:rFonts w:asciiTheme="majorBidi" w:hAnsiTheme="majorBidi" w:cstheme="majorBidi"/>
              </w:rPr>
            </w:pPr>
          </w:p>
        </w:tc>
      </w:tr>
      <w:tr w:rsidR="002012FC" w:rsidRPr="003A4C85" w14:paraId="235DDBCF" w14:textId="77777777" w:rsidTr="00291350">
        <w:tc>
          <w:tcPr>
            <w:tcW w:w="986" w:type="dxa"/>
            <w:shd w:val="clear" w:color="auto" w:fill="D0CECE" w:themeFill="background2" w:themeFillShade="E6"/>
          </w:tcPr>
          <w:p w14:paraId="0E5A0A8E"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2F539815" w14:textId="77777777" w:rsidR="002012FC" w:rsidRPr="003A4C85" w:rsidRDefault="002012FC" w:rsidP="00291350">
            <w:pPr>
              <w:rPr>
                <w:rFonts w:asciiTheme="majorBidi" w:hAnsiTheme="majorBidi" w:cstheme="majorBidi"/>
              </w:rPr>
            </w:pPr>
            <w:r w:rsidRPr="003A4C85">
              <w:rPr>
                <w:rFonts w:asciiTheme="majorBidi" w:hAnsiTheme="majorBidi" w:cstheme="majorBidi"/>
              </w:rPr>
              <w:t>Female</w:t>
            </w:r>
          </w:p>
        </w:tc>
        <w:tc>
          <w:tcPr>
            <w:tcW w:w="1505" w:type="dxa"/>
          </w:tcPr>
          <w:p w14:paraId="34FE1916" w14:textId="77777777" w:rsidR="002012FC" w:rsidRPr="003A4C85" w:rsidRDefault="002012FC" w:rsidP="00291350">
            <w:pPr>
              <w:rPr>
                <w:rFonts w:asciiTheme="majorBidi" w:hAnsiTheme="majorBidi" w:cstheme="majorBidi"/>
              </w:rPr>
            </w:pPr>
            <w:r>
              <w:rPr>
                <w:rFonts w:asciiTheme="majorBidi" w:hAnsiTheme="majorBidi" w:cstheme="majorBidi"/>
              </w:rPr>
              <w:t>1.14</w:t>
            </w:r>
          </w:p>
          <w:p w14:paraId="13152CB6" w14:textId="77777777" w:rsidR="002012FC" w:rsidRPr="003A4C85" w:rsidRDefault="002012FC" w:rsidP="00291350">
            <w:pPr>
              <w:rPr>
                <w:rFonts w:asciiTheme="majorBidi" w:hAnsiTheme="majorBidi" w:cstheme="majorBidi"/>
              </w:rPr>
            </w:pPr>
            <w:r w:rsidRPr="003A4C85">
              <w:rPr>
                <w:rFonts w:asciiTheme="majorBidi" w:hAnsiTheme="majorBidi" w:cstheme="majorBidi"/>
              </w:rPr>
              <w:t>(1.</w:t>
            </w:r>
            <w:r>
              <w:rPr>
                <w:rFonts w:asciiTheme="majorBidi" w:hAnsiTheme="majorBidi" w:cstheme="majorBidi"/>
              </w:rPr>
              <w:t>07</w:t>
            </w:r>
            <w:r w:rsidRPr="003A4C85">
              <w:rPr>
                <w:rFonts w:asciiTheme="majorBidi" w:hAnsiTheme="majorBidi" w:cstheme="majorBidi"/>
              </w:rPr>
              <w:t xml:space="preserve"> – </w:t>
            </w:r>
            <w:r>
              <w:rPr>
                <w:rFonts w:asciiTheme="majorBidi" w:hAnsiTheme="majorBidi" w:cstheme="majorBidi"/>
              </w:rPr>
              <w:t>1.22</w:t>
            </w:r>
            <w:r w:rsidRPr="003A4C85">
              <w:rPr>
                <w:rFonts w:asciiTheme="majorBidi" w:hAnsiTheme="majorBidi" w:cstheme="majorBidi"/>
              </w:rPr>
              <w:t>)</w:t>
            </w:r>
          </w:p>
        </w:tc>
        <w:tc>
          <w:tcPr>
            <w:tcW w:w="960" w:type="dxa"/>
          </w:tcPr>
          <w:p w14:paraId="2E60F76E"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536" w:type="dxa"/>
          </w:tcPr>
          <w:p w14:paraId="590106B9" w14:textId="77777777" w:rsidR="002012FC" w:rsidRPr="003A4C85" w:rsidRDefault="002012FC" w:rsidP="00291350">
            <w:pPr>
              <w:rPr>
                <w:rFonts w:asciiTheme="majorBidi" w:hAnsiTheme="majorBidi" w:cstheme="majorBidi"/>
              </w:rPr>
            </w:pPr>
            <w:r>
              <w:rPr>
                <w:rFonts w:asciiTheme="majorBidi" w:hAnsiTheme="majorBidi" w:cstheme="majorBidi"/>
              </w:rPr>
              <w:t>1.16</w:t>
            </w:r>
          </w:p>
          <w:p w14:paraId="176BBB8B" w14:textId="77777777" w:rsidR="002012FC" w:rsidRPr="003A4C85" w:rsidRDefault="002012FC" w:rsidP="00291350">
            <w:pPr>
              <w:rPr>
                <w:rFonts w:asciiTheme="majorBidi" w:hAnsiTheme="majorBidi" w:cstheme="majorBidi"/>
              </w:rPr>
            </w:pPr>
            <w:r w:rsidRPr="003A4C85">
              <w:rPr>
                <w:rFonts w:asciiTheme="majorBidi" w:hAnsiTheme="majorBidi" w:cstheme="majorBidi"/>
              </w:rPr>
              <w:t>(1.</w:t>
            </w:r>
            <w:r>
              <w:rPr>
                <w:rFonts w:asciiTheme="majorBidi" w:hAnsiTheme="majorBidi" w:cstheme="majorBidi"/>
              </w:rPr>
              <w:t>08</w:t>
            </w:r>
            <w:r w:rsidRPr="003A4C85">
              <w:rPr>
                <w:rFonts w:asciiTheme="majorBidi" w:hAnsiTheme="majorBidi" w:cstheme="majorBidi"/>
              </w:rPr>
              <w:t xml:space="preserve"> – </w:t>
            </w:r>
            <w:r>
              <w:rPr>
                <w:rFonts w:asciiTheme="majorBidi" w:hAnsiTheme="majorBidi" w:cstheme="majorBidi"/>
              </w:rPr>
              <w:t>1.25</w:t>
            </w:r>
            <w:r w:rsidRPr="003A4C85">
              <w:rPr>
                <w:rFonts w:asciiTheme="majorBidi" w:hAnsiTheme="majorBidi" w:cstheme="majorBidi"/>
              </w:rPr>
              <w:t>)</w:t>
            </w:r>
          </w:p>
        </w:tc>
        <w:tc>
          <w:tcPr>
            <w:tcW w:w="969" w:type="dxa"/>
          </w:tcPr>
          <w:p w14:paraId="1B067480"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532" w:type="dxa"/>
          </w:tcPr>
          <w:p w14:paraId="61B02465" w14:textId="77777777" w:rsidR="002012FC" w:rsidRDefault="002012FC" w:rsidP="00291350">
            <w:pPr>
              <w:rPr>
                <w:rFonts w:asciiTheme="majorBidi" w:hAnsiTheme="majorBidi" w:cstheme="majorBidi"/>
              </w:rPr>
            </w:pPr>
            <w:r>
              <w:rPr>
                <w:rFonts w:asciiTheme="majorBidi" w:hAnsiTheme="majorBidi" w:cstheme="majorBidi"/>
              </w:rPr>
              <w:t>1.14</w:t>
            </w:r>
          </w:p>
          <w:p w14:paraId="3D7124FD" w14:textId="77777777" w:rsidR="002012FC" w:rsidRPr="003A4C85" w:rsidRDefault="002012FC" w:rsidP="00291350">
            <w:pPr>
              <w:rPr>
                <w:rFonts w:asciiTheme="majorBidi" w:hAnsiTheme="majorBidi" w:cstheme="majorBidi"/>
              </w:rPr>
            </w:pPr>
            <w:r>
              <w:rPr>
                <w:rFonts w:asciiTheme="majorBidi" w:hAnsiTheme="majorBidi" w:cstheme="majorBidi"/>
              </w:rPr>
              <w:t>(1.06 -1.23)</w:t>
            </w:r>
          </w:p>
        </w:tc>
        <w:tc>
          <w:tcPr>
            <w:tcW w:w="1342" w:type="dxa"/>
          </w:tcPr>
          <w:p w14:paraId="38A4BFC6"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r>
      <w:tr w:rsidR="002012FC" w:rsidRPr="003A4C85" w14:paraId="045CA9C1" w14:textId="77777777" w:rsidTr="00291350">
        <w:tc>
          <w:tcPr>
            <w:tcW w:w="2646" w:type="dxa"/>
            <w:gridSpan w:val="2"/>
            <w:shd w:val="clear" w:color="auto" w:fill="D0CECE" w:themeFill="background2" w:themeFillShade="E6"/>
          </w:tcPr>
          <w:p w14:paraId="62C6559C" w14:textId="77777777" w:rsidR="002012FC" w:rsidRPr="003A4C85" w:rsidRDefault="002012FC" w:rsidP="00291350">
            <w:pPr>
              <w:rPr>
                <w:rFonts w:asciiTheme="majorBidi" w:hAnsiTheme="majorBidi" w:cstheme="majorBidi"/>
              </w:rPr>
            </w:pPr>
            <w:r w:rsidRPr="003A4C85">
              <w:rPr>
                <w:rFonts w:asciiTheme="majorBidi" w:hAnsiTheme="majorBidi" w:cstheme="majorBidi"/>
              </w:rPr>
              <w:t>Number of teeth</w:t>
            </w:r>
          </w:p>
        </w:tc>
        <w:tc>
          <w:tcPr>
            <w:tcW w:w="1505" w:type="dxa"/>
          </w:tcPr>
          <w:p w14:paraId="6DCF3176" w14:textId="77777777" w:rsidR="002012FC" w:rsidRPr="003A4C85" w:rsidRDefault="002012FC" w:rsidP="00291350">
            <w:pPr>
              <w:rPr>
                <w:rFonts w:asciiTheme="majorBidi" w:hAnsiTheme="majorBidi" w:cstheme="majorBidi"/>
              </w:rPr>
            </w:pPr>
            <w:r>
              <w:rPr>
                <w:rFonts w:asciiTheme="majorBidi" w:hAnsiTheme="majorBidi" w:cstheme="majorBidi"/>
              </w:rPr>
              <w:t>0.98</w:t>
            </w:r>
          </w:p>
          <w:p w14:paraId="40A97C5F" w14:textId="77777777" w:rsidR="002012FC" w:rsidRPr="003A4C85" w:rsidRDefault="002012FC" w:rsidP="00291350">
            <w:pPr>
              <w:rPr>
                <w:rFonts w:asciiTheme="majorBidi" w:hAnsiTheme="majorBidi" w:cstheme="majorBidi"/>
              </w:rPr>
            </w:pPr>
            <w:r>
              <w:rPr>
                <w:rFonts w:asciiTheme="majorBidi" w:hAnsiTheme="majorBidi" w:cstheme="majorBidi"/>
              </w:rPr>
              <w:t>(0.97 – 0.99)</w:t>
            </w:r>
          </w:p>
        </w:tc>
        <w:tc>
          <w:tcPr>
            <w:tcW w:w="960" w:type="dxa"/>
          </w:tcPr>
          <w:p w14:paraId="41150FC5"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536" w:type="dxa"/>
          </w:tcPr>
          <w:p w14:paraId="600AC870" w14:textId="77777777" w:rsidR="002012FC" w:rsidRDefault="002012FC" w:rsidP="00291350">
            <w:pPr>
              <w:rPr>
                <w:rFonts w:asciiTheme="majorBidi" w:hAnsiTheme="majorBidi" w:cstheme="majorBidi"/>
              </w:rPr>
            </w:pPr>
            <w:r>
              <w:rPr>
                <w:rFonts w:asciiTheme="majorBidi" w:hAnsiTheme="majorBidi" w:cstheme="majorBidi"/>
              </w:rPr>
              <w:t>0.98</w:t>
            </w:r>
          </w:p>
          <w:p w14:paraId="18B862A8" w14:textId="77777777" w:rsidR="002012FC" w:rsidRPr="003A4C85" w:rsidRDefault="002012FC" w:rsidP="00291350">
            <w:pPr>
              <w:rPr>
                <w:rFonts w:asciiTheme="majorBidi" w:hAnsiTheme="majorBidi" w:cstheme="majorBidi"/>
              </w:rPr>
            </w:pPr>
            <w:r>
              <w:rPr>
                <w:rFonts w:asciiTheme="majorBidi" w:hAnsiTheme="majorBidi" w:cstheme="majorBidi"/>
              </w:rPr>
              <w:t>(0.98 – 0.99)</w:t>
            </w:r>
          </w:p>
        </w:tc>
        <w:tc>
          <w:tcPr>
            <w:tcW w:w="969" w:type="dxa"/>
          </w:tcPr>
          <w:p w14:paraId="74AD8512"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532" w:type="dxa"/>
          </w:tcPr>
          <w:p w14:paraId="3FD6ECAA" w14:textId="77777777" w:rsidR="002012FC" w:rsidRDefault="002012FC" w:rsidP="00291350">
            <w:pPr>
              <w:rPr>
                <w:rFonts w:asciiTheme="majorBidi" w:hAnsiTheme="majorBidi" w:cstheme="majorBidi"/>
              </w:rPr>
            </w:pPr>
            <w:r>
              <w:rPr>
                <w:rFonts w:asciiTheme="majorBidi" w:hAnsiTheme="majorBidi" w:cstheme="majorBidi"/>
              </w:rPr>
              <w:t>0.99</w:t>
            </w:r>
          </w:p>
          <w:p w14:paraId="3342099B" w14:textId="77777777" w:rsidR="002012FC" w:rsidRPr="003A4C85" w:rsidRDefault="002012FC" w:rsidP="00291350">
            <w:pPr>
              <w:rPr>
                <w:rFonts w:asciiTheme="majorBidi" w:hAnsiTheme="majorBidi" w:cstheme="majorBidi"/>
              </w:rPr>
            </w:pPr>
            <w:r>
              <w:rPr>
                <w:rFonts w:asciiTheme="majorBidi" w:hAnsiTheme="majorBidi" w:cstheme="majorBidi"/>
              </w:rPr>
              <w:t>(0.98 – 0.99)</w:t>
            </w:r>
          </w:p>
        </w:tc>
        <w:tc>
          <w:tcPr>
            <w:tcW w:w="1342" w:type="dxa"/>
          </w:tcPr>
          <w:p w14:paraId="07773C9B"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r>
      <w:tr w:rsidR="002012FC" w:rsidRPr="003A4C85" w14:paraId="2F808EE3" w14:textId="77777777" w:rsidTr="00291350">
        <w:tc>
          <w:tcPr>
            <w:tcW w:w="2646" w:type="dxa"/>
            <w:gridSpan w:val="2"/>
            <w:shd w:val="clear" w:color="auto" w:fill="D0CECE" w:themeFill="background2" w:themeFillShade="E6"/>
          </w:tcPr>
          <w:p w14:paraId="71E9015D" w14:textId="77777777" w:rsidR="002012FC" w:rsidRPr="003A4C85" w:rsidRDefault="002012FC" w:rsidP="00291350">
            <w:pPr>
              <w:rPr>
                <w:rFonts w:asciiTheme="majorBidi" w:hAnsiTheme="majorBidi" w:cstheme="majorBidi"/>
              </w:rPr>
            </w:pPr>
            <w:r>
              <w:rPr>
                <w:rFonts w:asciiTheme="majorBidi" w:hAnsiTheme="majorBidi" w:cstheme="majorBidi"/>
              </w:rPr>
              <w:t>Inadequate n</w:t>
            </w:r>
            <w:r w:rsidRPr="003A4C85">
              <w:rPr>
                <w:rFonts w:asciiTheme="majorBidi" w:hAnsiTheme="majorBidi" w:cstheme="majorBidi"/>
              </w:rPr>
              <w:t xml:space="preserve">utritional </w:t>
            </w:r>
            <w:r>
              <w:rPr>
                <w:rFonts w:asciiTheme="majorBidi" w:hAnsiTheme="majorBidi" w:cstheme="majorBidi"/>
              </w:rPr>
              <w:t>intake</w:t>
            </w:r>
          </w:p>
        </w:tc>
        <w:tc>
          <w:tcPr>
            <w:tcW w:w="1505" w:type="dxa"/>
          </w:tcPr>
          <w:p w14:paraId="12E64C17" w14:textId="77777777" w:rsidR="002012FC" w:rsidRDefault="002012FC" w:rsidP="00291350">
            <w:pPr>
              <w:rPr>
                <w:rFonts w:asciiTheme="majorBidi" w:hAnsiTheme="majorBidi" w:cstheme="majorBidi"/>
              </w:rPr>
            </w:pPr>
          </w:p>
        </w:tc>
        <w:tc>
          <w:tcPr>
            <w:tcW w:w="960" w:type="dxa"/>
          </w:tcPr>
          <w:p w14:paraId="2801D936"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69F6B1B3" w14:textId="77777777" w:rsidR="002012FC" w:rsidRDefault="002012FC" w:rsidP="00291350">
            <w:pPr>
              <w:rPr>
                <w:rFonts w:asciiTheme="majorBidi" w:hAnsiTheme="majorBidi" w:cstheme="majorBidi"/>
              </w:rPr>
            </w:pPr>
            <w:r>
              <w:rPr>
                <w:rFonts w:asciiTheme="majorBidi" w:hAnsiTheme="majorBidi" w:cstheme="majorBidi"/>
              </w:rPr>
              <w:t>1.02</w:t>
            </w:r>
          </w:p>
          <w:p w14:paraId="380C0C00" w14:textId="77777777" w:rsidR="002012FC" w:rsidRPr="003A4C85" w:rsidRDefault="002012FC" w:rsidP="00291350">
            <w:pPr>
              <w:rPr>
                <w:rFonts w:asciiTheme="majorBidi" w:hAnsiTheme="majorBidi" w:cstheme="majorBidi"/>
              </w:rPr>
            </w:pPr>
            <w:r>
              <w:rPr>
                <w:rFonts w:asciiTheme="majorBidi" w:hAnsiTheme="majorBidi" w:cstheme="majorBidi"/>
              </w:rPr>
              <w:t>(1.01 – 1.03)</w:t>
            </w:r>
          </w:p>
        </w:tc>
        <w:tc>
          <w:tcPr>
            <w:tcW w:w="969" w:type="dxa"/>
          </w:tcPr>
          <w:p w14:paraId="41352C06" w14:textId="77777777" w:rsidR="002012FC" w:rsidRPr="003A4C85" w:rsidRDefault="002012FC" w:rsidP="00291350">
            <w:pPr>
              <w:rPr>
                <w:rFonts w:asciiTheme="majorBidi" w:hAnsiTheme="majorBidi" w:cstheme="majorBidi"/>
                <w:color w:val="000000"/>
                <w:shd w:val="clear" w:color="auto" w:fill="FFFFFF"/>
              </w:rPr>
            </w:pPr>
            <w:r w:rsidRPr="003A4C85">
              <w:rPr>
                <w:rFonts w:asciiTheme="majorBidi" w:hAnsiTheme="majorBidi" w:cstheme="majorBidi"/>
                <w:color w:val="000000"/>
                <w:shd w:val="clear" w:color="auto" w:fill="FFFFFF"/>
              </w:rPr>
              <w:t>&lt;0.001</w:t>
            </w:r>
          </w:p>
        </w:tc>
        <w:tc>
          <w:tcPr>
            <w:tcW w:w="1532" w:type="dxa"/>
          </w:tcPr>
          <w:p w14:paraId="2FE6BBB8" w14:textId="77777777" w:rsidR="002012FC" w:rsidRDefault="002012FC" w:rsidP="00291350">
            <w:pPr>
              <w:rPr>
                <w:rFonts w:asciiTheme="majorBidi" w:hAnsiTheme="majorBidi" w:cstheme="majorBidi"/>
              </w:rPr>
            </w:pPr>
            <w:r>
              <w:rPr>
                <w:rFonts w:asciiTheme="majorBidi" w:hAnsiTheme="majorBidi" w:cstheme="majorBidi"/>
              </w:rPr>
              <w:t>1.01</w:t>
            </w:r>
          </w:p>
          <w:p w14:paraId="41BC5E01" w14:textId="77777777" w:rsidR="002012FC" w:rsidRPr="003A4C85" w:rsidRDefault="002012FC" w:rsidP="00291350">
            <w:pPr>
              <w:rPr>
                <w:rFonts w:asciiTheme="majorBidi" w:hAnsiTheme="majorBidi" w:cstheme="majorBidi"/>
              </w:rPr>
            </w:pPr>
            <w:r>
              <w:rPr>
                <w:rFonts w:asciiTheme="majorBidi" w:hAnsiTheme="majorBidi" w:cstheme="majorBidi"/>
              </w:rPr>
              <w:t>(1.00 – 1.02)</w:t>
            </w:r>
          </w:p>
        </w:tc>
        <w:tc>
          <w:tcPr>
            <w:tcW w:w="1342" w:type="dxa"/>
          </w:tcPr>
          <w:p w14:paraId="726F363C"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0.00</w:t>
            </w:r>
            <w:r>
              <w:rPr>
                <w:rFonts w:asciiTheme="majorBidi" w:hAnsiTheme="majorBidi" w:cstheme="majorBidi"/>
                <w:color w:val="000000"/>
                <w:shd w:val="clear" w:color="auto" w:fill="FFFFFF"/>
              </w:rPr>
              <w:t>8</w:t>
            </w:r>
          </w:p>
        </w:tc>
      </w:tr>
      <w:tr w:rsidR="002012FC" w:rsidRPr="003A4C85" w14:paraId="637339C9" w14:textId="77777777" w:rsidTr="00291350">
        <w:tc>
          <w:tcPr>
            <w:tcW w:w="986" w:type="dxa"/>
            <w:shd w:val="clear" w:color="auto" w:fill="D0CECE" w:themeFill="background2" w:themeFillShade="E6"/>
          </w:tcPr>
          <w:p w14:paraId="71F6744D" w14:textId="77777777" w:rsidR="002012FC" w:rsidRPr="003A4C85" w:rsidRDefault="002012FC" w:rsidP="00291350">
            <w:pPr>
              <w:rPr>
                <w:rFonts w:asciiTheme="majorBidi" w:hAnsiTheme="majorBidi" w:cstheme="majorBidi"/>
              </w:rPr>
            </w:pPr>
            <w:r w:rsidRPr="003A4C85">
              <w:rPr>
                <w:rFonts w:asciiTheme="majorBidi" w:hAnsiTheme="majorBidi" w:cstheme="majorBidi"/>
              </w:rPr>
              <w:t>Education</w:t>
            </w:r>
          </w:p>
        </w:tc>
        <w:tc>
          <w:tcPr>
            <w:tcW w:w="1660" w:type="dxa"/>
            <w:shd w:val="clear" w:color="auto" w:fill="D0CECE" w:themeFill="background2" w:themeFillShade="E6"/>
          </w:tcPr>
          <w:p w14:paraId="16D8A603" w14:textId="77777777" w:rsidR="002012FC" w:rsidRPr="003A4C85" w:rsidRDefault="002012FC" w:rsidP="00291350">
            <w:pPr>
              <w:rPr>
                <w:rFonts w:asciiTheme="majorBidi" w:hAnsiTheme="majorBidi" w:cstheme="majorBidi"/>
              </w:rPr>
            </w:pPr>
            <w:r w:rsidRPr="007706FF">
              <w:rPr>
                <w:rFonts w:asciiTheme="majorBidi" w:hAnsiTheme="majorBidi" w:cstheme="majorBidi"/>
                <w:sz w:val="20"/>
                <w:szCs w:val="20"/>
              </w:rPr>
              <w:t>Less than 12 years</w:t>
            </w:r>
          </w:p>
        </w:tc>
        <w:tc>
          <w:tcPr>
            <w:tcW w:w="1505" w:type="dxa"/>
            <w:shd w:val="clear" w:color="auto" w:fill="E7E6E6" w:themeFill="background2"/>
          </w:tcPr>
          <w:p w14:paraId="10657445" w14:textId="77777777" w:rsidR="002012FC" w:rsidRPr="003A4C85" w:rsidRDefault="002012FC" w:rsidP="00291350">
            <w:pPr>
              <w:rPr>
                <w:rFonts w:asciiTheme="majorBidi" w:hAnsiTheme="majorBidi" w:cstheme="majorBidi"/>
              </w:rPr>
            </w:pPr>
            <w:r w:rsidRPr="003A4C85">
              <w:rPr>
                <w:rFonts w:asciiTheme="majorBidi" w:hAnsiTheme="majorBidi" w:cstheme="majorBidi"/>
              </w:rPr>
              <w:t>(Reference)</w:t>
            </w:r>
          </w:p>
        </w:tc>
        <w:tc>
          <w:tcPr>
            <w:tcW w:w="960" w:type="dxa"/>
            <w:shd w:val="clear" w:color="auto" w:fill="E7E6E6" w:themeFill="background2"/>
          </w:tcPr>
          <w:p w14:paraId="1F2A30DE" w14:textId="77777777" w:rsidR="002012FC" w:rsidRPr="003A4C85" w:rsidRDefault="002012FC" w:rsidP="00291350">
            <w:pPr>
              <w:rPr>
                <w:rFonts w:asciiTheme="majorBidi" w:hAnsiTheme="majorBidi" w:cstheme="majorBidi"/>
                <w:color w:val="000000"/>
                <w:shd w:val="clear" w:color="auto" w:fill="FFFFFF"/>
              </w:rPr>
            </w:pPr>
          </w:p>
        </w:tc>
        <w:tc>
          <w:tcPr>
            <w:tcW w:w="1536" w:type="dxa"/>
            <w:shd w:val="clear" w:color="auto" w:fill="E7E6E6" w:themeFill="background2"/>
          </w:tcPr>
          <w:p w14:paraId="30A17829" w14:textId="77777777" w:rsidR="002012FC" w:rsidRPr="003A4C85" w:rsidRDefault="002012FC" w:rsidP="00291350">
            <w:pPr>
              <w:rPr>
                <w:rFonts w:asciiTheme="majorBidi" w:hAnsiTheme="majorBidi" w:cstheme="majorBidi"/>
              </w:rPr>
            </w:pPr>
          </w:p>
        </w:tc>
        <w:tc>
          <w:tcPr>
            <w:tcW w:w="969" w:type="dxa"/>
            <w:shd w:val="clear" w:color="auto" w:fill="E7E6E6" w:themeFill="background2"/>
          </w:tcPr>
          <w:p w14:paraId="3D8B899F" w14:textId="77777777" w:rsidR="002012FC" w:rsidRPr="003A4C85" w:rsidRDefault="002012FC" w:rsidP="00291350">
            <w:pPr>
              <w:rPr>
                <w:rFonts w:asciiTheme="majorBidi" w:hAnsiTheme="majorBidi" w:cstheme="majorBidi"/>
              </w:rPr>
            </w:pPr>
          </w:p>
        </w:tc>
        <w:tc>
          <w:tcPr>
            <w:tcW w:w="1532" w:type="dxa"/>
            <w:shd w:val="clear" w:color="auto" w:fill="E7E6E6" w:themeFill="background2"/>
          </w:tcPr>
          <w:p w14:paraId="2D2B729A" w14:textId="77777777" w:rsidR="002012FC" w:rsidRPr="003A4C85" w:rsidRDefault="002012FC" w:rsidP="00291350">
            <w:pPr>
              <w:rPr>
                <w:rFonts w:asciiTheme="majorBidi" w:hAnsiTheme="majorBidi" w:cstheme="majorBidi"/>
              </w:rPr>
            </w:pPr>
          </w:p>
        </w:tc>
        <w:tc>
          <w:tcPr>
            <w:tcW w:w="1342" w:type="dxa"/>
            <w:shd w:val="clear" w:color="auto" w:fill="E7E6E6" w:themeFill="background2"/>
          </w:tcPr>
          <w:p w14:paraId="76D84F9D" w14:textId="77777777" w:rsidR="002012FC" w:rsidRPr="003A4C85" w:rsidRDefault="002012FC" w:rsidP="00291350">
            <w:pPr>
              <w:rPr>
                <w:rFonts w:asciiTheme="majorBidi" w:hAnsiTheme="majorBidi" w:cstheme="majorBidi"/>
              </w:rPr>
            </w:pPr>
          </w:p>
        </w:tc>
      </w:tr>
      <w:tr w:rsidR="002012FC" w:rsidRPr="003A4C85" w14:paraId="7F3CE644" w14:textId="77777777" w:rsidTr="00291350">
        <w:tc>
          <w:tcPr>
            <w:tcW w:w="986" w:type="dxa"/>
            <w:shd w:val="clear" w:color="auto" w:fill="D0CECE" w:themeFill="background2" w:themeFillShade="E6"/>
          </w:tcPr>
          <w:p w14:paraId="567CC8AF"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0C2BB44C" w14:textId="77777777" w:rsidR="002012FC" w:rsidRPr="003A4C85" w:rsidRDefault="002012FC" w:rsidP="00291350">
            <w:pPr>
              <w:rPr>
                <w:rFonts w:asciiTheme="majorBidi" w:hAnsiTheme="majorBidi" w:cstheme="majorBidi"/>
              </w:rPr>
            </w:pPr>
            <w:r w:rsidRPr="003A4C85">
              <w:rPr>
                <w:rFonts w:asciiTheme="majorBidi" w:hAnsiTheme="majorBidi" w:cstheme="majorBidi"/>
              </w:rPr>
              <w:t>12 Years</w:t>
            </w:r>
          </w:p>
        </w:tc>
        <w:tc>
          <w:tcPr>
            <w:tcW w:w="1505" w:type="dxa"/>
          </w:tcPr>
          <w:p w14:paraId="03B08F78" w14:textId="77777777" w:rsidR="002012FC" w:rsidRPr="003A4C85" w:rsidRDefault="002012FC" w:rsidP="00291350">
            <w:pPr>
              <w:rPr>
                <w:rFonts w:asciiTheme="majorBidi" w:hAnsiTheme="majorBidi" w:cstheme="majorBidi"/>
              </w:rPr>
            </w:pPr>
          </w:p>
        </w:tc>
        <w:tc>
          <w:tcPr>
            <w:tcW w:w="960" w:type="dxa"/>
          </w:tcPr>
          <w:p w14:paraId="277CA97D"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747EF168" w14:textId="77777777" w:rsidR="002012FC" w:rsidRPr="003A4C85" w:rsidRDefault="002012FC" w:rsidP="00291350">
            <w:pPr>
              <w:rPr>
                <w:rFonts w:asciiTheme="majorBidi" w:hAnsiTheme="majorBidi" w:cstheme="majorBidi"/>
              </w:rPr>
            </w:pPr>
          </w:p>
          <w:p w14:paraId="45000A2F" w14:textId="77777777" w:rsidR="002012FC" w:rsidRPr="003A4C85" w:rsidRDefault="002012FC" w:rsidP="00291350">
            <w:pPr>
              <w:rPr>
                <w:rFonts w:asciiTheme="majorBidi" w:hAnsiTheme="majorBidi" w:cstheme="majorBidi"/>
              </w:rPr>
            </w:pPr>
          </w:p>
        </w:tc>
        <w:tc>
          <w:tcPr>
            <w:tcW w:w="969" w:type="dxa"/>
          </w:tcPr>
          <w:p w14:paraId="2D937A07" w14:textId="77777777" w:rsidR="002012FC" w:rsidRPr="003A4C85" w:rsidRDefault="002012FC" w:rsidP="00291350">
            <w:pPr>
              <w:rPr>
                <w:rFonts w:asciiTheme="majorBidi" w:hAnsiTheme="majorBidi" w:cstheme="majorBidi"/>
              </w:rPr>
            </w:pPr>
          </w:p>
        </w:tc>
        <w:tc>
          <w:tcPr>
            <w:tcW w:w="1532" w:type="dxa"/>
          </w:tcPr>
          <w:p w14:paraId="0DBD26ED" w14:textId="77777777" w:rsidR="002012FC" w:rsidRDefault="002012FC" w:rsidP="00291350">
            <w:pPr>
              <w:rPr>
                <w:rFonts w:asciiTheme="majorBidi" w:hAnsiTheme="majorBidi" w:cstheme="majorBidi"/>
              </w:rPr>
            </w:pPr>
            <w:r>
              <w:rPr>
                <w:rFonts w:asciiTheme="majorBidi" w:hAnsiTheme="majorBidi" w:cstheme="majorBidi"/>
              </w:rPr>
              <w:t xml:space="preserve">0.95 </w:t>
            </w:r>
          </w:p>
          <w:p w14:paraId="2C8B1768" w14:textId="77777777" w:rsidR="002012FC" w:rsidRPr="003A4C85" w:rsidRDefault="002012FC" w:rsidP="00291350">
            <w:pPr>
              <w:rPr>
                <w:rFonts w:asciiTheme="majorBidi" w:hAnsiTheme="majorBidi" w:cstheme="majorBidi"/>
              </w:rPr>
            </w:pPr>
            <w:r>
              <w:rPr>
                <w:rFonts w:asciiTheme="majorBidi" w:hAnsiTheme="majorBidi" w:cstheme="majorBidi"/>
              </w:rPr>
              <w:t>(0.87 – 1.03)</w:t>
            </w:r>
          </w:p>
        </w:tc>
        <w:tc>
          <w:tcPr>
            <w:tcW w:w="1342" w:type="dxa"/>
          </w:tcPr>
          <w:p w14:paraId="6F0DCB4B" w14:textId="77777777" w:rsidR="002012FC" w:rsidRPr="003A4C85" w:rsidRDefault="002012FC" w:rsidP="00291350">
            <w:pPr>
              <w:rPr>
                <w:rFonts w:asciiTheme="majorBidi" w:hAnsiTheme="majorBidi" w:cstheme="majorBidi"/>
              </w:rPr>
            </w:pPr>
            <w:r>
              <w:rPr>
                <w:rFonts w:asciiTheme="majorBidi" w:hAnsiTheme="majorBidi" w:cstheme="majorBidi"/>
              </w:rPr>
              <w:t>0.234</w:t>
            </w:r>
          </w:p>
        </w:tc>
      </w:tr>
      <w:tr w:rsidR="002012FC" w:rsidRPr="003A4C85" w14:paraId="4EF69B3E" w14:textId="77777777" w:rsidTr="00291350">
        <w:tc>
          <w:tcPr>
            <w:tcW w:w="986" w:type="dxa"/>
            <w:shd w:val="clear" w:color="auto" w:fill="D0CECE" w:themeFill="background2" w:themeFillShade="E6"/>
          </w:tcPr>
          <w:p w14:paraId="5E5ABFCE"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5A7D1A7A" w14:textId="77777777" w:rsidR="002012FC" w:rsidRPr="003A4C85" w:rsidRDefault="002012FC" w:rsidP="00291350">
            <w:pPr>
              <w:rPr>
                <w:rFonts w:asciiTheme="majorBidi" w:hAnsiTheme="majorBidi" w:cstheme="majorBidi"/>
              </w:rPr>
            </w:pPr>
            <w:r w:rsidRPr="003A4C85">
              <w:rPr>
                <w:rFonts w:asciiTheme="majorBidi" w:hAnsiTheme="majorBidi" w:cstheme="majorBidi"/>
              </w:rPr>
              <w:t>More than 12 years</w:t>
            </w:r>
          </w:p>
        </w:tc>
        <w:tc>
          <w:tcPr>
            <w:tcW w:w="1505" w:type="dxa"/>
          </w:tcPr>
          <w:p w14:paraId="0C6D8F98" w14:textId="77777777" w:rsidR="002012FC" w:rsidRPr="003A4C85" w:rsidRDefault="002012FC" w:rsidP="00291350">
            <w:pPr>
              <w:rPr>
                <w:rFonts w:asciiTheme="majorBidi" w:hAnsiTheme="majorBidi" w:cstheme="majorBidi"/>
              </w:rPr>
            </w:pPr>
          </w:p>
        </w:tc>
        <w:tc>
          <w:tcPr>
            <w:tcW w:w="960" w:type="dxa"/>
          </w:tcPr>
          <w:p w14:paraId="622A6274"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0F0FEABD" w14:textId="77777777" w:rsidR="002012FC" w:rsidRPr="003A4C85" w:rsidRDefault="002012FC" w:rsidP="00291350">
            <w:pPr>
              <w:rPr>
                <w:rFonts w:asciiTheme="majorBidi" w:hAnsiTheme="majorBidi" w:cstheme="majorBidi"/>
              </w:rPr>
            </w:pPr>
          </w:p>
        </w:tc>
        <w:tc>
          <w:tcPr>
            <w:tcW w:w="969" w:type="dxa"/>
          </w:tcPr>
          <w:p w14:paraId="70AD0C08" w14:textId="77777777" w:rsidR="002012FC" w:rsidRPr="003A4C85" w:rsidRDefault="002012FC" w:rsidP="00291350">
            <w:pPr>
              <w:rPr>
                <w:rFonts w:asciiTheme="majorBidi" w:hAnsiTheme="majorBidi" w:cstheme="majorBidi"/>
              </w:rPr>
            </w:pPr>
          </w:p>
        </w:tc>
        <w:tc>
          <w:tcPr>
            <w:tcW w:w="1532" w:type="dxa"/>
          </w:tcPr>
          <w:p w14:paraId="39B371AA" w14:textId="77777777" w:rsidR="002012FC" w:rsidRDefault="002012FC" w:rsidP="00291350">
            <w:pPr>
              <w:rPr>
                <w:rFonts w:asciiTheme="majorBidi" w:hAnsiTheme="majorBidi" w:cstheme="majorBidi"/>
              </w:rPr>
            </w:pPr>
            <w:r>
              <w:rPr>
                <w:rFonts w:asciiTheme="majorBidi" w:hAnsiTheme="majorBidi" w:cstheme="majorBidi"/>
              </w:rPr>
              <w:t>0.91</w:t>
            </w:r>
          </w:p>
          <w:p w14:paraId="341C49D2" w14:textId="77777777" w:rsidR="002012FC" w:rsidRPr="003A4C85" w:rsidRDefault="002012FC" w:rsidP="00291350">
            <w:pPr>
              <w:rPr>
                <w:rFonts w:asciiTheme="majorBidi" w:hAnsiTheme="majorBidi" w:cstheme="majorBidi"/>
              </w:rPr>
            </w:pPr>
            <w:r>
              <w:rPr>
                <w:rFonts w:asciiTheme="majorBidi" w:hAnsiTheme="majorBidi" w:cstheme="majorBidi"/>
              </w:rPr>
              <w:t>(0.85 – 0.96)</w:t>
            </w:r>
          </w:p>
        </w:tc>
        <w:tc>
          <w:tcPr>
            <w:tcW w:w="1342" w:type="dxa"/>
          </w:tcPr>
          <w:p w14:paraId="3C48C692" w14:textId="77777777" w:rsidR="002012FC" w:rsidRPr="003A4C85" w:rsidRDefault="002012FC" w:rsidP="00291350">
            <w:pPr>
              <w:rPr>
                <w:rFonts w:asciiTheme="majorBidi" w:hAnsiTheme="majorBidi" w:cstheme="majorBidi"/>
              </w:rPr>
            </w:pPr>
            <w:r>
              <w:rPr>
                <w:rFonts w:asciiTheme="majorBidi" w:hAnsiTheme="majorBidi" w:cstheme="majorBidi"/>
              </w:rPr>
              <w:t>0.004</w:t>
            </w:r>
          </w:p>
        </w:tc>
      </w:tr>
      <w:tr w:rsidR="002012FC" w:rsidRPr="003A4C85" w14:paraId="4D696132" w14:textId="77777777" w:rsidTr="00291350">
        <w:tc>
          <w:tcPr>
            <w:tcW w:w="986" w:type="dxa"/>
            <w:shd w:val="clear" w:color="auto" w:fill="D0CECE" w:themeFill="background2" w:themeFillShade="E6"/>
          </w:tcPr>
          <w:p w14:paraId="65AE68F2" w14:textId="77777777" w:rsidR="002012FC" w:rsidRPr="003A4C85" w:rsidRDefault="002012FC" w:rsidP="00291350">
            <w:pPr>
              <w:rPr>
                <w:rFonts w:asciiTheme="majorBidi" w:hAnsiTheme="majorBidi" w:cstheme="majorBidi"/>
              </w:rPr>
            </w:pPr>
            <w:r w:rsidRPr="003A4C85">
              <w:rPr>
                <w:rFonts w:asciiTheme="majorBidi" w:hAnsiTheme="majorBidi" w:cstheme="majorBidi"/>
              </w:rPr>
              <w:t>Ethnicity</w:t>
            </w:r>
          </w:p>
        </w:tc>
        <w:tc>
          <w:tcPr>
            <w:tcW w:w="1660" w:type="dxa"/>
            <w:shd w:val="clear" w:color="auto" w:fill="D0CECE" w:themeFill="background2" w:themeFillShade="E6"/>
          </w:tcPr>
          <w:p w14:paraId="6EFCFA6E" w14:textId="77777777" w:rsidR="002012FC" w:rsidRPr="003A4C85" w:rsidRDefault="002012FC" w:rsidP="00291350">
            <w:pPr>
              <w:rPr>
                <w:rFonts w:asciiTheme="majorBidi" w:hAnsiTheme="majorBidi" w:cstheme="majorBidi"/>
              </w:rPr>
            </w:pPr>
            <w:r w:rsidRPr="003A4C85">
              <w:rPr>
                <w:rFonts w:asciiTheme="majorBidi" w:hAnsiTheme="majorBidi" w:cstheme="majorBidi"/>
              </w:rPr>
              <w:t xml:space="preserve">Mexican American </w:t>
            </w:r>
          </w:p>
        </w:tc>
        <w:tc>
          <w:tcPr>
            <w:tcW w:w="1505" w:type="dxa"/>
            <w:shd w:val="clear" w:color="auto" w:fill="E7E6E6" w:themeFill="background2"/>
          </w:tcPr>
          <w:p w14:paraId="7A204B17" w14:textId="77777777" w:rsidR="002012FC" w:rsidRPr="003A4C85" w:rsidRDefault="002012FC" w:rsidP="00291350">
            <w:pPr>
              <w:rPr>
                <w:rFonts w:asciiTheme="majorBidi" w:hAnsiTheme="majorBidi" w:cstheme="majorBidi"/>
              </w:rPr>
            </w:pPr>
            <w:r w:rsidRPr="003A4C85">
              <w:rPr>
                <w:rFonts w:asciiTheme="majorBidi" w:hAnsiTheme="majorBidi" w:cstheme="majorBidi"/>
              </w:rPr>
              <w:t>(Reference)</w:t>
            </w:r>
          </w:p>
        </w:tc>
        <w:tc>
          <w:tcPr>
            <w:tcW w:w="960" w:type="dxa"/>
            <w:shd w:val="clear" w:color="auto" w:fill="E7E6E6" w:themeFill="background2"/>
          </w:tcPr>
          <w:p w14:paraId="43ED9862" w14:textId="77777777" w:rsidR="002012FC" w:rsidRPr="003A4C85" w:rsidRDefault="002012FC" w:rsidP="00291350">
            <w:pPr>
              <w:rPr>
                <w:rFonts w:asciiTheme="majorBidi" w:hAnsiTheme="majorBidi" w:cstheme="majorBidi"/>
                <w:color w:val="000000"/>
                <w:shd w:val="clear" w:color="auto" w:fill="FFFFFF"/>
              </w:rPr>
            </w:pPr>
          </w:p>
        </w:tc>
        <w:tc>
          <w:tcPr>
            <w:tcW w:w="1536" w:type="dxa"/>
            <w:shd w:val="clear" w:color="auto" w:fill="E7E6E6" w:themeFill="background2"/>
          </w:tcPr>
          <w:p w14:paraId="0CFBB827" w14:textId="77777777" w:rsidR="002012FC" w:rsidRPr="003A4C85" w:rsidRDefault="002012FC" w:rsidP="00291350">
            <w:pPr>
              <w:rPr>
                <w:rFonts w:asciiTheme="majorBidi" w:hAnsiTheme="majorBidi" w:cstheme="majorBidi"/>
              </w:rPr>
            </w:pPr>
          </w:p>
        </w:tc>
        <w:tc>
          <w:tcPr>
            <w:tcW w:w="969" w:type="dxa"/>
            <w:shd w:val="clear" w:color="auto" w:fill="E7E6E6" w:themeFill="background2"/>
          </w:tcPr>
          <w:p w14:paraId="2FD46DC3" w14:textId="77777777" w:rsidR="002012FC" w:rsidRPr="003A4C85" w:rsidRDefault="002012FC" w:rsidP="00291350">
            <w:pPr>
              <w:rPr>
                <w:rFonts w:asciiTheme="majorBidi" w:hAnsiTheme="majorBidi" w:cstheme="majorBidi"/>
                <w:color w:val="000000"/>
                <w:shd w:val="clear" w:color="auto" w:fill="FFFFFF"/>
              </w:rPr>
            </w:pPr>
          </w:p>
        </w:tc>
        <w:tc>
          <w:tcPr>
            <w:tcW w:w="1532" w:type="dxa"/>
            <w:shd w:val="clear" w:color="auto" w:fill="E7E6E6" w:themeFill="background2"/>
          </w:tcPr>
          <w:p w14:paraId="03839129" w14:textId="77777777" w:rsidR="002012FC" w:rsidRPr="003A4C85" w:rsidRDefault="002012FC" w:rsidP="00291350">
            <w:pPr>
              <w:rPr>
                <w:rFonts w:asciiTheme="majorBidi" w:hAnsiTheme="majorBidi" w:cstheme="majorBidi"/>
              </w:rPr>
            </w:pPr>
          </w:p>
        </w:tc>
        <w:tc>
          <w:tcPr>
            <w:tcW w:w="1342" w:type="dxa"/>
            <w:shd w:val="clear" w:color="auto" w:fill="E7E6E6" w:themeFill="background2"/>
          </w:tcPr>
          <w:p w14:paraId="696471A9" w14:textId="77777777" w:rsidR="002012FC" w:rsidRPr="003A4C85" w:rsidRDefault="002012FC" w:rsidP="00291350">
            <w:pPr>
              <w:rPr>
                <w:rFonts w:asciiTheme="majorBidi" w:hAnsiTheme="majorBidi" w:cstheme="majorBidi"/>
              </w:rPr>
            </w:pPr>
          </w:p>
        </w:tc>
      </w:tr>
      <w:tr w:rsidR="002012FC" w:rsidRPr="003A4C85" w14:paraId="16FFECA4" w14:textId="77777777" w:rsidTr="00291350">
        <w:tc>
          <w:tcPr>
            <w:tcW w:w="986" w:type="dxa"/>
            <w:shd w:val="clear" w:color="auto" w:fill="D0CECE" w:themeFill="background2" w:themeFillShade="E6"/>
          </w:tcPr>
          <w:p w14:paraId="5EC29E38"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6B3CA920" w14:textId="77777777" w:rsidR="002012FC" w:rsidRPr="003A4C85" w:rsidRDefault="002012FC" w:rsidP="00291350">
            <w:pPr>
              <w:rPr>
                <w:rFonts w:asciiTheme="majorBidi" w:hAnsiTheme="majorBidi" w:cstheme="majorBidi"/>
              </w:rPr>
            </w:pPr>
            <w:r w:rsidRPr="003A4C85">
              <w:rPr>
                <w:rFonts w:asciiTheme="majorBidi" w:hAnsiTheme="majorBidi" w:cstheme="majorBidi"/>
              </w:rPr>
              <w:t>Other Hispanic</w:t>
            </w:r>
          </w:p>
        </w:tc>
        <w:tc>
          <w:tcPr>
            <w:tcW w:w="1505" w:type="dxa"/>
          </w:tcPr>
          <w:p w14:paraId="11312837" w14:textId="77777777" w:rsidR="002012FC" w:rsidRPr="003A4C85" w:rsidRDefault="002012FC" w:rsidP="00291350">
            <w:pPr>
              <w:rPr>
                <w:rFonts w:asciiTheme="majorBidi" w:hAnsiTheme="majorBidi" w:cstheme="majorBidi"/>
              </w:rPr>
            </w:pPr>
          </w:p>
        </w:tc>
        <w:tc>
          <w:tcPr>
            <w:tcW w:w="960" w:type="dxa"/>
          </w:tcPr>
          <w:p w14:paraId="25E07590"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2F0AD5E7" w14:textId="77777777" w:rsidR="002012FC" w:rsidRPr="003A4C85" w:rsidRDefault="002012FC" w:rsidP="00291350">
            <w:pPr>
              <w:rPr>
                <w:rFonts w:asciiTheme="majorBidi" w:hAnsiTheme="majorBidi" w:cstheme="majorBidi"/>
              </w:rPr>
            </w:pPr>
          </w:p>
        </w:tc>
        <w:tc>
          <w:tcPr>
            <w:tcW w:w="969" w:type="dxa"/>
          </w:tcPr>
          <w:p w14:paraId="4DBCC86C" w14:textId="77777777" w:rsidR="002012FC" w:rsidRPr="003A4C85" w:rsidRDefault="002012FC" w:rsidP="00291350">
            <w:pPr>
              <w:rPr>
                <w:rFonts w:asciiTheme="majorBidi" w:hAnsiTheme="majorBidi" w:cstheme="majorBidi"/>
                <w:color w:val="000000"/>
                <w:shd w:val="clear" w:color="auto" w:fill="FFFFFF"/>
              </w:rPr>
            </w:pPr>
          </w:p>
        </w:tc>
        <w:tc>
          <w:tcPr>
            <w:tcW w:w="1532" w:type="dxa"/>
          </w:tcPr>
          <w:p w14:paraId="5E61B857" w14:textId="77777777" w:rsidR="002012FC" w:rsidRDefault="002012FC" w:rsidP="00291350">
            <w:pPr>
              <w:rPr>
                <w:rFonts w:asciiTheme="majorBidi" w:hAnsiTheme="majorBidi" w:cstheme="majorBidi"/>
              </w:rPr>
            </w:pPr>
            <w:r>
              <w:rPr>
                <w:rFonts w:asciiTheme="majorBidi" w:hAnsiTheme="majorBidi" w:cstheme="majorBidi"/>
              </w:rPr>
              <w:t>0.92</w:t>
            </w:r>
          </w:p>
          <w:p w14:paraId="65E9CB07" w14:textId="77777777" w:rsidR="002012FC" w:rsidRPr="003A4C85" w:rsidRDefault="002012FC" w:rsidP="00291350">
            <w:pPr>
              <w:rPr>
                <w:rFonts w:asciiTheme="majorBidi" w:hAnsiTheme="majorBidi" w:cstheme="majorBidi"/>
              </w:rPr>
            </w:pPr>
            <w:r>
              <w:rPr>
                <w:rFonts w:asciiTheme="majorBidi" w:hAnsiTheme="majorBidi" w:cstheme="majorBidi"/>
              </w:rPr>
              <w:t>(0.83 – 1.01)</w:t>
            </w:r>
          </w:p>
        </w:tc>
        <w:tc>
          <w:tcPr>
            <w:tcW w:w="1342" w:type="dxa"/>
          </w:tcPr>
          <w:p w14:paraId="551EBB2F" w14:textId="77777777" w:rsidR="002012FC" w:rsidRPr="003A4C85" w:rsidRDefault="002012FC" w:rsidP="00291350">
            <w:pPr>
              <w:rPr>
                <w:rFonts w:asciiTheme="majorBidi" w:hAnsiTheme="majorBidi" w:cstheme="majorBidi"/>
              </w:rPr>
            </w:pPr>
            <w:r>
              <w:rPr>
                <w:rFonts w:asciiTheme="majorBidi" w:hAnsiTheme="majorBidi" w:cstheme="majorBidi"/>
              </w:rPr>
              <w:t>0.097</w:t>
            </w:r>
          </w:p>
        </w:tc>
      </w:tr>
      <w:tr w:rsidR="002012FC" w:rsidRPr="003A4C85" w14:paraId="0DE8BCD7" w14:textId="77777777" w:rsidTr="00291350">
        <w:tc>
          <w:tcPr>
            <w:tcW w:w="986" w:type="dxa"/>
            <w:shd w:val="clear" w:color="auto" w:fill="D0CECE" w:themeFill="background2" w:themeFillShade="E6"/>
          </w:tcPr>
          <w:p w14:paraId="73261F00"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18803186" w14:textId="77777777" w:rsidR="002012FC" w:rsidRPr="003A4C85" w:rsidRDefault="002012FC" w:rsidP="00291350">
            <w:pPr>
              <w:rPr>
                <w:rFonts w:asciiTheme="majorBidi" w:hAnsiTheme="majorBidi" w:cstheme="majorBidi"/>
              </w:rPr>
            </w:pPr>
            <w:r w:rsidRPr="003A4C85">
              <w:rPr>
                <w:rFonts w:asciiTheme="majorBidi" w:hAnsiTheme="majorBidi" w:cstheme="majorBidi"/>
              </w:rPr>
              <w:t>Non H White</w:t>
            </w:r>
          </w:p>
        </w:tc>
        <w:tc>
          <w:tcPr>
            <w:tcW w:w="1505" w:type="dxa"/>
          </w:tcPr>
          <w:p w14:paraId="08F89229" w14:textId="77777777" w:rsidR="002012FC" w:rsidRPr="003A4C85" w:rsidRDefault="002012FC" w:rsidP="00291350">
            <w:pPr>
              <w:rPr>
                <w:rFonts w:asciiTheme="majorBidi" w:hAnsiTheme="majorBidi" w:cstheme="majorBidi"/>
              </w:rPr>
            </w:pPr>
          </w:p>
        </w:tc>
        <w:tc>
          <w:tcPr>
            <w:tcW w:w="960" w:type="dxa"/>
          </w:tcPr>
          <w:p w14:paraId="430BF660"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3CF7A5A7" w14:textId="77777777" w:rsidR="002012FC" w:rsidRPr="003A4C85" w:rsidRDefault="002012FC" w:rsidP="00291350">
            <w:pPr>
              <w:rPr>
                <w:rFonts w:asciiTheme="majorBidi" w:hAnsiTheme="majorBidi" w:cstheme="majorBidi"/>
              </w:rPr>
            </w:pPr>
          </w:p>
        </w:tc>
        <w:tc>
          <w:tcPr>
            <w:tcW w:w="969" w:type="dxa"/>
          </w:tcPr>
          <w:p w14:paraId="039ADD46" w14:textId="77777777" w:rsidR="002012FC" w:rsidRPr="003A4C85" w:rsidRDefault="002012FC" w:rsidP="00291350">
            <w:pPr>
              <w:rPr>
                <w:rFonts w:asciiTheme="majorBidi" w:hAnsiTheme="majorBidi" w:cstheme="majorBidi"/>
                <w:color w:val="000000"/>
                <w:shd w:val="clear" w:color="auto" w:fill="FFFFFF"/>
              </w:rPr>
            </w:pPr>
          </w:p>
        </w:tc>
        <w:tc>
          <w:tcPr>
            <w:tcW w:w="1532" w:type="dxa"/>
          </w:tcPr>
          <w:p w14:paraId="67278598" w14:textId="77777777" w:rsidR="002012FC" w:rsidRDefault="002012FC" w:rsidP="00291350">
            <w:pPr>
              <w:rPr>
                <w:rFonts w:asciiTheme="majorBidi" w:hAnsiTheme="majorBidi" w:cstheme="majorBidi"/>
              </w:rPr>
            </w:pPr>
            <w:r>
              <w:rPr>
                <w:rFonts w:asciiTheme="majorBidi" w:hAnsiTheme="majorBidi" w:cstheme="majorBidi"/>
              </w:rPr>
              <w:t>0.95</w:t>
            </w:r>
          </w:p>
          <w:p w14:paraId="723CF6C7" w14:textId="77777777" w:rsidR="002012FC" w:rsidRPr="003A4C85" w:rsidRDefault="002012FC" w:rsidP="00291350">
            <w:pPr>
              <w:rPr>
                <w:rFonts w:asciiTheme="majorBidi" w:hAnsiTheme="majorBidi" w:cstheme="majorBidi"/>
              </w:rPr>
            </w:pPr>
            <w:r>
              <w:rPr>
                <w:rFonts w:asciiTheme="majorBidi" w:hAnsiTheme="majorBidi" w:cstheme="majorBidi"/>
              </w:rPr>
              <w:t>(0.88 – 1.04)</w:t>
            </w:r>
          </w:p>
        </w:tc>
        <w:tc>
          <w:tcPr>
            <w:tcW w:w="1342" w:type="dxa"/>
          </w:tcPr>
          <w:p w14:paraId="27D412FA" w14:textId="77777777" w:rsidR="002012FC" w:rsidRPr="003A4C85" w:rsidRDefault="002012FC" w:rsidP="00291350">
            <w:pPr>
              <w:rPr>
                <w:rFonts w:asciiTheme="majorBidi" w:hAnsiTheme="majorBidi" w:cstheme="majorBidi"/>
              </w:rPr>
            </w:pPr>
            <w:r>
              <w:rPr>
                <w:rFonts w:asciiTheme="majorBidi" w:hAnsiTheme="majorBidi" w:cstheme="majorBidi"/>
              </w:rPr>
              <w:t>0.3</w:t>
            </w:r>
          </w:p>
        </w:tc>
      </w:tr>
      <w:tr w:rsidR="002012FC" w:rsidRPr="003A4C85" w14:paraId="4A3704B5" w14:textId="77777777" w:rsidTr="00291350">
        <w:tc>
          <w:tcPr>
            <w:tcW w:w="986" w:type="dxa"/>
            <w:shd w:val="clear" w:color="auto" w:fill="D0CECE" w:themeFill="background2" w:themeFillShade="E6"/>
          </w:tcPr>
          <w:p w14:paraId="34A14A8A"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2AB56015" w14:textId="77777777" w:rsidR="002012FC" w:rsidRPr="003A4C85" w:rsidRDefault="002012FC" w:rsidP="00291350">
            <w:pPr>
              <w:rPr>
                <w:rFonts w:asciiTheme="majorBidi" w:hAnsiTheme="majorBidi" w:cstheme="majorBidi"/>
              </w:rPr>
            </w:pPr>
            <w:r w:rsidRPr="003A4C85">
              <w:rPr>
                <w:rFonts w:asciiTheme="majorBidi" w:hAnsiTheme="majorBidi" w:cstheme="majorBidi"/>
              </w:rPr>
              <w:t>Non H black</w:t>
            </w:r>
          </w:p>
        </w:tc>
        <w:tc>
          <w:tcPr>
            <w:tcW w:w="1505" w:type="dxa"/>
          </w:tcPr>
          <w:p w14:paraId="0B33D834" w14:textId="77777777" w:rsidR="002012FC" w:rsidRPr="003A4C85" w:rsidRDefault="002012FC" w:rsidP="00291350">
            <w:pPr>
              <w:rPr>
                <w:rFonts w:asciiTheme="majorBidi" w:hAnsiTheme="majorBidi" w:cstheme="majorBidi"/>
              </w:rPr>
            </w:pPr>
          </w:p>
        </w:tc>
        <w:tc>
          <w:tcPr>
            <w:tcW w:w="960" w:type="dxa"/>
          </w:tcPr>
          <w:p w14:paraId="5EF9FCCF"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37647AB3" w14:textId="77777777" w:rsidR="002012FC" w:rsidRPr="003A4C85" w:rsidRDefault="002012FC" w:rsidP="00291350">
            <w:pPr>
              <w:rPr>
                <w:rFonts w:asciiTheme="majorBidi" w:hAnsiTheme="majorBidi" w:cstheme="majorBidi"/>
              </w:rPr>
            </w:pPr>
          </w:p>
        </w:tc>
        <w:tc>
          <w:tcPr>
            <w:tcW w:w="969" w:type="dxa"/>
          </w:tcPr>
          <w:p w14:paraId="24C3F547" w14:textId="77777777" w:rsidR="002012FC" w:rsidRPr="003A4C85" w:rsidRDefault="002012FC" w:rsidP="00291350">
            <w:pPr>
              <w:rPr>
                <w:rFonts w:asciiTheme="majorBidi" w:hAnsiTheme="majorBidi" w:cstheme="majorBidi"/>
                <w:color w:val="000000"/>
                <w:shd w:val="clear" w:color="auto" w:fill="FFFFFF"/>
              </w:rPr>
            </w:pPr>
          </w:p>
        </w:tc>
        <w:tc>
          <w:tcPr>
            <w:tcW w:w="1532" w:type="dxa"/>
          </w:tcPr>
          <w:p w14:paraId="0CA56CE1" w14:textId="77777777" w:rsidR="002012FC" w:rsidRDefault="002012FC" w:rsidP="00291350">
            <w:pPr>
              <w:rPr>
                <w:rFonts w:asciiTheme="majorBidi" w:hAnsiTheme="majorBidi" w:cstheme="majorBidi"/>
              </w:rPr>
            </w:pPr>
            <w:r>
              <w:rPr>
                <w:rFonts w:asciiTheme="majorBidi" w:hAnsiTheme="majorBidi" w:cstheme="majorBidi"/>
              </w:rPr>
              <w:t>0.97</w:t>
            </w:r>
          </w:p>
          <w:p w14:paraId="414E9D2D" w14:textId="77777777" w:rsidR="002012FC" w:rsidRPr="003A4C85" w:rsidRDefault="002012FC" w:rsidP="00291350">
            <w:pPr>
              <w:rPr>
                <w:rFonts w:asciiTheme="majorBidi" w:hAnsiTheme="majorBidi" w:cstheme="majorBidi"/>
              </w:rPr>
            </w:pPr>
            <w:r>
              <w:rPr>
                <w:rFonts w:asciiTheme="majorBidi" w:hAnsiTheme="majorBidi" w:cstheme="majorBidi"/>
              </w:rPr>
              <w:t>(0.89 – 1.07)</w:t>
            </w:r>
          </w:p>
        </w:tc>
        <w:tc>
          <w:tcPr>
            <w:tcW w:w="1342" w:type="dxa"/>
          </w:tcPr>
          <w:p w14:paraId="7FF08BFA" w14:textId="77777777" w:rsidR="002012FC" w:rsidRPr="003A4C85" w:rsidRDefault="002012FC" w:rsidP="00291350">
            <w:pPr>
              <w:rPr>
                <w:rFonts w:asciiTheme="majorBidi" w:hAnsiTheme="majorBidi" w:cstheme="majorBidi"/>
              </w:rPr>
            </w:pPr>
            <w:r>
              <w:rPr>
                <w:rFonts w:asciiTheme="majorBidi" w:hAnsiTheme="majorBidi" w:cstheme="majorBidi"/>
              </w:rPr>
              <w:t>0.61</w:t>
            </w:r>
          </w:p>
        </w:tc>
      </w:tr>
      <w:tr w:rsidR="002012FC" w:rsidRPr="003A4C85" w14:paraId="7D71D6F9" w14:textId="77777777" w:rsidTr="00291350">
        <w:tc>
          <w:tcPr>
            <w:tcW w:w="986" w:type="dxa"/>
            <w:shd w:val="clear" w:color="auto" w:fill="D0CECE" w:themeFill="background2" w:themeFillShade="E6"/>
          </w:tcPr>
          <w:p w14:paraId="3BBC7C94"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49041806" w14:textId="77777777" w:rsidR="002012FC" w:rsidRPr="003A4C85" w:rsidRDefault="002012FC" w:rsidP="00291350">
            <w:pPr>
              <w:rPr>
                <w:rFonts w:asciiTheme="majorBidi" w:hAnsiTheme="majorBidi" w:cstheme="majorBidi"/>
              </w:rPr>
            </w:pPr>
            <w:r w:rsidRPr="003A4C85">
              <w:rPr>
                <w:rFonts w:asciiTheme="majorBidi" w:hAnsiTheme="majorBidi" w:cstheme="majorBidi"/>
              </w:rPr>
              <w:t>Other</w:t>
            </w:r>
          </w:p>
        </w:tc>
        <w:tc>
          <w:tcPr>
            <w:tcW w:w="1505" w:type="dxa"/>
          </w:tcPr>
          <w:p w14:paraId="3D1A8B5A" w14:textId="77777777" w:rsidR="002012FC" w:rsidRPr="003A4C85" w:rsidRDefault="002012FC" w:rsidP="00291350">
            <w:pPr>
              <w:rPr>
                <w:rFonts w:asciiTheme="majorBidi" w:hAnsiTheme="majorBidi" w:cstheme="majorBidi"/>
              </w:rPr>
            </w:pPr>
          </w:p>
        </w:tc>
        <w:tc>
          <w:tcPr>
            <w:tcW w:w="960" w:type="dxa"/>
          </w:tcPr>
          <w:p w14:paraId="3E60C81F"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21EA3198" w14:textId="77777777" w:rsidR="002012FC" w:rsidRPr="003A4C85" w:rsidRDefault="002012FC" w:rsidP="00291350">
            <w:pPr>
              <w:rPr>
                <w:rFonts w:asciiTheme="majorBidi" w:hAnsiTheme="majorBidi" w:cstheme="majorBidi"/>
              </w:rPr>
            </w:pPr>
          </w:p>
        </w:tc>
        <w:tc>
          <w:tcPr>
            <w:tcW w:w="969" w:type="dxa"/>
          </w:tcPr>
          <w:p w14:paraId="307D5003" w14:textId="77777777" w:rsidR="002012FC" w:rsidRPr="003A4C85" w:rsidRDefault="002012FC" w:rsidP="00291350">
            <w:pPr>
              <w:rPr>
                <w:rFonts w:asciiTheme="majorBidi" w:hAnsiTheme="majorBidi" w:cstheme="majorBidi"/>
                <w:color w:val="000000"/>
                <w:shd w:val="clear" w:color="auto" w:fill="FFFFFF"/>
              </w:rPr>
            </w:pPr>
          </w:p>
        </w:tc>
        <w:tc>
          <w:tcPr>
            <w:tcW w:w="1532" w:type="dxa"/>
          </w:tcPr>
          <w:p w14:paraId="52735AFB" w14:textId="77777777" w:rsidR="002012FC" w:rsidRDefault="002012FC" w:rsidP="00291350">
            <w:pPr>
              <w:rPr>
                <w:rFonts w:asciiTheme="majorBidi" w:hAnsiTheme="majorBidi" w:cstheme="majorBidi"/>
              </w:rPr>
            </w:pPr>
            <w:r>
              <w:rPr>
                <w:rFonts w:asciiTheme="majorBidi" w:hAnsiTheme="majorBidi" w:cstheme="majorBidi"/>
              </w:rPr>
              <w:t xml:space="preserve">0.89 </w:t>
            </w:r>
          </w:p>
          <w:p w14:paraId="2E762B7F" w14:textId="77777777" w:rsidR="002012FC" w:rsidRPr="003A4C85" w:rsidRDefault="002012FC" w:rsidP="00291350">
            <w:pPr>
              <w:rPr>
                <w:rFonts w:asciiTheme="majorBidi" w:hAnsiTheme="majorBidi" w:cstheme="majorBidi"/>
              </w:rPr>
            </w:pPr>
            <w:r>
              <w:rPr>
                <w:rFonts w:asciiTheme="majorBidi" w:hAnsiTheme="majorBidi" w:cstheme="majorBidi"/>
              </w:rPr>
              <w:t>(0.77 – 1.04)</w:t>
            </w:r>
          </w:p>
        </w:tc>
        <w:tc>
          <w:tcPr>
            <w:tcW w:w="1342" w:type="dxa"/>
          </w:tcPr>
          <w:p w14:paraId="066F7896" w14:textId="77777777" w:rsidR="002012FC" w:rsidRPr="003A4C85" w:rsidRDefault="002012FC" w:rsidP="00291350">
            <w:pPr>
              <w:rPr>
                <w:rFonts w:asciiTheme="majorBidi" w:hAnsiTheme="majorBidi" w:cstheme="majorBidi"/>
              </w:rPr>
            </w:pPr>
            <w:r>
              <w:rPr>
                <w:rFonts w:asciiTheme="majorBidi" w:hAnsiTheme="majorBidi" w:cstheme="majorBidi"/>
              </w:rPr>
              <w:t>0.16</w:t>
            </w:r>
          </w:p>
        </w:tc>
      </w:tr>
      <w:tr w:rsidR="002012FC" w:rsidRPr="003A4C85" w14:paraId="46D54713" w14:textId="77777777" w:rsidTr="00291350">
        <w:tc>
          <w:tcPr>
            <w:tcW w:w="2646" w:type="dxa"/>
            <w:gridSpan w:val="2"/>
            <w:shd w:val="clear" w:color="auto" w:fill="D0CECE" w:themeFill="background2" w:themeFillShade="E6"/>
          </w:tcPr>
          <w:p w14:paraId="13510F69" w14:textId="77777777" w:rsidR="002012FC" w:rsidRPr="003A4C85" w:rsidRDefault="002012FC" w:rsidP="00291350">
            <w:pPr>
              <w:rPr>
                <w:rFonts w:asciiTheme="majorBidi" w:hAnsiTheme="majorBidi" w:cstheme="majorBidi"/>
              </w:rPr>
            </w:pPr>
            <w:r>
              <w:rPr>
                <w:rFonts w:asciiTheme="majorBidi" w:hAnsiTheme="majorBidi" w:cstheme="majorBidi"/>
              </w:rPr>
              <w:t>Poverty-income ratio</w:t>
            </w:r>
          </w:p>
        </w:tc>
        <w:tc>
          <w:tcPr>
            <w:tcW w:w="1505" w:type="dxa"/>
          </w:tcPr>
          <w:p w14:paraId="27C8F9DA" w14:textId="77777777" w:rsidR="002012FC" w:rsidRPr="003A4C85" w:rsidRDefault="002012FC" w:rsidP="00291350">
            <w:pPr>
              <w:rPr>
                <w:rFonts w:asciiTheme="majorBidi" w:hAnsiTheme="majorBidi" w:cstheme="majorBidi"/>
              </w:rPr>
            </w:pPr>
          </w:p>
        </w:tc>
        <w:tc>
          <w:tcPr>
            <w:tcW w:w="960" w:type="dxa"/>
          </w:tcPr>
          <w:p w14:paraId="6425D757"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1AC318D2" w14:textId="77777777" w:rsidR="002012FC" w:rsidRPr="003A4C85" w:rsidRDefault="002012FC" w:rsidP="00291350">
            <w:pPr>
              <w:rPr>
                <w:rFonts w:asciiTheme="majorBidi" w:hAnsiTheme="majorBidi" w:cstheme="majorBidi"/>
              </w:rPr>
            </w:pPr>
          </w:p>
        </w:tc>
        <w:tc>
          <w:tcPr>
            <w:tcW w:w="969" w:type="dxa"/>
          </w:tcPr>
          <w:p w14:paraId="499BFF90" w14:textId="77777777" w:rsidR="002012FC" w:rsidRPr="003A4C85" w:rsidRDefault="002012FC" w:rsidP="00291350">
            <w:pPr>
              <w:rPr>
                <w:rFonts w:asciiTheme="majorBidi" w:hAnsiTheme="majorBidi" w:cstheme="majorBidi"/>
                <w:color w:val="000000"/>
                <w:shd w:val="clear" w:color="auto" w:fill="FFFFFF"/>
              </w:rPr>
            </w:pPr>
          </w:p>
        </w:tc>
        <w:tc>
          <w:tcPr>
            <w:tcW w:w="1532" w:type="dxa"/>
          </w:tcPr>
          <w:p w14:paraId="00A817E6" w14:textId="77777777" w:rsidR="002012FC" w:rsidRDefault="002012FC" w:rsidP="00291350">
            <w:pPr>
              <w:rPr>
                <w:rFonts w:asciiTheme="majorBidi" w:hAnsiTheme="majorBidi" w:cstheme="majorBidi"/>
              </w:rPr>
            </w:pPr>
            <w:r>
              <w:rPr>
                <w:rFonts w:asciiTheme="majorBidi" w:hAnsiTheme="majorBidi" w:cstheme="majorBidi"/>
              </w:rPr>
              <w:t>0.93</w:t>
            </w:r>
          </w:p>
          <w:p w14:paraId="4BA98B33" w14:textId="77777777" w:rsidR="002012FC" w:rsidRPr="003A4C85" w:rsidRDefault="002012FC" w:rsidP="00291350">
            <w:pPr>
              <w:rPr>
                <w:rFonts w:asciiTheme="majorBidi" w:hAnsiTheme="majorBidi" w:cstheme="majorBidi"/>
              </w:rPr>
            </w:pPr>
            <w:r>
              <w:rPr>
                <w:rFonts w:asciiTheme="majorBidi" w:hAnsiTheme="majorBidi" w:cstheme="majorBidi"/>
              </w:rPr>
              <w:t>(0.91 – 0.95)</w:t>
            </w:r>
          </w:p>
        </w:tc>
        <w:tc>
          <w:tcPr>
            <w:tcW w:w="1342" w:type="dxa"/>
          </w:tcPr>
          <w:p w14:paraId="424E09A8"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r>
      <w:tr w:rsidR="002012FC" w:rsidRPr="003A4C85" w14:paraId="4193BA7E" w14:textId="77777777" w:rsidTr="00291350">
        <w:tc>
          <w:tcPr>
            <w:tcW w:w="986" w:type="dxa"/>
            <w:shd w:val="clear" w:color="auto" w:fill="D0CECE" w:themeFill="background2" w:themeFillShade="E6"/>
          </w:tcPr>
          <w:p w14:paraId="7F1483F5" w14:textId="77777777" w:rsidR="002012FC" w:rsidRPr="003A4C85" w:rsidRDefault="002012FC" w:rsidP="00291350">
            <w:pPr>
              <w:rPr>
                <w:rFonts w:asciiTheme="majorBidi" w:hAnsiTheme="majorBidi" w:cstheme="majorBidi"/>
              </w:rPr>
            </w:pPr>
            <w:r w:rsidRPr="003A4C85">
              <w:rPr>
                <w:rFonts w:asciiTheme="majorBidi" w:hAnsiTheme="majorBidi" w:cstheme="majorBidi"/>
              </w:rPr>
              <w:t>Smoking</w:t>
            </w:r>
          </w:p>
        </w:tc>
        <w:tc>
          <w:tcPr>
            <w:tcW w:w="1660" w:type="dxa"/>
            <w:shd w:val="clear" w:color="auto" w:fill="D0CECE" w:themeFill="background2" w:themeFillShade="E6"/>
          </w:tcPr>
          <w:p w14:paraId="511748F6" w14:textId="77777777" w:rsidR="002012FC" w:rsidRPr="003A4C85" w:rsidRDefault="002012FC" w:rsidP="00291350">
            <w:pPr>
              <w:rPr>
                <w:rFonts w:asciiTheme="majorBidi" w:hAnsiTheme="majorBidi" w:cstheme="majorBidi"/>
              </w:rPr>
            </w:pPr>
            <w:r w:rsidRPr="003A4C85">
              <w:rPr>
                <w:rFonts w:asciiTheme="majorBidi" w:hAnsiTheme="majorBidi" w:cstheme="majorBidi"/>
              </w:rPr>
              <w:t>Never</w:t>
            </w:r>
          </w:p>
        </w:tc>
        <w:tc>
          <w:tcPr>
            <w:tcW w:w="1505" w:type="dxa"/>
            <w:shd w:val="clear" w:color="auto" w:fill="E7E6E6" w:themeFill="background2"/>
          </w:tcPr>
          <w:p w14:paraId="0556E20F" w14:textId="77777777" w:rsidR="002012FC" w:rsidRPr="003A4C85" w:rsidRDefault="002012FC" w:rsidP="00291350">
            <w:pPr>
              <w:rPr>
                <w:rFonts w:asciiTheme="majorBidi" w:hAnsiTheme="majorBidi" w:cstheme="majorBidi"/>
              </w:rPr>
            </w:pPr>
            <w:r w:rsidRPr="003A4C85">
              <w:rPr>
                <w:rFonts w:asciiTheme="majorBidi" w:hAnsiTheme="majorBidi" w:cstheme="majorBidi"/>
              </w:rPr>
              <w:t>(Reference)</w:t>
            </w:r>
          </w:p>
        </w:tc>
        <w:tc>
          <w:tcPr>
            <w:tcW w:w="960" w:type="dxa"/>
            <w:shd w:val="clear" w:color="auto" w:fill="E7E6E6" w:themeFill="background2"/>
          </w:tcPr>
          <w:p w14:paraId="712B0102" w14:textId="77777777" w:rsidR="002012FC" w:rsidRPr="003A4C85" w:rsidRDefault="002012FC" w:rsidP="00291350">
            <w:pPr>
              <w:rPr>
                <w:rFonts w:asciiTheme="majorBidi" w:hAnsiTheme="majorBidi" w:cstheme="majorBidi"/>
                <w:color w:val="000000"/>
                <w:shd w:val="clear" w:color="auto" w:fill="FFFFFF"/>
              </w:rPr>
            </w:pPr>
          </w:p>
        </w:tc>
        <w:tc>
          <w:tcPr>
            <w:tcW w:w="1536" w:type="dxa"/>
            <w:shd w:val="clear" w:color="auto" w:fill="E7E6E6" w:themeFill="background2"/>
          </w:tcPr>
          <w:p w14:paraId="19D2A656" w14:textId="77777777" w:rsidR="002012FC" w:rsidRPr="003A4C85" w:rsidRDefault="002012FC" w:rsidP="00291350">
            <w:pPr>
              <w:rPr>
                <w:rFonts w:asciiTheme="majorBidi" w:hAnsiTheme="majorBidi" w:cstheme="majorBidi"/>
              </w:rPr>
            </w:pPr>
          </w:p>
        </w:tc>
        <w:tc>
          <w:tcPr>
            <w:tcW w:w="969" w:type="dxa"/>
            <w:shd w:val="clear" w:color="auto" w:fill="E7E6E6" w:themeFill="background2"/>
          </w:tcPr>
          <w:p w14:paraId="4143E76A" w14:textId="77777777" w:rsidR="002012FC" w:rsidRPr="003A4C85" w:rsidRDefault="002012FC" w:rsidP="00291350">
            <w:pPr>
              <w:rPr>
                <w:rFonts w:asciiTheme="majorBidi" w:hAnsiTheme="majorBidi" w:cstheme="majorBidi"/>
                <w:color w:val="000000"/>
                <w:shd w:val="clear" w:color="auto" w:fill="FFFFFF"/>
              </w:rPr>
            </w:pPr>
          </w:p>
        </w:tc>
        <w:tc>
          <w:tcPr>
            <w:tcW w:w="1532" w:type="dxa"/>
            <w:shd w:val="clear" w:color="auto" w:fill="E7E6E6" w:themeFill="background2"/>
          </w:tcPr>
          <w:p w14:paraId="6511B3DC" w14:textId="77777777" w:rsidR="002012FC" w:rsidRPr="003A4C85" w:rsidRDefault="002012FC" w:rsidP="00291350">
            <w:pPr>
              <w:rPr>
                <w:rFonts w:asciiTheme="majorBidi" w:hAnsiTheme="majorBidi" w:cstheme="majorBidi"/>
              </w:rPr>
            </w:pPr>
          </w:p>
        </w:tc>
        <w:tc>
          <w:tcPr>
            <w:tcW w:w="1342" w:type="dxa"/>
            <w:shd w:val="clear" w:color="auto" w:fill="E7E6E6" w:themeFill="background2"/>
          </w:tcPr>
          <w:p w14:paraId="732DDD67" w14:textId="77777777" w:rsidR="002012FC" w:rsidRPr="003A4C85" w:rsidRDefault="002012FC" w:rsidP="00291350">
            <w:pPr>
              <w:rPr>
                <w:rFonts w:asciiTheme="majorBidi" w:hAnsiTheme="majorBidi" w:cstheme="majorBidi"/>
              </w:rPr>
            </w:pPr>
          </w:p>
        </w:tc>
      </w:tr>
      <w:tr w:rsidR="002012FC" w:rsidRPr="003A4C85" w14:paraId="2368E1CD" w14:textId="77777777" w:rsidTr="00291350">
        <w:tc>
          <w:tcPr>
            <w:tcW w:w="986" w:type="dxa"/>
            <w:shd w:val="clear" w:color="auto" w:fill="D0CECE" w:themeFill="background2" w:themeFillShade="E6"/>
          </w:tcPr>
          <w:p w14:paraId="5B665A33"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009F3BFC" w14:textId="77777777" w:rsidR="002012FC" w:rsidRPr="003A4C85" w:rsidRDefault="002012FC" w:rsidP="00291350">
            <w:pPr>
              <w:rPr>
                <w:rFonts w:asciiTheme="majorBidi" w:hAnsiTheme="majorBidi" w:cstheme="majorBidi"/>
              </w:rPr>
            </w:pPr>
            <w:r w:rsidRPr="003A4C85">
              <w:rPr>
                <w:rFonts w:asciiTheme="majorBidi" w:hAnsiTheme="majorBidi" w:cstheme="majorBidi"/>
              </w:rPr>
              <w:t>Previous</w:t>
            </w:r>
          </w:p>
        </w:tc>
        <w:tc>
          <w:tcPr>
            <w:tcW w:w="1505" w:type="dxa"/>
          </w:tcPr>
          <w:p w14:paraId="77CCE3C6" w14:textId="77777777" w:rsidR="002012FC" w:rsidRPr="003A4C85" w:rsidRDefault="002012FC" w:rsidP="00291350">
            <w:pPr>
              <w:rPr>
                <w:rFonts w:asciiTheme="majorBidi" w:hAnsiTheme="majorBidi" w:cstheme="majorBidi"/>
              </w:rPr>
            </w:pPr>
          </w:p>
        </w:tc>
        <w:tc>
          <w:tcPr>
            <w:tcW w:w="960" w:type="dxa"/>
          </w:tcPr>
          <w:p w14:paraId="0A4B09BC"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7BC13867" w14:textId="77777777" w:rsidR="002012FC" w:rsidRPr="003A4C85" w:rsidRDefault="002012FC" w:rsidP="00291350">
            <w:pPr>
              <w:rPr>
                <w:rFonts w:asciiTheme="majorBidi" w:hAnsiTheme="majorBidi" w:cstheme="majorBidi"/>
              </w:rPr>
            </w:pPr>
          </w:p>
        </w:tc>
        <w:tc>
          <w:tcPr>
            <w:tcW w:w="969" w:type="dxa"/>
          </w:tcPr>
          <w:p w14:paraId="3E9DAFB8" w14:textId="77777777" w:rsidR="002012FC" w:rsidRPr="003A4C85" w:rsidRDefault="002012FC" w:rsidP="00291350">
            <w:pPr>
              <w:rPr>
                <w:rFonts w:asciiTheme="majorBidi" w:hAnsiTheme="majorBidi" w:cstheme="majorBidi"/>
                <w:color w:val="000000"/>
                <w:shd w:val="clear" w:color="auto" w:fill="FFFFFF"/>
              </w:rPr>
            </w:pPr>
          </w:p>
        </w:tc>
        <w:tc>
          <w:tcPr>
            <w:tcW w:w="1532" w:type="dxa"/>
          </w:tcPr>
          <w:p w14:paraId="426AF9B0" w14:textId="77777777" w:rsidR="002012FC" w:rsidRDefault="002012FC" w:rsidP="00291350">
            <w:pPr>
              <w:rPr>
                <w:rFonts w:asciiTheme="majorBidi" w:hAnsiTheme="majorBidi" w:cstheme="majorBidi"/>
              </w:rPr>
            </w:pPr>
            <w:r>
              <w:rPr>
                <w:rFonts w:asciiTheme="majorBidi" w:hAnsiTheme="majorBidi" w:cstheme="majorBidi"/>
              </w:rPr>
              <w:t>1.08</w:t>
            </w:r>
          </w:p>
          <w:p w14:paraId="1CF9B898" w14:textId="77777777" w:rsidR="002012FC" w:rsidRPr="003A4C85" w:rsidRDefault="002012FC" w:rsidP="00291350">
            <w:pPr>
              <w:rPr>
                <w:rFonts w:asciiTheme="majorBidi" w:hAnsiTheme="majorBidi" w:cstheme="majorBidi"/>
              </w:rPr>
            </w:pPr>
            <w:r>
              <w:rPr>
                <w:rFonts w:asciiTheme="majorBidi" w:hAnsiTheme="majorBidi" w:cstheme="majorBidi"/>
              </w:rPr>
              <w:t>(1.01 – 1.15)</w:t>
            </w:r>
          </w:p>
        </w:tc>
        <w:tc>
          <w:tcPr>
            <w:tcW w:w="1342" w:type="dxa"/>
          </w:tcPr>
          <w:p w14:paraId="332B6906" w14:textId="77777777" w:rsidR="002012FC" w:rsidRPr="003A4C85" w:rsidRDefault="002012FC" w:rsidP="00291350">
            <w:pPr>
              <w:rPr>
                <w:rFonts w:asciiTheme="majorBidi" w:hAnsiTheme="majorBidi" w:cstheme="majorBidi"/>
              </w:rPr>
            </w:pPr>
            <w:r>
              <w:rPr>
                <w:rFonts w:asciiTheme="majorBidi" w:hAnsiTheme="majorBidi" w:cstheme="majorBidi"/>
              </w:rPr>
              <w:t>0.01</w:t>
            </w:r>
          </w:p>
        </w:tc>
      </w:tr>
      <w:tr w:rsidR="002012FC" w:rsidRPr="003A4C85" w14:paraId="72FDA607" w14:textId="77777777" w:rsidTr="00291350">
        <w:tc>
          <w:tcPr>
            <w:tcW w:w="986" w:type="dxa"/>
            <w:shd w:val="clear" w:color="auto" w:fill="D0CECE" w:themeFill="background2" w:themeFillShade="E6"/>
          </w:tcPr>
          <w:p w14:paraId="09AB280E" w14:textId="77777777" w:rsidR="002012FC" w:rsidRPr="003A4C85" w:rsidRDefault="002012FC" w:rsidP="00291350">
            <w:pPr>
              <w:rPr>
                <w:rFonts w:asciiTheme="majorBidi" w:hAnsiTheme="majorBidi" w:cstheme="majorBidi"/>
              </w:rPr>
            </w:pPr>
          </w:p>
        </w:tc>
        <w:tc>
          <w:tcPr>
            <w:tcW w:w="1660" w:type="dxa"/>
            <w:shd w:val="clear" w:color="auto" w:fill="D0CECE" w:themeFill="background2" w:themeFillShade="E6"/>
          </w:tcPr>
          <w:p w14:paraId="062C4581" w14:textId="77777777" w:rsidR="002012FC" w:rsidRPr="003A4C85" w:rsidRDefault="002012FC" w:rsidP="00291350">
            <w:pPr>
              <w:rPr>
                <w:rFonts w:asciiTheme="majorBidi" w:hAnsiTheme="majorBidi" w:cstheme="majorBidi"/>
              </w:rPr>
            </w:pPr>
            <w:r>
              <w:rPr>
                <w:rFonts w:asciiTheme="majorBidi" w:hAnsiTheme="majorBidi" w:cstheme="majorBidi"/>
              </w:rPr>
              <w:t>current</w:t>
            </w:r>
          </w:p>
        </w:tc>
        <w:tc>
          <w:tcPr>
            <w:tcW w:w="1505" w:type="dxa"/>
          </w:tcPr>
          <w:p w14:paraId="6B7323FA" w14:textId="77777777" w:rsidR="002012FC" w:rsidRPr="003A4C85" w:rsidRDefault="002012FC" w:rsidP="00291350">
            <w:pPr>
              <w:rPr>
                <w:rFonts w:asciiTheme="majorBidi" w:hAnsiTheme="majorBidi" w:cstheme="majorBidi"/>
              </w:rPr>
            </w:pPr>
          </w:p>
        </w:tc>
        <w:tc>
          <w:tcPr>
            <w:tcW w:w="960" w:type="dxa"/>
          </w:tcPr>
          <w:p w14:paraId="3B381DEA" w14:textId="77777777" w:rsidR="002012FC" w:rsidRPr="003A4C85" w:rsidRDefault="002012FC" w:rsidP="00291350">
            <w:pPr>
              <w:rPr>
                <w:rFonts w:asciiTheme="majorBidi" w:hAnsiTheme="majorBidi" w:cstheme="majorBidi"/>
                <w:color w:val="000000"/>
                <w:shd w:val="clear" w:color="auto" w:fill="FFFFFF"/>
              </w:rPr>
            </w:pPr>
          </w:p>
        </w:tc>
        <w:tc>
          <w:tcPr>
            <w:tcW w:w="1536" w:type="dxa"/>
          </w:tcPr>
          <w:p w14:paraId="72E069A7" w14:textId="77777777" w:rsidR="002012FC" w:rsidRPr="003A4C85" w:rsidRDefault="002012FC" w:rsidP="00291350">
            <w:pPr>
              <w:rPr>
                <w:rFonts w:asciiTheme="majorBidi" w:hAnsiTheme="majorBidi" w:cstheme="majorBidi"/>
              </w:rPr>
            </w:pPr>
          </w:p>
        </w:tc>
        <w:tc>
          <w:tcPr>
            <w:tcW w:w="969" w:type="dxa"/>
          </w:tcPr>
          <w:p w14:paraId="26422F18" w14:textId="77777777" w:rsidR="002012FC" w:rsidRPr="003A4C85" w:rsidRDefault="002012FC" w:rsidP="00291350">
            <w:pPr>
              <w:rPr>
                <w:rFonts w:asciiTheme="majorBidi" w:hAnsiTheme="majorBidi" w:cstheme="majorBidi"/>
                <w:color w:val="000000"/>
                <w:shd w:val="clear" w:color="auto" w:fill="FFFFFF"/>
              </w:rPr>
            </w:pPr>
          </w:p>
        </w:tc>
        <w:tc>
          <w:tcPr>
            <w:tcW w:w="1532" w:type="dxa"/>
          </w:tcPr>
          <w:p w14:paraId="54157646" w14:textId="77777777" w:rsidR="002012FC" w:rsidRDefault="002012FC" w:rsidP="00291350">
            <w:pPr>
              <w:rPr>
                <w:rFonts w:asciiTheme="majorBidi" w:hAnsiTheme="majorBidi" w:cstheme="majorBidi"/>
              </w:rPr>
            </w:pPr>
            <w:r>
              <w:rPr>
                <w:rFonts w:asciiTheme="majorBidi" w:hAnsiTheme="majorBidi" w:cstheme="majorBidi"/>
              </w:rPr>
              <w:t>1.04</w:t>
            </w:r>
          </w:p>
          <w:p w14:paraId="56672B01" w14:textId="77777777" w:rsidR="002012FC" w:rsidRPr="003A4C85" w:rsidRDefault="002012FC" w:rsidP="00291350">
            <w:pPr>
              <w:rPr>
                <w:rFonts w:asciiTheme="majorBidi" w:hAnsiTheme="majorBidi" w:cstheme="majorBidi"/>
              </w:rPr>
            </w:pPr>
            <w:r>
              <w:rPr>
                <w:rFonts w:asciiTheme="majorBidi" w:hAnsiTheme="majorBidi" w:cstheme="majorBidi"/>
              </w:rPr>
              <w:t>(0.91 – 1.2)</w:t>
            </w:r>
          </w:p>
        </w:tc>
        <w:tc>
          <w:tcPr>
            <w:tcW w:w="1342" w:type="dxa"/>
          </w:tcPr>
          <w:p w14:paraId="4EE99B75" w14:textId="77777777" w:rsidR="002012FC" w:rsidRPr="003A4C85" w:rsidRDefault="002012FC" w:rsidP="00291350">
            <w:pPr>
              <w:rPr>
                <w:rFonts w:asciiTheme="majorBidi" w:hAnsiTheme="majorBidi" w:cstheme="majorBidi"/>
              </w:rPr>
            </w:pPr>
            <w:r>
              <w:rPr>
                <w:rFonts w:asciiTheme="majorBidi" w:hAnsiTheme="majorBidi" w:cstheme="majorBidi"/>
              </w:rPr>
              <w:t>0.48</w:t>
            </w:r>
          </w:p>
        </w:tc>
      </w:tr>
      <w:tr w:rsidR="002012FC" w:rsidRPr="003A4C85" w14:paraId="51409CCE" w14:textId="77777777" w:rsidTr="00291350">
        <w:tc>
          <w:tcPr>
            <w:tcW w:w="10490" w:type="dxa"/>
            <w:gridSpan w:val="8"/>
          </w:tcPr>
          <w:p w14:paraId="07D7422C" w14:textId="77777777" w:rsidR="002012FC" w:rsidRDefault="002012FC" w:rsidP="00291350">
            <w:pPr>
              <w:rPr>
                <w:rFonts w:asciiTheme="majorBidi" w:hAnsiTheme="majorBidi" w:cstheme="majorBidi"/>
                <w:sz w:val="18"/>
                <w:szCs w:val="18"/>
              </w:rPr>
            </w:pPr>
            <w:r>
              <w:rPr>
                <w:rFonts w:asciiTheme="majorBidi" w:hAnsiTheme="majorBidi" w:cstheme="majorBidi"/>
                <w:sz w:val="18"/>
                <w:szCs w:val="18"/>
              </w:rPr>
              <w:t xml:space="preserve">Model 1: Adjusted for number of teeth, age, gender. </w:t>
            </w:r>
          </w:p>
          <w:p w14:paraId="68124D8D" w14:textId="77777777" w:rsidR="002012FC" w:rsidRDefault="002012FC" w:rsidP="00291350">
            <w:pPr>
              <w:rPr>
                <w:rFonts w:asciiTheme="majorBidi" w:hAnsiTheme="majorBidi" w:cstheme="majorBidi"/>
                <w:sz w:val="18"/>
                <w:szCs w:val="18"/>
              </w:rPr>
            </w:pPr>
            <w:r>
              <w:rPr>
                <w:rFonts w:asciiTheme="majorBidi" w:hAnsiTheme="majorBidi" w:cstheme="majorBidi"/>
                <w:sz w:val="18"/>
                <w:szCs w:val="18"/>
              </w:rPr>
              <w:t xml:space="preserve">Model 2 Additionally adjusted for nutritional intake. </w:t>
            </w:r>
          </w:p>
          <w:p w14:paraId="21360393" w14:textId="77777777" w:rsidR="002012FC" w:rsidRDefault="002012FC" w:rsidP="00291350">
            <w:pPr>
              <w:rPr>
                <w:rFonts w:asciiTheme="majorBidi" w:hAnsiTheme="majorBidi" w:cstheme="majorBidi"/>
                <w:sz w:val="18"/>
                <w:szCs w:val="18"/>
              </w:rPr>
            </w:pPr>
            <w:r>
              <w:rPr>
                <w:rFonts w:asciiTheme="majorBidi" w:hAnsiTheme="majorBidi" w:cstheme="majorBidi"/>
                <w:sz w:val="18"/>
                <w:szCs w:val="18"/>
              </w:rPr>
              <w:t xml:space="preserve">Model 3: Additionally, adjusted for ethnicity, education poverty income ratio and smoking. </w:t>
            </w:r>
          </w:p>
          <w:p w14:paraId="3033E0B7" w14:textId="77777777" w:rsidR="002012FC" w:rsidRPr="00BA7CDC" w:rsidRDefault="002012FC" w:rsidP="00291350">
            <w:pPr>
              <w:rPr>
                <w:rFonts w:asciiTheme="majorBidi" w:hAnsiTheme="majorBidi" w:cstheme="majorBidi"/>
                <w:sz w:val="18"/>
                <w:szCs w:val="18"/>
              </w:rPr>
            </w:pPr>
            <w:r>
              <w:rPr>
                <w:rFonts w:asciiTheme="majorBidi" w:hAnsiTheme="majorBidi" w:cstheme="majorBidi"/>
                <w:sz w:val="18"/>
                <w:szCs w:val="18"/>
              </w:rPr>
              <w:t>RR: Rate ratio</w:t>
            </w:r>
          </w:p>
        </w:tc>
      </w:tr>
    </w:tbl>
    <w:p w14:paraId="36CC59E3" w14:textId="77777777" w:rsidR="002012FC" w:rsidRDefault="002012FC" w:rsidP="002012FC"/>
    <w:p w14:paraId="58A12524" w14:textId="77777777" w:rsidR="002012FC" w:rsidRDefault="002012FC" w:rsidP="002012FC">
      <w:pPr>
        <w:spacing w:after="160" w:line="259" w:lineRule="auto"/>
      </w:pPr>
      <w:r>
        <w:br w:type="page"/>
      </w:r>
    </w:p>
    <w:p w14:paraId="391AC173" w14:textId="77777777" w:rsidR="002012FC" w:rsidRDefault="002012FC" w:rsidP="002012FC"/>
    <w:tbl>
      <w:tblPr>
        <w:tblStyle w:val="TableGrid"/>
        <w:tblpPr w:leftFromText="180" w:rightFromText="180" w:vertAnchor="text" w:horzAnchor="margin" w:tblpXSpec="center" w:tblpY="-559"/>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636"/>
        <w:gridCol w:w="1494"/>
        <w:gridCol w:w="956"/>
        <w:gridCol w:w="1491"/>
        <w:gridCol w:w="963"/>
        <w:gridCol w:w="1480"/>
        <w:gridCol w:w="1311"/>
      </w:tblGrid>
      <w:tr w:rsidR="002012FC" w:rsidRPr="003A4C85" w14:paraId="035AF5CE" w14:textId="77777777" w:rsidTr="00291350">
        <w:tc>
          <w:tcPr>
            <w:tcW w:w="10774" w:type="dxa"/>
            <w:gridSpan w:val="8"/>
            <w:tcBorders>
              <w:bottom w:val="single" w:sz="4" w:space="0" w:color="auto"/>
            </w:tcBorders>
          </w:tcPr>
          <w:p w14:paraId="527C3DC8" w14:textId="77777777" w:rsidR="002012FC" w:rsidRPr="00A828CA" w:rsidRDefault="002012FC" w:rsidP="00291350">
            <w:pPr>
              <w:rPr>
                <w:rFonts w:asciiTheme="majorBidi" w:hAnsiTheme="majorBidi" w:cstheme="majorBidi"/>
              </w:rPr>
            </w:pPr>
            <w:r w:rsidRPr="00A828CA">
              <w:rPr>
                <w:rFonts w:asciiTheme="majorBidi" w:hAnsiTheme="majorBidi" w:cstheme="majorBidi"/>
              </w:rPr>
              <w:t>Table</w:t>
            </w:r>
            <w:r>
              <w:rPr>
                <w:rFonts w:asciiTheme="majorBidi" w:hAnsiTheme="majorBidi" w:cstheme="majorBidi"/>
              </w:rPr>
              <w:t xml:space="preserve"> </w:t>
            </w:r>
            <w:r w:rsidRPr="00A828CA">
              <w:rPr>
                <w:rFonts w:asciiTheme="majorBidi" w:hAnsiTheme="majorBidi" w:cstheme="majorBidi"/>
              </w:rPr>
              <w:t xml:space="preserve">3:  Negative binomial regression models showing the associations between </w:t>
            </w:r>
            <w:r>
              <w:rPr>
                <w:rFonts w:asciiTheme="majorBidi" w:hAnsiTheme="majorBidi" w:cstheme="majorBidi"/>
              </w:rPr>
              <w:t>Periodontal disease</w:t>
            </w:r>
            <w:r w:rsidRPr="00A828CA">
              <w:rPr>
                <w:rFonts w:asciiTheme="majorBidi" w:hAnsiTheme="majorBidi" w:cstheme="majorBidi"/>
              </w:rPr>
              <w:t xml:space="preserve"> and frailty index NHANES 2011-14 (N= </w:t>
            </w:r>
            <w:r>
              <w:rPr>
                <w:rFonts w:asciiTheme="majorBidi" w:hAnsiTheme="majorBidi" w:cstheme="majorBidi"/>
              </w:rPr>
              <w:t>1,884</w:t>
            </w:r>
            <w:r w:rsidRPr="00A828CA">
              <w:rPr>
                <w:rFonts w:asciiTheme="majorBidi" w:hAnsiTheme="majorBidi" w:cstheme="majorBidi"/>
              </w:rPr>
              <w:t>)</w:t>
            </w:r>
          </w:p>
        </w:tc>
      </w:tr>
      <w:tr w:rsidR="002012FC" w:rsidRPr="003A4C85" w14:paraId="3EDEBBE9" w14:textId="77777777" w:rsidTr="00291350">
        <w:tc>
          <w:tcPr>
            <w:tcW w:w="1443" w:type="dxa"/>
            <w:tcBorders>
              <w:top w:val="single" w:sz="4" w:space="0" w:color="auto"/>
            </w:tcBorders>
          </w:tcPr>
          <w:p w14:paraId="539492A3" w14:textId="77777777" w:rsidR="002012FC" w:rsidRPr="003A4C85" w:rsidRDefault="002012FC" w:rsidP="00291350">
            <w:pPr>
              <w:rPr>
                <w:rFonts w:asciiTheme="majorBidi" w:hAnsiTheme="majorBidi" w:cstheme="majorBidi"/>
              </w:rPr>
            </w:pPr>
          </w:p>
        </w:tc>
        <w:tc>
          <w:tcPr>
            <w:tcW w:w="1636" w:type="dxa"/>
            <w:tcBorders>
              <w:top w:val="single" w:sz="4" w:space="0" w:color="auto"/>
            </w:tcBorders>
          </w:tcPr>
          <w:p w14:paraId="05CA56E7" w14:textId="77777777" w:rsidR="002012FC" w:rsidRPr="003A4C85" w:rsidRDefault="002012FC" w:rsidP="00291350">
            <w:pPr>
              <w:rPr>
                <w:rFonts w:asciiTheme="majorBidi" w:hAnsiTheme="majorBidi" w:cstheme="majorBidi"/>
              </w:rPr>
            </w:pPr>
          </w:p>
        </w:tc>
        <w:tc>
          <w:tcPr>
            <w:tcW w:w="2450" w:type="dxa"/>
            <w:gridSpan w:val="2"/>
            <w:tcBorders>
              <w:top w:val="single" w:sz="4" w:space="0" w:color="auto"/>
              <w:bottom w:val="single" w:sz="4" w:space="0" w:color="auto"/>
            </w:tcBorders>
          </w:tcPr>
          <w:p w14:paraId="3E748DAC" w14:textId="77777777" w:rsidR="002012FC" w:rsidRPr="003A4C85" w:rsidRDefault="002012FC" w:rsidP="00291350">
            <w:pPr>
              <w:rPr>
                <w:rFonts w:asciiTheme="majorBidi" w:hAnsiTheme="majorBidi" w:cstheme="majorBidi"/>
              </w:rPr>
            </w:pPr>
            <w:r>
              <w:rPr>
                <w:rFonts w:asciiTheme="majorBidi" w:hAnsiTheme="majorBidi" w:cstheme="majorBidi"/>
              </w:rPr>
              <w:t>Model 1</w:t>
            </w:r>
          </w:p>
        </w:tc>
        <w:tc>
          <w:tcPr>
            <w:tcW w:w="2454" w:type="dxa"/>
            <w:gridSpan w:val="2"/>
            <w:tcBorders>
              <w:top w:val="single" w:sz="4" w:space="0" w:color="auto"/>
              <w:bottom w:val="single" w:sz="4" w:space="0" w:color="auto"/>
            </w:tcBorders>
          </w:tcPr>
          <w:p w14:paraId="186BCA57" w14:textId="77777777" w:rsidR="002012FC" w:rsidRPr="003A4C85" w:rsidRDefault="002012FC" w:rsidP="00291350">
            <w:pPr>
              <w:rPr>
                <w:rFonts w:asciiTheme="majorBidi" w:hAnsiTheme="majorBidi" w:cstheme="majorBidi"/>
              </w:rPr>
            </w:pPr>
            <w:r>
              <w:rPr>
                <w:rFonts w:asciiTheme="majorBidi" w:hAnsiTheme="majorBidi" w:cstheme="majorBidi"/>
              </w:rPr>
              <w:t>Model 2</w:t>
            </w:r>
          </w:p>
        </w:tc>
        <w:tc>
          <w:tcPr>
            <w:tcW w:w="2791" w:type="dxa"/>
            <w:gridSpan w:val="2"/>
            <w:tcBorders>
              <w:top w:val="single" w:sz="4" w:space="0" w:color="auto"/>
              <w:bottom w:val="single" w:sz="4" w:space="0" w:color="auto"/>
            </w:tcBorders>
          </w:tcPr>
          <w:p w14:paraId="7A3E30B0" w14:textId="77777777" w:rsidR="002012FC" w:rsidRPr="003A4C85" w:rsidRDefault="002012FC" w:rsidP="00291350">
            <w:pPr>
              <w:rPr>
                <w:rFonts w:asciiTheme="majorBidi" w:hAnsiTheme="majorBidi" w:cstheme="majorBidi"/>
              </w:rPr>
            </w:pPr>
            <w:r>
              <w:rPr>
                <w:rFonts w:asciiTheme="majorBidi" w:hAnsiTheme="majorBidi" w:cstheme="majorBidi"/>
              </w:rPr>
              <w:t>Model 3</w:t>
            </w:r>
          </w:p>
        </w:tc>
      </w:tr>
      <w:tr w:rsidR="002012FC" w:rsidRPr="003A4C85" w14:paraId="447F39DC" w14:textId="77777777" w:rsidTr="00291350">
        <w:tc>
          <w:tcPr>
            <w:tcW w:w="1443" w:type="dxa"/>
            <w:tcBorders>
              <w:top w:val="single" w:sz="4" w:space="0" w:color="auto"/>
            </w:tcBorders>
            <w:shd w:val="clear" w:color="auto" w:fill="D0CECE" w:themeFill="background2" w:themeFillShade="E6"/>
          </w:tcPr>
          <w:p w14:paraId="01DBA9BF" w14:textId="77777777" w:rsidR="002012FC" w:rsidRPr="003A4C85" w:rsidRDefault="002012FC" w:rsidP="00291350">
            <w:pPr>
              <w:rPr>
                <w:rFonts w:asciiTheme="majorBidi" w:hAnsiTheme="majorBidi" w:cstheme="majorBidi"/>
              </w:rPr>
            </w:pPr>
          </w:p>
        </w:tc>
        <w:tc>
          <w:tcPr>
            <w:tcW w:w="1636" w:type="dxa"/>
            <w:tcBorders>
              <w:top w:val="single" w:sz="4" w:space="0" w:color="auto"/>
            </w:tcBorders>
            <w:shd w:val="clear" w:color="auto" w:fill="D0CECE" w:themeFill="background2" w:themeFillShade="E6"/>
          </w:tcPr>
          <w:p w14:paraId="630BBE87" w14:textId="77777777" w:rsidR="002012FC" w:rsidRPr="003A4C85" w:rsidRDefault="002012FC" w:rsidP="00291350">
            <w:pPr>
              <w:rPr>
                <w:rFonts w:asciiTheme="majorBidi" w:hAnsiTheme="majorBidi" w:cstheme="majorBidi"/>
              </w:rPr>
            </w:pPr>
          </w:p>
        </w:tc>
        <w:tc>
          <w:tcPr>
            <w:tcW w:w="1494" w:type="dxa"/>
            <w:tcBorders>
              <w:top w:val="single" w:sz="4" w:space="0" w:color="auto"/>
            </w:tcBorders>
          </w:tcPr>
          <w:p w14:paraId="54993F73" w14:textId="77777777" w:rsidR="002012FC" w:rsidRDefault="002012FC" w:rsidP="00291350">
            <w:pPr>
              <w:rPr>
                <w:rFonts w:asciiTheme="majorBidi" w:hAnsiTheme="majorBidi" w:cstheme="majorBidi"/>
              </w:rPr>
            </w:pPr>
            <w:r>
              <w:rPr>
                <w:rFonts w:asciiTheme="majorBidi" w:hAnsiTheme="majorBidi" w:cstheme="majorBidi"/>
              </w:rPr>
              <w:t>RR</w:t>
            </w:r>
          </w:p>
        </w:tc>
        <w:tc>
          <w:tcPr>
            <w:tcW w:w="956" w:type="dxa"/>
            <w:tcBorders>
              <w:top w:val="single" w:sz="4" w:space="0" w:color="auto"/>
            </w:tcBorders>
          </w:tcPr>
          <w:p w14:paraId="1623F9AB"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p-value</w:t>
            </w:r>
          </w:p>
        </w:tc>
        <w:tc>
          <w:tcPr>
            <w:tcW w:w="1491" w:type="dxa"/>
            <w:tcBorders>
              <w:top w:val="single" w:sz="4" w:space="0" w:color="auto"/>
            </w:tcBorders>
          </w:tcPr>
          <w:p w14:paraId="7D2DD542" w14:textId="77777777" w:rsidR="002012FC" w:rsidRDefault="002012FC" w:rsidP="00291350">
            <w:pPr>
              <w:rPr>
                <w:rFonts w:asciiTheme="majorBidi" w:hAnsiTheme="majorBidi" w:cstheme="majorBidi"/>
              </w:rPr>
            </w:pPr>
            <w:r>
              <w:rPr>
                <w:rFonts w:asciiTheme="majorBidi" w:hAnsiTheme="majorBidi" w:cstheme="majorBidi"/>
              </w:rPr>
              <w:t>RR</w:t>
            </w:r>
          </w:p>
        </w:tc>
        <w:tc>
          <w:tcPr>
            <w:tcW w:w="963" w:type="dxa"/>
            <w:tcBorders>
              <w:top w:val="single" w:sz="4" w:space="0" w:color="auto"/>
            </w:tcBorders>
          </w:tcPr>
          <w:p w14:paraId="625B3165"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p-value</w:t>
            </w:r>
          </w:p>
        </w:tc>
        <w:tc>
          <w:tcPr>
            <w:tcW w:w="1480" w:type="dxa"/>
            <w:tcBorders>
              <w:top w:val="single" w:sz="4" w:space="0" w:color="auto"/>
            </w:tcBorders>
          </w:tcPr>
          <w:p w14:paraId="5F82E999" w14:textId="77777777" w:rsidR="002012FC" w:rsidRDefault="002012FC" w:rsidP="00291350">
            <w:pPr>
              <w:rPr>
                <w:rFonts w:asciiTheme="majorBidi" w:hAnsiTheme="majorBidi" w:cstheme="majorBidi"/>
              </w:rPr>
            </w:pPr>
            <w:r>
              <w:rPr>
                <w:rFonts w:asciiTheme="majorBidi" w:hAnsiTheme="majorBidi" w:cstheme="majorBidi"/>
              </w:rPr>
              <w:t>RR</w:t>
            </w:r>
          </w:p>
        </w:tc>
        <w:tc>
          <w:tcPr>
            <w:tcW w:w="1311" w:type="dxa"/>
            <w:tcBorders>
              <w:top w:val="single" w:sz="4" w:space="0" w:color="auto"/>
            </w:tcBorders>
          </w:tcPr>
          <w:p w14:paraId="3C4880BA"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p-value</w:t>
            </w:r>
          </w:p>
        </w:tc>
      </w:tr>
      <w:tr w:rsidR="002012FC" w:rsidRPr="003A4C85" w14:paraId="7BA532F0" w14:textId="77777777" w:rsidTr="00291350">
        <w:tc>
          <w:tcPr>
            <w:tcW w:w="1443" w:type="dxa"/>
            <w:shd w:val="clear" w:color="auto" w:fill="D0CECE" w:themeFill="background2" w:themeFillShade="E6"/>
          </w:tcPr>
          <w:p w14:paraId="5FDB820A" w14:textId="77777777" w:rsidR="002012FC" w:rsidRPr="003A4C85" w:rsidRDefault="002012FC" w:rsidP="00291350">
            <w:pPr>
              <w:rPr>
                <w:rFonts w:asciiTheme="majorBidi" w:hAnsiTheme="majorBidi" w:cstheme="majorBidi"/>
              </w:rPr>
            </w:pPr>
            <w:r w:rsidRPr="003A4C85">
              <w:rPr>
                <w:rFonts w:asciiTheme="majorBidi" w:hAnsiTheme="majorBidi" w:cstheme="majorBidi"/>
              </w:rPr>
              <w:t>Age</w:t>
            </w:r>
          </w:p>
        </w:tc>
        <w:tc>
          <w:tcPr>
            <w:tcW w:w="1636" w:type="dxa"/>
            <w:shd w:val="clear" w:color="auto" w:fill="D0CECE" w:themeFill="background2" w:themeFillShade="E6"/>
          </w:tcPr>
          <w:p w14:paraId="0318A0AA" w14:textId="77777777" w:rsidR="002012FC" w:rsidRPr="003A4C85" w:rsidRDefault="002012FC" w:rsidP="00291350">
            <w:pPr>
              <w:rPr>
                <w:rFonts w:asciiTheme="majorBidi" w:hAnsiTheme="majorBidi" w:cstheme="majorBidi"/>
              </w:rPr>
            </w:pPr>
          </w:p>
        </w:tc>
        <w:tc>
          <w:tcPr>
            <w:tcW w:w="1494" w:type="dxa"/>
          </w:tcPr>
          <w:p w14:paraId="62D843DE" w14:textId="77777777" w:rsidR="002012FC" w:rsidRPr="003A4C85" w:rsidRDefault="002012FC" w:rsidP="00291350">
            <w:pPr>
              <w:rPr>
                <w:rFonts w:asciiTheme="majorBidi" w:hAnsiTheme="majorBidi" w:cstheme="majorBidi"/>
              </w:rPr>
            </w:pPr>
            <w:r>
              <w:rPr>
                <w:rFonts w:asciiTheme="majorBidi" w:hAnsiTheme="majorBidi" w:cstheme="majorBidi"/>
              </w:rPr>
              <w:t>1.01</w:t>
            </w:r>
          </w:p>
          <w:p w14:paraId="1DB078A4" w14:textId="77777777" w:rsidR="002012FC" w:rsidRPr="003A4C85" w:rsidRDefault="002012FC" w:rsidP="00291350">
            <w:pPr>
              <w:rPr>
                <w:rFonts w:asciiTheme="majorBidi" w:hAnsiTheme="majorBidi" w:cstheme="majorBidi"/>
              </w:rPr>
            </w:pPr>
            <w:r w:rsidRPr="003A4C85">
              <w:rPr>
                <w:rFonts w:asciiTheme="majorBidi" w:hAnsiTheme="majorBidi" w:cstheme="majorBidi"/>
              </w:rPr>
              <w:t>(</w:t>
            </w:r>
            <w:r>
              <w:rPr>
                <w:rFonts w:asciiTheme="majorBidi" w:hAnsiTheme="majorBidi" w:cstheme="majorBidi"/>
              </w:rPr>
              <w:t>1.00</w:t>
            </w:r>
            <w:r w:rsidRPr="003A4C85">
              <w:rPr>
                <w:rFonts w:asciiTheme="majorBidi" w:hAnsiTheme="majorBidi" w:cstheme="majorBidi"/>
              </w:rPr>
              <w:t xml:space="preserve">- </w:t>
            </w:r>
            <w:r>
              <w:rPr>
                <w:rFonts w:asciiTheme="majorBidi" w:hAnsiTheme="majorBidi" w:cstheme="majorBidi"/>
              </w:rPr>
              <w:t>1.01</w:t>
            </w:r>
            <w:r w:rsidRPr="003A4C85">
              <w:rPr>
                <w:rFonts w:asciiTheme="majorBidi" w:hAnsiTheme="majorBidi" w:cstheme="majorBidi"/>
              </w:rPr>
              <w:t>)</w:t>
            </w:r>
          </w:p>
        </w:tc>
        <w:tc>
          <w:tcPr>
            <w:tcW w:w="956" w:type="dxa"/>
          </w:tcPr>
          <w:p w14:paraId="1610DFA8"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491" w:type="dxa"/>
          </w:tcPr>
          <w:p w14:paraId="2060ECBA" w14:textId="77777777" w:rsidR="002012FC" w:rsidRPr="003A4C85" w:rsidRDefault="002012FC" w:rsidP="00291350">
            <w:pPr>
              <w:rPr>
                <w:rFonts w:asciiTheme="majorBidi" w:hAnsiTheme="majorBidi" w:cstheme="majorBidi"/>
              </w:rPr>
            </w:pPr>
            <w:r>
              <w:rPr>
                <w:rFonts w:asciiTheme="majorBidi" w:hAnsiTheme="majorBidi" w:cstheme="majorBidi"/>
              </w:rPr>
              <w:t>1.01</w:t>
            </w:r>
          </w:p>
          <w:p w14:paraId="416653FE" w14:textId="77777777" w:rsidR="002012FC" w:rsidRPr="003A4C85" w:rsidRDefault="002012FC" w:rsidP="00291350">
            <w:pPr>
              <w:rPr>
                <w:rFonts w:asciiTheme="majorBidi" w:hAnsiTheme="majorBidi" w:cstheme="majorBidi"/>
              </w:rPr>
            </w:pPr>
            <w:r w:rsidRPr="003A4C85">
              <w:rPr>
                <w:rFonts w:asciiTheme="majorBidi" w:hAnsiTheme="majorBidi" w:cstheme="majorBidi"/>
              </w:rPr>
              <w:t>(</w:t>
            </w:r>
            <w:r>
              <w:rPr>
                <w:rFonts w:asciiTheme="majorBidi" w:hAnsiTheme="majorBidi" w:cstheme="majorBidi"/>
              </w:rPr>
              <w:t>1.00</w:t>
            </w:r>
            <w:r w:rsidRPr="003A4C85">
              <w:rPr>
                <w:rFonts w:asciiTheme="majorBidi" w:hAnsiTheme="majorBidi" w:cstheme="majorBidi"/>
              </w:rPr>
              <w:t xml:space="preserve">– </w:t>
            </w:r>
            <w:r>
              <w:rPr>
                <w:rFonts w:asciiTheme="majorBidi" w:hAnsiTheme="majorBidi" w:cstheme="majorBidi"/>
              </w:rPr>
              <w:t>1.01)</w:t>
            </w:r>
          </w:p>
        </w:tc>
        <w:tc>
          <w:tcPr>
            <w:tcW w:w="963" w:type="dxa"/>
          </w:tcPr>
          <w:p w14:paraId="0DB10880"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480" w:type="dxa"/>
          </w:tcPr>
          <w:p w14:paraId="5B9FC614" w14:textId="77777777" w:rsidR="002012FC" w:rsidRDefault="002012FC" w:rsidP="00291350">
            <w:pPr>
              <w:rPr>
                <w:rFonts w:asciiTheme="majorBidi" w:hAnsiTheme="majorBidi" w:cstheme="majorBidi"/>
              </w:rPr>
            </w:pPr>
            <w:r>
              <w:rPr>
                <w:rFonts w:asciiTheme="majorBidi" w:hAnsiTheme="majorBidi" w:cstheme="majorBidi"/>
              </w:rPr>
              <w:t>1.01</w:t>
            </w:r>
          </w:p>
          <w:p w14:paraId="1B7ED438" w14:textId="77777777" w:rsidR="002012FC" w:rsidRPr="003A4C85" w:rsidRDefault="002012FC" w:rsidP="00291350">
            <w:pPr>
              <w:rPr>
                <w:rFonts w:asciiTheme="majorBidi" w:hAnsiTheme="majorBidi" w:cstheme="majorBidi"/>
              </w:rPr>
            </w:pPr>
            <w:r>
              <w:rPr>
                <w:rFonts w:asciiTheme="majorBidi" w:hAnsiTheme="majorBidi" w:cstheme="majorBidi"/>
              </w:rPr>
              <w:t>(1.00 – 1.01)</w:t>
            </w:r>
          </w:p>
        </w:tc>
        <w:tc>
          <w:tcPr>
            <w:tcW w:w="1311" w:type="dxa"/>
          </w:tcPr>
          <w:p w14:paraId="6BA031D9"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r>
      <w:tr w:rsidR="002012FC" w:rsidRPr="003A4C85" w14:paraId="5CB55896" w14:textId="77777777" w:rsidTr="00291350">
        <w:tc>
          <w:tcPr>
            <w:tcW w:w="1443" w:type="dxa"/>
            <w:shd w:val="clear" w:color="auto" w:fill="D0CECE" w:themeFill="background2" w:themeFillShade="E6"/>
          </w:tcPr>
          <w:p w14:paraId="0BA00A9D" w14:textId="77777777" w:rsidR="002012FC" w:rsidRPr="003A4C85" w:rsidRDefault="002012FC" w:rsidP="00291350">
            <w:pPr>
              <w:rPr>
                <w:rFonts w:asciiTheme="majorBidi" w:hAnsiTheme="majorBidi" w:cstheme="majorBidi"/>
              </w:rPr>
            </w:pPr>
            <w:r w:rsidRPr="003A4C85">
              <w:rPr>
                <w:rFonts w:asciiTheme="majorBidi" w:hAnsiTheme="majorBidi" w:cstheme="majorBidi"/>
              </w:rPr>
              <w:t>Gender</w:t>
            </w:r>
          </w:p>
        </w:tc>
        <w:tc>
          <w:tcPr>
            <w:tcW w:w="1636" w:type="dxa"/>
            <w:shd w:val="clear" w:color="auto" w:fill="D0CECE" w:themeFill="background2" w:themeFillShade="E6"/>
          </w:tcPr>
          <w:p w14:paraId="15C3F265" w14:textId="77777777" w:rsidR="002012FC" w:rsidRPr="003A4C85" w:rsidRDefault="002012FC" w:rsidP="00291350">
            <w:pPr>
              <w:rPr>
                <w:rFonts w:asciiTheme="majorBidi" w:hAnsiTheme="majorBidi" w:cstheme="majorBidi"/>
              </w:rPr>
            </w:pPr>
            <w:r w:rsidRPr="003A4C85">
              <w:rPr>
                <w:rFonts w:asciiTheme="majorBidi" w:hAnsiTheme="majorBidi" w:cstheme="majorBidi"/>
              </w:rPr>
              <w:t xml:space="preserve">Male </w:t>
            </w:r>
          </w:p>
        </w:tc>
        <w:tc>
          <w:tcPr>
            <w:tcW w:w="1494" w:type="dxa"/>
            <w:shd w:val="clear" w:color="auto" w:fill="E7E6E6" w:themeFill="background2"/>
          </w:tcPr>
          <w:p w14:paraId="1936B980" w14:textId="77777777" w:rsidR="002012FC" w:rsidRPr="003A4C85" w:rsidRDefault="002012FC" w:rsidP="00291350">
            <w:pPr>
              <w:rPr>
                <w:rFonts w:asciiTheme="majorBidi" w:hAnsiTheme="majorBidi" w:cstheme="majorBidi"/>
              </w:rPr>
            </w:pPr>
            <w:r w:rsidRPr="003A4C85">
              <w:rPr>
                <w:rFonts w:asciiTheme="majorBidi" w:hAnsiTheme="majorBidi" w:cstheme="majorBidi"/>
              </w:rPr>
              <w:t>(Reference)</w:t>
            </w:r>
          </w:p>
        </w:tc>
        <w:tc>
          <w:tcPr>
            <w:tcW w:w="956" w:type="dxa"/>
            <w:shd w:val="clear" w:color="auto" w:fill="E7E6E6" w:themeFill="background2"/>
          </w:tcPr>
          <w:p w14:paraId="63772ECD" w14:textId="77777777" w:rsidR="002012FC" w:rsidRPr="003A4C85" w:rsidRDefault="002012FC" w:rsidP="00291350">
            <w:pPr>
              <w:rPr>
                <w:rFonts w:asciiTheme="majorBidi" w:hAnsiTheme="majorBidi" w:cstheme="majorBidi"/>
              </w:rPr>
            </w:pPr>
          </w:p>
        </w:tc>
        <w:tc>
          <w:tcPr>
            <w:tcW w:w="1491" w:type="dxa"/>
            <w:shd w:val="clear" w:color="auto" w:fill="E7E6E6" w:themeFill="background2"/>
          </w:tcPr>
          <w:p w14:paraId="6E4B5D5D" w14:textId="77777777" w:rsidR="002012FC" w:rsidRPr="003A4C85" w:rsidRDefault="002012FC" w:rsidP="00291350">
            <w:pPr>
              <w:rPr>
                <w:rFonts w:asciiTheme="majorBidi" w:hAnsiTheme="majorBidi" w:cstheme="majorBidi"/>
              </w:rPr>
            </w:pPr>
          </w:p>
        </w:tc>
        <w:tc>
          <w:tcPr>
            <w:tcW w:w="963" w:type="dxa"/>
            <w:shd w:val="clear" w:color="auto" w:fill="E7E6E6" w:themeFill="background2"/>
          </w:tcPr>
          <w:p w14:paraId="5C49B264" w14:textId="77777777" w:rsidR="002012FC" w:rsidRPr="003A4C85" w:rsidRDefault="002012FC" w:rsidP="00291350">
            <w:pPr>
              <w:rPr>
                <w:rFonts w:asciiTheme="majorBidi" w:hAnsiTheme="majorBidi" w:cstheme="majorBidi"/>
              </w:rPr>
            </w:pPr>
          </w:p>
        </w:tc>
        <w:tc>
          <w:tcPr>
            <w:tcW w:w="1480" w:type="dxa"/>
            <w:shd w:val="clear" w:color="auto" w:fill="E7E6E6" w:themeFill="background2"/>
          </w:tcPr>
          <w:p w14:paraId="124D9F0A" w14:textId="77777777" w:rsidR="002012FC" w:rsidRPr="003A4C85" w:rsidRDefault="002012FC" w:rsidP="00291350">
            <w:pPr>
              <w:rPr>
                <w:rFonts w:asciiTheme="majorBidi" w:hAnsiTheme="majorBidi" w:cstheme="majorBidi"/>
              </w:rPr>
            </w:pPr>
          </w:p>
        </w:tc>
        <w:tc>
          <w:tcPr>
            <w:tcW w:w="1311" w:type="dxa"/>
            <w:shd w:val="clear" w:color="auto" w:fill="E7E6E6" w:themeFill="background2"/>
          </w:tcPr>
          <w:p w14:paraId="46DB0E03" w14:textId="77777777" w:rsidR="002012FC" w:rsidRPr="003A4C85" w:rsidRDefault="002012FC" w:rsidP="00291350">
            <w:pPr>
              <w:rPr>
                <w:rFonts w:asciiTheme="majorBidi" w:hAnsiTheme="majorBidi" w:cstheme="majorBidi"/>
              </w:rPr>
            </w:pPr>
          </w:p>
        </w:tc>
      </w:tr>
      <w:tr w:rsidR="002012FC" w:rsidRPr="003A4C85" w14:paraId="0FC750B6" w14:textId="77777777" w:rsidTr="00291350">
        <w:tc>
          <w:tcPr>
            <w:tcW w:w="1443" w:type="dxa"/>
            <w:shd w:val="clear" w:color="auto" w:fill="D0CECE" w:themeFill="background2" w:themeFillShade="E6"/>
          </w:tcPr>
          <w:p w14:paraId="341467FB" w14:textId="77777777" w:rsidR="002012FC" w:rsidRPr="003A4C85" w:rsidRDefault="002012FC" w:rsidP="00291350">
            <w:pPr>
              <w:rPr>
                <w:rFonts w:asciiTheme="majorBidi" w:hAnsiTheme="majorBidi" w:cstheme="majorBidi"/>
              </w:rPr>
            </w:pPr>
          </w:p>
        </w:tc>
        <w:tc>
          <w:tcPr>
            <w:tcW w:w="1636" w:type="dxa"/>
            <w:shd w:val="clear" w:color="auto" w:fill="D0CECE" w:themeFill="background2" w:themeFillShade="E6"/>
          </w:tcPr>
          <w:p w14:paraId="0DE5DAD5" w14:textId="77777777" w:rsidR="002012FC" w:rsidRPr="003A4C85" w:rsidRDefault="002012FC" w:rsidP="00291350">
            <w:pPr>
              <w:rPr>
                <w:rFonts w:asciiTheme="majorBidi" w:hAnsiTheme="majorBidi" w:cstheme="majorBidi"/>
              </w:rPr>
            </w:pPr>
            <w:r w:rsidRPr="003A4C85">
              <w:rPr>
                <w:rFonts w:asciiTheme="majorBidi" w:hAnsiTheme="majorBidi" w:cstheme="majorBidi"/>
              </w:rPr>
              <w:t>Female</w:t>
            </w:r>
          </w:p>
        </w:tc>
        <w:tc>
          <w:tcPr>
            <w:tcW w:w="1494" w:type="dxa"/>
          </w:tcPr>
          <w:p w14:paraId="4608DE44" w14:textId="77777777" w:rsidR="002012FC" w:rsidRPr="003A4C85" w:rsidRDefault="002012FC" w:rsidP="00291350">
            <w:pPr>
              <w:rPr>
                <w:rFonts w:asciiTheme="majorBidi" w:hAnsiTheme="majorBidi" w:cstheme="majorBidi"/>
              </w:rPr>
            </w:pPr>
            <w:r>
              <w:rPr>
                <w:rFonts w:asciiTheme="majorBidi" w:hAnsiTheme="majorBidi" w:cstheme="majorBidi"/>
              </w:rPr>
              <w:t>1.14</w:t>
            </w:r>
          </w:p>
          <w:p w14:paraId="5D43BC14" w14:textId="77777777" w:rsidR="002012FC" w:rsidRPr="003A4C85" w:rsidRDefault="002012FC" w:rsidP="00291350">
            <w:pPr>
              <w:rPr>
                <w:rFonts w:asciiTheme="majorBidi" w:hAnsiTheme="majorBidi" w:cstheme="majorBidi"/>
              </w:rPr>
            </w:pPr>
            <w:r w:rsidRPr="003A4C85">
              <w:rPr>
                <w:rFonts w:asciiTheme="majorBidi" w:hAnsiTheme="majorBidi" w:cstheme="majorBidi"/>
              </w:rPr>
              <w:t>(1.</w:t>
            </w:r>
            <w:r>
              <w:rPr>
                <w:rFonts w:asciiTheme="majorBidi" w:hAnsiTheme="majorBidi" w:cstheme="majorBidi"/>
              </w:rPr>
              <w:t>09</w:t>
            </w:r>
            <w:r w:rsidRPr="003A4C85">
              <w:rPr>
                <w:rFonts w:asciiTheme="majorBidi" w:hAnsiTheme="majorBidi" w:cstheme="majorBidi"/>
              </w:rPr>
              <w:t xml:space="preserve"> – </w:t>
            </w:r>
            <w:r>
              <w:rPr>
                <w:rFonts w:asciiTheme="majorBidi" w:hAnsiTheme="majorBidi" w:cstheme="majorBidi"/>
              </w:rPr>
              <w:t>1.20</w:t>
            </w:r>
            <w:r w:rsidRPr="003A4C85">
              <w:rPr>
                <w:rFonts w:asciiTheme="majorBidi" w:hAnsiTheme="majorBidi" w:cstheme="majorBidi"/>
              </w:rPr>
              <w:t>)</w:t>
            </w:r>
          </w:p>
        </w:tc>
        <w:tc>
          <w:tcPr>
            <w:tcW w:w="956" w:type="dxa"/>
          </w:tcPr>
          <w:p w14:paraId="0A934241"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491" w:type="dxa"/>
          </w:tcPr>
          <w:p w14:paraId="4E617C2C" w14:textId="77777777" w:rsidR="002012FC" w:rsidRPr="003A4C85" w:rsidRDefault="002012FC" w:rsidP="00291350">
            <w:pPr>
              <w:rPr>
                <w:rFonts w:asciiTheme="majorBidi" w:hAnsiTheme="majorBidi" w:cstheme="majorBidi"/>
              </w:rPr>
            </w:pPr>
            <w:r>
              <w:rPr>
                <w:rFonts w:asciiTheme="majorBidi" w:hAnsiTheme="majorBidi" w:cstheme="majorBidi"/>
              </w:rPr>
              <w:t>1.16</w:t>
            </w:r>
          </w:p>
          <w:p w14:paraId="0CE5858B" w14:textId="77777777" w:rsidR="002012FC" w:rsidRPr="003A4C85" w:rsidRDefault="002012FC" w:rsidP="00291350">
            <w:pPr>
              <w:rPr>
                <w:rFonts w:asciiTheme="majorBidi" w:hAnsiTheme="majorBidi" w:cstheme="majorBidi"/>
              </w:rPr>
            </w:pPr>
            <w:r w:rsidRPr="003A4C85">
              <w:rPr>
                <w:rFonts w:asciiTheme="majorBidi" w:hAnsiTheme="majorBidi" w:cstheme="majorBidi"/>
              </w:rPr>
              <w:t>(1.</w:t>
            </w:r>
            <w:r>
              <w:rPr>
                <w:rFonts w:asciiTheme="majorBidi" w:hAnsiTheme="majorBidi" w:cstheme="majorBidi"/>
              </w:rPr>
              <w:t>10</w:t>
            </w:r>
            <w:r w:rsidRPr="003A4C85">
              <w:rPr>
                <w:rFonts w:asciiTheme="majorBidi" w:hAnsiTheme="majorBidi" w:cstheme="majorBidi"/>
              </w:rPr>
              <w:t xml:space="preserve"> – </w:t>
            </w:r>
            <w:r>
              <w:rPr>
                <w:rFonts w:asciiTheme="majorBidi" w:hAnsiTheme="majorBidi" w:cstheme="majorBidi"/>
              </w:rPr>
              <w:t>1.22</w:t>
            </w:r>
            <w:r w:rsidRPr="003A4C85">
              <w:rPr>
                <w:rFonts w:asciiTheme="majorBidi" w:hAnsiTheme="majorBidi" w:cstheme="majorBidi"/>
              </w:rPr>
              <w:t>)</w:t>
            </w:r>
          </w:p>
        </w:tc>
        <w:tc>
          <w:tcPr>
            <w:tcW w:w="963" w:type="dxa"/>
          </w:tcPr>
          <w:p w14:paraId="5C40EC01"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c>
          <w:tcPr>
            <w:tcW w:w="1480" w:type="dxa"/>
          </w:tcPr>
          <w:p w14:paraId="41AAB948" w14:textId="77777777" w:rsidR="002012FC" w:rsidRDefault="002012FC" w:rsidP="00291350">
            <w:pPr>
              <w:rPr>
                <w:rFonts w:asciiTheme="majorBidi" w:hAnsiTheme="majorBidi" w:cstheme="majorBidi"/>
              </w:rPr>
            </w:pPr>
            <w:r>
              <w:rPr>
                <w:rFonts w:asciiTheme="majorBidi" w:hAnsiTheme="majorBidi" w:cstheme="majorBidi"/>
              </w:rPr>
              <w:t>1.15</w:t>
            </w:r>
          </w:p>
          <w:p w14:paraId="4D92CD9B" w14:textId="77777777" w:rsidR="002012FC" w:rsidRPr="003A4C85" w:rsidRDefault="002012FC" w:rsidP="00291350">
            <w:pPr>
              <w:rPr>
                <w:rFonts w:asciiTheme="majorBidi" w:hAnsiTheme="majorBidi" w:cstheme="majorBidi"/>
              </w:rPr>
            </w:pPr>
            <w:r>
              <w:rPr>
                <w:rFonts w:asciiTheme="majorBidi" w:hAnsiTheme="majorBidi" w:cstheme="majorBidi"/>
              </w:rPr>
              <w:t>(1.09 -1.21)</w:t>
            </w:r>
          </w:p>
        </w:tc>
        <w:tc>
          <w:tcPr>
            <w:tcW w:w="1311" w:type="dxa"/>
          </w:tcPr>
          <w:p w14:paraId="13E693F8" w14:textId="77777777" w:rsidR="002012FC" w:rsidRPr="003A4C85" w:rsidRDefault="002012FC" w:rsidP="00291350">
            <w:pPr>
              <w:rPr>
                <w:rFonts w:asciiTheme="majorBidi" w:hAnsiTheme="majorBidi" w:cstheme="majorBidi"/>
              </w:rPr>
            </w:pPr>
            <w:r w:rsidRPr="003A4C85">
              <w:rPr>
                <w:rFonts w:asciiTheme="majorBidi" w:hAnsiTheme="majorBidi" w:cstheme="majorBidi"/>
                <w:color w:val="000000"/>
                <w:shd w:val="clear" w:color="auto" w:fill="FFFFFF"/>
              </w:rPr>
              <w:t>&lt;0.001</w:t>
            </w:r>
          </w:p>
        </w:tc>
      </w:tr>
      <w:tr w:rsidR="002012FC" w:rsidRPr="003A4C85" w14:paraId="445FF557" w14:textId="77777777" w:rsidTr="00291350">
        <w:tc>
          <w:tcPr>
            <w:tcW w:w="1443" w:type="dxa"/>
            <w:shd w:val="clear" w:color="auto" w:fill="D0CECE" w:themeFill="background2" w:themeFillShade="E6"/>
          </w:tcPr>
          <w:p w14:paraId="6C7011C2" w14:textId="77777777" w:rsidR="002012FC" w:rsidRPr="003A4C85" w:rsidRDefault="002012FC" w:rsidP="00291350">
            <w:pPr>
              <w:rPr>
                <w:rFonts w:asciiTheme="majorBidi" w:hAnsiTheme="majorBidi" w:cstheme="majorBidi"/>
              </w:rPr>
            </w:pPr>
            <w:r>
              <w:rPr>
                <w:rFonts w:asciiTheme="majorBidi" w:hAnsiTheme="majorBidi" w:cstheme="majorBidi"/>
              </w:rPr>
              <w:t>Periodontitis</w:t>
            </w:r>
          </w:p>
        </w:tc>
        <w:tc>
          <w:tcPr>
            <w:tcW w:w="1636" w:type="dxa"/>
            <w:shd w:val="clear" w:color="auto" w:fill="D0CECE" w:themeFill="background2" w:themeFillShade="E6"/>
          </w:tcPr>
          <w:p w14:paraId="22662FCC" w14:textId="77777777" w:rsidR="002012FC" w:rsidRPr="003A4C85" w:rsidRDefault="002012FC" w:rsidP="00291350">
            <w:pPr>
              <w:rPr>
                <w:rFonts w:asciiTheme="majorBidi" w:hAnsiTheme="majorBidi" w:cstheme="majorBidi"/>
              </w:rPr>
            </w:pPr>
            <w:r w:rsidRPr="00A75378">
              <w:rPr>
                <w:rFonts w:asciiTheme="majorBidi" w:hAnsiTheme="majorBidi" w:cstheme="majorBidi"/>
                <w:sz w:val="18"/>
                <w:szCs w:val="18"/>
              </w:rPr>
              <w:t>No/ Mild Periodontitis</w:t>
            </w:r>
          </w:p>
        </w:tc>
        <w:tc>
          <w:tcPr>
            <w:tcW w:w="1494" w:type="dxa"/>
            <w:shd w:val="clear" w:color="auto" w:fill="E7E6E6" w:themeFill="background2"/>
          </w:tcPr>
          <w:p w14:paraId="45446360" w14:textId="77777777" w:rsidR="002012FC" w:rsidRPr="003A4C85" w:rsidRDefault="002012FC" w:rsidP="00291350">
            <w:pPr>
              <w:rPr>
                <w:rFonts w:asciiTheme="majorBidi" w:hAnsiTheme="majorBidi" w:cstheme="majorBidi"/>
              </w:rPr>
            </w:pPr>
            <w:r>
              <w:rPr>
                <w:rFonts w:asciiTheme="majorBidi" w:hAnsiTheme="majorBidi" w:cstheme="majorBidi"/>
              </w:rPr>
              <w:t>(Reference)</w:t>
            </w:r>
          </w:p>
        </w:tc>
        <w:tc>
          <w:tcPr>
            <w:tcW w:w="956" w:type="dxa"/>
            <w:shd w:val="clear" w:color="auto" w:fill="E7E6E6" w:themeFill="background2"/>
          </w:tcPr>
          <w:p w14:paraId="6BA5318A" w14:textId="77777777" w:rsidR="002012FC" w:rsidRPr="003A4C85" w:rsidRDefault="002012FC" w:rsidP="00291350">
            <w:pPr>
              <w:rPr>
                <w:rFonts w:asciiTheme="majorBidi" w:hAnsiTheme="majorBidi" w:cstheme="majorBidi"/>
              </w:rPr>
            </w:pPr>
          </w:p>
        </w:tc>
        <w:tc>
          <w:tcPr>
            <w:tcW w:w="1491" w:type="dxa"/>
            <w:shd w:val="clear" w:color="auto" w:fill="E7E6E6" w:themeFill="background2"/>
          </w:tcPr>
          <w:p w14:paraId="3B6A68E7" w14:textId="77777777" w:rsidR="002012FC" w:rsidRPr="003A4C85" w:rsidRDefault="002012FC" w:rsidP="00291350">
            <w:pPr>
              <w:rPr>
                <w:rFonts w:asciiTheme="majorBidi" w:hAnsiTheme="majorBidi" w:cstheme="majorBidi"/>
              </w:rPr>
            </w:pPr>
          </w:p>
        </w:tc>
        <w:tc>
          <w:tcPr>
            <w:tcW w:w="963" w:type="dxa"/>
            <w:shd w:val="clear" w:color="auto" w:fill="E7E6E6" w:themeFill="background2"/>
          </w:tcPr>
          <w:p w14:paraId="7C4743CD" w14:textId="77777777" w:rsidR="002012FC" w:rsidRPr="003A4C85" w:rsidRDefault="002012FC" w:rsidP="00291350">
            <w:pPr>
              <w:rPr>
                <w:rFonts w:asciiTheme="majorBidi" w:hAnsiTheme="majorBidi" w:cstheme="majorBidi"/>
              </w:rPr>
            </w:pPr>
          </w:p>
        </w:tc>
        <w:tc>
          <w:tcPr>
            <w:tcW w:w="1480" w:type="dxa"/>
            <w:shd w:val="clear" w:color="auto" w:fill="E7E6E6" w:themeFill="background2"/>
          </w:tcPr>
          <w:p w14:paraId="5501002A" w14:textId="77777777" w:rsidR="002012FC" w:rsidRPr="003A4C85" w:rsidRDefault="002012FC" w:rsidP="00291350">
            <w:pPr>
              <w:rPr>
                <w:rFonts w:asciiTheme="majorBidi" w:hAnsiTheme="majorBidi" w:cstheme="majorBidi"/>
              </w:rPr>
            </w:pPr>
          </w:p>
        </w:tc>
        <w:tc>
          <w:tcPr>
            <w:tcW w:w="1311" w:type="dxa"/>
            <w:shd w:val="clear" w:color="auto" w:fill="E7E6E6" w:themeFill="background2"/>
          </w:tcPr>
          <w:p w14:paraId="22702C4B" w14:textId="77777777" w:rsidR="002012FC" w:rsidRPr="003A4C85" w:rsidRDefault="002012FC" w:rsidP="00291350">
            <w:pPr>
              <w:rPr>
                <w:rFonts w:asciiTheme="majorBidi" w:hAnsiTheme="majorBidi" w:cstheme="majorBidi"/>
              </w:rPr>
            </w:pPr>
          </w:p>
        </w:tc>
      </w:tr>
      <w:tr w:rsidR="002012FC" w:rsidRPr="003A4C85" w14:paraId="09B475AE" w14:textId="77777777" w:rsidTr="00291350">
        <w:tc>
          <w:tcPr>
            <w:tcW w:w="1443" w:type="dxa"/>
            <w:shd w:val="clear" w:color="auto" w:fill="D0CECE" w:themeFill="background2" w:themeFillShade="E6"/>
          </w:tcPr>
          <w:p w14:paraId="3053D802" w14:textId="77777777" w:rsidR="002012FC" w:rsidRDefault="002012FC" w:rsidP="00291350">
            <w:pPr>
              <w:rPr>
                <w:rFonts w:asciiTheme="majorBidi" w:hAnsiTheme="majorBidi" w:cstheme="majorBidi"/>
              </w:rPr>
            </w:pPr>
          </w:p>
        </w:tc>
        <w:tc>
          <w:tcPr>
            <w:tcW w:w="1636" w:type="dxa"/>
            <w:shd w:val="clear" w:color="auto" w:fill="D0CECE" w:themeFill="background2" w:themeFillShade="E6"/>
          </w:tcPr>
          <w:p w14:paraId="1B92908E" w14:textId="77777777" w:rsidR="002012FC" w:rsidRPr="003A4C85" w:rsidRDefault="002012FC" w:rsidP="00291350">
            <w:pPr>
              <w:rPr>
                <w:rFonts w:asciiTheme="majorBidi" w:hAnsiTheme="majorBidi" w:cstheme="majorBidi"/>
              </w:rPr>
            </w:pPr>
            <w:r w:rsidRPr="00D32777">
              <w:rPr>
                <w:rFonts w:asciiTheme="majorBidi" w:hAnsiTheme="majorBidi" w:cstheme="majorBidi"/>
                <w:sz w:val="18"/>
                <w:szCs w:val="18"/>
              </w:rPr>
              <w:t xml:space="preserve">Moderate/ Severe Periodontitis </w:t>
            </w:r>
          </w:p>
        </w:tc>
        <w:tc>
          <w:tcPr>
            <w:tcW w:w="1494" w:type="dxa"/>
          </w:tcPr>
          <w:p w14:paraId="60C06A88" w14:textId="77777777" w:rsidR="002012FC" w:rsidRPr="003A4C85" w:rsidRDefault="002012FC" w:rsidP="00291350">
            <w:pPr>
              <w:rPr>
                <w:rFonts w:asciiTheme="majorBidi" w:hAnsiTheme="majorBidi" w:cstheme="majorBidi"/>
              </w:rPr>
            </w:pPr>
            <w:r>
              <w:rPr>
                <w:rFonts w:asciiTheme="majorBidi" w:hAnsiTheme="majorBidi" w:cstheme="majorBidi"/>
              </w:rPr>
              <w:t>1.09</w:t>
            </w:r>
          </w:p>
          <w:p w14:paraId="50C3C02B" w14:textId="77777777" w:rsidR="002012FC" w:rsidRDefault="002012FC" w:rsidP="00291350">
            <w:pPr>
              <w:rPr>
                <w:rFonts w:asciiTheme="majorBidi" w:hAnsiTheme="majorBidi" w:cstheme="majorBidi"/>
              </w:rPr>
            </w:pPr>
            <w:r>
              <w:rPr>
                <w:rFonts w:asciiTheme="majorBidi" w:hAnsiTheme="majorBidi" w:cstheme="majorBidi"/>
              </w:rPr>
              <w:t>(1.04 – 1.15)</w:t>
            </w:r>
          </w:p>
        </w:tc>
        <w:tc>
          <w:tcPr>
            <w:tcW w:w="956" w:type="dxa"/>
          </w:tcPr>
          <w:p w14:paraId="00B00685" w14:textId="77777777" w:rsidR="002012FC" w:rsidRPr="003A4C85" w:rsidRDefault="002012FC" w:rsidP="00291350">
            <w:pPr>
              <w:rPr>
                <w:rFonts w:asciiTheme="majorBidi" w:hAnsiTheme="majorBidi" w:cstheme="majorBidi"/>
                <w:color w:val="000000"/>
                <w:shd w:val="clear" w:color="auto" w:fill="FFFFFF"/>
              </w:rPr>
            </w:pPr>
            <w:r w:rsidRPr="003A4C85">
              <w:rPr>
                <w:rFonts w:asciiTheme="majorBidi" w:hAnsiTheme="majorBidi" w:cstheme="majorBidi"/>
                <w:color w:val="000000"/>
                <w:shd w:val="clear" w:color="auto" w:fill="FFFFFF"/>
              </w:rPr>
              <w:t>&lt;0.001</w:t>
            </w:r>
          </w:p>
        </w:tc>
        <w:tc>
          <w:tcPr>
            <w:tcW w:w="1491" w:type="dxa"/>
          </w:tcPr>
          <w:p w14:paraId="7BF6C812" w14:textId="77777777" w:rsidR="002012FC" w:rsidRDefault="002012FC" w:rsidP="00291350">
            <w:pPr>
              <w:rPr>
                <w:rFonts w:asciiTheme="majorBidi" w:hAnsiTheme="majorBidi" w:cstheme="majorBidi"/>
              </w:rPr>
            </w:pPr>
            <w:r>
              <w:rPr>
                <w:rFonts w:asciiTheme="majorBidi" w:hAnsiTheme="majorBidi" w:cstheme="majorBidi"/>
              </w:rPr>
              <w:t>1.08</w:t>
            </w:r>
          </w:p>
          <w:p w14:paraId="45665DBD" w14:textId="77777777" w:rsidR="002012FC" w:rsidRDefault="002012FC" w:rsidP="00291350">
            <w:pPr>
              <w:rPr>
                <w:rFonts w:asciiTheme="majorBidi" w:hAnsiTheme="majorBidi" w:cstheme="majorBidi"/>
              </w:rPr>
            </w:pPr>
            <w:r>
              <w:rPr>
                <w:rFonts w:asciiTheme="majorBidi" w:hAnsiTheme="majorBidi" w:cstheme="majorBidi"/>
              </w:rPr>
              <w:t>(1.02 – 1.14)</w:t>
            </w:r>
          </w:p>
        </w:tc>
        <w:tc>
          <w:tcPr>
            <w:tcW w:w="963" w:type="dxa"/>
          </w:tcPr>
          <w:p w14:paraId="03270324"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0.003</w:t>
            </w:r>
          </w:p>
        </w:tc>
        <w:tc>
          <w:tcPr>
            <w:tcW w:w="1480" w:type="dxa"/>
          </w:tcPr>
          <w:p w14:paraId="0AB029A3" w14:textId="77777777" w:rsidR="002012FC" w:rsidRDefault="002012FC" w:rsidP="00291350">
            <w:pPr>
              <w:rPr>
                <w:rFonts w:asciiTheme="majorBidi" w:hAnsiTheme="majorBidi" w:cstheme="majorBidi"/>
              </w:rPr>
            </w:pPr>
            <w:r>
              <w:rPr>
                <w:rFonts w:asciiTheme="majorBidi" w:hAnsiTheme="majorBidi" w:cstheme="majorBidi"/>
              </w:rPr>
              <w:t>1.00</w:t>
            </w:r>
          </w:p>
          <w:p w14:paraId="233A167B" w14:textId="77777777" w:rsidR="002012FC" w:rsidRDefault="002012FC" w:rsidP="00291350">
            <w:pPr>
              <w:rPr>
                <w:rFonts w:asciiTheme="majorBidi" w:hAnsiTheme="majorBidi" w:cstheme="majorBidi"/>
              </w:rPr>
            </w:pPr>
            <w:r>
              <w:rPr>
                <w:rFonts w:asciiTheme="majorBidi" w:hAnsiTheme="majorBidi" w:cstheme="majorBidi"/>
              </w:rPr>
              <w:t>(0.95 – 1.05)</w:t>
            </w:r>
          </w:p>
        </w:tc>
        <w:tc>
          <w:tcPr>
            <w:tcW w:w="1311" w:type="dxa"/>
          </w:tcPr>
          <w:p w14:paraId="067D2300" w14:textId="77777777" w:rsidR="002012FC" w:rsidRPr="003A4C85" w:rsidRDefault="002012FC" w:rsidP="00291350">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0.932</w:t>
            </w:r>
          </w:p>
        </w:tc>
      </w:tr>
      <w:tr w:rsidR="002012FC" w:rsidRPr="003A4C85" w14:paraId="22D99A0D" w14:textId="77777777" w:rsidTr="00291350">
        <w:tc>
          <w:tcPr>
            <w:tcW w:w="3079" w:type="dxa"/>
            <w:gridSpan w:val="2"/>
            <w:shd w:val="clear" w:color="auto" w:fill="D0CECE" w:themeFill="background2" w:themeFillShade="E6"/>
          </w:tcPr>
          <w:p w14:paraId="6B1358A8" w14:textId="77777777" w:rsidR="002012FC" w:rsidRPr="003A4C85" w:rsidRDefault="002012FC" w:rsidP="00291350">
            <w:pPr>
              <w:rPr>
                <w:rFonts w:asciiTheme="majorBidi" w:hAnsiTheme="majorBidi" w:cstheme="majorBidi"/>
              </w:rPr>
            </w:pPr>
            <w:r>
              <w:rPr>
                <w:rFonts w:asciiTheme="majorBidi" w:hAnsiTheme="majorBidi" w:cstheme="majorBidi"/>
              </w:rPr>
              <w:t>Inadequate n</w:t>
            </w:r>
            <w:r w:rsidRPr="003A4C85">
              <w:rPr>
                <w:rFonts w:asciiTheme="majorBidi" w:hAnsiTheme="majorBidi" w:cstheme="majorBidi"/>
              </w:rPr>
              <w:t xml:space="preserve">utritional </w:t>
            </w:r>
            <w:r>
              <w:rPr>
                <w:rFonts w:asciiTheme="majorBidi" w:hAnsiTheme="majorBidi" w:cstheme="majorBidi"/>
              </w:rPr>
              <w:t>intake</w:t>
            </w:r>
          </w:p>
        </w:tc>
        <w:tc>
          <w:tcPr>
            <w:tcW w:w="1494" w:type="dxa"/>
          </w:tcPr>
          <w:p w14:paraId="603D0F51" w14:textId="77777777" w:rsidR="002012FC" w:rsidRDefault="002012FC" w:rsidP="00291350">
            <w:pPr>
              <w:rPr>
                <w:rFonts w:asciiTheme="majorBidi" w:hAnsiTheme="majorBidi" w:cstheme="majorBidi"/>
              </w:rPr>
            </w:pPr>
          </w:p>
        </w:tc>
        <w:tc>
          <w:tcPr>
            <w:tcW w:w="956" w:type="dxa"/>
          </w:tcPr>
          <w:p w14:paraId="21817669" w14:textId="77777777" w:rsidR="002012FC" w:rsidRPr="003A4C85" w:rsidRDefault="002012FC" w:rsidP="00291350">
            <w:pPr>
              <w:rPr>
                <w:rFonts w:asciiTheme="majorBidi" w:hAnsiTheme="majorBidi" w:cstheme="majorBidi"/>
                <w:color w:val="000000"/>
                <w:shd w:val="clear" w:color="auto" w:fill="FFFFFF"/>
              </w:rPr>
            </w:pPr>
          </w:p>
        </w:tc>
        <w:tc>
          <w:tcPr>
            <w:tcW w:w="1491" w:type="dxa"/>
          </w:tcPr>
          <w:p w14:paraId="7EA867C4" w14:textId="77777777" w:rsidR="002012FC" w:rsidRDefault="002012FC" w:rsidP="00291350">
            <w:pPr>
              <w:rPr>
                <w:rFonts w:asciiTheme="majorBidi" w:hAnsiTheme="majorBidi" w:cstheme="majorBidi"/>
              </w:rPr>
            </w:pPr>
            <w:r>
              <w:rPr>
                <w:rFonts w:asciiTheme="majorBidi" w:hAnsiTheme="majorBidi" w:cstheme="majorBidi"/>
              </w:rPr>
              <w:t>1.02</w:t>
            </w:r>
          </w:p>
          <w:p w14:paraId="1DA1D14D" w14:textId="77777777" w:rsidR="002012FC" w:rsidRPr="003A4C85" w:rsidRDefault="002012FC" w:rsidP="00291350">
            <w:pPr>
              <w:rPr>
                <w:rFonts w:asciiTheme="majorBidi" w:hAnsiTheme="majorBidi" w:cstheme="majorBidi"/>
              </w:rPr>
            </w:pPr>
            <w:r>
              <w:rPr>
                <w:rFonts w:asciiTheme="majorBidi" w:hAnsiTheme="majorBidi" w:cstheme="majorBidi"/>
              </w:rPr>
              <w:t>(1.01 – 1.03)</w:t>
            </w:r>
          </w:p>
        </w:tc>
        <w:tc>
          <w:tcPr>
            <w:tcW w:w="963" w:type="dxa"/>
          </w:tcPr>
          <w:p w14:paraId="63E73DA1" w14:textId="77777777" w:rsidR="002012FC" w:rsidRPr="003A4C85" w:rsidRDefault="002012FC" w:rsidP="00291350">
            <w:pPr>
              <w:rPr>
                <w:rFonts w:asciiTheme="majorBidi" w:hAnsiTheme="majorBidi" w:cstheme="majorBidi"/>
                <w:color w:val="000000"/>
                <w:shd w:val="clear" w:color="auto" w:fill="FFFFFF"/>
              </w:rPr>
            </w:pPr>
            <w:r w:rsidRPr="003A4C85">
              <w:rPr>
                <w:rFonts w:asciiTheme="majorBidi" w:hAnsiTheme="majorBidi" w:cstheme="majorBidi"/>
                <w:color w:val="000000"/>
                <w:shd w:val="clear" w:color="auto" w:fill="FFFFFF"/>
              </w:rPr>
              <w:t>&lt;0.001</w:t>
            </w:r>
          </w:p>
        </w:tc>
        <w:tc>
          <w:tcPr>
            <w:tcW w:w="1480" w:type="dxa"/>
          </w:tcPr>
          <w:p w14:paraId="39342E58" w14:textId="77777777" w:rsidR="002012FC" w:rsidRDefault="002012FC" w:rsidP="00291350">
            <w:pPr>
              <w:rPr>
                <w:rFonts w:asciiTheme="majorBidi" w:hAnsiTheme="majorBidi" w:cstheme="majorBidi"/>
              </w:rPr>
            </w:pPr>
            <w:r>
              <w:rPr>
                <w:rFonts w:asciiTheme="majorBidi" w:hAnsiTheme="majorBidi" w:cstheme="majorBidi"/>
              </w:rPr>
              <w:t>1.01</w:t>
            </w:r>
          </w:p>
          <w:p w14:paraId="21E2AC2E" w14:textId="77777777" w:rsidR="002012FC" w:rsidRPr="003A4C85" w:rsidRDefault="002012FC" w:rsidP="00291350">
            <w:pPr>
              <w:rPr>
                <w:rFonts w:asciiTheme="majorBidi" w:hAnsiTheme="majorBidi" w:cstheme="majorBidi"/>
              </w:rPr>
            </w:pPr>
            <w:r>
              <w:rPr>
                <w:rFonts w:asciiTheme="majorBidi" w:hAnsiTheme="majorBidi" w:cstheme="majorBidi"/>
              </w:rPr>
              <w:t>(1.00 – 1.02)</w:t>
            </w:r>
          </w:p>
        </w:tc>
        <w:tc>
          <w:tcPr>
            <w:tcW w:w="1311" w:type="dxa"/>
          </w:tcPr>
          <w:p w14:paraId="0FF41BC2" w14:textId="77777777" w:rsidR="002012FC" w:rsidRPr="003A4C85" w:rsidRDefault="002012FC" w:rsidP="00291350">
            <w:pPr>
              <w:rPr>
                <w:rFonts w:asciiTheme="majorBidi" w:hAnsiTheme="majorBidi" w:cstheme="majorBidi"/>
              </w:rPr>
            </w:pPr>
            <w:r>
              <w:rPr>
                <w:rFonts w:asciiTheme="majorBidi" w:hAnsiTheme="majorBidi" w:cstheme="majorBidi"/>
                <w:color w:val="000000"/>
                <w:shd w:val="clear" w:color="auto" w:fill="FFFFFF"/>
              </w:rPr>
              <w:t>0.009</w:t>
            </w:r>
          </w:p>
        </w:tc>
      </w:tr>
      <w:tr w:rsidR="002012FC" w:rsidRPr="003A4C85" w14:paraId="572FD088" w14:textId="77777777" w:rsidTr="00291350">
        <w:tc>
          <w:tcPr>
            <w:tcW w:w="10774" w:type="dxa"/>
            <w:gridSpan w:val="8"/>
          </w:tcPr>
          <w:p w14:paraId="10F79D86" w14:textId="77777777" w:rsidR="002012FC" w:rsidRDefault="002012FC" w:rsidP="00291350">
            <w:pPr>
              <w:rPr>
                <w:rFonts w:asciiTheme="majorBidi" w:hAnsiTheme="majorBidi" w:cstheme="majorBidi"/>
                <w:sz w:val="18"/>
                <w:szCs w:val="18"/>
              </w:rPr>
            </w:pPr>
            <w:r>
              <w:rPr>
                <w:rFonts w:asciiTheme="majorBidi" w:hAnsiTheme="majorBidi" w:cstheme="majorBidi"/>
                <w:sz w:val="18"/>
                <w:szCs w:val="18"/>
              </w:rPr>
              <w:t xml:space="preserve">Model 1: Adjusted for number of teeth, age, gender. </w:t>
            </w:r>
          </w:p>
          <w:p w14:paraId="0662C505" w14:textId="77777777" w:rsidR="002012FC" w:rsidRDefault="002012FC" w:rsidP="00291350">
            <w:pPr>
              <w:rPr>
                <w:rFonts w:asciiTheme="majorBidi" w:hAnsiTheme="majorBidi" w:cstheme="majorBidi"/>
                <w:sz w:val="18"/>
                <w:szCs w:val="18"/>
              </w:rPr>
            </w:pPr>
            <w:r>
              <w:rPr>
                <w:rFonts w:asciiTheme="majorBidi" w:hAnsiTheme="majorBidi" w:cstheme="majorBidi"/>
                <w:sz w:val="18"/>
                <w:szCs w:val="18"/>
              </w:rPr>
              <w:t xml:space="preserve">Model 2 Additionally adjusted for nutritional intake. </w:t>
            </w:r>
          </w:p>
          <w:p w14:paraId="162D1228" w14:textId="77777777" w:rsidR="002012FC" w:rsidRDefault="002012FC" w:rsidP="00291350">
            <w:pPr>
              <w:rPr>
                <w:rFonts w:asciiTheme="majorBidi" w:hAnsiTheme="majorBidi" w:cstheme="majorBidi"/>
                <w:sz w:val="18"/>
                <w:szCs w:val="18"/>
              </w:rPr>
            </w:pPr>
            <w:r>
              <w:rPr>
                <w:rFonts w:asciiTheme="majorBidi" w:hAnsiTheme="majorBidi" w:cstheme="majorBidi"/>
                <w:sz w:val="18"/>
                <w:szCs w:val="18"/>
              </w:rPr>
              <w:t xml:space="preserve">Model 3: Additionally, adjusted for ethnicity, education poverty income ratio and smoking. </w:t>
            </w:r>
          </w:p>
          <w:p w14:paraId="5A1E4AFE" w14:textId="77777777" w:rsidR="002012FC" w:rsidRPr="00BA7CDC" w:rsidRDefault="002012FC" w:rsidP="00291350">
            <w:pPr>
              <w:rPr>
                <w:rFonts w:asciiTheme="majorBidi" w:hAnsiTheme="majorBidi" w:cstheme="majorBidi"/>
                <w:sz w:val="18"/>
                <w:szCs w:val="18"/>
              </w:rPr>
            </w:pPr>
            <w:r>
              <w:rPr>
                <w:rFonts w:asciiTheme="majorBidi" w:hAnsiTheme="majorBidi" w:cstheme="majorBidi"/>
                <w:sz w:val="18"/>
                <w:szCs w:val="18"/>
              </w:rPr>
              <w:t>RR: Rate ratio</w:t>
            </w:r>
          </w:p>
        </w:tc>
      </w:tr>
    </w:tbl>
    <w:p w14:paraId="605FDE93" w14:textId="77777777" w:rsidR="002012FC" w:rsidRDefault="002012FC" w:rsidP="002012FC">
      <w:pPr>
        <w:spacing w:after="160" w:line="259" w:lineRule="auto"/>
      </w:pPr>
    </w:p>
    <w:p w14:paraId="58EAA031" w14:textId="77777777" w:rsidR="002012FC" w:rsidRDefault="002012FC" w:rsidP="002012FC"/>
    <w:p w14:paraId="1B10B4A6" w14:textId="1B4010F2" w:rsidR="008B1218" w:rsidRPr="00905FE1" w:rsidRDefault="0044080B" w:rsidP="00E74D1A">
      <w:r>
        <w:fldChar w:fldCharType="begin"/>
      </w:r>
      <w:r>
        <w:instrText xml:space="preserve"> ADDIN </w:instrText>
      </w:r>
      <w:r>
        <w:fldChar w:fldCharType="end"/>
      </w:r>
    </w:p>
    <w:sectPr w:rsidR="008B1218" w:rsidRPr="00905FE1" w:rsidSect="002012FC">
      <w:footerReference w:type="even" r:id="rId12"/>
      <w:footerReference w:type="default" r:id="rId13"/>
      <w:pgSz w:w="11906" w:h="16838"/>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1E8AD" w14:textId="77777777" w:rsidR="000A0A02" w:rsidRDefault="000A0A02" w:rsidP="00A43B76">
      <w:r>
        <w:separator/>
      </w:r>
    </w:p>
  </w:endnote>
  <w:endnote w:type="continuationSeparator" w:id="0">
    <w:p w14:paraId="2B054262" w14:textId="77777777" w:rsidR="000A0A02" w:rsidRDefault="000A0A02" w:rsidP="00A43B76">
      <w:r>
        <w:continuationSeparator/>
      </w:r>
    </w:p>
  </w:endnote>
  <w:endnote w:type="continuationNotice" w:id="1">
    <w:p w14:paraId="6CDA2B10" w14:textId="77777777" w:rsidR="000A0A02" w:rsidRDefault="000A0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QTB P+ Times">
    <w:altName w:val="Times New Roman"/>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f3">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868826852"/>
      <w:docPartObj>
        <w:docPartGallery w:val="Page Numbers (Bottom of Page)"/>
        <w:docPartUnique/>
      </w:docPartObj>
    </w:sdtPr>
    <w:sdtEndPr>
      <w:rPr>
        <w:rStyle w:val="PageNumber"/>
      </w:rPr>
    </w:sdtEndPr>
    <w:sdtContent>
      <w:p w14:paraId="6554F499" w14:textId="1D1BA1C7" w:rsidR="00606711" w:rsidRDefault="00606711" w:rsidP="00EE1056">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3AA4F4ED" w14:textId="77777777" w:rsidR="00606711" w:rsidRDefault="00606711" w:rsidP="008D595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372613146"/>
      <w:docPartObj>
        <w:docPartGallery w:val="Page Numbers (Bottom of Page)"/>
        <w:docPartUnique/>
      </w:docPartObj>
    </w:sdtPr>
    <w:sdtEndPr>
      <w:rPr>
        <w:rStyle w:val="PageNumber"/>
      </w:rPr>
    </w:sdtEndPr>
    <w:sdtContent>
      <w:p w14:paraId="3952A894" w14:textId="48D89F23" w:rsidR="00606711" w:rsidRDefault="00606711" w:rsidP="00EE1056">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0D5CB9DA" w14:textId="77777777" w:rsidR="00606711" w:rsidRDefault="00606711" w:rsidP="008D595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F6464" w14:textId="77777777" w:rsidR="000A0A02" w:rsidRDefault="000A0A02" w:rsidP="00A43B76">
      <w:r>
        <w:separator/>
      </w:r>
    </w:p>
  </w:footnote>
  <w:footnote w:type="continuationSeparator" w:id="0">
    <w:p w14:paraId="32456E5D" w14:textId="77777777" w:rsidR="000A0A02" w:rsidRDefault="000A0A02" w:rsidP="00A43B76">
      <w:r>
        <w:continuationSeparator/>
      </w:r>
    </w:p>
  </w:footnote>
  <w:footnote w:type="continuationNotice" w:id="1">
    <w:p w14:paraId="389AA3E1" w14:textId="77777777" w:rsidR="000A0A02" w:rsidRDefault="000A0A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4875"/>
    <w:multiLevelType w:val="hybridMultilevel"/>
    <w:tmpl w:val="43568838"/>
    <w:lvl w:ilvl="0" w:tplc="755021A6">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6C26"/>
    <w:multiLevelType w:val="hybridMultilevel"/>
    <w:tmpl w:val="3A645C94"/>
    <w:lvl w:ilvl="0" w:tplc="AEC07AA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C623A"/>
    <w:multiLevelType w:val="hybridMultilevel"/>
    <w:tmpl w:val="15A0047E"/>
    <w:lvl w:ilvl="0" w:tplc="4586919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F3430"/>
    <w:multiLevelType w:val="multilevel"/>
    <w:tmpl w:val="9C4C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gutterAtTop/>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MzIwsjC3NDM2NDZQ0lEKTi0uzszPAykwNKoFAIMRVestAAAA"/>
    <w:docVar w:name="EN.InstantFormat" w:val="&lt;ENInstantFormat&gt;&lt;Enabled&gt;1&lt;/Enabled&gt;&lt;ScanUnformatted&gt;1&lt;/ScanUnformatted&gt;&lt;ScanChanges&gt;1&lt;/ScanChanges&gt;&lt;Suspended&gt;0&lt;/Suspended&gt;&lt;/ENInstantFormat&gt;"/>
    <w:docVar w:name="EN.Layout" w:val="&lt;ENLayout&gt;&lt;Style&gt;J Am Med Dir Asso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pv252x7xpz25etx2i5affuwe2ffaptfsvz&quot;&gt;My EndNote Library_PhD_comp1&lt;record-ids&gt;&lt;item&gt;101&lt;/item&gt;&lt;item&gt;102&lt;/item&gt;&lt;item&gt;139&lt;/item&gt;&lt;item&gt;142&lt;/item&gt;&lt;item&gt;143&lt;/item&gt;&lt;item&gt;144&lt;/item&gt;&lt;item&gt;145&lt;/item&gt;&lt;item&gt;146&lt;/item&gt;&lt;item&gt;147&lt;/item&gt;&lt;item&gt;148&lt;/item&gt;&lt;item&gt;149&lt;/item&gt;&lt;item&gt;150&lt;/item&gt;&lt;item&gt;151&lt;/item&gt;&lt;item&gt;152&lt;/item&gt;&lt;item&gt;153&lt;/item&gt;&lt;item&gt;203&lt;/item&gt;&lt;/record-ids&gt;&lt;/item&gt;&lt;/Libraries&gt;"/>
  </w:docVars>
  <w:rsids>
    <w:rsidRoot w:val="00905FE1"/>
    <w:rsid w:val="000034F4"/>
    <w:rsid w:val="00010605"/>
    <w:rsid w:val="0001066C"/>
    <w:rsid w:val="00011BC6"/>
    <w:rsid w:val="00013F37"/>
    <w:rsid w:val="00017CB3"/>
    <w:rsid w:val="00020F0D"/>
    <w:rsid w:val="000222E9"/>
    <w:rsid w:val="00027098"/>
    <w:rsid w:val="0002740A"/>
    <w:rsid w:val="00027956"/>
    <w:rsid w:val="00030248"/>
    <w:rsid w:val="0003109F"/>
    <w:rsid w:val="00034F68"/>
    <w:rsid w:val="000365C4"/>
    <w:rsid w:val="000368EC"/>
    <w:rsid w:val="0003704D"/>
    <w:rsid w:val="00040A6A"/>
    <w:rsid w:val="00041583"/>
    <w:rsid w:val="00041D92"/>
    <w:rsid w:val="00041F5A"/>
    <w:rsid w:val="00043AF2"/>
    <w:rsid w:val="00043EA4"/>
    <w:rsid w:val="0004499E"/>
    <w:rsid w:val="000478CF"/>
    <w:rsid w:val="00052178"/>
    <w:rsid w:val="0005294D"/>
    <w:rsid w:val="0005298B"/>
    <w:rsid w:val="00053153"/>
    <w:rsid w:val="0005344E"/>
    <w:rsid w:val="00054A08"/>
    <w:rsid w:val="00055560"/>
    <w:rsid w:val="00055AA7"/>
    <w:rsid w:val="00061EDE"/>
    <w:rsid w:val="0006246E"/>
    <w:rsid w:val="0007309F"/>
    <w:rsid w:val="0007366B"/>
    <w:rsid w:val="00073E04"/>
    <w:rsid w:val="000761BC"/>
    <w:rsid w:val="00076891"/>
    <w:rsid w:val="0008262F"/>
    <w:rsid w:val="0008609C"/>
    <w:rsid w:val="000868BE"/>
    <w:rsid w:val="00086BEE"/>
    <w:rsid w:val="00087051"/>
    <w:rsid w:val="000928C7"/>
    <w:rsid w:val="000941A3"/>
    <w:rsid w:val="00094CC4"/>
    <w:rsid w:val="00095400"/>
    <w:rsid w:val="00095ED9"/>
    <w:rsid w:val="0009650B"/>
    <w:rsid w:val="000974F5"/>
    <w:rsid w:val="000A0A02"/>
    <w:rsid w:val="000A139D"/>
    <w:rsid w:val="000A208E"/>
    <w:rsid w:val="000A243D"/>
    <w:rsid w:val="000A2E87"/>
    <w:rsid w:val="000A34FC"/>
    <w:rsid w:val="000A3E82"/>
    <w:rsid w:val="000A47FF"/>
    <w:rsid w:val="000B0D13"/>
    <w:rsid w:val="000B5614"/>
    <w:rsid w:val="000B7586"/>
    <w:rsid w:val="000C088A"/>
    <w:rsid w:val="000C0DB6"/>
    <w:rsid w:val="000C49B6"/>
    <w:rsid w:val="000C4C17"/>
    <w:rsid w:val="000C6A00"/>
    <w:rsid w:val="000C6CA3"/>
    <w:rsid w:val="000C7076"/>
    <w:rsid w:val="000D12C9"/>
    <w:rsid w:val="000D201D"/>
    <w:rsid w:val="000D26E4"/>
    <w:rsid w:val="000D404F"/>
    <w:rsid w:val="000D42AE"/>
    <w:rsid w:val="000E02F5"/>
    <w:rsid w:val="000E2036"/>
    <w:rsid w:val="000E2F10"/>
    <w:rsid w:val="000E566E"/>
    <w:rsid w:val="000E66A5"/>
    <w:rsid w:val="000E78CB"/>
    <w:rsid w:val="000F284F"/>
    <w:rsid w:val="000F2AED"/>
    <w:rsid w:val="000F5EA5"/>
    <w:rsid w:val="000F5FF4"/>
    <w:rsid w:val="000F64FC"/>
    <w:rsid w:val="000F7598"/>
    <w:rsid w:val="001012D7"/>
    <w:rsid w:val="001035A7"/>
    <w:rsid w:val="00103B16"/>
    <w:rsid w:val="00104E6F"/>
    <w:rsid w:val="00104EF8"/>
    <w:rsid w:val="00105788"/>
    <w:rsid w:val="00106043"/>
    <w:rsid w:val="001063C7"/>
    <w:rsid w:val="00107E02"/>
    <w:rsid w:val="00107E12"/>
    <w:rsid w:val="00110FF1"/>
    <w:rsid w:val="001123B0"/>
    <w:rsid w:val="001152EB"/>
    <w:rsid w:val="00116089"/>
    <w:rsid w:val="00116795"/>
    <w:rsid w:val="00116DAA"/>
    <w:rsid w:val="00117ADC"/>
    <w:rsid w:val="00117EDB"/>
    <w:rsid w:val="001233C9"/>
    <w:rsid w:val="0012361A"/>
    <w:rsid w:val="00125F9C"/>
    <w:rsid w:val="00127F38"/>
    <w:rsid w:val="00130C4E"/>
    <w:rsid w:val="00132884"/>
    <w:rsid w:val="00134053"/>
    <w:rsid w:val="001343F7"/>
    <w:rsid w:val="00134B51"/>
    <w:rsid w:val="00134FEE"/>
    <w:rsid w:val="001356BB"/>
    <w:rsid w:val="00135C45"/>
    <w:rsid w:val="00136136"/>
    <w:rsid w:val="001368A2"/>
    <w:rsid w:val="00137CC9"/>
    <w:rsid w:val="00143060"/>
    <w:rsid w:val="001463DC"/>
    <w:rsid w:val="00146F7B"/>
    <w:rsid w:val="0014745D"/>
    <w:rsid w:val="00147822"/>
    <w:rsid w:val="00150FC5"/>
    <w:rsid w:val="00151EC4"/>
    <w:rsid w:val="00154927"/>
    <w:rsid w:val="0015546D"/>
    <w:rsid w:val="00156065"/>
    <w:rsid w:val="00161CB3"/>
    <w:rsid w:val="00161ECA"/>
    <w:rsid w:val="001660A9"/>
    <w:rsid w:val="00171009"/>
    <w:rsid w:val="00172F93"/>
    <w:rsid w:val="00173424"/>
    <w:rsid w:val="001742F8"/>
    <w:rsid w:val="001745C9"/>
    <w:rsid w:val="00177523"/>
    <w:rsid w:val="00177F79"/>
    <w:rsid w:val="00177FB2"/>
    <w:rsid w:val="00180943"/>
    <w:rsid w:val="00183DDA"/>
    <w:rsid w:val="00185528"/>
    <w:rsid w:val="0018576A"/>
    <w:rsid w:val="00185900"/>
    <w:rsid w:val="00186309"/>
    <w:rsid w:val="001870CA"/>
    <w:rsid w:val="0019063E"/>
    <w:rsid w:val="00191CDB"/>
    <w:rsid w:val="001952AF"/>
    <w:rsid w:val="00195B16"/>
    <w:rsid w:val="0019628F"/>
    <w:rsid w:val="001A32FE"/>
    <w:rsid w:val="001A33EF"/>
    <w:rsid w:val="001A570D"/>
    <w:rsid w:val="001A5CBE"/>
    <w:rsid w:val="001B0F45"/>
    <w:rsid w:val="001B1280"/>
    <w:rsid w:val="001B4025"/>
    <w:rsid w:val="001B4AF6"/>
    <w:rsid w:val="001B4D5A"/>
    <w:rsid w:val="001B4DAD"/>
    <w:rsid w:val="001B531E"/>
    <w:rsid w:val="001B71E9"/>
    <w:rsid w:val="001B720D"/>
    <w:rsid w:val="001B75B9"/>
    <w:rsid w:val="001B78BF"/>
    <w:rsid w:val="001C01F5"/>
    <w:rsid w:val="001C1E46"/>
    <w:rsid w:val="001C29C2"/>
    <w:rsid w:val="001C5D8D"/>
    <w:rsid w:val="001D18A7"/>
    <w:rsid w:val="001D1A19"/>
    <w:rsid w:val="001D35A7"/>
    <w:rsid w:val="001D3914"/>
    <w:rsid w:val="001D5009"/>
    <w:rsid w:val="001D5944"/>
    <w:rsid w:val="001D7083"/>
    <w:rsid w:val="001E056D"/>
    <w:rsid w:val="001E0FC8"/>
    <w:rsid w:val="001E3984"/>
    <w:rsid w:val="001E59B1"/>
    <w:rsid w:val="001E642E"/>
    <w:rsid w:val="001E71D6"/>
    <w:rsid w:val="001E7373"/>
    <w:rsid w:val="001F0A34"/>
    <w:rsid w:val="001F33DF"/>
    <w:rsid w:val="001F37D5"/>
    <w:rsid w:val="001F4A42"/>
    <w:rsid w:val="001F5F99"/>
    <w:rsid w:val="0020075E"/>
    <w:rsid w:val="002012FC"/>
    <w:rsid w:val="00203143"/>
    <w:rsid w:val="0020333C"/>
    <w:rsid w:val="002034AA"/>
    <w:rsid w:val="00204886"/>
    <w:rsid w:val="00205BFA"/>
    <w:rsid w:val="002075D1"/>
    <w:rsid w:val="00211A9C"/>
    <w:rsid w:val="0021302D"/>
    <w:rsid w:val="0021372B"/>
    <w:rsid w:val="002138EB"/>
    <w:rsid w:val="002167B1"/>
    <w:rsid w:val="0022017B"/>
    <w:rsid w:val="00221753"/>
    <w:rsid w:val="00223303"/>
    <w:rsid w:val="00224C1C"/>
    <w:rsid w:val="0022530C"/>
    <w:rsid w:val="00225C49"/>
    <w:rsid w:val="00230B2A"/>
    <w:rsid w:val="00230CC0"/>
    <w:rsid w:val="00235E11"/>
    <w:rsid w:val="00236339"/>
    <w:rsid w:val="002408FA"/>
    <w:rsid w:val="00241C2F"/>
    <w:rsid w:val="00244EB6"/>
    <w:rsid w:val="00245D0D"/>
    <w:rsid w:val="002476D7"/>
    <w:rsid w:val="00247D9D"/>
    <w:rsid w:val="002515CA"/>
    <w:rsid w:val="0025569B"/>
    <w:rsid w:val="0025625F"/>
    <w:rsid w:val="0025629A"/>
    <w:rsid w:val="0025653E"/>
    <w:rsid w:val="00256B9D"/>
    <w:rsid w:val="00256EDB"/>
    <w:rsid w:val="002609CF"/>
    <w:rsid w:val="00264675"/>
    <w:rsid w:val="00266992"/>
    <w:rsid w:val="002670D5"/>
    <w:rsid w:val="00270C63"/>
    <w:rsid w:val="00271B57"/>
    <w:rsid w:val="0027282B"/>
    <w:rsid w:val="00273577"/>
    <w:rsid w:val="00274696"/>
    <w:rsid w:val="002771BE"/>
    <w:rsid w:val="00277274"/>
    <w:rsid w:val="0027747A"/>
    <w:rsid w:val="00277FC2"/>
    <w:rsid w:val="00283DD3"/>
    <w:rsid w:val="002861CA"/>
    <w:rsid w:val="00290013"/>
    <w:rsid w:val="002909BB"/>
    <w:rsid w:val="002967BE"/>
    <w:rsid w:val="002A3577"/>
    <w:rsid w:val="002A4418"/>
    <w:rsid w:val="002A7442"/>
    <w:rsid w:val="002A7524"/>
    <w:rsid w:val="002B7CE6"/>
    <w:rsid w:val="002C0760"/>
    <w:rsid w:val="002C460C"/>
    <w:rsid w:val="002C481D"/>
    <w:rsid w:val="002C4F29"/>
    <w:rsid w:val="002C5216"/>
    <w:rsid w:val="002C57BD"/>
    <w:rsid w:val="002C64AE"/>
    <w:rsid w:val="002C682F"/>
    <w:rsid w:val="002C6FC8"/>
    <w:rsid w:val="002D0040"/>
    <w:rsid w:val="002D00F2"/>
    <w:rsid w:val="002D0AB8"/>
    <w:rsid w:val="002D5CB4"/>
    <w:rsid w:val="002D5E9E"/>
    <w:rsid w:val="002E3610"/>
    <w:rsid w:val="002F0B0B"/>
    <w:rsid w:val="002F0F94"/>
    <w:rsid w:val="002F1CDA"/>
    <w:rsid w:val="002F7A04"/>
    <w:rsid w:val="0030336F"/>
    <w:rsid w:val="00303940"/>
    <w:rsid w:val="003042AD"/>
    <w:rsid w:val="003061B5"/>
    <w:rsid w:val="00307BBA"/>
    <w:rsid w:val="003107B6"/>
    <w:rsid w:val="00311E41"/>
    <w:rsid w:val="003129EA"/>
    <w:rsid w:val="00312C76"/>
    <w:rsid w:val="0031490D"/>
    <w:rsid w:val="00314D3C"/>
    <w:rsid w:val="00316AE8"/>
    <w:rsid w:val="003203ED"/>
    <w:rsid w:val="00320B49"/>
    <w:rsid w:val="00321172"/>
    <w:rsid w:val="00322D75"/>
    <w:rsid w:val="00326D35"/>
    <w:rsid w:val="00326F13"/>
    <w:rsid w:val="0033031F"/>
    <w:rsid w:val="003308DC"/>
    <w:rsid w:val="0033329A"/>
    <w:rsid w:val="0033597C"/>
    <w:rsid w:val="003402B5"/>
    <w:rsid w:val="003416C6"/>
    <w:rsid w:val="00341B9D"/>
    <w:rsid w:val="003435E4"/>
    <w:rsid w:val="00344B56"/>
    <w:rsid w:val="00345FAA"/>
    <w:rsid w:val="0034770C"/>
    <w:rsid w:val="00351854"/>
    <w:rsid w:val="00353176"/>
    <w:rsid w:val="00355821"/>
    <w:rsid w:val="0036052C"/>
    <w:rsid w:val="00361499"/>
    <w:rsid w:val="00361647"/>
    <w:rsid w:val="00361CAC"/>
    <w:rsid w:val="00366750"/>
    <w:rsid w:val="00366AE7"/>
    <w:rsid w:val="00366EB7"/>
    <w:rsid w:val="003709CD"/>
    <w:rsid w:val="00371124"/>
    <w:rsid w:val="00371601"/>
    <w:rsid w:val="0037161F"/>
    <w:rsid w:val="00374171"/>
    <w:rsid w:val="00374562"/>
    <w:rsid w:val="00374855"/>
    <w:rsid w:val="003770FA"/>
    <w:rsid w:val="0038280C"/>
    <w:rsid w:val="00382FF6"/>
    <w:rsid w:val="00384696"/>
    <w:rsid w:val="003855B7"/>
    <w:rsid w:val="00385DFB"/>
    <w:rsid w:val="0038602A"/>
    <w:rsid w:val="00387632"/>
    <w:rsid w:val="0039061A"/>
    <w:rsid w:val="00392971"/>
    <w:rsid w:val="00392DF8"/>
    <w:rsid w:val="00393B94"/>
    <w:rsid w:val="003944BF"/>
    <w:rsid w:val="003945F8"/>
    <w:rsid w:val="0039462D"/>
    <w:rsid w:val="003A0BFA"/>
    <w:rsid w:val="003A18DB"/>
    <w:rsid w:val="003A30AC"/>
    <w:rsid w:val="003A3A21"/>
    <w:rsid w:val="003A4940"/>
    <w:rsid w:val="003A4B8C"/>
    <w:rsid w:val="003A4C85"/>
    <w:rsid w:val="003B2608"/>
    <w:rsid w:val="003B47FE"/>
    <w:rsid w:val="003B4B32"/>
    <w:rsid w:val="003B51E4"/>
    <w:rsid w:val="003B54E4"/>
    <w:rsid w:val="003B61C1"/>
    <w:rsid w:val="003B7089"/>
    <w:rsid w:val="003B775D"/>
    <w:rsid w:val="003B7A6A"/>
    <w:rsid w:val="003B7EFF"/>
    <w:rsid w:val="003C06C2"/>
    <w:rsid w:val="003C6E05"/>
    <w:rsid w:val="003D221D"/>
    <w:rsid w:val="003E2ED7"/>
    <w:rsid w:val="003E2F0F"/>
    <w:rsid w:val="003E3B74"/>
    <w:rsid w:val="003E6247"/>
    <w:rsid w:val="003E7E31"/>
    <w:rsid w:val="003F0045"/>
    <w:rsid w:val="003F12B4"/>
    <w:rsid w:val="003F264C"/>
    <w:rsid w:val="003F37CD"/>
    <w:rsid w:val="003F4A41"/>
    <w:rsid w:val="003F4C2E"/>
    <w:rsid w:val="003F75AC"/>
    <w:rsid w:val="003F783A"/>
    <w:rsid w:val="004004C7"/>
    <w:rsid w:val="00400D63"/>
    <w:rsid w:val="004014A8"/>
    <w:rsid w:val="00403BAE"/>
    <w:rsid w:val="00407F24"/>
    <w:rsid w:val="00412D88"/>
    <w:rsid w:val="004135D4"/>
    <w:rsid w:val="00415109"/>
    <w:rsid w:val="00416986"/>
    <w:rsid w:val="00417083"/>
    <w:rsid w:val="0042021A"/>
    <w:rsid w:val="004220AE"/>
    <w:rsid w:val="00423F09"/>
    <w:rsid w:val="00425AB0"/>
    <w:rsid w:val="004266AC"/>
    <w:rsid w:val="004304A8"/>
    <w:rsid w:val="00431540"/>
    <w:rsid w:val="00431880"/>
    <w:rsid w:val="0043305B"/>
    <w:rsid w:val="00434A4A"/>
    <w:rsid w:val="00434EC0"/>
    <w:rsid w:val="0043655B"/>
    <w:rsid w:val="004365FD"/>
    <w:rsid w:val="00440427"/>
    <w:rsid w:val="004404E1"/>
    <w:rsid w:val="0044080B"/>
    <w:rsid w:val="00440F89"/>
    <w:rsid w:val="0044463A"/>
    <w:rsid w:val="004449B4"/>
    <w:rsid w:val="0044526B"/>
    <w:rsid w:val="00445AD3"/>
    <w:rsid w:val="004511C5"/>
    <w:rsid w:val="00452889"/>
    <w:rsid w:val="00454995"/>
    <w:rsid w:val="00455C1B"/>
    <w:rsid w:val="0046200C"/>
    <w:rsid w:val="00465895"/>
    <w:rsid w:val="0046672B"/>
    <w:rsid w:val="00467C81"/>
    <w:rsid w:val="00471069"/>
    <w:rsid w:val="004731E8"/>
    <w:rsid w:val="00475361"/>
    <w:rsid w:val="00475516"/>
    <w:rsid w:val="00475A4A"/>
    <w:rsid w:val="00477AE4"/>
    <w:rsid w:val="004812AC"/>
    <w:rsid w:val="004813AA"/>
    <w:rsid w:val="00484A03"/>
    <w:rsid w:val="0048724B"/>
    <w:rsid w:val="0049083A"/>
    <w:rsid w:val="004932BB"/>
    <w:rsid w:val="00497A93"/>
    <w:rsid w:val="004A0A39"/>
    <w:rsid w:val="004A0C11"/>
    <w:rsid w:val="004A1E7A"/>
    <w:rsid w:val="004A1F21"/>
    <w:rsid w:val="004A5A75"/>
    <w:rsid w:val="004A64C6"/>
    <w:rsid w:val="004A6A8C"/>
    <w:rsid w:val="004A6AD9"/>
    <w:rsid w:val="004B03FB"/>
    <w:rsid w:val="004B2A88"/>
    <w:rsid w:val="004B3D7F"/>
    <w:rsid w:val="004B4F88"/>
    <w:rsid w:val="004B4FEE"/>
    <w:rsid w:val="004B6F90"/>
    <w:rsid w:val="004C1829"/>
    <w:rsid w:val="004C4E3C"/>
    <w:rsid w:val="004C67E5"/>
    <w:rsid w:val="004D0A32"/>
    <w:rsid w:val="004D150C"/>
    <w:rsid w:val="004D22BA"/>
    <w:rsid w:val="004D22CB"/>
    <w:rsid w:val="004D39D7"/>
    <w:rsid w:val="004D3BD3"/>
    <w:rsid w:val="004D4259"/>
    <w:rsid w:val="004D5AE8"/>
    <w:rsid w:val="004D692A"/>
    <w:rsid w:val="004E16DD"/>
    <w:rsid w:val="004E23B2"/>
    <w:rsid w:val="004E3C71"/>
    <w:rsid w:val="004E6C5D"/>
    <w:rsid w:val="004F2F27"/>
    <w:rsid w:val="004F3E56"/>
    <w:rsid w:val="004F4B14"/>
    <w:rsid w:val="004F4F44"/>
    <w:rsid w:val="004F570E"/>
    <w:rsid w:val="004F6403"/>
    <w:rsid w:val="004F7E95"/>
    <w:rsid w:val="005013B7"/>
    <w:rsid w:val="00503A58"/>
    <w:rsid w:val="005051A8"/>
    <w:rsid w:val="005072FA"/>
    <w:rsid w:val="00510898"/>
    <w:rsid w:val="005125B2"/>
    <w:rsid w:val="00512D67"/>
    <w:rsid w:val="00516580"/>
    <w:rsid w:val="0051784C"/>
    <w:rsid w:val="005223EB"/>
    <w:rsid w:val="005233D1"/>
    <w:rsid w:val="00523F22"/>
    <w:rsid w:val="00524508"/>
    <w:rsid w:val="005249B6"/>
    <w:rsid w:val="00524C9F"/>
    <w:rsid w:val="00525903"/>
    <w:rsid w:val="0053113E"/>
    <w:rsid w:val="00532169"/>
    <w:rsid w:val="00532512"/>
    <w:rsid w:val="00541F26"/>
    <w:rsid w:val="00544990"/>
    <w:rsid w:val="005450FC"/>
    <w:rsid w:val="00546446"/>
    <w:rsid w:val="0055027F"/>
    <w:rsid w:val="00565A83"/>
    <w:rsid w:val="0056704F"/>
    <w:rsid w:val="005671A3"/>
    <w:rsid w:val="0056758C"/>
    <w:rsid w:val="0056786D"/>
    <w:rsid w:val="00567ADA"/>
    <w:rsid w:val="0057023B"/>
    <w:rsid w:val="005731A6"/>
    <w:rsid w:val="00575ADB"/>
    <w:rsid w:val="00576F96"/>
    <w:rsid w:val="005818D5"/>
    <w:rsid w:val="005823DC"/>
    <w:rsid w:val="00582FB8"/>
    <w:rsid w:val="005838BF"/>
    <w:rsid w:val="00586FA1"/>
    <w:rsid w:val="00590DCC"/>
    <w:rsid w:val="0059432A"/>
    <w:rsid w:val="00597082"/>
    <w:rsid w:val="00597CBB"/>
    <w:rsid w:val="005A1FC4"/>
    <w:rsid w:val="005A2C11"/>
    <w:rsid w:val="005A3142"/>
    <w:rsid w:val="005A52CB"/>
    <w:rsid w:val="005A5F3F"/>
    <w:rsid w:val="005A6957"/>
    <w:rsid w:val="005A74EE"/>
    <w:rsid w:val="005A750C"/>
    <w:rsid w:val="005A753E"/>
    <w:rsid w:val="005B02E9"/>
    <w:rsid w:val="005B0824"/>
    <w:rsid w:val="005B3719"/>
    <w:rsid w:val="005B4121"/>
    <w:rsid w:val="005B6ABD"/>
    <w:rsid w:val="005B75C3"/>
    <w:rsid w:val="005C0A47"/>
    <w:rsid w:val="005C1909"/>
    <w:rsid w:val="005C2895"/>
    <w:rsid w:val="005C2DD3"/>
    <w:rsid w:val="005C3C31"/>
    <w:rsid w:val="005C62FC"/>
    <w:rsid w:val="005C6D16"/>
    <w:rsid w:val="005C7FD2"/>
    <w:rsid w:val="005D72C6"/>
    <w:rsid w:val="005E0CEE"/>
    <w:rsid w:val="005E18C1"/>
    <w:rsid w:val="005E2722"/>
    <w:rsid w:val="005E45C5"/>
    <w:rsid w:val="005E4DC1"/>
    <w:rsid w:val="005E5BE4"/>
    <w:rsid w:val="005E7C98"/>
    <w:rsid w:val="005F0167"/>
    <w:rsid w:val="005F297C"/>
    <w:rsid w:val="005F48E7"/>
    <w:rsid w:val="005F4F69"/>
    <w:rsid w:val="00602917"/>
    <w:rsid w:val="006040B5"/>
    <w:rsid w:val="00604158"/>
    <w:rsid w:val="006044CA"/>
    <w:rsid w:val="00604A80"/>
    <w:rsid w:val="00605225"/>
    <w:rsid w:val="00605C11"/>
    <w:rsid w:val="00606711"/>
    <w:rsid w:val="00606F6D"/>
    <w:rsid w:val="0061074C"/>
    <w:rsid w:val="006117BF"/>
    <w:rsid w:val="00612F30"/>
    <w:rsid w:val="00614A58"/>
    <w:rsid w:val="00616C12"/>
    <w:rsid w:val="00616C74"/>
    <w:rsid w:val="00620FE5"/>
    <w:rsid w:val="0062467D"/>
    <w:rsid w:val="00627AC8"/>
    <w:rsid w:val="006333A1"/>
    <w:rsid w:val="0063493B"/>
    <w:rsid w:val="0064086C"/>
    <w:rsid w:val="00640CB6"/>
    <w:rsid w:val="006447FC"/>
    <w:rsid w:val="00647509"/>
    <w:rsid w:val="0064758C"/>
    <w:rsid w:val="00647970"/>
    <w:rsid w:val="006516F9"/>
    <w:rsid w:val="00653604"/>
    <w:rsid w:val="00654BDD"/>
    <w:rsid w:val="00656AD4"/>
    <w:rsid w:val="00660A6C"/>
    <w:rsid w:val="00662503"/>
    <w:rsid w:val="00662DD5"/>
    <w:rsid w:val="00662F4C"/>
    <w:rsid w:val="0066326A"/>
    <w:rsid w:val="006634A8"/>
    <w:rsid w:val="00663667"/>
    <w:rsid w:val="00665BFC"/>
    <w:rsid w:val="00667888"/>
    <w:rsid w:val="0067438D"/>
    <w:rsid w:val="006757CD"/>
    <w:rsid w:val="00675D79"/>
    <w:rsid w:val="00680EBF"/>
    <w:rsid w:val="0069226A"/>
    <w:rsid w:val="00692750"/>
    <w:rsid w:val="0069284C"/>
    <w:rsid w:val="00693213"/>
    <w:rsid w:val="006932C8"/>
    <w:rsid w:val="00694197"/>
    <w:rsid w:val="0069431E"/>
    <w:rsid w:val="00695989"/>
    <w:rsid w:val="00697337"/>
    <w:rsid w:val="00697C36"/>
    <w:rsid w:val="006A02F8"/>
    <w:rsid w:val="006A1016"/>
    <w:rsid w:val="006A15D5"/>
    <w:rsid w:val="006A25EC"/>
    <w:rsid w:val="006A3ECE"/>
    <w:rsid w:val="006A4285"/>
    <w:rsid w:val="006A4297"/>
    <w:rsid w:val="006A76C7"/>
    <w:rsid w:val="006B0DC6"/>
    <w:rsid w:val="006B7079"/>
    <w:rsid w:val="006C1F28"/>
    <w:rsid w:val="006C30FB"/>
    <w:rsid w:val="006C42B4"/>
    <w:rsid w:val="006C4C1A"/>
    <w:rsid w:val="006C522D"/>
    <w:rsid w:val="006C7077"/>
    <w:rsid w:val="006C7331"/>
    <w:rsid w:val="006D1031"/>
    <w:rsid w:val="006D2659"/>
    <w:rsid w:val="006D36AE"/>
    <w:rsid w:val="006D4979"/>
    <w:rsid w:val="006D4CA7"/>
    <w:rsid w:val="006D50DF"/>
    <w:rsid w:val="006D64B8"/>
    <w:rsid w:val="006D771C"/>
    <w:rsid w:val="006D7846"/>
    <w:rsid w:val="006E0442"/>
    <w:rsid w:val="006E04EB"/>
    <w:rsid w:val="006E0731"/>
    <w:rsid w:val="006E15CE"/>
    <w:rsid w:val="006E37D0"/>
    <w:rsid w:val="006E4650"/>
    <w:rsid w:val="006E4866"/>
    <w:rsid w:val="006E5188"/>
    <w:rsid w:val="006E59EF"/>
    <w:rsid w:val="006E7FD4"/>
    <w:rsid w:val="006E7FF0"/>
    <w:rsid w:val="006F02FE"/>
    <w:rsid w:val="006F203C"/>
    <w:rsid w:val="006F464A"/>
    <w:rsid w:val="006F53C4"/>
    <w:rsid w:val="006F54C0"/>
    <w:rsid w:val="006F5E9F"/>
    <w:rsid w:val="006F61B9"/>
    <w:rsid w:val="006F7541"/>
    <w:rsid w:val="006F7FBB"/>
    <w:rsid w:val="007012C7"/>
    <w:rsid w:val="00701A58"/>
    <w:rsid w:val="00701AF2"/>
    <w:rsid w:val="0070280B"/>
    <w:rsid w:val="00704806"/>
    <w:rsid w:val="007067B9"/>
    <w:rsid w:val="00707CD6"/>
    <w:rsid w:val="00707D5E"/>
    <w:rsid w:val="0071298D"/>
    <w:rsid w:val="00716040"/>
    <w:rsid w:val="00717092"/>
    <w:rsid w:val="00720890"/>
    <w:rsid w:val="00724B26"/>
    <w:rsid w:val="00724D7E"/>
    <w:rsid w:val="00724DF5"/>
    <w:rsid w:val="007266A3"/>
    <w:rsid w:val="007269CD"/>
    <w:rsid w:val="00727943"/>
    <w:rsid w:val="007279A9"/>
    <w:rsid w:val="00730DDD"/>
    <w:rsid w:val="00732423"/>
    <w:rsid w:val="0073639D"/>
    <w:rsid w:val="007367F0"/>
    <w:rsid w:val="00743DCD"/>
    <w:rsid w:val="00744B3E"/>
    <w:rsid w:val="00744BAE"/>
    <w:rsid w:val="00744CCC"/>
    <w:rsid w:val="007450E8"/>
    <w:rsid w:val="007475DC"/>
    <w:rsid w:val="00752965"/>
    <w:rsid w:val="00754391"/>
    <w:rsid w:val="00754592"/>
    <w:rsid w:val="00754630"/>
    <w:rsid w:val="00754C6F"/>
    <w:rsid w:val="00755F3D"/>
    <w:rsid w:val="00765F7C"/>
    <w:rsid w:val="0076778D"/>
    <w:rsid w:val="00767AE9"/>
    <w:rsid w:val="00767C21"/>
    <w:rsid w:val="007706FF"/>
    <w:rsid w:val="00770AE0"/>
    <w:rsid w:val="00774086"/>
    <w:rsid w:val="007749B4"/>
    <w:rsid w:val="00775471"/>
    <w:rsid w:val="00777ACC"/>
    <w:rsid w:val="00780CCA"/>
    <w:rsid w:val="00785A02"/>
    <w:rsid w:val="00791752"/>
    <w:rsid w:val="00796315"/>
    <w:rsid w:val="007A28C0"/>
    <w:rsid w:val="007A2F9B"/>
    <w:rsid w:val="007A4034"/>
    <w:rsid w:val="007A47CC"/>
    <w:rsid w:val="007A49AD"/>
    <w:rsid w:val="007A72FA"/>
    <w:rsid w:val="007B093B"/>
    <w:rsid w:val="007B1BAF"/>
    <w:rsid w:val="007B24D4"/>
    <w:rsid w:val="007B2EAA"/>
    <w:rsid w:val="007B568E"/>
    <w:rsid w:val="007B715A"/>
    <w:rsid w:val="007B7412"/>
    <w:rsid w:val="007C06AC"/>
    <w:rsid w:val="007C1BCD"/>
    <w:rsid w:val="007C3E6A"/>
    <w:rsid w:val="007C47AD"/>
    <w:rsid w:val="007C5587"/>
    <w:rsid w:val="007D049A"/>
    <w:rsid w:val="007D0B9D"/>
    <w:rsid w:val="007D157E"/>
    <w:rsid w:val="007D233D"/>
    <w:rsid w:val="007D30EC"/>
    <w:rsid w:val="007D3D64"/>
    <w:rsid w:val="007D45B5"/>
    <w:rsid w:val="007D673E"/>
    <w:rsid w:val="007D768B"/>
    <w:rsid w:val="007D79E2"/>
    <w:rsid w:val="007E0FC7"/>
    <w:rsid w:val="007E3868"/>
    <w:rsid w:val="007E43FD"/>
    <w:rsid w:val="007F0D90"/>
    <w:rsid w:val="007F29A1"/>
    <w:rsid w:val="007F32F4"/>
    <w:rsid w:val="007F4287"/>
    <w:rsid w:val="007F6CF2"/>
    <w:rsid w:val="00800AB6"/>
    <w:rsid w:val="0080166D"/>
    <w:rsid w:val="0080323E"/>
    <w:rsid w:val="00806A34"/>
    <w:rsid w:val="008075DE"/>
    <w:rsid w:val="00807801"/>
    <w:rsid w:val="0081108E"/>
    <w:rsid w:val="00811AFE"/>
    <w:rsid w:val="00812C2F"/>
    <w:rsid w:val="00820A38"/>
    <w:rsid w:val="008217BC"/>
    <w:rsid w:val="00822809"/>
    <w:rsid w:val="008229B8"/>
    <w:rsid w:val="008235C0"/>
    <w:rsid w:val="0082361A"/>
    <w:rsid w:val="008237C2"/>
    <w:rsid w:val="0082568A"/>
    <w:rsid w:val="00825DF1"/>
    <w:rsid w:val="008279BF"/>
    <w:rsid w:val="00831493"/>
    <w:rsid w:val="00837ABD"/>
    <w:rsid w:val="00841364"/>
    <w:rsid w:val="00842995"/>
    <w:rsid w:val="00843835"/>
    <w:rsid w:val="0084449C"/>
    <w:rsid w:val="00844507"/>
    <w:rsid w:val="00844F17"/>
    <w:rsid w:val="0084566F"/>
    <w:rsid w:val="00851C10"/>
    <w:rsid w:val="00851E0B"/>
    <w:rsid w:val="00852626"/>
    <w:rsid w:val="00852F45"/>
    <w:rsid w:val="00854B39"/>
    <w:rsid w:val="008551D1"/>
    <w:rsid w:val="00857A2A"/>
    <w:rsid w:val="00860412"/>
    <w:rsid w:val="008635A8"/>
    <w:rsid w:val="008715EE"/>
    <w:rsid w:val="00871662"/>
    <w:rsid w:val="00871C50"/>
    <w:rsid w:val="00872F47"/>
    <w:rsid w:val="008731BD"/>
    <w:rsid w:val="00873D46"/>
    <w:rsid w:val="00877DF2"/>
    <w:rsid w:val="00880845"/>
    <w:rsid w:val="00885047"/>
    <w:rsid w:val="0088612E"/>
    <w:rsid w:val="00887535"/>
    <w:rsid w:val="0089105D"/>
    <w:rsid w:val="008920FC"/>
    <w:rsid w:val="00893B94"/>
    <w:rsid w:val="00896E17"/>
    <w:rsid w:val="008A28FB"/>
    <w:rsid w:val="008A3B70"/>
    <w:rsid w:val="008A3BFF"/>
    <w:rsid w:val="008A54EF"/>
    <w:rsid w:val="008A6DFB"/>
    <w:rsid w:val="008B014A"/>
    <w:rsid w:val="008B1218"/>
    <w:rsid w:val="008B1E9F"/>
    <w:rsid w:val="008B231F"/>
    <w:rsid w:val="008B57C7"/>
    <w:rsid w:val="008B79C0"/>
    <w:rsid w:val="008C150B"/>
    <w:rsid w:val="008C1DA3"/>
    <w:rsid w:val="008C2155"/>
    <w:rsid w:val="008C2FB5"/>
    <w:rsid w:val="008C7A68"/>
    <w:rsid w:val="008C7C4E"/>
    <w:rsid w:val="008D3D1C"/>
    <w:rsid w:val="008D5952"/>
    <w:rsid w:val="008D5B97"/>
    <w:rsid w:val="008E6BFB"/>
    <w:rsid w:val="008E6E41"/>
    <w:rsid w:val="008F00F3"/>
    <w:rsid w:val="008F0A0C"/>
    <w:rsid w:val="008F10CC"/>
    <w:rsid w:val="008F13DA"/>
    <w:rsid w:val="008F61BB"/>
    <w:rsid w:val="008F75F7"/>
    <w:rsid w:val="00905FE1"/>
    <w:rsid w:val="00906D7E"/>
    <w:rsid w:val="00912804"/>
    <w:rsid w:val="00912C44"/>
    <w:rsid w:val="00913C8B"/>
    <w:rsid w:val="00915BDC"/>
    <w:rsid w:val="009170FE"/>
    <w:rsid w:val="00917E74"/>
    <w:rsid w:val="0092042B"/>
    <w:rsid w:val="00920B6A"/>
    <w:rsid w:val="00921721"/>
    <w:rsid w:val="009219CD"/>
    <w:rsid w:val="00921AF1"/>
    <w:rsid w:val="009221EB"/>
    <w:rsid w:val="00922CA1"/>
    <w:rsid w:val="009231BE"/>
    <w:rsid w:val="00923A0A"/>
    <w:rsid w:val="009252F1"/>
    <w:rsid w:val="00925C0D"/>
    <w:rsid w:val="00925F1A"/>
    <w:rsid w:val="00925FA7"/>
    <w:rsid w:val="0092720F"/>
    <w:rsid w:val="00931BA1"/>
    <w:rsid w:val="00931DAB"/>
    <w:rsid w:val="009320D4"/>
    <w:rsid w:val="00933975"/>
    <w:rsid w:val="00935015"/>
    <w:rsid w:val="00937391"/>
    <w:rsid w:val="00941151"/>
    <w:rsid w:val="0094116A"/>
    <w:rsid w:val="00951742"/>
    <w:rsid w:val="00951893"/>
    <w:rsid w:val="00951C31"/>
    <w:rsid w:val="00952CE9"/>
    <w:rsid w:val="00964BED"/>
    <w:rsid w:val="00966971"/>
    <w:rsid w:val="009673F9"/>
    <w:rsid w:val="00974371"/>
    <w:rsid w:val="009753AB"/>
    <w:rsid w:val="009761FE"/>
    <w:rsid w:val="00977001"/>
    <w:rsid w:val="0098120C"/>
    <w:rsid w:val="009812ED"/>
    <w:rsid w:val="00983D2E"/>
    <w:rsid w:val="00985B58"/>
    <w:rsid w:val="00987135"/>
    <w:rsid w:val="0098730D"/>
    <w:rsid w:val="009908A0"/>
    <w:rsid w:val="00994959"/>
    <w:rsid w:val="00996D7C"/>
    <w:rsid w:val="009A0093"/>
    <w:rsid w:val="009A16D6"/>
    <w:rsid w:val="009A1F5D"/>
    <w:rsid w:val="009A671A"/>
    <w:rsid w:val="009B2C53"/>
    <w:rsid w:val="009B3F71"/>
    <w:rsid w:val="009B3FC6"/>
    <w:rsid w:val="009B4693"/>
    <w:rsid w:val="009B5BAD"/>
    <w:rsid w:val="009B7CE2"/>
    <w:rsid w:val="009C0C2E"/>
    <w:rsid w:val="009C1D7A"/>
    <w:rsid w:val="009C3170"/>
    <w:rsid w:val="009C4003"/>
    <w:rsid w:val="009C6A42"/>
    <w:rsid w:val="009C6B3B"/>
    <w:rsid w:val="009C702E"/>
    <w:rsid w:val="009D11C9"/>
    <w:rsid w:val="009D1CA6"/>
    <w:rsid w:val="009D22AC"/>
    <w:rsid w:val="009D51E4"/>
    <w:rsid w:val="009E0ACE"/>
    <w:rsid w:val="009E15A2"/>
    <w:rsid w:val="009E22EB"/>
    <w:rsid w:val="009E3327"/>
    <w:rsid w:val="009E4CC2"/>
    <w:rsid w:val="009E4D34"/>
    <w:rsid w:val="009E5199"/>
    <w:rsid w:val="009E75DA"/>
    <w:rsid w:val="009E7E4B"/>
    <w:rsid w:val="009F023C"/>
    <w:rsid w:val="009F2E8B"/>
    <w:rsid w:val="009F3EA1"/>
    <w:rsid w:val="009F605C"/>
    <w:rsid w:val="009F65DA"/>
    <w:rsid w:val="009F677B"/>
    <w:rsid w:val="009F7AEE"/>
    <w:rsid w:val="00A02827"/>
    <w:rsid w:val="00A02A68"/>
    <w:rsid w:val="00A02E9F"/>
    <w:rsid w:val="00A1010A"/>
    <w:rsid w:val="00A10B5E"/>
    <w:rsid w:val="00A1189F"/>
    <w:rsid w:val="00A118C2"/>
    <w:rsid w:val="00A11D1C"/>
    <w:rsid w:val="00A11F2D"/>
    <w:rsid w:val="00A13429"/>
    <w:rsid w:val="00A1466D"/>
    <w:rsid w:val="00A14B6F"/>
    <w:rsid w:val="00A17F86"/>
    <w:rsid w:val="00A20934"/>
    <w:rsid w:val="00A2098E"/>
    <w:rsid w:val="00A211EF"/>
    <w:rsid w:val="00A23974"/>
    <w:rsid w:val="00A23E71"/>
    <w:rsid w:val="00A265C3"/>
    <w:rsid w:val="00A26799"/>
    <w:rsid w:val="00A277AE"/>
    <w:rsid w:val="00A30893"/>
    <w:rsid w:val="00A319DC"/>
    <w:rsid w:val="00A32102"/>
    <w:rsid w:val="00A32342"/>
    <w:rsid w:val="00A32903"/>
    <w:rsid w:val="00A36054"/>
    <w:rsid w:val="00A3636A"/>
    <w:rsid w:val="00A369CF"/>
    <w:rsid w:val="00A37C47"/>
    <w:rsid w:val="00A37EAB"/>
    <w:rsid w:val="00A4126D"/>
    <w:rsid w:val="00A427C7"/>
    <w:rsid w:val="00A43B76"/>
    <w:rsid w:val="00A44A49"/>
    <w:rsid w:val="00A45FB2"/>
    <w:rsid w:val="00A4666F"/>
    <w:rsid w:val="00A46A83"/>
    <w:rsid w:val="00A470D1"/>
    <w:rsid w:val="00A4786E"/>
    <w:rsid w:val="00A5167C"/>
    <w:rsid w:val="00A53185"/>
    <w:rsid w:val="00A556A7"/>
    <w:rsid w:val="00A55E61"/>
    <w:rsid w:val="00A56FBF"/>
    <w:rsid w:val="00A603A0"/>
    <w:rsid w:val="00A60404"/>
    <w:rsid w:val="00A61846"/>
    <w:rsid w:val="00A622C9"/>
    <w:rsid w:val="00A65DC8"/>
    <w:rsid w:val="00A67AA2"/>
    <w:rsid w:val="00A67BDD"/>
    <w:rsid w:val="00A67E5F"/>
    <w:rsid w:val="00A704AA"/>
    <w:rsid w:val="00A7252C"/>
    <w:rsid w:val="00A727D3"/>
    <w:rsid w:val="00A7318F"/>
    <w:rsid w:val="00A740F4"/>
    <w:rsid w:val="00A74D32"/>
    <w:rsid w:val="00A75378"/>
    <w:rsid w:val="00A762A3"/>
    <w:rsid w:val="00A80808"/>
    <w:rsid w:val="00A80C52"/>
    <w:rsid w:val="00A81EF4"/>
    <w:rsid w:val="00A828CA"/>
    <w:rsid w:val="00A82C88"/>
    <w:rsid w:val="00A82C94"/>
    <w:rsid w:val="00A82EF6"/>
    <w:rsid w:val="00A83633"/>
    <w:rsid w:val="00A83C88"/>
    <w:rsid w:val="00A84858"/>
    <w:rsid w:val="00A84A17"/>
    <w:rsid w:val="00A8548B"/>
    <w:rsid w:val="00A87303"/>
    <w:rsid w:val="00A90C89"/>
    <w:rsid w:val="00A9700A"/>
    <w:rsid w:val="00A9779B"/>
    <w:rsid w:val="00A97AC0"/>
    <w:rsid w:val="00AA20C1"/>
    <w:rsid w:val="00AA2A8C"/>
    <w:rsid w:val="00AA2C44"/>
    <w:rsid w:val="00AA4FB5"/>
    <w:rsid w:val="00AB1FE9"/>
    <w:rsid w:val="00AB2121"/>
    <w:rsid w:val="00AB21F9"/>
    <w:rsid w:val="00AB27EA"/>
    <w:rsid w:val="00AB5AFA"/>
    <w:rsid w:val="00AB7FED"/>
    <w:rsid w:val="00AC1265"/>
    <w:rsid w:val="00AC4F46"/>
    <w:rsid w:val="00AC595A"/>
    <w:rsid w:val="00AC59BF"/>
    <w:rsid w:val="00AC5F47"/>
    <w:rsid w:val="00AC77E1"/>
    <w:rsid w:val="00AC7B52"/>
    <w:rsid w:val="00AD09C6"/>
    <w:rsid w:val="00AD0E6F"/>
    <w:rsid w:val="00AD1F6B"/>
    <w:rsid w:val="00AD2ACE"/>
    <w:rsid w:val="00AD3440"/>
    <w:rsid w:val="00AD5095"/>
    <w:rsid w:val="00AD50FE"/>
    <w:rsid w:val="00AE3369"/>
    <w:rsid w:val="00AE42F7"/>
    <w:rsid w:val="00AE73BC"/>
    <w:rsid w:val="00AE760F"/>
    <w:rsid w:val="00AF0A74"/>
    <w:rsid w:val="00AF25BD"/>
    <w:rsid w:val="00AF3151"/>
    <w:rsid w:val="00AF435B"/>
    <w:rsid w:val="00B04D46"/>
    <w:rsid w:val="00B05046"/>
    <w:rsid w:val="00B07270"/>
    <w:rsid w:val="00B11D0F"/>
    <w:rsid w:val="00B11D8C"/>
    <w:rsid w:val="00B16534"/>
    <w:rsid w:val="00B16D9B"/>
    <w:rsid w:val="00B21119"/>
    <w:rsid w:val="00B212EA"/>
    <w:rsid w:val="00B22784"/>
    <w:rsid w:val="00B274F4"/>
    <w:rsid w:val="00B31523"/>
    <w:rsid w:val="00B3239C"/>
    <w:rsid w:val="00B333B0"/>
    <w:rsid w:val="00B35CBB"/>
    <w:rsid w:val="00B412DA"/>
    <w:rsid w:val="00B424CE"/>
    <w:rsid w:val="00B439D2"/>
    <w:rsid w:val="00B45371"/>
    <w:rsid w:val="00B459A9"/>
    <w:rsid w:val="00B45FF3"/>
    <w:rsid w:val="00B47A6E"/>
    <w:rsid w:val="00B51631"/>
    <w:rsid w:val="00B5222F"/>
    <w:rsid w:val="00B52493"/>
    <w:rsid w:val="00B52563"/>
    <w:rsid w:val="00B57403"/>
    <w:rsid w:val="00B57DEC"/>
    <w:rsid w:val="00B6077E"/>
    <w:rsid w:val="00B6336B"/>
    <w:rsid w:val="00B658EB"/>
    <w:rsid w:val="00B65A4E"/>
    <w:rsid w:val="00B6617C"/>
    <w:rsid w:val="00B66E87"/>
    <w:rsid w:val="00B70E37"/>
    <w:rsid w:val="00B75DBC"/>
    <w:rsid w:val="00B768DA"/>
    <w:rsid w:val="00B8036F"/>
    <w:rsid w:val="00B80EAE"/>
    <w:rsid w:val="00B82ACB"/>
    <w:rsid w:val="00B82C2A"/>
    <w:rsid w:val="00B854E0"/>
    <w:rsid w:val="00B86E40"/>
    <w:rsid w:val="00B90AD6"/>
    <w:rsid w:val="00B913F9"/>
    <w:rsid w:val="00B93364"/>
    <w:rsid w:val="00B94260"/>
    <w:rsid w:val="00BA08A0"/>
    <w:rsid w:val="00BA0FEC"/>
    <w:rsid w:val="00BA38BA"/>
    <w:rsid w:val="00BA3E27"/>
    <w:rsid w:val="00BA5199"/>
    <w:rsid w:val="00BA7CDC"/>
    <w:rsid w:val="00BB16F9"/>
    <w:rsid w:val="00BB4644"/>
    <w:rsid w:val="00BB4CD3"/>
    <w:rsid w:val="00BB4DD1"/>
    <w:rsid w:val="00BB576A"/>
    <w:rsid w:val="00BB5E7E"/>
    <w:rsid w:val="00BC305A"/>
    <w:rsid w:val="00BC4FA8"/>
    <w:rsid w:val="00BC5111"/>
    <w:rsid w:val="00BC6F0A"/>
    <w:rsid w:val="00BD34D6"/>
    <w:rsid w:val="00BD4871"/>
    <w:rsid w:val="00BD487E"/>
    <w:rsid w:val="00BD50D5"/>
    <w:rsid w:val="00BD5735"/>
    <w:rsid w:val="00BD57AB"/>
    <w:rsid w:val="00BD7D06"/>
    <w:rsid w:val="00BE394A"/>
    <w:rsid w:val="00BE4C5E"/>
    <w:rsid w:val="00BE514C"/>
    <w:rsid w:val="00BE5327"/>
    <w:rsid w:val="00BE5F74"/>
    <w:rsid w:val="00BE5FA6"/>
    <w:rsid w:val="00BE7400"/>
    <w:rsid w:val="00BF2217"/>
    <w:rsid w:val="00BF474B"/>
    <w:rsid w:val="00C00AFD"/>
    <w:rsid w:val="00C00F8F"/>
    <w:rsid w:val="00C041AD"/>
    <w:rsid w:val="00C0572F"/>
    <w:rsid w:val="00C06F1D"/>
    <w:rsid w:val="00C10893"/>
    <w:rsid w:val="00C117FF"/>
    <w:rsid w:val="00C1311E"/>
    <w:rsid w:val="00C162AC"/>
    <w:rsid w:val="00C170FA"/>
    <w:rsid w:val="00C1775A"/>
    <w:rsid w:val="00C20459"/>
    <w:rsid w:val="00C2064B"/>
    <w:rsid w:val="00C21458"/>
    <w:rsid w:val="00C227A7"/>
    <w:rsid w:val="00C228B7"/>
    <w:rsid w:val="00C23EED"/>
    <w:rsid w:val="00C24437"/>
    <w:rsid w:val="00C3170F"/>
    <w:rsid w:val="00C31BE3"/>
    <w:rsid w:val="00C326D6"/>
    <w:rsid w:val="00C329F3"/>
    <w:rsid w:val="00C34387"/>
    <w:rsid w:val="00C362B9"/>
    <w:rsid w:val="00C36F3D"/>
    <w:rsid w:val="00C37640"/>
    <w:rsid w:val="00C42446"/>
    <w:rsid w:val="00C4361B"/>
    <w:rsid w:val="00C437A8"/>
    <w:rsid w:val="00C4395F"/>
    <w:rsid w:val="00C44336"/>
    <w:rsid w:val="00C44DEE"/>
    <w:rsid w:val="00C45456"/>
    <w:rsid w:val="00C4558F"/>
    <w:rsid w:val="00C526F6"/>
    <w:rsid w:val="00C53C72"/>
    <w:rsid w:val="00C541A6"/>
    <w:rsid w:val="00C566F9"/>
    <w:rsid w:val="00C607AC"/>
    <w:rsid w:val="00C60CEE"/>
    <w:rsid w:val="00C62761"/>
    <w:rsid w:val="00C6619D"/>
    <w:rsid w:val="00C663B9"/>
    <w:rsid w:val="00C70C45"/>
    <w:rsid w:val="00C714C6"/>
    <w:rsid w:val="00C71878"/>
    <w:rsid w:val="00C72A9C"/>
    <w:rsid w:val="00C72EE8"/>
    <w:rsid w:val="00C73B5E"/>
    <w:rsid w:val="00C73ED7"/>
    <w:rsid w:val="00C7407B"/>
    <w:rsid w:val="00C74CE5"/>
    <w:rsid w:val="00C763E6"/>
    <w:rsid w:val="00C76BEB"/>
    <w:rsid w:val="00C81650"/>
    <w:rsid w:val="00C816B9"/>
    <w:rsid w:val="00C818FE"/>
    <w:rsid w:val="00C82C8C"/>
    <w:rsid w:val="00C82D7E"/>
    <w:rsid w:val="00C83159"/>
    <w:rsid w:val="00C8331A"/>
    <w:rsid w:val="00C84B1C"/>
    <w:rsid w:val="00C85E72"/>
    <w:rsid w:val="00C867B9"/>
    <w:rsid w:val="00C86C1D"/>
    <w:rsid w:val="00C876E2"/>
    <w:rsid w:val="00C900BA"/>
    <w:rsid w:val="00C9159C"/>
    <w:rsid w:val="00C92956"/>
    <w:rsid w:val="00C9416C"/>
    <w:rsid w:val="00C969DA"/>
    <w:rsid w:val="00C96C0E"/>
    <w:rsid w:val="00C97E91"/>
    <w:rsid w:val="00CA04E7"/>
    <w:rsid w:val="00CA3F4C"/>
    <w:rsid w:val="00CA5B6E"/>
    <w:rsid w:val="00CA67EB"/>
    <w:rsid w:val="00CB1558"/>
    <w:rsid w:val="00CB3FE2"/>
    <w:rsid w:val="00CB4C02"/>
    <w:rsid w:val="00CB5EDB"/>
    <w:rsid w:val="00CB6358"/>
    <w:rsid w:val="00CB6FD4"/>
    <w:rsid w:val="00CC0930"/>
    <w:rsid w:val="00CC387C"/>
    <w:rsid w:val="00CC4EA6"/>
    <w:rsid w:val="00CC7997"/>
    <w:rsid w:val="00CC7CDF"/>
    <w:rsid w:val="00CD0C8E"/>
    <w:rsid w:val="00CD339A"/>
    <w:rsid w:val="00CD58C9"/>
    <w:rsid w:val="00CD76CC"/>
    <w:rsid w:val="00CE1A09"/>
    <w:rsid w:val="00CE3E4A"/>
    <w:rsid w:val="00CE580E"/>
    <w:rsid w:val="00CE6712"/>
    <w:rsid w:val="00CE6E67"/>
    <w:rsid w:val="00CF0442"/>
    <w:rsid w:val="00CF2065"/>
    <w:rsid w:val="00CF41B5"/>
    <w:rsid w:val="00CF43B9"/>
    <w:rsid w:val="00CF444E"/>
    <w:rsid w:val="00CF6D34"/>
    <w:rsid w:val="00CF6EFF"/>
    <w:rsid w:val="00D00EE7"/>
    <w:rsid w:val="00D0156E"/>
    <w:rsid w:val="00D01CC4"/>
    <w:rsid w:val="00D01EE6"/>
    <w:rsid w:val="00D10C9F"/>
    <w:rsid w:val="00D10D81"/>
    <w:rsid w:val="00D126E2"/>
    <w:rsid w:val="00D17505"/>
    <w:rsid w:val="00D2163B"/>
    <w:rsid w:val="00D25EC1"/>
    <w:rsid w:val="00D274B7"/>
    <w:rsid w:val="00D3104D"/>
    <w:rsid w:val="00D31987"/>
    <w:rsid w:val="00D32777"/>
    <w:rsid w:val="00D3403F"/>
    <w:rsid w:val="00D3444D"/>
    <w:rsid w:val="00D350CB"/>
    <w:rsid w:val="00D36DC4"/>
    <w:rsid w:val="00D40134"/>
    <w:rsid w:val="00D40E50"/>
    <w:rsid w:val="00D41738"/>
    <w:rsid w:val="00D4212F"/>
    <w:rsid w:val="00D438C4"/>
    <w:rsid w:val="00D44C46"/>
    <w:rsid w:val="00D456AA"/>
    <w:rsid w:val="00D45CE9"/>
    <w:rsid w:val="00D45DD4"/>
    <w:rsid w:val="00D47D70"/>
    <w:rsid w:val="00D512B0"/>
    <w:rsid w:val="00D51A00"/>
    <w:rsid w:val="00D51D42"/>
    <w:rsid w:val="00D53BBF"/>
    <w:rsid w:val="00D54B7D"/>
    <w:rsid w:val="00D601BD"/>
    <w:rsid w:val="00D604A8"/>
    <w:rsid w:val="00D60B83"/>
    <w:rsid w:val="00D64B17"/>
    <w:rsid w:val="00D65748"/>
    <w:rsid w:val="00D665EA"/>
    <w:rsid w:val="00D66AA2"/>
    <w:rsid w:val="00D67028"/>
    <w:rsid w:val="00D6711B"/>
    <w:rsid w:val="00D672E0"/>
    <w:rsid w:val="00D67DBF"/>
    <w:rsid w:val="00D7023E"/>
    <w:rsid w:val="00D706FD"/>
    <w:rsid w:val="00D7181B"/>
    <w:rsid w:val="00D73E55"/>
    <w:rsid w:val="00D742E1"/>
    <w:rsid w:val="00D7549D"/>
    <w:rsid w:val="00D75DC3"/>
    <w:rsid w:val="00D80D9F"/>
    <w:rsid w:val="00D812D4"/>
    <w:rsid w:val="00D81A30"/>
    <w:rsid w:val="00D81A62"/>
    <w:rsid w:val="00D8263B"/>
    <w:rsid w:val="00D82D62"/>
    <w:rsid w:val="00D83719"/>
    <w:rsid w:val="00D8510C"/>
    <w:rsid w:val="00D85F88"/>
    <w:rsid w:val="00D85F96"/>
    <w:rsid w:val="00D86D9B"/>
    <w:rsid w:val="00D90D26"/>
    <w:rsid w:val="00D931CB"/>
    <w:rsid w:val="00D9401E"/>
    <w:rsid w:val="00D9743F"/>
    <w:rsid w:val="00DA0C8D"/>
    <w:rsid w:val="00DA0D31"/>
    <w:rsid w:val="00DA1A40"/>
    <w:rsid w:val="00DA2F2C"/>
    <w:rsid w:val="00DA392A"/>
    <w:rsid w:val="00DA492F"/>
    <w:rsid w:val="00DA7A3C"/>
    <w:rsid w:val="00DB0B1A"/>
    <w:rsid w:val="00DB1585"/>
    <w:rsid w:val="00DB1C05"/>
    <w:rsid w:val="00DC0D76"/>
    <w:rsid w:val="00DC309D"/>
    <w:rsid w:val="00DC5685"/>
    <w:rsid w:val="00DD0362"/>
    <w:rsid w:val="00DD07F2"/>
    <w:rsid w:val="00DD0F05"/>
    <w:rsid w:val="00DD330A"/>
    <w:rsid w:val="00DD5020"/>
    <w:rsid w:val="00DE1C2C"/>
    <w:rsid w:val="00DE2947"/>
    <w:rsid w:val="00DE4B66"/>
    <w:rsid w:val="00DF08E3"/>
    <w:rsid w:val="00DF344F"/>
    <w:rsid w:val="00DF53F2"/>
    <w:rsid w:val="00DF62FB"/>
    <w:rsid w:val="00DF653C"/>
    <w:rsid w:val="00DF6666"/>
    <w:rsid w:val="00DF6A01"/>
    <w:rsid w:val="00E00973"/>
    <w:rsid w:val="00E022F1"/>
    <w:rsid w:val="00E04C9B"/>
    <w:rsid w:val="00E05020"/>
    <w:rsid w:val="00E055B9"/>
    <w:rsid w:val="00E05759"/>
    <w:rsid w:val="00E06455"/>
    <w:rsid w:val="00E06580"/>
    <w:rsid w:val="00E11260"/>
    <w:rsid w:val="00E12D95"/>
    <w:rsid w:val="00E1474B"/>
    <w:rsid w:val="00E14916"/>
    <w:rsid w:val="00E2078D"/>
    <w:rsid w:val="00E22F70"/>
    <w:rsid w:val="00E25605"/>
    <w:rsid w:val="00E26FE7"/>
    <w:rsid w:val="00E274F4"/>
    <w:rsid w:val="00E27522"/>
    <w:rsid w:val="00E3346D"/>
    <w:rsid w:val="00E33C5E"/>
    <w:rsid w:val="00E3434F"/>
    <w:rsid w:val="00E37C84"/>
    <w:rsid w:val="00E4086E"/>
    <w:rsid w:val="00E4164A"/>
    <w:rsid w:val="00E42BD4"/>
    <w:rsid w:val="00E479C0"/>
    <w:rsid w:val="00E50E15"/>
    <w:rsid w:val="00E5210F"/>
    <w:rsid w:val="00E52E44"/>
    <w:rsid w:val="00E53098"/>
    <w:rsid w:val="00E530B2"/>
    <w:rsid w:val="00E54559"/>
    <w:rsid w:val="00E55918"/>
    <w:rsid w:val="00E56AB3"/>
    <w:rsid w:val="00E626C4"/>
    <w:rsid w:val="00E633DE"/>
    <w:rsid w:val="00E6427C"/>
    <w:rsid w:val="00E663E1"/>
    <w:rsid w:val="00E67CB7"/>
    <w:rsid w:val="00E74D1A"/>
    <w:rsid w:val="00E7628E"/>
    <w:rsid w:val="00E771B4"/>
    <w:rsid w:val="00E773EF"/>
    <w:rsid w:val="00E80774"/>
    <w:rsid w:val="00E8103D"/>
    <w:rsid w:val="00E821EC"/>
    <w:rsid w:val="00E82FE2"/>
    <w:rsid w:val="00E8343B"/>
    <w:rsid w:val="00E834F7"/>
    <w:rsid w:val="00E8469A"/>
    <w:rsid w:val="00E846A1"/>
    <w:rsid w:val="00E84909"/>
    <w:rsid w:val="00E901E3"/>
    <w:rsid w:val="00E902C8"/>
    <w:rsid w:val="00E92E77"/>
    <w:rsid w:val="00E93AC9"/>
    <w:rsid w:val="00E95574"/>
    <w:rsid w:val="00E97321"/>
    <w:rsid w:val="00E975C3"/>
    <w:rsid w:val="00EA0D1B"/>
    <w:rsid w:val="00EA3C86"/>
    <w:rsid w:val="00EA3DBC"/>
    <w:rsid w:val="00EA4B6D"/>
    <w:rsid w:val="00EA5521"/>
    <w:rsid w:val="00EA5E5C"/>
    <w:rsid w:val="00EA6FAE"/>
    <w:rsid w:val="00EB5768"/>
    <w:rsid w:val="00EB663A"/>
    <w:rsid w:val="00EC18E0"/>
    <w:rsid w:val="00EC5B19"/>
    <w:rsid w:val="00EC6258"/>
    <w:rsid w:val="00EC6531"/>
    <w:rsid w:val="00EC6A25"/>
    <w:rsid w:val="00EC7895"/>
    <w:rsid w:val="00ED38F4"/>
    <w:rsid w:val="00ED3E6E"/>
    <w:rsid w:val="00ED412E"/>
    <w:rsid w:val="00ED4990"/>
    <w:rsid w:val="00ED7517"/>
    <w:rsid w:val="00ED78C4"/>
    <w:rsid w:val="00ED7DBB"/>
    <w:rsid w:val="00EE03C2"/>
    <w:rsid w:val="00EE08E0"/>
    <w:rsid w:val="00EE1056"/>
    <w:rsid w:val="00EE1598"/>
    <w:rsid w:val="00EE1FF2"/>
    <w:rsid w:val="00EE7F1D"/>
    <w:rsid w:val="00EF7B5D"/>
    <w:rsid w:val="00F00A6A"/>
    <w:rsid w:val="00F014DE"/>
    <w:rsid w:val="00F02250"/>
    <w:rsid w:val="00F029DF"/>
    <w:rsid w:val="00F043B6"/>
    <w:rsid w:val="00F04CED"/>
    <w:rsid w:val="00F06DEE"/>
    <w:rsid w:val="00F15340"/>
    <w:rsid w:val="00F15C74"/>
    <w:rsid w:val="00F15E8D"/>
    <w:rsid w:val="00F16B43"/>
    <w:rsid w:val="00F175CB"/>
    <w:rsid w:val="00F1772A"/>
    <w:rsid w:val="00F20866"/>
    <w:rsid w:val="00F20DAF"/>
    <w:rsid w:val="00F20EF6"/>
    <w:rsid w:val="00F215C8"/>
    <w:rsid w:val="00F21925"/>
    <w:rsid w:val="00F22873"/>
    <w:rsid w:val="00F22D9C"/>
    <w:rsid w:val="00F24715"/>
    <w:rsid w:val="00F2619D"/>
    <w:rsid w:val="00F26437"/>
    <w:rsid w:val="00F314EF"/>
    <w:rsid w:val="00F32FE0"/>
    <w:rsid w:val="00F34181"/>
    <w:rsid w:val="00F3587F"/>
    <w:rsid w:val="00F409B2"/>
    <w:rsid w:val="00F416F4"/>
    <w:rsid w:val="00F41C38"/>
    <w:rsid w:val="00F4397D"/>
    <w:rsid w:val="00F44AC8"/>
    <w:rsid w:val="00F452A8"/>
    <w:rsid w:val="00F45A40"/>
    <w:rsid w:val="00F45D91"/>
    <w:rsid w:val="00F514E4"/>
    <w:rsid w:val="00F52FA9"/>
    <w:rsid w:val="00F53326"/>
    <w:rsid w:val="00F53E8C"/>
    <w:rsid w:val="00F55176"/>
    <w:rsid w:val="00F57D89"/>
    <w:rsid w:val="00F60F42"/>
    <w:rsid w:val="00F62546"/>
    <w:rsid w:val="00F63FEB"/>
    <w:rsid w:val="00F64ACF"/>
    <w:rsid w:val="00F67CDA"/>
    <w:rsid w:val="00F70867"/>
    <w:rsid w:val="00F70EE3"/>
    <w:rsid w:val="00F71C40"/>
    <w:rsid w:val="00F71F04"/>
    <w:rsid w:val="00F726FD"/>
    <w:rsid w:val="00F82C67"/>
    <w:rsid w:val="00F83AF4"/>
    <w:rsid w:val="00F85C21"/>
    <w:rsid w:val="00F86C8C"/>
    <w:rsid w:val="00F8722F"/>
    <w:rsid w:val="00F87B42"/>
    <w:rsid w:val="00F87B4A"/>
    <w:rsid w:val="00F9066F"/>
    <w:rsid w:val="00F9238B"/>
    <w:rsid w:val="00F9571F"/>
    <w:rsid w:val="00FA08E9"/>
    <w:rsid w:val="00FA1A13"/>
    <w:rsid w:val="00FA4A8B"/>
    <w:rsid w:val="00FA673F"/>
    <w:rsid w:val="00FA67DC"/>
    <w:rsid w:val="00FA7DBA"/>
    <w:rsid w:val="00FB0126"/>
    <w:rsid w:val="00FB486F"/>
    <w:rsid w:val="00FB4942"/>
    <w:rsid w:val="00FB6822"/>
    <w:rsid w:val="00FB7E50"/>
    <w:rsid w:val="00FC1A45"/>
    <w:rsid w:val="00FC651A"/>
    <w:rsid w:val="00FD3CA7"/>
    <w:rsid w:val="00FD51E1"/>
    <w:rsid w:val="00FD7671"/>
    <w:rsid w:val="00FD7979"/>
    <w:rsid w:val="00FE182F"/>
    <w:rsid w:val="00FE1C62"/>
    <w:rsid w:val="00FE4DCB"/>
    <w:rsid w:val="00FF2DC5"/>
    <w:rsid w:val="00FF4C1E"/>
    <w:rsid w:val="00FF64B7"/>
    <w:rsid w:val="00FF6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19B0"/>
  <w15:chartTrackingRefBased/>
  <w15:docId w15:val="{92E8C7DC-F11B-6847-A168-B8CB1A69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C1A45"/>
    <w:pPr>
      <w:keepNext/>
      <w:keepLines/>
      <w:spacing w:before="240" w:line="259" w:lineRule="auto"/>
      <w:ind w:firstLine="72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3">
    <w:name w:val="heading 3"/>
    <w:basedOn w:val="Normal"/>
    <w:link w:val="Heading3Char"/>
    <w:uiPriority w:val="9"/>
    <w:qFormat/>
    <w:rsid w:val="0075296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905FE1"/>
  </w:style>
  <w:style w:type="paragraph" w:styleId="Title">
    <w:name w:val="Title"/>
    <w:basedOn w:val="Normal"/>
    <w:next w:val="Normal"/>
    <w:link w:val="TitleChar"/>
    <w:uiPriority w:val="10"/>
    <w:qFormat/>
    <w:rsid w:val="00905FE1"/>
    <w:pPr>
      <w:bidi/>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905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FE1"/>
    <w:pPr>
      <w:numPr>
        <w:ilvl w:val="1"/>
      </w:numPr>
      <w:bidi/>
      <w:spacing w:after="160" w:line="259"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905FE1"/>
    <w:rPr>
      <w:rFonts w:eastAsiaTheme="minorEastAsia"/>
      <w:color w:val="5A5A5A" w:themeColor="text1" w:themeTint="A5"/>
      <w:spacing w:val="15"/>
    </w:rPr>
  </w:style>
  <w:style w:type="character" w:styleId="SubtleEmphasis">
    <w:name w:val="Subtle Emphasis"/>
    <w:basedOn w:val="DefaultParagraphFont"/>
    <w:uiPriority w:val="19"/>
    <w:qFormat/>
    <w:rsid w:val="00905FE1"/>
    <w:rPr>
      <w:i/>
      <w:iCs/>
      <w:color w:val="404040" w:themeColor="text1" w:themeTint="BF"/>
    </w:rPr>
  </w:style>
  <w:style w:type="paragraph" w:customStyle="1" w:styleId="EndNoteBibliographyTitle">
    <w:name w:val="EndNote Bibliography Title"/>
    <w:basedOn w:val="Normal"/>
    <w:link w:val="EndNoteBibliographyTitleChar"/>
    <w:rsid w:val="0092042B"/>
    <w:pPr>
      <w:bidi/>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92042B"/>
    <w:rPr>
      <w:rFonts w:ascii="Calibri" w:hAnsi="Calibri" w:cs="Calibri"/>
      <w:noProof/>
    </w:rPr>
  </w:style>
  <w:style w:type="paragraph" w:customStyle="1" w:styleId="EndNoteBibliography">
    <w:name w:val="EndNote Bibliography"/>
    <w:basedOn w:val="Normal"/>
    <w:link w:val="EndNoteBibliographyChar"/>
    <w:rsid w:val="0092042B"/>
    <w:pPr>
      <w:bidi/>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92042B"/>
    <w:rPr>
      <w:rFonts w:ascii="Calibri" w:hAnsi="Calibri" w:cs="Calibri"/>
      <w:noProof/>
    </w:rPr>
  </w:style>
  <w:style w:type="character" w:styleId="Hyperlink">
    <w:name w:val="Hyperlink"/>
    <w:basedOn w:val="DefaultParagraphFont"/>
    <w:uiPriority w:val="99"/>
    <w:unhideWhenUsed/>
    <w:rsid w:val="0092042B"/>
    <w:rPr>
      <w:color w:val="0563C1" w:themeColor="hyperlink"/>
      <w:u w:val="single"/>
    </w:rPr>
  </w:style>
  <w:style w:type="character" w:customStyle="1" w:styleId="UnresolvedMention1">
    <w:name w:val="Unresolved Mention1"/>
    <w:basedOn w:val="DefaultParagraphFont"/>
    <w:uiPriority w:val="99"/>
    <w:semiHidden/>
    <w:unhideWhenUsed/>
    <w:rsid w:val="0092042B"/>
    <w:rPr>
      <w:color w:val="605E5C"/>
      <w:shd w:val="clear" w:color="auto" w:fill="E1DFDD"/>
    </w:rPr>
  </w:style>
  <w:style w:type="character" w:customStyle="1" w:styleId="word">
    <w:name w:val="word"/>
    <w:basedOn w:val="DefaultParagraphFont"/>
    <w:rsid w:val="001233C9"/>
  </w:style>
  <w:style w:type="character" w:customStyle="1" w:styleId="Heading3Char">
    <w:name w:val="Heading 3 Char"/>
    <w:basedOn w:val="DefaultParagraphFont"/>
    <w:link w:val="Heading3"/>
    <w:uiPriority w:val="9"/>
    <w:rsid w:val="00752965"/>
    <w:rPr>
      <w:rFonts w:ascii="Times New Roman" w:eastAsia="Times New Roman" w:hAnsi="Times New Roman" w:cs="Times New Roman"/>
      <w:b/>
      <w:bCs/>
      <w:sz w:val="27"/>
      <w:szCs w:val="27"/>
      <w:lang w:val="en-GB" w:eastAsia="en-GB"/>
    </w:rPr>
  </w:style>
  <w:style w:type="character" w:customStyle="1" w:styleId="smallcaps">
    <w:name w:val="smallcaps"/>
    <w:basedOn w:val="DefaultParagraphFont"/>
    <w:rsid w:val="002075D1"/>
  </w:style>
  <w:style w:type="table" w:styleId="TableGrid">
    <w:name w:val="Table Grid"/>
    <w:basedOn w:val="TableNormal"/>
    <w:uiPriority w:val="39"/>
    <w:rsid w:val="00AC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15C8"/>
    <w:pPr>
      <w:bidi/>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UnresolvedMention2">
    <w:name w:val="Unresolved Mention2"/>
    <w:basedOn w:val="DefaultParagraphFont"/>
    <w:uiPriority w:val="99"/>
    <w:semiHidden/>
    <w:unhideWhenUsed/>
    <w:rsid w:val="00974371"/>
    <w:rPr>
      <w:color w:val="605E5C"/>
      <w:shd w:val="clear" w:color="auto" w:fill="E1DFDD"/>
    </w:rPr>
  </w:style>
  <w:style w:type="paragraph" w:styleId="BalloonText">
    <w:name w:val="Balloon Text"/>
    <w:basedOn w:val="Normal"/>
    <w:link w:val="BalloonTextChar"/>
    <w:uiPriority w:val="99"/>
    <w:semiHidden/>
    <w:unhideWhenUsed/>
    <w:rsid w:val="00A53185"/>
    <w:pPr>
      <w:bidi/>
    </w:pPr>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A531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53185"/>
    <w:rPr>
      <w:sz w:val="16"/>
      <w:szCs w:val="16"/>
    </w:rPr>
  </w:style>
  <w:style w:type="paragraph" w:styleId="CommentText">
    <w:name w:val="annotation text"/>
    <w:basedOn w:val="Normal"/>
    <w:link w:val="CommentTextChar"/>
    <w:uiPriority w:val="99"/>
    <w:semiHidden/>
    <w:unhideWhenUsed/>
    <w:rsid w:val="00A53185"/>
    <w:pPr>
      <w:bidi/>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A53185"/>
    <w:rPr>
      <w:sz w:val="20"/>
      <w:szCs w:val="20"/>
    </w:rPr>
  </w:style>
  <w:style w:type="paragraph" w:styleId="CommentSubject">
    <w:name w:val="annotation subject"/>
    <w:basedOn w:val="CommentText"/>
    <w:next w:val="CommentText"/>
    <w:link w:val="CommentSubjectChar"/>
    <w:uiPriority w:val="99"/>
    <w:semiHidden/>
    <w:unhideWhenUsed/>
    <w:rsid w:val="00A53185"/>
    <w:rPr>
      <w:b/>
      <w:bCs/>
    </w:rPr>
  </w:style>
  <w:style w:type="character" w:customStyle="1" w:styleId="CommentSubjectChar">
    <w:name w:val="Comment Subject Char"/>
    <w:basedOn w:val="CommentTextChar"/>
    <w:link w:val="CommentSubject"/>
    <w:uiPriority w:val="99"/>
    <w:semiHidden/>
    <w:rsid w:val="00A53185"/>
    <w:rPr>
      <w:b/>
      <w:bCs/>
      <w:sz w:val="20"/>
      <w:szCs w:val="20"/>
    </w:rPr>
  </w:style>
  <w:style w:type="character" w:styleId="UnresolvedMention">
    <w:name w:val="Unresolved Mention"/>
    <w:basedOn w:val="DefaultParagraphFont"/>
    <w:uiPriority w:val="99"/>
    <w:semiHidden/>
    <w:unhideWhenUsed/>
    <w:rsid w:val="000E2F10"/>
    <w:rPr>
      <w:color w:val="605E5C"/>
      <w:shd w:val="clear" w:color="auto" w:fill="E1DFDD"/>
    </w:rPr>
  </w:style>
  <w:style w:type="paragraph" w:styleId="Revision">
    <w:name w:val="Revision"/>
    <w:hidden/>
    <w:uiPriority w:val="99"/>
    <w:semiHidden/>
    <w:rsid w:val="00DC309D"/>
    <w:pPr>
      <w:spacing w:after="0" w:line="240" w:lineRule="auto"/>
    </w:pPr>
  </w:style>
  <w:style w:type="character" w:styleId="PlaceholderText">
    <w:name w:val="Placeholder Text"/>
    <w:basedOn w:val="DefaultParagraphFont"/>
    <w:uiPriority w:val="99"/>
    <w:semiHidden/>
    <w:rsid w:val="003B7EFF"/>
    <w:rPr>
      <w:color w:val="808080"/>
    </w:rPr>
  </w:style>
  <w:style w:type="paragraph" w:customStyle="1" w:styleId="Default">
    <w:name w:val="Default"/>
    <w:uiPriority w:val="99"/>
    <w:rsid w:val="00277274"/>
    <w:pPr>
      <w:widowControl w:val="0"/>
      <w:autoSpaceDE w:val="0"/>
      <w:autoSpaceDN w:val="0"/>
      <w:adjustRightInd w:val="0"/>
      <w:spacing w:after="0" w:line="240" w:lineRule="auto"/>
    </w:pPr>
    <w:rPr>
      <w:rFonts w:ascii="LUQTB P+ Times" w:eastAsia="MS Mincho" w:hAnsi="LUQTB P+ Times" w:cs="LUQTB P+ Times"/>
      <w:color w:val="000000"/>
      <w:sz w:val="24"/>
      <w:szCs w:val="24"/>
      <w:lang w:eastAsia="ja-JP"/>
    </w:rPr>
  </w:style>
  <w:style w:type="paragraph" w:customStyle="1" w:styleId="CM7">
    <w:name w:val="CM7"/>
    <w:basedOn w:val="Default"/>
    <w:next w:val="Default"/>
    <w:uiPriority w:val="99"/>
    <w:rsid w:val="00277274"/>
    <w:pPr>
      <w:spacing w:after="318"/>
    </w:pPr>
    <w:rPr>
      <w:rFonts w:cs="Times New Roman"/>
      <w:color w:val="auto"/>
    </w:rPr>
  </w:style>
  <w:style w:type="paragraph" w:customStyle="1" w:styleId="tiny-space-below">
    <w:name w:val="tiny-space-below"/>
    <w:basedOn w:val="Normal"/>
    <w:rsid w:val="00277274"/>
    <w:pPr>
      <w:spacing w:before="100" w:beforeAutospacing="1" w:after="100" w:afterAutospacing="1"/>
    </w:pPr>
    <w:rPr>
      <w:lang w:val="en-US" w:eastAsia="en-US"/>
    </w:rPr>
  </w:style>
  <w:style w:type="paragraph" w:styleId="NormalWeb">
    <w:name w:val="Normal (Web)"/>
    <w:basedOn w:val="Normal"/>
    <w:uiPriority w:val="99"/>
    <w:semiHidden/>
    <w:unhideWhenUsed/>
    <w:rsid w:val="00440427"/>
    <w:pPr>
      <w:spacing w:before="100" w:beforeAutospacing="1" w:after="100" w:afterAutospacing="1"/>
    </w:pPr>
  </w:style>
  <w:style w:type="character" w:styleId="Strong">
    <w:name w:val="Strong"/>
    <w:basedOn w:val="DefaultParagraphFont"/>
    <w:uiPriority w:val="22"/>
    <w:qFormat/>
    <w:rsid w:val="00440427"/>
    <w:rPr>
      <w:b/>
      <w:bCs/>
    </w:rPr>
  </w:style>
  <w:style w:type="character" w:styleId="Emphasis">
    <w:name w:val="Emphasis"/>
    <w:basedOn w:val="DefaultParagraphFont"/>
    <w:uiPriority w:val="20"/>
    <w:qFormat/>
    <w:rsid w:val="00440427"/>
    <w:rPr>
      <w:i/>
      <w:iCs/>
    </w:rPr>
  </w:style>
  <w:style w:type="character" w:customStyle="1" w:styleId="Heading1Char">
    <w:name w:val="Heading 1 Char"/>
    <w:basedOn w:val="DefaultParagraphFont"/>
    <w:link w:val="Heading1"/>
    <w:uiPriority w:val="9"/>
    <w:rsid w:val="00FC1A4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43B76"/>
    <w:pPr>
      <w:tabs>
        <w:tab w:val="center" w:pos="4513"/>
        <w:tab w:val="right" w:pos="9026"/>
      </w:tabs>
      <w:bidi/>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43B76"/>
  </w:style>
  <w:style w:type="paragraph" w:styleId="Footer">
    <w:name w:val="footer"/>
    <w:basedOn w:val="Normal"/>
    <w:link w:val="FooterChar"/>
    <w:uiPriority w:val="99"/>
    <w:unhideWhenUsed/>
    <w:rsid w:val="00A43B76"/>
    <w:pPr>
      <w:tabs>
        <w:tab w:val="center" w:pos="4513"/>
        <w:tab w:val="right" w:pos="9026"/>
      </w:tabs>
      <w:bidi/>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43B76"/>
  </w:style>
  <w:style w:type="character" w:customStyle="1" w:styleId="ListParagraphChar">
    <w:name w:val="List Paragraph Char"/>
    <w:basedOn w:val="DefaultParagraphFont"/>
    <w:link w:val="ListParagraph"/>
    <w:uiPriority w:val="34"/>
    <w:rsid w:val="00C663B9"/>
  </w:style>
  <w:style w:type="character" w:styleId="LineNumber">
    <w:name w:val="line number"/>
    <w:basedOn w:val="DefaultParagraphFont"/>
    <w:uiPriority w:val="99"/>
    <w:semiHidden/>
    <w:unhideWhenUsed/>
    <w:rsid w:val="00A9779B"/>
  </w:style>
  <w:style w:type="character" w:styleId="PageNumber">
    <w:name w:val="page number"/>
    <w:basedOn w:val="DefaultParagraphFont"/>
    <w:uiPriority w:val="99"/>
    <w:semiHidden/>
    <w:unhideWhenUsed/>
    <w:rsid w:val="008D5952"/>
  </w:style>
  <w:style w:type="character" w:styleId="FollowedHyperlink">
    <w:name w:val="FollowedHyperlink"/>
    <w:basedOn w:val="DefaultParagraphFont"/>
    <w:uiPriority w:val="99"/>
    <w:semiHidden/>
    <w:unhideWhenUsed/>
    <w:rsid w:val="00A61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411858">
      <w:bodyDiv w:val="1"/>
      <w:marLeft w:val="0"/>
      <w:marRight w:val="0"/>
      <w:marTop w:val="0"/>
      <w:marBottom w:val="0"/>
      <w:divBdr>
        <w:top w:val="none" w:sz="0" w:space="0" w:color="auto"/>
        <w:left w:val="none" w:sz="0" w:space="0" w:color="auto"/>
        <w:bottom w:val="none" w:sz="0" w:space="0" w:color="auto"/>
        <w:right w:val="none" w:sz="0" w:space="0" w:color="auto"/>
      </w:divBdr>
    </w:div>
    <w:div w:id="879392981">
      <w:bodyDiv w:val="1"/>
      <w:marLeft w:val="0"/>
      <w:marRight w:val="0"/>
      <w:marTop w:val="0"/>
      <w:marBottom w:val="0"/>
      <w:divBdr>
        <w:top w:val="none" w:sz="0" w:space="0" w:color="auto"/>
        <w:left w:val="none" w:sz="0" w:space="0" w:color="auto"/>
        <w:bottom w:val="none" w:sz="0" w:space="0" w:color="auto"/>
        <w:right w:val="none" w:sz="0" w:space="0" w:color="auto"/>
      </w:divBdr>
    </w:div>
    <w:div w:id="986788642">
      <w:bodyDiv w:val="1"/>
      <w:marLeft w:val="0"/>
      <w:marRight w:val="0"/>
      <w:marTop w:val="0"/>
      <w:marBottom w:val="0"/>
      <w:divBdr>
        <w:top w:val="none" w:sz="0" w:space="0" w:color="auto"/>
        <w:left w:val="none" w:sz="0" w:space="0" w:color="auto"/>
        <w:bottom w:val="none" w:sz="0" w:space="0" w:color="auto"/>
        <w:right w:val="none" w:sz="0" w:space="0" w:color="auto"/>
      </w:divBdr>
    </w:div>
    <w:div w:id="1013846006">
      <w:bodyDiv w:val="1"/>
      <w:marLeft w:val="0"/>
      <w:marRight w:val="0"/>
      <w:marTop w:val="0"/>
      <w:marBottom w:val="0"/>
      <w:divBdr>
        <w:top w:val="none" w:sz="0" w:space="0" w:color="auto"/>
        <w:left w:val="none" w:sz="0" w:space="0" w:color="auto"/>
        <w:bottom w:val="none" w:sz="0" w:space="0" w:color="auto"/>
        <w:right w:val="none" w:sz="0" w:space="0" w:color="auto"/>
      </w:divBdr>
    </w:div>
    <w:div w:id="1059137839">
      <w:bodyDiv w:val="1"/>
      <w:marLeft w:val="0"/>
      <w:marRight w:val="0"/>
      <w:marTop w:val="0"/>
      <w:marBottom w:val="0"/>
      <w:divBdr>
        <w:top w:val="none" w:sz="0" w:space="0" w:color="auto"/>
        <w:left w:val="none" w:sz="0" w:space="0" w:color="auto"/>
        <w:bottom w:val="none" w:sz="0" w:space="0" w:color="auto"/>
        <w:right w:val="none" w:sz="0" w:space="0" w:color="auto"/>
      </w:divBdr>
    </w:div>
    <w:div w:id="1564291595">
      <w:bodyDiv w:val="1"/>
      <w:marLeft w:val="0"/>
      <w:marRight w:val="0"/>
      <w:marTop w:val="0"/>
      <w:marBottom w:val="0"/>
      <w:divBdr>
        <w:top w:val="none" w:sz="0" w:space="0" w:color="auto"/>
        <w:left w:val="none" w:sz="0" w:space="0" w:color="auto"/>
        <w:bottom w:val="none" w:sz="0" w:space="0" w:color="auto"/>
        <w:right w:val="none" w:sz="0" w:space="0" w:color="auto"/>
      </w:divBdr>
    </w:div>
    <w:div w:id="1702170736">
      <w:bodyDiv w:val="1"/>
      <w:marLeft w:val="0"/>
      <w:marRight w:val="0"/>
      <w:marTop w:val="0"/>
      <w:marBottom w:val="0"/>
      <w:divBdr>
        <w:top w:val="none" w:sz="0" w:space="0" w:color="auto"/>
        <w:left w:val="none" w:sz="0" w:space="0" w:color="auto"/>
        <w:bottom w:val="none" w:sz="0" w:space="0" w:color="auto"/>
        <w:right w:val="none" w:sz="0" w:space="0" w:color="auto"/>
      </w:divBdr>
    </w:div>
    <w:div w:id="1817723976">
      <w:bodyDiv w:val="1"/>
      <w:marLeft w:val="0"/>
      <w:marRight w:val="0"/>
      <w:marTop w:val="0"/>
      <w:marBottom w:val="0"/>
      <w:divBdr>
        <w:top w:val="none" w:sz="0" w:space="0" w:color="auto"/>
        <w:left w:val="none" w:sz="0" w:space="0" w:color="auto"/>
        <w:bottom w:val="none" w:sz="0" w:space="0" w:color="auto"/>
        <w:right w:val="none" w:sz="0" w:space="0" w:color="auto"/>
      </w:divBdr>
    </w:div>
    <w:div w:id="1902792553">
      <w:bodyDiv w:val="1"/>
      <w:marLeft w:val="0"/>
      <w:marRight w:val="0"/>
      <w:marTop w:val="0"/>
      <w:marBottom w:val="0"/>
      <w:divBdr>
        <w:top w:val="none" w:sz="0" w:space="0" w:color="auto"/>
        <w:left w:val="none" w:sz="0" w:space="0" w:color="auto"/>
        <w:bottom w:val="none" w:sz="0" w:space="0" w:color="auto"/>
        <w:right w:val="none" w:sz="0" w:space="0" w:color="auto"/>
      </w:divBdr>
      <w:divsChild>
        <w:div w:id="529491398">
          <w:marLeft w:val="0"/>
          <w:marRight w:val="0"/>
          <w:marTop w:val="0"/>
          <w:marBottom w:val="0"/>
          <w:divBdr>
            <w:top w:val="none" w:sz="0" w:space="0" w:color="auto"/>
            <w:left w:val="none" w:sz="0" w:space="0" w:color="auto"/>
            <w:bottom w:val="none" w:sz="0" w:space="0" w:color="auto"/>
            <w:right w:val="none" w:sz="0" w:space="0" w:color="auto"/>
          </w:divBdr>
        </w:div>
        <w:div w:id="1941181084">
          <w:marLeft w:val="0"/>
          <w:marRight w:val="0"/>
          <w:marTop w:val="0"/>
          <w:marBottom w:val="0"/>
          <w:divBdr>
            <w:top w:val="none" w:sz="0" w:space="0" w:color="auto"/>
            <w:left w:val="none" w:sz="0" w:space="0" w:color="auto"/>
            <w:bottom w:val="none" w:sz="0" w:space="0" w:color="auto"/>
            <w:right w:val="none" w:sz="0" w:space="0" w:color="auto"/>
          </w:divBdr>
        </w:div>
      </w:divsChild>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2107342430">
      <w:bodyDiv w:val="1"/>
      <w:marLeft w:val="0"/>
      <w:marRight w:val="0"/>
      <w:marTop w:val="0"/>
      <w:marBottom w:val="0"/>
      <w:divBdr>
        <w:top w:val="none" w:sz="0" w:space="0" w:color="auto"/>
        <w:left w:val="none" w:sz="0" w:space="0" w:color="auto"/>
        <w:bottom w:val="none" w:sz="0" w:space="0" w:color="auto"/>
        <w:right w:val="none" w:sz="0" w:space="0" w:color="auto"/>
      </w:divBdr>
      <w:divsChild>
        <w:div w:id="1043794658">
          <w:marLeft w:val="0"/>
          <w:marRight w:val="0"/>
          <w:marTop w:val="0"/>
          <w:marBottom w:val="0"/>
          <w:divBdr>
            <w:top w:val="none" w:sz="0" w:space="0" w:color="auto"/>
            <w:left w:val="none" w:sz="0" w:space="0" w:color="auto"/>
            <w:bottom w:val="none" w:sz="0" w:space="0" w:color="auto"/>
            <w:right w:val="none" w:sz="0" w:space="0" w:color="auto"/>
          </w:divBdr>
        </w:div>
        <w:div w:id="177913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isal.Hakeem@kc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2E41AAE44DC4E86961CCACF5F2AC2" ma:contentTypeVersion="11" ma:contentTypeDescription="Create a new document." ma:contentTypeScope="" ma:versionID="67e00d7dd4a6c212c674a563dcb34c8f">
  <xsd:schema xmlns:xsd="http://www.w3.org/2001/XMLSchema" xmlns:xs="http://www.w3.org/2001/XMLSchema" xmlns:p="http://schemas.microsoft.com/office/2006/metadata/properties" xmlns:ns3="457ed709-a84f-42f7-9b7c-b765d9ea2442" xmlns:ns4="0ce6dcf1-12d3-4c5c-a0b7-e2efcb5e7e41" targetNamespace="http://schemas.microsoft.com/office/2006/metadata/properties" ma:root="true" ma:fieldsID="3666cf861a56cfb060e39b5cbeb044fe" ns3:_="" ns4:_="">
    <xsd:import namespace="457ed709-a84f-42f7-9b7c-b765d9ea2442"/>
    <xsd:import namespace="0ce6dcf1-12d3-4c5c-a0b7-e2efcb5e7e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d709-a84f-42f7-9b7c-b765d9ea24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6dcf1-12d3-4c5c-a0b7-e2efcb5e7e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2101-2FBF-4133-8B77-D6FDB140A5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1BDAA-C4C7-4BA3-AA9A-FD2CA594BA66}">
  <ds:schemaRefs>
    <ds:schemaRef ds:uri="http://schemas.microsoft.com/sharepoint/v3/contenttype/forms"/>
  </ds:schemaRefs>
</ds:datastoreItem>
</file>

<file path=customXml/itemProps3.xml><?xml version="1.0" encoding="utf-8"?>
<ds:datastoreItem xmlns:ds="http://schemas.openxmlformats.org/officeDocument/2006/customXml" ds:itemID="{5A74403E-733B-485A-9D5A-CCE3773DE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d709-a84f-42f7-9b7c-b765d9ea2442"/>
    <ds:schemaRef ds:uri="0ce6dcf1-12d3-4c5c-a0b7-e2efcb5e7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72426-BF50-4AE4-921A-290BC4BC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18</Pages>
  <Words>12626</Words>
  <Characters>71973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84431</CharactersWithSpaces>
  <SharedDoc>false</SharedDoc>
  <HLinks>
    <vt:vector size="330" baseType="variant">
      <vt:variant>
        <vt:i4>4653067</vt:i4>
      </vt:variant>
      <vt:variant>
        <vt:i4>301</vt:i4>
      </vt:variant>
      <vt:variant>
        <vt:i4>0</vt:i4>
      </vt:variant>
      <vt:variant>
        <vt:i4>5</vt:i4>
      </vt:variant>
      <vt:variant>
        <vt:lpwstr/>
      </vt:variant>
      <vt:variant>
        <vt:lpwstr>_ENREF_6</vt:lpwstr>
      </vt:variant>
      <vt:variant>
        <vt:i4>4521995</vt:i4>
      </vt:variant>
      <vt:variant>
        <vt:i4>295</vt:i4>
      </vt:variant>
      <vt:variant>
        <vt:i4>0</vt:i4>
      </vt:variant>
      <vt:variant>
        <vt:i4>5</vt:i4>
      </vt:variant>
      <vt:variant>
        <vt:lpwstr/>
      </vt:variant>
      <vt:variant>
        <vt:lpwstr>_ENREF_41</vt:lpwstr>
      </vt:variant>
      <vt:variant>
        <vt:i4>4325387</vt:i4>
      </vt:variant>
      <vt:variant>
        <vt:i4>289</vt:i4>
      </vt:variant>
      <vt:variant>
        <vt:i4>0</vt:i4>
      </vt:variant>
      <vt:variant>
        <vt:i4>5</vt:i4>
      </vt:variant>
      <vt:variant>
        <vt:lpwstr/>
      </vt:variant>
      <vt:variant>
        <vt:lpwstr>_ENREF_3</vt:lpwstr>
      </vt:variant>
      <vt:variant>
        <vt:i4>4194315</vt:i4>
      </vt:variant>
      <vt:variant>
        <vt:i4>283</vt:i4>
      </vt:variant>
      <vt:variant>
        <vt:i4>0</vt:i4>
      </vt:variant>
      <vt:variant>
        <vt:i4>5</vt:i4>
      </vt:variant>
      <vt:variant>
        <vt:lpwstr/>
      </vt:variant>
      <vt:variant>
        <vt:lpwstr>_ENREF_17</vt:lpwstr>
      </vt:variant>
      <vt:variant>
        <vt:i4>4521995</vt:i4>
      </vt:variant>
      <vt:variant>
        <vt:i4>279</vt:i4>
      </vt:variant>
      <vt:variant>
        <vt:i4>0</vt:i4>
      </vt:variant>
      <vt:variant>
        <vt:i4>5</vt:i4>
      </vt:variant>
      <vt:variant>
        <vt:lpwstr/>
      </vt:variant>
      <vt:variant>
        <vt:lpwstr>_ENREF_40</vt:lpwstr>
      </vt:variant>
      <vt:variant>
        <vt:i4>4325387</vt:i4>
      </vt:variant>
      <vt:variant>
        <vt:i4>276</vt:i4>
      </vt:variant>
      <vt:variant>
        <vt:i4>0</vt:i4>
      </vt:variant>
      <vt:variant>
        <vt:i4>5</vt:i4>
      </vt:variant>
      <vt:variant>
        <vt:lpwstr/>
      </vt:variant>
      <vt:variant>
        <vt:lpwstr>_ENREF_39</vt:lpwstr>
      </vt:variant>
      <vt:variant>
        <vt:i4>4325387</vt:i4>
      </vt:variant>
      <vt:variant>
        <vt:i4>273</vt:i4>
      </vt:variant>
      <vt:variant>
        <vt:i4>0</vt:i4>
      </vt:variant>
      <vt:variant>
        <vt:i4>5</vt:i4>
      </vt:variant>
      <vt:variant>
        <vt:lpwstr/>
      </vt:variant>
      <vt:variant>
        <vt:lpwstr>_ENREF_36</vt:lpwstr>
      </vt:variant>
      <vt:variant>
        <vt:i4>4325387</vt:i4>
      </vt:variant>
      <vt:variant>
        <vt:i4>263</vt:i4>
      </vt:variant>
      <vt:variant>
        <vt:i4>0</vt:i4>
      </vt:variant>
      <vt:variant>
        <vt:i4>5</vt:i4>
      </vt:variant>
      <vt:variant>
        <vt:lpwstr/>
      </vt:variant>
      <vt:variant>
        <vt:lpwstr>_ENREF_38</vt:lpwstr>
      </vt:variant>
      <vt:variant>
        <vt:i4>4325387</vt:i4>
      </vt:variant>
      <vt:variant>
        <vt:i4>259</vt:i4>
      </vt:variant>
      <vt:variant>
        <vt:i4>0</vt:i4>
      </vt:variant>
      <vt:variant>
        <vt:i4>5</vt:i4>
      </vt:variant>
      <vt:variant>
        <vt:lpwstr/>
      </vt:variant>
      <vt:variant>
        <vt:lpwstr>_ENREF_37</vt:lpwstr>
      </vt:variant>
      <vt:variant>
        <vt:i4>4325387</vt:i4>
      </vt:variant>
      <vt:variant>
        <vt:i4>256</vt:i4>
      </vt:variant>
      <vt:variant>
        <vt:i4>0</vt:i4>
      </vt:variant>
      <vt:variant>
        <vt:i4>5</vt:i4>
      </vt:variant>
      <vt:variant>
        <vt:lpwstr/>
      </vt:variant>
      <vt:variant>
        <vt:lpwstr>_ENREF_36</vt:lpwstr>
      </vt:variant>
      <vt:variant>
        <vt:i4>4325387</vt:i4>
      </vt:variant>
      <vt:variant>
        <vt:i4>248</vt:i4>
      </vt:variant>
      <vt:variant>
        <vt:i4>0</vt:i4>
      </vt:variant>
      <vt:variant>
        <vt:i4>5</vt:i4>
      </vt:variant>
      <vt:variant>
        <vt:lpwstr/>
      </vt:variant>
      <vt:variant>
        <vt:lpwstr>_ENREF_35</vt:lpwstr>
      </vt:variant>
      <vt:variant>
        <vt:i4>4325387</vt:i4>
      </vt:variant>
      <vt:variant>
        <vt:i4>242</vt:i4>
      </vt:variant>
      <vt:variant>
        <vt:i4>0</vt:i4>
      </vt:variant>
      <vt:variant>
        <vt:i4>5</vt:i4>
      </vt:variant>
      <vt:variant>
        <vt:lpwstr/>
      </vt:variant>
      <vt:variant>
        <vt:lpwstr>_ENREF_34</vt:lpwstr>
      </vt:variant>
      <vt:variant>
        <vt:i4>4325387</vt:i4>
      </vt:variant>
      <vt:variant>
        <vt:i4>236</vt:i4>
      </vt:variant>
      <vt:variant>
        <vt:i4>0</vt:i4>
      </vt:variant>
      <vt:variant>
        <vt:i4>5</vt:i4>
      </vt:variant>
      <vt:variant>
        <vt:lpwstr/>
      </vt:variant>
      <vt:variant>
        <vt:lpwstr>_ENREF_33</vt:lpwstr>
      </vt:variant>
      <vt:variant>
        <vt:i4>4325387</vt:i4>
      </vt:variant>
      <vt:variant>
        <vt:i4>230</vt:i4>
      </vt:variant>
      <vt:variant>
        <vt:i4>0</vt:i4>
      </vt:variant>
      <vt:variant>
        <vt:i4>5</vt:i4>
      </vt:variant>
      <vt:variant>
        <vt:lpwstr/>
      </vt:variant>
      <vt:variant>
        <vt:lpwstr>_ENREF_32</vt:lpwstr>
      </vt:variant>
      <vt:variant>
        <vt:i4>4325387</vt:i4>
      </vt:variant>
      <vt:variant>
        <vt:i4>224</vt:i4>
      </vt:variant>
      <vt:variant>
        <vt:i4>0</vt:i4>
      </vt:variant>
      <vt:variant>
        <vt:i4>5</vt:i4>
      </vt:variant>
      <vt:variant>
        <vt:lpwstr/>
      </vt:variant>
      <vt:variant>
        <vt:lpwstr>_ENREF_31</vt:lpwstr>
      </vt:variant>
      <vt:variant>
        <vt:i4>4390923</vt:i4>
      </vt:variant>
      <vt:variant>
        <vt:i4>220</vt:i4>
      </vt:variant>
      <vt:variant>
        <vt:i4>0</vt:i4>
      </vt:variant>
      <vt:variant>
        <vt:i4>5</vt:i4>
      </vt:variant>
      <vt:variant>
        <vt:lpwstr/>
      </vt:variant>
      <vt:variant>
        <vt:lpwstr>_ENREF_24</vt:lpwstr>
      </vt:variant>
      <vt:variant>
        <vt:i4>4194315</vt:i4>
      </vt:variant>
      <vt:variant>
        <vt:i4>217</vt:i4>
      </vt:variant>
      <vt:variant>
        <vt:i4>0</vt:i4>
      </vt:variant>
      <vt:variant>
        <vt:i4>5</vt:i4>
      </vt:variant>
      <vt:variant>
        <vt:lpwstr/>
      </vt:variant>
      <vt:variant>
        <vt:lpwstr>_ENREF_15</vt:lpwstr>
      </vt:variant>
      <vt:variant>
        <vt:i4>4325387</vt:i4>
      </vt:variant>
      <vt:variant>
        <vt:i4>209</vt:i4>
      </vt:variant>
      <vt:variant>
        <vt:i4>0</vt:i4>
      </vt:variant>
      <vt:variant>
        <vt:i4>5</vt:i4>
      </vt:variant>
      <vt:variant>
        <vt:lpwstr/>
      </vt:variant>
      <vt:variant>
        <vt:lpwstr>_ENREF_30</vt:lpwstr>
      </vt:variant>
      <vt:variant>
        <vt:i4>4194315</vt:i4>
      </vt:variant>
      <vt:variant>
        <vt:i4>203</vt:i4>
      </vt:variant>
      <vt:variant>
        <vt:i4>0</vt:i4>
      </vt:variant>
      <vt:variant>
        <vt:i4>5</vt:i4>
      </vt:variant>
      <vt:variant>
        <vt:lpwstr/>
      </vt:variant>
      <vt:variant>
        <vt:lpwstr>_ENREF_18</vt:lpwstr>
      </vt:variant>
      <vt:variant>
        <vt:i4>4194315</vt:i4>
      </vt:variant>
      <vt:variant>
        <vt:i4>197</vt:i4>
      </vt:variant>
      <vt:variant>
        <vt:i4>0</vt:i4>
      </vt:variant>
      <vt:variant>
        <vt:i4>5</vt:i4>
      </vt:variant>
      <vt:variant>
        <vt:lpwstr/>
      </vt:variant>
      <vt:variant>
        <vt:lpwstr>_ENREF_19</vt:lpwstr>
      </vt:variant>
      <vt:variant>
        <vt:i4>4194315</vt:i4>
      </vt:variant>
      <vt:variant>
        <vt:i4>193</vt:i4>
      </vt:variant>
      <vt:variant>
        <vt:i4>0</vt:i4>
      </vt:variant>
      <vt:variant>
        <vt:i4>5</vt:i4>
      </vt:variant>
      <vt:variant>
        <vt:lpwstr/>
      </vt:variant>
      <vt:variant>
        <vt:lpwstr>_ENREF_19</vt:lpwstr>
      </vt:variant>
      <vt:variant>
        <vt:i4>4194315</vt:i4>
      </vt:variant>
      <vt:variant>
        <vt:i4>190</vt:i4>
      </vt:variant>
      <vt:variant>
        <vt:i4>0</vt:i4>
      </vt:variant>
      <vt:variant>
        <vt:i4>5</vt:i4>
      </vt:variant>
      <vt:variant>
        <vt:lpwstr/>
      </vt:variant>
      <vt:variant>
        <vt:lpwstr>_ENREF_18</vt:lpwstr>
      </vt:variant>
      <vt:variant>
        <vt:i4>4390923</vt:i4>
      </vt:variant>
      <vt:variant>
        <vt:i4>176</vt:i4>
      </vt:variant>
      <vt:variant>
        <vt:i4>0</vt:i4>
      </vt:variant>
      <vt:variant>
        <vt:i4>5</vt:i4>
      </vt:variant>
      <vt:variant>
        <vt:lpwstr/>
      </vt:variant>
      <vt:variant>
        <vt:lpwstr>_ENREF_28</vt:lpwstr>
      </vt:variant>
      <vt:variant>
        <vt:i4>4390923</vt:i4>
      </vt:variant>
      <vt:variant>
        <vt:i4>170</vt:i4>
      </vt:variant>
      <vt:variant>
        <vt:i4>0</vt:i4>
      </vt:variant>
      <vt:variant>
        <vt:i4>5</vt:i4>
      </vt:variant>
      <vt:variant>
        <vt:lpwstr/>
      </vt:variant>
      <vt:variant>
        <vt:lpwstr>_ENREF_25</vt:lpwstr>
      </vt:variant>
      <vt:variant>
        <vt:i4>4390923</vt:i4>
      </vt:variant>
      <vt:variant>
        <vt:i4>164</vt:i4>
      </vt:variant>
      <vt:variant>
        <vt:i4>0</vt:i4>
      </vt:variant>
      <vt:variant>
        <vt:i4>5</vt:i4>
      </vt:variant>
      <vt:variant>
        <vt:lpwstr/>
      </vt:variant>
      <vt:variant>
        <vt:lpwstr>_ENREF_24</vt:lpwstr>
      </vt:variant>
      <vt:variant>
        <vt:i4>4390923</vt:i4>
      </vt:variant>
      <vt:variant>
        <vt:i4>158</vt:i4>
      </vt:variant>
      <vt:variant>
        <vt:i4>0</vt:i4>
      </vt:variant>
      <vt:variant>
        <vt:i4>5</vt:i4>
      </vt:variant>
      <vt:variant>
        <vt:lpwstr/>
      </vt:variant>
      <vt:variant>
        <vt:lpwstr>_ENREF_27</vt:lpwstr>
      </vt:variant>
      <vt:variant>
        <vt:i4>4390923</vt:i4>
      </vt:variant>
      <vt:variant>
        <vt:i4>152</vt:i4>
      </vt:variant>
      <vt:variant>
        <vt:i4>0</vt:i4>
      </vt:variant>
      <vt:variant>
        <vt:i4>5</vt:i4>
      </vt:variant>
      <vt:variant>
        <vt:lpwstr/>
      </vt:variant>
      <vt:variant>
        <vt:lpwstr>_ENREF_26</vt:lpwstr>
      </vt:variant>
      <vt:variant>
        <vt:i4>4390923</vt:i4>
      </vt:variant>
      <vt:variant>
        <vt:i4>146</vt:i4>
      </vt:variant>
      <vt:variant>
        <vt:i4>0</vt:i4>
      </vt:variant>
      <vt:variant>
        <vt:i4>5</vt:i4>
      </vt:variant>
      <vt:variant>
        <vt:lpwstr/>
      </vt:variant>
      <vt:variant>
        <vt:lpwstr>_ENREF_25</vt:lpwstr>
      </vt:variant>
      <vt:variant>
        <vt:i4>4390923</vt:i4>
      </vt:variant>
      <vt:variant>
        <vt:i4>140</vt:i4>
      </vt:variant>
      <vt:variant>
        <vt:i4>0</vt:i4>
      </vt:variant>
      <vt:variant>
        <vt:i4>5</vt:i4>
      </vt:variant>
      <vt:variant>
        <vt:lpwstr/>
      </vt:variant>
      <vt:variant>
        <vt:lpwstr>_ENREF_24</vt:lpwstr>
      </vt:variant>
      <vt:variant>
        <vt:i4>4390923</vt:i4>
      </vt:variant>
      <vt:variant>
        <vt:i4>134</vt:i4>
      </vt:variant>
      <vt:variant>
        <vt:i4>0</vt:i4>
      </vt:variant>
      <vt:variant>
        <vt:i4>5</vt:i4>
      </vt:variant>
      <vt:variant>
        <vt:lpwstr/>
      </vt:variant>
      <vt:variant>
        <vt:lpwstr>_ENREF_23</vt:lpwstr>
      </vt:variant>
      <vt:variant>
        <vt:i4>4390923</vt:i4>
      </vt:variant>
      <vt:variant>
        <vt:i4>128</vt:i4>
      </vt:variant>
      <vt:variant>
        <vt:i4>0</vt:i4>
      </vt:variant>
      <vt:variant>
        <vt:i4>5</vt:i4>
      </vt:variant>
      <vt:variant>
        <vt:lpwstr/>
      </vt:variant>
      <vt:variant>
        <vt:lpwstr>_ENREF_22</vt:lpwstr>
      </vt:variant>
      <vt:variant>
        <vt:i4>4390923</vt:i4>
      </vt:variant>
      <vt:variant>
        <vt:i4>122</vt:i4>
      </vt:variant>
      <vt:variant>
        <vt:i4>0</vt:i4>
      </vt:variant>
      <vt:variant>
        <vt:i4>5</vt:i4>
      </vt:variant>
      <vt:variant>
        <vt:lpwstr/>
      </vt:variant>
      <vt:variant>
        <vt:lpwstr>_ENREF_21</vt:lpwstr>
      </vt:variant>
      <vt:variant>
        <vt:i4>4390923</vt:i4>
      </vt:variant>
      <vt:variant>
        <vt:i4>116</vt:i4>
      </vt:variant>
      <vt:variant>
        <vt:i4>0</vt:i4>
      </vt:variant>
      <vt:variant>
        <vt:i4>5</vt:i4>
      </vt:variant>
      <vt:variant>
        <vt:lpwstr/>
      </vt:variant>
      <vt:variant>
        <vt:lpwstr>_ENREF_20</vt:lpwstr>
      </vt:variant>
      <vt:variant>
        <vt:i4>4194315</vt:i4>
      </vt:variant>
      <vt:variant>
        <vt:i4>112</vt:i4>
      </vt:variant>
      <vt:variant>
        <vt:i4>0</vt:i4>
      </vt:variant>
      <vt:variant>
        <vt:i4>5</vt:i4>
      </vt:variant>
      <vt:variant>
        <vt:lpwstr/>
      </vt:variant>
      <vt:variant>
        <vt:lpwstr>_ENREF_19</vt:lpwstr>
      </vt:variant>
      <vt:variant>
        <vt:i4>4194315</vt:i4>
      </vt:variant>
      <vt:variant>
        <vt:i4>109</vt:i4>
      </vt:variant>
      <vt:variant>
        <vt:i4>0</vt:i4>
      </vt:variant>
      <vt:variant>
        <vt:i4>5</vt:i4>
      </vt:variant>
      <vt:variant>
        <vt:lpwstr/>
      </vt:variant>
      <vt:variant>
        <vt:lpwstr>_ENREF_18</vt:lpwstr>
      </vt:variant>
      <vt:variant>
        <vt:i4>4194315</vt:i4>
      </vt:variant>
      <vt:variant>
        <vt:i4>103</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_ENREF_16</vt:lpwstr>
      </vt:variant>
      <vt:variant>
        <vt:i4>4194315</vt:i4>
      </vt:variant>
      <vt:variant>
        <vt:i4>92</vt:i4>
      </vt:variant>
      <vt:variant>
        <vt:i4>0</vt:i4>
      </vt:variant>
      <vt:variant>
        <vt:i4>5</vt:i4>
      </vt:variant>
      <vt:variant>
        <vt:lpwstr/>
      </vt:variant>
      <vt:variant>
        <vt:lpwstr>_ENREF_15</vt:lpwstr>
      </vt:variant>
      <vt:variant>
        <vt:i4>4194315</vt:i4>
      </vt:variant>
      <vt:variant>
        <vt:i4>86</vt:i4>
      </vt:variant>
      <vt:variant>
        <vt:i4>0</vt:i4>
      </vt:variant>
      <vt:variant>
        <vt:i4>5</vt:i4>
      </vt:variant>
      <vt:variant>
        <vt:lpwstr/>
      </vt:variant>
      <vt:variant>
        <vt:lpwstr>_ENREF_14</vt:lpwstr>
      </vt:variant>
      <vt:variant>
        <vt:i4>4194315</vt:i4>
      </vt:variant>
      <vt:variant>
        <vt:i4>80</vt:i4>
      </vt:variant>
      <vt:variant>
        <vt:i4>0</vt:i4>
      </vt:variant>
      <vt:variant>
        <vt:i4>5</vt:i4>
      </vt:variant>
      <vt:variant>
        <vt:lpwstr/>
      </vt:variant>
      <vt:variant>
        <vt:lpwstr>_ENREF_13</vt:lpwstr>
      </vt:variant>
      <vt:variant>
        <vt:i4>4194315</vt:i4>
      </vt:variant>
      <vt:variant>
        <vt:i4>76</vt:i4>
      </vt:variant>
      <vt:variant>
        <vt:i4>0</vt:i4>
      </vt:variant>
      <vt:variant>
        <vt:i4>5</vt:i4>
      </vt:variant>
      <vt:variant>
        <vt:lpwstr/>
      </vt:variant>
      <vt:variant>
        <vt:lpwstr>_ENREF_12</vt:lpwstr>
      </vt:variant>
      <vt:variant>
        <vt:i4>4194315</vt:i4>
      </vt:variant>
      <vt:variant>
        <vt:i4>73</vt:i4>
      </vt:variant>
      <vt:variant>
        <vt:i4>0</vt:i4>
      </vt:variant>
      <vt:variant>
        <vt:i4>5</vt:i4>
      </vt:variant>
      <vt:variant>
        <vt:lpwstr/>
      </vt:variant>
      <vt:variant>
        <vt:lpwstr>_ENREF_11</vt:lpwstr>
      </vt:variant>
      <vt:variant>
        <vt:i4>4194315</vt:i4>
      </vt:variant>
      <vt:variant>
        <vt:i4>65</vt:i4>
      </vt:variant>
      <vt:variant>
        <vt:i4>0</vt:i4>
      </vt:variant>
      <vt:variant>
        <vt:i4>5</vt:i4>
      </vt:variant>
      <vt:variant>
        <vt:lpwstr/>
      </vt:variant>
      <vt:variant>
        <vt:lpwstr>_ENREF_10</vt:lpwstr>
      </vt:variant>
      <vt:variant>
        <vt:i4>4194315</vt:i4>
      </vt:variant>
      <vt:variant>
        <vt:i4>59</vt:i4>
      </vt:variant>
      <vt:variant>
        <vt:i4>0</vt:i4>
      </vt:variant>
      <vt:variant>
        <vt:i4>5</vt:i4>
      </vt:variant>
      <vt:variant>
        <vt:lpwstr/>
      </vt:variant>
      <vt:variant>
        <vt:lpwstr>_ENREF_10</vt:lpwstr>
      </vt:variant>
      <vt:variant>
        <vt:i4>4390923</vt:i4>
      </vt:variant>
      <vt:variant>
        <vt:i4>53</vt:i4>
      </vt:variant>
      <vt:variant>
        <vt:i4>0</vt:i4>
      </vt:variant>
      <vt:variant>
        <vt:i4>5</vt:i4>
      </vt:variant>
      <vt:variant>
        <vt:lpwstr/>
      </vt:variant>
      <vt:variant>
        <vt:lpwstr>_ENREF_2</vt:lpwstr>
      </vt:variant>
      <vt:variant>
        <vt:i4>4718603</vt:i4>
      </vt:variant>
      <vt:variant>
        <vt:i4>47</vt:i4>
      </vt:variant>
      <vt:variant>
        <vt:i4>0</vt:i4>
      </vt:variant>
      <vt:variant>
        <vt:i4>5</vt:i4>
      </vt:variant>
      <vt:variant>
        <vt:lpwstr/>
      </vt:variant>
      <vt:variant>
        <vt:lpwstr>_ENREF_9</vt:lpwstr>
      </vt:variant>
      <vt:variant>
        <vt:i4>4784139</vt:i4>
      </vt:variant>
      <vt:variant>
        <vt:i4>43</vt:i4>
      </vt:variant>
      <vt:variant>
        <vt:i4>0</vt:i4>
      </vt:variant>
      <vt:variant>
        <vt:i4>5</vt:i4>
      </vt:variant>
      <vt:variant>
        <vt:lpwstr/>
      </vt:variant>
      <vt:variant>
        <vt:lpwstr>_ENREF_8</vt:lpwstr>
      </vt:variant>
      <vt:variant>
        <vt:i4>4587531</vt:i4>
      </vt:variant>
      <vt:variant>
        <vt:i4>40</vt:i4>
      </vt:variant>
      <vt:variant>
        <vt:i4>0</vt:i4>
      </vt:variant>
      <vt:variant>
        <vt:i4>5</vt:i4>
      </vt:variant>
      <vt:variant>
        <vt:lpwstr/>
      </vt:variant>
      <vt:variant>
        <vt:lpwstr>_ENREF_7</vt:lpwstr>
      </vt:variant>
      <vt:variant>
        <vt:i4>4653067</vt:i4>
      </vt:variant>
      <vt:variant>
        <vt:i4>34</vt:i4>
      </vt:variant>
      <vt:variant>
        <vt:i4>0</vt:i4>
      </vt:variant>
      <vt:variant>
        <vt:i4>5</vt:i4>
      </vt:variant>
      <vt:variant>
        <vt:lpwstr/>
      </vt:variant>
      <vt:variant>
        <vt:lpwstr>_ENREF_6</vt:lpwstr>
      </vt:variant>
      <vt:variant>
        <vt:i4>4456459</vt:i4>
      </vt:variant>
      <vt:variant>
        <vt:i4>31</vt:i4>
      </vt:variant>
      <vt:variant>
        <vt:i4>0</vt:i4>
      </vt:variant>
      <vt:variant>
        <vt:i4>5</vt:i4>
      </vt:variant>
      <vt:variant>
        <vt:lpwstr/>
      </vt:variant>
      <vt:variant>
        <vt:lpwstr>_ENREF_5</vt:lpwstr>
      </vt:variant>
      <vt:variant>
        <vt:i4>4456459</vt:i4>
      </vt:variant>
      <vt:variant>
        <vt:i4>23</vt:i4>
      </vt:variant>
      <vt:variant>
        <vt:i4>0</vt:i4>
      </vt:variant>
      <vt:variant>
        <vt:i4>5</vt:i4>
      </vt:variant>
      <vt:variant>
        <vt:lpwstr/>
      </vt:variant>
      <vt:variant>
        <vt:lpwstr>_ENREF_5</vt:lpwstr>
      </vt:variant>
      <vt:variant>
        <vt:i4>4390923</vt:i4>
      </vt:variant>
      <vt:variant>
        <vt:i4>17</vt:i4>
      </vt:variant>
      <vt:variant>
        <vt:i4>0</vt:i4>
      </vt:variant>
      <vt:variant>
        <vt:i4>5</vt:i4>
      </vt:variant>
      <vt:variant>
        <vt:lpwstr/>
      </vt:variant>
      <vt:variant>
        <vt:lpwstr>_ENREF_2</vt:lpwstr>
      </vt:variant>
      <vt:variant>
        <vt:i4>4521995</vt:i4>
      </vt:variant>
      <vt:variant>
        <vt:i4>11</vt:i4>
      </vt:variant>
      <vt:variant>
        <vt:i4>0</vt:i4>
      </vt:variant>
      <vt:variant>
        <vt:i4>5</vt:i4>
      </vt:variant>
      <vt:variant>
        <vt:lpwstr/>
      </vt:variant>
      <vt:variant>
        <vt:lpwstr>_ENREF_4</vt:lpwstr>
      </vt:variant>
      <vt:variant>
        <vt:i4>4194315</vt:i4>
      </vt:variant>
      <vt:variant>
        <vt:i4>3</vt:i4>
      </vt:variant>
      <vt:variant>
        <vt:i4>0</vt:i4>
      </vt:variant>
      <vt:variant>
        <vt:i4>5</vt:i4>
      </vt:variant>
      <vt:variant>
        <vt:lpwstr/>
      </vt:variant>
      <vt:variant>
        <vt:lpwstr>_ENREF_1</vt:lpwstr>
      </vt:variant>
      <vt:variant>
        <vt:i4>6815817</vt:i4>
      </vt:variant>
      <vt:variant>
        <vt:i4>0</vt:i4>
      </vt:variant>
      <vt:variant>
        <vt:i4>0</vt:i4>
      </vt:variant>
      <vt:variant>
        <vt:i4>5</vt:i4>
      </vt:variant>
      <vt:variant>
        <vt:lpwstr>mailto:Faisal.Hakeem@kcl.ac.uk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Hakeem</dc:creator>
  <cp:keywords/>
  <dc:description/>
  <cp:lastModifiedBy>wael AS</cp:lastModifiedBy>
  <cp:revision>106</cp:revision>
  <dcterms:created xsi:type="dcterms:W3CDTF">2020-06-11T23:38:00Z</dcterms:created>
  <dcterms:modified xsi:type="dcterms:W3CDTF">2020-07-17T16:34:00Z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0x0101006F42E41AAE44DC4E86961CCACF5F2AC2</vt:lpwstr>
  </property>
</Properties>
</file>