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2F" w:rsidRDefault="00195B2F" w:rsidP="00195B2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432FE">
        <w:rPr>
          <w:rFonts w:ascii="Arial" w:hAnsi="Arial" w:cs="Arial"/>
          <w:b/>
          <w:bCs/>
          <w:kern w:val="28"/>
        </w:rPr>
        <w:t>Table 1: Deductive coding Framework</w:t>
      </w:r>
      <w:r>
        <w:rPr>
          <w:rFonts w:ascii="Arial" w:hAnsi="Arial" w:cs="Arial"/>
          <w:b/>
          <w:bCs/>
          <w:kern w:val="28"/>
        </w:rPr>
        <w:t xml:space="preserve"> (Taken from </w:t>
      </w:r>
      <w:r>
        <w:rPr>
          <w:rFonts w:ascii="Arial" w:hAnsi="Arial" w:cs="Arial"/>
          <w:b/>
          <w:bCs/>
          <w:kern w:val="28"/>
        </w:rPr>
        <w:fldChar w:fldCharType="begin"/>
      </w:r>
      <w:r>
        <w:rPr>
          <w:rFonts w:ascii="Arial" w:hAnsi="Arial" w:cs="Arial"/>
          <w:b/>
          <w:bCs/>
          <w:kern w:val="28"/>
        </w:rPr>
        <w:instrText xml:space="preserve"> ADDIN EN.CITE &lt;EndNote&gt;&lt;Cite&gt;&lt;Author&gt;Leamy&lt;/Author&gt;&lt;Year&gt;2011&lt;/Year&gt;&lt;RecNum&gt;1&lt;/RecNum&gt;&lt;DisplayText&gt;(Leamy et al., 2011)&lt;/DisplayText&gt;&lt;record&gt;&lt;rec-number&gt;1&lt;/rec-number&gt;&lt;foreign-keys&gt;&lt;key app="EN" db-id="zzre0dvz0sfvf0edzs7xza05wrps00wf9x5p"&gt;1&lt;/key&gt;&lt;/foreign-keys&gt;&lt;ref-type name="Journal Article"&gt;17&lt;/ref-type&gt;&lt;contributors&gt;&lt;authors&gt;&lt;author&gt;Leamy, M.&lt;/author&gt;&lt;author&gt;Bird, V.&lt;/author&gt;&lt;author&gt;Le Boutillier, C.&lt;/author&gt;&lt;author&gt;Williams, J.&lt;/author&gt;&lt;author&gt;Slade, M.&lt;/author&gt;&lt;/authors&gt;&lt;/contributors&gt;&lt;auth-address&gt;King&amp;apos;s College London, Health Service and Population Research Department (Box P029), Institute of Psychiatry, De Crespigny Park, Denmark Hill, London SE5 8AF, UK. mary.leamy@kcl.ac.uk&lt;/auth-address&gt;&lt;titles&gt;&lt;title&gt;Conceptual framework for personal recovery in mental health: systematic review and narrative synthesis&lt;/title&gt;&lt;secondary-title&gt;Br J Psychiatry&lt;/secondary-title&gt;&lt;/titles&gt;&lt;periodical&gt;&lt;full-title&gt;Br J Psychiatry&lt;/full-title&gt;&lt;/periodical&gt;&lt;pages&gt;445-52&lt;/pages&gt;&lt;volume&gt;199&lt;/volume&gt;&lt;number&gt;6&lt;/number&gt;&lt;edition&gt;2011/12/02&lt;/edition&gt;&lt;keywords&gt;&lt;keyword&gt;Adaptation, Psychological&lt;/keyword&gt;&lt;keyword&gt;Attitude to Health&lt;/keyword&gt;&lt;keyword&gt;Concept Formation&lt;/keyword&gt;&lt;keyword&gt;Ethnic Groups&lt;/keyword&gt;&lt;keyword&gt;Female&lt;/keyword&gt;&lt;keyword&gt;Humans&lt;/keyword&gt;&lt;keyword&gt;Male&lt;/keyword&gt;&lt;keyword&gt;Mental Disorders/ rehabilitation&lt;/keyword&gt;&lt;keyword&gt;Mental Health&lt;/keyword&gt;&lt;keyword&gt;Minority Groups/psychology&lt;/keyword&gt;&lt;keyword&gt;Models, Psychological&lt;/keyword&gt;&lt;keyword&gt;Recovery of Function&lt;/keyword&gt;&lt;keyword&gt;Research Design&lt;/keyword&gt;&lt;keyword&gt;Self Concept&lt;/keyword&gt;&lt;keyword&gt;Spirituality&lt;/keyword&gt;&lt;/keywords&gt;&lt;dates&gt;&lt;year&gt;2011&lt;/year&gt;&lt;pub-dates&gt;&lt;date&gt;Dec&lt;/date&gt;&lt;/pub-dates&gt;&lt;/dates&gt;&lt;isbn&gt;1472-1465 (Electronic)&amp;#xD;0007-1250 (Linking)&lt;/isbn&gt;&lt;accession-num&gt;22130746&lt;/accession-num&gt;&lt;urls&gt;&lt;/urls&gt;&lt;electronic-resource-num&gt;10.1192/bjp.bp.110.083733&lt;/electronic-resource-num&gt;&lt;remote-database-provider&gt;NLM&lt;/remote-database-provider&gt;&lt;language&gt;eng&lt;/language&gt;&lt;/record&gt;&lt;/Cite&gt;&lt;/EndNote&gt;</w:instrText>
      </w:r>
      <w:r>
        <w:rPr>
          <w:rFonts w:ascii="Arial" w:hAnsi="Arial" w:cs="Arial"/>
          <w:b/>
          <w:bCs/>
          <w:kern w:val="28"/>
        </w:rPr>
        <w:fldChar w:fldCharType="separate"/>
      </w:r>
      <w:r>
        <w:rPr>
          <w:rFonts w:ascii="Arial" w:hAnsi="Arial" w:cs="Arial"/>
          <w:b/>
          <w:bCs/>
          <w:noProof/>
          <w:kern w:val="28"/>
        </w:rPr>
        <w:t>(</w:t>
      </w:r>
      <w:hyperlink w:anchor="_ENREF_19" w:tooltip="Leamy, 2011 #1" w:history="1">
        <w:r>
          <w:rPr>
            <w:rFonts w:ascii="Arial" w:hAnsi="Arial" w:cs="Arial"/>
            <w:b/>
            <w:bCs/>
            <w:noProof/>
            <w:kern w:val="28"/>
          </w:rPr>
          <w:t>Leamy et al., 2011</w:t>
        </w:r>
      </w:hyperlink>
      <w:r>
        <w:rPr>
          <w:rFonts w:ascii="Arial" w:hAnsi="Arial" w:cs="Arial"/>
          <w:b/>
          <w:bCs/>
          <w:noProof/>
          <w:kern w:val="28"/>
        </w:rPr>
        <w:t>)</w:t>
      </w:r>
      <w:r>
        <w:rPr>
          <w:rFonts w:ascii="Arial" w:hAnsi="Arial" w:cs="Arial"/>
          <w:b/>
          <w:bCs/>
          <w:kern w:val="28"/>
        </w:rPr>
        <w:fldChar w:fldCharType="end"/>
      </w:r>
      <w:r>
        <w:rPr>
          <w:rFonts w:ascii="Arial" w:hAnsi="Arial" w:cs="Arial"/>
          <w:b/>
          <w:bCs/>
          <w:kern w:val="28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2"/>
        <w:gridCol w:w="5080"/>
      </w:tblGrid>
      <w:tr w:rsidR="00195B2F" w:rsidRPr="00363DAC" w:rsidTr="00A526FD">
        <w:tc>
          <w:tcPr>
            <w:tcW w:w="4361" w:type="dxa"/>
            <w:tcBorders>
              <w:bottom w:val="single" w:sz="4" w:space="0" w:color="auto"/>
            </w:tcBorders>
            <w:shd w:val="clear" w:color="auto" w:fill="D9D9D9"/>
          </w:tcPr>
          <w:p w:rsidR="00195B2F" w:rsidRPr="00363DAC" w:rsidRDefault="00195B2F" w:rsidP="00A526FD">
            <w:pPr>
              <w:ind w:left="720"/>
              <w:jc w:val="both"/>
              <w:rPr>
                <w:b/>
              </w:rPr>
            </w:pPr>
            <w:r w:rsidRPr="00363DAC">
              <w:rPr>
                <w:b/>
              </w:rPr>
              <w:t>Super ordinate categories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D9D9D9"/>
          </w:tcPr>
          <w:p w:rsidR="00195B2F" w:rsidRPr="00363DAC" w:rsidRDefault="00195B2F" w:rsidP="00A526FD">
            <w:pPr>
              <w:ind w:left="720"/>
              <w:jc w:val="both"/>
              <w:rPr>
                <w:b/>
              </w:rPr>
            </w:pPr>
            <w:r w:rsidRPr="00363DAC">
              <w:rPr>
                <w:b/>
              </w:rPr>
              <w:t>Subordinate category</w:t>
            </w:r>
          </w:p>
        </w:tc>
      </w:tr>
      <w:tr w:rsidR="00195B2F" w:rsidRPr="00363DAC" w:rsidTr="00A526FD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  <w:jc w:val="both"/>
            </w:pPr>
            <w:r w:rsidRPr="00CF42ED">
              <w:t>Connectedness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5B2F" w:rsidRDefault="00195B2F" w:rsidP="00A526FD">
            <w:pPr>
              <w:ind w:left="720"/>
            </w:pPr>
            <w:r w:rsidRPr="00CF42ED">
              <w:t>Peer Support and support groups</w:t>
            </w:r>
          </w:p>
          <w:p w:rsidR="00195B2F" w:rsidRDefault="00195B2F" w:rsidP="00A526FD">
            <w:pPr>
              <w:ind w:left="720"/>
            </w:pPr>
            <w:r>
              <w:t>Relationships</w:t>
            </w:r>
          </w:p>
          <w:p w:rsidR="00195B2F" w:rsidRPr="00CF42ED" w:rsidRDefault="00195B2F" w:rsidP="00A526FD">
            <w:pPr>
              <w:ind w:left="720"/>
            </w:pPr>
            <w:r>
              <w:t>Support from others</w:t>
            </w:r>
          </w:p>
        </w:tc>
      </w:tr>
      <w:tr w:rsidR="00195B2F" w:rsidRPr="00363DAC" w:rsidTr="00A526FD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  <w:jc w:val="both"/>
            </w:pPr>
            <w:r>
              <w:t>Hope and Optimism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5B2F" w:rsidRDefault="00195B2F" w:rsidP="00A526FD">
            <w:pPr>
              <w:ind w:left="720"/>
            </w:pPr>
            <w:r>
              <w:t>Hope inspiring relationships</w:t>
            </w:r>
          </w:p>
          <w:p w:rsidR="00195B2F" w:rsidRDefault="00195B2F" w:rsidP="00A526FD">
            <w:pPr>
              <w:ind w:left="720"/>
            </w:pPr>
            <w:r>
              <w:t>Motivation to change</w:t>
            </w:r>
          </w:p>
          <w:p w:rsidR="00195B2F" w:rsidRDefault="00195B2F" w:rsidP="00A526FD">
            <w:pPr>
              <w:ind w:left="720"/>
            </w:pPr>
            <w:r>
              <w:t>Belief in the possibility of recovery</w:t>
            </w:r>
          </w:p>
          <w:p w:rsidR="00195B2F" w:rsidRDefault="00195B2F" w:rsidP="00A526FD">
            <w:pPr>
              <w:ind w:left="720"/>
            </w:pPr>
            <w:r>
              <w:t>Positive thinking</w:t>
            </w:r>
          </w:p>
          <w:p w:rsidR="00195B2F" w:rsidRPr="00CF42ED" w:rsidRDefault="00195B2F" w:rsidP="00A526FD">
            <w:pPr>
              <w:ind w:left="720"/>
            </w:pPr>
            <w:r>
              <w:t>Having dreams and aspirations</w:t>
            </w:r>
          </w:p>
        </w:tc>
      </w:tr>
      <w:tr w:rsidR="00195B2F" w:rsidRPr="00363DAC" w:rsidTr="00A526FD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  <w:jc w:val="both"/>
            </w:pPr>
            <w:r>
              <w:t>Identity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</w:pPr>
            <w:r>
              <w:t>Dimensions of identity</w:t>
            </w:r>
          </w:p>
        </w:tc>
      </w:tr>
      <w:tr w:rsidR="00195B2F" w:rsidRPr="00363DAC" w:rsidTr="00A526FD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  <w:jc w:val="both"/>
            </w:pP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5B2F" w:rsidRDefault="00195B2F" w:rsidP="00A526FD">
            <w:pPr>
              <w:ind w:left="720"/>
            </w:pPr>
            <w:r>
              <w:t>Rebuilding / redefining a positive sense of identity</w:t>
            </w:r>
          </w:p>
          <w:p w:rsidR="00195B2F" w:rsidRPr="00CF42ED" w:rsidRDefault="00195B2F" w:rsidP="00A526FD">
            <w:pPr>
              <w:ind w:left="720"/>
            </w:pPr>
            <w:r>
              <w:t>Overcoming stigma</w:t>
            </w:r>
          </w:p>
        </w:tc>
      </w:tr>
      <w:tr w:rsidR="00195B2F" w:rsidRPr="00363DAC" w:rsidTr="00A526FD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  <w:jc w:val="both"/>
            </w:pPr>
            <w:r>
              <w:t>Meaning and purpose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95B2F" w:rsidRDefault="00195B2F" w:rsidP="00A526FD">
            <w:pPr>
              <w:ind w:left="720"/>
            </w:pPr>
            <w:r>
              <w:t>Meaning of mental illness experience</w:t>
            </w:r>
          </w:p>
          <w:p w:rsidR="00195B2F" w:rsidRPr="00CF42ED" w:rsidRDefault="00195B2F" w:rsidP="00A526FD">
            <w:pPr>
              <w:ind w:left="720"/>
            </w:pPr>
            <w:r>
              <w:t>Spirituality (including development of spirituality)</w:t>
            </w:r>
          </w:p>
        </w:tc>
      </w:tr>
      <w:tr w:rsidR="00195B2F" w:rsidRPr="00363DAC" w:rsidTr="00A526F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jc w:val="both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5B2F" w:rsidRDefault="00195B2F" w:rsidP="00A526FD">
            <w:pPr>
              <w:ind w:left="720"/>
              <w:jc w:val="both"/>
            </w:pPr>
            <w:r>
              <w:t>Quality of life</w:t>
            </w:r>
          </w:p>
          <w:p w:rsidR="00195B2F" w:rsidRPr="00CF42ED" w:rsidRDefault="00195B2F" w:rsidP="00A526FD">
            <w:pPr>
              <w:ind w:left="720"/>
              <w:jc w:val="both"/>
            </w:pPr>
            <w:r>
              <w:t>Meaningful life and social goals</w:t>
            </w:r>
          </w:p>
        </w:tc>
      </w:tr>
      <w:tr w:rsidR="00195B2F" w:rsidRPr="00363DAC" w:rsidTr="00A526FD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</w:pP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5B2F" w:rsidRDefault="00195B2F" w:rsidP="00A526FD">
            <w:pPr>
              <w:ind w:left="720"/>
            </w:pPr>
            <w:r>
              <w:t>Meaningful life and social roles</w:t>
            </w:r>
          </w:p>
          <w:p w:rsidR="00195B2F" w:rsidRPr="00CF42ED" w:rsidRDefault="00195B2F" w:rsidP="00A526FD">
            <w:pPr>
              <w:ind w:left="720"/>
            </w:pPr>
            <w:r>
              <w:t>Rebuilding of life</w:t>
            </w:r>
          </w:p>
        </w:tc>
      </w:tr>
      <w:tr w:rsidR="00195B2F" w:rsidRPr="00363DAC" w:rsidTr="00A526FD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</w:pPr>
            <w:r>
              <w:t>Empowerment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95B2F" w:rsidRDefault="00195B2F" w:rsidP="00A526FD">
            <w:pPr>
              <w:ind w:left="720"/>
            </w:pPr>
            <w:r>
              <w:t>Personal responsibility</w:t>
            </w:r>
          </w:p>
        </w:tc>
      </w:tr>
      <w:tr w:rsidR="00195B2F" w:rsidRPr="00363DAC" w:rsidTr="00A526F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5B2F" w:rsidRDefault="00195B2F" w:rsidP="00A526FD">
            <w:pPr>
              <w:ind w:left="720"/>
            </w:pPr>
            <w:r>
              <w:t>Control over life</w:t>
            </w:r>
          </w:p>
        </w:tc>
      </w:tr>
      <w:tr w:rsidR="00195B2F" w:rsidRPr="00363DAC" w:rsidTr="00A526FD"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95B2F" w:rsidRPr="00CF42ED" w:rsidRDefault="00195B2F" w:rsidP="00A526FD">
            <w:pPr>
              <w:ind w:left="720"/>
            </w:pPr>
          </w:p>
        </w:tc>
        <w:tc>
          <w:tcPr>
            <w:tcW w:w="537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95B2F" w:rsidRDefault="00195B2F" w:rsidP="00A526FD">
            <w:pPr>
              <w:ind w:left="720"/>
            </w:pPr>
            <w:r>
              <w:t>Focussing on strengths</w:t>
            </w:r>
          </w:p>
        </w:tc>
      </w:tr>
    </w:tbl>
    <w:p w:rsidR="00195B2F" w:rsidRDefault="00195B2F" w:rsidP="00195B2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95B2F" w:rsidRPr="00A73501" w:rsidRDefault="00195B2F" w:rsidP="00195B2F">
      <w:pPr>
        <w:spacing w:line="480" w:lineRule="auto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sz w:val="22"/>
          <w:szCs w:val="22"/>
        </w:rPr>
        <w:br w:type="page"/>
      </w:r>
      <w:r w:rsidRPr="00A73501">
        <w:rPr>
          <w:rFonts w:ascii="Arial" w:hAnsi="Arial" w:cs="Arial"/>
          <w:b/>
          <w:bCs/>
          <w:kern w:val="28"/>
        </w:rPr>
        <w:lastRenderedPageBreak/>
        <w:t xml:space="preserve">Table </w:t>
      </w:r>
      <w:r>
        <w:rPr>
          <w:rFonts w:ascii="Arial" w:hAnsi="Arial" w:cs="Arial"/>
          <w:b/>
          <w:bCs/>
          <w:kern w:val="28"/>
        </w:rPr>
        <w:t>2</w:t>
      </w:r>
      <w:r w:rsidRPr="00A73501">
        <w:rPr>
          <w:rFonts w:ascii="Arial" w:hAnsi="Arial" w:cs="Arial"/>
          <w:b/>
          <w:bCs/>
          <w:kern w:val="28"/>
        </w:rPr>
        <w:t xml:space="preserve"> – Sample characteristics of participants</w:t>
      </w:r>
      <w:r>
        <w:rPr>
          <w:rFonts w:ascii="Arial" w:hAnsi="Arial" w:cs="Arial"/>
          <w:b/>
          <w:bCs/>
          <w:kern w:val="28"/>
        </w:rPr>
        <w:t xml:space="preserve"> (n=48)</w:t>
      </w:r>
      <w:r w:rsidRPr="00A73501">
        <w:rPr>
          <w:rFonts w:ascii="Arial" w:hAnsi="Arial" w:cs="Arial"/>
          <w:b/>
          <w:bCs/>
          <w:kern w:val="28"/>
        </w:rPr>
        <w:t xml:space="preserve"> included in the focus groups</w:t>
      </w:r>
    </w:p>
    <w:tbl>
      <w:tblPr>
        <w:tblW w:w="6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32"/>
        <w:gridCol w:w="1756"/>
      </w:tblGrid>
      <w:tr w:rsidR="00195B2F" w:rsidRPr="00A73501" w:rsidTr="00A526FD">
        <w:trPr>
          <w:jc w:val="center"/>
        </w:trPr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195B2F" w:rsidRPr="00A73501" w:rsidRDefault="00195B2F" w:rsidP="00A526FD">
            <w:pPr>
              <w:jc w:val="both"/>
            </w:pPr>
            <w:r w:rsidRPr="00A73501">
              <w:t>Characteristics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195B2F" w:rsidRPr="00A73501" w:rsidRDefault="00195B2F" w:rsidP="00A526FD">
            <w:pPr>
              <w:jc w:val="both"/>
            </w:pPr>
            <w:r w:rsidRPr="00A73501">
              <w:t xml:space="preserve">Participants </w:t>
            </w:r>
          </w:p>
        </w:tc>
      </w:tr>
      <w:tr w:rsidR="00195B2F" w:rsidRPr="00A73501" w:rsidTr="00A526FD">
        <w:trPr>
          <w:jc w:val="center"/>
        </w:trPr>
        <w:tc>
          <w:tcPr>
            <w:tcW w:w="4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  <w:r w:rsidRPr="00A73501">
              <w:t>Gender (N, %):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Female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Male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</w:p>
          <w:p w:rsidR="00195B2F" w:rsidRPr="00A73501" w:rsidRDefault="00195B2F" w:rsidP="00A526FD">
            <w:pPr>
              <w:jc w:val="both"/>
            </w:pPr>
            <w:r w:rsidRPr="00A73501">
              <w:t>20 (58%)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28 (42%)</w:t>
            </w:r>
          </w:p>
        </w:tc>
      </w:tr>
      <w:tr w:rsidR="00195B2F" w:rsidRPr="00A73501" w:rsidTr="00A526FD">
        <w:trPr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  <w:r w:rsidRPr="00A73501">
              <w:t>Age (Mean, SD)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  <w:r w:rsidRPr="00A73501">
              <w:t>42.1 (10.4)</w:t>
            </w:r>
          </w:p>
        </w:tc>
      </w:tr>
      <w:tr w:rsidR="00195B2F" w:rsidRPr="00A73501" w:rsidTr="00A526FD">
        <w:trPr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  <w:r w:rsidRPr="00A73501">
              <w:t>Ethnicity (n, %):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White British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White Irish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White Other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Black/ Black British - African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Black/ Black British - Caribbean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Black Other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Asian / Asian British – Indian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Asian / Asian British - Pakistani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Asian other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Mixed race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Other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</w:p>
          <w:p w:rsidR="00195B2F" w:rsidRPr="00A73501" w:rsidRDefault="00195B2F" w:rsidP="00A526FD">
            <w:pPr>
              <w:jc w:val="both"/>
            </w:pPr>
            <w:r w:rsidRPr="00A73501">
              <w:t>16 (33%)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 (2%)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 (2%)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11 (23%)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9 (19%)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 (2%)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2 (4%)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 (2%)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 (2%)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2 (4%)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4 (8%)</w:t>
            </w:r>
          </w:p>
        </w:tc>
      </w:tr>
      <w:tr w:rsidR="00195B2F" w:rsidRPr="00A73501" w:rsidTr="00A526FD">
        <w:trPr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  <w:r w:rsidRPr="00A73501">
              <w:t>Diagnosis (n, %):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Schizophrenia or Schizoaffective disorder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Bipolar Disorder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Depression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Anxiety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Other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Did not want to disclose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</w:p>
          <w:p w:rsidR="00195B2F" w:rsidRPr="00A73501" w:rsidRDefault="00195B2F" w:rsidP="00A526FD">
            <w:pPr>
              <w:jc w:val="both"/>
            </w:pPr>
            <w:r w:rsidRPr="00A73501">
              <w:t>19 (40%)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8 (16.5%)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6 (12.5%)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 (2%)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2 (4%)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12 (25%)</w:t>
            </w:r>
          </w:p>
        </w:tc>
      </w:tr>
      <w:tr w:rsidR="00195B2F" w:rsidRPr="00A73501" w:rsidTr="00A526FD">
        <w:trPr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  <w:r w:rsidRPr="00A73501">
              <w:t>Mental health team type (n, %):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CMHT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Support and recovery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Early intervention service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Assertive outreach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Forensic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Rehabilitation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Continuing care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Other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Did not want to disclose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</w:p>
          <w:p w:rsidR="00195B2F" w:rsidRPr="00A73501" w:rsidRDefault="00195B2F" w:rsidP="00A526FD">
            <w:pPr>
              <w:jc w:val="both"/>
            </w:pPr>
            <w:r w:rsidRPr="00A73501">
              <w:t>6 (13%)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15 (31%)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5 (10%)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9 (20%)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 (2%)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 (2%)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5 (10%)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4 (8%)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2 (4%)</w:t>
            </w:r>
          </w:p>
        </w:tc>
      </w:tr>
      <w:tr w:rsidR="00195B2F" w:rsidRPr="00A73501" w:rsidTr="00A526FD">
        <w:trPr>
          <w:jc w:val="center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  <w:r w:rsidRPr="00A73501">
              <w:t>Time in MH services years (mean, SD)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195B2F" w:rsidRPr="00A73501" w:rsidRDefault="00195B2F" w:rsidP="00A526FD">
            <w:pPr>
              <w:jc w:val="both"/>
            </w:pPr>
            <w:r w:rsidRPr="00A73501">
              <w:t xml:space="preserve">11.6 (7.0) </w:t>
            </w:r>
          </w:p>
        </w:tc>
      </w:tr>
      <w:tr w:rsidR="00195B2F" w:rsidRPr="00A73501" w:rsidTr="00A526FD">
        <w:trPr>
          <w:jc w:val="center"/>
        </w:trPr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B2F" w:rsidRPr="00A73501" w:rsidRDefault="00195B2F" w:rsidP="00A526FD">
            <w:pPr>
              <w:jc w:val="both"/>
            </w:pPr>
            <w:r w:rsidRPr="00A73501">
              <w:t>NHS trust (n, %):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SLAM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 xml:space="preserve">Gloucester </w:t>
            </w:r>
          </w:p>
          <w:p w:rsidR="00195B2F" w:rsidRPr="00A73501" w:rsidRDefault="00195B2F" w:rsidP="00A526FD">
            <w:pPr>
              <w:ind w:left="720"/>
              <w:jc w:val="both"/>
            </w:pPr>
            <w:r w:rsidRPr="00A73501">
              <w:t>Leicester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B2F" w:rsidRPr="00A73501" w:rsidRDefault="00195B2F" w:rsidP="00A526FD">
            <w:pPr>
              <w:jc w:val="both"/>
            </w:pPr>
          </w:p>
          <w:p w:rsidR="00195B2F" w:rsidRPr="00A73501" w:rsidRDefault="00195B2F" w:rsidP="00A526FD">
            <w:pPr>
              <w:jc w:val="both"/>
            </w:pPr>
            <w:r w:rsidRPr="00A73501">
              <w:t>27 (56%)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10 (21%)</w:t>
            </w:r>
          </w:p>
          <w:p w:rsidR="00195B2F" w:rsidRPr="00A73501" w:rsidRDefault="00195B2F" w:rsidP="00A526FD">
            <w:pPr>
              <w:jc w:val="both"/>
            </w:pPr>
            <w:r w:rsidRPr="00A73501">
              <w:t>11 (23%)</w:t>
            </w:r>
          </w:p>
        </w:tc>
      </w:tr>
    </w:tbl>
    <w:p w:rsidR="00500139" w:rsidRDefault="00500139"/>
    <w:sectPr w:rsidR="00500139" w:rsidSect="00500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B2F"/>
    <w:rsid w:val="00195B2F"/>
    <w:rsid w:val="0050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>IoP, KCL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k0929921</dc:creator>
  <cp:keywords/>
  <dc:description/>
  <cp:lastModifiedBy>k0929921</cp:lastModifiedBy>
  <cp:revision>1</cp:revision>
  <dcterms:created xsi:type="dcterms:W3CDTF">2013-06-04T13:34:00Z</dcterms:created>
  <dcterms:modified xsi:type="dcterms:W3CDTF">2013-06-04T13:36:00Z</dcterms:modified>
</cp:coreProperties>
</file>