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2DB2" w:rsidRDefault="006D2DB2" w:rsidP="006D2DB2">
      <w:pPr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Supplementary information</w:t>
      </w:r>
    </w:p>
    <w:p w:rsidR="006D2DB2" w:rsidRPr="00887E1A" w:rsidRDefault="006D2DB2" w:rsidP="006D2DB2">
      <w:pPr>
        <w:jc w:val="center"/>
        <w:rPr>
          <w:rFonts w:cs="Arial"/>
          <w:b/>
          <w:bCs/>
          <w:sz w:val="24"/>
          <w:szCs w:val="24"/>
        </w:rPr>
      </w:pPr>
      <w:r w:rsidRPr="00887E1A">
        <w:rPr>
          <w:rFonts w:cs="Arial"/>
          <w:b/>
          <w:bCs/>
          <w:sz w:val="24"/>
          <w:szCs w:val="24"/>
        </w:rPr>
        <w:t>Complementary techniques to analyse pericellular matrix formation by human MSC within hyaluronic acid hydrogels</w:t>
      </w:r>
    </w:p>
    <w:p w:rsidR="006D2DB2" w:rsidRPr="0036413C" w:rsidRDefault="006D2DB2" w:rsidP="006D2DB2"/>
    <w:p w:rsidR="006D2DB2" w:rsidRPr="00B54317" w:rsidRDefault="006D2DB2" w:rsidP="006D2DB2">
      <w:pPr>
        <w:jc w:val="center"/>
        <w:rPr>
          <w:rFonts w:cs="Arial"/>
          <w:i/>
          <w:iCs/>
          <w:lang w:val="de-DE"/>
        </w:rPr>
      </w:pPr>
      <w:r w:rsidRPr="00E740C3">
        <w:rPr>
          <w:rFonts w:cs="Arial"/>
          <w:i/>
          <w:iCs/>
          <w:lang w:val="de-DE"/>
        </w:rPr>
        <w:t>Christoph Salzlechner</w:t>
      </w:r>
      <w:r w:rsidRPr="00E740C3">
        <w:rPr>
          <w:rFonts w:cs="Arial"/>
          <w:i/>
          <w:iCs/>
          <w:vertAlign w:val="superscript"/>
          <w:lang w:val="de-DE"/>
        </w:rPr>
        <w:t>1</w:t>
      </w:r>
      <w:r w:rsidRPr="00E740C3">
        <w:rPr>
          <w:rFonts w:cs="Arial"/>
          <w:i/>
          <w:iCs/>
          <w:lang w:val="de-DE"/>
        </w:rPr>
        <w:t>†, Anders Runge Walther</w:t>
      </w:r>
      <w:r w:rsidRPr="00E740C3">
        <w:rPr>
          <w:rFonts w:cs="Arial"/>
          <w:i/>
          <w:iCs/>
          <w:vertAlign w:val="superscript"/>
          <w:lang w:val="de-DE"/>
        </w:rPr>
        <w:t>1,2</w:t>
      </w:r>
      <w:r w:rsidRPr="00E740C3">
        <w:rPr>
          <w:rFonts w:cs="Arial"/>
          <w:i/>
          <w:iCs/>
          <w:lang w:val="de-DE"/>
        </w:rPr>
        <w:t>†, Sophie Schell</w:t>
      </w:r>
      <w:r w:rsidRPr="00E740C3">
        <w:rPr>
          <w:rFonts w:cs="Arial"/>
          <w:i/>
          <w:iCs/>
          <w:vertAlign w:val="superscript"/>
          <w:lang w:val="de-DE"/>
        </w:rPr>
        <w:t>1,3</w:t>
      </w:r>
      <w:r w:rsidRPr="00E740C3">
        <w:rPr>
          <w:rFonts w:cs="Arial"/>
          <w:i/>
          <w:iCs/>
          <w:lang w:val="de-DE"/>
        </w:rPr>
        <w:t>, Nicholas Groth Merrild</w:t>
      </w:r>
      <w:r w:rsidRPr="00E740C3">
        <w:rPr>
          <w:rFonts w:cs="Arial"/>
          <w:i/>
          <w:iCs/>
          <w:vertAlign w:val="superscript"/>
          <w:lang w:val="de-DE"/>
        </w:rPr>
        <w:t>1</w:t>
      </w:r>
      <w:r w:rsidRPr="00E740C3">
        <w:rPr>
          <w:rFonts w:cs="Arial"/>
          <w:i/>
          <w:iCs/>
          <w:lang w:val="de-DE"/>
        </w:rPr>
        <w:t xml:space="preserve">, </w:t>
      </w:r>
      <w:proofErr w:type="spellStart"/>
      <w:r w:rsidRPr="00E740C3">
        <w:rPr>
          <w:rFonts w:cs="Arial"/>
          <w:i/>
          <w:iCs/>
          <w:lang w:val="de-DE"/>
        </w:rPr>
        <w:t>Tabasom</w:t>
      </w:r>
      <w:proofErr w:type="spellEnd"/>
      <w:r w:rsidRPr="00E740C3">
        <w:rPr>
          <w:rFonts w:cs="Arial"/>
          <w:i/>
          <w:iCs/>
          <w:lang w:val="de-DE"/>
        </w:rPr>
        <w:t xml:space="preserve"> Haghighi</w:t>
      </w:r>
      <w:r w:rsidRPr="00E740C3">
        <w:rPr>
          <w:rFonts w:cs="Arial"/>
          <w:i/>
          <w:iCs/>
          <w:vertAlign w:val="superscript"/>
          <w:lang w:val="de-DE"/>
        </w:rPr>
        <w:t>1</w:t>
      </w:r>
      <w:r w:rsidRPr="00E740C3">
        <w:rPr>
          <w:rFonts w:cs="Arial"/>
          <w:i/>
          <w:iCs/>
          <w:lang w:val="de-DE"/>
        </w:rPr>
        <w:t>, Isabella Huebscher</w:t>
      </w:r>
      <w:r w:rsidRPr="00E740C3">
        <w:rPr>
          <w:rFonts w:cs="Arial"/>
          <w:i/>
          <w:iCs/>
          <w:vertAlign w:val="superscript"/>
          <w:lang w:val="de-DE"/>
        </w:rPr>
        <w:t>1</w:t>
      </w:r>
      <w:r w:rsidRPr="00E740C3">
        <w:rPr>
          <w:rFonts w:cs="Arial"/>
          <w:i/>
          <w:iCs/>
          <w:lang w:val="de-DE"/>
        </w:rPr>
        <w:t>, Gerhard Undt</w:t>
      </w:r>
      <w:r w:rsidRPr="00E740C3">
        <w:rPr>
          <w:rFonts w:cs="Arial"/>
          <w:i/>
          <w:iCs/>
          <w:vertAlign w:val="superscript"/>
          <w:lang w:val="de-DE"/>
        </w:rPr>
        <w:t>4</w:t>
      </w:r>
      <w:r w:rsidRPr="00E740C3">
        <w:rPr>
          <w:rFonts w:cs="Arial"/>
          <w:i/>
          <w:iCs/>
          <w:lang w:val="de-DE"/>
        </w:rPr>
        <w:t>, Kathleen Fan</w:t>
      </w:r>
      <w:r w:rsidRPr="00E740C3">
        <w:rPr>
          <w:rFonts w:cs="Arial"/>
          <w:i/>
          <w:iCs/>
          <w:vertAlign w:val="superscript"/>
          <w:lang w:val="de-DE"/>
        </w:rPr>
        <w:t>5</w:t>
      </w:r>
      <w:r w:rsidRPr="00E740C3">
        <w:rPr>
          <w:rFonts w:cs="Arial"/>
          <w:i/>
          <w:iCs/>
          <w:lang w:val="de-DE"/>
        </w:rPr>
        <w:t>, Mads Bergholt</w:t>
      </w:r>
      <w:r w:rsidRPr="00E740C3">
        <w:rPr>
          <w:rFonts w:cs="Arial"/>
          <w:i/>
          <w:iCs/>
          <w:vertAlign w:val="superscript"/>
          <w:lang w:val="de-DE"/>
        </w:rPr>
        <w:t>1</w:t>
      </w:r>
      <w:r w:rsidRPr="00E740C3">
        <w:rPr>
          <w:rFonts w:cs="Arial"/>
          <w:i/>
          <w:iCs/>
          <w:lang w:val="de-DE"/>
        </w:rPr>
        <w:t>, Martin Hedegaard</w:t>
      </w:r>
      <w:r w:rsidRPr="00E740C3">
        <w:rPr>
          <w:rFonts w:cs="Arial"/>
          <w:i/>
          <w:iCs/>
          <w:vertAlign w:val="superscript"/>
          <w:lang w:val="de-DE"/>
        </w:rPr>
        <w:t>2</w:t>
      </w:r>
      <w:r w:rsidRPr="00E740C3">
        <w:rPr>
          <w:rFonts w:cs="Arial"/>
          <w:i/>
          <w:iCs/>
          <w:lang w:val="de-DE"/>
        </w:rPr>
        <w:t>, and Eileen Gentleman</w:t>
      </w:r>
      <w:r w:rsidRPr="00E740C3">
        <w:rPr>
          <w:rFonts w:cs="Arial"/>
          <w:i/>
          <w:iCs/>
          <w:vertAlign w:val="superscript"/>
          <w:lang w:val="de-DE"/>
        </w:rPr>
        <w:t>1</w:t>
      </w:r>
      <w:r w:rsidRPr="00E740C3">
        <w:rPr>
          <w:rFonts w:cs="Arial"/>
          <w:i/>
          <w:iCs/>
          <w:lang w:val="de-DE"/>
        </w:rPr>
        <w:t>*</w:t>
      </w:r>
    </w:p>
    <w:p w:rsidR="006D2DB2" w:rsidRPr="00B54317" w:rsidRDefault="006D2DB2" w:rsidP="006D2DB2">
      <w:pPr>
        <w:rPr>
          <w:lang w:val="de-DE"/>
        </w:rPr>
      </w:pPr>
    </w:p>
    <w:p w:rsidR="006D2DB2" w:rsidRPr="0036413C" w:rsidRDefault="006D2DB2" w:rsidP="006D2DB2">
      <w:pPr>
        <w:ind w:left="284" w:hanging="142"/>
        <w:rPr>
          <w:rFonts w:cs="Arial"/>
        </w:rPr>
      </w:pPr>
      <w:r w:rsidRPr="004F77DC">
        <w:rPr>
          <w:rFonts w:cs="Arial"/>
          <w:vertAlign w:val="superscript"/>
        </w:rPr>
        <w:t>1</w:t>
      </w:r>
      <w:r w:rsidRPr="0036413C">
        <w:rPr>
          <w:rFonts w:cs="Arial"/>
        </w:rPr>
        <w:t xml:space="preserve"> Centre for Craniofacial and Regenerative Biology, King’s College London, London SE1 9RT, United Kingdom</w:t>
      </w:r>
    </w:p>
    <w:p w:rsidR="006D2DB2" w:rsidRPr="0036413C" w:rsidRDefault="006D2DB2" w:rsidP="006D2DB2">
      <w:pPr>
        <w:ind w:left="284" w:hanging="142"/>
        <w:rPr>
          <w:rFonts w:cs="Arial"/>
        </w:rPr>
      </w:pPr>
      <w:r w:rsidRPr="004F77DC">
        <w:rPr>
          <w:rFonts w:cs="Arial"/>
          <w:vertAlign w:val="superscript"/>
        </w:rPr>
        <w:t>2</w:t>
      </w:r>
      <w:r>
        <w:rPr>
          <w:rFonts w:cs="Arial"/>
          <w:vertAlign w:val="superscript"/>
        </w:rPr>
        <w:t xml:space="preserve"> </w:t>
      </w:r>
      <w:r w:rsidRPr="0036413C">
        <w:rPr>
          <w:rFonts w:cs="Arial"/>
        </w:rPr>
        <w:t>Department of Chemical Engineering, Biotechnology and Environmental Technology, University of Southern Denmark, DK-5230 Odense, Denmark</w:t>
      </w:r>
    </w:p>
    <w:p w:rsidR="006D2DB2" w:rsidRPr="0036413C" w:rsidRDefault="006D2DB2" w:rsidP="006D2DB2">
      <w:pPr>
        <w:ind w:left="284" w:hanging="142"/>
        <w:rPr>
          <w:rFonts w:cs="Arial"/>
        </w:rPr>
      </w:pPr>
      <w:r w:rsidRPr="004F77DC">
        <w:rPr>
          <w:rFonts w:cs="Arial"/>
          <w:vertAlign w:val="superscript"/>
        </w:rPr>
        <w:t>3</w:t>
      </w:r>
      <w:r w:rsidRPr="0036413C">
        <w:rPr>
          <w:rFonts w:cs="Arial"/>
        </w:rPr>
        <w:t xml:space="preserve"> Department of Conservative Dentistry, Centre of Dentistry, Oral Medicine and Maxillofacial Surgery, University Hospital Tübingen, 72076 Tübingen, Germany</w:t>
      </w:r>
    </w:p>
    <w:p w:rsidR="006D2DB2" w:rsidRPr="0036413C" w:rsidRDefault="006D2DB2" w:rsidP="006D2DB2">
      <w:pPr>
        <w:ind w:left="284" w:hanging="142"/>
        <w:rPr>
          <w:rFonts w:cs="Arial"/>
        </w:rPr>
      </w:pPr>
      <w:r w:rsidRPr="004F77DC">
        <w:rPr>
          <w:rFonts w:cs="Arial"/>
          <w:vertAlign w:val="superscript"/>
        </w:rPr>
        <w:t>4</w:t>
      </w:r>
      <w:r w:rsidRPr="0036413C">
        <w:rPr>
          <w:rFonts w:cs="Arial"/>
        </w:rPr>
        <w:t xml:space="preserve"> University Clinic of Dentistry, Department of Oral Surgery, Medical University of Vienna, </w:t>
      </w:r>
      <w:proofErr w:type="spellStart"/>
      <w:r w:rsidRPr="0036413C">
        <w:rPr>
          <w:rFonts w:cs="Arial"/>
        </w:rPr>
        <w:t>Sensengasse</w:t>
      </w:r>
      <w:proofErr w:type="spellEnd"/>
      <w:r w:rsidRPr="0036413C">
        <w:rPr>
          <w:rFonts w:cs="Arial"/>
        </w:rPr>
        <w:t xml:space="preserve"> 2a, 1090 Vienna, Austria</w:t>
      </w:r>
    </w:p>
    <w:p w:rsidR="006D2DB2" w:rsidRPr="0036413C" w:rsidRDefault="006D2DB2" w:rsidP="006D2DB2">
      <w:pPr>
        <w:ind w:left="284" w:hanging="142"/>
        <w:rPr>
          <w:rFonts w:cs="Arial"/>
          <w:shd w:val="clear" w:color="auto" w:fill="FFFFFF"/>
        </w:rPr>
      </w:pPr>
      <w:r w:rsidRPr="004F77DC">
        <w:rPr>
          <w:rFonts w:cs="Arial"/>
          <w:vertAlign w:val="superscript"/>
        </w:rPr>
        <w:t>5</w:t>
      </w:r>
      <w:r w:rsidRPr="0036413C">
        <w:rPr>
          <w:rFonts w:cs="Arial"/>
        </w:rPr>
        <w:t xml:space="preserve"> </w:t>
      </w:r>
      <w:r w:rsidRPr="0036413C">
        <w:rPr>
          <w:rFonts w:cs="Arial"/>
          <w:shd w:val="clear" w:color="auto" w:fill="FFFFFF"/>
        </w:rPr>
        <w:t>Department of Oral and Maxillofacial Surgery, King's College Hospital, London, SE5 9RS, United Kingdom</w:t>
      </w:r>
    </w:p>
    <w:p w:rsidR="006D2DB2" w:rsidRPr="0036413C" w:rsidRDefault="006D2DB2" w:rsidP="006D2DB2">
      <w:pPr>
        <w:rPr>
          <w:rFonts w:cs="Arial"/>
        </w:rPr>
      </w:pPr>
    </w:p>
    <w:p w:rsidR="006D2DB2" w:rsidRPr="0036413C" w:rsidRDefault="006D2DB2" w:rsidP="006D2DB2">
      <w:pPr>
        <w:rPr>
          <w:rFonts w:cs="Arial"/>
        </w:rPr>
      </w:pPr>
    </w:p>
    <w:p w:rsidR="006D2DB2" w:rsidRPr="0036413C" w:rsidRDefault="006D2DB2" w:rsidP="006D2DB2">
      <w:pPr>
        <w:rPr>
          <w:rFonts w:cs="Arial"/>
        </w:rPr>
      </w:pPr>
      <w:r w:rsidRPr="0036413C">
        <w:rPr>
          <w:rFonts w:cs="Arial"/>
        </w:rPr>
        <w:t>†These authors contributed equally</w:t>
      </w:r>
    </w:p>
    <w:p w:rsidR="006D2DB2" w:rsidRPr="0036413C" w:rsidRDefault="006D2DB2" w:rsidP="006D2DB2">
      <w:pPr>
        <w:rPr>
          <w:rStyle w:val="Hyperlink"/>
          <w:rFonts w:cs="Arial"/>
        </w:rPr>
      </w:pPr>
      <w:r w:rsidRPr="0036413C">
        <w:rPr>
          <w:rFonts w:cs="Arial"/>
        </w:rPr>
        <w:t xml:space="preserve">*To whom correspondence should be addressed: </w:t>
      </w:r>
      <w:hyperlink r:id="rId4" w:history="1">
        <w:r w:rsidRPr="0036413C">
          <w:rPr>
            <w:rStyle w:val="Hyperlink"/>
            <w:rFonts w:cs="Arial"/>
          </w:rPr>
          <w:t>eileen.gentleman@kcl.ac.uk</w:t>
        </w:r>
      </w:hyperlink>
    </w:p>
    <w:p w:rsidR="006D2DB2" w:rsidRPr="0036413C" w:rsidRDefault="006D2DB2" w:rsidP="006D2DB2">
      <w:pPr>
        <w:rPr>
          <w:rStyle w:val="Hyperlink"/>
          <w:color w:val="auto"/>
          <w:u w:val="none"/>
        </w:rPr>
      </w:pPr>
    </w:p>
    <w:p w:rsidR="004D159C" w:rsidRDefault="006D2DB2" w:rsidP="006D2DB2">
      <w:pPr>
        <w:rPr>
          <w:rStyle w:val="Hyperlink"/>
          <w:color w:val="auto"/>
          <w:u w:val="none"/>
        </w:rPr>
      </w:pPr>
      <w:r w:rsidRPr="0036413C">
        <w:rPr>
          <w:rStyle w:val="Hyperlink"/>
          <w:color w:val="auto"/>
          <w:u w:val="none"/>
        </w:rPr>
        <w:t xml:space="preserve">Highest academic title: </w:t>
      </w:r>
      <w:r>
        <w:rPr>
          <w:rStyle w:val="Hyperlink"/>
          <w:color w:val="auto"/>
          <w:u w:val="none"/>
        </w:rPr>
        <w:t xml:space="preserve">Dr Christoph Salzlechner, </w:t>
      </w:r>
      <w:r w:rsidRPr="0036413C">
        <w:rPr>
          <w:rStyle w:val="Hyperlink"/>
          <w:color w:val="auto"/>
          <w:u w:val="none"/>
        </w:rPr>
        <w:t xml:space="preserve">Prof Gerhard </w:t>
      </w:r>
      <w:proofErr w:type="spellStart"/>
      <w:r w:rsidRPr="0036413C">
        <w:rPr>
          <w:rStyle w:val="Hyperlink"/>
          <w:color w:val="auto"/>
          <w:u w:val="none"/>
        </w:rPr>
        <w:t>Undt</w:t>
      </w:r>
      <w:proofErr w:type="spellEnd"/>
      <w:r w:rsidRPr="0036413C">
        <w:rPr>
          <w:rStyle w:val="Hyperlink"/>
          <w:color w:val="auto"/>
          <w:u w:val="none"/>
        </w:rPr>
        <w:t>, Dr Sophie Schell, Dr Mads Bergholt, Dr Martin Hedegaard, Dr Kathleen Fan, Dr Eileen Gentleman</w:t>
      </w:r>
    </w:p>
    <w:p w:rsidR="006D2DB2" w:rsidRDefault="006D2DB2">
      <w:pPr>
        <w:spacing w:after="160" w:line="259" w:lineRule="auto"/>
        <w:jc w:val="left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br w:type="page"/>
      </w:r>
    </w:p>
    <w:p w:rsidR="00E67D9F" w:rsidRDefault="00E67D9F" w:rsidP="00E67D9F">
      <w:pPr>
        <w:keepNext/>
      </w:pPr>
      <w:r>
        <w:rPr>
          <w:noProof/>
        </w:rPr>
        <w:lastRenderedPageBreak/>
        <w:drawing>
          <wp:inline distT="0" distB="0" distL="0" distR="0">
            <wp:extent cx="5759970" cy="3599695"/>
            <wp:effectExtent l="0" t="0" r="0" b="1270"/>
            <wp:docPr id="1" name="Billede 1" descr="Et billede, der indeholder indendørs, foto, monitor, sidd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_s1_v1_pn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70" cy="359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DB2" w:rsidRPr="00E67D9F" w:rsidRDefault="00E67D9F" w:rsidP="00E67D9F">
      <w:pPr>
        <w:pStyle w:val="Billedtekst"/>
        <w:rPr>
          <w:i w:val="0"/>
          <w:iCs w:val="0"/>
          <w:color w:val="auto"/>
          <w:sz w:val="22"/>
          <w:szCs w:val="22"/>
        </w:rPr>
      </w:pPr>
      <w:r w:rsidRPr="00E67D9F">
        <w:rPr>
          <w:b/>
          <w:bCs/>
          <w:i w:val="0"/>
          <w:iCs w:val="0"/>
          <w:color w:val="auto"/>
          <w:sz w:val="22"/>
          <w:szCs w:val="22"/>
        </w:rPr>
        <w:t>Figure S</w:t>
      </w:r>
      <w:r w:rsidRPr="00E67D9F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67D9F">
        <w:rPr>
          <w:b/>
          <w:bCs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E67D9F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Pr="00E67D9F">
        <w:rPr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Pr="00E67D9F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>
        <w:rPr>
          <w:b/>
          <w:bCs/>
          <w:i w:val="0"/>
          <w:iCs w:val="0"/>
          <w:color w:val="auto"/>
          <w:sz w:val="22"/>
          <w:szCs w:val="22"/>
        </w:rPr>
        <w:t xml:space="preserve"> </w:t>
      </w:r>
      <w:r w:rsidR="00A64811">
        <w:rPr>
          <w:i w:val="0"/>
          <w:iCs w:val="0"/>
          <w:color w:val="auto"/>
          <w:sz w:val="22"/>
          <w:szCs w:val="22"/>
        </w:rPr>
        <w:t>Representative c</w:t>
      </w:r>
      <w:r>
        <w:rPr>
          <w:i w:val="0"/>
          <w:iCs w:val="0"/>
          <w:color w:val="auto"/>
          <w:sz w:val="22"/>
          <w:szCs w:val="22"/>
        </w:rPr>
        <w:t xml:space="preserve">onfocal </w:t>
      </w:r>
      <w:r w:rsidR="00A64811">
        <w:rPr>
          <w:i w:val="0"/>
          <w:iCs w:val="0"/>
          <w:color w:val="auto"/>
          <w:sz w:val="22"/>
          <w:szCs w:val="22"/>
        </w:rPr>
        <w:t>images</w:t>
      </w:r>
      <w:r>
        <w:rPr>
          <w:i w:val="0"/>
          <w:iCs w:val="0"/>
          <w:color w:val="auto"/>
          <w:sz w:val="22"/>
          <w:szCs w:val="22"/>
        </w:rPr>
        <w:t xml:space="preserve"> of hydrogel encapsulated MSCs. </w:t>
      </w:r>
      <w:r w:rsidRPr="00E67D9F">
        <w:rPr>
          <w:b/>
          <w:bCs/>
          <w:i w:val="0"/>
          <w:iCs w:val="0"/>
          <w:color w:val="auto"/>
          <w:sz w:val="22"/>
          <w:szCs w:val="22"/>
        </w:rPr>
        <w:t>(A)</w:t>
      </w:r>
      <w:r>
        <w:rPr>
          <w:i w:val="0"/>
          <w:iCs w:val="0"/>
          <w:color w:val="auto"/>
          <w:sz w:val="22"/>
          <w:szCs w:val="22"/>
        </w:rPr>
        <w:t xml:space="preserve"> Fluorescent non-canonical amino acid tagging (red) and nucleus (blue). (</w:t>
      </w:r>
      <w:r>
        <w:rPr>
          <w:b/>
          <w:bCs/>
          <w:i w:val="0"/>
          <w:iCs w:val="0"/>
          <w:color w:val="auto"/>
          <w:sz w:val="22"/>
          <w:szCs w:val="22"/>
        </w:rPr>
        <w:t>B)</w:t>
      </w:r>
      <w:r>
        <w:rPr>
          <w:i w:val="0"/>
          <w:iCs w:val="0"/>
          <w:color w:val="auto"/>
          <w:sz w:val="22"/>
          <w:szCs w:val="22"/>
        </w:rPr>
        <w:t xml:space="preserve"> Differential interference contrast (DIC) image</w:t>
      </w:r>
      <w:r w:rsidR="00A64811">
        <w:rPr>
          <w:i w:val="0"/>
          <w:iCs w:val="0"/>
          <w:color w:val="auto"/>
          <w:sz w:val="22"/>
          <w:szCs w:val="22"/>
        </w:rPr>
        <w:t>s</w:t>
      </w:r>
      <w:r>
        <w:rPr>
          <w:i w:val="0"/>
          <w:iCs w:val="0"/>
          <w:color w:val="auto"/>
          <w:sz w:val="22"/>
          <w:szCs w:val="22"/>
        </w:rPr>
        <w:t xml:space="preserve"> of the cells shown in </w:t>
      </w:r>
      <w:r>
        <w:rPr>
          <w:b/>
          <w:bCs/>
          <w:i w:val="0"/>
          <w:iCs w:val="0"/>
          <w:color w:val="auto"/>
          <w:sz w:val="22"/>
          <w:szCs w:val="22"/>
        </w:rPr>
        <w:t>A</w:t>
      </w:r>
      <w:r>
        <w:rPr>
          <w:i w:val="0"/>
          <w:iCs w:val="0"/>
          <w:color w:val="auto"/>
          <w:sz w:val="22"/>
          <w:szCs w:val="22"/>
        </w:rPr>
        <w:t xml:space="preserve"> for visualization of cell outline and </w:t>
      </w:r>
      <w:r w:rsidRPr="00E67D9F">
        <w:rPr>
          <w:b/>
          <w:bCs/>
          <w:i w:val="0"/>
          <w:iCs w:val="0"/>
          <w:color w:val="auto"/>
          <w:sz w:val="22"/>
          <w:szCs w:val="22"/>
        </w:rPr>
        <w:t>(C)</w:t>
      </w:r>
      <w:r>
        <w:rPr>
          <w:i w:val="0"/>
          <w:iCs w:val="0"/>
          <w:color w:val="auto"/>
          <w:sz w:val="22"/>
          <w:szCs w:val="22"/>
        </w:rPr>
        <w:t xml:space="preserve"> merged view of red and DIC channels. </w:t>
      </w:r>
      <w:bookmarkStart w:id="0" w:name="_GoBack"/>
      <w:bookmarkEnd w:id="0"/>
    </w:p>
    <w:sectPr w:rsidR="006D2DB2" w:rsidRPr="00E67D9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DB2"/>
    <w:rsid w:val="004D159C"/>
    <w:rsid w:val="006D2DB2"/>
    <w:rsid w:val="00A64811"/>
    <w:rsid w:val="00CF3A16"/>
    <w:rsid w:val="00E6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64267"/>
  <w15:chartTrackingRefBased/>
  <w15:docId w15:val="{A1EA533C-F678-4DB1-A07F-43DC38588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DB2"/>
    <w:pPr>
      <w:spacing w:after="120" w:line="360" w:lineRule="auto"/>
      <w:jc w:val="both"/>
    </w:pPr>
    <w:rPr>
      <w:rFonts w:ascii="Arial" w:hAnsi="Arial"/>
      <w:lang w:val="en-GB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D2DB2"/>
    <w:rPr>
      <w:color w:val="0563C1" w:themeColor="hyperlink"/>
      <w:u w:val="single"/>
    </w:rPr>
  </w:style>
  <w:style w:type="paragraph" w:styleId="Billedtekst">
    <w:name w:val="caption"/>
    <w:basedOn w:val="Normal"/>
    <w:next w:val="Normal"/>
    <w:uiPriority w:val="35"/>
    <w:unhideWhenUsed/>
    <w:qFormat/>
    <w:rsid w:val="00E67D9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eileen.gentleman@kcl.ac.uk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232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Runge Walther</dc:creator>
  <cp:keywords/>
  <dc:description/>
  <cp:lastModifiedBy>Anders Runge Walther</cp:lastModifiedBy>
  <cp:revision>1</cp:revision>
  <dcterms:created xsi:type="dcterms:W3CDTF">2020-09-18T08:21:00Z</dcterms:created>
  <dcterms:modified xsi:type="dcterms:W3CDTF">2020-09-18T09:17:00Z</dcterms:modified>
</cp:coreProperties>
</file>