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43B26" w14:textId="77777777" w:rsidR="00FC32F0" w:rsidRPr="00FC32F0" w:rsidRDefault="00FC32F0" w:rsidP="000E2287">
      <w:pPr>
        <w:jc w:val="center"/>
        <w:rPr>
          <w:b/>
          <w:bCs/>
        </w:rPr>
      </w:pPr>
      <w:r w:rsidRPr="00FC32F0">
        <w:rPr>
          <w:b/>
          <w:bCs/>
        </w:rPr>
        <w:t>“I demand justice. I hold them all responsible”:</w:t>
      </w:r>
      <w:r w:rsidRPr="00FC32F0">
        <w:rPr>
          <w:rStyle w:val="FootnoteReference"/>
          <w:b/>
          <w:bCs/>
        </w:rPr>
        <w:footnoteReference w:id="1"/>
      </w:r>
      <w:r w:rsidRPr="00FC32F0">
        <w:rPr>
          <w:b/>
          <w:bCs/>
        </w:rPr>
        <w:t xml:space="preserve"> </w:t>
      </w:r>
    </w:p>
    <w:p w14:paraId="589A8A4D" w14:textId="19806F22" w:rsidR="000E2287" w:rsidRPr="00FC32F0" w:rsidRDefault="0099039C" w:rsidP="000E2287">
      <w:pPr>
        <w:jc w:val="center"/>
        <w:rPr>
          <w:b/>
          <w:bCs/>
        </w:rPr>
      </w:pPr>
      <w:r w:rsidRPr="00FC32F0">
        <w:rPr>
          <w:b/>
          <w:bCs/>
        </w:rPr>
        <w:t xml:space="preserve">Advancing the </w:t>
      </w:r>
      <w:r w:rsidR="00D8630D" w:rsidRPr="00FC32F0">
        <w:rPr>
          <w:b/>
          <w:bCs/>
        </w:rPr>
        <w:t>E</w:t>
      </w:r>
      <w:r w:rsidRPr="00FC32F0">
        <w:rPr>
          <w:b/>
          <w:bCs/>
        </w:rPr>
        <w:t xml:space="preserve">nforcement of </w:t>
      </w:r>
      <w:r w:rsidR="00D8630D" w:rsidRPr="00FC32F0">
        <w:rPr>
          <w:b/>
          <w:bCs/>
        </w:rPr>
        <w:t>A</w:t>
      </w:r>
      <w:r w:rsidRPr="00FC32F0">
        <w:rPr>
          <w:b/>
          <w:bCs/>
        </w:rPr>
        <w:t xml:space="preserve">nti-slavery </w:t>
      </w:r>
      <w:r w:rsidR="00D8630D" w:rsidRPr="00FC32F0">
        <w:rPr>
          <w:b/>
          <w:bCs/>
        </w:rPr>
        <w:t>L</w:t>
      </w:r>
      <w:bookmarkStart w:id="0" w:name="_GoBack"/>
      <w:bookmarkEnd w:id="0"/>
      <w:r w:rsidRPr="00FC32F0">
        <w:rPr>
          <w:b/>
          <w:bCs/>
        </w:rPr>
        <w:t>egislation in Mauritania</w:t>
      </w:r>
    </w:p>
    <w:p w14:paraId="07DD12C2" w14:textId="08CABFE2" w:rsidR="0099039C" w:rsidRPr="00FC32F0" w:rsidRDefault="00207818" w:rsidP="000E2287">
      <w:pPr>
        <w:jc w:val="center"/>
        <w:rPr>
          <w:i/>
          <w:iCs/>
          <w:lang w:val="es-ES"/>
        </w:rPr>
      </w:pPr>
      <w:r>
        <w:rPr>
          <w:i/>
          <w:iCs/>
          <w:lang w:val="es-ES"/>
        </w:rPr>
        <w:t xml:space="preserve">Rosana </w:t>
      </w:r>
      <w:proofErr w:type="spellStart"/>
      <w:r>
        <w:rPr>
          <w:i/>
          <w:iCs/>
          <w:lang w:val="es-ES"/>
        </w:rPr>
        <w:t>Garciandia</w:t>
      </w:r>
      <w:proofErr w:type="spellEnd"/>
      <w:r>
        <w:rPr>
          <w:i/>
          <w:iCs/>
          <w:lang w:val="es-ES"/>
        </w:rPr>
        <w:t xml:space="preserve">, </w:t>
      </w:r>
      <w:proofErr w:type="spellStart"/>
      <w:r>
        <w:rPr>
          <w:i/>
          <w:iCs/>
          <w:lang w:val="es-ES"/>
        </w:rPr>
        <w:t>Maeve</w:t>
      </w:r>
      <w:proofErr w:type="spellEnd"/>
      <w:r>
        <w:rPr>
          <w:i/>
          <w:iCs/>
          <w:lang w:val="es-ES"/>
        </w:rPr>
        <w:t xml:space="preserve"> Ryan, </w:t>
      </w:r>
      <w:proofErr w:type="spellStart"/>
      <w:r w:rsidR="00FC32F0" w:rsidRPr="00FC32F0">
        <w:rPr>
          <w:i/>
          <w:iCs/>
          <w:lang w:val="es-ES"/>
        </w:rPr>
        <w:t>Philippa</w:t>
      </w:r>
      <w:proofErr w:type="spellEnd"/>
      <w:r w:rsidR="00FC32F0" w:rsidRPr="00FC32F0">
        <w:rPr>
          <w:i/>
          <w:iCs/>
          <w:lang w:val="es-ES"/>
        </w:rPr>
        <w:t xml:space="preserve"> </w:t>
      </w:r>
      <w:proofErr w:type="spellStart"/>
      <w:r w:rsidR="00FC32F0" w:rsidRPr="00FC32F0">
        <w:rPr>
          <w:i/>
          <w:iCs/>
          <w:lang w:val="es-ES"/>
        </w:rPr>
        <w:t>Webb</w:t>
      </w:r>
      <w:proofErr w:type="spellEnd"/>
      <w:r w:rsidR="00FC32F0" w:rsidRPr="00FC32F0">
        <w:rPr>
          <w:i/>
          <w:iCs/>
          <w:lang w:val="es-ES"/>
        </w:rPr>
        <w:t>*</w:t>
      </w:r>
    </w:p>
    <w:p w14:paraId="4EAC7602" w14:textId="6F660D1A" w:rsidR="00AF436B" w:rsidRDefault="00996703">
      <w:pPr>
        <w:pStyle w:val="TOC1"/>
        <w:tabs>
          <w:tab w:val="left" w:pos="426"/>
          <w:tab w:val="right" w:leader="dot" w:pos="9016"/>
        </w:tabs>
        <w:rPr>
          <w:rFonts w:asciiTheme="minorHAnsi" w:eastAsiaTheme="minorEastAsia" w:hAnsiTheme="minorHAnsi" w:cstheme="minorBidi"/>
          <w:noProof/>
          <w:sz w:val="22"/>
          <w:lang w:val="es-ES" w:eastAsia="es-ES"/>
        </w:rPr>
      </w:pPr>
      <w:r>
        <w:rPr>
          <w:b/>
          <w:bCs/>
        </w:rPr>
        <w:fldChar w:fldCharType="begin"/>
      </w:r>
      <w:r>
        <w:rPr>
          <w:b/>
          <w:bCs/>
        </w:rPr>
        <w:instrText xml:space="preserve"> TOC \o "1-3" \h \z \u </w:instrText>
      </w:r>
      <w:r>
        <w:rPr>
          <w:b/>
          <w:bCs/>
        </w:rPr>
        <w:fldChar w:fldCharType="separate"/>
      </w:r>
      <w:hyperlink w:anchor="_Toc34236762" w:history="1">
        <w:r w:rsidR="00AF436B" w:rsidRPr="00620399">
          <w:rPr>
            <w:rStyle w:val="Hyperlink"/>
            <w:noProof/>
          </w:rPr>
          <w:t>1.</w:t>
        </w:r>
        <w:r w:rsidR="00AF436B">
          <w:rPr>
            <w:rFonts w:asciiTheme="minorHAnsi" w:eastAsiaTheme="minorEastAsia" w:hAnsiTheme="minorHAnsi" w:cstheme="minorBidi"/>
            <w:noProof/>
            <w:sz w:val="22"/>
            <w:lang w:val="es-ES" w:eastAsia="es-ES"/>
          </w:rPr>
          <w:tab/>
        </w:r>
        <w:r w:rsidR="00AF436B" w:rsidRPr="00620399">
          <w:rPr>
            <w:rStyle w:val="Hyperlink"/>
            <w:noProof/>
          </w:rPr>
          <w:t>Introduction</w:t>
        </w:r>
        <w:r w:rsidR="00AF436B">
          <w:rPr>
            <w:noProof/>
            <w:webHidden/>
          </w:rPr>
          <w:tab/>
        </w:r>
        <w:r w:rsidR="00AF436B">
          <w:rPr>
            <w:noProof/>
            <w:webHidden/>
          </w:rPr>
          <w:fldChar w:fldCharType="begin"/>
        </w:r>
        <w:r w:rsidR="00AF436B">
          <w:rPr>
            <w:noProof/>
            <w:webHidden/>
          </w:rPr>
          <w:instrText xml:space="preserve"> PAGEREF _Toc34236762 \h </w:instrText>
        </w:r>
        <w:r w:rsidR="00AF436B">
          <w:rPr>
            <w:noProof/>
            <w:webHidden/>
          </w:rPr>
        </w:r>
        <w:r w:rsidR="00AF436B">
          <w:rPr>
            <w:noProof/>
            <w:webHidden/>
          </w:rPr>
          <w:fldChar w:fldCharType="separate"/>
        </w:r>
        <w:r w:rsidR="006A0F74">
          <w:rPr>
            <w:noProof/>
            <w:webHidden/>
          </w:rPr>
          <w:t>2</w:t>
        </w:r>
        <w:r w:rsidR="00AF436B">
          <w:rPr>
            <w:noProof/>
            <w:webHidden/>
          </w:rPr>
          <w:fldChar w:fldCharType="end"/>
        </w:r>
      </w:hyperlink>
    </w:p>
    <w:p w14:paraId="493804A4" w14:textId="0F648CB1" w:rsidR="00AF436B" w:rsidRDefault="00E46D58">
      <w:pPr>
        <w:pStyle w:val="TOC1"/>
        <w:tabs>
          <w:tab w:val="left" w:pos="426"/>
          <w:tab w:val="right" w:leader="dot" w:pos="9016"/>
        </w:tabs>
        <w:rPr>
          <w:rFonts w:asciiTheme="minorHAnsi" w:eastAsiaTheme="minorEastAsia" w:hAnsiTheme="minorHAnsi" w:cstheme="minorBidi"/>
          <w:noProof/>
          <w:sz w:val="22"/>
          <w:lang w:val="es-ES" w:eastAsia="es-ES"/>
        </w:rPr>
      </w:pPr>
      <w:hyperlink w:anchor="_Toc34236763" w:history="1">
        <w:r w:rsidR="00AF436B" w:rsidRPr="00620399">
          <w:rPr>
            <w:rStyle w:val="Hyperlink"/>
            <w:noProof/>
          </w:rPr>
          <w:t>2.</w:t>
        </w:r>
        <w:r w:rsidR="00AF436B">
          <w:rPr>
            <w:rFonts w:asciiTheme="minorHAnsi" w:eastAsiaTheme="minorEastAsia" w:hAnsiTheme="minorHAnsi" w:cstheme="minorBidi"/>
            <w:noProof/>
            <w:sz w:val="22"/>
            <w:lang w:val="es-ES" w:eastAsia="es-ES"/>
          </w:rPr>
          <w:tab/>
        </w:r>
        <w:r w:rsidR="00AF436B" w:rsidRPr="00620399">
          <w:rPr>
            <w:rStyle w:val="Hyperlink"/>
            <w:noProof/>
          </w:rPr>
          <w:t>Common negative patterns (biases) in Mauritanian anti-slavery law enforcement authorities (government officials, police officers, prosecutors and judges)</w:t>
        </w:r>
        <w:r w:rsidR="00AF436B">
          <w:rPr>
            <w:noProof/>
            <w:webHidden/>
          </w:rPr>
          <w:tab/>
        </w:r>
        <w:r w:rsidR="00AF436B">
          <w:rPr>
            <w:noProof/>
            <w:webHidden/>
          </w:rPr>
          <w:fldChar w:fldCharType="begin"/>
        </w:r>
        <w:r w:rsidR="00AF436B">
          <w:rPr>
            <w:noProof/>
            <w:webHidden/>
          </w:rPr>
          <w:instrText xml:space="preserve"> PAGEREF _Toc34236763 \h </w:instrText>
        </w:r>
        <w:r w:rsidR="00AF436B">
          <w:rPr>
            <w:noProof/>
            <w:webHidden/>
          </w:rPr>
        </w:r>
        <w:r w:rsidR="00AF436B">
          <w:rPr>
            <w:noProof/>
            <w:webHidden/>
          </w:rPr>
          <w:fldChar w:fldCharType="separate"/>
        </w:r>
        <w:r w:rsidR="006A0F74">
          <w:rPr>
            <w:noProof/>
            <w:webHidden/>
          </w:rPr>
          <w:t>4</w:t>
        </w:r>
        <w:r w:rsidR="00AF436B">
          <w:rPr>
            <w:noProof/>
            <w:webHidden/>
          </w:rPr>
          <w:fldChar w:fldCharType="end"/>
        </w:r>
      </w:hyperlink>
    </w:p>
    <w:p w14:paraId="0516EE9C" w14:textId="0F64708F" w:rsidR="00AF436B" w:rsidRDefault="00E46D58">
      <w:pPr>
        <w:pStyle w:val="TOC2"/>
        <w:rPr>
          <w:rFonts w:asciiTheme="minorHAnsi" w:eastAsiaTheme="minorEastAsia" w:hAnsiTheme="minorHAnsi" w:cstheme="minorBidi"/>
          <w:noProof/>
          <w:sz w:val="22"/>
          <w:lang w:val="es-ES" w:eastAsia="es-ES"/>
        </w:rPr>
      </w:pPr>
      <w:hyperlink w:anchor="_Toc34236764" w:history="1">
        <w:r w:rsidR="00AF436B" w:rsidRPr="00620399">
          <w:rPr>
            <w:rStyle w:val="Hyperlink"/>
            <w:noProof/>
          </w:rPr>
          <w:t>2.1 Government authorities: institutional inertia</w:t>
        </w:r>
        <w:r w:rsidR="00AF436B">
          <w:rPr>
            <w:noProof/>
            <w:webHidden/>
          </w:rPr>
          <w:tab/>
        </w:r>
        <w:r w:rsidR="00AF436B">
          <w:rPr>
            <w:noProof/>
            <w:webHidden/>
          </w:rPr>
          <w:fldChar w:fldCharType="begin"/>
        </w:r>
        <w:r w:rsidR="00AF436B">
          <w:rPr>
            <w:noProof/>
            <w:webHidden/>
          </w:rPr>
          <w:instrText xml:space="preserve"> PAGEREF _Toc34236764 \h </w:instrText>
        </w:r>
        <w:r w:rsidR="00AF436B">
          <w:rPr>
            <w:noProof/>
            <w:webHidden/>
          </w:rPr>
        </w:r>
        <w:r w:rsidR="00AF436B">
          <w:rPr>
            <w:noProof/>
            <w:webHidden/>
          </w:rPr>
          <w:fldChar w:fldCharType="separate"/>
        </w:r>
        <w:r w:rsidR="006A0F74">
          <w:rPr>
            <w:noProof/>
            <w:webHidden/>
          </w:rPr>
          <w:t>4</w:t>
        </w:r>
        <w:r w:rsidR="00AF436B">
          <w:rPr>
            <w:noProof/>
            <w:webHidden/>
          </w:rPr>
          <w:fldChar w:fldCharType="end"/>
        </w:r>
      </w:hyperlink>
    </w:p>
    <w:p w14:paraId="5BCC80C8" w14:textId="4EC47C99"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65" w:history="1">
        <w:r w:rsidR="00AF436B" w:rsidRPr="00620399">
          <w:rPr>
            <w:rStyle w:val="Hyperlink"/>
            <w:noProof/>
          </w:rPr>
          <w:t>Pattern 1. Denial of the existence of slavery in Mauritania</w:t>
        </w:r>
        <w:r w:rsidR="00AF436B">
          <w:rPr>
            <w:noProof/>
            <w:webHidden/>
          </w:rPr>
          <w:tab/>
        </w:r>
        <w:r w:rsidR="00AF436B">
          <w:rPr>
            <w:noProof/>
            <w:webHidden/>
          </w:rPr>
          <w:fldChar w:fldCharType="begin"/>
        </w:r>
        <w:r w:rsidR="00AF436B">
          <w:rPr>
            <w:noProof/>
            <w:webHidden/>
          </w:rPr>
          <w:instrText xml:space="preserve"> PAGEREF _Toc34236765 \h </w:instrText>
        </w:r>
        <w:r w:rsidR="00AF436B">
          <w:rPr>
            <w:noProof/>
            <w:webHidden/>
          </w:rPr>
        </w:r>
        <w:r w:rsidR="00AF436B">
          <w:rPr>
            <w:noProof/>
            <w:webHidden/>
          </w:rPr>
          <w:fldChar w:fldCharType="separate"/>
        </w:r>
        <w:r w:rsidR="006A0F74">
          <w:rPr>
            <w:noProof/>
            <w:webHidden/>
          </w:rPr>
          <w:t>4</w:t>
        </w:r>
        <w:r w:rsidR="00AF436B">
          <w:rPr>
            <w:noProof/>
            <w:webHidden/>
          </w:rPr>
          <w:fldChar w:fldCharType="end"/>
        </w:r>
      </w:hyperlink>
    </w:p>
    <w:p w14:paraId="4F7555A4" w14:textId="0C305454"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66" w:history="1">
        <w:r w:rsidR="00AF436B" w:rsidRPr="00620399">
          <w:rPr>
            <w:rStyle w:val="Hyperlink"/>
            <w:noProof/>
          </w:rPr>
          <w:t>Pattern 2. Insufficient action to enact the institutional agenda against slavery</w:t>
        </w:r>
        <w:r w:rsidR="00AF436B">
          <w:rPr>
            <w:noProof/>
            <w:webHidden/>
          </w:rPr>
          <w:tab/>
        </w:r>
        <w:r w:rsidR="00AF436B">
          <w:rPr>
            <w:noProof/>
            <w:webHidden/>
          </w:rPr>
          <w:fldChar w:fldCharType="begin"/>
        </w:r>
        <w:r w:rsidR="00AF436B">
          <w:rPr>
            <w:noProof/>
            <w:webHidden/>
          </w:rPr>
          <w:instrText xml:space="preserve"> PAGEREF _Toc34236766 \h </w:instrText>
        </w:r>
        <w:r w:rsidR="00AF436B">
          <w:rPr>
            <w:noProof/>
            <w:webHidden/>
          </w:rPr>
        </w:r>
        <w:r w:rsidR="00AF436B">
          <w:rPr>
            <w:noProof/>
            <w:webHidden/>
          </w:rPr>
          <w:fldChar w:fldCharType="separate"/>
        </w:r>
        <w:r w:rsidR="006A0F74">
          <w:rPr>
            <w:noProof/>
            <w:webHidden/>
          </w:rPr>
          <w:t>5</w:t>
        </w:r>
        <w:r w:rsidR="00AF436B">
          <w:rPr>
            <w:noProof/>
            <w:webHidden/>
          </w:rPr>
          <w:fldChar w:fldCharType="end"/>
        </w:r>
      </w:hyperlink>
    </w:p>
    <w:p w14:paraId="63635E60" w14:textId="3150B48A"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67" w:history="1">
        <w:r w:rsidR="00AF436B" w:rsidRPr="00620399">
          <w:rPr>
            <w:rStyle w:val="Hyperlink"/>
            <w:noProof/>
          </w:rPr>
          <w:t>Pattern 3. Shrinking space for civil society</w:t>
        </w:r>
        <w:r w:rsidR="00AF436B">
          <w:rPr>
            <w:noProof/>
            <w:webHidden/>
          </w:rPr>
          <w:tab/>
        </w:r>
        <w:r w:rsidR="00AF436B">
          <w:rPr>
            <w:noProof/>
            <w:webHidden/>
          </w:rPr>
          <w:fldChar w:fldCharType="begin"/>
        </w:r>
        <w:r w:rsidR="00AF436B">
          <w:rPr>
            <w:noProof/>
            <w:webHidden/>
          </w:rPr>
          <w:instrText xml:space="preserve"> PAGEREF _Toc34236767 \h </w:instrText>
        </w:r>
        <w:r w:rsidR="00AF436B">
          <w:rPr>
            <w:noProof/>
            <w:webHidden/>
          </w:rPr>
        </w:r>
        <w:r w:rsidR="00AF436B">
          <w:rPr>
            <w:noProof/>
            <w:webHidden/>
          </w:rPr>
          <w:fldChar w:fldCharType="separate"/>
        </w:r>
        <w:r w:rsidR="006A0F74">
          <w:rPr>
            <w:noProof/>
            <w:webHidden/>
          </w:rPr>
          <w:t>6</w:t>
        </w:r>
        <w:r w:rsidR="00AF436B">
          <w:rPr>
            <w:noProof/>
            <w:webHidden/>
          </w:rPr>
          <w:fldChar w:fldCharType="end"/>
        </w:r>
      </w:hyperlink>
    </w:p>
    <w:p w14:paraId="762874FE" w14:textId="6284057F" w:rsidR="00AF436B" w:rsidRDefault="00E46D58">
      <w:pPr>
        <w:pStyle w:val="TOC2"/>
        <w:rPr>
          <w:rFonts w:asciiTheme="minorHAnsi" w:eastAsiaTheme="minorEastAsia" w:hAnsiTheme="minorHAnsi" w:cstheme="minorBidi"/>
          <w:noProof/>
          <w:sz w:val="22"/>
          <w:lang w:val="es-ES" w:eastAsia="es-ES"/>
        </w:rPr>
      </w:pPr>
      <w:hyperlink w:anchor="_Toc34236768" w:history="1">
        <w:r w:rsidR="00AF436B" w:rsidRPr="00620399">
          <w:rPr>
            <w:rStyle w:val="Hyperlink"/>
            <w:noProof/>
          </w:rPr>
          <w:t>2.2 The police and administrative authorities: failing to investigate and protect victims</w:t>
        </w:r>
        <w:r w:rsidR="00AF436B">
          <w:rPr>
            <w:noProof/>
            <w:webHidden/>
          </w:rPr>
          <w:tab/>
        </w:r>
        <w:r w:rsidR="00AF436B">
          <w:rPr>
            <w:noProof/>
            <w:webHidden/>
          </w:rPr>
          <w:fldChar w:fldCharType="begin"/>
        </w:r>
        <w:r w:rsidR="00AF436B">
          <w:rPr>
            <w:noProof/>
            <w:webHidden/>
          </w:rPr>
          <w:instrText xml:space="preserve"> PAGEREF _Toc34236768 \h </w:instrText>
        </w:r>
        <w:r w:rsidR="00AF436B">
          <w:rPr>
            <w:noProof/>
            <w:webHidden/>
          </w:rPr>
        </w:r>
        <w:r w:rsidR="00AF436B">
          <w:rPr>
            <w:noProof/>
            <w:webHidden/>
          </w:rPr>
          <w:fldChar w:fldCharType="separate"/>
        </w:r>
        <w:r w:rsidR="006A0F74">
          <w:rPr>
            <w:noProof/>
            <w:webHidden/>
          </w:rPr>
          <w:t>7</w:t>
        </w:r>
        <w:r w:rsidR="00AF436B">
          <w:rPr>
            <w:noProof/>
            <w:webHidden/>
          </w:rPr>
          <w:fldChar w:fldCharType="end"/>
        </w:r>
      </w:hyperlink>
    </w:p>
    <w:p w14:paraId="091D389A" w14:textId="5DB773A5"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69" w:history="1">
        <w:r w:rsidR="00AF436B" w:rsidRPr="00620399">
          <w:rPr>
            <w:rStyle w:val="Hyperlink"/>
            <w:noProof/>
          </w:rPr>
          <w:t>Pattern 4. Police officers turning a blind eye and routinely not following up reported cases of slavery</w:t>
        </w:r>
        <w:r w:rsidR="00AF436B">
          <w:rPr>
            <w:noProof/>
            <w:webHidden/>
          </w:rPr>
          <w:tab/>
        </w:r>
        <w:r w:rsidR="00AF436B">
          <w:rPr>
            <w:noProof/>
            <w:webHidden/>
          </w:rPr>
          <w:fldChar w:fldCharType="begin"/>
        </w:r>
        <w:r w:rsidR="00AF436B">
          <w:rPr>
            <w:noProof/>
            <w:webHidden/>
          </w:rPr>
          <w:instrText xml:space="preserve"> PAGEREF _Toc34236769 \h </w:instrText>
        </w:r>
        <w:r w:rsidR="00AF436B">
          <w:rPr>
            <w:noProof/>
            <w:webHidden/>
          </w:rPr>
        </w:r>
        <w:r w:rsidR="00AF436B">
          <w:rPr>
            <w:noProof/>
            <w:webHidden/>
          </w:rPr>
          <w:fldChar w:fldCharType="separate"/>
        </w:r>
        <w:r w:rsidR="006A0F74">
          <w:rPr>
            <w:noProof/>
            <w:webHidden/>
          </w:rPr>
          <w:t>7</w:t>
        </w:r>
        <w:r w:rsidR="00AF436B">
          <w:rPr>
            <w:noProof/>
            <w:webHidden/>
          </w:rPr>
          <w:fldChar w:fldCharType="end"/>
        </w:r>
      </w:hyperlink>
    </w:p>
    <w:p w14:paraId="41111708" w14:textId="099DF166"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70" w:history="1">
        <w:r w:rsidR="00AF436B" w:rsidRPr="00620399">
          <w:rPr>
            <w:rStyle w:val="Hyperlink"/>
            <w:noProof/>
          </w:rPr>
          <w:t>Pattern 5. Weak enforcement of the very few convictions on slavery</w:t>
        </w:r>
        <w:r w:rsidR="00AF436B">
          <w:rPr>
            <w:noProof/>
            <w:webHidden/>
          </w:rPr>
          <w:tab/>
        </w:r>
        <w:r w:rsidR="00AF436B">
          <w:rPr>
            <w:noProof/>
            <w:webHidden/>
          </w:rPr>
          <w:fldChar w:fldCharType="begin"/>
        </w:r>
        <w:r w:rsidR="00AF436B">
          <w:rPr>
            <w:noProof/>
            <w:webHidden/>
          </w:rPr>
          <w:instrText xml:space="preserve"> PAGEREF _Toc34236770 \h </w:instrText>
        </w:r>
        <w:r w:rsidR="00AF436B">
          <w:rPr>
            <w:noProof/>
            <w:webHidden/>
          </w:rPr>
        </w:r>
        <w:r w:rsidR="00AF436B">
          <w:rPr>
            <w:noProof/>
            <w:webHidden/>
          </w:rPr>
          <w:fldChar w:fldCharType="separate"/>
        </w:r>
        <w:r w:rsidR="006A0F74">
          <w:rPr>
            <w:noProof/>
            <w:webHidden/>
          </w:rPr>
          <w:t>7</w:t>
        </w:r>
        <w:r w:rsidR="00AF436B">
          <w:rPr>
            <w:noProof/>
            <w:webHidden/>
          </w:rPr>
          <w:fldChar w:fldCharType="end"/>
        </w:r>
      </w:hyperlink>
    </w:p>
    <w:p w14:paraId="47AD5264" w14:textId="79485708" w:rsidR="00AF436B" w:rsidRDefault="00E46D58">
      <w:pPr>
        <w:pStyle w:val="TOC2"/>
        <w:tabs>
          <w:tab w:val="left" w:pos="880"/>
        </w:tabs>
        <w:rPr>
          <w:rFonts w:asciiTheme="minorHAnsi" w:eastAsiaTheme="minorEastAsia" w:hAnsiTheme="minorHAnsi" w:cstheme="minorBidi"/>
          <w:noProof/>
          <w:sz w:val="22"/>
          <w:lang w:val="es-ES" w:eastAsia="es-ES"/>
        </w:rPr>
      </w:pPr>
      <w:hyperlink w:anchor="_Toc34236771" w:history="1">
        <w:r w:rsidR="00AF436B" w:rsidRPr="00620399">
          <w:rPr>
            <w:rStyle w:val="Hyperlink"/>
            <w:noProof/>
          </w:rPr>
          <w:t>2.3</w:t>
        </w:r>
        <w:r w:rsidR="00AF436B">
          <w:rPr>
            <w:rFonts w:asciiTheme="minorHAnsi" w:eastAsiaTheme="minorEastAsia" w:hAnsiTheme="minorHAnsi" w:cstheme="minorBidi"/>
            <w:noProof/>
            <w:sz w:val="22"/>
            <w:lang w:val="es-ES" w:eastAsia="es-ES"/>
          </w:rPr>
          <w:tab/>
        </w:r>
        <w:r w:rsidR="00AF436B" w:rsidRPr="00620399">
          <w:rPr>
            <w:rStyle w:val="Hyperlink"/>
            <w:noProof/>
          </w:rPr>
          <w:t>Prosecutors: failing to prosecute slavery offences and weak enforcement</w:t>
        </w:r>
        <w:r w:rsidR="00AF436B">
          <w:rPr>
            <w:noProof/>
            <w:webHidden/>
          </w:rPr>
          <w:tab/>
        </w:r>
        <w:r w:rsidR="00AF436B">
          <w:rPr>
            <w:noProof/>
            <w:webHidden/>
          </w:rPr>
          <w:fldChar w:fldCharType="begin"/>
        </w:r>
        <w:r w:rsidR="00AF436B">
          <w:rPr>
            <w:noProof/>
            <w:webHidden/>
          </w:rPr>
          <w:instrText xml:space="preserve"> PAGEREF _Toc34236771 \h </w:instrText>
        </w:r>
        <w:r w:rsidR="00AF436B">
          <w:rPr>
            <w:noProof/>
            <w:webHidden/>
          </w:rPr>
        </w:r>
        <w:r w:rsidR="00AF436B">
          <w:rPr>
            <w:noProof/>
            <w:webHidden/>
          </w:rPr>
          <w:fldChar w:fldCharType="separate"/>
        </w:r>
        <w:r w:rsidR="006A0F74">
          <w:rPr>
            <w:noProof/>
            <w:webHidden/>
          </w:rPr>
          <w:t>8</w:t>
        </w:r>
        <w:r w:rsidR="00AF436B">
          <w:rPr>
            <w:noProof/>
            <w:webHidden/>
          </w:rPr>
          <w:fldChar w:fldCharType="end"/>
        </w:r>
      </w:hyperlink>
    </w:p>
    <w:p w14:paraId="5F3EA0EA" w14:textId="0C8C27AE"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72" w:history="1">
        <w:r w:rsidR="00AF436B" w:rsidRPr="00620399">
          <w:rPr>
            <w:rStyle w:val="Hyperlink"/>
            <w:noProof/>
          </w:rPr>
          <w:t>Pattern 6. Unwillingness to prosecute alleged slaveholders</w:t>
        </w:r>
        <w:r w:rsidR="00AF436B">
          <w:rPr>
            <w:noProof/>
            <w:webHidden/>
          </w:rPr>
          <w:tab/>
        </w:r>
        <w:r w:rsidR="00AF436B">
          <w:rPr>
            <w:noProof/>
            <w:webHidden/>
          </w:rPr>
          <w:fldChar w:fldCharType="begin"/>
        </w:r>
        <w:r w:rsidR="00AF436B">
          <w:rPr>
            <w:noProof/>
            <w:webHidden/>
          </w:rPr>
          <w:instrText xml:space="preserve"> PAGEREF _Toc34236772 \h </w:instrText>
        </w:r>
        <w:r w:rsidR="00AF436B">
          <w:rPr>
            <w:noProof/>
            <w:webHidden/>
          </w:rPr>
        </w:r>
        <w:r w:rsidR="00AF436B">
          <w:rPr>
            <w:noProof/>
            <w:webHidden/>
          </w:rPr>
          <w:fldChar w:fldCharType="separate"/>
        </w:r>
        <w:r w:rsidR="006A0F74">
          <w:rPr>
            <w:noProof/>
            <w:webHidden/>
          </w:rPr>
          <w:t>8</w:t>
        </w:r>
        <w:r w:rsidR="00AF436B">
          <w:rPr>
            <w:noProof/>
            <w:webHidden/>
          </w:rPr>
          <w:fldChar w:fldCharType="end"/>
        </w:r>
      </w:hyperlink>
    </w:p>
    <w:p w14:paraId="00B02201" w14:textId="4F25012A"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73" w:history="1">
        <w:r w:rsidR="00AF436B" w:rsidRPr="00620399">
          <w:rPr>
            <w:rStyle w:val="Hyperlink"/>
            <w:noProof/>
          </w:rPr>
          <w:t>Pattern 7. Cases settled informally or reclassified</w:t>
        </w:r>
        <w:r w:rsidR="00AF436B">
          <w:rPr>
            <w:noProof/>
            <w:webHidden/>
          </w:rPr>
          <w:tab/>
        </w:r>
        <w:r w:rsidR="00AF436B">
          <w:rPr>
            <w:noProof/>
            <w:webHidden/>
          </w:rPr>
          <w:fldChar w:fldCharType="begin"/>
        </w:r>
        <w:r w:rsidR="00AF436B">
          <w:rPr>
            <w:noProof/>
            <w:webHidden/>
          </w:rPr>
          <w:instrText xml:space="preserve"> PAGEREF _Toc34236773 \h </w:instrText>
        </w:r>
        <w:r w:rsidR="00AF436B">
          <w:rPr>
            <w:noProof/>
            <w:webHidden/>
          </w:rPr>
        </w:r>
        <w:r w:rsidR="00AF436B">
          <w:rPr>
            <w:noProof/>
            <w:webHidden/>
          </w:rPr>
          <w:fldChar w:fldCharType="separate"/>
        </w:r>
        <w:r w:rsidR="006A0F74">
          <w:rPr>
            <w:noProof/>
            <w:webHidden/>
          </w:rPr>
          <w:t>9</w:t>
        </w:r>
        <w:r w:rsidR="00AF436B">
          <w:rPr>
            <w:noProof/>
            <w:webHidden/>
          </w:rPr>
          <w:fldChar w:fldCharType="end"/>
        </w:r>
      </w:hyperlink>
    </w:p>
    <w:p w14:paraId="0015308C" w14:textId="246F3FEE"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74" w:history="1">
        <w:r w:rsidR="00AF436B" w:rsidRPr="00620399">
          <w:rPr>
            <w:rStyle w:val="Hyperlink"/>
            <w:noProof/>
          </w:rPr>
          <w:t>Pattern 8. Procedures and deadlines are not respected</w:t>
        </w:r>
        <w:r w:rsidR="00AF436B">
          <w:rPr>
            <w:noProof/>
            <w:webHidden/>
          </w:rPr>
          <w:tab/>
        </w:r>
        <w:r w:rsidR="00AF436B">
          <w:rPr>
            <w:noProof/>
            <w:webHidden/>
          </w:rPr>
          <w:fldChar w:fldCharType="begin"/>
        </w:r>
        <w:r w:rsidR="00AF436B">
          <w:rPr>
            <w:noProof/>
            <w:webHidden/>
          </w:rPr>
          <w:instrText xml:space="preserve"> PAGEREF _Toc34236774 \h </w:instrText>
        </w:r>
        <w:r w:rsidR="00AF436B">
          <w:rPr>
            <w:noProof/>
            <w:webHidden/>
          </w:rPr>
        </w:r>
        <w:r w:rsidR="00AF436B">
          <w:rPr>
            <w:noProof/>
            <w:webHidden/>
          </w:rPr>
          <w:fldChar w:fldCharType="separate"/>
        </w:r>
        <w:r w:rsidR="006A0F74">
          <w:rPr>
            <w:noProof/>
            <w:webHidden/>
          </w:rPr>
          <w:t>9</w:t>
        </w:r>
        <w:r w:rsidR="00AF436B">
          <w:rPr>
            <w:noProof/>
            <w:webHidden/>
          </w:rPr>
          <w:fldChar w:fldCharType="end"/>
        </w:r>
      </w:hyperlink>
    </w:p>
    <w:p w14:paraId="47F41678" w14:textId="4A1E1661"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75" w:history="1">
        <w:r w:rsidR="00AF436B" w:rsidRPr="00620399">
          <w:rPr>
            <w:rStyle w:val="Hyperlink"/>
            <w:noProof/>
          </w:rPr>
          <w:t>Pattern 9. Racial and gender bias (re-victimization) in the way justice is administered</w:t>
        </w:r>
        <w:r w:rsidR="00AF436B">
          <w:rPr>
            <w:noProof/>
            <w:webHidden/>
          </w:rPr>
          <w:tab/>
        </w:r>
        <w:r w:rsidR="00AF436B">
          <w:rPr>
            <w:noProof/>
            <w:webHidden/>
          </w:rPr>
          <w:fldChar w:fldCharType="begin"/>
        </w:r>
        <w:r w:rsidR="00AF436B">
          <w:rPr>
            <w:noProof/>
            <w:webHidden/>
          </w:rPr>
          <w:instrText xml:space="preserve"> PAGEREF _Toc34236775 \h </w:instrText>
        </w:r>
        <w:r w:rsidR="00AF436B">
          <w:rPr>
            <w:noProof/>
            <w:webHidden/>
          </w:rPr>
        </w:r>
        <w:r w:rsidR="00AF436B">
          <w:rPr>
            <w:noProof/>
            <w:webHidden/>
          </w:rPr>
          <w:fldChar w:fldCharType="separate"/>
        </w:r>
        <w:r w:rsidR="006A0F74">
          <w:rPr>
            <w:noProof/>
            <w:webHidden/>
          </w:rPr>
          <w:t>9</w:t>
        </w:r>
        <w:r w:rsidR="00AF436B">
          <w:rPr>
            <w:noProof/>
            <w:webHidden/>
          </w:rPr>
          <w:fldChar w:fldCharType="end"/>
        </w:r>
      </w:hyperlink>
    </w:p>
    <w:p w14:paraId="7A0ED3FD" w14:textId="4C3E75E9"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76" w:history="1">
        <w:r w:rsidR="00AF436B" w:rsidRPr="00620399">
          <w:rPr>
            <w:rStyle w:val="Hyperlink"/>
            <w:noProof/>
          </w:rPr>
          <w:t>Pattern 10. No conviction for failing to prosecute under the 2015 Anti-Slavery Act</w:t>
        </w:r>
        <w:r w:rsidR="00AF436B">
          <w:rPr>
            <w:noProof/>
            <w:webHidden/>
          </w:rPr>
          <w:tab/>
        </w:r>
        <w:r w:rsidR="00AF436B">
          <w:rPr>
            <w:noProof/>
            <w:webHidden/>
          </w:rPr>
          <w:fldChar w:fldCharType="begin"/>
        </w:r>
        <w:r w:rsidR="00AF436B">
          <w:rPr>
            <w:noProof/>
            <w:webHidden/>
          </w:rPr>
          <w:instrText xml:space="preserve"> PAGEREF _Toc34236776 \h </w:instrText>
        </w:r>
        <w:r w:rsidR="00AF436B">
          <w:rPr>
            <w:noProof/>
            <w:webHidden/>
          </w:rPr>
        </w:r>
        <w:r w:rsidR="00AF436B">
          <w:rPr>
            <w:noProof/>
            <w:webHidden/>
          </w:rPr>
          <w:fldChar w:fldCharType="separate"/>
        </w:r>
        <w:r w:rsidR="006A0F74">
          <w:rPr>
            <w:noProof/>
            <w:webHidden/>
          </w:rPr>
          <w:t>10</w:t>
        </w:r>
        <w:r w:rsidR="00AF436B">
          <w:rPr>
            <w:noProof/>
            <w:webHidden/>
          </w:rPr>
          <w:fldChar w:fldCharType="end"/>
        </w:r>
      </w:hyperlink>
    </w:p>
    <w:p w14:paraId="25E79529" w14:textId="63782F58" w:rsidR="00AF436B" w:rsidRDefault="00E46D58">
      <w:pPr>
        <w:pStyle w:val="TOC2"/>
        <w:tabs>
          <w:tab w:val="left" w:pos="880"/>
        </w:tabs>
        <w:rPr>
          <w:rFonts w:asciiTheme="minorHAnsi" w:eastAsiaTheme="minorEastAsia" w:hAnsiTheme="minorHAnsi" w:cstheme="minorBidi"/>
          <w:noProof/>
          <w:sz w:val="22"/>
          <w:lang w:val="es-ES" w:eastAsia="es-ES"/>
        </w:rPr>
      </w:pPr>
      <w:hyperlink w:anchor="_Toc34236777" w:history="1">
        <w:r w:rsidR="00AF436B" w:rsidRPr="00620399">
          <w:rPr>
            <w:rStyle w:val="Hyperlink"/>
            <w:noProof/>
          </w:rPr>
          <w:t>2.4</w:t>
        </w:r>
        <w:r w:rsidR="00AF436B">
          <w:rPr>
            <w:rFonts w:asciiTheme="minorHAnsi" w:eastAsiaTheme="minorEastAsia" w:hAnsiTheme="minorHAnsi" w:cstheme="minorBidi"/>
            <w:noProof/>
            <w:sz w:val="22"/>
            <w:lang w:val="es-ES" w:eastAsia="es-ES"/>
          </w:rPr>
          <w:tab/>
        </w:r>
        <w:r w:rsidR="00AF436B" w:rsidRPr="00620399">
          <w:rPr>
            <w:rStyle w:val="Hyperlink"/>
            <w:noProof/>
          </w:rPr>
          <w:t>The judiciary: failing to ensure redress to victims</w:t>
        </w:r>
        <w:r w:rsidR="00AF436B">
          <w:rPr>
            <w:noProof/>
            <w:webHidden/>
          </w:rPr>
          <w:tab/>
        </w:r>
        <w:r w:rsidR="00AF436B">
          <w:rPr>
            <w:noProof/>
            <w:webHidden/>
          </w:rPr>
          <w:fldChar w:fldCharType="begin"/>
        </w:r>
        <w:r w:rsidR="00AF436B">
          <w:rPr>
            <w:noProof/>
            <w:webHidden/>
          </w:rPr>
          <w:instrText xml:space="preserve"> PAGEREF _Toc34236777 \h </w:instrText>
        </w:r>
        <w:r w:rsidR="00AF436B">
          <w:rPr>
            <w:noProof/>
            <w:webHidden/>
          </w:rPr>
        </w:r>
        <w:r w:rsidR="00AF436B">
          <w:rPr>
            <w:noProof/>
            <w:webHidden/>
          </w:rPr>
          <w:fldChar w:fldCharType="separate"/>
        </w:r>
        <w:r w:rsidR="006A0F74">
          <w:rPr>
            <w:noProof/>
            <w:webHidden/>
          </w:rPr>
          <w:t>10</w:t>
        </w:r>
        <w:r w:rsidR="00AF436B">
          <w:rPr>
            <w:noProof/>
            <w:webHidden/>
          </w:rPr>
          <w:fldChar w:fldCharType="end"/>
        </w:r>
      </w:hyperlink>
    </w:p>
    <w:p w14:paraId="4052104C" w14:textId="0A0C89EC"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78" w:history="1">
        <w:r w:rsidR="00AF436B" w:rsidRPr="00620399">
          <w:rPr>
            <w:rStyle w:val="Hyperlink"/>
            <w:noProof/>
          </w:rPr>
          <w:t>Pattern 11. Procedures and deadlines are not respected</w:t>
        </w:r>
        <w:r w:rsidR="00AF436B">
          <w:rPr>
            <w:noProof/>
            <w:webHidden/>
          </w:rPr>
          <w:tab/>
        </w:r>
        <w:r w:rsidR="00AF436B">
          <w:rPr>
            <w:noProof/>
            <w:webHidden/>
          </w:rPr>
          <w:fldChar w:fldCharType="begin"/>
        </w:r>
        <w:r w:rsidR="00AF436B">
          <w:rPr>
            <w:noProof/>
            <w:webHidden/>
          </w:rPr>
          <w:instrText xml:space="preserve"> PAGEREF _Toc34236778 \h </w:instrText>
        </w:r>
        <w:r w:rsidR="00AF436B">
          <w:rPr>
            <w:noProof/>
            <w:webHidden/>
          </w:rPr>
        </w:r>
        <w:r w:rsidR="00AF436B">
          <w:rPr>
            <w:noProof/>
            <w:webHidden/>
          </w:rPr>
          <w:fldChar w:fldCharType="separate"/>
        </w:r>
        <w:r w:rsidR="006A0F74">
          <w:rPr>
            <w:noProof/>
            <w:webHidden/>
          </w:rPr>
          <w:t>10</w:t>
        </w:r>
        <w:r w:rsidR="00AF436B">
          <w:rPr>
            <w:noProof/>
            <w:webHidden/>
          </w:rPr>
          <w:fldChar w:fldCharType="end"/>
        </w:r>
      </w:hyperlink>
    </w:p>
    <w:p w14:paraId="27481B9D" w14:textId="550717BB"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79" w:history="1">
        <w:r w:rsidR="00AF436B" w:rsidRPr="00620399">
          <w:rPr>
            <w:rStyle w:val="Hyperlink"/>
            <w:noProof/>
          </w:rPr>
          <w:t>Pattern 12. Racial and gender bias (re-victimization) in the way justice is administered</w:t>
        </w:r>
        <w:r w:rsidR="00AF436B">
          <w:rPr>
            <w:noProof/>
            <w:webHidden/>
          </w:rPr>
          <w:tab/>
        </w:r>
        <w:r w:rsidR="00AF436B">
          <w:rPr>
            <w:noProof/>
            <w:webHidden/>
          </w:rPr>
          <w:fldChar w:fldCharType="begin"/>
        </w:r>
        <w:r w:rsidR="00AF436B">
          <w:rPr>
            <w:noProof/>
            <w:webHidden/>
          </w:rPr>
          <w:instrText xml:space="preserve"> PAGEREF _Toc34236779 \h </w:instrText>
        </w:r>
        <w:r w:rsidR="00AF436B">
          <w:rPr>
            <w:noProof/>
            <w:webHidden/>
          </w:rPr>
        </w:r>
        <w:r w:rsidR="00AF436B">
          <w:rPr>
            <w:noProof/>
            <w:webHidden/>
          </w:rPr>
          <w:fldChar w:fldCharType="separate"/>
        </w:r>
        <w:r w:rsidR="006A0F74">
          <w:rPr>
            <w:noProof/>
            <w:webHidden/>
          </w:rPr>
          <w:t>11</w:t>
        </w:r>
        <w:r w:rsidR="00AF436B">
          <w:rPr>
            <w:noProof/>
            <w:webHidden/>
          </w:rPr>
          <w:fldChar w:fldCharType="end"/>
        </w:r>
      </w:hyperlink>
    </w:p>
    <w:p w14:paraId="14580E02" w14:textId="28FB3D59"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80" w:history="1">
        <w:r w:rsidR="00AF436B" w:rsidRPr="00620399">
          <w:rPr>
            <w:rStyle w:val="Hyperlink"/>
            <w:noProof/>
          </w:rPr>
          <w:t>Pattern 13. Judges’ reluctance to convict for slavery offences</w:t>
        </w:r>
        <w:r w:rsidR="00AF436B">
          <w:rPr>
            <w:noProof/>
            <w:webHidden/>
          </w:rPr>
          <w:tab/>
        </w:r>
        <w:r w:rsidR="00AF436B">
          <w:rPr>
            <w:noProof/>
            <w:webHidden/>
          </w:rPr>
          <w:fldChar w:fldCharType="begin"/>
        </w:r>
        <w:r w:rsidR="00AF436B">
          <w:rPr>
            <w:noProof/>
            <w:webHidden/>
          </w:rPr>
          <w:instrText xml:space="preserve"> PAGEREF _Toc34236780 \h </w:instrText>
        </w:r>
        <w:r w:rsidR="00AF436B">
          <w:rPr>
            <w:noProof/>
            <w:webHidden/>
          </w:rPr>
        </w:r>
        <w:r w:rsidR="00AF436B">
          <w:rPr>
            <w:noProof/>
            <w:webHidden/>
          </w:rPr>
          <w:fldChar w:fldCharType="separate"/>
        </w:r>
        <w:r w:rsidR="006A0F74">
          <w:rPr>
            <w:noProof/>
            <w:webHidden/>
          </w:rPr>
          <w:t>11</w:t>
        </w:r>
        <w:r w:rsidR="00AF436B">
          <w:rPr>
            <w:noProof/>
            <w:webHidden/>
          </w:rPr>
          <w:fldChar w:fldCharType="end"/>
        </w:r>
      </w:hyperlink>
    </w:p>
    <w:p w14:paraId="111E3081" w14:textId="6851685E"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81" w:history="1">
        <w:r w:rsidR="00AF436B" w:rsidRPr="00620399">
          <w:rPr>
            <w:rStyle w:val="Hyperlink"/>
            <w:noProof/>
          </w:rPr>
          <w:t>Pattern 14. Lack of consistent and common criteria used by judges for determining reparations following prosecutions of slavery</w:t>
        </w:r>
        <w:r w:rsidR="00AF436B">
          <w:rPr>
            <w:noProof/>
            <w:webHidden/>
          </w:rPr>
          <w:tab/>
        </w:r>
        <w:r w:rsidR="00AF436B">
          <w:rPr>
            <w:noProof/>
            <w:webHidden/>
          </w:rPr>
          <w:fldChar w:fldCharType="begin"/>
        </w:r>
        <w:r w:rsidR="00AF436B">
          <w:rPr>
            <w:noProof/>
            <w:webHidden/>
          </w:rPr>
          <w:instrText xml:space="preserve"> PAGEREF _Toc34236781 \h </w:instrText>
        </w:r>
        <w:r w:rsidR="00AF436B">
          <w:rPr>
            <w:noProof/>
            <w:webHidden/>
          </w:rPr>
        </w:r>
        <w:r w:rsidR="00AF436B">
          <w:rPr>
            <w:noProof/>
            <w:webHidden/>
          </w:rPr>
          <w:fldChar w:fldCharType="separate"/>
        </w:r>
        <w:r w:rsidR="006A0F74">
          <w:rPr>
            <w:noProof/>
            <w:webHidden/>
          </w:rPr>
          <w:t>11</w:t>
        </w:r>
        <w:r w:rsidR="00AF436B">
          <w:rPr>
            <w:noProof/>
            <w:webHidden/>
          </w:rPr>
          <w:fldChar w:fldCharType="end"/>
        </w:r>
      </w:hyperlink>
    </w:p>
    <w:p w14:paraId="4E378D2B" w14:textId="3414828D" w:rsidR="00AF436B" w:rsidRDefault="00E46D58">
      <w:pPr>
        <w:pStyle w:val="TOC1"/>
        <w:tabs>
          <w:tab w:val="left" w:pos="426"/>
          <w:tab w:val="right" w:leader="dot" w:pos="9016"/>
        </w:tabs>
        <w:rPr>
          <w:rFonts w:asciiTheme="minorHAnsi" w:eastAsiaTheme="minorEastAsia" w:hAnsiTheme="minorHAnsi" w:cstheme="minorBidi"/>
          <w:noProof/>
          <w:sz w:val="22"/>
          <w:lang w:val="es-ES" w:eastAsia="es-ES"/>
        </w:rPr>
      </w:pPr>
      <w:hyperlink w:anchor="_Toc34236782" w:history="1">
        <w:r w:rsidR="00AF436B" w:rsidRPr="00620399">
          <w:rPr>
            <w:rStyle w:val="Hyperlink"/>
            <w:noProof/>
          </w:rPr>
          <w:t>3.</w:t>
        </w:r>
        <w:r w:rsidR="00AF436B">
          <w:rPr>
            <w:rFonts w:asciiTheme="minorHAnsi" w:eastAsiaTheme="minorEastAsia" w:hAnsiTheme="minorHAnsi" w:cstheme="minorBidi"/>
            <w:noProof/>
            <w:sz w:val="22"/>
            <w:lang w:val="es-ES" w:eastAsia="es-ES"/>
          </w:rPr>
          <w:tab/>
        </w:r>
        <w:r w:rsidR="00AF436B" w:rsidRPr="00620399">
          <w:rPr>
            <w:rStyle w:val="Hyperlink"/>
            <w:noProof/>
          </w:rPr>
          <w:t>Factors that could explain those biases</w:t>
        </w:r>
        <w:r w:rsidR="00AF436B">
          <w:rPr>
            <w:noProof/>
            <w:webHidden/>
          </w:rPr>
          <w:tab/>
        </w:r>
        <w:r w:rsidR="00AF436B">
          <w:rPr>
            <w:noProof/>
            <w:webHidden/>
          </w:rPr>
          <w:fldChar w:fldCharType="begin"/>
        </w:r>
        <w:r w:rsidR="00AF436B">
          <w:rPr>
            <w:noProof/>
            <w:webHidden/>
          </w:rPr>
          <w:instrText xml:space="preserve"> PAGEREF _Toc34236782 \h </w:instrText>
        </w:r>
        <w:r w:rsidR="00AF436B">
          <w:rPr>
            <w:noProof/>
            <w:webHidden/>
          </w:rPr>
        </w:r>
        <w:r w:rsidR="00AF436B">
          <w:rPr>
            <w:noProof/>
            <w:webHidden/>
          </w:rPr>
          <w:fldChar w:fldCharType="separate"/>
        </w:r>
        <w:r w:rsidR="006A0F74">
          <w:rPr>
            <w:noProof/>
            <w:webHidden/>
          </w:rPr>
          <w:t>11</w:t>
        </w:r>
        <w:r w:rsidR="00AF436B">
          <w:rPr>
            <w:noProof/>
            <w:webHidden/>
          </w:rPr>
          <w:fldChar w:fldCharType="end"/>
        </w:r>
      </w:hyperlink>
    </w:p>
    <w:p w14:paraId="442F8F53" w14:textId="7D358FC6"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83" w:history="1">
        <w:r w:rsidR="00AF436B" w:rsidRPr="00620399">
          <w:rPr>
            <w:rStyle w:val="Hyperlink"/>
            <w:noProof/>
          </w:rPr>
          <w:t>Factor 1. Discrimination as a way of maintaining elites’ social privileges</w:t>
        </w:r>
        <w:r w:rsidR="00AF436B">
          <w:rPr>
            <w:noProof/>
            <w:webHidden/>
          </w:rPr>
          <w:tab/>
        </w:r>
        <w:r w:rsidR="00AF436B">
          <w:rPr>
            <w:noProof/>
            <w:webHidden/>
          </w:rPr>
          <w:fldChar w:fldCharType="begin"/>
        </w:r>
        <w:r w:rsidR="00AF436B">
          <w:rPr>
            <w:noProof/>
            <w:webHidden/>
          </w:rPr>
          <w:instrText xml:space="preserve"> PAGEREF _Toc34236783 \h </w:instrText>
        </w:r>
        <w:r w:rsidR="00AF436B">
          <w:rPr>
            <w:noProof/>
            <w:webHidden/>
          </w:rPr>
        </w:r>
        <w:r w:rsidR="00AF436B">
          <w:rPr>
            <w:noProof/>
            <w:webHidden/>
          </w:rPr>
          <w:fldChar w:fldCharType="separate"/>
        </w:r>
        <w:r w:rsidR="006A0F74">
          <w:rPr>
            <w:noProof/>
            <w:webHidden/>
          </w:rPr>
          <w:t>12</w:t>
        </w:r>
        <w:r w:rsidR="00AF436B">
          <w:rPr>
            <w:noProof/>
            <w:webHidden/>
          </w:rPr>
          <w:fldChar w:fldCharType="end"/>
        </w:r>
      </w:hyperlink>
    </w:p>
    <w:p w14:paraId="6F9A41C9" w14:textId="6DFBB1F8"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84" w:history="1">
        <w:r w:rsidR="00AF436B" w:rsidRPr="00620399">
          <w:rPr>
            <w:rStyle w:val="Hyperlink"/>
            <w:noProof/>
          </w:rPr>
          <w:t>Factor 2: The role of women in the Mauritanian society</w:t>
        </w:r>
        <w:r w:rsidR="00AF436B">
          <w:rPr>
            <w:noProof/>
            <w:webHidden/>
          </w:rPr>
          <w:tab/>
        </w:r>
        <w:r w:rsidR="00AF436B">
          <w:rPr>
            <w:noProof/>
            <w:webHidden/>
          </w:rPr>
          <w:fldChar w:fldCharType="begin"/>
        </w:r>
        <w:r w:rsidR="00AF436B">
          <w:rPr>
            <w:noProof/>
            <w:webHidden/>
          </w:rPr>
          <w:instrText xml:space="preserve"> PAGEREF _Toc34236784 \h </w:instrText>
        </w:r>
        <w:r w:rsidR="00AF436B">
          <w:rPr>
            <w:noProof/>
            <w:webHidden/>
          </w:rPr>
        </w:r>
        <w:r w:rsidR="00AF436B">
          <w:rPr>
            <w:noProof/>
            <w:webHidden/>
          </w:rPr>
          <w:fldChar w:fldCharType="separate"/>
        </w:r>
        <w:r w:rsidR="006A0F74">
          <w:rPr>
            <w:noProof/>
            <w:webHidden/>
          </w:rPr>
          <w:t>13</w:t>
        </w:r>
        <w:r w:rsidR="00AF436B">
          <w:rPr>
            <w:noProof/>
            <w:webHidden/>
          </w:rPr>
          <w:fldChar w:fldCharType="end"/>
        </w:r>
      </w:hyperlink>
    </w:p>
    <w:p w14:paraId="0BDAA5AC" w14:textId="0501AED7"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85" w:history="1">
        <w:r w:rsidR="00AF436B" w:rsidRPr="00620399">
          <w:rPr>
            <w:rStyle w:val="Hyperlink"/>
            <w:noProof/>
          </w:rPr>
          <w:t>Factor 3. The instrumentalization of sharia law</w:t>
        </w:r>
        <w:r w:rsidR="00AF436B">
          <w:rPr>
            <w:noProof/>
            <w:webHidden/>
          </w:rPr>
          <w:tab/>
        </w:r>
        <w:r w:rsidR="00AF436B">
          <w:rPr>
            <w:noProof/>
            <w:webHidden/>
          </w:rPr>
          <w:fldChar w:fldCharType="begin"/>
        </w:r>
        <w:r w:rsidR="00AF436B">
          <w:rPr>
            <w:noProof/>
            <w:webHidden/>
          </w:rPr>
          <w:instrText xml:space="preserve"> PAGEREF _Toc34236785 \h </w:instrText>
        </w:r>
        <w:r w:rsidR="00AF436B">
          <w:rPr>
            <w:noProof/>
            <w:webHidden/>
          </w:rPr>
        </w:r>
        <w:r w:rsidR="00AF436B">
          <w:rPr>
            <w:noProof/>
            <w:webHidden/>
          </w:rPr>
          <w:fldChar w:fldCharType="separate"/>
        </w:r>
        <w:r w:rsidR="006A0F74">
          <w:rPr>
            <w:noProof/>
            <w:webHidden/>
          </w:rPr>
          <w:t>14</w:t>
        </w:r>
        <w:r w:rsidR="00AF436B">
          <w:rPr>
            <w:noProof/>
            <w:webHidden/>
          </w:rPr>
          <w:fldChar w:fldCharType="end"/>
        </w:r>
      </w:hyperlink>
    </w:p>
    <w:p w14:paraId="5E126F74" w14:textId="5C3BEF5F" w:rsidR="00AF436B" w:rsidRDefault="00E46D58">
      <w:pPr>
        <w:pStyle w:val="TOC3"/>
        <w:tabs>
          <w:tab w:val="right" w:leader="dot" w:pos="9016"/>
        </w:tabs>
        <w:rPr>
          <w:rFonts w:asciiTheme="minorHAnsi" w:eastAsiaTheme="minorEastAsia" w:hAnsiTheme="minorHAnsi" w:cstheme="minorBidi"/>
          <w:noProof/>
          <w:sz w:val="22"/>
          <w:lang w:val="es-ES" w:eastAsia="es-ES"/>
        </w:rPr>
      </w:pPr>
      <w:hyperlink w:anchor="_Toc34236786" w:history="1">
        <w:r w:rsidR="00AF436B" w:rsidRPr="00620399">
          <w:rPr>
            <w:rStyle w:val="Hyperlink"/>
            <w:noProof/>
          </w:rPr>
          <w:t>Factor 4. Resistance to the international human rights approach</w:t>
        </w:r>
        <w:r w:rsidR="00AF436B">
          <w:rPr>
            <w:noProof/>
            <w:webHidden/>
          </w:rPr>
          <w:tab/>
        </w:r>
        <w:r w:rsidR="00AF436B">
          <w:rPr>
            <w:noProof/>
            <w:webHidden/>
          </w:rPr>
          <w:fldChar w:fldCharType="begin"/>
        </w:r>
        <w:r w:rsidR="00AF436B">
          <w:rPr>
            <w:noProof/>
            <w:webHidden/>
          </w:rPr>
          <w:instrText xml:space="preserve"> PAGEREF _Toc34236786 \h </w:instrText>
        </w:r>
        <w:r w:rsidR="00AF436B">
          <w:rPr>
            <w:noProof/>
            <w:webHidden/>
          </w:rPr>
        </w:r>
        <w:r w:rsidR="00AF436B">
          <w:rPr>
            <w:noProof/>
            <w:webHidden/>
          </w:rPr>
          <w:fldChar w:fldCharType="separate"/>
        </w:r>
        <w:r w:rsidR="006A0F74">
          <w:rPr>
            <w:noProof/>
            <w:webHidden/>
          </w:rPr>
          <w:t>15</w:t>
        </w:r>
        <w:r w:rsidR="00AF436B">
          <w:rPr>
            <w:noProof/>
            <w:webHidden/>
          </w:rPr>
          <w:fldChar w:fldCharType="end"/>
        </w:r>
      </w:hyperlink>
    </w:p>
    <w:p w14:paraId="044AA949" w14:textId="1D02BB17" w:rsidR="00AF436B" w:rsidRDefault="00E46D58">
      <w:pPr>
        <w:pStyle w:val="TOC1"/>
        <w:tabs>
          <w:tab w:val="left" w:pos="426"/>
          <w:tab w:val="right" w:leader="dot" w:pos="9016"/>
        </w:tabs>
        <w:rPr>
          <w:rFonts w:asciiTheme="minorHAnsi" w:eastAsiaTheme="minorEastAsia" w:hAnsiTheme="minorHAnsi" w:cstheme="minorBidi"/>
          <w:noProof/>
          <w:sz w:val="22"/>
          <w:lang w:val="es-ES" w:eastAsia="es-ES"/>
        </w:rPr>
      </w:pPr>
      <w:hyperlink w:anchor="_Toc34236787" w:history="1">
        <w:r w:rsidR="00AF436B" w:rsidRPr="00620399">
          <w:rPr>
            <w:rStyle w:val="Hyperlink"/>
            <w:noProof/>
          </w:rPr>
          <w:t>4.</w:t>
        </w:r>
        <w:r w:rsidR="00AF436B">
          <w:rPr>
            <w:rFonts w:asciiTheme="minorHAnsi" w:eastAsiaTheme="minorEastAsia" w:hAnsiTheme="minorHAnsi" w:cstheme="minorBidi"/>
            <w:noProof/>
            <w:sz w:val="22"/>
            <w:lang w:val="es-ES" w:eastAsia="es-ES"/>
          </w:rPr>
          <w:tab/>
        </w:r>
        <w:r w:rsidR="00AF436B" w:rsidRPr="00620399">
          <w:rPr>
            <w:rStyle w:val="Hyperlink"/>
            <w:noProof/>
          </w:rPr>
          <w:t>Conclusions</w:t>
        </w:r>
        <w:r w:rsidR="00AF436B">
          <w:rPr>
            <w:noProof/>
            <w:webHidden/>
          </w:rPr>
          <w:tab/>
        </w:r>
        <w:r w:rsidR="00AF436B">
          <w:rPr>
            <w:noProof/>
            <w:webHidden/>
          </w:rPr>
          <w:fldChar w:fldCharType="begin"/>
        </w:r>
        <w:r w:rsidR="00AF436B">
          <w:rPr>
            <w:noProof/>
            <w:webHidden/>
          </w:rPr>
          <w:instrText xml:space="preserve"> PAGEREF _Toc34236787 \h </w:instrText>
        </w:r>
        <w:r w:rsidR="00AF436B">
          <w:rPr>
            <w:noProof/>
            <w:webHidden/>
          </w:rPr>
        </w:r>
        <w:r w:rsidR="00AF436B">
          <w:rPr>
            <w:noProof/>
            <w:webHidden/>
          </w:rPr>
          <w:fldChar w:fldCharType="separate"/>
        </w:r>
        <w:r w:rsidR="006A0F74">
          <w:rPr>
            <w:noProof/>
            <w:webHidden/>
          </w:rPr>
          <w:t>17</w:t>
        </w:r>
        <w:r w:rsidR="00AF436B">
          <w:rPr>
            <w:noProof/>
            <w:webHidden/>
          </w:rPr>
          <w:fldChar w:fldCharType="end"/>
        </w:r>
      </w:hyperlink>
    </w:p>
    <w:p w14:paraId="5EB4BC50" w14:textId="67592989" w:rsidR="00996703" w:rsidRDefault="00996703" w:rsidP="00D8630D">
      <w:pPr>
        <w:jc w:val="center"/>
        <w:rPr>
          <w:b/>
          <w:bCs/>
        </w:rPr>
      </w:pPr>
      <w:r>
        <w:rPr>
          <w:b/>
          <w:bCs/>
        </w:rPr>
        <w:fldChar w:fldCharType="end"/>
      </w:r>
    </w:p>
    <w:p w14:paraId="7D81B4EC" w14:textId="35ABB99F" w:rsidR="0099039C" w:rsidRPr="0099039C" w:rsidRDefault="0099039C" w:rsidP="0018333E">
      <w:pPr>
        <w:pStyle w:val="Heading1"/>
      </w:pPr>
      <w:bookmarkStart w:id="1" w:name="_Toc34236762"/>
      <w:r w:rsidRPr="0099039C">
        <w:t>Introduction</w:t>
      </w:r>
      <w:bookmarkEnd w:id="1"/>
    </w:p>
    <w:p w14:paraId="1E683AD8" w14:textId="2DF6F540" w:rsidR="0018333E" w:rsidRDefault="0045309E" w:rsidP="0018333E">
      <w:r>
        <w:t xml:space="preserve">Mauritania was the last state in the world to formally abolish “chattel slavery” in </w:t>
      </w:r>
      <w:r w:rsidR="007B6845">
        <w:t>1980</w:t>
      </w:r>
      <w:r>
        <w:t>.</w:t>
      </w:r>
      <w:r w:rsidR="009D7CDE">
        <w:rPr>
          <w:rStyle w:val="FootnoteReference"/>
        </w:rPr>
        <w:footnoteReference w:id="2"/>
      </w:r>
      <w:r>
        <w:t xml:space="preserve"> It has since </w:t>
      </w:r>
      <w:r w:rsidR="000B5B3F" w:rsidRPr="001C0C2E">
        <w:t xml:space="preserve">committed to work towards the elimination of slavery by 2030 </w:t>
      </w:r>
      <w:r w:rsidR="009A119E">
        <w:t>under</w:t>
      </w:r>
      <w:r w:rsidR="000B5B3F" w:rsidRPr="001C0C2E">
        <w:t xml:space="preserve"> the Sustainable Development Goals (SDGs) </w:t>
      </w:r>
      <w:r w:rsidR="009A119E">
        <w:t>Agenda</w:t>
      </w:r>
      <w:r w:rsidR="009D7CDE">
        <w:rPr>
          <w:rStyle w:val="FootnoteReference"/>
        </w:rPr>
        <w:footnoteReference w:id="3"/>
      </w:r>
      <w:r w:rsidR="009A119E">
        <w:t xml:space="preserve"> </w:t>
      </w:r>
      <w:r w:rsidR="000B5B3F" w:rsidRPr="001C0C2E">
        <w:t xml:space="preserve">and has </w:t>
      </w:r>
      <w:r>
        <w:t xml:space="preserve">progressively </w:t>
      </w:r>
      <w:r w:rsidR="000B5B3F" w:rsidRPr="001C0C2E">
        <w:t>adopted domestic legislation complying with international law</w:t>
      </w:r>
      <w:r w:rsidR="00E70DF1">
        <w:t>,</w:t>
      </w:r>
      <w:r w:rsidR="009D7CDE">
        <w:rPr>
          <w:rStyle w:val="FootnoteReference"/>
        </w:rPr>
        <w:footnoteReference w:id="4"/>
      </w:r>
      <w:r w:rsidR="00E70DF1">
        <w:t xml:space="preserve"> such as the</w:t>
      </w:r>
      <w:r w:rsidR="00D7615C">
        <w:t xml:space="preserve"> </w:t>
      </w:r>
      <w:r w:rsidR="00F46157">
        <w:t xml:space="preserve">2007 Anti-Slavery Act and </w:t>
      </w:r>
      <w:r w:rsidR="000B66B6">
        <w:t>the</w:t>
      </w:r>
      <w:r w:rsidR="00F46157">
        <w:t xml:space="preserve"> 2015 </w:t>
      </w:r>
      <w:r w:rsidR="000B66B6">
        <w:t>Anti-Slavery Act</w:t>
      </w:r>
      <w:r>
        <w:t>.</w:t>
      </w:r>
      <w:r w:rsidR="008B1CDC">
        <w:rPr>
          <w:rStyle w:val="FootnoteReference"/>
        </w:rPr>
        <w:footnoteReference w:id="5"/>
      </w:r>
      <w:r w:rsidR="00F46157">
        <w:t xml:space="preserve"> </w:t>
      </w:r>
      <w:r>
        <w:t xml:space="preserve">Such legislation </w:t>
      </w:r>
      <w:r w:rsidR="00F46157">
        <w:t>strengthen</w:t>
      </w:r>
      <w:r w:rsidR="000B66B6">
        <w:t>ed</w:t>
      </w:r>
      <w:r w:rsidR="00F46157">
        <w:t xml:space="preserve"> the domestic framework with the creation of special anti-slavery tribunals, an increase </w:t>
      </w:r>
      <w:r>
        <w:t xml:space="preserve">in </w:t>
      </w:r>
      <w:r w:rsidR="00F46157">
        <w:t>penalties and the acknowledgement of victims’ rights and of the role of civil society organizations in protecting them</w:t>
      </w:r>
      <w:r w:rsidR="00E70DF1">
        <w:t xml:space="preserve">. </w:t>
      </w:r>
      <w:r w:rsidR="000B5B3F" w:rsidRPr="001C0C2E">
        <w:t>Yet</w:t>
      </w:r>
      <w:r>
        <w:t>, Mauritania</w:t>
      </w:r>
      <w:r w:rsidR="000B5B3F" w:rsidRPr="001C0C2E">
        <w:t xml:space="preserve"> faces significant challenges in the </w:t>
      </w:r>
      <w:r w:rsidR="000B5B3F" w:rsidRPr="009C3E6C">
        <w:rPr>
          <w:i/>
          <w:iCs/>
        </w:rPr>
        <w:t>enforcement</w:t>
      </w:r>
      <w:r w:rsidR="000B5B3F" w:rsidRPr="001C0C2E">
        <w:t xml:space="preserve"> of its anti</w:t>
      </w:r>
      <w:r w:rsidR="00F46157">
        <w:t>-</w:t>
      </w:r>
      <w:r w:rsidR="000B5B3F" w:rsidRPr="001C0C2E">
        <w:t>slavery legislation and</w:t>
      </w:r>
      <w:r w:rsidR="00F50B7C">
        <w:t xml:space="preserve"> </w:t>
      </w:r>
      <w:r w:rsidR="000B5B3F" w:rsidRPr="001C0C2E">
        <w:t>the government’s response remains insufficient.</w:t>
      </w:r>
      <w:r w:rsidR="008B1CDC">
        <w:rPr>
          <w:rStyle w:val="FootnoteReference"/>
        </w:rPr>
        <w:footnoteReference w:id="6"/>
      </w:r>
    </w:p>
    <w:p w14:paraId="7A5797B8" w14:textId="44DE07EC" w:rsidR="00D7615C" w:rsidRDefault="003216CC" w:rsidP="003E5D77">
      <w:r>
        <w:t xml:space="preserve">Slavery </w:t>
      </w:r>
      <w:r w:rsidR="00C6091A">
        <w:t xml:space="preserve">remains </w:t>
      </w:r>
      <w:r>
        <w:t xml:space="preserve">deeply ingrained </w:t>
      </w:r>
      <w:r w:rsidR="001F665D">
        <w:t>in the Mauritanian</w:t>
      </w:r>
      <w:r>
        <w:t xml:space="preserve"> hierarchical social structure.</w:t>
      </w:r>
      <w:r w:rsidR="008B1CDC">
        <w:rPr>
          <w:rStyle w:val="FootnoteReference"/>
        </w:rPr>
        <w:footnoteReference w:id="7"/>
      </w:r>
      <w:r w:rsidR="00D7615C">
        <w:t xml:space="preserve"> </w:t>
      </w:r>
      <w:r w:rsidR="009A119E">
        <w:t xml:space="preserve">In fact, </w:t>
      </w:r>
      <w:r w:rsidR="001F665D">
        <w:t xml:space="preserve">although formally “abolished” in the legal framework, “chattel slavery” continues to be </w:t>
      </w:r>
      <w:r w:rsidR="009A119E">
        <w:t xml:space="preserve">the most prevalent form of slavery </w:t>
      </w:r>
      <w:r w:rsidR="00072139">
        <w:t>today</w:t>
      </w:r>
      <w:r w:rsidR="009A119E">
        <w:t xml:space="preserve">. Adults and children </w:t>
      </w:r>
      <w:r w:rsidR="0018510C">
        <w:t xml:space="preserve">of slave descent, many of them from </w:t>
      </w:r>
      <w:r w:rsidR="009A119E">
        <w:t>the Black Moor</w:t>
      </w:r>
      <w:r w:rsidR="003B082B">
        <w:t xml:space="preserve"> (or </w:t>
      </w:r>
      <w:proofErr w:type="spellStart"/>
      <w:r w:rsidR="003B082B">
        <w:t>Haratine</w:t>
      </w:r>
      <w:proofErr w:type="spellEnd"/>
      <w:r w:rsidR="003B082B">
        <w:t>)</w:t>
      </w:r>
      <w:r w:rsidR="004C4F3F">
        <w:rPr>
          <w:rStyle w:val="FootnoteReference"/>
        </w:rPr>
        <w:footnoteReference w:id="8"/>
      </w:r>
      <w:r w:rsidR="009A119E">
        <w:t xml:space="preserve"> and Afro-Mauritanian communities</w:t>
      </w:r>
      <w:r w:rsidR="0018510C">
        <w:t>,</w:t>
      </w:r>
      <w:r w:rsidR="009A119E">
        <w:t xml:space="preserve"> are subjected to </w:t>
      </w:r>
      <w:r w:rsidR="004E67BC">
        <w:t xml:space="preserve">discrimination and </w:t>
      </w:r>
      <w:r w:rsidR="009A119E">
        <w:t xml:space="preserve">slavery </w:t>
      </w:r>
      <w:r w:rsidR="003B082B">
        <w:t>as slave-descendants</w:t>
      </w:r>
      <w:r w:rsidR="003E5D77">
        <w:t>, with various generations being subjected to forced labour without pay as cattle herders or domestic servants</w:t>
      </w:r>
      <w:r w:rsidR="009A119E">
        <w:t>.</w:t>
      </w:r>
      <w:r w:rsidR="008B1CDC">
        <w:rPr>
          <w:rStyle w:val="FootnoteReference"/>
        </w:rPr>
        <w:footnoteReference w:id="9"/>
      </w:r>
      <w:r w:rsidR="003B082B">
        <w:t xml:space="preserve"> </w:t>
      </w:r>
      <w:r w:rsidR="004E05AE">
        <w:t>The prevalence</w:t>
      </w:r>
      <w:r w:rsidR="00072139">
        <w:t xml:space="preserve"> of slavery</w:t>
      </w:r>
      <w:r w:rsidR="004E05AE">
        <w:t xml:space="preserve"> is </w:t>
      </w:r>
      <w:r w:rsidR="004E05AE">
        <w:lastRenderedPageBreak/>
        <w:t xml:space="preserve">higher among women of these </w:t>
      </w:r>
      <w:r w:rsidR="004B63E6">
        <w:t>social</w:t>
      </w:r>
      <w:r w:rsidR="004E05AE">
        <w:t xml:space="preserve"> groups</w:t>
      </w:r>
      <w:r w:rsidR="0030255A">
        <w:t>.</w:t>
      </w:r>
      <w:r w:rsidR="008B1CDC">
        <w:rPr>
          <w:rStyle w:val="FootnoteReference"/>
        </w:rPr>
        <w:footnoteReference w:id="10"/>
      </w:r>
      <w:r w:rsidR="0018510C">
        <w:t xml:space="preserve"> </w:t>
      </w:r>
      <w:r w:rsidR="0030255A">
        <w:t>D</w:t>
      </w:r>
      <w:r w:rsidR="0018510C">
        <w:t xml:space="preserve">ue to the patriarchal </w:t>
      </w:r>
      <w:r w:rsidR="00067CB7">
        <w:t xml:space="preserve">order of Mauritanian </w:t>
      </w:r>
      <w:r w:rsidR="0018510C">
        <w:t xml:space="preserve">society and the biological reproductive and nursing capacities of women, as well as their close ties to their children, it is particularly difficult </w:t>
      </w:r>
      <w:r w:rsidR="00C22094">
        <w:t xml:space="preserve">for women </w:t>
      </w:r>
      <w:r w:rsidR="0018510C">
        <w:t xml:space="preserve">to </w:t>
      </w:r>
      <w:r w:rsidR="00067CB7">
        <w:t>escape</w:t>
      </w:r>
      <w:r w:rsidR="0018510C">
        <w:t xml:space="preserve"> the legacies of slavery and </w:t>
      </w:r>
      <w:r w:rsidR="00067CB7">
        <w:t>transcend their en</w:t>
      </w:r>
      <w:r w:rsidR="0018510C">
        <w:t>slave</w:t>
      </w:r>
      <w:r w:rsidR="00067CB7">
        <w:t>d</w:t>
      </w:r>
      <w:r w:rsidR="0018510C">
        <w:t xml:space="preserve"> status</w:t>
      </w:r>
      <w:r w:rsidR="00067CB7">
        <w:t xml:space="preserve"> and identity</w:t>
      </w:r>
      <w:r w:rsidR="0018510C">
        <w:t>.</w:t>
      </w:r>
      <w:r w:rsidR="00C22094">
        <w:rPr>
          <w:rStyle w:val="FootnoteReference"/>
        </w:rPr>
        <w:footnoteReference w:id="11"/>
      </w:r>
      <w:r w:rsidR="00FA36C0">
        <w:t xml:space="preserve"> Victims of slavery and their descendants suffer discrimination and inequality, </w:t>
      </w:r>
      <w:r w:rsidR="00067CB7">
        <w:t xml:space="preserve">and </w:t>
      </w:r>
      <w:r w:rsidR="00FA36C0">
        <w:t>remain</w:t>
      </w:r>
      <w:r w:rsidR="00067CB7">
        <w:t xml:space="preserve"> locked into relationships of</w:t>
      </w:r>
      <w:r w:rsidR="00FA36C0">
        <w:t xml:space="preserve"> dependen</w:t>
      </w:r>
      <w:r w:rsidR="00067CB7">
        <w:t>cy</w:t>
      </w:r>
      <w:r w:rsidR="00FA36C0">
        <w:t xml:space="preserve"> </w:t>
      </w:r>
      <w:r w:rsidR="00072139">
        <w:t xml:space="preserve">on </w:t>
      </w:r>
      <w:r w:rsidR="00FA36C0">
        <w:t xml:space="preserve">their former slaveholders, due to cultural traditions, </w:t>
      </w:r>
      <w:r w:rsidR="00072139">
        <w:t>a</w:t>
      </w:r>
      <w:r w:rsidR="00FA36C0">
        <w:t xml:space="preserve"> lack of skills </w:t>
      </w:r>
      <w:r w:rsidR="00072139">
        <w:t xml:space="preserve">and the dearth of </w:t>
      </w:r>
      <w:r w:rsidR="00FA36C0">
        <w:t>alternat</w:t>
      </w:r>
      <w:r w:rsidR="00072139">
        <w:t>iv</w:t>
      </w:r>
      <w:r w:rsidR="00FA36C0">
        <w:t>e economic opportunities.</w:t>
      </w:r>
      <w:r w:rsidR="008B1CDC">
        <w:rPr>
          <w:rStyle w:val="FootnoteReference"/>
        </w:rPr>
        <w:footnoteReference w:id="12"/>
      </w:r>
    </w:p>
    <w:p w14:paraId="45144328" w14:textId="350B7469" w:rsidR="00D42AF2" w:rsidRDefault="00066DF1" w:rsidP="00D42AF2">
      <w:r>
        <w:t>Reports from diverse sources</w:t>
      </w:r>
      <w:r w:rsidR="00D42AF2">
        <w:t xml:space="preserve"> indicate that the existing legal framework is not fully enforced and that </w:t>
      </w:r>
      <w:r>
        <w:t xml:space="preserve">the </w:t>
      </w:r>
      <w:r w:rsidR="00D42AF2">
        <w:t>government’s efforts to tackle this situation are neither effective nor sufficient. In 2017, the African Union’s Committee of Experts on the Rights and Welfare of the Child urged Mauritania to make a greater effort to eliminate slavery, to better protect victims and prosecute offenders.</w:t>
      </w:r>
      <w:r w:rsidR="00A30941">
        <w:rPr>
          <w:rStyle w:val="FootnoteReference"/>
        </w:rPr>
        <w:footnoteReference w:id="13"/>
      </w:r>
      <w:r w:rsidR="00D42AF2">
        <w:t xml:space="preserve"> </w:t>
      </w:r>
      <w:r w:rsidR="00072139">
        <w:t>T</w:t>
      </w:r>
      <w:r w:rsidR="00D42AF2">
        <w:t>he US government decided in November 2018 to suspend the eligibility of Mauritania for trade preference benefits due to forced labour practices and insufficient progress made “toward</w:t>
      </w:r>
      <w:r w:rsidR="005257E4">
        <w:t>s</w:t>
      </w:r>
      <w:r w:rsidR="00D42AF2">
        <w:t xml:space="preserve"> combating forced labour, in particular the scourge of hereditary slavery”.</w:t>
      </w:r>
      <w:r w:rsidR="008B1CDC">
        <w:rPr>
          <w:rStyle w:val="FootnoteReference"/>
        </w:rPr>
        <w:footnoteReference w:id="14"/>
      </w:r>
      <w:r w:rsidR="00C22094">
        <w:t xml:space="preserve"> </w:t>
      </w:r>
    </w:p>
    <w:p w14:paraId="4E45D464" w14:textId="19ADA036" w:rsidR="00D42AF2" w:rsidRDefault="00147F24" w:rsidP="00D42AF2">
      <w:r w:rsidRPr="001C0C2E">
        <w:t xml:space="preserve">One of the possible causes of </w:t>
      </w:r>
      <w:r w:rsidR="00072139">
        <w:t>the</w:t>
      </w:r>
      <w:r w:rsidR="00072139" w:rsidRPr="001C0C2E">
        <w:t xml:space="preserve"> </w:t>
      </w:r>
      <w:r w:rsidRPr="001C0C2E">
        <w:t xml:space="preserve">limited enforcement </w:t>
      </w:r>
      <w:r w:rsidR="00072139">
        <w:t xml:space="preserve">of anti-slavery legislation is </w:t>
      </w:r>
      <w:r w:rsidRPr="001C0C2E">
        <w:t>the country’s history of slavery</w:t>
      </w:r>
      <w:r w:rsidR="00D42AF2">
        <w:t xml:space="preserve"> and its influence </w:t>
      </w:r>
      <w:r w:rsidR="00072139">
        <w:t xml:space="preserve">on </w:t>
      </w:r>
      <w:r w:rsidR="00D42AF2">
        <w:t xml:space="preserve">the social perception of </w:t>
      </w:r>
      <w:r w:rsidR="001D23CF">
        <w:t>the phenomenon</w:t>
      </w:r>
      <w:r w:rsidR="00D42AF2">
        <w:t>, particularly in the work of law enforcement authorities</w:t>
      </w:r>
      <w:r w:rsidRPr="001C0C2E">
        <w:t xml:space="preserve">. </w:t>
      </w:r>
      <w:r w:rsidR="00D42AF2">
        <w:t xml:space="preserve">Organizations working in Mauritania, such as SOS </w:t>
      </w:r>
      <w:proofErr w:type="spellStart"/>
      <w:r w:rsidR="00D42AF2">
        <w:t>Esclaves</w:t>
      </w:r>
      <w:proofErr w:type="spellEnd"/>
      <w:r w:rsidR="000B05BD">
        <w:t xml:space="preserve"> or </w:t>
      </w:r>
      <w:r w:rsidR="00D42AF2">
        <w:t xml:space="preserve">Minority Rights Group </w:t>
      </w:r>
      <w:r w:rsidR="00066DF1">
        <w:t>International</w:t>
      </w:r>
      <w:r w:rsidR="003D3F4E">
        <w:t xml:space="preserve"> (MRGI)</w:t>
      </w:r>
      <w:r w:rsidR="0002445A">
        <w:t>,</w:t>
      </w:r>
      <w:r w:rsidR="000B05BD">
        <w:t xml:space="preserve"> </w:t>
      </w:r>
      <w:r w:rsidR="00D42AF2">
        <w:t>have reported that neither the administrative authorities nor the police routinely follow up reported cases of slavery</w:t>
      </w:r>
      <w:r w:rsidR="00066DF1">
        <w:t>.</w:t>
      </w:r>
      <w:r w:rsidR="00A30941">
        <w:rPr>
          <w:rStyle w:val="FootnoteReference"/>
        </w:rPr>
        <w:footnoteReference w:id="15"/>
      </w:r>
      <w:r w:rsidR="00066DF1">
        <w:t xml:space="preserve"> Evidence suggests that some of </w:t>
      </w:r>
      <w:r w:rsidR="00072139">
        <w:t xml:space="preserve">the </w:t>
      </w:r>
      <w:r w:rsidR="00066DF1">
        <w:t>negligent patterns</w:t>
      </w:r>
      <w:r w:rsidR="00D42AF2">
        <w:t xml:space="preserve"> in </w:t>
      </w:r>
      <w:r w:rsidR="00066DF1">
        <w:t xml:space="preserve">the actions of </w:t>
      </w:r>
      <w:r w:rsidR="00D42AF2">
        <w:t xml:space="preserve">government authorities, police officers, prosecutors or judges </w:t>
      </w:r>
      <w:r w:rsidR="00066DF1">
        <w:t>c</w:t>
      </w:r>
      <w:r w:rsidR="00D42AF2">
        <w:t xml:space="preserve">ould </w:t>
      </w:r>
      <w:r w:rsidR="00072139">
        <w:t>be connected</w:t>
      </w:r>
      <w:r w:rsidR="00D42AF2">
        <w:t xml:space="preserve"> with that </w:t>
      </w:r>
      <w:r w:rsidR="00552F1C">
        <w:t xml:space="preserve">deeply rooted </w:t>
      </w:r>
      <w:r w:rsidR="00D42AF2">
        <w:t>social perception of slavery.</w:t>
      </w:r>
      <w:r w:rsidR="00C22094">
        <w:rPr>
          <w:rStyle w:val="FootnoteReference"/>
        </w:rPr>
        <w:footnoteReference w:id="16"/>
      </w:r>
      <w:r w:rsidR="00D42AF2">
        <w:t xml:space="preserve"> </w:t>
      </w:r>
    </w:p>
    <w:p w14:paraId="156DB90D" w14:textId="63483735" w:rsidR="008E7095" w:rsidRPr="00B15BAF" w:rsidRDefault="006865AB" w:rsidP="008E7095">
      <w:r>
        <w:t>T</w:t>
      </w:r>
      <w:r w:rsidR="00147F24" w:rsidRPr="001C0C2E">
        <w:t xml:space="preserve">his </w:t>
      </w:r>
      <w:r w:rsidR="00B12D1F">
        <w:t>article</w:t>
      </w:r>
      <w:r w:rsidR="00147F24" w:rsidRPr="001C0C2E">
        <w:t xml:space="preserve"> </w:t>
      </w:r>
      <w:r w:rsidR="00147F24">
        <w:t>explores</w:t>
      </w:r>
      <w:r w:rsidR="00147F24" w:rsidRPr="001C0C2E">
        <w:t xml:space="preserve"> </w:t>
      </w:r>
      <w:r w:rsidR="00435E95" w:rsidRPr="001C0C2E">
        <w:t xml:space="preserve">the hypothesis that certain biases </w:t>
      </w:r>
      <w:r w:rsidR="00435E95">
        <w:t xml:space="preserve">and obstructive behaviours </w:t>
      </w:r>
      <w:r w:rsidR="00435E95" w:rsidRPr="001C0C2E">
        <w:t xml:space="preserve">in law enforcement could be overcome </w:t>
      </w:r>
      <w:r w:rsidR="00435E95">
        <w:t xml:space="preserve">through strategies that engage directly with </w:t>
      </w:r>
      <w:r w:rsidR="00435E95" w:rsidRPr="001C0C2E">
        <w:t>that history</w:t>
      </w:r>
      <w:r w:rsidR="00147F24" w:rsidRPr="001C0C2E">
        <w:t>.</w:t>
      </w:r>
      <w:r>
        <w:rPr>
          <w:rStyle w:val="FootnoteReference"/>
        </w:rPr>
        <w:footnoteReference w:id="17"/>
      </w:r>
      <w:r w:rsidR="00147F24">
        <w:t xml:space="preserve"> Th</w:t>
      </w:r>
      <w:r w:rsidR="00B12D1F">
        <w:t xml:space="preserve">e article </w:t>
      </w:r>
      <w:r w:rsidR="00C51FEF">
        <w:t>arises from a</w:t>
      </w:r>
      <w:r w:rsidR="00B12D1F">
        <w:t xml:space="preserve"> research project that aims </w:t>
      </w:r>
      <w:r w:rsidR="00C51FEF">
        <w:t xml:space="preserve">to </w:t>
      </w:r>
      <w:r w:rsidR="00147F24">
        <w:t xml:space="preserve">shed light on whether and how confronting that past could help the Mauritanian government, institutions and society tackle slavery more effectively today </w:t>
      </w:r>
      <w:r w:rsidR="00857C9F">
        <w:t>and in the future</w:t>
      </w:r>
      <w:r w:rsidR="00147F24">
        <w:t xml:space="preserve">, particularly given the </w:t>
      </w:r>
      <w:r w:rsidR="008E7095">
        <w:t>government’s international commitments in this area (</w:t>
      </w:r>
      <w:r w:rsidR="003858C8">
        <w:t xml:space="preserve">Alliance </w:t>
      </w:r>
      <w:r w:rsidR="008E7095">
        <w:t>8.7 Pathfinder State)</w:t>
      </w:r>
      <w:r w:rsidR="00147F24">
        <w:t>.</w:t>
      </w:r>
      <w:r w:rsidR="009C3E6C" w:rsidDel="009C3E6C">
        <w:rPr>
          <w:rStyle w:val="FootnoteReference"/>
        </w:rPr>
        <w:t xml:space="preserve"> </w:t>
      </w:r>
      <w:r w:rsidR="001E72A9">
        <w:t xml:space="preserve">The methodology used includes analysis of Mauritanian case law, existing policy initiatives, and reports of the UN Special Rapporteur on Contemporary Forms of Slavery and of civil society organisations as well as </w:t>
      </w:r>
      <w:r w:rsidR="001E72A9">
        <w:lastRenderedPageBreak/>
        <w:t>consultation with leading experts on the topic from a variety of disciplines (law, history, African studies, international relations).</w:t>
      </w:r>
      <w:r w:rsidR="001E72A9">
        <w:rPr>
          <w:rStyle w:val="FootnoteReference"/>
        </w:rPr>
        <w:footnoteReference w:id="18"/>
      </w:r>
      <w:r w:rsidR="001E72A9">
        <w:t xml:space="preserve"> </w:t>
      </w:r>
      <w:r w:rsidR="00342347">
        <w:t>It</w:t>
      </w:r>
      <w:r w:rsidR="00147F24" w:rsidRPr="00582D35">
        <w:t xml:space="preserve"> </w:t>
      </w:r>
      <w:r w:rsidR="00B27948">
        <w:t>proceeds in two parts</w:t>
      </w:r>
      <w:r w:rsidR="00C51FEF">
        <w:t>:</w:t>
      </w:r>
      <w:r w:rsidR="00B27948">
        <w:t xml:space="preserve"> the first part </w:t>
      </w:r>
      <w:r w:rsidR="00B27948" w:rsidRPr="00B15BAF">
        <w:t>identifies</w:t>
      </w:r>
      <w:r w:rsidR="00B27948" w:rsidRPr="00B15BAF">
        <w:rPr>
          <w:i/>
          <w:iCs/>
        </w:rPr>
        <w:t xml:space="preserve"> </w:t>
      </w:r>
      <w:r w:rsidR="00B27948" w:rsidRPr="00B15BAF">
        <w:t xml:space="preserve">the common negative patterns (biases) in Mauritanian anti-slavery law enforcement </w:t>
      </w:r>
      <w:r w:rsidR="00C51FEF">
        <w:t>practice</w:t>
      </w:r>
      <w:r w:rsidR="00B27948" w:rsidRPr="00B15BAF">
        <w:t xml:space="preserve">. The second part explores some of the </w:t>
      </w:r>
      <w:r w:rsidR="00C51FEF">
        <w:t xml:space="preserve">explanatory </w:t>
      </w:r>
      <w:r w:rsidR="00B27948" w:rsidRPr="00B15BAF">
        <w:t xml:space="preserve">factors </w:t>
      </w:r>
      <w:r w:rsidR="00C51FEF">
        <w:t>for</w:t>
      </w:r>
      <w:r w:rsidR="00B27948" w:rsidRPr="00B15BAF">
        <w:t xml:space="preserve"> those biases</w:t>
      </w:r>
      <w:r w:rsidR="00B27948">
        <w:t xml:space="preserve">, </w:t>
      </w:r>
      <w:r w:rsidR="00066DF1">
        <w:t xml:space="preserve">such as </w:t>
      </w:r>
      <w:r w:rsidR="00147F24" w:rsidRPr="00582D35">
        <w:t xml:space="preserve">the </w:t>
      </w:r>
      <w:r w:rsidR="00A431B6">
        <w:t>legacies of the post-abolition period</w:t>
      </w:r>
      <w:r w:rsidR="00066DF1">
        <w:t xml:space="preserve">, the role of women in society </w:t>
      </w:r>
      <w:r w:rsidR="00C51FEF">
        <w:t xml:space="preserve">and </w:t>
      </w:r>
      <w:r w:rsidR="00066DF1">
        <w:t xml:space="preserve">the </w:t>
      </w:r>
      <w:r w:rsidR="00C51FEF">
        <w:t xml:space="preserve">divisions </w:t>
      </w:r>
      <w:r w:rsidR="00066DF1">
        <w:t>between social groups</w:t>
      </w:r>
      <w:r w:rsidR="00147F24" w:rsidRPr="00582D35">
        <w:t>.</w:t>
      </w:r>
      <w:r w:rsidR="00342347" w:rsidRPr="00342347">
        <w:t xml:space="preserve"> </w:t>
      </w:r>
    </w:p>
    <w:p w14:paraId="25C1095E" w14:textId="2F4875D1" w:rsidR="0099039C" w:rsidRDefault="0099039C" w:rsidP="0018333E">
      <w:pPr>
        <w:pStyle w:val="Heading1"/>
      </w:pPr>
      <w:bookmarkStart w:id="2" w:name="_Toc34236763"/>
      <w:r w:rsidRPr="0099039C">
        <w:t xml:space="preserve">Common </w:t>
      </w:r>
      <w:r w:rsidR="00775388">
        <w:t xml:space="preserve">negative </w:t>
      </w:r>
      <w:r w:rsidRPr="0099039C">
        <w:t>patterns</w:t>
      </w:r>
      <w:r>
        <w:t xml:space="preserve"> (biases)</w:t>
      </w:r>
      <w:r w:rsidR="000E6EAB" w:rsidRPr="000E6EAB">
        <w:t xml:space="preserve"> </w:t>
      </w:r>
      <w:r w:rsidR="000E6EAB" w:rsidRPr="007F27FA">
        <w:t>in Mauritanian anti</w:t>
      </w:r>
      <w:r w:rsidR="005335FE">
        <w:t>-</w:t>
      </w:r>
      <w:r w:rsidR="000E6EAB" w:rsidRPr="007F27FA">
        <w:t>slavery law enforcement authorities</w:t>
      </w:r>
      <w:r w:rsidR="00775388">
        <w:t xml:space="preserve"> (</w:t>
      </w:r>
      <w:r w:rsidR="00DE593B">
        <w:t xml:space="preserve">government officials, </w:t>
      </w:r>
      <w:r w:rsidR="00775388" w:rsidRPr="00907A38">
        <w:t>police officers, prosecutors</w:t>
      </w:r>
      <w:r w:rsidR="00D873FD">
        <w:t xml:space="preserve"> and judges</w:t>
      </w:r>
      <w:r w:rsidR="00775388">
        <w:t>)</w:t>
      </w:r>
      <w:bookmarkEnd w:id="2"/>
      <w:r w:rsidR="008D0C5E">
        <w:t xml:space="preserve"> </w:t>
      </w:r>
    </w:p>
    <w:p w14:paraId="2C5B987A" w14:textId="1326874E" w:rsidR="007A31A3" w:rsidRDefault="001E72A9" w:rsidP="005335FE">
      <w:r>
        <w:t>The</w:t>
      </w:r>
      <w:r w:rsidR="00C51FEF">
        <w:t xml:space="preserve"> </w:t>
      </w:r>
      <w:r w:rsidR="005335FE">
        <w:t xml:space="preserve">study of </w:t>
      </w:r>
      <w:r w:rsidR="00060B80">
        <w:t xml:space="preserve">all those sources </w:t>
      </w:r>
      <w:r w:rsidR="005335FE">
        <w:t>indicate</w:t>
      </w:r>
      <w:r w:rsidR="00522103">
        <w:t>s</w:t>
      </w:r>
      <w:r w:rsidR="005335FE">
        <w:t xml:space="preserve"> various </w:t>
      </w:r>
      <w:r w:rsidR="007A31A3">
        <w:t xml:space="preserve">negative </w:t>
      </w:r>
      <w:r w:rsidR="005335FE">
        <w:t xml:space="preserve">patterns </w:t>
      </w:r>
      <w:r w:rsidR="007A31A3">
        <w:t xml:space="preserve">or biases </w:t>
      </w:r>
      <w:r w:rsidR="00522103">
        <w:t xml:space="preserve">in Mauritanian anti-slavery law enforcement </w:t>
      </w:r>
      <w:r w:rsidR="00C51FEF">
        <w:t>practice</w:t>
      </w:r>
      <w:r w:rsidR="00522103">
        <w:t xml:space="preserve">. </w:t>
      </w:r>
      <w:r w:rsidR="007A31A3">
        <w:t>This section presents those patterns, clustered in</w:t>
      </w:r>
      <w:r w:rsidR="00C51FEF">
        <w:t>to</w:t>
      </w:r>
      <w:r w:rsidR="007A31A3">
        <w:t xml:space="preserve"> </w:t>
      </w:r>
      <w:r w:rsidR="008D4D7F">
        <w:t>four</w:t>
      </w:r>
      <w:r w:rsidR="007A31A3">
        <w:t xml:space="preserve"> groups</w:t>
      </w:r>
      <w:r w:rsidR="00C51FEF">
        <w:t xml:space="preserve"> according to the principal actor</w:t>
      </w:r>
      <w:r w:rsidR="007A31A3">
        <w:t xml:space="preserve">: </w:t>
      </w:r>
      <w:proofErr w:type="spellStart"/>
      <w:r w:rsidR="007A31A3">
        <w:t>i</w:t>
      </w:r>
      <w:proofErr w:type="spellEnd"/>
      <w:r w:rsidR="007A31A3">
        <w:t>) government authorities, ii) police and administrative authorities, iii) prosecutors</w:t>
      </w:r>
      <w:r w:rsidR="008D4D7F">
        <w:t>; and iv)</w:t>
      </w:r>
      <w:r w:rsidR="007A31A3">
        <w:t xml:space="preserve"> </w:t>
      </w:r>
      <w:r w:rsidR="008D1B47">
        <w:t>judges</w:t>
      </w:r>
      <w:r w:rsidR="007A31A3">
        <w:t xml:space="preserve">. </w:t>
      </w:r>
    </w:p>
    <w:p w14:paraId="2616B0C7" w14:textId="04BCF33C" w:rsidR="006A1293" w:rsidRDefault="006A1293" w:rsidP="006A1293">
      <w:pPr>
        <w:pStyle w:val="Heading2"/>
      </w:pPr>
      <w:bookmarkStart w:id="3" w:name="_Toc34236764"/>
      <w:r w:rsidRPr="006A1293">
        <w:t xml:space="preserve">2.1 Government authorities: institutional </w:t>
      </w:r>
      <w:r w:rsidR="0045309E">
        <w:t>inertia</w:t>
      </w:r>
      <w:bookmarkEnd w:id="3"/>
    </w:p>
    <w:p w14:paraId="754AF465" w14:textId="4EBC1487" w:rsidR="006A1293" w:rsidRPr="005A20E9" w:rsidRDefault="006A1293" w:rsidP="005A20E9">
      <w:pPr>
        <w:pStyle w:val="Heading3"/>
      </w:pPr>
      <w:bookmarkStart w:id="4" w:name="_Toc34236765"/>
      <w:r w:rsidRPr="005A20E9">
        <w:t>Pattern 1. Denial of the existence of slavery in Mauritania</w:t>
      </w:r>
      <w:bookmarkEnd w:id="4"/>
    </w:p>
    <w:p w14:paraId="0BF25592" w14:textId="603A4FD6" w:rsidR="000A6E5A" w:rsidRDefault="006A1293" w:rsidP="000A6E5A">
      <w:r>
        <w:t xml:space="preserve">The Mauritanian government has maintained a position towards slavery that </w:t>
      </w:r>
      <w:r w:rsidR="0045309E">
        <w:t>sends mixed messages</w:t>
      </w:r>
      <w:r>
        <w:t>. On the one hand, under the presidency of</w:t>
      </w:r>
      <w:r w:rsidR="00C51FEF">
        <w:t xml:space="preserve"> </w:t>
      </w:r>
      <w:r w:rsidR="00C51FEF" w:rsidRPr="00C51FEF">
        <w:t xml:space="preserve">Mohamed </w:t>
      </w:r>
      <w:proofErr w:type="spellStart"/>
      <w:r w:rsidR="00C51FEF" w:rsidRPr="00C51FEF">
        <w:t>Ould</w:t>
      </w:r>
      <w:proofErr w:type="spellEnd"/>
      <w:r>
        <w:t xml:space="preserve"> </w:t>
      </w:r>
      <w:r w:rsidRPr="006A1293">
        <w:t>Abdelaziz</w:t>
      </w:r>
      <w:r>
        <w:t>, the country volunteered to become a Pathfinder State of the Delta 8.7 Alliance against slavery, that is, a leading example to other States in the world</w:t>
      </w:r>
      <w:r w:rsidR="00C51FEF">
        <w:t xml:space="preserve"> in order “</w:t>
      </w:r>
      <w:r w:rsidR="00C51FEF" w:rsidRPr="00C51FEF">
        <w:t>to drive change by showing progress and successful interventions</w:t>
      </w:r>
      <w:r w:rsidR="00C51FEF">
        <w:t>”</w:t>
      </w:r>
      <w:r>
        <w:t>.</w:t>
      </w:r>
      <w:r w:rsidR="00C51FEF">
        <w:rPr>
          <w:rStyle w:val="FootnoteReference"/>
        </w:rPr>
        <w:footnoteReference w:id="19"/>
      </w:r>
      <w:r>
        <w:t xml:space="preserve"> On the other hand,</w:t>
      </w:r>
      <w:r w:rsidR="005A20E9">
        <w:t xml:space="preserve"> </w:t>
      </w:r>
      <w:r w:rsidR="0069482F" w:rsidRPr="0069482F">
        <w:t>the government speak</w:t>
      </w:r>
      <w:r w:rsidR="00C51FEF">
        <w:t>s</w:t>
      </w:r>
      <w:r w:rsidR="0069482F" w:rsidRPr="0069482F">
        <w:t xml:space="preserve"> of ‘vestiges’ of slavery, </w:t>
      </w:r>
      <w:r w:rsidR="0069482F">
        <w:t xml:space="preserve">while </w:t>
      </w:r>
      <w:r w:rsidR="0069482F" w:rsidRPr="0069482F">
        <w:t xml:space="preserve">local anti-slavery activists such as Boubacar </w:t>
      </w:r>
      <w:proofErr w:type="spellStart"/>
      <w:r w:rsidR="0069482F" w:rsidRPr="0069482F">
        <w:t>Messaoud</w:t>
      </w:r>
      <w:proofErr w:type="spellEnd"/>
      <w:r w:rsidR="0069482F" w:rsidRPr="0069482F">
        <w:t xml:space="preserve"> and </w:t>
      </w:r>
      <w:proofErr w:type="spellStart"/>
      <w:r w:rsidR="0069482F" w:rsidRPr="0069482F">
        <w:t>Biram</w:t>
      </w:r>
      <w:proofErr w:type="spellEnd"/>
      <w:r w:rsidR="0069482F" w:rsidRPr="0069482F">
        <w:t xml:space="preserve"> Dah </w:t>
      </w:r>
      <w:proofErr w:type="spellStart"/>
      <w:r w:rsidR="0069482F" w:rsidRPr="0069482F">
        <w:t>Abeid</w:t>
      </w:r>
      <w:proofErr w:type="spellEnd"/>
      <w:r w:rsidR="0069482F" w:rsidRPr="0069482F">
        <w:t xml:space="preserve">  insist that slavery remains </w:t>
      </w:r>
      <w:r w:rsidR="00A82FAE">
        <w:t xml:space="preserve">a </w:t>
      </w:r>
      <w:r w:rsidR="00C51FEF">
        <w:t xml:space="preserve">major </w:t>
      </w:r>
      <w:r w:rsidR="00A82FAE">
        <w:t>contemporary problem</w:t>
      </w:r>
      <w:r w:rsidR="005A20E9">
        <w:t>.</w:t>
      </w:r>
      <w:r w:rsidR="009D4DAE">
        <w:rPr>
          <w:rStyle w:val="FootnoteReference"/>
        </w:rPr>
        <w:footnoteReference w:id="20"/>
      </w:r>
      <w:r w:rsidR="000A6E5A">
        <w:t xml:space="preserve"> </w:t>
      </w:r>
    </w:p>
    <w:p w14:paraId="6D70974D" w14:textId="5191AAB2" w:rsidR="000A6E5A" w:rsidRDefault="005457BC" w:rsidP="000A6E5A">
      <w:r>
        <w:t xml:space="preserve">There are different </w:t>
      </w:r>
      <w:r w:rsidR="00B27500">
        <w:t>positions in the country</w:t>
      </w:r>
      <w:r>
        <w:t xml:space="preserve"> </w:t>
      </w:r>
      <w:r w:rsidR="00C51FEF">
        <w:t xml:space="preserve">on </w:t>
      </w:r>
      <w:r>
        <w:t>whether slavery continues to exist, with some talking about</w:t>
      </w:r>
      <w:r w:rsidR="00C51FEF">
        <w:t xml:space="preserve"> traces of slavery</w:t>
      </w:r>
      <w:r>
        <w:t>, others denying its existence in their own community but identifying it in other groups,</w:t>
      </w:r>
      <w:r w:rsidR="009D4DAE">
        <w:rPr>
          <w:rStyle w:val="FootnoteReference"/>
        </w:rPr>
        <w:footnoteReference w:id="21"/>
      </w:r>
      <w:r>
        <w:t xml:space="preserve"> and others, </w:t>
      </w:r>
      <w:r w:rsidR="00C51FEF">
        <w:t xml:space="preserve">including </w:t>
      </w:r>
      <w:r w:rsidR="00435E95">
        <w:t>with</w:t>
      </w:r>
      <w:r>
        <w:t>in the academic community, criticizing t</w:t>
      </w:r>
      <w:r w:rsidR="000A6E5A">
        <w:t>he allegations</w:t>
      </w:r>
      <w:r w:rsidR="0045309E">
        <w:t xml:space="preserve"> made</w:t>
      </w:r>
      <w:r w:rsidR="000A6E5A">
        <w:t xml:space="preserve"> by anti-slavery organizations </w:t>
      </w:r>
      <w:r w:rsidR="00F772DC">
        <w:t>and</w:t>
      </w:r>
      <w:r>
        <w:t xml:space="preserve"> talking</w:t>
      </w:r>
      <w:r w:rsidR="000A6E5A">
        <w:t xml:space="preserve"> about exaggeration, lack of statistical sources and factual errors.</w:t>
      </w:r>
      <w:r w:rsidR="009D4DAE">
        <w:rPr>
          <w:rStyle w:val="FootnoteReference"/>
        </w:rPr>
        <w:footnoteReference w:id="22"/>
      </w:r>
      <w:r w:rsidR="00F22E49">
        <w:t xml:space="preserve"> </w:t>
      </w:r>
      <w:r w:rsidR="001D23CF">
        <w:t>S</w:t>
      </w:r>
      <w:r w:rsidR="00F22E49" w:rsidRPr="00F22E49">
        <w:t xml:space="preserve">ome government officials </w:t>
      </w:r>
      <w:r w:rsidR="001D23CF">
        <w:t>d</w:t>
      </w:r>
      <w:r w:rsidR="00F22E49" w:rsidRPr="00F22E49">
        <w:t xml:space="preserve">o not fully acknowledge the continued existence of exploitation and instead discuss the </w:t>
      </w:r>
      <w:r w:rsidR="00F22E49">
        <w:t>“</w:t>
      </w:r>
      <w:r w:rsidR="00F22E49" w:rsidRPr="00F22E49">
        <w:t xml:space="preserve">remnants of </w:t>
      </w:r>
      <w:r w:rsidR="00F22E49" w:rsidRPr="00F22E49">
        <w:lastRenderedPageBreak/>
        <w:t>slavery</w:t>
      </w:r>
      <w:r w:rsidR="00F22E49">
        <w:t>”</w:t>
      </w:r>
      <w:r w:rsidR="001D23CF">
        <w:t>, which</w:t>
      </w:r>
      <w:r w:rsidR="00F22E49" w:rsidRPr="00F22E49">
        <w:t xml:space="preserve"> results in </w:t>
      </w:r>
      <w:r w:rsidR="00C25111">
        <w:t>“</w:t>
      </w:r>
      <w:r w:rsidR="00F22E49" w:rsidRPr="00F22E49">
        <w:t>uncertainty about the numbers of people still affected by slavery and slavery-like practices</w:t>
      </w:r>
      <w:r w:rsidR="00C25111">
        <w:t>”.</w:t>
      </w:r>
      <w:r w:rsidR="009D4DAE">
        <w:rPr>
          <w:rStyle w:val="FootnoteReference"/>
        </w:rPr>
        <w:footnoteReference w:id="23"/>
      </w:r>
    </w:p>
    <w:p w14:paraId="48A5031B" w14:textId="27E711E1" w:rsidR="00922028" w:rsidRDefault="00435E95" w:rsidP="00A518AE">
      <w:r>
        <w:rPr>
          <w:szCs w:val="24"/>
        </w:rPr>
        <w:t xml:space="preserve">Key individuals’ public positions on the slavery question appears to have a significant role to play in setting the tone from the top of government. </w:t>
      </w:r>
      <w:r w:rsidR="005A0E6C" w:rsidRPr="00AB3B22">
        <w:rPr>
          <w:szCs w:val="24"/>
        </w:rPr>
        <w:t xml:space="preserve">The </w:t>
      </w:r>
      <w:r w:rsidR="001D23CF">
        <w:rPr>
          <w:szCs w:val="24"/>
        </w:rPr>
        <w:t>current</w:t>
      </w:r>
      <w:r w:rsidR="005A0E6C" w:rsidRPr="00AB3B22">
        <w:rPr>
          <w:szCs w:val="24"/>
        </w:rPr>
        <w:t xml:space="preserve"> president, </w:t>
      </w:r>
      <w:r w:rsidR="00A56302" w:rsidRPr="00A56302">
        <w:rPr>
          <w:szCs w:val="24"/>
        </w:rPr>
        <w:t xml:space="preserve">Mohamed </w:t>
      </w:r>
      <w:proofErr w:type="spellStart"/>
      <w:r w:rsidR="00A56302" w:rsidRPr="00A56302">
        <w:rPr>
          <w:szCs w:val="24"/>
        </w:rPr>
        <w:t>Ould</w:t>
      </w:r>
      <w:proofErr w:type="spellEnd"/>
      <w:r w:rsidR="00A56302" w:rsidRPr="00A56302">
        <w:rPr>
          <w:szCs w:val="24"/>
        </w:rPr>
        <w:t xml:space="preserve"> </w:t>
      </w:r>
      <w:proofErr w:type="spellStart"/>
      <w:r w:rsidR="00F50B7C" w:rsidRPr="00AB3B22">
        <w:rPr>
          <w:szCs w:val="24"/>
        </w:rPr>
        <w:t>Ghazouani</w:t>
      </w:r>
      <w:proofErr w:type="spellEnd"/>
      <w:r w:rsidR="005A0E6C" w:rsidRPr="00AB3B22">
        <w:rPr>
          <w:szCs w:val="24"/>
        </w:rPr>
        <w:t xml:space="preserve">, took office </w:t>
      </w:r>
      <w:r w:rsidR="001D23CF">
        <w:rPr>
          <w:szCs w:val="24"/>
        </w:rPr>
        <w:t>in</w:t>
      </w:r>
      <w:r w:rsidR="005A0E6C" w:rsidRPr="00AB3B22">
        <w:rPr>
          <w:szCs w:val="24"/>
        </w:rPr>
        <w:t xml:space="preserve"> August 2019</w:t>
      </w:r>
      <w:r w:rsidR="00A56302">
        <w:rPr>
          <w:szCs w:val="24"/>
        </w:rPr>
        <w:t xml:space="preserve"> and has </w:t>
      </w:r>
      <w:r w:rsidR="00036C28">
        <w:rPr>
          <w:szCs w:val="24"/>
        </w:rPr>
        <w:t xml:space="preserve">initially </w:t>
      </w:r>
      <w:r w:rsidR="00A56302">
        <w:rPr>
          <w:szCs w:val="24"/>
        </w:rPr>
        <w:t>shown greater</w:t>
      </w:r>
      <w:r w:rsidR="00546C41">
        <w:rPr>
          <w:szCs w:val="24"/>
        </w:rPr>
        <w:t xml:space="preserve"> </w:t>
      </w:r>
      <w:r w:rsidR="001D23CF">
        <w:t>acknowledgement</w:t>
      </w:r>
      <w:r w:rsidR="00A56302">
        <w:t xml:space="preserve"> of </w:t>
      </w:r>
      <w:r w:rsidR="00036C28">
        <w:t>slavery’s legacy, leading to hope of prospects for reform. However, his discourse still</w:t>
      </w:r>
      <w:r w:rsidR="00546C41" w:rsidRPr="008275A2">
        <w:t xml:space="preserve"> </w:t>
      </w:r>
      <w:r w:rsidR="00546C41">
        <w:t>focuse</w:t>
      </w:r>
      <w:r w:rsidR="00036C28">
        <w:t>d</w:t>
      </w:r>
      <w:r w:rsidR="00546C41">
        <w:t xml:space="preserve"> </w:t>
      </w:r>
      <w:r w:rsidR="001D23CF">
        <w:t xml:space="preserve">mainly </w:t>
      </w:r>
      <w:r w:rsidR="00546C41">
        <w:t>on</w:t>
      </w:r>
      <w:r w:rsidR="00546C41" w:rsidRPr="008275A2">
        <w:t xml:space="preserve"> </w:t>
      </w:r>
      <w:r w:rsidR="00036C28">
        <w:t>‘</w:t>
      </w:r>
      <w:r w:rsidR="00546C41" w:rsidRPr="008275A2">
        <w:t>social cohesion</w:t>
      </w:r>
      <w:r w:rsidR="00036C28">
        <w:t>’, rather than ending slavery (and this term can suggest an unwillingness to take targeted action to address the inequalities between social groups)</w:t>
      </w:r>
      <w:r w:rsidR="00F50B7C" w:rsidRPr="00AB3B22">
        <w:rPr>
          <w:szCs w:val="24"/>
        </w:rPr>
        <w:t>.</w:t>
      </w:r>
      <w:r w:rsidR="00546C41">
        <w:rPr>
          <w:rStyle w:val="FootnoteReference"/>
          <w:szCs w:val="24"/>
        </w:rPr>
        <w:footnoteReference w:id="24"/>
      </w:r>
      <w:r w:rsidR="00F50B7C" w:rsidRPr="00AB3B22">
        <w:rPr>
          <w:szCs w:val="24"/>
        </w:rPr>
        <w:t xml:space="preserve"> </w:t>
      </w:r>
      <w:r w:rsidR="00A56302">
        <w:rPr>
          <w:rFonts w:eastAsia="Times New Roman"/>
          <w:szCs w:val="24"/>
        </w:rPr>
        <w:t xml:space="preserve">Recently, </w:t>
      </w:r>
      <w:proofErr w:type="spellStart"/>
      <w:r w:rsidR="00F50B7C" w:rsidRPr="00AB3B22">
        <w:rPr>
          <w:rFonts w:eastAsia="Times New Roman"/>
          <w:szCs w:val="24"/>
        </w:rPr>
        <w:t>Biram</w:t>
      </w:r>
      <w:proofErr w:type="spellEnd"/>
      <w:r w:rsidR="00F50B7C" w:rsidRPr="00AB3B22">
        <w:rPr>
          <w:rFonts w:eastAsia="Times New Roman"/>
          <w:szCs w:val="24"/>
        </w:rPr>
        <w:t xml:space="preserve"> Dah </w:t>
      </w:r>
      <w:proofErr w:type="spellStart"/>
      <w:r w:rsidR="00F50B7C" w:rsidRPr="00AB3B22">
        <w:rPr>
          <w:rFonts w:eastAsia="Times New Roman"/>
          <w:szCs w:val="24"/>
        </w:rPr>
        <w:t>Abeid</w:t>
      </w:r>
      <w:proofErr w:type="spellEnd"/>
      <w:r w:rsidR="00F50B7C" w:rsidRPr="00AB3B22">
        <w:rPr>
          <w:rFonts w:eastAsia="Times New Roman"/>
          <w:szCs w:val="24"/>
        </w:rPr>
        <w:t xml:space="preserve">, </w:t>
      </w:r>
      <w:r w:rsidR="00046C1D" w:rsidRPr="00AB3B22">
        <w:rPr>
          <w:rFonts w:eastAsia="Times New Roman"/>
          <w:szCs w:val="24"/>
        </w:rPr>
        <w:t>a leading figure in the anti-slavery movement</w:t>
      </w:r>
      <w:r w:rsidR="00046C1D">
        <w:rPr>
          <w:rFonts w:eastAsia="Times New Roman"/>
          <w:szCs w:val="24"/>
        </w:rPr>
        <w:t xml:space="preserve"> </w:t>
      </w:r>
      <w:r w:rsidR="00160E0B">
        <w:rPr>
          <w:rFonts w:eastAsia="Times New Roman"/>
          <w:szCs w:val="24"/>
        </w:rPr>
        <w:t xml:space="preserve">who had been detained in 2018 by the previous government, </w:t>
      </w:r>
      <w:r w:rsidR="00F50B7C" w:rsidRPr="00AB3B22">
        <w:rPr>
          <w:rFonts w:eastAsia="Times New Roman"/>
          <w:szCs w:val="24"/>
        </w:rPr>
        <w:t xml:space="preserve">has held bilateral talks with </w:t>
      </w:r>
      <w:r w:rsidR="00160E0B">
        <w:rPr>
          <w:rFonts w:eastAsia="Times New Roman"/>
          <w:szCs w:val="24"/>
        </w:rPr>
        <w:t>the</w:t>
      </w:r>
      <w:r w:rsidR="00F50B7C" w:rsidRPr="00AB3B22">
        <w:rPr>
          <w:rFonts w:eastAsia="Times New Roman"/>
          <w:szCs w:val="24"/>
        </w:rPr>
        <w:t xml:space="preserve"> president, where </w:t>
      </w:r>
      <w:proofErr w:type="spellStart"/>
      <w:r w:rsidR="00F50B7C" w:rsidRPr="00AB3B22">
        <w:rPr>
          <w:rFonts w:eastAsia="Times New Roman"/>
          <w:szCs w:val="24"/>
        </w:rPr>
        <w:t>Abeid</w:t>
      </w:r>
      <w:proofErr w:type="spellEnd"/>
      <w:r w:rsidR="00F50B7C" w:rsidRPr="00AB3B22">
        <w:rPr>
          <w:rFonts w:eastAsia="Times New Roman"/>
          <w:szCs w:val="24"/>
        </w:rPr>
        <w:t xml:space="preserve"> raised concerns about the application of the current legislation and the functioning of the courts in slavery-related cases.</w:t>
      </w:r>
      <w:r w:rsidR="00F62084">
        <w:rPr>
          <w:rStyle w:val="FootnoteReference"/>
          <w:rFonts w:eastAsia="Times New Roman"/>
          <w:szCs w:val="24"/>
        </w:rPr>
        <w:footnoteReference w:id="25"/>
      </w:r>
      <w:r w:rsidR="00F50B7C" w:rsidRPr="00AB3B22">
        <w:rPr>
          <w:rFonts w:eastAsia="Times New Roman"/>
          <w:szCs w:val="24"/>
        </w:rPr>
        <w:t xml:space="preserve"> The issue </w:t>
      </w:r>
      <w:r>
        <w:rPr>
          <w:rFonts w:eastAsia="Times New Roman"/>
          <w:szCs w:val="24"/>
        </w:rPr>
        <w:t>appears to be</w:t>
      </w:r>
      <w:r w:rsidR="00F50B7C" w:rsidRPr="00AB3B22">
        <w:rPr>
          <w:rFonts w:eastAsia="Times New Roman"/>
          <w:szCs w:val="24"/>
        </w:rPr>
        <w:t xml:space="preserve"> on the </w:t>
      </w:r>
      <w:r>
        <w:rPr>
          <w:rFonts w:eastAsia="Times New Roman"/>
          <w:szCs w:val="24"/>
        </w:rPr>
        <w:t xml:space="preserve">president’s </w:t>
      </w:r>
      <w:r w:rsidR="00F50B7C" w:rsidRPr="00AB3B22">
        <w:rPr>
          <w:rFonts w:eastAsia="Times New Roman"/>
          <w:szCs w:val="24"/>
        </w:rPr>
        <w:t xml:space="preserve">political agenda, </w:t>
      </w:r>
      <w:r w:rsidR="00A56302">
        <w:rPr>
          <w:rFonts w:eastAsia="Times New Roman"/>
          <w:szCs w:val="24"/>
        </w:rPr>
        <w:t xml:space="preserve">but </w:t>
      </w:r>
      <w:r>
        <w:rPr>
          <w:rFonts w:eastAsia="Times New Roman"/>
          <w:szCs w:val="24"/>
        </w:rPr>
        <w:t xml:space="preserve">this </w:t>
      </w:r>
      <w:r w:rsidR="00A56302">
        <w:rPr>
          <w:rFonts w:eastAsia="Times New Roman"/>
          <w:szCs w:val="24"/>
        </w:rPr>
        <w:t xml:space="preserve">could also be a public relations </w:t>
      </w:r>
      <w:r w:rsidR="00F50B7C" w:rsidRPr="00AB3B22">
        <w:rPr>
          <w:rFonts w:eastAsia="Times New Roman"/>
          <w:szCs w:val="24"/>
        </w:rPr>
        <w:t xml:space="preserve">strategy </w:t>
      </w:r>
      <w:r>
        <w:rPr>
          <w:rFonts w:eastAsia="Times New Roman"/>
          <w:szCs w:val="24"/>
        </w:rPr>
        <w:t xml:space="preserve">intended to achieve </w:t>
      </w:r>
      <w:r w:rsidR="00F50B7C" w:rsidRPr="00AB3B22">
        <w:rPr>
          <w:rFonts w:eastAsia="Times New Roman"/>
          <w:szCs w:val="24"/>
        </w:rPr>
        <w:t xml:space="preserve">other political purposes. </w:t>
      </w:r>
      <w:r w:rsidR="00A56302">
        <w:rPr>
          <w:rFonts w:eastAsia="Times New Roman"/>
          <w:szCs w:val="24"/>
        </w:rPr>
        <w:t xml:space="preserve">Former President </w:t>
      </w:r>
      <w:r w:rsidR="00F50B7C" w:rsidRPr="00AB3B22">
        <w:rPr>
          <w:rFonts w:eastAsia="Times New Roman"/>
          <w:szCs w:val="24"/>
        </w:rPr>
        <w:t xml:space="preserve">Abdelaziz has declared an intention to remain </w:t>
      </w:r>
      <w:r w:rsidR="001D23CF">
        <w:rPr>
          <w:rFonts w:eastAsia="Times New Roman"/>
          <w:szCs w:val="24"/>
        </w:rPr>
        <w:t>“</w:t>
      </w:r>
      <w:r w:rsidR="00F50B7C" w:rsidRPr="00AB3B22">
        <w:rPr>
          <w:rFonts w:eastAsia="Times New Roman"/>
          <w:szCs w:val="24"/>
        </w:rPr>
        <w:t>active in politics</w:t>
      </w:r>
      <w:r w:rsidR="001D23CF">
        <w:rPr>
          <w:rFonts w:eastAsia="Times New Roman"/>
          <w:szCs w:val="24"/>
        </w:rPr>
        <w:t>” and eventually</w:t>
      </w:r>
      <w:r w:rsidR="00F50B7C" w:rsidRPr="00AB3B22">
        <w:rPr>
          <w:rFonts w:eastAsia="Times New Roman"/>
          <w:szCs w:val="24"/>
        </w:rPr>
        <w:t xml:space="preserve"> stand for </w:t>
      </w:r>
      <w:r w:rsidR="001D23CF">
        <w:rPr>
          <w:rFonts w:eastAsia="Times New Roman"/>
          <w:szCs w:val="24"/>
        </w:rPr>
        <w:t>election</w:t>
      </w:r>
      <w:r w:rsidR="00F50B7C" w:rsidRPr="00AB3B22">
        <w:rPr>
          <w:rFonts w:eastAsia="Times New Roman"/>
          <w:szCs w:val="24"/>
        </w:rPr>
        <w:t>.</w:t>
      </w:r>
      <w:r w:rsidR="00F62084">
        <w:rPr>
          <w:rStyle w:val="FootnoteReference"/>
          <w:rFonts w:eastAsia="Times New Roman"/>
          <w:szCs w:val="24"/>
        </w:rPr>
        <w:footnoteReference w:id="26"/>
      </w:r>
      <w:r w:rsidR="00F50B7C" w:rsidRPr="00AB3B22">
        <w:rPr>
          <w:rFonts w:eastAsia="Times New Roman"/>
          <w:szCs w:val="24"/>
        </w:rPr>
        <w:t xml:space="preserve"> </w:t>
      </w:r>
      <w:r w:rsidR="001D23CF">
        <w:rPr>
          <w:rFonts w:eastAsia="Times New Roman"/>
          <w:szCs w:val="24"/>
        </w:rPr>
        <w:t>He may therefore “</w:t>
      </w:r>
      <w:r w:rsidR="00F50B7C" w:rsidRPr="00AB3B22">
        <w:rPr>
          <w:rFonts w:eastAsia="Times New Roman"/>
          <w:szCs w:val="24"/>
        </w:rPr>
        <w:t>remain a powerful influence behind the formal authority of</w:t>
      </w:r>
      <w:r w:rsidR="00160E0B">
        <w:rPr>
          <w:rFonts w:eastAsia="Times New Roman"/>
          <w:szCs w:val="24"/>
        </w:rPr>
        <w:t>”</w:t>
      </w:r>
      <w:r w:rsidR="009440D0">
        <w:rPr>
          <w:rStyle w:val="FootnoteReference"/>
          <w:rFonts w:eastAsia="Times New Roman"/>
          <w:szCs w:val="24"/>
        </w:rPr>
        <w:footnoteReference w:id="27"/>
      </w:r>
      <w:r w:rsidR="00160E0B" w:rsidRPr="00AB3B22">
        <w:rPr>
          <w:rFonts w:eastAsia="Times New Roman"/>
          <w:szCs w:val="24"/>
        </w:rPr>
        <w:t xml:space="preserve"> </w:t>
      </w:r>
      <w:proofErr w:type="spellStart"/>
      <w:r w:rsidR="00F50B7C" w:rsidRPr="00AB3B22">
        <w:rPr>
          <w:rFonts w:eastAsia="Times New Roman"/>
          <w:szCs w:val="24"/>
        </w:rPr>
        <w:t>Ghazouani</w:t>
      </w:r>
      <w:proofErr w:type="spellEnd"/>
      <w:r w:rsidR="00160E0B">
        <w:rPr>
          <w:rFonts w:eastAsia="Times New Roman"/>
          <w:szCs w:val="24"/>
        </w:rPr>
        <w:t xml:space="preserve">. </w:t>
      </w:r>
      <w:r w:rsidR="00F50B7C" w:rsidRPr="00AB3B22">
        <w:rPr>
          <w:rFonts w:eastAsia="Times New Roman"/>
          <w:szCs w:val="24"/>
        </w:rPr>
        <w:t xml:space="preserve">Both </w:t>
      </w:r>
      <w:r w:rsidR="00160E0B">
        <w:rPr>
          <w:rFonts w:eastAsia="Times New Roman"/>
          <w:szCs w:val="24"/>
        </w:rPr>
        <w:t xml:space="preserve">being representatives of </w:t>
      </w:r>
      <w:r w:rsidR="00F50B7C" w:rsidRPr="00AB3B22">
        <w:rPr>
          <w:rFonts w:eastAsia="Times New Roman"/>
          <w:szCs w:val="24"/>
        </w:rPr>
        <w:t xml:space="preserve">the Union Pour la </w:t>
      </w:r>
      <w:proofErr w:type="spellStart"/>
      <w:r w:rsidR="00F50B7C" w:rsidRPr="00AB3B22">
        <w:rPr>
          <w:rFonts w:eastAsia="Times New Roman"/>
          <w:szCs w:val="24"/>
        </w:rPr>
        <w:t>République</w:t>
      </w:r>
      <w:proofErr w:type="spellEnd"/>
      <w:r w:rsidR="00F50B7C" w:rsidRPr="00AB3B22">
        <w:rPr>
          <w:rFonts w:eastAsia="Times New Roman"/>
          <w:szCs w:val="24"/>
        </w:rPr>
        <w:t xml:space="preserve"> (UPR), this influence could mean </w:t>
      </w:r>
      <w:r w:rsidR="00A56302">
        <w:rPr>
          <w:rFonts w:eastAsia="Times New Roman"/>
          <w:szCs w:val="24"/>
        </w:rPr>
        <w:t>that the situation will remain static under</w:t>
      </w:r>
      <w:r w:rsidR="00F50B7C" w:rsidRPr="00AB3B22">
        <w:rPr>
          <w:rFonts w:eastAsia="Times New Roman"/>
          <w:szCs w:val="24"/>
        </w:rPr>
        <w:t xml:space="preserve"> the new president. </w:t>
      </w:r>
      <w:r w:rsidR="006F07EF">
        <w:rPr>
          <w:rFonts w:eastAsia="Times New Roman"/>
          <w:szCs w:val="24"/>
        </w:rPr>
        <w:t>Some leadership on this issue is apparent at the ministerial level, with t</w:t>
      </w:r>
      <w:r w:rsidR="00E76045">
        <w:rPr>
          <w:rFonts w:eastAsia="Times New Roman"/>
          <w:szCs w:val="24"/>
        </w:rPr>
        <w:t>he n</w:t>
      </w:r>
      <w:r w:rsidR="00E76045" w:rsidRPr="005579CD">
        <w:t>ew minister of justice</w:t>
      </w:r>
      <w:r w:rsidR="00F62084">
        <w:t xml:space="preserve">, </w:t>
      </w:r>
      <w:proofErr w:type="spellStart"/>
      <w:r w:rsidR="00F62084" w:rsidRPr="00F62084">
        <w:t>Haimoud</w:t>
      </w:r>
      <w:proofErr w:type="spellEnd"/>
      <w:r w:rsidR="00F62084" w:rsidRPr="00F62084">
        <w:t xml:space="preserve"> </w:t>
      </w:r>
      <w:proofErr w:type="spellStart"/>
      <w:r w:rsidR="00F62084" w:rsidRPr="00F62084">
        <w:t>Ould</w:t>
      </w:r>
      <w:proofErr w:type="spellEnd"/>
      <w:r w:rsidR="00F62084" w:rsidRPr="00F62084">
        <w:t xml:space="preserve"> </w:t>
      </w:r>
      <w:proofErr w:type="spellStart"/>
      <w:r w:rsidR="00F62084" w:rsidRPr="00F62084">
        <w:t>Ramdane</w:t>
      </w:r>
      <w:proofErr w:type="spellEnd"/>
      <w:r w:rsidR="006F07EF">
        <w:t xml:space="preserve">—a </w:t>
      </w:r>
      <w:proofErr w:type="spellStart"/>
      <w:r w:rsidR="00E76045" w:rsidRPr="005579CD">
        <w:t>Haratine</w:t>
      </w:r>
      <w:proofErr w:type="spellEnd"/>
      <w:r w:rsidR="00E76045" w:rsidRPr="005579CD">
        <w:t xml:space="preserve"> and</w:t>
      </w:r>
      <w:r w:rsidR="00E76045">
        <w:t xml:space="preserve"> a</w:t>
      </w:r>
      <w:r w:rsidR="00E76045" w:rsidRPr="005579CD">
        <w:t xml:space="preserve"> tech</w:t>
      </w:r>
      <w:r w:rsidR="00E76045">
        <w:t>nical</w:t>
      </w:r>
      <w:r w:rsidR="00E76045" w:rsidRPr="005579CD">
        <w:t xml:space="preserve"> adviser and lawyer</w:t>
      </w:r>
      <w:r w:rsidR="006F07EF">
        <w:t>—</w:t>
      </w:r>
      <w:r w:rsidR="00036C28">
        <w:t>. In a meeting with Anti-Slavery International, he seemed</w:t>
      </w:r>
      <w:r w:rsidR="00E76045" w:rsidRPr="005579CD">
        <w:t xml:space="preserve"> genuinely interested in legal reform and </w:t>
      </w:r>
      <w:r w:rsidR="00E76045">
        <w:t xml:space="preserve">in </w:t>
      </w:r>
      <w:r w:rsidR="00E76045" w:rsidRPr="005579CD">
        <w:t xml:space="preserve">making justice more accessible to all population and having </w:t>
      </w:r>
      <w:r w:rsidR="00A761FB">
        <w:t>anti-slavery</w:t>
      </w:r>
      <w:r w:rsidR="00E76045" w:rsidRPr="005579CD">
        <w:t xml:space="preserve"> laws enforced</w:t>
      </w:r>
      <w:r w:rsidR="006F07EF">
        <w:t>. However,</w:t>
      </w:r>
      <w:r w:rsidR="00E76045">
        <w:t xml:space="preserve"> the limited resources at his disposal and the lack of support from his government make his </w:t>
      </w:r>
      <w:r w:rsidR="00A56302">
        <w:t xml:space="preserve">mission </w:t>
      </w:r>
      <w:r w:rsidR="00E76045">
        <w:t>challenging.</w:t>
      </w:r>
      <w:r w:rsidR="00E76045">
        <w:rPr>
          <w:rStyle w:val="FootnoteReference"/>
        </w:rPr>
        <w:footnoteReference w:id="28"/>
      </w:r>
    </w:p>
    <w:p w14:paraId="37CD82D0" w14:textId="75886CE8" w:rsidR="006A1293" w:rsidRDefault="005A20E9" w:rsidP="005A20E9">
      <w:pPr>
        <w:pStyle w:val="Heading3"/>
      </w:pPr>
      <w:bookmarkStart w:id="5" w:name="_Toc34236766"/>
      <w:r>
        <w:t>Pattern 2. Insufficient action to enact the institutional agenda against slavery</w:t>
      </w:r>
      <w:bookmarkEnd w:id="5"/>
    </w:p>
    <w:p w14:paraId="08919699" w14:textId="505455AC" w:rsidR="00365936" w:rsidRDefault="002C3D60" w:rsidP="005A20E9">
      <w:r>
        <w:t xml:space="preserve">In 2018, the </w:t>
      </w:r>
      <w:r w:rsidR="005A20E9">
        <w:t xml:space="preserve">government created </w:t>
      </w:r>
      <w:proofErr w:type="spellStart"/>
      <w:r w:rsidRPr="005A20E9">
        <w:rPr>
          <w:i/>
          <w:iCs/>
        </w:rPr>
        <w:t>Tadamoun</w:t>
      </w:r>
      <w:proofErr w:type="spellEnd"/>
      <w:r>
        <w:t>, its anti-slavery</w:t>
      </w:r>
      <w:r w:rsidR="005A20E9">
        <w:t xml:space="preserve"> agency</w:t>
      </w:r>
      <w:r>
        <w:t xml:space="preserve">, </w:t>
      </w:r>
      <w:r w:rsidR="005A20E9">
        <w:t>and adopted an Anti-Slavery National Roadmap. While these two initiatives were seen as positive sign</w:t>
      </w:r>
      <w:r w:rsidR="00A56302">
        <w:t>s</w:t>
      </w:r>
      <w:r w:rsidR="005A20E9">
        <w:t xml:space="preserve">, their implementation has been limited and </w:t>
      </w:r>
      <w:r w:rsidR="003F231B">
        <w:t xml:space="preserve">does not </w:t>
      </w:r>
      <w:r w:rsidR="005A20E9">
        <w:t>seem to provide s</w:t>
      </w:r>
      <w:r w:rsidR="00AB3B22">
        <w:t>o</w:t>
      </w:r>
      <w:r w:rsidR="005A20E9">
        <w:t xml:space="preserve">lutions to </w:t>
      </w:r>
      <w:r w:rsidR="008275A2">
        <w:t>improve</w:t>
      </w:r>
      <w:r w:rsidR="005A20E9">
        <w:t xml:space="preserve"> the situation of slavery </w:t>
      </w:r>
      <w:r w:rsidR="00A56302">
        <w:t>on the ground</w:t>
      </w:r>
      <w:r w:rsidR="005A20E9">
        <w:t>.</w:t>
      </w:r>
      <w:r w:rsidR="008275A2">
        <w:rPr>
          <w:rStyle w:val="FootnoteReference"/>
        </w:rPr>
        <w:footnoteReference w:id="29"/>
      </w:r>
      <w:r w:rsidR="005A20E9">
        <w:t xml:space="preserve"> </w:t>
      </w:r>
      <w:proofErr w:type="spellStart"/>
      <w:r w:rsidR="00A63129" w:rsidRPr="00365936">
        <w:rPr>
          <w:i/>
          <w:iCs/>
        </w:rPr>
        <w:t>Tadamoun</w:t>
      </w:r>
      <w:proofErr w:type="spellEnd"/>
      <w:r w:rsidR="00A63129">
        <w:t xml:space="preserve"> reportedly continued operating schools in communities of former slaves and providing support to communities of slave descendants and groups vulnerable to exploitation</w:t>
      </w:r>
      <w:r w:rsidR="00A63129">
        <w:rPr>
          <w:rStyle w:val="FootnoteReference"/>
        </w:rPr>
        <w:footnoteReference w:id="30"/>
      </w:r>
      <w:r w:rsidR="00A63129">
        <w:t xml:space="preserve"> but its impact remains limited. The government has also increased the funding allocated to </w:t>
      </w:r>
      <w:r w:rsidR="00A56302">
        <w:t xml:space="preserve">special </w:t>
      </w:r>
      <w:r w:rsidR="00A63129">
        <w:t xml:space="preserve">anti-slavery courts, </w:t>
      </w:r>
      <w:r w:rsidR="00A56302">
        <w:t xml:space="preserve">but </w:t>
      </w:r>
      <w:r w:rsidR="00A63129">
        <w:t xml:space="preserve">it </w:t>
      </w:r>
      <w:r w:rsidR="00A56302">
        <w:t xml:space="preserve">remains </w:t>
      </w:r>
      <w:r w:rsidR="00A63129">
        <w:t>insufficient</w:t>
      </w:r>
      <w:r w:rsidR="00A86D00">
        <w:t>,</w:t>
      </w:r>
      <w:r w:rsidR="00A63129">
        <w:t xml:space="preserve"> as do the resources and personnel allocated to prosecuting slavery.</w:t>
      </w:r>
      <w:r w:rsidR="00A63129">
        <w:rPr>
          <w:rStyle w:val="FootnoteReference"/>
        </w:rPr>
        <w:footnoteReference w:id="31"/>
      </w:r>
      <w:r w:rsidR="00365936">
        <w:t xml:space="preserve"> </w:t>
      </w:r>
      <w:r w:rsidR="00141B36" w:rsidRPr="00141B36">
        <w:t xml:space="preserve">While the appointed judges received specialized training on the 2015 anti-slavery law, they have not been trained in its </w:t>
      </w:r>
      <w:r w:rsidR="00141B36" w:rsidRPr="00141B36">
        <w:lastRenderedPageBreak/>
        <w:t>enforcement and the unique challenges of investigating slavery cases, including how to prevent slaveholders from intimidating victims to withdraw their cases.</w:t>
      </w:r>
      <w:r w:rsidR="009440D0">
        <w:rPr>
          <w:rStyle w:val="FootnoteReference"/>
        </w:rPr>
        <w:footnoteReference w:id="32"/>
      </w:r>
    </w:p>
    <w:p w14:paraId="7F5BB975" w14:textId="1B006263" w:rsidR="00A86D00" w:rsidRDefault="00D23344" w:rsidP="0092115A">
      <w:r>
        <w:t xml:space="preserve">One of the areas </w:t>
      </w:r>
      <w:r w:rsidR="00A56302">
        <w:t xml:space="preserve">in which </w:t>
      </w:r>
      <w:r>
        <w:t xml:space="preserve">the government could do more is the adoption of </w:t>
      </w:r>
      <w:r w:rsidRPr="00D23344">
        <w:t>effective State</w:t>
      </w:r>
      <w:r w:rsidR="00A90123">
        <w:t>-led and State funded</w:t>
      </w:r>
      <w:r w:rsidRPr="00D23344">
        <w:t xml:space="preserve"> programmes and policies to provide </w:t>
      </w:r>
      <w:r w:rsidR="0064610F">
        <w:t xml:space="preserve">sustainable </w:t>
      </w:r>
      <w:r w:rsidRPr="00D23344">
        <w:t xml:space="preserve">socio-economic support to people emerging from slavery. </w:t>
      </w:r>
      <w:r w:rsidR="00FE1B5E">
        <w:t>Such support needs to be long term and sustainable</w:t>
      </w:r>
      <w:r w:rsidR="002C3D60">
        <w:t xml:space="preserve">, to avoid revictimization and relapsing </w:t>
      </w:r>
      <w:r w:rsidR="00FE1B5E">
        <w:t>into dependency relations with possible exploitation and even punishment for having been ‘out’.</w:t>
      </w:r>
      <w:r w:rsidR="00FE1B5E">
        <w:rPr>
          <w:rStyle w:val="FootnoteReference"/>
        </w:rPr>
        <w:footnoteReference w:id="33"/>
      </w:r>
      <w:r w:rsidR="00FE1B5E">
        <w:t xml:space="preserve"> P</w:t>
      </w:r>
      <w:r w:rsidRPr="00D23344">
        <w:t xml:space="preserve">eople freed from slavery, normally as the result of action by civil society organisations, do not </w:t>
      </w:r>
      <w:r w:rsidR="00A86D00">
        <w:t xml:space="preserve">currently </w:t>
      </w:r>
      <w:r w:rsidRPr="00D23344">
        <w:t xml:space="preserve">have access to adequate rehabilitation and reintegration measures as required under </w:t>
      </w:r>
      <w:r w:rsidR="00A56302">
        <w:t>A</w:t>
      </w:r>
      <w:r w:rsidRPr="00D23344">
        <w:t>rticle 3 of ILO Protocol 29.</w:t>
      </w:r>
      <w:r>
        <w:t xml:space="preserve"> </w:t>
      </w:r>
    </w:p>
    <w:p w14:paraId="5F8144D5" w14:textId="560FA112" w:rsidR="0092115A" w:rsidRPr="00D23344" w:rsidRDefault="00A86D00" w:rsidP="0092115A">
      <w:pPr>
        <w:rPr>
          <w:highlight w:val="yellow"/>
          <w:lang w:val="en-US"/>
        </w:rPr>
      </w:pPr>
      <w:r>
        <w:t xml:space="preserve">The Mauritanian state could also do more to invest in the infrastructure required to enact its own legislation in a sustained and sustainable fashion. </w:t>
      </w:r>
      <w:r w:rsidR="00FE1B5E">
        <w:t>In 2017, t</w:t>
      </w:r>
      <w:r w:rsidR="00D23344">
        <w:t xml:space="preserve">he UN Special Rapporteur </w:t>
      </w:r>
      <w:r w:rsidR="00FE1B5E">
        <w:t xml:space="preserve">recommended </w:t>
      </w:r>
      <w:r>
        <w:t xml:space="preserve">that </w:t>
      </w:r>
      <w:r w:rsidR="00FE1B5E">
        <w:t>Mauritania e</w:t>
      </w:r>
      <w:r w:rsidR="00D23344">
        <w:t>nsure particular resources are invested in the training of police and prosecutorial authorities to ensure that they understand the provisions of the 2015 Act and their responsibilities to follow</w:t>
      </w:r>
      <w:r>
        <w:t xml:space="preserve"> </w:t>
      </w:r>
      <w:r w:rsidR="00D23344">
        <w:t>up on and investigate all cases of slavery</w:t>
      </w:r>
      <w:r w:rsidR="00FE1B5E">
        <w:t>, and to c</w:t>
      </w:r>
      <w:r w:rsidR="00D23344">
        <w:t xml:space="preserve">ollect statistics on the prosecution of slavery </w:t>
      </w:r>
      <w:r w:rsidR="00FE1B5E">
        <w:t>to monitor and evaluate the</w:t>
      </w:r>
      <w:r w:rsidR="00D23344">
        <w:t xml:space="preserve"> implementation of the roadmap.</w:t>
      </w:r>
      <w:r w:rsidR="009440D0">
        <w:rPr>
          <w:rStyle w:val="FootnoteReference"/>
        </w:rPr>
        <w:footnoteReference w:id="34"/>
      </w:r>
      <w:r w:rsidR="00803E0D">
        <w:t xml:space="preserve"> </w:t>
      </w:r>
      <w:r w:rsidR="0092115A" w:rsidRPr="00D23344">
        <w:rPr>
          <w:lang w:val="en-US"/>
        </w:rPr>
        <w:t>In May 2018</w:t>
      </w:r>
      <w:r w:rsidR="0092115A">
        <w:rPr>
          <w:lang w:val="en-US"/>
        </w:rPr>
        <w:t>,</w:t>
      </w:r>
      <w:r w:rsidR="0092115A" w:rsidRPr="00D23344">
        <w:rPr>
          <w:lang w:val="en-US"/>
        </w:rPr>
        <w:t xml:space="preserve"> the </w:t>
      </w:r>
      <w:r w:rsidR="00A56302">
        <w:rPr>
          <w:lang w:val="en-US"/>
        </w:rPr>
        <w:t xml:space="preserve">UN </w:t>
      </w:r>
      <w:r w:rsidR="0092115A" w:rsidRPr="00D23344">
        <w:rPr>
          <w:lang w:val="en-US"/>
        </w:rPr>
        <w:t>Committee on the Elimination of Racial Discrimination</w:t>
      </w:r>
      <w:r w:rsidR="005C4810">
        <w:rPr>
          <w:lang w:val="en-US"/>
        </w:rPr>
        <w:t xml:space="preserve"> (CERD)</w:t>
      </w:r>
      <w:r w:rsidR="0092115A" w:rsidRPr="00D23344">
        <w:rPr>
          <w:lang w:val="en-US"/>
        </w:rPr>
        <w:t xml:space="preserve"> </w:t>
      </w:r>
      <w:r w:rsidR="005C2454">
        <w:rPr>
          <w:lang w:val="en-US"/>
        </w:rPr>
        <w:t>recommended</w:t>
      </w:r>
      <w:r w:rsidR="0092115A" w:rsidRPr="00D23344">
        <w:rPr>
          <w:lang w:val="en-US"/>
        </w:rPr>
        <w:t xml:space="preserve"> </w:t>
      </w:r>
      <w:r w:rsidR="00A56302">
        <w:rPr>
          <w:lang w:val="en-US"/>
        </w:rPr>
        <w:t xml:space="preserve">that </w:t>
      </w:r>
      <w:r w:rsidR="00FE1B5E">
        <w:rPr>
          <w:lang w:val="en-US"/>
        </w:rPr>
        <w:t xml:space="preserve">Mauritania </w:t>
      </w:r>
      <w:r w:rsidR="0092115A" w:rsidRPr="00D23344">
        <w:rPr>
          <w:lang w:val="en-US"/>
        </w:rPr>
        <w:t xml:space="preserve">“provide the three special courts of Nouakchott, </w:t>
      </w:r>
      <w:proofErr w:type="spellStart"/>
      <w:r w:rsidR="0092115A" w:rsidRPr="00D23344">
        <w:rPr>
          <w:lang w:val="en-US"/>
        </w:rPr>
        <w:t>Nouadhibou</w:t>
      </w:r>
      <w:proofErr w:type="spellEnd"/>
      <w:r w:rsidR="0092115A" w:rsidRPr="00D23344">
        <w:rPr>
          <w:lang w:val="en-US"/>
        </w:rPr>
        <w:t xml:space="preserve"> and </w:t>
      </w:r>
      <w:proofErr w:type="spellStart"/>
      <w:r w:rsidR="0092115A" w:rsidRPr="00D23344">
        <w:rPr>
          <w:lang w:val="en-US"/>
        </w:rPr>
        <w:t>Nema</w:t>
      </w:r>
      <w:proofErr w:type="spellEnd"/>
      <w:r w:rsidR="0092115A" w:rsidRPr="00D23344">
        <w:rPr>
          <w:lang w:val="en-US"/>
        </w:rPr>
        <w:t xml:space="preserve"> with adequate financial means and staffing for their proper functioning.”</w:t>
      </w:r>
      <w:r w:rsidR="009440D0">
        <w:rPr>
          <w:rStyle w:val="FootnoteReference"/>
          <w:lang w:val="en-US"/>
        </w:rPr>
        <w:footnoteReference w:id="35"/>
      </w:r>
    </w:p>
    <w:p w14:paraId="4D4BB7BE" w14:textId="55E6D504" w:rsidR="009832A4" w:rsidRDefault="009832A4" w:rsidP="009832A4">
      <w:pPr>
        <w:pStyle w:val="Heading3"/>
      </w:pPr>
      <w:bookmarkStart w:id="6" w:name="_Toc34236767"/>
      <w:r>
        <w:t>Pattern 3. Shrinking space for civil society</w:t>
      </w:r>
      <w:bookmarkEnd w:id="6"/>
    </w:p>
    <w:p w14:paraId="672E6DD8" w14:textId="665E79DE" w:rsidR="00C42A25" w:rsidRDefault="00C42A25" w:rsidP="00C42A25">
      <w:r>
        <w:t>O</w:t>
      </w:r>
      <w:r w:rsidR="009832A4">
        <w:t xml:space="preserve">ne of the </w:t>
      </w:r>
      <w:r w:rsidR="005C4810">
        <w:t>most</w:t>
      </w:r>
      <w:r w:rsidR="009832A4">
        <w:t xml:space="preserve"> controversial </w:t>
      </w:r>
      <w:r w:rsidR="005C4810">
        <w:t>patterns is</w:t>
      </w:r>
      <w:r w:rsidR="009832A4">
        <w:t xml:space="preserve"> the pressure </w:t>
      </w:r>
      <w:r w:rsidR="00A56302">
        <w:t>placed on</w:t>
      </w:r>
      <w:r w:rsidR="009832A4">
        <w:t xml:space="preserve"> </w:t>
      </w:r>
      <w:r w:rsidR="000804B7">
        <w:t xml:space="preserve">anti-slavery </w:t>
      </w:r>
      <w:r w:rsidR="009832A4">
        <w:t xml:space="preserve">civil society organizations. </w:t>
      </w:r>
      <w:r>
        <w:t xml:space="preserve">The government has allegedly </w:t>
      </w:r>
      <w:r w:rsidR="00A56302">
        <w:t xml:space="preserve">been </w:t>
      </w:r>
      <w:r>
        <w:t xml:space="preserve">harassing and preventing anti-slavery activists from operating in Mauritania. </w:t>
      </w:r>
    </w:p>
    <w:p w14:paraId="3CE9A2CC" w14:textId="7559A276" w:rsidR="00C911FF" w:rsidRDefault="00A56302" w:rsidP="00FA36C0">
      <w:r>
        <w:t>M</w:t>
      </w:r>
      <w:r w:rsidR="009832A4">
        <w:t>embers of the I</w:t>
      </w:r>
      <w:r w:rsidR="009832A4" w:rsidRPr="009832A4">
        <w:t>nitiative for the Resurgence of the Abolitionist Movement</w:t>
      </w:r>
      <w:r w:rsidR="009F33C7">
        <w:t xml:space="preserve"> (IRA)</w:t>
      </w:r>
      <w:r w:rsidR="009832A4">
        <w:t xml:space="preserve">, an anti-slavery organization </w:t>
      </w:r>
      <w:r w:rsidR="009832A4" w:rsidRPr="009832A4">
        <w:t>with the goal of ending slavery, gender oppression and racism in the country</w:t>
      </w:r>
      <w:r w:rsidR="009832A4">
        <w:t xml:space="preserve">, has been subjected to high levels of pressure, including the detention in 2018 of its vice-president </w:t>
      </w:r>
      <w:proofErr w:type="spellStart"/>
      <w:r w:rsidR="009832A4" w:rsidRPr="009832A4">
        <w:t>Biram</w:t>
      </w:r>
      <w:proofErr w:type="spellEnd"/>
      <w:r w:rsidR="009832A4" w:rsidRPr="009832A4">
        <w:t xml:space="preserve"> Dah </w:t>
      </w:r>
      <w:proofErr w:type="spellStart"/>
      <w:r w:rsidR="009832A4" w:rsidRPr="009832A4">
        <w:t>Abeid</w:t>
      </w:r>
      <w:proofErr w:type="spellEnd"/>
      <w:r w:rsidR="000804B7">
        <w:t>,</w:t>
      </w:r>
      <w:r w:rsidR="009832A4">
        <w:t xml:space="preserve"> himself of slave-descent</w:t>
      </w:r>
      <w:r w:rsidR="00C143CC">
        <w:t>.</w:t>
      </w:r>
      <w:r w:rsidR="00F62084">
        <w:rPr>
          <w:rStyle w:val="FootnoteReference"/>
        </w:rPr>
        <w:footnoteReference w:id="36"/>
      </w:r>
      <w:r w:rsidR="009832A4">
        <w:t xml:space="preserve"> </w:t>
      </w:r>
      <w:r w:rsidR="005C4810" w:rsidRPr="00B06C6B">
        <w:t xml:space="preserve">According to </w:t>
      </w:r>
      <w:r w:rsidR="00C143CC">
        <w:t>reports received by the UN Special Rapporteur</w:t>
      </w:r>
      <w:r w:rsidR="005C4810" w:rsidRPr="00B06C6B">
        <w:t>, as of October 2019 there were a total of 19 judicial processes against anti-slavery activists pending in Mauritania.</w:t>
      </w:r>
      <w:r w:rsidR="00C143CC">
        <w:rPr>
          <w:rStyle w:val="FootnoteReference"/>
        </w:rPr>
        <w:footnoteReference w:id="37"/>
      </w:r>
      <w:r w:rsidR="005C4810" w:rsidRPr="00B06C6B">
        <w:t xml:space="preserve"> </w:t>
      </w:r>
      <w:r w:rsidR="00C91339">
        <w:t>In addition, anti-slavery organizations</w:t>
      </w:r>
      <w:r w:rsidR="00C91339">
        <w:rPr>
          <w:lang w:val="en-US"/>
        </w:rPr>
        <w:t xml:space="preserve"> </w:t>
      </w:r>
      <w:r w:rsidR="00FA7558">
        <w:rPr>
          <w:lang w:val="en-US"/>
        </w:rPr>
        <w:t xml:space="preserve">have reported to the UN Special Rapporteur that, when they </w:t>
      </w:r>
      <w:r w:rsidR="00C91339">
        <w:rPr>
          <w:lang w:val="en-US"/>
        </w:rPr>
        <w:t>organize protests to demand a stronger implementation of anti-slavery legislation, some of their representatives have reportedly been arrested for organizing illegal protests.</w:t>
      </w:r>
      <w:r w:rsidR="00C91339">
        <w:rPr>
          <w:rStyle w:val="FootnoteReference"/>
          <w:lang w:val="en-US"/>
        </w:rPr>
        <w:footnoteReference w:id="38"/>
      </w:r>
      <w:r w:rsidR="00C91339">
        <w:t xml:space="preserve"> R</w:t>
      </w:r>
      <w:proofErr w:type="spellStart"/>
      <w:r w:rsidR="00C91339">
        <w:rPr>
          <w:lang w:val="en"/>
        </w:rPr>
        <w:t>eportedly</w:t>
      </w:r>
      <w:proofErr w:type="spellEnd"/>
      <w:r w:rsidR="00C91339">
        <w:rPr>
          <w:lang w:val="en"/>
        </w:rPr>
        <w:t>, prosecutions of anti-slavery activists outnumbers prosecutions of proven perpetrators of slavery.</w:t>
      </w:r>
      <w:r w:rsidR="00C91339">
        <w:rPr>
          <w:rStyle w:val="FootnoteReference"/>
          <w:lang w:val="en"/>
        </w:rPr>
        <w:footnoteReference w:id="39"/>
      </w:r>
      <w:r w:rsidR="00C91339">
        <w:rPr>
          <w:lang w:val="en"/>
        </w:rPr>
        <w:t xml:space="preserve"> This pattern has </w:t>
      </w:r>
      <w:r w:rsidR="00C91339">
        <w:rPr>
          <w:lang w:val="en"/>
        </w:rPr>
        <w:lastRenderedPageBreak/>
        <w:t>been a concern for some years, as illustrated by a 2016 report of the UN Working Group on Arbitrary Detention.</w:t>
      </w:r>
      <w:r w:rsidR="00C91339">
        <w:rPr>
          <w:rStyle w:val="FootnoteReference"/>
          <w:lang w:val="en"/>
        </w:rPr>
        <w:footnoteReference w:id="40"/>
      </w:r>
    </w:p>
    <w:p w14:paraId="147AEDA9" w14:textId="2DA33308" w:rsidR="009832A4" w:rsidRDefault="00270426" w:rsidP="00FA36C0">
      <w:r>
        <w:t>A</w:t>
      </w:r>
      <w:r w:rsidR="00C911FF">
        <w:t xml:space="preserve">nother </w:t>
      </w:r>
      <w:r w:rsidR="00DB6A2B">
        <w:t xml:space="preserve">important </w:t>
      </w:r>
      <w:r>
        <w:t>related constra</w:t>
      </w:r>
      <w:r w:rsidR="008E1B6A">
        <w:t>int on</w:t>
      </w:r>
      <w:r w:rsidR="00DB6A2B">
        <w:t xml:space="preserve"> the freedom of action of</w:t>
      </w:r>
      <w:r w:rsidR="00C911FF">
        <w:t xml:space="preserve"> anti-slavery movements in Mauritania </w:t>
      </w:r>
      <w:r>
        <w:t>is built into the terms of</w:t>
      </w:r>
      <w:r w:rsidR="00C911FF">
        <w:t xml:space="preserve"> the 2015 Anti-Slavery Act. The Act</w:t>
      </w:r>
      <w:r w:rsidR="00C911FF" w:rsidRPr="009832A4">
        <w:t xml:space="preserve"> </w:t>
      </w:r>
      <w:r w:rsidR="00C911FF">
        <w:t>gave civil society organizations the right to lodge complaints in courts on behalf of the victims as civil part</w:t>
      </w:r>
      <w:r w:rsidR="00A56302">
        <w:t>ies</w:t>
      </w:r>
      <w:r w:rsidR="00C911FF">
        <w:t xml:space="preserve">. </w:t>
      </w:r>
      <w:r w:rsidR="00C911FF" w:rsidRPr="00FB5168">
        <w:t xml:space="preserve">However, </w:t>
      </w:r>
      <w:r w:rsidR="00C911FF">
        <w:t xml:space="preserve">as some anti-slavery organizations operate unregistered due to government pressure, </w:t>
      </w:r>
      <w:r w:rsidR="00C911FF" w:rsidRPr="00FB5168">
        <w:t>the</w:t>
      </w:r>
      <w:r w:rsidR="00C911FF">
        <w:t xml:space="preserve"> requirements set in the law impede </w:t>
      </w:r>
      <w:r w:rsidR="00A56302">
        <w:t>the</w:t>
      </w:r>
      <w:r w:rsidR="00C911FF">
        <w:t xml:space="preserve"> lodg</w:t>
      </w:r>
      <w:r w:rsidR="00A56302">
        <w:t>ing of</w:t>
      </w:r>
      <w:r w:rsidR="00C911FF">
        <w:t xml:space="preserve"> complaints.</w:t>
      </w:r>
      <w:r w:rsidR="00C911FF">
        <w:rPr>
          <w:rStyle w:val="FootnoteReference"/>
        </w:rPr>
        <w:footnoteReference w:id="41"/>
      </w:r>
      <w:r w:rsidR="00C911FF">
        <w:t xml:space="preserve"> </w:t>
      </w:r>
      <w:bookmarkStart w:id="7" w:name="_Hlk32329086"/>
    </w:p>
    <w:p w14:paraId="1AA4850E" w14:textId="2EEB3CC7" w:rsidR="0002390B" w:rsidRPr="005A20E9" w:rsidRDefault="0002390B" w:rsidP="0002390B">
      <w:pPr>
        <w:pStyle w:val="Heading2"/>
      </w:pPr>
      <w:bookmarkStart w:id="8" w:name="_Toc34236768"/>
      <w:bookmarkEnd w:id="7"/>
      <w:r>
        <w:t>2.2 The police and administrative authorities: failing to investigate and protect victims</w:t>
      </w:r>
      <w:bookmarkEnd w:id="8"/>
    </w:p>
    <w:p w14:paraId="34911C97" w14:textId="6AFCE849" w:rsidR="0002390B" w:rsidRDefault="0002390B" w:rsidP="0002390B">
      <w:pPr>
        <w:pStyle w:val="Heading3"/>
      </w:pPr>
      <w:bookmarkStart w:id="9" w:name="_Toc34236769"/>
      <w:r w:rsidRPr="00984ACC">
        <w:t xml:space="preserve">Pattern </w:t>
      </w:r>
      <w:r w:rsidR="00AD4280">
        <w:t>4</w:t>
      </w:r>
      <w:r w:rsidRPr="00984ACC">
        <w:t xml:space="preserve">. </w:t>
      </w:r>
      <w:r>
        <w:t xml:space="preserve">Police </w:t>
      </w:r>
      <w:r w:rsidR="00B066CE">
        <w:t>officers turning a blind eye and routinely not following up reported cases of slavery</w:t>
      </w:r>
      <w:bookmarkEnd w:id="9"/>
    </w:p>
    <w:p w14:paraId="72E9562B" w14:textId="3D87C681" w:rsidR="00954DD6" w:rsidRPr="00150AEA" w:rsidRDefault="005C4810" w:rsidP="00954DD6">
      <w:pPr>
        <w:rPr>
          <w:lang w:val="en"/>
        </w:rPr>
      </w:pPr>
      <w:r>
        <w:t xml:space="preserve">It has been </w:t>
      </w:r>
      <w:r w:rsidR="00954DD6">
        <w:t xml:space="preserve">reported as typical that slavery cases are first identified </w:t>
      </w:r>
      <w:r w:rsidR="00A56302">
        <w:t xml:space="preserve">not by police but </w:t>
      </w:r>
      <w:r w:rsidR="00954DD6">
        <w:t xml:space="preserve">by human rights defenders, often only being taken on by officials after sustained pressure on </w:t>
      </w:r>
      <w:r w:rsidR="00A56302">
        <w:t>them</w:t>
      </w:r>
      <w:r w:rsidR="00954DD6">
        <w:t xml:space="preserve"> to respond.</w:t>
      </w:r>
      <w:r w:rsidR="00C143CC">
        <w:rPr>
          <w:rStyle w:val="FootnoteReference"/>
        </w:rPr>
        <w:footnoteReference w:id="42"/>
      </w:r>
      <w:r w:rsidR="00954DD6">
        <w:t xml:space="preserve"> Ignoring cases of slavery brought to their attention </w:t>
      </w:r>
      <w:r w:rsidR="00C64A74">
        <w:t>is a</w:t>
      </w:r>
      <w:r w:rsidR="00954DD6">
        <w:t xml:space="preserve"> common practice among police and administrative authorities, as well as not progressing reported cases through further investigations or notify prosecutors.</w:t>
      </w:r>
      <w:r w:rsidR="00C143CC">
        <w:rPr>
          <w:rStyle w:val="FootnoteReference"/>
        </w:rPr>
        <w:footnoteReference w:id="43"/>
      </w:r>
      <w:r w:rsidR="00954DD6">
        <w:t xml:space="preserve"> In addition, intimidating victims into silence seems also common practice</w:t>
      </w:r>
      <w:r w:rsidR="00150AEA">
        <w:t>,</w:t>
      </w:r>
      <w:r w:rsidR="009440D0">
        <w:rPr>
          <w:rStyle w:val="FootnoteReference"/>
        </w:rPr>
        <w:footnoteReference w:id="44"/>
      </w:r>
      <w:r w:rsidR="00150AEA">
        <w:t xml:space="preserve"> </w:t>
      </w:r>
      <w:r w:rsidR="00FB5168">
        <w:t>c</w:t>
      </w:r>
      <w:r w:rsidR="00150AEA">
        <w:t xml:space="preserve">ontributing to a distortion </w:t>
      </w:r>
      <w:r w:rsidR="00150AEA" w:rsidRPr="00150AEA">
        <w:t>in the number of slavery</w:t>
      </w:r>
      <w:r w:rsidR="00150AEA">
        <w:t xml:space="preserve"> </w:t>
      </w:r>
      <w:r w:rsidR="00150AEA" w:rsidRPr="00150AEA">
        <w:t xml:space="preserve">cases reported and </w:t>
      </w:r>
      <w:r w:rsidR="00150AEA">
        <w:t>perpetuating</w:t>
      </w:r>
      <w:r w:rsidR="00150AEA" w:rsidRPr="00150AEA">
        <w:t xml:space="preserve"> impunity for the crime of slavery.</w:t>
      </w:r>
    </w:p>
    <w:p w14:paraId="2B038CDF" w14:textId="643A7388" w:rsidR="00954DD6" w:rsidRDefault="00DE3807" w:rsidP="00954DD6">
      <w:r>
        <w:rPr>
          <w:lang w:val="en-US"/>
        </w:rPr>
        <w:t>T</w:t>
      </w:r>
      <w:r w:rsidR="004D5CFF" w:rsidRPr="00D23344">
        <w:rPr>
          <w:lang w:val="en-US"/>
        </w:rPr>
        <w:t xml:space="preserve">he </w:t>
      </w:r>
      <w:r w:rsidR="00C64A74">
        <w:rPr>
          <w:lang w:val="en-US"/>
        </w:rPr>
        <w:t>CERD</w:t>
      </w:r>
      <w:r w:rsidR="004D5CFF" w:rsidRPr="00D23344">
        <w:rPr>
          <w:lang w:val="en-US"/>
        </w:rPr>
        <w:t xml:space="preserve"> </w:t>
      </w:r>
      <w:r w:rsidR="00A56302">
        <w:rPr>
          <w:lang w:val="en-US"/>
        </w:rPr>
        <w:t xml:space="preserve">Committee </w:t>
      </w:r>
      <w:r>
        <w:rPr>
          <w:lang w:val="en-US"/>
        </w:rPr>
        <w:t>has expressed its concerns “</w:t>
      </w:r>
      <w:r w:rsidR="004D5CFF" w:rsidRPr="00D23344">
        <w:rPr>
          <w:lang w:val="en-US"/>
        </w:rPr>
        <w:t xml:space="preserve">about the difficulties that victims of slavery encounter in filing complaints with the police </w:t>
      </w:r>
      <w:r w:rsidR="003F430A">
        <w:rPr>
          <w:lang w:val="en-US"/>
        </w:rPr>
        <w:t>(</w:t>
      </w:r>
      <w:r w:rsidR="004D5CFF" w:rsidRPr="00D23344">
        <w:rPr>
          <w:lang w:val="en-US"/>
        </w:rPr>
        <w:t>and judicial authorities</w:t>
      </w:r>
      <w:r w:rsidR="003F430A">
        <w:rPr>
          <w:lang w:val="en-US"/>
        </w:rPr>
        <w:t>)</w:t>
      </w:r>
      <w:r w:rsidR="004D5CFF" w:rsidRPr="00D23344">
        <w:rPr>
          <w:lang w:val="en-US"/>
        </w:rPr>
        <w:t xml:space="preserve"> in order to enforce their rights</w:t>
      </w:r>
      <w:r>
        <w:rPr>
          <w:lang w:val="en-US"/>
        </w:rPr>
        <w:t>”</w:t>
      </w:r>
      <w:r w:rsidR="004D5CFF" w:rsidRPr="00D23344">
        <w:rPr>
          <w:lang w:val="en-US"/>
        </w:rPr>
        <w:t>.</w:t>
      </w:r>
      <w:r w:rsidR="004D5CFF">
        <w:rPr>
          <w:rStyle w:val="FootnoteReference"/>
          <w:lang w:val="en-US"/>
        </w:rPr>
        <w:footnoteReference w:id="45"/>
      </w:r>
      <w:r w:rsidR="004D5CFF">
        <w:t xml:space="preserve"> </w:t>
      </w:r>
      <w:r w:rsidR="00954DD6">
        <w:t>Reports indicate “a systematic reluctance among police and administrative authorities to identify, recognize or respond to instances of slavery” and in many cases intimidation by police officials to withdraw slavery accusations.</w:t>
      </w:r>
      <w:r w:rsidR="009440D0">
        <w:rPr>
          <w:rStyle w:val="FootnoteReference"/>
        </w:rPr>
        <w:footnoteReference w:id="46"/>
      </w:r>
      <w:r w:rsidR="0055653E">
        <w:t xml:space="preserve"> A case illustrating this pattern is that of Mohamed </w:t>
      </w:r>
      <w:proofErr w:type="spellStart"/>
      <w:r w:rsidR="0055653E">
        <w:t>Lemine</w:t>
      </w:r>
      <w:proofErr w:type="spellEnd"/>
      <w:r w:rsidR="0055653E">
        <w:t>, aged 15 when he reported the case of his family</w:t>
      </w:r>
      <w:r w:rsidR="00C64A74">
        <w:t xml:space="preserve">, still subjected to slavery, </w:t>
      </w:r>
      <w:r w:rsidR="0055653E">
        <w:t xml:space="preserve">once he managed to escape. The police rejected </w:t>
      </w:r>
      <w:r w:rsidR="00C64A74">
        <w:t>his</w:t>
      </w:r>
      <w:r w:rsidR="0055653E">
        <w:t xml:space="preserve"> claims</w:t>
      </w:r>
      <w:r w:rsidR="009E2A58">
        <w:t>, which did not progress,</w:t>
      </w:r>
      <w:r w:rsidR="0055653E">
        <w:t xml:space="preserve"> and members of IRA supporting the victims were reportedly arrested and tortured.</w:t>
      </w:r>
      <w:r w:rsidR="009440D0">
        <w:rPr>
          <w:rStyle w:val="FootnoteReference"/>
        </w:rPr>
        <w:footnoteReference w:id="47"/>
      </w:r>
      <w:r w:rsidR="00954DD6">
        <w:t xml:space="preserve"> </w:t>
      </w:r>
    </w:p>
    <w:p w14:paraId="58663BC3" w14:textId="46D3BEAE" w:rsidR="00954DD6" w:rsidRDefault="009E2A58" w:rsidP="00954DD6">
      <w:r>
        <w:t>The US 2019 TIP report recommended Mauritania to develop standard procedures to identify and refer slavery victims to care, including training of authorities on the procedures’ implementation.</w:t>
      </w:r>
      <w:r w:rsidR="00BE1B81">
        <w:rPr>
          <w:rStyle w:val="FootnoteReference"/>
        </w:rPr>
        <w:footnoteReference w:id="48"/>
      </w:r>
      <w:r>
        <w:t xml:space="preserve"> </w:t>
      </w:r>
    </w:p>
    <w:p w14:paraId="31CDAB26" w14:textId="4B9219CA" w:rsidR="00B066CE" w:rsidRDefault="00B066CE" w:rsidP="00190DC3">
      <w:pPr>
        <w:pStyle w:val="Heading3"/>
      </w:pPr>
      <w:bookmarkStart w:id="10" w:name="_Toc34236770"/>
      <w:r w:rsidRPr="00B066CE">
        <w:lastRenderedPageBreak/>
        <w:t xml:space="preserve">Pattern </w:t>
      </w:r>
      <w:r w:rsidR="00AD4280">
        <w:t>5</w:t>
      </w:r>
      <w:r w:rsidRPr="00B066CE">
        <w:t>. Weak enforcement of the very few convictions on slavery</w:t>
      </w:r>
      <w:bookmarkEnd w:id="10"/>
    </w:p>
    <w:p w14:paraId="692FEB8B" w14:textId="48FAACD3" w:rsidR="00267FD5" w:rsidRDefault="009832A4" w:rsidP="00C91339">
      <w:r>
        <w:t xml:space="preserve">The 2015 </w:t>
      </w:r>
      <w:r w:rsidR="00B814CB">
        <w:t>A</w:t>
      </w:r>
      <w:r w:rsidRPr="009832A4">
        <w:t xml:space="preserve">nti-slavery </w:t>
      </w:r>
      <w:r w:rsidR="00B814CB">
        <w:t>Act</w:t>
      </w:r>
      <w:r w:rsidRPr="009832A4">
        <w:t xml:space="preserve"> double</w:t>
      </w:r>
      <w:r>
        <w:t>d</w:t>
      </w:r>
      <w:r w:rsidRPr="009832A4">
        <w:t xml:space="preserve"> the maximum prison sentence for the crime of slavery from 10 to 20 years and create</w:t>
      </w:r>
      <w:r>
        <w:t>d</w:t>
      </w:r>
      <w:r w:rsidRPr="009832A4">
        <w:t xml:space="preserve"> special tribunals for prosecution of slavery and slavery-like practices.</w:t>
      </w:r>
      <w:r w:rsidR="00BE1B81">
        <w:rPr>
          <w:rStyle w:val="FootnoteReference"/>
        </w:rPr>
        <w:footnoteReference w:id="49"/>
      </w:r>
      <w:r w:rsidRPr="009832A4">
        <w:t xml:space="preserve"> However,</w:t>
      </w:r>
      <w:r w:rsidR="006804FC" w:rsidRPr="006804FC">
        <w:t xml:space="preserve"> </w:t>
      </w:r>
      <w:r w:rsidR="00267FD5">
        <w:t xml:space="preserve">very few convictions </w:t>
      </w:r>
      <w:r w:rsidR="00F25458">
        <w:t>can be</w:t>
      </w:r>
      <w:r w:rsidR="00267FD5">
        <w:t xml:space="preserve"> reported, </w:t>
      </w:r>
      <w:r w:rsidR="00FB5DC3">
        <w:t>and their enforcement remains weak</w:t>
      </w:r>
      <w:r w:rsidR="00267FD5">
        <w:t xml:space="preserve">. </w:t>
      </w:r>
      <w:r w:rsidR="00207818">
        <w:t>In July 2020, two slave masters received prison sentences of 10 and 15 years respectively, but that remains an exception.</w:t>
      </w:r>
      <w:r w:rsidR="00207818">
        <w:rPr>
          <w:rStyle w:val="FootnoteReference"/>
        </w:rPr>
        <w:footnoteReference w:id="50"/>
      </w:r>
      <w:r w:rsidR="00207818">
        <w:t xml:space="preserve"> </w:t>
      </w:r>
      <w:r w:rsidR="00267FD5">
        <w:t xml:space="preserve">The African Union’s Committee of Experts on the Rights and Welfare of the Child has requested Mauritania </w:t>
      </w:r>
      <w:r w:rsidR="00B55B3D">
        <w:t>to ensure the effective implementation of</w:t>
      </w:r>
      <w:r w:rsidR="00267FD5" w:rsidRPr="00F33644">
        <w:t xml:space="preserve"> the 2015 </w:t>
      </w:r>
      <w:r w:rsidR="00267FD5">
        <w:t>A</w:t>
      </w:r>
      <w:r w:rsidR="00267FD5" w:rsidRPr="00F33644">
        <w:t xml:space="preserve">nti-slavery </w:t>
      </w:r>
      <w:r w:rsidR="00267FD5">
        <w:t>Act.</w:t>
      </w:r>
      <w:r w:rsidR="00267FD5">
        <w:rPr>
          <w:rStyle w:val="FootnoteReference"/>
        </w:rPr>
        <w:footnoteReference w:id="51"/>
      </w:r>
    </w:p>
    <w:p w14:paraId="72890811" w14:textId="15597A69" w:rsidR="00267FD5" w:rsidRDefault="005C4671" w:rsidP="00344880">
      <w:r>
        <w:t>T</w:t>
      </w:r>
      <w:r w:rsidR="00267FD5" w:rsidRPr="00F22E49">
        <w:t xml:space="preserve">he </w:t>
      </w:r>
      <w:r w:rsidR="00267FD5">
        <w:t>UN Special Rapporteur</w:t>
      </w:r>
      <w:r w:rsidR="00267FD5" w:rsidRPr="00F22E49">
        <w:t xml:space="preserve"> was informed that </w:t>
      </w:r>
      <w:r w:rsidR="00267FD5">
        <w:t>“</w:t>
      </w:r>
      <w:r w:rsidR="00267FD5" w:rsidRPr="00F22E49">
        <w:t>in many cases the perpetrator gets a fine and is released on bail pending which they disappear and are never brought to justice. Hence victims never receive the compensation or other redress ordered by the courts</w:t>
      </w:r>
      <w:r w:rsidR="00267FD5">
        <w:t>”</w:t>
      </w:r>
      <w:r w:rsidR="00267FD5" w:rsidRPr="00F22E49">
        <w:t>.</w:t>
      </w:r>
      <w:r w:rsidR="00267FD5">
        <w:rPr>
          <w:rStyle w:val="FootnoteReference"/>
        </w:rPr>
        <w:footnoteReference w:id="52"/>
      </w:r>
      <w:r w:rsidR="00267FD5">
        <w:t xml:space="preserve"> T</w:t>
      </w:r>
      <w:r w:rsidR="00267FD5" w:rsidRPr="000170E3">
        <w:t xml:space="preserve">his </w:t>
      </w:r>
      <w:r w:rsidR="00267FD5">
        <w:t xml:space="preserve">may </w:t>
      </w:r>
      <w:r w:rsidR="00267FD5" w:rsidRPr="000170E3">
        <w:t>aggravat</w:t>
      </w:r>
      <w:r w:rsidR="00267FD5">
        <w:t xml:space="preserve">e </w:t>
      </w:r>
      <w:r w:rsidR="00267FD5" w:rsidRPr="000170E3">
        <w:t xml:space="preserve">the situation for the victims who risk some form of retaliation by the perpetrator </w:t>
      </w:r>
      <w:r w:rsidR="00267FD5">
        <w:t>and</w:t>
      </w:r>
      <w:r w:rsidR="00267FD5" w:rsidRPr="000170E3">
        <w:t xml:space="preserve"> </w:t>
      </w:r>
      <w:r w:rsidR="00267FD5">
        <w:t>may</w:t>
      </w:r>
      <w:r w:rsidR="00267FD5" w:rsidRPr="000170E3">
        <w:t xml:space="preserve"> discourage </w:t>
      </w:r>
      <w:r w:rsidR="00267FD5">
        <w:t>them</w:t>
      </w:r>
      <w:r w:rsidR="00267FD5" w:rsidRPr="000170E3">
        <w:t xml:space="preserve"> </w:t>
      </w:r>
      <w:r w:rsidR="00267FD5">
        <w:t>from making</w:t>
      </w:r>
      <w:r w:rsidR="00267FD5" w:rsidRPr="000170E3">
        <w:t xml:space="preserve"> a complaint.</w:t>
      </w:r>
      <w:r w:rsidR="00344880">
        <w:t xml:space="preserve"> In the case of </w:t>
      </w:r>
      <w:proofErr w:type="spellStart"/>
      <w:r w:rsidR="00344880" w:rsidRPr="00FA7558">
        <w:rPr>
          <w:i/>
          <w:iCs/>
        </w:rPr>
        <w:t>Rabi’a</w:t>
      </w:r>
      <w:proofErr w:type="spellEnd"/>
      <w:r w:rsidR="00344880" w:rsidRPr="00FA7558">
        <w:rPr>
          <w:i/>
          <w:iCs/>
        </w:rPr>
        <w:t xml:space="preserve"> and her six siblings</w:t>
      </w:r>
      <w:r w:rsidR="00344880">
        <w:t xml:space="preserve"> (August 2011), who were enslaved to two different families, although the victims were originally informed that one of their mistresses was arrested and placed in jail while the outcome of the court case was determined, subsequent investigations revealed that the mistress had in fact been released on bail.</w:t>
      </w:r>
      <w:r w:rsidR="00344880">
        <w:rPr>
          <w:rStyle w:val="FootnoteReference"/>
        </w:rPr>
        <w:footnoteReference w:id="53"/>
      </w:r>
    </w:p>
    <w:p w14:paraId="3ABF10EF" w14:textId="0AC0DFBB" w:rsidR="00C91339" w:rsidRDefault="00267FD5" w:rsidP="00C91339">
      <w:r>
        <w:t>A</w:t>
      </w:r>
      <w:r w:rsidR="00C91339">
        <w:t xml:space="preserve">ccording to information provided </w:t>
      </w:r>
      <w:r w:rsidR="00F3642A">
        <w:t xml:space="preserve">recently </w:t>
      </w:r>
      <w:r w:rsidR="00C91339">
        <w:t xml:space="preserve">to the UN Special Rapporteur by the OHCHR Mauritania office, the only known case of a slave owner who has been sentenced to prison for slavery practices is Mrs. Riva Mint Mohamed, under the provision of Law 2007/048. Her trial took place on 28 March 2018 in </w:t>
      </w:r>
      <w:proofErr w:type="spellStart"/>
      <w:r w:rsidR="00C91339">
        <w:t>Nouadhibou</w:t>
      </w:r>
      <w:proofErr w:type="spellEnd"/>
      <w:r w:rsidR="00C91339">
        <w:t>, she was sentenced to 10 years imprisonment, but she never served her sentence for reasons that remain unclear.</w:t>
      </w:r>
      <w:r w:rsidR="00C91339">
        <w:rPr>
          <w:rStyle w:val="FootnoteReference"/>
        </w:rPr>
        <w:footnoteReference w:id="54"/>
      </w:r>
      <w:r w:rsidR="00C91339">
        <w:t xml:space="preserve"> In addition, three cases of prison sentences for slavery practices handed down by the Special Criminal Court of </w:t>
      </w:r>
      <w:proofErr w:type="spellStart"/>
      <w:r w:rsidR="00C91339">
        <w:t>Nema</w:t>
      </w:r>
      <w:proofErr w:type="spellEnd"/>
      <w:r w:rsidR="00C91339">
        <w:t xml:space="preserve"> (in eastern Mauritania) in November 2019 were handed down </w:t>
      </w:r>
      <w:r w:rsidR="00C91339" w:rsidRPr="0048310F">
        <w:rPr>
          <w:i/>
          <w:iCs/>
        </w:rPr>
        <w:t>in absentia</w:t>
      </w:r>
      <w:r w:rsidR="00C91339">
        <w:t xml:space="preserve">, as the convicted perpetrators were no longer on Mauritanian territory.  </w:t>
      </w:r>
    </w:p>
    <w:p w14:paraId="5D055A15" w14:textId="6FD2F2FE" w:rsidR="008D4D7F" w:rsidRDefault="00DD5E67" w:rsidP="008A6F2B">
      <w:pPr>
        <w:pStyle w:val="Heading2"/>
        <w:numPr>
          <w:ilvl w:val="1"/>
          <w:numId w:val="20"/>
        </w:numPr>
      </w:pPr>
      <w:bookmarkStart w:id="13" w:name="_Toc34236771"/>
      <w:r>
        <w:t>Prosecutors</w:t>
      </w:r>
      <w:r w:rsidR="005A20E9">
        <w:t xml:space="preserve">: failing to prosecute </w:t>
      </w:r>
      <w:r w:rsidR="00250F6A">
        <w:t xml:space="preserve">slavery </w:t>
      </w:r>
      <w:r w:rsidR="005A20E9">
        <w:t>offences</w:t>
      </w:r>
      <w:r w:rsidR="008D4D7F">
        <w:t xml:space="preserve"> and</w:t>
      </w:r>
      <w:r w:rsidR="0002390B">
        <w:t xml:space="preserve"> </w:t>
      </w:r>
      <w:r w:rsidR="00922667">
        <w:t>weak</w:t>
      </w:r>
      <w:r w:rsidR="0002390B">
        <w:t xml:space="preserve"> enforcement</w:t>
      </w:r>
      <w:bookmarkEnd w:id="13"/>
    </w:p>
    <w:p w14:paraId="67E4547F" w14:textId="50B4428B" w:rsidR="0036304A" w:rsidRPr="0036304A" w:rsidRDefault="0036304A" w:rsidP="0036304A">
      <w:r>
        <w:t xml:space="preserve">The role of prosecutors in </w:t>
      </w:r>
      <w:r w:rsidR="00CD1C6C">
        <w:t>enforcing</w:t>
      </w:r>
      <w:r>
        <w:t xml:space="preserve"> the 2015 Anti-slavery Act remains a worrying component of its implementation. </w:t>
      </w:r>
      <w:r w:rsidR="004D1EF7" w:rsidRPr="00D23344">
        <w:rPr>
          <w:lang w:val="en-US"/>
        </w:rPr>
        <w:t>In May 2018</w:t>
      </w:r>
      <w:r w:rsidR="004D1EF7">
        <w:rPr>
          <w:lang w:val="en-US"/>
        </w:rPr>
        <w:t>,</w:t>
      </w:r>
      <w:r w:rsidR="004D1EF7" w:rsidRPr="00D23344">
        <w:rPr>
          <w:lang w:val="en-US"/>
        </w:rPr>
        <w:t xml:space="preserve"> the </w:t>
      </w:r>
      <w:r w:rsidR="00922667">
        <w:rPr>
          <w:lang w:val="en-US"/>
        </w:rPr>
        <w:t xml:space="preserve">CERD </w:t>
      </w:r>
      <w:r w:rsidR="00CD1C6C">
        <w:rPr>
          <w:lang w:val="en-US"/>
        </w:rPr>
        <w:t xml:space="preserve">Committee </w:t>
      </w:r>
      <w:r w:rsidR="00922667">
        <w:rPr>
          <w:lang w:val="en-US"/>
        </w:rPr>
        <w:t>expressed its concerns</w:t>
      </w:r>
      <w:r w:rsidR="004D1EF7" w:rsidRPr="00D23344">
        <w:rPr>
          <w:lang w:val="en-US"/>
        </w:rPr>
        <w:t xml:space="preserve"> </w:t>
      </w:r>
      <w:r w:rsidR="00922667">
        <w:rPr>
          <w:lang w:val="en-US"/>
        </w:rPr>
        <w:t>“</w:t>
      </w:r>
      <w:r w:rsidR="004D1EF7" w:rsidRPr="00D23344">
        <w:rPr>
          <w:lang w:val="en-US"/>
        </w:rPr>
        <w:t>about the persistent challenges that hinder efforts to investigate such cases, gather evidence, prosecute the perpetrators effectively and expeditiously and impose appropriate penalties.”</w:t>
      </w:r>
      <w:r w:rsidR="004D1EF7">
        <w:rPr>
          <w:rStyle w:val="FootnoteReference"/>
          <w:lang w:val="en-US"/>
        </w:rPr>
        <w:footnoteReference w:id="55"/>
      </w:r>
      <w:r w:rsidR="004D1EF7" w:rsidRPr="00D23344">
        <w:rPr>
          <w:lang w:val="en-US"/>
        </w:rPr>
        <w:t xml:space="preserve"> </w:t>
      </w:r>
    </w:p>
    <w:p w14:paraId="587FB386" w14:textId="0D7C0AE0" w:rsidR="008D4D7F" w:rsidRDefault="008D4D7F" w:rsidP="008D4D7F">
      <w:pPr>
        <w:pStyle w:val="Heading3"/>
      </w:pPr>
      <w:bookmarkStart w:id="14" w:name="_Toc34236772"/>
      <w:r>
        <w:t xml:space="preserve">Pattern 6. </w:t>
      </w:r>
      <w:r w:rsidR="00FD5D18">
        <w:t>U</w:t>
      </w:r>
      <w:r>
        <w:t>nwilling</w:t>
      </w:r>
      <w:r w:rsidR="00FD5D18">
        <w:t>ness</w:t>
      </w:r>
      <w:r>
        <w:t xml:space="preserve"> to prosecute alleged slaveholders</w:t>
      </w:r>
      <w:bookmarkEnd w:id="14"/>
    </w:p>
    <w:p w14:paraId="3616F12C" w14:textId="2862C649" w:rsidR="008D4D7F" w:rsidRDefault="00FD5D18" w:rsidP="008D4D7F">
      <w:r>
        <w:lastRenderedPageBreak/>
        <w:t>P</w:t>
      </w:r>
      <w:r w:rsidR="008D4D7F">
        <w:t xml:space="preserve">rosecutors </w:t>
      </w:r>
      <w:r>
        <w:t xml:space="preserve">reportedly </w:t>
      </w:r>
      <w:r w:rsidR="008D4D7F">
        <w:t xml:space="preserve">often reject the claim or close the file without reasonable grounds, based only on an interview </w:t>
      </w:r>
      <w:r w:rsidR="0033435A">
        <w:t xml:space="preserve">with </w:t>
      </w:r>
      <w:r w:rsidR="008D4D7F">
        <w:t xml:space="preserve">the </w:t>
      </w:r>
      <w:r w:rsidR="0033435A">
        <w:t xml:space="preserve">alleged </w:t>
      </w:r>
      <w:r w:rsidR="008D4D7F">
        <w:t>victims and masters, usually conducted in the same room, placing enormous pressure on victims to change their testimonies.</w:t>
      </w:r>
      <w:r w:rsidR="008D4D7F">
        <w:rPr>
          <w:rStyle w:val="FootnoteReference"/>
        </w:rPr>
        <w:footnoteReference w:id="56"/>
      </w:r>
      <w:r w:rsidR="008D4D7F">
        <w:t xml:space="preserve"> </w:t>
      </w:r>
    </w:p>
    <w:p w14:paraId="0C6585A5" w14:textId="3B1F5D70" w:rsidR="008D4D7F" w:rsidRDefault="00E82517" w:rsidP="008D4D7F">
      <w:r>
        <w:t>S</w:t>
      </w:r>
      <w:r w:rsidR="008D4D7F" w:rsidRPr="007C546F">
        <w:t>ome prosecutors refuse to investigate and try cases of hereditary slavery, or to acknowledge</w:t>
      </w:r>
      <w:r w:rsidR="008D4D7F">
        <w:t xml:space="preserve"> that</w:t>
      </w:r>
      <w:r w:rsidR="008D4D7F" w:rsidRPr="007C546F">
        <w:t xml:space="preserve"> </w:t>
      </w:r>
      <w:r w:rsidR="00FD5D18">
        <w:t>it</w:t>
      </w:r>
      <w:r w:rsidR="008D4D7F" w:rsidRPr="007C546F">
        <w:t xml:space="preserve"> continue</w:t>
      </w:r>
      <w:r>
        <w:t>s</w:t>
      </w:r>
      <w:r w:rsidR="008D4D7F" w:rsidRPr="007C546F">
        <w:t xml:space="preserve"> to occur.</w:t>
      </w:r>
      <w:r w:rsidR="00FB5168">
        <w:rPr>
          <w:rStyle w:val="FootnoteReference"/>
        </w:rPr>
        <w:footnoteReference w:id="57"/>
      </w:r>
      <w:r w:rsidR="008D4D7F" w:rsidRPr="007C546F">
        <w:t xml:space="preserve"> </w:t>
      </w:r>
      <w:r w:rsidRPr="00FB5168">
        <w:t xml:space="preserve">Since many aspects of hereditary slavery concern personal and family law, which are the aspects that tend to be solved under sharia provisions, courts </w:t>
      </w:r>
      <w:r w:rsidR="00DE5A33">
        <w:t>tend to</w:t>
      </w:r>
      <w:r w:rsidR="00DE5A33" w:rsidRPr="00FB5168">
        <w:t xml:space="preserve"> </w:t>
      </w:r>
      <w:r w:rsidRPr="00FB5168">
        <w:t xml:space="preserve">relegate the responsibility </w:t>
      </w:r>
      <w:r w:rsidR="00DE5A33">
        <w:t>for</w:t>
      </w:r>
      <w:r w:rsidR="00DE5A33" w:rsidRPr="00FB5168">
        <w:t xml:space="preserve"> </w:t>
      </w:r>
      <w:r w:rsidRPr="00FB5168">
        <w:t>such issues to local religious leaders</w:t>
      </w:r>
      <w:r>
        <w:t>.</w:t>
      </w:r>
      <w:r>
        <w:rPr>
          <w:rStyle w:val="FootnoteReference"/>
        </w:rPr>
        <w:footnoteReference w:id="58"/>
      </w:r>
      <w:r>
        <w:t xml:space="preserve"> A</w:t>
      </w:r>
      <w:r w:rsidR="008D4D7F" w:rsidRPr="007C546F">
        <w:t xml:space="preserve">lthough prosecutors have a legal obligation to transfer slavery cases to the anti-slavery courts, </w:t>
      </w:r>
      <w:r>
        <w:t>“</w:t>
      </w:r>
      <w:r w:rsidR="008D4D7F" w:rsidRPr="007C546F">
        <w:t>some prosecutors encouraged victims to withdraw their complaints in exchange for a small amount of financial compensation</w:t>
      </w:r>
      <w:r w:rsidR="004D5CFF">
        <w:t>”</w:t>
      </w:r>
      <w:r w:rsidR="008D4D7F" w:rsidRPr="002E495E">
        <w:t>.</w:t>
      </w:r>
      <w:r w:rsidR="008D4D7F">
        <w:rPr>
          <w:rStyle w:val="FootnoteReference"/>
        </w:rPr>
        <w:footnoteReference w:id="59"/>
      </w:r>
      <w:r w:rsidR="008D4D7F" w:rsidRPr="002E495E">
        <w:t xml:space="preserve"> </w:t>
      </w:r>
    </w:p>
    <w:p w14:paraId="0507BE80" w14:textId="4F04AB1D" w:rsidR="008D4D7F" w:rsidRDefault="008D4D7F" w:rsidP="008D4D7F">
      <w:pPr>
        <w:pStyle w:val="Heading3"/>
      </w:pPr>
      <w:bookmarkStart w:id="15" w:name="_Toc34236773"/>
      <w:r w:rsidRPr="00AD62F3">
        <w:t xml:space="preserve">Pattern </w:t>
      </w:r>
      <w:r>
        <w:t xml:space="preserve">7. </w:t>
      </w:r>
      <w:r w:rsidRPr="00B066CE">
        <w:t>Cases settled informally or reclassified</w:t>
      </w:r>
      <w:bookmarkEnd w:id="15"/>
    </w:p>
    <w:p w14:paraId="1523E342" w14:textId="53E39545" w:rsidR="008D4D7F" w:rsidRDefault="008D4D7F" w:rsidP="008D4D7F">
      <w:r>
        <w:t xml:space="preserve">Reclassification of slavery cases under other charges (work-related conflict or exploitation of minors) </w:t>
      </w:r>
      <w:r w:rsidR="00DE5A33">
        <w:t>is another</w:t>
      </w:r>
      <w:r>
        <w:t xml:space="preserve"> pattern. </w:t>
      </w:r>
      <w:r w:rsidR="001E0478">
        <w:t>R</w:t>
      </w:r>
      <w:r w:rsidR="00844809">
        <w:t xml:space="preserve">eports </w:t>
      </w:r>
      <w:r w:rsidR="00DE5A33">
        <w:t xml:space="preserve">indicate </w:t>
      </w:r>
      <w:r w:rsidR="00844809">
        <w:t xml:space="preserve">that prosecutors </w:t>
      </w:r>
      <w:r w:rsidR="00844809" w:rsidRPr="007C546F">
        <w:t>often prosecute alleged slave owners for lesser offen</w:t>
      </w:r>
      <w:r w:rsidR="00DE5A33">
        <w:t>c</w:t>
      </w:r>
      <w:r w:rsidR="00844809" w:rsidRPr="007C546F">
        <w:t>es</w:t>
      </w:r>
      <w:r w:rsidR="00844809">
        <w:t>, including re-designation of slavery cases as inheritance cases</w:t>
      </w:r>
      <w:r w:rsidR="00844809" w:rsidRPr="007C546F">
        <w:t>, closed slavery cases, or transferred cases for mediation to avoid bringing a slavery case to trial.</w:t>
      </w:r>
      <w:r w:rsidR="00844809">
        <w:rPr>
          <w:rStyle w:val="FootnoteReference"/>
        </w:rPr>
        <w:footnoteReference w:id="60"/>
      </w:r>
    </w:p>
    <w:p w14:paraId="437B330D" w14:textId="595DBA2C" w:rsidR="008D4D7F" w:rsidRDefault="00DE5A33" w:rsidP="008D4D7F">
      <w:bookmarkStart w:id="16" w:name="_Hlk35353150"/>
      <w:r>
        <w:t>For example, in the case of</w:t>
      </w:r>
      <w:r w:rsidR="008D4D7F" w:rsidRPr="002E495E">
        <w:t xml:space="preserve"> Salma and </w:t>
      </w:r>
      <w:proofErr w:type="spellStart"/>
      <w:r w:rsidR="008D4D7F" w:rsidRPr="002E495E">
        <w:t>Oum</w:t>
      </w:r>
      <w:proofErr w:type="spellEnd"/>
      <w:r w:rsidR="008D4D7F" w:rsidRPr="002E495E">
        <w:t xml:space="preserve"> El Issa</w:t>
      </w:r>
      <w:r w:rsidR="00C9221F">
        <w:t xml:space="preserve">, </w:t>
      </w:r>
      <w:r w:rsidR="00D83A96">
        <w:t>two girls aged 9 and 15</w:t>
      </w:r>
      <w:r w:rsidR="00C9221F">
        <w:t xml:space="preserve"> who had allegedly been enslaved</w:t>
      </w:r>
      <w:r w:rsidR="008D4D7F" w:rsidRPr="002E495E">
        <w:t xml:space="preserve"> by a female government employee. </w:t>
      </w:r>
      <w:r w:rsidR="001E0478">
        <w:t>T</w:t>
      </w:r>
      <w:r w:rsidR="00C9221F">
        <w:t xml:space="preserve">he </w:t>
      </w:r>
      <w:r>
        <w:t>defendant</w:t>
      </w:r>
      <w:r w:rsidRPr="002E495E">
        <w:t xml:space="preserve"> </w:t>
      </w:r>
      <w:r w:rsidR="008D4D7F" w:rsidRPr="002E495E">
        <w:t xml:space="preserve">was arrested </w:t>
      </w:r>
      <w:r w:rsidR="00C9221F">
        <w:t xml:space="preserve">and </w:t>
      </w:r>
      <w:r w:rsidR="008D4D7F" w:rsidRPr="002E495E">
        <w:t xml:space="preserve">prosecuted on </w:t>
      </w:r>
      <w:r>
        <w:t xml:space="preserve">lesser </w:t>
      </w:r>
      <w:r w:rsidR="008D4D7F" w:rsidRPr="002E495E">
        <w:t>charges of child exploitation</w:t>
      </w:r>
      <w:r w:rsidR="00C9221F">
        <w:t>, not slavery</w:t>
      </w:r>
      <w:r w:rsidR="008D4D7F" w:rsidRPr="002E495E">
        <w:t xml:space="preserve">. </w:t>
      </w:r>
      <w:r w:rsidR="001E0478">
        <w:t>She was</w:t>
      </w:r>
      <w:r w:rsidR="008D4D7F" w:rsidRPr="002E495E">
        <w:t xml:space="preserve"> convicted </w:t>
      </w:r>
      <w:r w:rsidR="00C9221F">
        <w:t>in</w:t>
      </w:r>
      <w:r w:rsidR="008D4D7F" w:rsidRPr="002E495E">
        <w:t xml:space="preserve"> January 2011</w:t>
      </w:r>
      <w:r w:rsidR="00C9221F">
        <w:t xml:space="preserve">, </w:t>
      </w:r>
      <w:r>
        <w:t xml:space="preserve">but then </w:t>
      </w:r>
      <w:r w:rsidR="008D4D7F" w:rsidRPr="002E495E">
        <w:t xml:space="preserve">acquitted by the Court of Appeal of Nouakchott </w:t>
      </w:r>
      <w:r w:rsidR="00C9221F">
        <w:t>two months later</w:t>
      </w:r>
      <w:r w:rsidR="008D4D7F" w:rsidRPr="002E495E">
        <w:t>.</w:t>
      </w:r>
      <w:r w:rsidR="008D4D7F">
        <w:rPr>
          <w:rStyle w:val="FootnoteReference"/>
        </w:rPr>
        <w:footnoteReference w:id="61"/>
      </w:r>
    </w:p>
    <w:p w14:paraId="1DE50764" w14:textId="202A5795" w:rsidR="008D4D7F" w:rsidRDefault="008D4D7F" w:rsidP="008D4D7F">
      <w:pPr>
        <w:pStyle w:val="Heading3"/>
      </w:pPr>
      <w:bookmarkStart w:id="17" w:name="_Toc34236774"/>
      <w:bookmarkEnd w:id="16"/>
      <w:r w:rsidRPr="00984ACC">
        <w:t xml:space="preserve">Pattern </w:t>
      </w:r>
      <w:r>
        <w:t>8</w:t>
      </w:r>
      <w:r w:rsidRPr="00984ACC">
        <w:t>. Procedures and deadlines are not respected</w:t>
      </w:r>
      <w:bookmarkEnd w:id="17"/>
    </w:p>
    <w:p w14:paraId="76595985" w14:textId="7CE566C4" w:rsidR="008D4D7F" w:rsidRDefault="008D4D7F" w:rsidP="008D4D7F">
      <w:r w:rsidRPr="00647C0C">
        <w:t>Article 38</w:t>
      </w:r>
      <w:r>
        <w:t xml:space="preserve"> of the 2015 Law</w:t>
      </w:r>
      <w:r w:rsidRPr="00647C0C">
        <w:t xml:space="preserve">, which provides that the </w:t>
      </w:r>
      <w:r w:rsidR="000B4071">
        <w:t>p</w:t>
      </w:r>
      <w:r w:rsidRPr="00647C0C">
        <w:t>rosecutor must decide whether or not to prosecute within eight days</w:t>
      </w:r>
      <w:r>
        <w:t>,</w:t>
      </w:r>
      <w:r w:rsidRPr="00647C0C">
        <w:t xml:space="preserve"> is routinely ignored. Many cases are dismissed by the prosecution without sufficient investigation or reasonable grounds. </w:t>
      </w:r>
      <w:r>
        <w:t>In addition, t</w:t>
      </w:r>
      <w:r w:rsidRPr="00647C0C">
        <w:t>here is no victim or witness protection measures in place, which deters victims and witnesses from coming forward.</w:t>
      </w:r>
      <w:r>
        <w:rPr>
          <w:rStyle w:val="FootnoteReference"/>
        </w:rPr>
        <w:footnoteReference w:id="62"/>
      </w:r>
      <w:r w:rsidRPr="00647C0C">
        <w:t xml:space="preserve"> </w:t>
      </w:r>
    </w:p>
    <w:p w14:paraId="5CCC4D7C" w14:textId="59EB0F24" w:rsidR="008D4D7F" w:rsidRDefault="008D4D7F" w:rsidP="008D4D7F">
      <w:r>
        <w:t>In the prosecution phase, it is common to bring the victims and the enslavers together in the same room for interrogation, putting the victims under pressure which could influence their statements.</w:t>
      </w:r>
      <w:r>
        <w:rPr>
          <w:rStyle w:val="FootnoteReference"/>
        </w:rPr>
        <w:footnoteReference w:id="63"/>
      </w:r>
      <w:r>
        <w:t xml:space="preserve"> It has also been reported as common practice not seeking to identify witnesses or corroborating evidence, which facilitates manipulation of legal proceedings.</w:t>
      </w:r>
      <w:r>
        <w:rPr>
          <w:rStyle w:val="FootnoteReference"/>
        </w:rPr>
        <w:footnoteReference w:id="64"/>
      </w:r>
    </w:p>
    <w:p w14:paraId="6ACCC0A2" w14:textId="44365ACD" w:rsidR="008D4D7F" w:rsidRPr="008D4D7F" w:rsidRDefault="008D4D7F" w:rsidP="008D4D7F">
      <w:pPr>
        <w:pStyle w:val="Heading3"/>
      </w:pPr>
      <w:bookmarkStart w:id="18" w:name="_Toc34236775"/>
      <w:r w:rsidRPr="00984ACC">
        <w:t xml:space="preserve">Pattern </w:t>
      </w:r>
      <w:r>
        <w:t>9</w:t>
      </w:r>
      <w:r w:rsidRPr="00984ACC">
        <w:t>. Racial and gender bias</w:t>
      </w:r>
      <w:r>
        <w:t xml:space="preserve"> (re-victimization)</w:t>
      </w:r>
      <w:r w:rsidRPr="00984ACC">
        <w:t xml:space="preserve"> in the way justice is administered</w:t>
      </w:r>
      <w:bookmarkEnd w:id="18"/>
      <w:r>
        <w:t xml:space="preserve"> </w:t>
      </w:r>
    </w:p>
    <w:p w14:paraId="6BA2EC3B" w14:textId="49886E6B" w:rsidR="000B4071" w:rsidRDefault="000B4071" w:rsidP="000B4071">
      <w:bookmarkStart w:id="19" w:name="_Hlk35353390"/>
      <w:r>
        <w:lastRenderedPageBreak/>
        <w:t xml:space="preserve">Human rights defenders and their legal representatives often report that the word of </w:t>
      </w:r>
      <w:r w:rsidR="00DE5A33">
        <w:t xml:space="preserve">prosecutors (who tend to be </w:t>
      </w:r>
      <w:r>
        <w:t>White Moors</w:t>
      </w:r>
      <w:r w:rsidR="00DE5A33">
        <w:t>)</w:t>
      </w:r>
      <w:r>
        <w:t xml:space="preserve"> is afforded greater credibility than those of people living in slavery.</w:t>
      </w:r>
      <w:r>
        <w:rPr>
          <w:rStyle w:val="FootnoteReference"/>
        </w:rPr>
        <w:footnoteReference w:id="65"/>
      </w:r>
      <w:r>
        <w:t xml:space="preserve"> </w:t>
      </w:r>
    </w:p>
    <w:bookmarkEnd w:id="19"/>
    <w:p w14:paraId="0BB8ED7C" w14:textId="27AE4515" w:rsidR="000B4071" w:rsidRDefault="000B4071" w:rsidP="000B4071">
      <w:r>
        <w:t>In addition, the</w:t>
      </w:r>
      <w:r w:rsidR="00DE5A33">
        <w:t>re is evidence of</w:t>
      </w:r>
      <w:r>
        <w:t xml:space="preserve"> gender bias in the way justice is administered in slavery cases</w:t>
      </w:r>
      <w:r w:rsidR="00E419F1">
        <w:t>. P</w:t>
      </w:r>
      <w:r>
        <w:t xml:space="preserve">articularly grave is the risk of re-victimization of female </w:t>
      </w:r>
      <w:r w:rsidR="00A4561B">
        <w:t xml:space="preserve">victims </w:t>
      </w:r>
      <w:r>
        <w:t>who may be accused of disobedience or fornication</w:t>
      </w:r>
      <w:r w:rsidR="00A4561B">
        <w:t xml:space="preserve">, as in the </w:t>
      </w:r>
      <w:r>
        <w:t xml:space="preserve">case of </w:t>
      </w:r>
      <w:proofErr w:type="spellStart"/>
      <w:r w:rsidRPr="002E18B0">
        <w:t>Mbarka</w:t>
      </w:r>
      <w:proofErr w:type="spellEnd"/>
      <w:r w:rsidRPr="002E18B0">
        <w:t xml:space="preserve"> L. Aged 20 when her case was filed, she was enslaved to a family in the </w:t>
      </w:r>
      <w:proofErr w:type="spellStart"/>
      <w:r w:rsidRPr="002E18B0">
        <w:t>Touabir</w:t>
      </w:r>
      <w:proofErr w:type="spellEnd"/>
      <w:r w:rsidRPr="002E18B0">
        <w:t xml:space="preserve"> tribe. Having escaped, she filed a claim against her former masters</w:t>
      </w:r>
      <w:r w:rsidR="00017086">
        <w:t xml:space="preserve">. </w:t>
      </w:r>
      <w:r w:rsidR="0011707F">
        <w:t>She</w:t>
      </w:r>
      <w:r w:rsidR="00017086">
        <w:t xml:space="preserve"> was sexually assaulted for refusing </w:t>
      </w:r>
      <w:r w:rsidRPr="002E18B0">
        <w:t xml:space="preserve">to withdraw her allegations and then denounced to the authorities for fornication and filial disobedience: crimes punishable by flagellation, stoning or imprisonment under </w:t>
      </w:r>
      <w:r w:rsidR="0011707F" w:rsidRPr="0011707F">
        <w:rPr>
          <w:i/>
          <w:iCs/>
        </w:rPr>
        <w:t>s</w:t>
      </w:r>
      <w:r w:rsidRPr="0011707F">
        <w:rPr>
          <w:i/>
          <w:iCs/>
        </w:rPr>
        <w:t>haria</w:t>
      </w:r>
      <w:r w:rsidRPr="002E18B0">
        <w:t xml:space="preserve"> law.</w:t>
      </w:r>
      <w:r w:rsidR="00F0733C">
        <w:rPr>
          <w:rStyle w:val="FootnoteReference"/>
        </w:rPr>
        <w:footnoteReference w:id="66"/>
      </w:r>
      <w:r w:rsidRPr="002E18B0">
        <w:t xml:space="preserve"> She was </w:t>
      </w:r>
      <w:r w:rsidR="00A4561B">
        <w:t>later</w:t>
      </w:r>
      <w:r w:rsidR="00A4561B" w:rsidRPr="002E18B0">
        <w:t xml:space="preserve"> </w:t>
      </w:r>
      <w:r w:rsidRPr="002E18B0">
        <w:t xml:space="preserve">arrested and both charges were filed </w:t>
      </w:r>
      <w:r w:rsidR="00A4561B">
        <w:t xml:space="preserve">against her </w:t>
      </w:r>
      <w:r w:rsidRPr="002E18B0">
        <w:t>by officials.</w:t>
      </w:r>
      <w:r w:rsidR="00017086">
        <w:t xml:space="preserve"> Although </w:t>
      </w:r>
      <w:proofErr w:type="spellStart"/>
      <w:r w:rsidRPr="002E18B0">
        <w:t>Mbarka</w:t>
      </w:r>
      <w:proofErr w:type="spellEnd"/>
      <w:r w:rsidRPr="002E18B0">
        <w:t xml:space="preserve"> was eventually released</w:t>
      </w:r>
      <w:r w:rsidR="00017086">
        <w:t xml:space="preserve">, her </w:t>
      </w:r>
      <w:r w:rsidRPr="002E18B0">
        <w:t xml:space="preserve">slavery </w:t>
      </w:r>
      <w:proofErr w:type="gramStart"/>
      <w:r w:rsidRPr="002E18B0">
        <w:t>claim</w:t>
      </w:r>
      <w:proofErr w:type="gramEnd"/>
      <w:r w:rsidRPr="002E18B0">
        <w:t xml:space="preserve"> </w:t>
      </w:r>
      <w:r w:rsidR="00017086">
        <w:t>never</w:t>
      </w:r>
      <w:r w:rsidRPr="002E18B0">
        <w:t xml:space="preserve"> proceed</w:t>
      </w:r>
      <w:r w:rsidR="00A4561B">
        <w:t>ed</w:t>
      </w:r>
      <w:r w:rsidRPr="002E18B0">
        <w:t>.</w:t>
      </w:r>
      <w:r>
        <w:rPr>
          <w:rStyle w:val="FootnoteReference"/>
        </w:rPr>
        <w:footnoteReference w:id="67"/>
      </w:r>
      <w:r w:rsidR="00150AEA">
        <w:t xml:space="preserve"> </w:t>
      </w:r>
    </w:p>
    <w:p w14:paraId="53B4AE23" w14:textId="69CF3BE9" w:rsidR="00150AEA" w:rsidRDefault="00150AEA" w:rsidP="000B4071">
      <w:r>
        <w:t xml:space="preserve">According to information received by the UN Special Rapporteur, victims of slavery who managed to escape fear retaliation and re-victimization and therefore, they often </w:t>
      </w:r>
      <w:r w:rsidR="00A4561B">
        <w:t xml:space="preserve">do not </w:t>
      </w:r>
      <w:r>
        <w:t>report their cases.</w:t>
      </w:r>
      <w:r>
        <w:rPr>
          <w:rStyle w:val="FootnoteReference"/>
        </w:rPr>
        <w:footnoteReference w:id="68"/>
      </w:r>
      <w:r w:rsidR="00636571">
        <w:t xml:space="preserve"> </w:t>
      </w:r>
    </w:p>
    <w:p w14:paraId="4E8DDD89" w14:textId="634F3D00" w:rsidR="008D4D7F" w:rsidRDefault="008D4D7F" w:rsidP="008D4D7F">
      <w:pPr>
        <w:pStyle w:val="Heading3"/>
      </w:pPr>
      <w:bookmarkStart w:id="20" w:name="_Toc34236776"/>
      <w:r w:rsidRPr="00DC6353">
        <w:t>Pattern</w:t>
      </w:r>
      <w:r>
        <w:t xml:space="preserve"> 10. No conviction for failing to prosecute under</w:t>
      </w:r>
      <w:r w:rsidR="00623749">
        <w:t xml:space="preserve"> the</w:t>
      </w:r>
      <w:r>
        <w:t xml:space="preserve"> 2015 Anti-Slavery Act</w:t>
      </w:r>
      <w:bookmarkEnd w:id="20"/>
    </w:p>
    <w:p w14:paraId="38BFC2A0" w14:textId="5552E841" w:rsidR="008D4D7F" w:rsidRDefault="008D4D7F" w:rsidP="008D4D7F">
      <w:bookmarkStart w:id="21" w:name="_Hlk35353510"/>
      <w:r>
        <w:t>T</w:t>
      </w:r>
      <w:r w:rsidRPr="00E90671">
        <w:t xml:space="preserve">he </w:t>
      </w:r>
      <w:r>
        <w:t>2015 Anti-Slavery</w:t>
      </w:r>
      <w:r w:rsidRPr="00E90671">
        <w:t xml:space="preserve"> Act stipulate</w:t>
      </w:r>
      <w:r>
        <w:t>s that officials who do not investigate cases of slavery shall be liable</w:t>
      </w:r>
      <w:bookmarkEnd w:id="21"/>
      <w:r>
        <w:t>.</w:t>
      </w:r>
      <w:r w:rsidR="00F0733C">
        <w:rPr>
          <w:rStyle w:val="FootnoteReference"/>
        </w:rPr>
        <w:footnoteReference w:id="69"/>
      </w:r>
      <w:r>
        <w:t xml:space="preserve"> It </w:t>
      </w:r>
      <w:r w:rsidRPr="005E2DAD">
        <w:t>provides for prison sentences and fines for law enforcement officials or the office of the prosecution when they fail to follow up on serious allegations of slavery.</w:t>
      </w:r>
      <w:r>
        <w:t xml:space="preserve"> </w:t>
      </w:r>
      <w:r w:rsidR="00623749">
        <w:t xml:space="preserve">The UN Special Rapporteur recommended in 2017 </w:t>
      </w:r>
      <w:r w:rsidR="00A4561B">
        <w:t xml:space="preserve">that </w:t>
      </w:r>
      <w:r w:rsidR="00623749">
        <w:t>the Mauritanian government take steps to have accountability mechanisms in place to sanction any members of the police and prosecutorial authorities who fail to follow</w:t>
      </w:r>
      <w:r w:rsidR="008E1B6A">
        <w:t xml:space="preserve"> </w:t>
      </w:r>
      <w:r w:rsidR="00623749">
        <w:t>up and investigate complaints of slavery.</w:t>
      </w:r>
      <w:r w:rsidR="00623749">
        <w:rPr>
          <w:rStyle w:val="FootnoteReference"/>
        </w:rPr>
        <w:footnoteReference w:id="70"/>
      </w:r>
      <w:r w:rsidR="0011707F">
        <w:t xml:space="preserve"> </w:t>
      </w:r>
      <w:r>
        <w:t>Yet, there ha</w:t>
      </w:r>
      <w:r w:rsidR="0011707F">
        <w:t>ve</w:t>
      </w:r>
      <w:r>
        <w:t xml:space="preserve"> been no </w:t>
      </w:r>
      <w:r w:rsidRPr="005E2DAD">
        <w:t>known investigations or prosecutions for breach of this obligation to investigate and to prosecute.</w:t>
      </w:r>
      <w:r>
        <w:rPr>
          <w:rStyle w:val="FootnoteReference"/>
        </w:rPr>
        <w:footnoteReference w:id="71"/>
      </w:r>
      <w:r w:rsidRPr="005E2DAD">
        <w:t xml:space="preserve"> </w:t>
      </w:r>
    </w:p>
    <w:p w14:paraId="3980CB50" w14:textId="5E818990" w:rsidR="008A6F2B" w:rsidRDefault="008D4D7F" w:rsidP="008A6F2B">
      <w:pPr>
        <w:pStyle w:val="Heading2"/>
        <w:numPr>
          <w:ilvl w:val="1"/>
          <w:numId w:val="20"/>
        </w:numPr>
      </w:pPr>
      <w:bookmarkStart w:id="22" w:name="_Toc34236777"/>
      <w:r>
        <w:t>The judiciary: failing to ensure redress to victims</w:t>
      </w:r>
      <w:bookmarkEnd w:id="22"/>
    </w:p>
    <w:p w14:paraId="62CA5537" w14:textId="219A2E61" w:rsidR="004D1EF7" w:rsidRPr="005560BE" w:rsidRDefault="00B066CE" w:rsidP="004D1EF7">
      <w:r>
        <w:t xml:space="preserve">Despite having anti-slavery legislation in force, Mauritania has been warned by regional human rights courts and international bodies that its </w:t>
      </w:r>
      <w:r w:rsidR="008A6F2B">
        <w:t xml:space="preserve">judicial system </w:t>
      </w:r>
      <w:r w:rsidR="00A4561B">
        <w:t xml:space="preserve">is not </w:t>
      </w:r>
      <w:r w:rsidR="008A6F2B">
        <w:t>protect</w:t>
      </w:r>
      <w:r w:rsidR="00A4561B">
        <w:t>ing</w:t>
      </w:r>
      <w:r w:rsidR="008A6F2B">
        <w:t xml:space="preserve"> victims effectively. </w:t>
      </w:r>
      <w:r w:rsidR="00A4561B">
        <w:t>The</w:t>
      </w:r>
      <w:r w:rsidR="003D082A">
        <w:t xml:space="preserve"> </w:t>
      </w:r>
      <w:r>
        <w:t xml:space="preserve">African Union’s Committee of Experts on the Rights and Welfare of the Child </w:t>
      </w:r>
      <w:r w:rsidR="003D082A">
        <w:t>in 2017</w:t>
      </w:r>
      <w:r w:rsidR="00A4561B">
        <w:t xml:space="preserve"> urged </w:t>
      </w:r>
      <w:r>
        <w:t>Mauritania to make a greater effort to eliminate slavery</w:t>
      </w:r>
      <w:r w:rsidR="008E1B6A">
        <w:t xml:space="preserve"> and</w:t>
      </w:r>
      <w:r>
        <w:t xml:space="preserve"> to better protect victims and prosecute offenders</w:t>
      </w:r>
      <w:r w:rsidR="003D082A">
        <w:t xml:space="preserve">, </w:t>
      </w:r>
      <w:r w:rsidR="00A4561B">
        <w:t xml:space="preserve">and </w:t>
      </w:r>
      <w:r w:rsidR="008E1B6A">
        <w:t xml:space="preserve">it </w:t>
      </w:r>
      <w:r w:rsidR="008A6F2B">
        <w:t>requested</w:t>
      </w:r>
      <w:r w:rsidRPr="00F33644">
        <w:t xml:space="preserve"> the </w:t>
      </w:r>
      <w:r w:rsidR="008E1B6A">
        <w:t>Mauritanian</w:t>
      </w:r>
      <w:r w:rsidR="008E1B6A" w:rsidRPr="00F33644">
        <w:t xml:space="preserve"> </w:t>
      </w:r>
      <w:r w:rsidRPr="00F33644">
        <w:t xml:space="preserve">authorities to make the </w:t>
      </w:r>
      <w:r w:rsidR="008E1B6A">
        <w:t>necessary</w:t>
      </w:r>
      <w:r w:rsidR="008E1B6A" w:rsidRPr="00F33644">
        <w:t xml:space="preserve"> </w:t>
      </w:r>
      <w:r w:rsidRPr="00F33644">
        <w:t xml:space="preserve">changes to national practice and programmes </w:t>
      </w:r>
      <w:r w:rsidR="008E1B6A">
        <w:t xml:space="preserve">in order effectively </w:t>
      </w:r>
      <w:r w:rsidRPr="00F33644">
        <w:t>to eradicate slavery and related practices</w:t>
      </w:r>
      <w:r w:rsidR="008E1B6A">
        <w:t>.</w:t>
      </w:r>
      <w:r w:rsidR="00F25458">
        <w:rPr>
          <w:rStyle w:val="FootnoteReference"/>
        </w:rPr>
        <w:footnoteReference w:id="72"/>
      </w:r>
      <w:r w:rsidR="008E1B6A">
        <w:t xml:space="preserve"> </w:t>
      </w:r>
      <w:r w:rsidR="005560BE">
        <w:t xml:space="preserve">The </w:t>
      </w:r>
      <w:r w:rsidR="008A6F2B">
        <w:t>UN Special Rapporteur</w:t>
      </w:r>
      <w:r w:rsidR="005560BE">
        <w:t xml:space="preserve"> has also</w:t>
      </w:r>
      <w:r w:rsidR="008A6F2B">
        <w:t xml:space="preserve"> </w:t>
      </w:r>
      <w:r w:rsidR="0004407D">
        <w:t xml:space="preserve">received reports regarding </w:t>
      </w:r>
      <w:r w:rsidR="005031DE">
        <w:t>the stigmatization and discrimination that victims of slavery suffer</w:t>
      </w:r>
      <w:r w:rsidR="00A4561B">
        <w:t xml:space="preserve"> as well as </w:t>
      </w:r>
      <w:r w:rsidR="005031DE">
        <w:t xml:space="preserve">their difficulties </w:t>
      </w:r>
      <w:r w:rsidR="008E1B6A">
        <w:t>in</w:t>
      </w:r>
      <w:r w:rsidR="005031DE">
        <w:t xml:space="preserve"> </w:t>
      </w:r>
      <w:r w:rsidR="005031DE">
        <w:lastRenderedPageBreak/>
        <w:t>access</w:t>
      </w:r>
      <w:r w:rsidR="008E1B6A">
        <w:t>ing</w:t>
      </w:r>
      <w:r w:rsidR="005031DE">
        <w:t xml:space="preserve"> justice</w:t>
      </w:r>
      <w:r w:rsidR="00A4561B">
        <w:t>.</w:t>
      </w:r>
      <w:r w:rsidR="008B0C20">
        <w:rPr>
          <w:rStyle w:val="FootnoteReference"/>
        </w:rPr>
        <w:footnoteReference w:id="73"/>
      </w:r>
      <w:r w:rsidR="005031DE">
        <w:t xml:space="preserve"> </w:t>
      </w:r>
      <w:r w:rsidR="00A4561B">
        <w:t>The</w:t>
      </w:r>
      <w:r w:rsidR="005560BE">
        <w:t xml:space="preserve"> CERD</w:t>
      </w:r>
      <w:r w:rsidR="004D1EF7" w:rsidRPr="00D23344">
        <w:rPr>
          <w:lang w:val="en-US"/>
        </w:rPr>
        <w:t xml:space="preserve"> </w:t>
      </w:r>
      <w:r w:rsidR="00A4561B">
        <w:rPr>
          <w:lang w:val="en-US"/>
        </w:rPr>
        <w:t xml:space="preserve">Committee </w:t>
      </w:r>
      <w:r w:rsidR="008E1B6A">
        <w:rPr>
          <w:lang w:val="en-US"/>
        </w:rPr>
        <w:t>expressed concern at</w:t>
      </w:r>
      <w:r w:rsidR="004D1EF7" w:rsidRPr="00D23344">
        <w:rPr>
          <w:lang w:val="en-US"/>
        </w:rPr>
        <w:t xml:space="preserve"> </w:t>
      </w:r>
      <w:r w:rsidR="004D1EF7">
        <w:rPr>
          <w:lang w:val="en-US"/>
        </w:rPr>
        <w:t>“</w:t>
      </w:r>
      <w:r w:rsidR="004D1EF7" w:rsidRPr="00D23344">
        <w:rPr>
          <w:lang w:val="en-US"/>
        </w:rPr>
        <w:t>the fact that the sentences imposed thus far in cases involving slavery are not always commensurate with the gravity of the offence.”</w:t>
      </w:r>
      <w:r w:rsidR="004D1EF7">
        <w:rPr>
          <w:rStyle w:val="FootnoteReference"/>
          <w:lang w:val="en-US"/>
        </w:rPr>
        <w:footnoteReference w:id="74"/>
      </w:r>
      <w:r w:rsidR="004D1EF7" w:rsidRPr="00D23344">
        <w:rPr>
          <w:lang w:val="en-US"/>
        </w:rPr>
        <w:t xml:space="preserve">  </w:t>
      </w:r>
    </w:p>
    <w:p w14:paraId="678DD90C" w14:textId="24C90EDD" w:rsidR="008D4D7F" w:rsidRDefault="008D4D7F" w:rsidP="008D4D7F">
      <w:pPr>
        <w:pStyle w:val="Heading3"/>
      </w:pPr>
      <w:bookmarkStart w:id="23" w:name="_Toc34236778"/>
      <w:r w:rsidRPr="00984ACC">
        <w:t xml:space="preserve">Pattern </w:t>
      </w:r>
      <w:r w:rsidR="00867A24">
        <w:t>11</w:t>
      </w:r>
      <w:r w:rsidRPr="00984ACC">
        <w:t>. Procedures and deadlines are not respected</w:t>
      </w:r>
      <w:bookmarkEnd w:id="23"/>
      <w:r>
        <w:t xml:space="preserve"> </w:t>
      </w:r>
    </w:p>
    <w:p w14:paraId="1E658696" w14:textId="02E5E27D" w:rsidR="009C2B70" w:rsidRDefault="000B4071" w:rsidP="000B4071">
      <w:r>
        <w:t xml:space="preserve">Under </w:t>
      </w:r>
      <w:r w:rsidR="00A4561B">
        <w:t>A</w:t>
      </w:r>
      <w:r>
        <w:t xml:space="preserve">rticle 21 of the 2015 </w:t>
      </w:r>
      <w:r w:rsidR="00CB44B0">
        <w:t>Anti-slavery Act</w:t>
      </w:r>
      <w:r>
        <w:t xml:space="preserve">, judges </w:t>
      </w:r>
      <w:r w:rsidR="00A4561B">
        <w:t>are obliged to</w:t>
      </w:r>
      <w:r>
        <w:t xml:space="preserve"> take appropriate actions against the infractions proscribed by the law “urgently and without prejudice” “as soon as information is brought to their attention and under penalty of being sanctioned”. However, extended delays are frequent. In </w:t>
      </w:r>
      <w:proofErr w:type="spellStart"/>
      <w:r w:rsidRPr="0048310F">
        <w:rPr>
          <w:i/>
          <w:iCs/>
        </w:rPr>
        <w:t>Rabiaa</w:t>
      </w:r>
      <w:proofErr w:type="spellEnd"/>
      <w:r w:rsidR="00127126" w:rsidRPr="0048310F">
        <w:rPr>
          <w:i/>
          <w:iCs/>
        </w:rPr>
        <w:t>,</w:t>
      </w:r>
      <w:r w:rsidRPr="0048310F">
        <w:rPr>
          <w:i/>
          <w:iCs/>
        </w:rPr>
        <w:t xml:space="preserve"> </w:t>
      </w:r>
      <w:proofErr w:type="spellStart"/>
      <w:r w:rsidRPr="0048310F">
        <w:rPr>
          <w:i/>
          <w:iCs/>
        </w:rPr>
        <w:t>Aminetou</w:t>
      </w:r>
      <w:proofErr w:type="spellEnd"/>
      <w:r w:rsidRPr="0048310F">
        <w:rPr>
          <w:i/>
          <w:iCs/>
        </w:rPr>
        <w:t xml:space="preserve"> and Nana</w:t>
      </w:r>
      <w:r>
        <w:t xml:space="preserve">, a case about </w:t>
      </w:r>
      <w:r w:rsidR="00A4561B">
        <w:t>three</w:t>
      </w:r>
      <w:r>
        <w:t xml:space="preserve"> sisters who have been in slavery since childhood, the proceedings were initiated in 2011</w:t>
      </w:r>
      <w:r w:rsidR="00A4561B">
        <w:t>. It was</w:t>
      </w:r>
      <w:r>
        <w:t xml:space="preserve"> only in 2017 </w:t>
      </w:r>
      <w:r w:rsidR="00A4561B">
        <w:t xml:space="preserve">that </w:t>
      </w:r>
      <w:r>
        <w:t xml:space="preserve">the case was referred to the Special Court against Slavery in </w:t>
      </w:r>
      <w:proofErr w:type="spellStart"/>
      <w:r>
        <w:t>Nouadhibou</w:t>
      </w:r>
      <w:proofErr w:type="spellEnd"/>
      <w:r>
        <w:t>.</w:t>
      </w:r>
      <w:r w:rsidR="003C71F1">
        <w:rPr>
          <w:rStyle w:val="FootnoteReference"/>
        </w:rPr>
        <w:footnoteReference w:id="75"/>
      </w:r>
      <w:r w:rsidR="000A468F">
        <w:t xml:space="preserve"> </w:t>
      </w:r>
    </w:p>
    <w:p w14:paraId="27BEC830" w14:textId="18DEAD65" w:rsidR="000B4071" w:rsidRDefault="000B4071" w:rsidP="000B4071">
      <w:r>
        <w:t xml:space="preserve">In some cases, the examining </w:t>
      </w:r>
      <w:proofErr w:type="gramStart"/>
      <w:r>
        <w:t>judges</w:t>
      </w:r>
      <w:proofErr w:type="gramEnd"/>
      <w:r>
        <w:t xml:space="preserve"> close cases alleging lack of evidence, although human rights defenders </w:t>
      </w:r>
      <w:r w:rsidR="00A4561B">
        <w:t>suggest the cases are closed</w:t>
      </w:r>
      <w:r>
        <w:t xml:space="preserve"> “on account of the master’s family enjoying political connections or close ties with those occupying judicial office”.</w:t>
      </w:r>
      <w:r>
        <w:rPr>
          <w:rStyle w:val="FootnoteReference"/>
        </w:rPr>
        <w:footnoteReference w:id="76"/>
      </w:r>
      <w:r>
        <w:t xml:space="preserve"> </w:t>
      </w:r>
    </w:p>
    <w:p w14:paraId="5E3E8610" w14:textId="259D1CAA" w:rsidR="00B066CE" w:rsidRDefault="00B066CE" w:rsidP="00A84AB9">
      <w:pPr>
        <w:pStyle w:val="Heading3"/>
      </w:pPr>
      <w:bookmarkStart w:id="24" w:name="_Toc34236779"/>
      <w:r w:rsidRPr="00984ACC">
        <w:t xml:space="preserve">Pattern </w:t>
      </w:r>
      <w:r w:rsidR="00867A24">
        <w:t>12</w:t>
      </w:r>
      <w:r w:rsidRPr="00984ACC">
        <w:t>. Racial and gender bias</w:t>
      </w:r>
      <w:r w:rsidR="00190DC3">
        <w:t xml:space="preserve"> (re-victimization)</w:t>
      </w:r>
      <w:r w:rsidRPr="00984ACC">
        <w:t xml:space="preserve"> in the way justice is administered</w:t>
      </w:r>
      <w:bookmarkEnd w:id="24"/>
      <w:r w:rsidR="003C2247">
        <w:t xml:space="preserve"> </w:t>
      </w:r>
    </w:p>
    <w:p w14:paraId="7D773CEB" w14:textId="25109BC2" w:rsidR="00E419F1" w:rsidRDefault="000A468F" w:rsidP="00E419F1">
      <w:r>
        <w:t xml:space="preserve">Racial and gender bias of judges have also been reported. </w:t>
      </w:r>
      <w:r w:rsidR="00E419F1">
        <w:t xml:space="preserve">The UN Special Rapporteur shared details of a case reported to her </w:t>
      </w:r>
      <w:r w:rsidR="00E419F1" w:rsidRPr="00B06C6B">
        <w:t>in September 2019</w:t>
      </w:r>
      <w:r w:rsidR="00A4561B">
        <w:t xml:space="preserve">: </w:t>
      </w:r>
      <w:r w:rsidR="00E419F1" w:rsidRPr="00B06C6B">
        <w:t xml:space="preserve">a 14-year-old girl escaped from slavery but was then </w:t>
      </w:r>
      <w:r w:rsidR="0004407D">
        <w:t xml:space="preserve">allegedly </w:t>
      </w:r>
      <w:r w:rsidR="00E419F1" w:rsidRPr="00B06C6B">
        <w:t>returned to her slave masters by the tribunal judge.</w:t>
      </w:r>
      <w:r w:rsidR="0051401E">
        <w:rPr>
          <w:rStyle w:val="FootnoteReference"/>
        </w:rPr>
        <w:footnoteReference w:id="77"/>
      </w:r>
      <w:r w:rsidR="00E419F1" w:rsidRPr="00B06C6B">
        <w:t xml:space="preserve"> Based on </w:t>
      </w:r>
      <w:r w:rsidR="0004407D">
        <w:t>a local civil society organisation</w:t>
      </w:r>
      <w:r w:rsidR="0004407D" w:rsidRPr="00B06C6B">
        <w:t xml:space="preserve">’s </w:t>
      </w:r>
      <w:r w:rsidR="00E419F1" w:rsidRPr="00B06C6B">
        <w:t xml:space="preserve">analysis, </w:t>
      </w:r>
      <w:r w:rsidR="00A4561B">
        <w:t xml:space="preserve">the bias of judges </w:t>
      </w:r>
      <w:r w:rsidR="0004407D">
        <w:t xml:space="preserve">may have </w:t>
      </w:r>
      <w:r w:rsidR="00A4561B">
        <w:t xml:space="preserve">exposed </w:t>
      </w:r>
      <w:r w:rsidR="00E419F1" w:rsidRPr="00B06C6B">
        <w:t>the girl to further harm instead of protecting her</w:t>
      </w:r>
      <w:r w:rsidR="00A4561B">
        <w:t>; many of the judges “</w:t>
      </w:r>
      <w:r w:rsidR="00E419F1" w:rsidRPr="00B06C6B">
        <w:t>belong to the same ethnic minority as the slave masters and hence, they lack independence</w:t>
      </w:r>
      <w:r w:rsidR="00476ABB">
        <w:t>”</w:t>
      </w:r>
      <w:r w:rsidR="00E419F1" w:rsidRPr="00B06C6B">
        <w:t>.</w:t>
      </w:r>
      <w:r w:rsidR="00476ABB">
        <w:rPr>
          <w:rStyle w:val="FootnoteReference"/>
        </w:rPr>
        <w:footnoteReference w:id="78"/>
      </w:r>
      <w:r w:rsidR="00E419F1" w:rsidRPr="00B06C6B">
        <w:t xml:space="preserve"> </w:t>
      </w:r>
    </w:p>
    <w:p w14:paraId="01A0335E" w14:textId="7D2AEB24" w:rsidR="00507185" w:rsidRDefault="00507185" w:rsidP="00F22E49">
      <w:pPr>
        <w:pStyle w:val="Heading3"/>
      </w:pPr>
      <w:bookmarkStart w:id="25" w:name="_Toc34236780"/>
      <w:r>
        <w:t>Pattern 1</w:t>
      </w:r>
      <w:r w:rsidR="00867A24">
        <w:t>3</w:t>
      </w:r>
      <w:r>
        <w:t xml:space="preserve">. </w:t>
      </w:r>
      <w:r w:rsidR="00A4561B">
        <w:t xml:space="preserve">Judicial </w:t>
      </w:r>
      <w:r>
        <w:t>reluctance to convict for slavery offences</w:t>
      </w:r>
      <w:bookmarkEnd w:id="25"/>
    </w:p>
    <w:p w14:paraId="46D325DB" w14:textId="1250B22D" w:rsidR="003C71F1" w:rsidRDefault="005D2FB9" w:rsidP="00507185">
      <w:pPr>
        <w:pStyle w:val="Default"/>
        <w:spacing w:after="160" w:line="276" w:lineRule="auto"/>
        <w:jc w:val="both"/>
        <w:rPr>
          <w:rFonts w:eastAsiaTheme="minorHAnsi"/>
          <w:color w:val="auto"/>
          <w:szCs w:val="22"/>
          <w:lang w:val="en-GB"/>
        </w:rPr>
      </w:pPr>
      <w:r>
        <w:rPr>
          <w:rFonts w:eastAsiaTheme="minorHAnsi"/>
          <w:color w:val="auto"/>
          <w:szCs w:val="22"/>
          <w:lang w:val="en-GB"/>
        </w:rPr>
        <w:t>Although judges have been receiving training on the anti-slavery law of 2015 which may improve victims’ access to justice and reduce impunity in the near future, a</w:t>
      </w:r>
      <w:r w:rsidR="00507185" w:rsidRPr="00507185">
        <w:rPr>
          <w:rFonts w:eastAsiaTheme="minorHAnsi"/>
          <w:color w:val="auto"/>
          <w:szCs w:val="22"/>
          <w:lang w:val="en-GB"/>
        </w:rPr>
        <w:t xml:space="preserve">ccording to information </w:t>
      </w:r>
      <w:r w:rsidR="0004407D">
        <w:rPr>
          <w:rFonts w:eastAsiaTheme="minorHAnsi"/>
          <w:color w:val="auto"/>
          <w:szCs w:val="22"/>
          <w:lang w:val="en-GB"/>
        </w:rPr>
        <w:t>received</w:t>
      </w:r>
      <w:r w:rsidR="0004407D" w:rsidRPr="00507185">
        <w:rPr>
          <w:rFonts w:eastAsiaTheme="minorHAnsi"/>
          <w:color w:val="auto"/>
          <w:szCs w:val="22"/>
          <w:lang w:val="en-GB"/>
        </w:rPr>
        <w:t xml:space="preserve"> </w:t>
      </w:r>
      <w:r w:rsidR="00507185" w:rsidRPr="00507185">
        <w:rPr>
          <w:rFonts w:eastAsiaTheme="minorHAnsi"/>
          <w:color w:val="auto"/>
          <w:szCs w:val="22"/>
          <w:lang w:val="en-GB"/>
        </w:rPr>
        <w:t xml:space="preserve">by the </w:t>
      </w:r>
      <w:r w:rsidR="00867A24">
        <w:rPr>
          <w:rFonts w:eastAsiaTheme="minorHAnsi"/>
          <w:color w:val="auto"/>
          <w:szCs w:val="22"/>
          <w:lang w:val="en-GB"/>
        </w:rPr>
        <w:t xml:space="preserve">UN </w:t>
      </w:r>
      <w:r w:rsidR="00507185" w:rsidRPr="00507185">
        <w:rPr>
          <w:rFonts w:eastAsiaTheme="minorHAnsi"/>
          <w:color w:val="auto"/>
          <w:szCs w:val="22"/>
          <w:lang w:val="en-GB"/>
        </w:rPr>
        <w:t xml:space="preserve">Special Rapporteur, there is </w:t>
      </w:r>
      <w:r>
        <w:rPr>
          <w:rFonts w:eastAsiaTheme="minorHAnsi"/>
          <w:color w:val="auto"/>
          <w:szCs w:val="22"/>
          <w:lang w:val="en-GB"/>
        </w:rPr>
        <w:t xml:space="preserve">still </w:t>
      </w:r>
      <w:r w:rsidR="00507185" w:rsidRPr="00507185">
        <w:rPr>
          <w:rFonts w:eastAsiaTheme="minorHAnsi"/>
          <w:color w:val="auto"/>
          <w:szCs w:val="22"/>
          <w:lang w:val="en-GB"/>
        </w:rPr>
        <w:t>reluctance</w:t>
      </w:r>
      <w:r w:rsidR="00A4561B">
        <w:rPr>
          <w:rFonts w:eastAsiaTheme="minorHAnsi"/>
          <w:color w:val="auto"/>
          <w:szCs w:val="22"/>
          <w:lang w:val="en-GB"/>
        </w:rPr>
        <w:t xml:space="preserve"> among the judiciary</w:t>
      </w:r>
      <w:r w:rsidR="00507185" w:rsidRPr="00507185">
        <w:rPr>
          <w:rFonts w:eastAsiaTheme="minorHAnsi"/>
          <w:color w:val="auto"/>
          <w:szCs w:val="22"/>
          <w:lang w:val="en-GB"/>
        </w:rPr>
        <w:t xml:space="preserve"> to convict, arising </w:t>
      </w:r>
      <w:r w:rsidR="00A4561B">
        <w:rPr>
          <w:rFonts w:eastAsiaTheme="minorHAnsi"/>
          <w:color w:val="auto"/>
          <w:szCs w:val="22"/>
          <w:lang w:val="en-GB"/>
        </w:rPr>
        <w:t xml:space="preserve">in part </w:t>
      </w:r>
      <w:r w:rsidR="00507185" w:rsidRPr="00507185">
        <w:rPr>
          <w:rFonts w:eastAsiaTheme="minorHAnsi"/>
          <w:color w:val="auto"/>
          <w:szCs w:val="22"/>
          <w:lang w:val="en-GB"/>
        </w:rPr>
        <w:t>from</w:t>
      </w:r>
      <w:r w:rsidR="00A4561B">
        <w:rPr>
          <w:rFonts w:eastAsiaTheme="minorHAnsi"/>
          <w:color w:val="auto"/>
          <w:szCs w:val="22"/>
          <w:lang w:val="en-GB"/>
        </w:rPr>
        <w:t xml:space="preserve"> </w:t>
      </w:r>
      <w:r w:rsidR="00507185" w:rsidRPr="00507185">
        <w:rPr>
          <w:rFonts w:eastAsiaTheme="minorHAnsi"/>
          <w:color w:val="auto"/>
          <w:szCs w:val="22"/>
          <w:lang w:val="en-GB"/>
        </w:rPr>
        <w:t xml:space="preserve">the </w:t>
      </w:r>
      <w:r w:rsidR="00127126">
        <w:rPr>
          <w:rFonts w:eastAsiaTheme="minorHAnsi"/>
          <w:color w:val="auto"/>
          <w:szCs w:val="22"/>
          <w:lang w:val="en-GB"/>
        </w:rPr>
        <w:t xml:space="preserve">insufficient training and </w:t>
      </w:r>
      <w:r w:rsidR="00507185" w:rsidRPr="00507185">
        <w:rPr>
          <w:rFonts w:eastAsiaTheme="minorHAnsi"/>
          <w:color w:val="auto"/>
          <w:szCs w:val="22"/>
          <w:lang w:val="en-GB"/>
        </w:rPr>
        <w:t>lack of independence.</w:t>
      </w:r>
      <w:r w:rsidR="002656AE">
        <w:rPr>
          <w:rStyle w:val="FootnoteReference"/>
          <w:rFonts w:eastAsiaTheme="minorHAnsi"/>
          <w:color w:val="auto"/>
          <w:szCs w:val="22"/>
          <w:lang w:val="en-GB"/>
        </w:rPr>
        <w:footnoteReference w:id="79"/>
      </w:r>
      <w:r w:rsidR="0004407D">
        <w:rPr>
          <w:rFonts w:eastAsiaTheme="minorHAnsi"/>
          <w:color w:val="auto"/>
          <w:szCs w:val="22"/>
          <w:lang w:val="en-GB"/>
        </w:rPr>
        <w:t xml:space="preserve"> </w:t>
      </w:r>
    </w:p>
    <w:p w14:paraId="2ED7DE95" w14:textId="3CD01D53" w:rsidR="00B63954" w:rsidRPr="00CC18B4" w:rsidRDefault="00202A6A" w:rsidP="005C4671">
      <w:r w:rsidRPr="005C4671">
        <w:t>Following the pattern indicated for prosecutors, reports persist that judges often convict alleged slave owners for lesser offenses, including re-designation of slavery cases as inheritance cases, closed slavery cases, or transferred cases for mediation to avoid bringing a slavery case to trial.</w:t>
      </w:r>
      <w:r w:rsidRPr="005C4671">
        <w:rPr>
          <w:vertAlign w:val="superscript"/>
        </w:rPr>
        <w:footnoteReference w:id="80"/>
      </w:r>
    </w:p>
    <w:p w14:paraId="7359F103" w14:textId="05A5C055" w:rsidR="00F22E49" w:rsidRPr="004B03AA" w:rsidRDefault="00F22E49" w:rsidP="00F22E49">
      <w:pPr>
        <w:pStyle w:val="Heading3"/>
      </w:pPr>
      <w:bookmarkStart w:id="26" w:name="_Toc34236781"/>
      <w:r w:rsidRPr="004B03AA">
        <w:t>Pattern 1</w:t>
      </w:r>
      <w:r w:rsidR="00867A24" w:rsidRPr="004B03AA">
        <w:t>4</w:t>
      </w:r>
      <w:r w:rsidRPr="004B03AA">
        <w:t>. Lack of consistent and common criteri</w:t>
      </w:r>
      <w:r w:rsidR="003C2247" w:rsidRPr="004B03AA">
        <w:t>a used by judges</w:t>
      </w:r>
      <w:r w:rsidRPr="004B03AA">
        <w:t xml:space="preserve"> for determining </w:t>
      </w:r>
      <w:r w:rsidR="008E3AFC" w:rsidRPr="004B03AA">
        <w:t xml:space="preserve">and enforcing </w:t>
      </w:r>
      <w:r w:rsidRPr="004B03AA">
        <w:t>reparations following prosecutions of slavery</w:t>
      </w:r>
      <w:bookmarkEnd w:id="26"/>
    </w:p>
    <w:p w14:paraId="5C7FF580" w14:textId="751B8327" w:rsidR="00F22E49" w:rsidRDefault="00D80F6C" w:rsidP="00F22E49">
      <w:r>
        <w:lastRenderedPageBreak/>
        <w:t>Reports indicate a</w:t>
      </w:r>
      <w:r w:rsidR="00F22E49" w:rsidRPr="00F22E49">
        <w:t xml:space="preserve"> lack of consistent and common criteri</w:t>
      </w:r>
      <w:r w:rsidR="00392DF7">
        <w:t>a</w:t>
      </w:r>
      <w:r w:rsidR="00F22E49" w:rsidRPr="00F22E49">
        <w:t xml:space="preserve"> for determining </w:t>
      </w:r>
      <w:r w:rsidR="008E3AFC">
        <w:t xml:space="preserve">and enforcing </w:t>
      </w:r>
      <w:r w:rsidR="00F22E49" w:rsidRPr="00F22E49">
        <w:t>reparation</w:t>
      </w:r>
      <w:r w:rsidR="008E3AFC">
        <w:t xml:space="preserve"> payment</w:t>
      </w:r>
      <w:r w:rsidR="00F22E49" w:rsidRPr="00F22E49">
        <w:t>s following prosecutions of slavery</w:t>
      </w:r>
      <w:r w:rsidR="001D1261">
        <w:t>. O</w:t>
      </w:r>
      <w:r w:rsidR="00F22E49" w:rsidRPr="00F22E49">
        <w:t xml:space="preserve">rders for payment of compensation to victims are not always complied with and </w:t>
      </w:r>
      <w:r w:rsidR="001D1261">
        <w:t>may “</w:t>
      </w:r>
      <w:r w:rsidR="00F22E49" w:rsidRPr="00F22E49">
        <w:t>require victims to bring further legal proceedings to execute judgements and secure payment of compensation. Many stakeholders commented on the need for provision in the law for the forfeiture of assets where the perpetrator cannot pay compensation ordered by the courts</w:t>
      </w:r>
      <w:r w:rsidR="00392DF7">
        <w:t>”.</w:t>
      </w:r>
      <w:r w:rsidR="002656AE">
        <w:rPr>
          <w:rStyle w:val="FootnoteReference"/>
        </w:rPr>
        <w:footnoteReference w:id="81"/>
      </w:r>
      <w:r w:rsidR="00F22E49" w:rsidRPr="005E2DAD">
        <w:t xml:space="preserve"> </w:t>
      </w:r>
    </w:p>
    <w:p w14:paraId="06B6817C" w14:textId="52347EF7" w:rsidR="009177AD" w:rsidRDefault="0099039C" w:rsidP="009177AD">
      <w:pPr>
        <w:pStyle w:val="Heading1"/>
      </w:pPr>
      <w:bookmarkStart w:id="27" w:name="_Toc34236782"/>
      <w:r w:rsidRPr="0099039C">
        <w:t>Factors that could explain</w:t>
      </w:r>
      <w:r w:rsidR="009177AD">
        <w:t xml:space="preserve"> those biases</w:t>
      </w:r>
      <w:bookmarkEnd w:id="27"/>
    </w:p>
    <w:p w14:paraId="794D6649" w14:textId="093EBAA6" w:rsidR="00F2364E" w:rsidRDefault="00003504" w:rsidP="00F2364E">
      <w:r>
        <w:t>S</w:t>
      </w:r>
      <w:r w:rsidR="00F2364E" w:rsidRPr="00A518AE">
        <w:t xml:space="preserve">lavery remains </w:t>
      </w:r>
      <w:r w:rsidR="00EE288F">
        <w:t xml:space="preserve">an accepted fact of life </w:t>
      </w:r>
      <w:r w:rsidR="00F2364E" w:rsidRPr="00A518AE">
        <w:t xml:space="preserve">for some parts of </w:t>
      </w:r>
      <w:r w:rsidR="00EE288F">
        <w:t>contemporary</w:t>
      </w:r>
      <w:r w:rsidR="00EE288F" w:rsidRPr="00A518AE">
        <w:t xml:space="preserve"> </w:t>
      </w:r>
      <w:r w:rsidR="00F2364E" w:rsidRPr="00A518AE">
        <w:t>Mauritanian society.</w:t>
      </w:r>
      <w:r w:rsidR="001C712C" w:rsidRPr="00A518AE">
        <w:rPr>
          <w:rStyle w:val="FootnoteReference"/>
        </w:rPr>
        <w:footnoteReference w:id="82"/>
      </w:r>
      <w:r w:rsidR="00F2364E" w:rsidRPr="00A518AE">
        <w:t xml:space="preserve"> </w:t>
      </w:r>
      <w:r w:rsidR="00EE288F">
        <w:t>S</w:t>
      </w:r>
      <w:r w:rsidR="00F2364E" w:rsidRPr="00A518AE">
        <w:t>ome judges are reluctant to condemn slave-owners and grant redress to slaves because they fear being ostracised within their own communit</w:t>
      </w:r>
      <w:r w:rsidR="00C6239B">
        <w:t>ies</w:t>
      </w:r>
      <w:r w:rsidR="00CD210C">
        <w:t>.</w:t>
      </w:r>
      <w:r w:rsidR="00965F14">
        <w:rPr>
          <w:rStyle w:val="FootnoteReference"/>
        </w:rPr>
        <w:footnoteReference w:id="83"/>
      </w:r>
      <w:r w:rsidR="00EE288F">
        <w:t xml:space="preserve"> M</w:t>
      </w:r>
      <w:r w:rsidR="00F2364E" w:rsidRPr="00A518AE">
        <w:t>any victims are not aware of their rights or possibilities for redress</w:t>
      </w:r>
      <w:r w:rsidR="00EE288F">
        <w:t xml:space="preserve"> because they may </w:t>
      </w:r>
      <w:r w:rsidR="00F2364E" w:rsidRPr="00A518AE">
        <w:t xml:space="preserve">not see their situation as illegal given the normalization of slavery </w:t>
      </w:r>
      <w:r w:rsidR="00C6239B">
        <w:t>with</w:t>
      </w:r>
      <w:r w:rsidR="00F2364E" w:rsidRPr="00A518AE">
        <w:t xml:space="preserve">in </w:t>
      </w:r>
      <w:r w:rsidR="00C6239B">
        <w:t xml:space="preserve">and for </w:t>
      </w:r>
      <w:r w:rsidR="00F2364E" w:rsidRPr="00A518AE">
        <w:t>their social group.</w:t>
      </w:r>
      <w:r w:rsidR="00F2364E" w:rsidRPr="00F2364E">
        <w:t xml:space="preserve"> </w:t>
      </w:r>
    </w:p>
    <w:p w14:paraId="18B76730" w14:textId="124E5C34" w:rsidR="00170AA5" w:rsidRDefault="00A431B6" w:rsidP="009177AD">
      <w:r>
        <w:t xml:space="preserve">In </w:t>
      </w:r>
      <w:r w:rsidR="009177AD">
        <w:t>countries like Mauritania, where “social discrimination on the basis of slave descent remains a systemic problem”</w:t>
      </w:r>
      <w:r>
        <w:t>, many factors can contribute to explain “why certain categories of people continue to find themselves vulnerable to human bondage”</w:t>
      </w:r>
      <w:r w:rsidR="009177AD">
        <w:t>.</w:t>
      </w:r>
      <w:r w:rsidR="00275DBF">
        <w:rPr>
          <w:rStyle w:val="FootnoteReference"/>
        </w:rPr>
        <w:footnoteReference w:id="84"/>
      </w:r>
      <w:r>
        <w:t xml:space="preserve"> The history of </w:t>
      </w:r>
      <w:r w:rsidR="00C16064">
        <w:t>a</w:t>
      </w:r>
      <w:r>
        <w:t xml:space="preserve"> society, together with the ways in which that society understands and makes use of the notions of gender</w:t>
      </w:r>
      <w:r w:rsidR="00C16064">
        <w:t xml:space="preserve"> or</w:t>
      </w:r>
      <w:r>
        <w:t xml:space="preserve"> social status are essential </w:t>
      </w:r>
      <w:r w:rsidR="00EE288F">
        <w:t xml:space="preserve">for </w:t>
      </w:r>
      <w:r>
        <w:t>explain</w:t>
      </w:r>
      <w:r w:rsidR="00EE288F">
        <w:t xml:space="preserve">ing </w:t>
      </w:r>
      <w:r>
        <w:t>the behaviours and patterns that still accept slavery as part of the dynamics of the communities in which those social groups live</w:t>
      </w:r>
      <w:r w:rsidR="00EE288F">
        <w:t>.</w:t>
      </w:r>
    </w:p>
    <w:p w14:paraId="2E2455B7" w14:textId="468B2A6D" w:rsidR="000E1304" w:rsidRDefault="00170AA5" w:rsidP="009177AD">
      <w:r w:rsidRPr="005C4671">
        <w:t>T</w:t>
      </w:r>
      <w:r w:rsidRPr="005C4671">
        <w:rPr>
          <w:color w:val="000000"/>
        </w:rPr>
        <w:t xml:space="preserve">he institution of slavery in modern-day Mauritania contains elements </w:t>
      </w:r>
      <w:r w:rsidR="00C6239B" w:rsidRPr="005C4671">
        <w:rPr>
          <w:color w:val="000000"/>
        </w:rPr>
        <w:t xml:space="preserve">and legacies </w:t>
      </w:r>
      <w:r w:rsidRPr="005C4671">
        <w:rPr>
          <w:color w:val="000000"/>
        </w:rPr>
        <w:t>of the pre-colonial period</w:t>
      </w:r>
      <w:r w:rsidR="00C6239B" w:rsidRPr="005C4671">
        <w:rPr>
          <w:color w:val="000000"/>
        </w:rPr>
        <w:t>.</w:t>
      </w:r>
      <w:r w:rsidR="00636E0F">
        <w:rPr>
          <w:rStyle w:val="FootnoteReference"/>
          <w:color w:val="000000"/>
        </w:rPr>
        <w:footnoteReference w:id="85"/>
      </w:r>
      <w:r w:rsidR="00C6239B" w:rsidRPr="005C4671">
        <w:rPr>
          <w:color w:val="000000"/>
        </w:rPr>
        <w:t xml:space="preserve"> C</w:t>
      </w:r>
      <w:r w:rsidRPr="005C4671">
        <w:rPr>
          <w:color w:val="000000"/>
        </w:rPr>
        <w:t xml:space="preserve">olonial and post-colonial developments </w:t>
      </w:r>
      <w:r w:rsidR="00C6239B" w:rsidRPr="005C4671">
        <w:rPr>
          <w:color w:val="000000"/>
        </w:rPr>
        <w:t>too have</w:t>
      </w:r>
      <w:r w:rsidRPr="005C4671">
        <w:rPr>
          <w:color w:val="000000"/>
        </w:rPr>
        <w:t xml:space="preserve"> </w:t>
      </w:r>
      <w:r w:rsidR="00C6239B" w:rsidRPr="005C4671">
        <w:rPr>
          <w:color w:val="000000"/>
        </w:rPr>
        <w:t xml:space="preserve">had some </w:t>
      </w:r>
      <w:r w:rsidRPr="005C4671">
        <w:rPr>
          <w:color w:val="000000"/>
        </w:rPr>
        <w:t>influence</w:t>
      </w:r>
      <w:r w:rsidR="00C6239B" w:rsidRPr="005C4671">
        <w:rPr>
          <w:color w:val="000000"/>
        </w:rPr>
        <w:t xml:space="preserve"> on</w:t>
      </w:r>
      <w:r w:rsidRPr="005C4671">
        <w:rPr>
          <w:color w:val="000000"/>
        </w:rPr>
        <w:t xml:space="preserve"> </w:t>
      </w:r>
      <w:r w:rsidR="00C6239B" w:rsidRPr="005C4671">
        <w:rPr>
          <w:color w:val="000000"/>
        </w:rPr>
        <w:t xml:space="preserve">present-day </w:t>
      </w:r>
      <w:r w:rsidR="00234FDE" w:rsidRPr="005C4671">
        <w:rPr>
          <w:color w:val="000000"/>
        </w:rPr>
        <w:t xml:space="preserve">practices and </w:t>
      </w:r>
      <w:r w:rsidRPr="005C4671">
        <w:rPr>
          <w:color w:val="000000"/>
        </w:rPr>
        <w:t>perception</w:t>
      </w:r>
      <w:r w:rsidR="00C6239B" w:rsidRPr="005C4671">
        <w:rPr>
          <w:color w:val="000000"/>
        </w:rPr>
        <w:t>s</w:t>
      </w:r>
      <w:r w:rsidRPr="005C4671">
        <w:rPr>
          <w:color w:val="000000"/>
        </w:rPr>
        <w:t xml:space="preserve"> of slavery</w:t>
      </w:r>
      <w:r w:rsidR="00D83A96" w:rsidRPr="005C4671">
        <w:rPr>
          <w:color w:val="000000"/>
        </w:rPr>
        <w:t>.</w:t>
      </w:r>
      <w:r w:rsidR="00C6239B" w:rsidRPr="005C4671">
        <w:rPr>
          <w:color w:val="000000"/>
        </w:rPr>
        <w:t xml:space="preserve"> </w:t>
      </w:r>
      <w:r w:rsidR="00D83A96" w:rsidRPr="005C4671">
        <w:rPr>
          <w:color w:val="000000"/>
        </w:rPr>
        <w:t>H</w:t>
      </w:r>
      <w:r w:rsidR="00C6239B" w:rsidRPr="005C4671">
        <w:rPr>
          <w:rFonts w:ascii="TimesNewRomanPSMT" w:hAnsi="TimesNewRomanPSMT" w:cs="TimesNewRomanPSMT"/>
          <w:szCs w:val="24"/>
        </w:rPr>
        <w:t>owever</w:t>
      </w:r>
      <w:r w:rsidR="001D0E55" w:rsidRPr="005C4671">
        <w:rPr>
          <w:rFonts w:ascii="TimesNewRomanPSMT" w:hAnsi="TimesNewRomanPSMT" w:cs="TimesNewRomanPSMT"/>
          <w:szCs w:val="24"/>
        </w:rPr>
        <w:t xml:space="preserve">, </w:t>
      </w:r>
      <w:r w:rsidR="00C6239B" w:rsidRPr="005C4671">
        <w:rPr>
          <w:rFonts w:ascii="TimesNewRomanPSMT" w:hAnsi="TimesNewRomanPSMT" w:cs="TimesNewRomanPSMT"/>
          <w:szCs w:val="24"/>
        </w:rPr>
        <w:t xml:space="preserve">preliminary research indicates that </w:t>
      </w:r>
      <w:r w:rsidR="001D0E55" w:rsidRPr="005C4671">
        <w:rPr>
          <w:rFonts w:ascii="TimesNewRomanPSMT" w:hAnsi="TimesNewRomanPSMT" w:cs="TimesNewRomanPSMT"/>
          <w:szCs w:val="24"/>
        </w:rPr>
        <w:t xml:space="preserve">the period of Mauritanian history with </w:t>
      </w:r>
      <w:r w:rsidR="00C6239B" w:rsidRPr="005C4671">
        <w:rPr>
          <w:rFonts w:ascii="TimesNewRomanPSMT" w:hAnsi="TimesNewRomanPSMT" w:cs="TimesNewRomanPSMT"/>
          <w:szCs w:val="24"/>
        </w:rPr>
        <w:t>the</w:t>
      </w:r>
      <w:r w:rsidR="001D0E55" w:rsidRPr="005C4671">
        <w:rPr>
          <w:rFonts w:ascii="TimesNewRomanPSMT" w:hAnsi="TimesNewRomanPSMT" w:cs="TimesNewRomanPSMT"/>
          <w:szCs w:val="24"/>
        </w:rPr>
        <w:t xml:space="preserve"> stronge</w:t>
      </w:r>
      <w:r w:rsidR="00C6239B" w:rsidRPr="005C4671">
        <w:rPr>
          <w:rFonts w:ascii="TimesNewRomanPSMT" w:hAnsi="TimesNewRomanPSMT" w:cs="TimesNewRomanPSMT"/>
          <w:szCs w:val="24"/>
        </w:rPr>
        <w:t>st</w:t>
      </w:r>
      <w:r w:rsidR="001D0E55" w:rsidRPr="005C4671">
        <w:rPr>
          <w:rFonts w:ascii="TimesNewRomanPSMT" w:hAnsi="TimesNewRomanPSMT" w:cs="TimesNewRomanPSMT"/>
          <w:szCs w:val="24"/>
        </w:rPr>
        <w:t xml:space="preserve"> influence</w:t>
      </w:r>
      <w:r w:rsidR="00C6239B" w:rsidRPr="005C4671">
        <w:rPr>
          <w:rFonts w:ascii="TimesNewRomanPSMT" w:hAnsi="TimesNewRomanPSMT" w:cs="TimesNewRomanPSMT"/>
          <w:szCs w:val="24"/>
        </w:rPr>
        <w:t xml:space="preserve"> on present-day barriers to effective antislavery law enforcement</w:t>
      </w:r>
      <w:r w:rsidR="001D0E55" w:rsidRPr="005C4671">
        <w:rPr>
          <w:rFonts w:ascii="TimesNewRomanPSMT" w:hAnsi="TimesNewRomanPSMT" w:cs="TimesNewRomanPSMT"/>
          <w:szCs w:val="24"/>
        </w:rPr>
        <w:t xml:space="preserve"> </w:t>
      </w:r>
      <w:r w:rsidR="00EE288F" w:rsidRPr="005C4671">
        <w:rPr>
          <w:rFonts w:ascii="TimesNewRomanPSMT" w:hAnsi="TimesNewRomanPSMT" w:cs="TimesNewRomanPSMT"/>
          <w:szCs w:val="24"/>
        </w:rPr>
        <w:t>runs from</w:t>
      </w:r>
      <w:r w:rsidR="001D0E55" w:rsidRPr="005C4671">
        <w:rPr>
          <w:rFonts w:ascii="TimesNewRomanPSMT" w:hAnsi="TimesNewRomanPSMT" w:cs="TimesNewRomanPSMT"/>
          <w:szCs w:val="24"/>
        </w:rPr>
        <w:t xml:space="preserve"> the formal abolition of slavery in the country (1</w:t>
      </w:r>
      <w:r w:rsidR="00CA14C6" w:rsidRPr="005C4671">
        <w:rPr>
          <w:rFonts w:ascii="TimesNewRomanPSMT" w:hAnsi="TimesNewRomanPSMT" w:cs="TimesNewRomanPSMT"/>
          <w:szCs w:val="24"/>
        </w:rPr>
        <w:t>9</w:t>
      </w:r>
      <w:r w:rsidR="001D0E55" w:rsidRPr="005C4671">
        <w:rPr>
          <w:rFonts w:ascii="TimesNewRomanPSMT" w:hAnsi="TimesNewRomanPSMT" w:cs="TimesNewRomanPSMT"/>
          <w:szCs w:val="24"/>
        </w:rPr>
        <w:t>80-present), which has shaped the legal and social frameworks in which the current anti-slavery legislation applies</w:t>
      </w:r>
      <w:r w:rsidR="00662FF6" w:rsidRPr="005C4671">
        <w:rPr>
          <w:rFonts w:ascii="TimesNewRomanPSMT" w:hAnsi="TimesNewRomanPSMT" w:cs="TimesNewRomanPSMT"/>
          <w:szCs w:val="24"/>
        </w:rPr>
        <w:t>.</w:t>
      </w:r>
      <w:r w:rsidR="001D0E55">
        <w:rPr>
          <w:rFonts w:ascii="TimesNewRomanPSMT" w:hAnsi="TimesNewRomanPSMT" w:cs="TimesNewRomanPSMT"/>
          <w:szCs w:val="24"/>
        </w:rPr>
        <w:t xml:space="preserve"> </w:t>
      </w:r>
      <w:r w:rsidR="009177AD">
        <w:t xml:space="preserve">This </w:t>
      </w:r>
      <w:r w:rsidR="00DD4920">
        <w:t xml:space="preserve">section </w:t>
      </w:r>
      <w:r w:rsidR="009177AD">
        <w:t xml:space="preserve">explores </w:t>
      </w:r>
      <w:r w:rsidR="00F95013">
        <w:t xml:space="preserve">some of </w:t>
      </w:r>
      <w:r w:rsidR="009177AD">
        <w:t xml:space="preserve">the factors </w:t>
      </w:r>
      <w:r>
        <w:t xml:space="preserve">distilled from the analysis of the recent history of the country </w:t>
      </w:r>
      <w:r w:rsidR="009177AD">
        <w:t xml:space="preserve">that could explain common negative patterns (biases) in </w:t>
      </w:r>
      <w:r w:rsidR="009177AD">
        <w:lastRenderedPageBreak/>
        <w:t>Mauritanian anti-slavery law</w:t>
      </w:r>
      <w:r w:rsidR="00EE288F">
        <w:t xml:space="preserve"> </w:t>
      </w:r>
      <w:r w:rsidR="009177AD">
        <w:t>enforcement</w:t>
      </w:r>
      <w:r w:rsidR="00EE288F">
        <w:t xml:space="preserve"> practice</w:t>
      </w:r>
      <w:r w:rsidR="000E1304">
        <w:t xml:space="preserve">, </w:t>
      </w:r>
      <w:r w:rsidR="00392DF7">
        <w:t xml:space="preserve">while </w:t>
      </w:r>
      <w:r w:rsidR="000E1304">
        <w:t xml:space="preserve">acknowledging </w:t>
      </w:r>
      <w:r w:rsidR="00003504">
        <w:t>the overlap or connection between them</w:t>
      </w:r>
      <w:r w:rsidR="001D1261">
        <w:t>,</w:t>
      </w:r>
      <w:r w:rsidR="00003504">
        <w:t xml:space="preserve"> and the fact </w:t>
      </w:r>
      <w:r w:rsidR="000E1304">
        <w:t>that those are not the only</w:t>
      </w:r>
      <w:r w:rsidR="00F95013">
        <w:t xml:space="preserve"> possible</w:t>
      </w:r>
      <w:r w:rsidR="000E1304">
        <w:t xml:space="preserve"> </w:t>
      </w:r>
      <w:r w:rsidR="00EE288F">
        <w:t xml:space="preserve">explanatory </w:t>
      </w:r>
      <w:r w:rsidR="000E1304">
        <w:t>factors.</w:t>
      </w:r>
      <w:r w:rsidR="00275DBF">
        <w:rPr>
          <w:rStyle w:val="FootnoteReference"/>
        </w:rPr>
        <w:footnoteReference w:id="86"/>
      </w:r>
      <w:r w:rsidR="000E1304">
        <w:t xml:space="preserve"> </w:t>
      </w:r>
    </w:p>
    <w:p w14:paraId="48457D19" w14:textId="13A687B9" w:rsidR="003F5EE5" w:rsidRDefault="003F5EE5" w:rsidP="003F5EE5">
      <w:pPr>
        <w:pStyle w:val="Heading3"/>
        <w:rPr>
          <w:rStyle w:val="CommentReference"/>
          <w:sz w:val="24"/>
          <w:szCs w:val="24"/>
        </w:rPr>
      </w:pPr>
      <w:bookmarkStart w:id="28" w:name="_Toc34236783"/>
      <w:r>
        <w:rPr>
          <w:rStyle w:val="CommentReference"/>
          <w:sz w:val="24"/>
          <w:szCs w:val="24"/>
        </w:rPr>
        <w:t xml:space="preserve">Factor </w:t>
      </w:r>
      <w:r w:rsidR="001C712C">
        <w:rPr>
          <w:rStyle w:val="CommentReference"/>
          <w:sz w:val="24"/>
          <w:szCs w:val="24"/>
        </w:rPr>
        <w:t>1</w:t>
      </w:r>
      <w:r>
        <w:rPr>
          <w:rStyle w:val="CommentReference"/>
          <w:sz w:val="24"/>
          <w:szCs w:val="24"/>
        </w:rPr>
        <w:t>. Discrimination as a way of maintaining elites’ social privileges</w:t>
      </w:r>
      <w:bookmarkEnd w:id="28"/>
    </w:p>
    <w:p w14:paraId="24B14721" w14:textId="23CA6891" w:rsidR="00805BB0" w:rsidRDefault="00805BB0" w:rsidP="001C712C">
      <w:r>
        <w:rPr>
          <w:rStyle w:val="CommentReference"/>
          <w:sz w:val="24"/>
          <w:szCs w:val="24"/>
        </w:rPr>
        <w:t xml:space="preserve">One of the main features associated </w:t>
      </w:r>
      <w:r w:rsidR="00CD210C">
        <w:rPr>
          <w:rStyle w:val="CommentReference"/>
          <w:sz w:val="24"/>
          <w:szCs w:val="24"/>
        </w:rPr>
        <w:t>with</w:t>
      </w:r>
      <w:r>
        <w:rPr>
          <w:rStyle w:val="CommentReference"/>
          <w:sz w:val="24"/>
          <w:szCs w:val="24"/>
        </w:rPr>
        <w:t xml:space="preserve"> slavery is the stigma and discrimination </w:t>
      </w:r>
      <w:r w:rsidRPr="00B52BC7">
        <w:t xml:space="preserve">suffered today by slaves and </w:t>
      </w:r>
      <w:r>
        <w:t>their descendants.</w:t>
      </w:r>
      <w:r>
        <w:rPr>
          <w:rStyle w:val="FootnoteReference"/>
        </w:rPr>
        <w:footnoteReference w:id="87"/>
      </w:r>
      <w:r w:rsidRPr="00B52BC7">
        <w:t xml:space="preserve"> </w:t>
      </w:r>
      <w:r>
        <w:t>That stigma is often expressed in language, cultural practices, artistic work, collective memories and in the distribution of social roles.</w:t>
      </w:r>
      <w:r>
        <w:rPr>
          <w:rStyle w:val="FootnoteReference"/>
        </w:rPr>
        <w:footnoteReference w:id="88"/>
      </w:r>
      <w:r>
        <w:t xml:space="preserve"> Descendants of slaves can be relegated to the margins of society and into specific social roles, as well as by cultural taboos and stigmatization.</w:t>
      </w:r>
      <w:r>
        <w:rPr>
          <w:rStyle w:val="FootnoteReference"/>
        </w:rPr>
        <w:footnoteReference w:id="89"/>
      </w:r>
      <w:r>
        <w:t xml:space="preserve"> T</w:t>
      </w:r>
      <w:r w:rsidRPr="00C90A4B">
        <w:t xml:space="preserve">he sociology and ontology of the slave are key elements, especially in terms of the slave’s </w:t>
      </w:r>
      <w:r>
        <w:t>‘</w:t>
      </w:r>
      <w:r w:rsidRPr="00C90A4B">
        <w:t>social death</w:t>
      </w:r>
      <w:r>
        <w:t>’</w:t>
      </w:r>
      <w:r w:rsidRPr="00C90A4B">
        <w:t xml:space="preserve">, the persistence of the </w:t>
      </w:r>
      <w:r w:rsidRPr="00C90A4B">
        <w:rPr>
          <w:i/>
          <w:iCs/>
        </w:rPr>
        <w:t xml:space="preserve">macula </w:t>
      </w:r>
      <w:proofErr w:type="spellStart"/>
      <w:r w:rsidRPr="00C90A4B">
        <w:rPr>
          <w:i/>
          <w:iCs/>
        </w:rPr>
        <w:t>servitutis</w:t>
      </w:r>
      <w:proofErr w:type="spellEnd"/>
      <w:r w:rsidRPr="00C90A4B">
        <w:t>, and the extreme social isolation of those descended from slavery.</w:t>
      </w:r>
      <w:r w:rsidRPr="00C90A4B">
        <w:rPr>
          <w:rStyle w:val="FootnoteReference"/>
        </w:rPr>
        <w:footnoteReference w:id="90"/>
      </w:r>
      <w:r w:rsidR="004D40E2">
        <w:t xml:space="preserve"> </w:t>
      </w:r>
    </w:p>
    <w:p w14:paraId="1BDF840D" w14:textId="03BC0641" w:rsidR="004D40E2" w:rsidRDefault="004D40E2" w:rsidP="004D40E2">
      <w:pPr>
        <w:rPr>
          <w:rStyle w:val="CommentReference"/>
          <w:sz w:val="24"/>
          <w:szCs w:val="24"/>
        </w:rPr>
      </w:pPr>
      <w:r>
        <w:t xml:space="preserve">In Mauritania, </w:t>
      </w:r>
      <w:proofErr w:type="spellStart"/>
      <w:r>
        <w:rPr>
          <w:rStyle w:val="CommentReference"/>
          <w:sz w:val="24"/>
          <w:szCs w:val="24"/>
        </w:rPr>
        <w:t>Haratine</w:t>
      </w:r>
      <w:proofErr w:type="spellEnd"/>
      <w:r>
        <w:rPr>
          <w:rStyle w:val="CommentReference"/>
          <w:sz w:val="24"/>
          <w:szCs w:val="24"/>
        </w:rPr>
        <w:t xml:space="preserve"> campaigners</w:t>
      </w:r>
      <w:r>
        <w:rPr>
          <w:rStyle w:val="FootnoteReference"/>
          <w:szCs w:val="24"/>
        </w:rPr>
        <w:footnoteReference w:id="91"/>
      </w:r>
      <w:r>
        <w:rPr>
          <w:rStyle w:val="CommentReference"/>
          <w:sz w:val="24"/>
          <w:szCs w:val="24"/>
        </w:rPr>
        <w:t xml:space="preserve"> have called social and political attention to this discrimination, calling</w:t>
      </w:r>
      <w:r>
        <w:t xml:space="preserve"> for a more equal distribution of power and land</w:t>
      </w:r>
      <w:r>
        <w:rPr>
          <w:rStyle w:val="FootnoteReference"/>
          <w:szCs w:val="24"/>
        </w:rPr>
        <w:footnoteReference w:id="92"/>
      </w:r>
      <w:r>
        <w:t xml:space="preserve"> as a way to tackle slavery, and have mobilized people around political goals, using the language of slavery to highlight inequalities, unequal access to land, and discrimination</w:t>
      </w:r>
      <w:r w:rsidRPr="00D15262">
        <w:t>.</w:t>
      </w:r>
      <w:r>
        <w:t xml:space="preserve"> </w:t>
      </w:r>
      <w:r w:rsidRPr="00CA14C6">
        <w:rPr>
          <w:rFonts w:ascii="TimesNewRomanPSMT" w:hAnsi="TimesNewRomanPSMT" w:cs="TimesNewRomanPSMT"/>
          <w:szCs w:val="24"/>
        </w:rPr>
        <w:t xml:space="preserve">Mauritanian </w:t>
      </w:r>
      <w:r w:rsidRPr="00CA14C6">
        <w:t xml:space="preserve">anti-slavery activism </w:t>
      </w:r>
      <w:r>
        <w:t xml:space="preserve">brought </w:t>
      </w:r>
      <w:r w:rsidRPr="00CA14C6">
        <w:t xml:space="preserve">slavery </w:t>
      </w:r>
      <w:r>
        <w:t xml:space="preserve">back </w:t>
      </w:r>
      <w:r w:rsidRPr="00CA14C6">
        <w:t>to the political debate, making it a public issue, and using the language of slavery to tackle structural inequalities</w:t>
      </w:r>
      <w:r>
        <w:t xml:space="preserve"> and to raise awareness regarding the</w:t>
      </w:r>
      <w:r>
        <w:rPr>
          <w:rStyle w:val="CommentReference"/>
          <w:sz w:val="24"/>
          <w:szCs w:val="24"/>
        </w:rPr>
        <w:t xml:space="preserve"> discrimination to which victims of slavery and persons of slave descent are subject. </w:t>
      </w:r>
    </w:p>
    <w:p w14:paraId="66AA76DA" w14:textId="5F489785" w:rsidR="004D40E2" w:rsidRDefault="004D40E2" w:rsidP="004D40E2">
      <w:pPr>
        <w:rPr>
          <w:rStyle w:val="CommentReference"/>
          <w:sz w:val="24"/>
          <w:szCs w:val="24"/>
        </w:rPr>
      </w:pPr>
      <w:r>
        <w:rPr>
          <w:rStyle w:val="CommentReference"/>
          <w:sz w:val="24"/>
          <w:szCs w:val="24"/>
        </w:rPr>
        <w:t>S</w:t>
      </w:r>
      <w:r>
        <w:t>ince</w:t>
      </w:r>
      <w:r>
        <w:rPr>
          <w:rFonts w:ascii="TimesNewRomanPSMT" w:hAnsi="TimesNewRomanPSMT" w:cs="TimesNewRomanPSMT"/>
          <w:szCs w:val="24"/>
        </w:rPr>
        <w:t xml:space="preserve"> the official abolition of slavery was achieved in the 1980s, the public discourse shifted away from slavery to the needs of a more broadly defined working class,</w:t>
      </w:r>
      <w:r>
        <w:rPr>
          <w:rStyle w:val="FootnoteReference"/>
          <w:rFonts w:ascii="TimesNewRomanPSMT" w:hAnsi="TimesNewRomanPSMT" w:cs="TimesNewRomanPSMT"/>
          <w:szCs w:val="24"/>
        </w:rPr>
        <w:footnoteReference w:id="93"/>
      </w:r>
      <w:r>
        <w:rPr>
          <w:rFonts w:ascii="TimesNewRomanPSMT" w:hAnsi="TimesNewRomanPSMT" w:cs="TimesNewRomanPSMT"/>
          <w:szCs w:val="24"/>
        </w:rPr>
        <w:t xml:space="preserve"> even while many of the inequalities in the Mauritanian caste system remained closely linked with slavery.</w:t>
      </w:r>
      <w:r w:rsidR="00447C85">
        <w:rPr>
          <w:rStyle w:val="FootnoteReference"/>
          <w:rFonts w:ascii="TimesNewRomanPSMT" w:hAnsi="TimesNewRomanPSMT" w:cs="TimesNewRomanPSMT"/>
          <w:szCs w:val="24"/>
        </w:rPr>
        <w:footnoteReference w:id="94"/>
      </w:r>
      <w:r w:rsidRPr="000D7C66">
        <w:rPr>
          <w:rFonts w:ascii="TimesNewRomanPSMT" w:hAnsi="TimesNewRomanPSMT" w:cs="TimesNewRomanPSMT"/>
          <w:szCs w:val="24"/>
        </w:rPr>
        <w:t xml:space="preserve"> </w:t>
      </w:r>
      <w:r>
        <w:rPr>
          <w:rFonts w:ascii="TimesNewRomanPSMT" w:hAnsi="TimesNewRomanPSMT" w:cs="TimesNewRomanPSMT"/>
          <w:szCs w:val="24"/>
        </w:rPr>
        <w:t xml:space="preserve">Today, </w:t>
      </w:r>
      <w:r w:rsidRPr="005C075F">
        <w:t xml:space="preserve">slavery is an inherently political issue </w:t>
      </w:r>
      <w:r>
        <w:t xml:space="preserve">in Mauritania, even more </w:t>
      </w:r>
      <w:r w:rsidRPr="006804FC">
        <w:t xml:space="preserve">so than in </w:t>
      </w:r>
      <w:r w:rsidRPr="00C91339">
        <w:t>neighbouring countries like Mali and Niger,</w:t>
      </w:r>
      <w:r w:rsidRPr="006804FC">
        <w:rPr>
          <w:rStyle w:val="FootnoteReference"/>
        </w:rPr>
        <w:footnoteReference w:id="95"/>
      </w:r>
      <w:r w:rsidRPr="006804FC">
        <w:t xml:space="preserve"> </w:t>
      </w:r>
      <w:r w:rsidRPr="005C075F">
        <w:t>because of the social hierarchies upon which slavery relies and the way in which such identity-based hierarchies determine who possesses economic and social-political power.</w:t>
      </w:r>
      <w:r w:rsidRPr="005C075F">
        <w:rPr>
          <w:rStyle w:val="FootnoteReference"/>
        </w:rPr>
        <w:footnoteReference w:id="96"/>
      </w:r>
      <w:r>
        <w:t xml:space="preserve"> </w:t>
      </w:r>
    </w:p>
    <w:p w14:paraId="1B1E0118" w14:textId="7951249D" w:rsidR="003F5EE5" w:rsidRDefault="001C712C" w:rsidP="003F5EE5">
      <w:pPr>
        <w:pStyle w:val="ListParagraph"/>
        <w:spacing w:line="259" w:lineRule="auto"/>
        <w:ind w:left="0"/>
      </w:pPr>
      <w:r>
        <w:lastRenderedPageBreak/>
        <w:t>T</w:t>
      </w:r>
      <w:r w:rsidR="003F5EE5">
        <w:t xml:space="preserve">he government’s denial of the existence of slavery has been interpreted by some as a sophisticated and deliberate strategy to maintain the social privileges that the </w:t>
      </w:r>
      <w:r w:rsidR="00EE288F">
        <w:t>White Moor</w:t>
      </w:r>
      <w:r w:rsidR="003F5EE5">
        <w:t xml:space="preserve"> elites enjoy in the current Mauritanian social order.</w:t>
      </w:r>
      <w:r w:rsidR="00FD3D95">
        <w:rPr>
          <w:rStyle w:val="FootnoteReference"/>
        </w:rPr>
        <w:footnoteReference w:id="97"/>
      </w:r>
      <w:r w:rsidR="003F5EE5">
        <w:t xml:space="preserve"> White Moors </w:t>
      </w:r>
      <w:r w:rsidR="00FD3D95">
        <w:t>enjoy</w:t>
      </w:r>
      <w:r w:rsidR="003F5EE5">
        <w:t xml:space="preserve"> considerable social and economic privileges sustained on the existence of a largely </w:t>
      </w:r>
      <w:proofErr w:type="spellStart"/>
      <w:r w:rsidR="003F5EE5">
        <w:t>Haratine</w:t>
      </w:r>
      <w:proofErr w:type="spellEnd"/>
      <w:r w:rsidR="003F5EE5">
        <w:t xml:space="preserve"> working class which </w:t>
      </w:r>
      <w:r w:rsidR="00FD3D95">
        <w:t>remains</w:t>
      </w:r>
      <w:r w:rsidR="003F5EE5">
        <w:t xml:space="preserve"> routinely degraded</w:t>
      </w:r>
      <w:r w:rsidR="00FD3D95">
        <w:t>. This, together with the fact that t</w:t>
      </w:r>
      <w:r w:rsidR="00036C28">
        <w:t xml:space="preserve">he majority of people living in </w:t>
      </w:r>
      <w:r w:rsidR="003F5EE5">
        <w:t xml:space="preserve">slavery belong to </w:t>
      </w:r>
      <w:r w:rsidR="00036C28">
        <w:t>White Moor families</w:t>
      </w:r>
      <w:r w:rsidR="00FD3D95">
        <w:t xml:space="preserve"> has led to this justification for</w:t>
      </w:r>
      <w:r w:rsidR="003F5EE5">
        <w:t xml:space="preserve"> the weak enforcement of anti-slavery legislation</w:t>
      </w:r>
      <w:r w:rsidR="00FD3D95">
        <w:t xml:space="preserve">: </w:t>
      </w:r>
      <w:r w:rsidR="003F5EE5">
        <w:t xml:space="preserve">beyond a failure of the justice system, </w:t>
      </w:r>
      <w:r w:rsidR="00FD3D95">
        <w:t xml:space="preserve">such weak enforcement has been seen </w:t>
      </w:r>
      <w:r w:rsidR="003F5EE5">
        <w:t xml:space="preserve">as a reluctance of people from the ruling classes to punish their own, a way to maintain the </w:t>
      </w:r>
      <w:r w:rsidR="003F5EE5" w:rsidRPr="00D934D0">
        <w:rPr>
          <w:i/>
          <w:iCs/>
        </w:rPr>
        <w:t>status quo</w:t>
      </w:r>
      <w:r w:rsidR="003F5EE5">
        <w:t xml:space="preserve"> and avoid social upheaval, by rewarding those who maintain it and penalizing those who speak up against it.</w:t>
      </w:r>
      <w:r w:rsidR="003F5EE5">
        <w:rPr>
          <w:rStyle w:val="FootnoteReference"/>
        </w:rPr>
        <w:footnoteReference w:id="98"/>
      </w:r>
      <w:r w:rsidR="003F5EE5">
        <w:t xml:space="preserve"> </w:t>
      </w:r>
    </w:p>
    <w:p w14:paraId="61600DA5" w14:textId="52A12FD6" w:rsidR="00E5088A" w:rsidRDefault="00E5088A" w:rsidP="00E5088A">
      <w:pPr>
        <w:pStyle w:val="Heading3"/>
      </w:pPr>
      <w:bookmarkStart w:id="29" w:name="_Toc34236784"/>
      <w:r>
        <w:t xml:space="preserve">Factor </w:t>
      </w:r>
      <w:r w:rsidR="00EC747B">
        <w:t>2</w:t>
      </w:r>
      <w:r>
        <w:t>: The role of women in the Mauritanian society</w:t>
      </w:r>
      <w:bookmarkEnd w:id="29"/>
    </w:p>
    <w:p w14:paraId="114F05FE" w14:textId="31DDBE57" w:rsidR="00EC747B" w:rsidRDefault="00E5088A" w:rsidP="00EC747B">
      <w:r>
        <w:t xml:space="preserve">Gender equality is protected by the Mauritanian </w:t>
      </w:r>
      <w:r w:rsidR="00DB33F0">
        <w:t>C</w:t>
      </w:r>
      <w:r>
        <w:t xml:space="preserve">onstitution, and </w:t>
      </w:r>
      <w:r w:rsidR="00DB33F0">
        <w:t xml:space="preserve">gender </w:t>
      </w:r>
      <w:r>
        <w:t>discrimination is prohibited by domestic law. Yet, many forms of discrimination against women remain in</w:t>
      </w:r>
      <w:r w:rsidR="00DB33F0">
        <w:t xml:space="preserve"> practice</w:t>
      </w:r>
      <w:r>
        <w:t>, making women vulnerable to slavery.</w:t>
      </w:r>
      <w:r>
        <w:rPr>
          <w:rStyle w:val="FootnoteReference"/>
        </w:rPr>
        <w:footnoteReference w:id="99"/>
      </w:r>
      <w:r>
        <w:t xml:space="preserve"> As the UN Special Rapporteur noted</w:t>
      </w:r>
      <w:r w:rsidR="0042564B">
        <w:t xml:space="preserve"> in her 2010 report on Mauritania</w:t>
      </w:r>
      <w:r>
        <w:t>, “female slaves who live in their masters’ homes are rarely allowed out of the master’s camp and generally work from before sunrise to after sunset”</w:t>
      </w:r>
      <w:r w:rsidR="00FB68B4">
        <w:t xml:space="preserve"> and </w:t>
      </w:r>
      <w:r>
        <w:t>are frequently beaten or raped by their masters who consider them and their children as their property.</w:t>
      </w:r>
      <w:r w:rsidR="00C30B39">
        <w:rPr>
          <w:rStyle w:val="FootnoteReference"/>
        </w:rPr>
        <w:footnoteReference w:id="100"/>
      </w:r>
      <w:r>
        <w:t xml:space="preserve"> A common practice is to give away the children of female slaves, as a form to threaten the slave mother. One of the forms of perpetuating the institution of slavery is by allowing the marriage of a slave women but refusing to free her, ensuring that her husband and future children will be forced to work for her master.</w:t>
      </w:r>
      <w:r>
        <w:rPr>
          <w:rStyle w:val="FootnoteReference"/>
        </w:rPr>
        <w:footnoteReference w:id="101"/>
      </w:r>
      <w:r w:rsidR="0042564B">
        <w:t xml:space="preserve">  </w:t>
      </w:r>
    </w:p>
    <w:p w14:paraId="1CCBC4A6" w14:textId="215B7B14" w:rsidR="00E5088A" w:rsidRDefault="00E5088A" w:rsidP="00E5088A">
      <w:r w:rsidRPr="00D23344">
        <w:t xml:space="preserve">Mauritania has ratified </w:t>
      </w:r>
      <w:r>
        <w:t xml:space="preserve">the </w:t>
      </w:r>
      <w:r w:rsidR="00FB68B4">
        <w:t xml:space="preserve">UN </w:t>
      </w:r>
      <w:r>
        <w:t xml:space="preserve">Convention on the Elimination of Discrimination against Women (CEDAW) with reservations based on </w:t>
      </w:r>
      <w:r w:rsidRPr="00DA5D95">
        <w:rPr>
          <w:i/>
          <w:iCs/>
        </w:rPr>
        <w:t>sharia</w:t>
      </w:r>
      <w:r>
        <w:t xml:space="preserve"> law. The CEDAW Committee has called</w:t>
      </w:r>
      <w:r w:rsidRPr="00D23344">
        <w:t xml:space="preserve"> on Mauritania to develop a strategy to combat stereotypes through education and campaigns and legislation prohibiting such practices.</w:t>
      </w:r>
      <w:r w:rsidR="00C30B39">
        <w:rPr>
          <w:rStyle w:val="FootnoteReference"/>
        </w:rPr>
        <w:footnoteReference w:id="102"/>
      </w:r>
      <w:r w:rsidRPr="00D23344">
        <w:t xml:space="preserve"> </w:t>
      </w:r>
      <w:r w:rsidR="00EC747B">
        <w:t>P</w:t>
      </w:r>
      <w:r>
        <w:t xml:space="preserve">roperty ownership is one of the forms in which this discrimination materializes, particularly </w:t>
      </w:r>
      <w:r w:rsidR="00DB33F0">
        <w:t xml:space="preserve">with respect to </w:t>
      </w:r>
      <w:r>
        <w:t xml:space="preserve">inheriting property under </w:t>
      </w:r>
      <w:r w:rsidRPr="00DA5D95">
        <w:rPr>
          <w:i/>
          <w:iCs/>
        </w:rPr>
        <w:t>sharia</w:t>
      </w:r>
      <w:r>
        <w:t xml:space="preserve"> law, which entitles women to only half of the property that men can inherit.</w:t>
      </w:r>
      <w:r>
        <w:rPr>
          <w:rStyle w:val="FootnoteReference"/>
        </w:rPr>
        <w:footnoteReference w:id="103"/>
      </w:r>
      <w:r>
        <w:t xml:space="preserve"> </w:t>
      </w:r>
      <w:r w:rsidR="00DB33F0">
        <w:t xml:space="preserve">Female </w:t>
      </w:r>
      <w:r>
        <w:t xml:space="preserve">access to land ownership is also limited, particularly in the rural regions where land is </w:t>
      </w:r>
      <w:r w:rsidR="00FB68B4">
        <w:t xml:space="preserve">a </w:t>
      </w:r>
      <w:r>
        <w:t>key source of income.</w:t>
      </w:r>
      <w:r>
        <w:rPr>
          <w:rStyle w:val="FootnoteReference"/>
        </w:rPr>
        <w:footnoteReference w:id="104"/>
      </w:r>
    </w:p>
    <w:p w14:paraId="5043DE7C" w14:textId="03C5B4D6" w:rsidR="00E5088A" w:rsidRDefault="00E5088A" w:rsidP="00E5088A">
      <w:r>
        <w:t xml:space="preserve">Access to justice remains </w:t>
      </w:r>
      <w:r w:rsidR="00FB68B4">
        <w:t>an important</w:t>
      </w:r>
      <w:r>
        <w:t xml:space="preserve"> form of discrimination against women in Mauritania. The OECD 2019 report on the Social Institutions and Gender Index for Mauritania observed </w:t>
      </w:r>
      <w:r>
        <w:lastRenderedPageBreak/>
        <w:t xml:space="preserve">“inadequate legal aid and </w:t>
      </w:r>
      <w:r w:rsidR="00F602EE">
        <w:t>counselling</w:t>
      </w:r>
      <w:r>
        <w:t xml:space="preserve"> available to women, and a lack of training among legal and judicial officers on women’s rights and gender sensitivity”.</w:t>
      </w:r>
      <w:r>
        <w:rPr>
          <w:rStyle w:val="FootnoteReference"/>
        </w:rPr>
        <w:footnoteReference w:id="105"/>
      </w:r>
      <w:r>
        <w:t xml:space="preserve"> In addition, as explained above, the justice system </w:t>
      </w:r>
      <w:r w:rsidR="00DB33F0">
        <w:t xml:space="preserve">contains </w:t>
      </w:r>
      <w:r>
        <w:t xml:space="preserve">courts that apply the principles of both civil and </w:t>
      </w:r>
      <w:r w:rsidRPr="004F0866">
        <w:rPr>
          <w:i/>
          <w:iCs/>
        </w:rPr>
        <w:t>sharia law</w:t>
      </w:r>
      <w:r>
        <w:rPr>
          <w:i/>
          <w:iCs/>
        </w:rPr>
        <w:t>,</w:t>
      </w:r>
      <w:r>
        <w:t xml:space="preserve"> and under </w:t>
      </w:r>
      <w:r w:rsidRPr="004F0866">
        <w:rPr>
          <w:i/>
          <w:iCs/>
        </w:rPr>
        <w:t xml:space="preserve">sharia </w:t>
      </w:r>
      <w:r w:rsidRPr="008328AC">
        <w:t xml:space="preserve">law </w:t>
      </w:r>
      <w:r>
        <w:t>a woman’s testimony holds half of the evidentiary weight of that of a man.</w:t>
      </w:r>
      <w:r>
        <w:rPr>
          <w:rStyle w:val="FootnoteReference"/>
        </w:rPr>
        <w:footnoteReference w:id="106"/>
      </w:r>
      <w:r>
        <w:t xml:space="preserve"> </w:t>
      </w:r>
      <w:r w:rsidR="0004407D">
        <w:t>When</w:t>
      </w:r>
      <w:r>
        <w:t xml:space="preserve"> the UN Special Rapporteur visited Mauritania</w:t>
      </w:r>
      <w:r w:rsidR="0004407D">
        <w:t xml:space="preserve"> in 2017</w:t>
      </w:r>
      <w:r>
        <w:t xml:space="preserve">, </w:t>
      </w:r>
      <w:r w:rsidRPr="00D23344">
        <w:t>it was not clear that provisions on gender</w:t>
      </w:r>
      <w:r>
        <w:t>-</w:t>
      </w:r>
      <w:r w:rsidRPr="00D23344">
        <w:t xml:space="preserve">based violence, </w:t>
      </w:r>
      <w:r w:rsidR="00F602EE">
        <w:t xml:space="preserve">or </w:t>
      </w:r>
      <w:r w:rsidRPr="00D23344">
        <w:t>gender and child protection were effectively in place. She therefore encourage</w:t>
      </w:r>
      <w:r>
        <w:t>d</w:t>
      </w:r>
      <w:r w:rsidRPr="00D23344">
        <w:t xml:space="preserve"> the Government of Mauritania to ensure that such provisions are fully in place and effectively implemented to avoid protection gaps and tackle the intersecting forms of discrimination faced by women and children.</w:t>
      </w:r>
      <w:r>
        <w:rPr>
          <w:rStyle w:val="FootnoteReference"/>
        </w:rPr>
        <w:footnoteReference w:id="107"/>
      </w:r>
    </w:p>
    <w:p w14:paraId="2EED80DF" w14:textId="26C229D9" w:rsidR="000D7C66" w:rsidRDefault="000D7C66" w:rsidP="000D7C66">
      <w:pPr>
        <w:pStyle w:val="Heading3"/>
      </w:pPr>
      <w:bookmarkStart w:id="31" w:name="_Toc34236785"/>
      <w:r>
        <w:t xml:space="preserve">Factor </w:t>
      </w:r>
      <w:r w:rsidR="00EC747B">
        <w:t>3</w:t>
      </w:r>
      <w:r>
        <w:t>. The instrumentalization of sharia law</w:t>
      </w:r>
      <w:bookmarkEnd w:id="31"/>
    </w:p>
    <w:p w14:paraId="362AE027" w14:textId="0B28A719" w:rsidR="001A61E8" w:rsidRDefault="00F2364E" w:rsidP="001A61E8">
      <w:r>
        <w:t xml:space="preserve">Another factor that could explain some of the biases presented in section 2 is </w:t>
      </w:r>
      <w:r w:rsidR="00B01B72">
        <w:t xml:space="preserve">the </w:t>
      </w:r>
      <w:r>
        <w:t xml:space="preserve">instrumentalization of </w:t>
      </w:r>
      <w:r>
        <w:rPr>
          <w:i/>
          <w:iCs/>
        </w:rPr>
        <w:t>shar</w:t>
      </w:r>
      <w:r w:rsidR="00E04012">
        <w:rPr>
          <w:i/>
          <w:iCs/>
        </w:rPr>
        <w:t xml:space="preserve">ia </w:t>
      </w:r>
      <w:r w:rsidR="00E04012" w:rsidRPr="00FB68B4">
        <w:t>law</w:t>
      </w:r>
      <w:r>
        <w:rPr>
          <w:i/>
          <w:iCs/>
        </w:rPr>
        <w:t xml:space="preserve"> </w:t>
      </w:r>
      <w:r>
        <w:t>as a means of maintaining slavery by those who hold power in Mauritania.</w:t>
      </w:r>
      <w:r>
        <w:rPr>
          <w:rStyle w:val="FootnoteReference"/>
        </w:rPr>
        <w:footnoteReference w:id="108"/>
      </w:r>
      <w:r>
        <w:t xml:space="preserve"> </w:t>
      </w:r>
      <w:r w:rsidR="000D7C66">
        <w:rPr>
          <w:rFonts w:ascii="TimesNewRomanPSMT" w:hAnsi="TimesNewRomanPSMT" w:cs="TimesNewRomanPSMT"/>
          <w:szCs w:val="24"/>
        </w:rPr>
        <w:t xml:space="preserve">Abolition of “chattel slavery” in the 1980s coincided with the imposition of </w:t>
      </w:r>
      <w:r w:rsidR="000D7C66" w:rsidRPr="0016595E">
        <w:rPr>
          <w:rFonts w:ascii="TimesNewRomanPSMT" w:hAnsi="TimesNewRomanPSMT" w:cs="TimesNewRomanPSMT"/>
          <w:i/>
          <w:iCs/>
          <w:szCs w:val="24"/>
        </w:rPr>
        <w:t>sharia</w:t>
      </w:r>
      <w:r w:rsidR="000D7C66">
        <w:rPr>
          <w:rFonts w:ascii="TimesNewRomanPSMT" w:hAnsi="TimesNewRomanPSMT" w:cs="TimesNewRomanPSMT"/>
          <w:szCs w:val="24"/>
        </w:rPr>
        <w:t xml:space="preserve"> law</w:t>
      </w:r>
      <w:r w:rsidR="00FB68B4">
        <w:rPr>
          <w:rFonts w:ascii="TimesNewRomanPSMT" w:hAnsi="TimesNewRomanPSMT" w:cs="TimesNewRomanPSMT"/>
          <w:szCs w:val="24"/>
        </w:rPr>
        <w:t xml:space="preserve">, which has since then allegedly been </w:t>
      </w:r>
      <w:r w:rsidR="001A61E8">
        <w:t>used to perpetuate the dominance of the ruling class.</w:t>
      </w:r>
      <w:r w:rsidR="001A61E8">
        <w:rPr>
          <w:rStyle w:val="FootnoteReference"/>
        </w:rPr>
        <w:footnoteReference w:id="109"/>
      </w:r>
      <w:r w:rsidR="001A61E8">
        <w:t xml:space="preserve"> I</w:t>
      </w:r>
      <w:r w:rsidR="00036C28">
        <w:t>ndeed, i</w:t>
      </w:r>
      <w:r w:rsidR="001A61E8">
        <w:t xml:space="preserve">n a dual system in which </w:t>
      </w:r>
      <w:r w:rsidR="001A61E8" w:rsidRPr="00E0089E">
        <w:rPr>
          <w:i/>
          <w:iCs/>
        </w:rPr>
        <w:t xml:space="preserve">sharia </w:t>
      </w:r>
      <w:r w:rsidR="001A61E8" w:rsidRPr="005C4671">
        <w:t>law</w:t>
      </w:r>
      <w:r w:rsidR="001A61E8">
        <w:t xml:space="preserve"> co-exists with national and international law, but with international human rights law weakly applied in practice, female victims of slavery often fear accusations of extra-marital sex and their testimony may be less valued than that of a man.</w:t>
      </w:r>
      <w:r w:rsidR="001A61E8">
        <w:rPr>
          <w:rStyle w:val="FootnoteReference"/>
        </w:rPr>
        <w:footnoteReference w:id="110"/>
      </w:r>
    </w:p>
    <w:p w14:paraId="2D4DF09A" w14:textId="2064D104" w:rsidR="00A36409" w:rsidRDefault="003540C7" w:rsidP="00A36409">
      <w:r>
        <w:t xml:space="preserve">According to Professor Mohamed </w:t>
      </w:r>
      <w:proofErr w:type="spellStart"/>
      <w:r>
        <w:t>Mattar</w:t>
      </w:r>
      <w:proofErr w:type="spellEnd"/>
      <w:r>
        <w:t xml:space="preserve">, who has studied the interaction between </w:t>
      </w:r>
      <w:r w:rsidRPr="00E0089E">
        <w:rPr>
          <w:i/>
          <w:iCs/>
        </w:rPr>
        <w:t xml:space="preserve">sharia </w:t>
      </w:r>
      <w:r w:rsidRPr="00FB68B4">
        <w:t>law</w:t>
      </w:r>
      <w:r>
        <w:t xml:space="preserve"> and international law, Islam is explicit on the prohibition of slavery</w:t>
      </w:r>
      <w:r w:rsidR="008328AC">
        <w:t>. He clarifies that</w:t>
      </w:r>
      <w:r>
        <w:t xml:space="preserve"> the institution of domestic service is not prohibited in </w:t>
      </w:r>
      <w:r w:rsidRPr="00E0089E">
        <w:rPr>
          <w:i/>
          <w:iCs/>
        </w:rPr>
        <w:t xml:space="preserve">sharia </w:t>
      </w:r>
      <w:r w:rsidRPr="00FB68B4">
        <w:t>law</w:t>
      </w:r>
      <w:r>
        <w:t xml:space="preserve"> </w:t>
      </w:r>
      <w:r w:rsidRPr="00E0089E">
        <w:rPr>
          <w:i/>
          <w:iCs/>
        </w:rPr>
        <w:t>per se</w:t>
      </w:r>
      <w:r w:rsidR="004C45D8">
        <w:t>. However,</w:t>
      </w:r>
      <w:r>
        <w:t xml:space="preserve"> it “may constitute a form of trafficking for the purpose of labo</w:t>
      </w:r>
      <w:r w:rsidR="00E0089E">
        <w:t>u</w:t>
      </w:r>
      <w:r>
        <w:t>r if it entails exploitation under the sponsorship rule</w:t>
      </w:r>
      <w:r w:rsidR="008328AC">
        <w:t>. This is because</w:t>
      </w:r>
      <w:r>
        <w:t xml:space="preserve"> Islam is deeply respectful of the rights of the worker, and emphasizes the centrality of hono</w:t>
      </w:r>
      <w:r w:rsidR="00E0089E">
        <w:t>u</w:t>
      </w:r>
      <w:r>
        <w:t>ring contracts, the breach of which is considered a grave offense”.</w:t>
      </w:r>
      <w:r>
        <w:rPr>
          <w:rStyle w:val="FootnoteReference"/>
        </w:rPr>
        <w:footnoteReference w:id="111"/>
      </w:r>
      <w:r>
        <w:t xml:space="preserve"> </w:t>
      </w:r>
      <w:r w:rsidR="00E0089E">
        <w:t xml:space="preserve">Looking back in history, </w:t>
      </w:r>
      <w:r w:rsidR="00A36409" w:rsidRPr="00E0089E">
        <w:rPr>
          <w:i/>
          <w:iCs/>
        </w:rPr>
        <w:t xml:space="preserve">sharia </w:t>
      </w:r>
      <w:r w:rsidR="00A36409" w:rsidRPr="00FB68B4">
        <w:t xml:space="preserve">law </w:t>
      </w:r>
      <w:r w:rsidR="00A36409" w:rsidRPr="003B6FC0">
        <w:t>accepted slavery as did other legal systems of ancient times such as Roman law.</w:t>
      </w:r>
      <w:r w:rsidR="008328AC" w:rsidRPr="006804FC">
        <w:rPr>
          <w:rStyle w:val="FootnoteReference"/>
        </w:rPr>
        <w:footnoteReference w:id="112"/>
      </w:r>
      <w:r w:rsidR="00A36409">
        <w:t xml:space="preserve"> While modern </w:t>
      </w:r>
      <w:r w:rsidR="00A36409" w:rsidRPr="00E0089E">
        <w:rPr>
          <w:i/>
          <w:iCs/>
        </w:rPr>
        <w:t xml:space="preserve">sharia </w:t>
      </w:r>
      <w:r w:rsidR="00A36409" w:rsidRPr="00FB68B4">
        <w:t>law s</w:t>
      </w:r>
      <w:r w:rsidR="00A36409">
        <w:t xml:space="preserve">till contains elements that could be understood as legitimizing or allowing </w:t>
      </w:r>
      <w:r w:rsidR="00A36409" w:rsidRPr="00A36409">
        <w:t>slavery</w:t>
      </w:r>
      <w:r w:rsidR="00A36409">
        <w:t>,</w:t>
      </w:r>
      <w:r w:rsidR="00A36409">
        <w:rPr>
          <w:rStyle w:val="FootnoteReference"/>
        </w:rPr>
        <w:footnoteReference w:id="113"/>
      </w:r>
      <w:r w:rsidR="00A36409">
        <w:t xml:space="preserve"> slavery</w:t>
      </w:r>
      <w:r w:rsidR="00A36409" w:rsidRPr="00A36409">
        <w:t xml:space="preserve"> is effectively illegal in modern Islam</w:t>
      </w:r>
      <w:r w:rsidR="00E0089E">
        <w:t>ic countries, through</w:t>
      </w:r>
      <w:r w:rsidR="00A36409" w:rsidRPr="00A36409">
        <w:t xml:space="preserve"> secular law </w:t>
      </w:r>
      <w:r w:rsidR="00E0089E">
        <w:t>and international commitments</w:t>
      </w:r>
      <w:r w:rsidR="00A36409" w:rsidRPr="00A36409">
        <w:t>.</w:t>
      </w:r>
      <w:r w:rsidR="00A36409">
        <w:t xml:space="preserve"> </w:t>
      </w:r>
    </w:p>
    <w:p w14:paraId="0193C998" w14:textId="4E03235F" w:rsidR="003540C7" w:rsidRDefault="003540C7" w:rsidP="001A61E8">
      <w:r>
        <w:lastRenderedPageBreak/>
        <w:t xml:space="preserve">One of the problems </w:t>
      </w:r>
      <w:r w:rsidR="00A36409">
        <w:t>that experts highlight</w:t>
      </w:r>
      <w:r>
        <w:t xml:space="preserve"> is that such prohibitions may not always be followed in practice.</w:t>
      </w:r>
      <w:r w:rsidR="00A36409">
        <w:rPr>
          <w:rStyle w:val="FootnoteReference"/>
        </w:rPr>
        <w:footnoteReference w:id="114"/>
      </w:r>
      <w:r>
        <w:t xml:space="preserve"> For example, although migrant workers are entitled under Islamic tradition to the same rights as nationals, this principle is not always applied, the question arising as to whether these practices are customs and cultural practices or whether they are part of Islamic law.</w:t>
      </w:r>
      <w:r>
        <w:rPr>
          <w:rStyle w:val="FootnoteReference"/>
        </w:rPr>
        <w:footnoteReference w:id="115"/>
      </w:r>
      <w:r w:rsidR="00825972">
        <w:t xml:space="preserve"> This is a key element to understand the modern dynamics in countries like Mauritania, where </w:t>
      </w:r>
      <w:r w:rsidR="00825972" w:rsidRPr="00825972">
        <w:rPr>
          <w:i/>
          <w:iCs/>
        </w:rPr>
        <w:t xml:space="preserve">sharia </w:t>
      </w:r>
      <w:r w:rsidR="00825972" w:rsidRPr="00FB68B4">
        <w:t xml:space="preserve">law </w:t>
      </w:r>
      <w:r w:rsidR="00825972">
        <w:t>is mingled with customary local norms, and where possibilities beyond legal remedies need to also be considered, including ways in which stigma can be reduced.</w:t>
      </w:r>
      <w:r w:rsidR="00825972">
        <w:rPr>
          <w:rStyle w:val="FootnoteReference"/>
        </w:rPr>
        <w:footnoteReference w:id="116"/>
      </w:r>
      <w:r w:rsidR="00825972">
        <w:t xml:space="preserve"> </w:t>
      </w:r>
    </w:p>
    <w:p w14:paraId="641D5FFB" w14:textId="1250260D" w:rsidR="00CA14C6" w:rsidRDefault="001A61E8" w:rsidP="00CA14C6">
      <w:pPr>
        <w:pStyle w:val="Heading3"/>
      </w:pPr>
      <w:bookmarkStart w:id="32" w:name="_Toc34236786"/>
      <w:r>
        <w:t xml:space="preserve">Factor </w:t>
      </w:r>
      <w:r w:rsidR="00EC747B">
        <w:t>4</w:t>
      </w:r>
      <w:r>
        <w:t xml:space="preserve">. </w:t>
      </w:r>
      <w:r w:rsidR="00CA14C6">
        <w:t>Resistance to the international human rights approach</w:t>
      </w:r>
      <w:bookmarkEnd w:id="32"/>
    </w:p>
    <w:p w14:paraId="167A514F" w14:textId="40B925F3" w:rsidR="004336E3" w:rsidRDefault="007D3666" w:rsidP="007D3666">
      <w:r>
        <w:t xml:space="preserve">Another relevant factor </w:t>
      </w:r>
      <w:r w:rsidR="00A65C7B">
        <w:t>apparent in</w:t>
      </w:r>
      <w:r>
        <w:t xml:space="preserve"> the post-abolition period is the resistance </w:t>
      </w:r>
      <w:r w:rsidR="001E030D">
        <w:t xml:space="preserve">amongst certain </w:t>
      </w:r>
      <w:r w:rsidR="00942F1B">
        <w:t>legal professionals t</w:t>
      </w:r>
      <w:r>
        <w:t xml:space="preserve">o the international human rights discourse. </w:t>
      </w:r>
      <w:r w:rsidR="0071774C">
        <w:t xml:space="preserve">In </w:t>
      </w:r>
      <w:r w:rsidR="00942F1B">
        <w:t xml:space="preserve">Mauritania, similarly to other </w:t>
      </w:r>
      <w:r w:rsidR="0071774C">
        <w:t xml:space="preserve">Sahelian countries, knowledge </w:t>
      </w:r>
      <w:r w:rsidR="00A65C7B">
        <w:t xml:space="preserve">of </w:t>
      </w:r>
      <w:r w:rsidR="0071774C">
        <w:t xml:space="preserve">and access to international law </w:t>
      </w:r>
      <w:r w:rsidR="00942F1B">
        <w:t xml:space="preserve">in legal professions remains lower than in other areas of the world. </w:t>
      </w:r>
    </w:p>
    <w:p w14:paraId="21FBB392" w14:textId="65E21906" w:rsidR="007D3666" w:rsidRDefault="00942F1B" w:rsidP="007D3666">
      <w:r w:rsidRPr="00942F1B">
        <w:t>Minority Rights Group International</w:t>
      </w:r>
      <w:r>
        <w:t xml:space="preserve">, Anti-Slavery International and other organizations conduct training programmes, having </w:t>
      </w:r>
      <w:r w:rsidRPr="00942F1B">
        <w:t>identified a need for training in international human rights law in Mauritanian law</w:t>
      </w:r>
      <w:r>
        <w:t>yers and judges</w:t>
      </w:r>
      <w:r w:rsidRPr="00942F1B">
        <w:t>.</w:t>
      </w:r>
      <w:r>
        <w:rPr>
          <w:rStyle w:val="FootnoteReference"/>
        </w:rPr>
        <w:footnoteReference w:id="117"/>
      </w:r>
      <w:r w:rsidR="0071774C">
        <w:t xml:space="preserve"> </w:t>
      </w:r>
      <w:r w:rsidR="00C868AB">
        <w:t>In addition to the</w:t>
      </w:r>
      <w:r w:rsidR="0071774C">
        <w:t xml:space="preserve"> limited training and capacity building</w:t>
      </w:r>
      <w:r w:rsidR="00C868AB">
        <w:t xml:space="preserve">, the weaker application of international human rights law in Mauritania </w:t>
      </w:r>
      <w:r w:rsidR="00206A21">
        <w:t>could also be</w:t>
      </w:r>
      <w:r w:rsidR="00C868AB">
        <w:t xml:space="preserve"> part</w:t>
      </w:r>
      <w:r w:rsidR="004336E3">
        <w:t>l</w:t>
      </w:r>
      <w:r w:rsidR="00C868AB">
        <w:t>y due</w:t>
      </w:r>
      <w:r w:rsidR="0071774C">
        <w:t xml:space="preserve"> to a resistance to a western human rights approach, </w:t>
      </w:r>
      <w:r w:rsidR="00A65C7B">
        <w:t xml:space="preserve">which may be seen as </w:t>
      </w:r>
      <w:r w:rsidR="0071774C">
        <w:t>in some ways incompatible with the Islamic understanding of rights.</w:t>
      </w:r>
      <w:r w:rsidR="001D23CF">
        <w:rPr>
          <w:rStyle w:val="FootnoteReference"/>
        </w:rPr>
        <w:footnoteReference w:id="118"/>
      </w:r>
      <w:r w:rsidR="0071774C">
        <w:t xml:space="preserve"> </w:t>
      </w:r>
      <w:r w:rsidR="004C45D8">
        <w:t xml:space="preserve"> </w:t>
      </w:r>
    </w:p>
    <w:p w14:paraId="24BE491B" w14:textId="0DD9F7B9" w:rsidR="0071774C" w:rsidRDefault="0071774C" w:rsidP="0071774C">
      <w:r>
        <w:t xml:space="preserve">During the formative stages of </w:t>
      </w:r>
      <w:r w:rsidRPr="00B0456B">
        <w:rPr>
          <w:i/>
          <w:iCs/>
        </w:rPr>
        <w:t>sharia l</w:t>
      </w:r>
      <w:r w:rsidRPr="00146BDB">
        <w:t>aw</w:t>
      </w:r>
      <w:r w:rsidR="00A65C7B">
        <w:t xml:space="preserve"> </w:t>
      </w:r>
      <w:r w:rsidR="00C46D64">
        <w:t>back in the times of Prophet Mohammed</w:t>
      </w:r>
      <w:r w:rsidR="00A65C7B" w:rsidRPr="00206A21">
        <w:t xml:space="preserve"> </w:t>
      </w:r>
      <w:r w:rsidRPr="00206A21">
        <w:t>, there</w:t>
      </w:r>
      <w:r>
        <w:t xml:space="preserve"> was no conception of universal human rights anywhere in the world.</w:t>
      </w:r>
      <w:r>
        <w:rPr>
          <w:rStyle w:val="FootnoteReference"/>
        </w:rPr>
        <w:footnoteReference w:id="119"/>
      </w:r>
      <w:r>
        <w:t xml:space="preserve"> Although most Islamic states </w:t>
      </w:r>
      <w:r w:rsidR="00A65C7B">
        <w:t xml:space="preserve">have ultimately moved </w:t>
      </w:r>
      <w:r>
        <w:t xml:space="preserve">towards the acceptance of some </w:t>
      </w:r>
      <w:r w:rsidR="00A65C7B">
        <w:t>key</w:t>
      </w:r>
      <w:r>
        <w:t xml:space="preserve"> international human rights paradigms</w:t>
      </w:r>
      <w:r w:rsidR="00A65C7B">
        <w:t>—n</w:t>
      </w:r>
      <w:r>
        <w:t>ot only ratifying international conventions but also applying them</w:t>
      </w:r>
      <w:r w:rsidR="00A65C7B">
        <w:t xml:space="preserve">—in </w:t>
      </w:r>
      <w:r>
        <w:t>countries like Mauritania the knowledge and enforcement of certain international legal instruments remains an issue, with conventions like the CEDAW ratified with reservations.</w:t>
      </w:r>
      <w:r w:rsidR="00F272D2">
        <w:rPr>
          <w:rStyle w:val="FootnoteReference"/>
        </w:rPr>
        <w:footnoteReference w:id="120"/>
      </w:r>
      <w:r>
        <w:t xml:space="preserve"> </w:t>
      </w:r>
    </w:p>
    <w:p w14:paraId="6C480B80" w14:textId="0BEF26AD" w:rsidR="00E034B9" w:rsidRDefault="004336E3" w:rsidP="00E034B9">
      <w:r w:rsidRPr="00F53EAE">
        <w:t>In February 2020, Mauritania joined the UN Human Rights Council for the first time, a decision that has generated strong critiques from civil society organization</w:t>
      </w:r>
      <w:r w:rsidR="00F53EAE" w:rsidRPr="00F53EAE">
        <w:t>s</w:t>
      </w:r>
      <w:r w:rsidRPr="00F53EAE">
        <w:t>, particularly given the worrying reports about slavery and other breaches of human rights being persistent in the country.</w:t>
      </w:r>
      <w:r w:rsidRPr="00F53EAE">
        <w:rPr>
          <w:rStyle w:val="FootnoteReference"/>
        </w:rPr>
        <w:footnoteReference w:id="121"/>
      </w:r>
      <w:r>
        <w:t xml:space="preserve"> It remains to be seen if Mauritania’s controversial membership to the UN Human </w:t>
      </w:r>
      <w:r>
        <w:lastRenderedPageBreak/>
        <w:t>Rights Council will represent a new era in the country’s commitment with human rights. In the meantime, a</w:t>
      </w:r>
      <w:r w:rsidR="00F272D2">
        <w:t xml:space="preserve"> key influence </w:t>
      </w:r>
      <w:r w:rsidR="006F780B">
        <w:t xml:space="preserve">on </w:t>
      </w:r>
      <w:r w:rsidR="00F272D2">
        <w:t xml:space="preserve">the human rights discourse </w:t>
      </w:r>
      <w:r w:rsidR="00A65C7B">
        <w:t xml:space="preserve">in Mauritania </w:t>
      </w:r>
      <w:r w:rsidR="00F272D2">
        <w:t>is that of foreign investors and businesses</w:t>
      </w:r>
      <w:r w:rsidR="00C0148C">
        <w:t>, with Canada, the UK or China as important investment partners</w:t>
      </w:r>
      <w:r w:rsidR="00E034B9" w:rsidRPr="00C0148C">
        <w:t>.</w:t>
      </w:r>
      <w:r w:rsidR="00E034B9" w:rsidRPr="00C0148C">
        <w:rPr>
          <w:rStyle w:val="FootnoteReference"/>
        </w:rPr>
        <w:footnoteReference w:id="122"/>
      </w:r>
      <w:r w:rsidR="007B7960" w:rsidRPr="00C0148C">
        <w:t xml:space="preserve"> At the diplomatic level, Mauritania is rebalancing its international relations, most notably through the central role it played in forming the G5 Sahel group of countries, as well as by reinforcing its connections with both sub-Saharan and Gulf Arab countries.</w:t>
      </w:r>
      <w:r w:rsidR="008328AC">
        <w:rPr>
          <w:rStyle w:val="FootnoteReference"/>
        </w:rPr>
        <w:footnoteReference w:id="123"/>
      </w:r>
      <w:r w:rsidR="007B7960" w:rsidRPr="00C0148C">
        <w:t xml:space="preserve"> President Abdelaziz had positioned himself as a supportive partner of the Saudi Arabian leadership and the United Arab Emirates (UAE).</w:t>
      </w:r>
      <w:r w:rsidR="007B7960" w:rsidRPr="00C0148C">
        <w:rPr>
          <w:rStyle w:val="FootnoteReference"/>
        </w:rPr>
        <w:footnoteReference w:id="124"/>
      </w:r>
      <w:r w:rsidR="00146BDB">
        <w:t xml:space="preserve"> </w:t>
      </w:r>
      <w:r w:rsidR="00F272D2">
        <w:t>The human rights vision of</w:t>
      </w:r>
      <w:r w:rsidR="007B7960">
        <w:t xml:space="preserve"> Mauritania’s investment partners and diplomatic partners could influence </w:t>
      </w:r>
      <w:r w:rsidR="00F272D2">
        <w:t xml:space="preserve">the way </w:t>
      </w:r>
      <w:r w:rsidR="007B7960">
        <w:t xml:space="preserve">in which </w:t>
      </w:r>
      <w:r w:rsidR="00F272D2">
        <w:t>Mauritania addresses slavery.</w:t>
      </w:r>
      <w:r w:rsidR="002F27CA">
        <w:rPr>
          <w:rStyle w:val="FootnoteReference"/>
        </w:rPr>
        <w:footnoteReference w:id="125"/>
      </w:r>
      <w:r w:rsidR="00F272D2">
        <w:t xml:space="preserve"> </w:t>
      </w:r>
      <w:r w:rsidR="00871053">
        <w:t xml:space="preserve">On the one hand, western investors could use their leverage to encourage a more systematic enforcement of international human rights standards. On the other hand, the influence of countries like Saudi Arabia and the UAE, whose vision of human rights differs from that of </w:t>
      </w:r>
      <w:r w:rsidR="00146BDB">
        <w:t>western</w:t>
      </w:r>
      <w:r w:rsidR="00871053">
        <w:t xml:space="preserve"> actors in many aspects, could have the opposite effect.</w:t>
      </w:r>
    </w:p>
    <w:p w14:paraId="28378376" w14:textId="4D199C07" w:rsidR="0099039C" w:rsidRDefault="009A6CDA" w:rsidP="00914D3B">
      <w:pPr>
        <w:pStyle w:val="Heading1"/>
      </w:pPr>
      <w:bookmarkStart w:id="34" w:name="_Toc34236787"/>
      <w:r>
        <w:t>C</w:t>
      </w:r>
      <w:r w:rsidR="0099039C" w:rsidRPr="0099039C">
        <w:t>onclusions</w:t>
      </w:r>
      <w:bookmarkEnd w:id="34"/>
    </w:p>
    <w:p w14:paraId="60F3C0AD" w14:textId="53C4F7B6" w:rsidR="0077408C" w:rsidRDefault="006F780B" w:rsidP="0077408C">
      <w:r>
        <w:t xml:space="preserve">Despite Mauritania’s visible role as a Pathfinder state and </w:t>
      </w:r>
      <w:r w:rsidR="001913C9">
        <w:t xml:space="preserve">a </w:t>
      </w:r>
      <w:r>
        <w:t>vocal proponent of its ‘success’ in removing the last vestiges of slavery from its society, there</w:t>
      </w:r>
      <w:r w:rsidR="00B90B01">
        <w:t xml:space="preserve"> </w:t>
      </w:r>
      <w:r>
        <w:t xml:space="preserve">are </w:t>
      </w:r>
      <w:r w:rsidR="00B90B01">
        <w:t>indications</w:t>
      </w:r>
      <w:r>
        <w:t xml:space="preserve"> </w:t>
      </w:r>
      <w:r w:rsidR="001913C9">
        <w:t>of challenges in enforcing its anti-slavery legislation.</w:t>
      </w:r>
      <w:r>
        <w:t xml:space="preserve"> </w:t>
      </w:r>
      <w:r w:rsidR="00B90B01">
        <w:t xml:space="preserve"> </w:t>
      </w:r>
      <w:r w:rsidR="001913C9">
        <w:t xml:space="preserve">We have argued that these challenges are </w:t>
      </w:r>
      <w:r w:rsidR="00B90B01">
        <w:t>connected to certain negative common patterns (biases) in</w:t>
      </w:r>
      <w:r w:rsidR="00707726">
        <w:t xml:space="preserve"> law</w:t>
      </w:r>
      <w:r w:rsidR="00B90B01">
        <w:t xml:space="preserve"> enforcement</w:t>
      </w:r>
      <w:r w:rsidR="001913C9">
        <w:t xml:space="preserve"> practice</w:t>
      </w:r>
      <w:r w:rsidR="00B90B01">
        <w:t xml:space="preserve">. </w:t>
      </w:r>
      <w:r w:rsidR="001913C9">
        <w:t xml:space="preserve">These </w:t>
      </w:r>
      <w:r w:rsidR="00B90B01">
        <w:t xml:space="preserve">patterns </w:t>
      </w:r>
      <w:r w:rsidR="001913C9">
        <w:t xml:space="preserve">may </w:t>
      </w:r>
      <w:r w:rsidR="00B90B01">
        <w:t>partly be explained by factors such as</w:t>
      </w:r>
      <w:r w:rsidR="001913C9">
        <w:t xml:space="preserve"> race and</w:t>
      </w:r>
      <w:r w:rsidR="00B90B01">
        <w:t xml:space="preserve"> gender</w:t>
      </w:r>
      <w:r w:rsidR="001913C9">
        <w:t xml:space="preserve"> </w:t>
      </w:r>
      <w:r w:rsidR="00B90B01">
        <w:t xml:space="preserve">discrimination </w:t>
      </w:r>
      <w:r w:rsidR="001913C9">
        <w:t xml:space="preserve">and </w:t>
      </w:r>
      <w:r w:rsidR="00B90B01">
        <w:t xml:space="preserve">the </w:t>
      </w:r>
      <w:r w:rsidR="00B502DC">
        <w:t xml:space="preserve">instrumentalization of </w:t>
      </w:r>
      <w:r w:rsidR="00B502DC" w:rsidRPr="006C698B">
        <w:rPr>
          <w:i/>
          <w:iCs/>
        </w:rPr>
        <w:t>sharia</w:t>
      </w:r>
      <w:r w:rsidR="00B502DC">
        <w:t xml:space="preserve"> law and of the legal system to maintain the privileges of certain elites</w:t>
      </w:r>
      <w:r w:rsidR="00B90B01">
        <w:t xml:space="preserve">. </w:t>
      </w:r>
    </w:p>
    <w:p w14:paraId="785CA393" w14:textId="1DF9A680" w:rsidR="006B2C34" w:rsidRDefault="004336E3" w:rsidP="0077408C">
      <w:r>
        <w:t xml:space="preserve">This </w:t>
      </w:r>
      <w:r w:rsidR="00B471AD">
        <w:t>research</w:t>
      </w:r>
      <w:r w:rsidR="006B2C34">
        <w:t xml:space="preserve"> has identified</w:t>
      </w:r>
      <w:r>
        <w:t xml:space="preserve"> </w:t>
      </w:r>
      <w:r w:rsidR="006B2C34">
        <w:t xml:space="preserve">common </w:t>
      </w:r>
      <w:r>
        <w:t xml:space="preserve">negative </w:t>
      </w:r>
      <w:r w:rsidR="006B2C34">
        <w:t xml:space="preserve">patterns or </w:t>
      </w:r>
      <w:r>
        <w:t>b</w:t>
      </w:r>
      <w:r w:rsidR="006B2C34">
        <w:t>i</w:t>
      </w:r>
      <w:r>
        <w:t>ases</w:t>
      </w:r>
      <w:r w:rsidR="006B2C34">
        <w:t xml:space="preserve"> in government authorities, which not only deny the existence of slavery but provide limited resources for the investigation and prosecution of slavery in the country. It also stresses the weak enforcement of anti-slavery legislation by police officers, administrative authorities, prosecutors and the judiciary. Particularly worrying are the racial and gender biases in prosecutors and judges which can result in re-victimization. </w:t>
      </w:r>
    </w:p>
    <w:p w14:paraId="67BA7E9C" w14:textId="043C73BD" w:rsidR="0077408C" w:rsidRDefault="006B2C34" w:rsidP="00BA3BCB">
      <w:r>
        <w:t xml:space="preserve">Having identified some of the factors that could explain those biases, the research </w:t>
      </w:r>
      <w:r w:rsidR="0077408C">
        <w:t xml:space="preserve">highlights </w:t>
      </w:r>
      <w:r w:rsidR="00B471AD">
        <w:t>the continuum of exploitation t</w:t>
      </w:r>
      <w:r w:rsidR="00CD210C">
        <w:t>o which</w:t>
      </w:r>
      <w:r w:rsidR="00B471AD">
        <w:t xml:space="preserve"> victims of slavery are subjected, and </w:t>
      </w:r>
      <w:r w:rsidR="0077408C">
        <w:t>the deep interconnect</w:t>
      </w:r>
      <w:r w:rsidR="00B471AD">
        <w:t>ion</w:t>
      </w:r>
      <w:r w:rsidR="00CD210C">
        <w:t>s</w:t>
      </w:r>
      <w:r w:rsidR="0077408C">
        <w:t xml:space="preserve"> </w:t>
      </w:r>
      <w:r w:rsidR="00CD210C">
        <w:t>between</w:t>
      </w:r>
      <w:r w:rsidR="0077408C">
        <w:t xml:space="preserve"> slavery </w:t>
      </w:r>
      <w:r w:rsidR="00CD210C">
        <w:t>and</w:t>
      </w:r>
      <w:r w:rsidR="0077408C">
        <w:t xml:space="preserve"> other fundamental social issues, </w:t>
      </w:r>
      <w:r w:rsidR="00B471AD">
        <w:t>such as discrimination</w:t>
      </w:r>
      <w:r w:rsidR="00CD210C">
        <w:t>, structural inequalities,</w:t>
      </w:r>
      <w:r w:rsidR="00B471AD">
        <w:t xml:space="preserve"> and difficulties in accessing positions of power or influence. This</w:t>
      </w:r>
      <w:r w:rsidR="0077408C">
        <w:t xml:space="preserve"> has consequences for actionable policy purposes. Tackling barriers to effective law enforcement can only happen in a multi-tiered way – that is, taking a short, medium, and long-term joined-up strategic approach from the individual behavioural level to the normative societal level. </w:t>
      </w:r>
    </w:p>
    <w:p w14:paraId="6C70D3EA" w14:textId="2ABA4476" w:rsidR="006B4446" w:rsidRDefault="0077408C" w:rsidP="006B4446">
      <w:r>
        <w:lastRenderedPageBreak/>
        <w:t>Our preliminary research has demonstrated the deep-rooted social issues underlying the biases. In the medium and long term, the M</w:t>
      </w:r>
      <w:r w:rsidR="006B2C34">
        <w:t>auritanian</w:t>
      </w:r>
      <w:r>
        <w:t xml:space="preserve"> government can of course seek to address these issues if it is serious about anti</w:t>
      </w:r>
      <w:r w:rsidR="006B2C34">
        <w:t>-</w:t>
      </w:r>
      <w:r>
        <w:t>slavery enforcement. International actors with leverage on the M</w:t>
      </w:r>
      <w:r w:rsidR="006B2C34">
        <w:t>auritanian</w:t>
      </w:r>
      <w:r>
        <w:t xml:space="preserve"> gov</w:t>
      </w:r>
      <w:r w:rsidR="006B2C34">
        <w:t>ernmen</w:t>
      </w:r>
      <w:r>
        <w:t>t can also frame their pressure more effectively in these terms.</w:t>
      </w:r>
      <w:r w:rsidR="00CD210C">
        <w:t xml:space="preserve"> </w:t>
      </w:r>
      <w:r>
        <w:t xml:space="preserve">But in order to tackle the </w:t>
      </w:r>
      <w:r w:rsidR="00B471AD">
        <w:t xml:space="preserve">identified </w:t>
      </w:r>
      <w:r>
        <w:t xml:space="preserve">barriers and biases, it would </w:t>
      </w:r>
      <w:r w:rsidR="00B471AD">
        <w:t xml:space="preserve">be </w:t>
      </w:r>
      <w:r>
        <w:t>very important to ensure that pro</w:t>
      </w:r>
      <w:r w:rsidR="006B2C34">
        <w:t>-</w:t>
      </w:r>
      <w:r>
        <w:t>slavery forces within the M</w:t>
      </w:r>
      <w:r w:rsidR="006B2C34">
        <w:t>auritanian</w:t>
      </w:r>
      <w:r>
        <w:t xml:space="preserve"> gov</w:t>
      </w:r>
      <w:r w:rsidR="006B2C34">
        <w:t>ernmen</w:t>
      </w:r>
      <w:r>
        <w:t xml:space="preserve">t and society </w:t>
      </w:r>
      <w:r w:rsidR="0003281D">
        <w:t>cannot delay</w:t>
      </w:r>
      <w:r>
        <w:t xml:space="preserve"> antislavery </w:t>
      </w:r>
      <w:r w:rsidR="0003281D">
        <w:t>action</w:t>
      </w:r>
      <w:r>
        <w:t xml:space="preserve"> </w:t>
      </w:r>
      <w:r w:rsidR="0003281D">
        <w:t>with the excuse of</w:t>
      </w:r>
      <w:r>
        <w:t xml:space="preserve"> waiting for </w:t>
      </w:r>
      <w:r w:rsidR="0003281D">
        <w:t xml:space="preserve">other </w:t>
      </w:r>
      <w:r>
        <w:t>social issues (</w:t>
      </w:r>
      <w:r w:rsidR="00CD210C">
        <w:t xml:space="preserve">in particular, </w:t>
      </w:r>
      <w:r>
        <w:t>race</w:t>
      </w:r>
      <w:r w:rsidR="00CD210C">
        <w:t xml:space="preserve"> and</w:t>
      </w:r>
      <w:r>
        <w:t xml:space="preserve"> gender) to be solved incrementally. </w:t>
      </w:r>
      <w:r w:rsidR="006B2C34">
        <w:t>T</w:t>
      </w:r>
      <w:r>
        <w:t xml:space="preserve">he next phase </w:t>
      </w:r>
      <w:r w:rsidR="006B2C34">
        <w:t xml:space="preserve">of </w:t>
      </w:r>
      <w:r w:rsidR="0003281D">
        <w:t>our</w:t>
      </w:r>
      <w:r w:rsidR="006B2C34">
        <w:t xml:space="preserve"> research </w:t>
      </w:r>
      <w:r>
        <w:t>will explore how the M</w:t>
      </w:r>
      <w:r w:rsidR="006B2C34">
        <w:t xml:space="preserve">auritanian </w:t>
      </w:r>
      <w:r>
        <w:t xml:space="preserve"> gov</w:t>
      </w:r>
      <w:r w:rsidR="006B2C34">
        <w:t>ernmen</w:t>
      </w:r>
      <w:r>
        <w:t xml:space="preserve">t—supported and encouraged by international partners where possible, and taking inspiration from countries who have tackled similar (or at least somehow comparative) challenges—could </w:t>
      </w:r>
      <w:r w:rsidR="00CD210C">
        <w:t xml:space="preserve">take more immediate action to </w:t>
      </w:r>
      <w:r>
        <w:t>change law enforcement behaviour</w:t>
      </w:r>
      <w:r w:rsidR="00B471AD">
        <w:t>s</w:t>
      </w:r>
      <w:r>
        <w:t xml:space="preserve"> before changing the deep-seated racial, gender, and cultural values that drive and sustain the biases we have identified. </w:t>
      </w:r>
      <w:r w:rsidR="006B4446">
        <w:t>It will also explore the impact of other systemic problems -</w:t>
      </w:r>
      <w:r w:rsidR="00BF2964">
        <w:t xml:space="preserve"> </w:t>
      </w:r>
      <w:r w:rsidR="006B4446">
        <w:t>corruption, political or economic instability</w:t>
      </w:r>
      <w:r w:rsidR="00BF2964">
        <w:t xml:space="preserve"> </w:t>
      </w:r>
      <w:r w:rsidR="006B4446">
        <w:t xml:space="preserve">- in the described biases. </w:t>
      </w:r>
    </w:p>
    <w:p w14:paraId="0FE109DD" w14:textId="3F7EB104" w:rsidR="006B2C34" w:rsidRDefault="006B2C34" w:rsidP="006B2C34"/>
    <w:p w14:paraId="3FB67B58" w14:textId="4947847B" w:rsidR="001727B2" w:rsidRDefault="001727B2"/>
    <w:sectPr w:rsidR="001727B2" w:rsidSect="00156BB4">
      <w:footerReference w:type="default" r:id="rId8"/>
      <w:pgSz w:w="11906" w:h="16838"/>
      <w:pgMar w:top="1418"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ACEF0" w14:textId="77777777" w:rsidR="00E46D58" w:rsidRDefault="00E46D58">
      <w:pPr>
        <w:spacing w:after="0" w:line="240" w:lineRule="auto"/>
      </w:pPr>
      <w:r>
        <w:separator/>
      </w:r>
    </w:p>
  </w:endnote>
  <w:endnote w:type="continuationSeparator" w:id="0">
    <w:p w14:paraId="2C026D2B" w14:textId="77777777" w:rsidR="00E46D58" w:rsidRDefault="00E4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637558"/>
      <w:docPartObj>
        <w:docPartGallery w:val="Page Numbers (Bottom of Page)"/>
        <w:docPartUnique/>
      </w:docPartObj>
    </w:sdtPr>
    <w:sdtEndPr>
      <w:rPr>
        <w:noProof/>
      </w:rPr>
    </w:sdtEndPr>
    <w:sdtContent>
      <w:p w14:paraId="758DB42E" w14:textId="17ADB5B2" w:rsidR="008525E7" w:rsidRDefault="008525E7">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60DB4A67" w14:textId="77777777" w:rsidR="008525E7" w:rsidRDefault="00852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BF97" w14:textId="77777777" w:rsidR="00E46D58" w:rsidRDefault="00E46D58">
      <w:pPr>
        <w:spacing w:after="0" w:line="240" w:lineRule="auto"/>
      </w:pPr>
      <w:r>
        <w:separator/>
      </w:r>
    </w:p>
  </w:footnote>
  <w:footnote w:type="continuationSeparator" w:id="0">
    <w:p w14:paraId="0250CF81" w14:textId="77777777" w:rsidR="00E46D58" w:rsidRDefault="00E46D58">
      <w:pPr>
        <w:spacing w:after="0" w:line="240" w:lineRule="auto"/>
      </w:pPr>
      <w:r>
        <w:continuationSeparator/>
      </w:r>
    </w:p>
  </w:footnote>
  <w:footnote w:id="1">
    <w:p w14:paraId="4B803CE4" w14:textId="7B3CA5CE" w:rsidR="008525E7" w:rsidRPr="00FC32F0" w:rsidRDefault="008525E7" w:rsidP="00F857F8">
      <w:pPr>
        <w:pStyle w:val="FootnoteText"/>
        <w:rPr>
          <w:i/>
          <w:iCs/>
        </w:rPr>
      </w:pPr>
      <w:r w:rsidRPr="00FC32F0">
        <w:rPr>
          <w:i/>
          <w:iCs/>
        </w:rPr>
        <w:t xml:space="preserve">*Professor Philippa Webb, Professor of Public International Law at King’s College London; Dr Maeve Ryan, Lecturer in History and Grand Strategy, King’s College London; Dr Rosana </w:t>
      </w:r>
      <w:proofErr w:type="spellStart"/>
      <w:r w:rsidRPr="00FC32F0">
        <w:rPr>
          <w:i/>
          <w:iCs/>
        </w:rPr>
        <w:t>Garciandia</w:t>
      </w:r>
      <w:proofErr w:type="spellEnd"/>
      <w:r w:rsidRPr="00FC32F0">
        <w:rPr>
          <w:i/>
          <w:iCs/>
        </w:rPr>
        <w:t>, Research Associate and Visiting Lecturer in Public International Law, King’s College London.</w:t>
      </w:r>
    </w:p>
    <w:p w14:paraId="2C1923CD" w14:textId="1C9C776B" w:rsidR="008525E7" w:rsidRPr="00FC32F0" w:rsidRDefault="008525E7">
      <w:pPr>
        <w:pStyle w:val="FootnoteText"/>
      </w:pPr>
      <w:r>
        <w:rPr>
          <w:rStyle w:val="FootnoteReference"/>
        </w:rPr>
        <w:footnoteRef/>
      </w:r>
      <w:r>
        <w:t xml:space="preserve"> Testimony of </w:t>
      </w:r>
      <w:proofErr w:type="spellStart"/>
      <w:r>
        <w:rPr>
          <w:rFonts w:eastAsia="Times New Roman"/>
        </w:rPr>
        <w:t>Moulkheir</w:t>
      </w:r>
      <w:proofErr w:type="spellEnd"/>
      <w:r>
        <w:rPr>
          <w:rFonts w:eastAsia="Times New Roman"/>
        </w:rPr>
        <w:t xml:space="preserve"> Mint </w:t>
      </w:r>
      <w:proofErr w:type="spellStart"/>
      <w:r>
        <w:rPr>
          <w:rFonts w:eastAsia="Times New Roman"/>
        </w:rPr>
        <w:t>Yarba</w:t>
      </w:r>
      <w:proofErr w:type="spellEnd"/>
      <w:r>
        <w:rPr>
          <w:rFonts w:eastAsia="Times New Roman"/>
        </w:rPr>
        <w:t xml:space="preserve">, victim of slavery, CNN </w:t>
      </w:r>
      <w:r w:rsidR="00BB3730">
        <w:rPr>
          <w:rFonts w:eastAsia="Times New Roman"/>
        </w:rPr>
        <w:t>Documentary</w:t>
      </w:r>
      <w:r>
        <w:rPr>
          <w:rFonts w:eastAsia="Times New Roman"/>
        </w:rPr>
        <w:t>, ‘Slavery’s last stronghold’ 2012:</w:t>
      </w:r>
      <w:hyperlink r:id="rId1" w:history="1">
        <w:r>
          <w:rPr>
            <w:rStyle w:val="Hyperlink"/>
            <w:rFonts w:eastAsia="Times New Roman"/>
          </w:rPr>
          <w:t>http://edition.cnn.com/interactive/2012/03/world/mauritania.slaverys.last.stronghold/index.html</w:t>
        </w:r>
      </w:hyperlink>
    </w:p>
  </w:footnote>
  <w:footnote w:id="2">
    <w:p w14:paraId="3EE8DA72" w14:textId="4B427736" w:rsidR="008525E7" w:rsidRDefault="008525E7">
      <w:pPr>
        <w:pStyle w:val="FootnoteText"/>
      </w:pPr>
      <w:r>
        <w:rPr>
          <w:rStyle w:val="FootnoteReference"/>
        </w:rPr>
        <w:footnoteRef/>
      </w:r>
      <w:r>
        <w:t xml:space="preserve"> Report of the Special Rapporteur on contemporary forms of slavery, including its causes and consequences, Gulnara </w:t>
      </w:r>
      <w:proofErr w:type="spellStart"/>
      <w:r>
        <w:t>Shahinian</w:t>
      </w:r>
      <w:proofErr w:type="spellEnd"/>
      <w:r>
        <w:t>. Mission to Mauritania, A/HRC/15/20/Add.2, 16 August 2010.</w:t>
      </w:r>
    </w:p>
  </w:footnote>
  <w:footnote w:id="3">
    <w:p w14:paraId="497FA68F" w14:textId="0D2FD3F8" w:rsidR="008525E7" w:rsidRDefault="008525E7">
      <w:pPr>
        <w:pStyle w:val="FootnoteText"/>
      </w:pPr>
      <w:r>
        <w:rPr>
          <w:rStyle w:val="FootnoteReference"/>
        </w:rPr>
        <w:footnoteRef/>
      </w:r>
      <w:r>
        <w:t xml:space="preserve"> UN General Assembly Resolution </w:t>
      </w:r>
      <w:r w:rsidRPr="00491410">
        <w:t>A/RES/70/1</w:t>
      </w:r>
      <w:r>
        <w:t>, Transforming our world: the 2030 Agenda for Sustainable Development, Resolution adopted by the General Assembly on 25 September 2015, 21 October 2015.</w:t>
      </w:r>
    </w:p>
  </w:footnote>
  <w:footnote w:id="4">
    <w:p w14:paraId="1D55BAA8" w14:textId="2FE836C7" w:rsidR="008525E7" w:rsidRDefault="008525E7">
      <w:pPr>
        <w:pStyle w:val="FootnoteText"/>
      </w:pPr>
      <w:r>
        <w:rPr>
          <w:rStyle w:val="FootnoteReference"/>
        </w:rPr>
        <w:footnoteRef/>
      </w:r>
      <w:r>
        <w:t xml:space="preserve"> </w:t>
      </w:r>
      <w:r w:rsidRPr="009754AA">
        <w:t>Mauritania is party to the 1926 Slavery Convention and the 1956 Supplementary Convention on the Abolition of Slavery</w:t>
      </w:r>
      <w:r>
        <w:t xml:space="preserve">, </w:t>
      </w:r>
      <w:r w:rsidRPr="009754AA">
        <w:t xml:space="preserve">the </w:t>
      </w:r>
      <w:r>
        <w:t xml:space="preserve">ILO 1930 </w:t>
      </w:r>
      <w:r w:rsidRPr="009754AA">
        <w:t xml:space="preserve">Forced Labour Convention (No. 29), the </w:t>
      </w:r>
      <w:r>
        <w:t xml:space="preserve">ILO 1957 </w:t>
      </w:r>
      <w:r w:rsidRPr="009754AA">
        <w:t>Abolition of Forced Labour Convention (No. 105</w:t>
      </w:r>
      <w:r>
        <w:t xml:space="preserve">) and the 2000 UN </w:t>
      </w:r>
      <w:r w:rsidRPr="009754AA">
        <w:t>Protocol to Prevent, Suppress and Punish Trafficking in Persons, Especially Women and Children, supplementing the United Nations Convention against Transnational Organized Crime. It is also party to the following international human rights instruments, to name just a few: the Convention on the Rights of the Child, the Convention on the Elimination of All Forms of Racial Discrimination, the Convention on the Elimination of All forms of Discrimination against Women, the Convention Against Torture, the International Covenant on Civil and Political Rights, and the International Covenant on Economic, Social and Cultural Rights.</w:t>
      </w:r>
      <w:r>
        <w:t xml:space="preserve"> </w:t>
      </w:r>
      <w:r w:rsidRPr="00F8224E">
        <w:t>At the regional level, it has also ratified the African Charter on Human and Peoples’ Rights, its protocol on the rights of women in Africa, and the African Charter on the Rights and Welfare of the Child.</w:t>
      </w:r>
      <w:r>
        <w:t xml:space="preserve"> </w:t>
      </w:r>
      <w:r w:rsidRPr="00E90671">
        <w:t>Based on this international framework, the Mauritanian State is obliged to respect the prohibition of slavery and to act with due diligence in preventing, protecting and punishing slavery.</w:t>
      </w:r>
      <w:r>
        <w:t xml:space="preserve"> Mauritania is also, since February 2020, a member of the UN Human Rights Council.</w:t>
      </w:r>
    </w:p>
  </w:footnote>
  <w:footnote w:id="5">
    <w:p w14:paraId="56C8879B" w14:textId="2BEA39CC" w:rsidR="008525E7" w:rsidRDefault="008525E7">
      <w:pPr>
        <w:pStyle w:val="FootnoteText"/>
      </w:pPr>
      <w:r>
        <w:rPr>
          <w:rStyle w:val="FootnoteReference"/>
        </w:rPr>
        <w:footnoteRef/>
      </w:r>
      <w:r>
        <w:t xml:space="preserve"> </w:t>
      </w:r>
      <w:r w:rsidRPr="004E0362">
        <w:t xml:space="preserve">The 2015 </w:t>
      </w:r>
      <w:r>
        <w:t>A</w:t>
      </w:r>
      <w:r w:rsidRPr="004E0362">
        <w:t>nti-</w:t>
      </w:r>
      <w:r>
        <w:t>s</w:t>
      </w:r>
      <w:r w:rsidRPr="004E0362">
        <w:t xml:space="preserve">lavery </w:t>
      </w:r>
      <w:r>
        <w:t>Act</w:t>
      </w:r>
      <w:r w:rsidRPr="004E0362">
        <w:t xml:space="preserve"> criminalized hereditary slavery and prescribed </w:t>
      </w:r>
      <w:r>
        <w:t xml:space="preserve">stringent </w:t>
      </w:r>
      <w:r w:rsidRPr="004E0362">
        <w:t>penalties of five to 20 years’ imprisonment and a fine of 250,000 to five million MRU ($6,940-$138,890) (US TIP Report, 2019). However, its enforcement remains a challenge.</w:t>
      </w:r>
    </w:p>
  </w:footnote>
  <w:footnote w:id="6">
    <w:p w14:paraId="086F3302" w14:textId="2CE8BC96" w:rsidR="008525E7" w:rsidRDefault="008525E7" w:rsidP="008A0BE0">
      <w:pPr>
        <w:pStyle w:val="FootnoteText"/>
      </w:pPr>
      <w:r>
        <w:rPr>
          <w:rStyle w:val="FootnoteReference"/>
        </w:rPr>
        <w:footnoteRef/>
      </w:r>
      <w:r>
        <w:t xml:space="preserve"> </w:t>
      </w:r>
      <w:r w:rsidRPr="009A119E">
        <w:t>Walk F</w:t>
      </w:r>
      <w:r>
        <w:t xml:space="preserve">ree Foundation, Global Slavery Index 2018, </w:t>
      </w:r>
      <w:hyperlink r:id="rId2" w:history="1">
        <w:r>
          <w:rPr>
            <w:rStyle w:val="Hyperlink"/>
          </w:rPr>
          <w:t>https://www.globalslaveryindex.org/2018/data/country-data/mauritania/</w:t>
        </w:r>
      </w:hyperlink>
      <w:r>
        <w:t>; According to the 2019 US TIP Report, t</w:t>
      </w:r>
      <w:r w:rsidRPr="00F50B7C">
        <w:t>he Government of Mauritania does not fully meet the minimum standards for the elimination of trafficking and is not making significant efforts to do so</w:t>
      </w:r>
      <w:r>
        <w:t>, remaining on Tier 3 of the report, the lowest possible category. See also John D. Sutter, “Slavery’s last stronghold”, CNN, 2012.</w:t>
      </w:r>
    </w:p>
  </w:footnote>
  <w:footnote w:id="7">
    <w:p w14:paraId="34DAB25F" w14:textId="3B0EFD98" w:rsidR="008525E7" w:rsidRDefault="008525E7" w:rsidP="008B1CDC">
      <w:pPr>
        <w:pStyle w:val="FootnoteText"/>
      </w:pPr>
      <w:r>
        <w:rPr>
          <w:rStyle w:val="FootnoteReference"/>
        </w:rPr>
        <w:footnoteRef/>
      </w:r>
      <w:r>
        <w:t xml:space="preserve"> A/HRC/15/20/Add.2, supra note </w:t>
      </w:r>
      <w:r w:rsidR="00BB3730">
        <w:t>2</w:t>
      </w:r>
      <w:r>
        <w:t>. For the purposes of this project, "slavery” refers to the situations defined as slavery (including descent-based slavery) and institutions and practices similar to slavery by the 1926 Slavery Convention and the 1956 Supplementary Convention.</w:t>
      </w:r>
    </w:p>
  </w:footnote>
  <w:footnote w:id="8">
    <w:p w14:paraId="3AF8B49E" w14:textId="2F8CAC8C" w:rsidR="008525E7" w:rsidRPr="00922028" w:rsidRDefault="008525E7" w:rsidP="00CB1543">
      <w:pPr>
        <w:spacing w:after="0" w:line="240" w:lineRule="auto"/>
        <w:rPr>
          <w:sz w:val="20"/>
          <w:szCs w:val="20"/>
        </w:rPr>
      </w:pPr>
      <w:r w:rsidRPr="00922028">
        <w:rPr>
          <w:rStyle w:val="FootnoteReference"/>
          <w:sz w:val="20"/>
          <w:szCs w:val="20"/>
        </w:rPr>
        <w:footnoteRef/>
      </w:r>
      <w:r w:rsidRPr="00922028">
        <w:rPr>
          <w:sz w:val="20"/>
          <w:szCs w:val="20"/>
        </w:rPr>
        <w:t xml:space="preserve"> Although it is common to define the </w:t>
      </w:r>
      <w:proofErr w:type="spellStart"/>
      <w:r w:rsidRPr="00922028">
        <w:rPr>
          <w:sz w:val="20"/>
          <w:szCs w:val="20"/>
        </w:rPr>
        <w:t>Haratine</w:t>
      </w:r>
      <w:proofErr w:type="spellEnd"/>
      <w:r w:rsidRPr="00922028">
        <w:rPr>
          <w:sz w:val="20"/>
          <w:szCs w:val="20"/>
        </w:rPr>
        <w:t xml:space="preserve"> as an ethnic group, the ethnic mixing in Mauritania would make it more appropriate to define them as a social </w:t>
      </w:r>
      <w:r>
        <w:rPr>
          <w:sz w:val="20"/>
          <w:szCs w:val="20"/>
        </w:rPr>
        <w:t>group</w:t>
      </w:r>
      <w:r w:rsidRPr="00922028">
        <w:rPr>
          <w:sz w:val="20"/>
          <w:szCs w:val="20"/>
        </w:rPr>
        <w:t xml:space="preserve"> that comes linked to the slave-descent social status (Sarah Mathewson, consultation). </w:t>
      </w:r>
    </w:p>
  </w:footnote>
  <w:footnote w:id="9">
    <w:p w14:paraId="69422DA9" w14:textId="5B7445CB" w:rsidR="008525E7" w:rsidRDefault="008525E7" w:rsidP="008B1CDC">
      <w:pPr>
        <w:pStyle w:val="FootnoteText"/>
      </w:pPr>
      <w:r>
        <w:rPr>
          <w:rStyle w:val="FootnoteReference"/>
        </w:rPr>
        <w:footnoteRef/>
      </w:r>
      <w:r>
        <w:t xml:space="preserve"> US 2013 TIP Report, p. 258.</w:t>
      </w:r>
    </w:p>
  </w:footnote>
  <w:footnote w:id="10">
    <w:p w14:paraId="5CB7E73D" w14:textId="3FB0961A" w:rsidR="008525E7" w:rsidRDefault="008525E7" w:rsidP="008B1CDC">
      <w:pPr>
        <w:pStyle w:val="FootnoteText"/>
      </w:pPr>
      <w:r>
        <w:rPr>
          <w:rStyle w:val="FootnoteReference"/>
        </w:rPr>
        <w:footnoteRef/>
      </w:r>
      <w:r>
        <w:t xml:space="preserve"> Walk Free Foundation, Global Slavery Index 2013.</w:t>
      </w:r>
    </w:p>
  </w:footnote>
  <w:footnote w:id="11">
    <w:p w14:paraId="10B81611" w14:textId="5EE7EF6D" w:rsidR="008525E7" w:rsidRPr="00C22094" w:rsidRDefault="008525E7">
      <w:pPr>
        <w:pStyle w:val="FootnoteText"/>
      </w:pPr>
      <w:r>
        <w:rPr>
          <w:rStyle w:val="FootnoteReference"/>
        </w:rPr>
        <w:footnoteRef/>
      </w:r>
      <w:r>
        <w:t xml:space="preserve"> </w:t>
      </w:r>
      <w:r w:rsidRPr="00C22094">
        <w:t xml:space="preserve">Lotte </w:t>
      </w:r>
      <w:proofErr w:type="spellStart"/>
      <w:r w:rsidRPr="00C22094">
        <w:t>P</w:t>
      </w:r>
      <w:r>
        <w:t>elckmans</w:t>
      </w:r>
      <w:proofErr w:type="spellEnd"/>
      <w:r>
        <w:t>, consultatio</w:t>
      </w:r>
      <w:r w:rsidRPr="0030255A">
        <w:t>n.</w:t>
      </w:r>
      <w:r>
        <w:t xml:space="preserve"> </w:t>
      </w:r>
    </w:p>
  </w:footnote>
  <w:footnote w:id="12">
    <w:p w14:paraId="6991C2F4" w14:textId="7091745B" w:rsidR="008525E7" w:rsidRDefault="008525E7">
      <w:pPr>
        <w:pStyle w:val="FootnoteText"/>
      </w:pPr>
      <w:r>
        <w:rPr>
          <w:rStyle w:val="FootnoteReference"/>
        </w:rPr>
        <w:footnoteRef/>
      </w:r>
      <w:r>
        <w:t xml:space="preserve"> US 2019 TIP Report, supra note </w:t>
      </w:r>
      <w:r w:rsidR="00BB3730">
        <w:t>5</w:t>
      </w:r>
      <w:r>
        <w:t>.</w:t>
      </w:r>
    </w:p>
  </w:footnote>
  <w:footnote w:id="13">
    <w:p w14:paraId="137DBF02" w14:textId="202DDC4C" w:rsidR="008525E7" w:rsidRPr="00A30941" w:rsidRDefault="008525E7">
      <w:pPr>
        <w:pStyle w:val="FootnoteText"/>
      </w:pPr>
      <w:r w:rsidRPr="00AC645B">
        <w:rPr>
          <w:rStyle w:val="FootnoteReference"/>
        </w:rPr>
        <w:footnoteRef/>
      </w:r>
      <w:r w:rsidRPr="003C71F1">
        <w:t xml:space="preserve"> </w:t>
      </w:r>
      <w:r w:rsidRPr="006804FC">
        <w:t xml:space="preserve">Decision </w:t>
      </w:r>
      <w:r w:rsidRPr="007E06AA">
        <w:t xml:space="preserve">3/2017 </w:t>
      </w:r>
      <w:r w:rsidRPr="003C71F1">
        <w:t xml:space="preserve">of the </w:t>
      </w:r>
      <w:r>
        <w:t xml:space="preserve">African Committee of Experts on the Rights and Welfare of the Child, 15 December 2017, </w:t>
      </w:r>
      <w:hyperlink r:id="rId3" w:history="1">
        <w:r>
          <w:rPr>
            <w:rStyle w:val="Hyperlink"/>
          </w:rPr>
          <w:t>https://acerwc.africa/wp-content/uploads/2018/13/ACERWC%20Decision%20FinaL%20ON%20Mauritania.pdf</w:t>
        </w:r>
      </w:hyperlink>
      <w:r w:rsidRPr="00A30941">
        <w:t xml:space="preserve"> </w:t>
      </w:r>
    </w:p>
  </w:footnote>
  <w:footnote w:id="14">
    <w:p w14:paraId="44B969B2" w14:textId="32A1401B" w:rsidR="008525E7" w:rsidRDefault="008525E7">
      <w:pPr>
        <w:pStyle w:val="FootnoteText"/>
      </w:pPr>
      <w:r w:rsidRPr="00E76045">
        <w:rPr>
          <w:rStyle w:val="FootnoteReference"/>
        </w:rPr>
        <w:footnoteRef/>
      </w:r>
      <w:r w:rsidRPr="00E76045">
        <w:t xml:space="preserve"> Office of the US Trade Representative</w:t>
      </w:r>
      <w:r>
        <w:t xml:space="preserve">, </w:t>
      </w:r>
      <w:r w:rsidRPr="005257E4">
        <w:t>President Trump Terminates Trade Preference Program Eligibility for Mauritania</w:t>
      </w:r>
      <w:r>
        <w:t>, 11 February 2018.</w:t>
      </w:r>
    </w:p>
  </w:footnote>
  <w:footnote w:id="15">
    <w:p w14:paraId="34E7FA9B" w14:textId="458FFE38" w:rsidR="008525E7" w:rsidRPr="00A30941" w:rsidRDefault="008525E7">
      <w:pPr>
        <w:pStyle w:val="FootnoteText"/>
      </w:pPr>
      <w:r>
        <w:rPr>
          <w:rStyle w:val="FootnoteReference"/>
        </w:rPr>
        <w:footnoteRef/>
      </w:r>
      <w:r>
        <w:t xml:space="preserve"> Anti-Slavery International, MRGI, SOS-</w:t>
      </w:r>
      <w:proofErr w:type="spellStart"/>
      <w:r>
        <w:t>Esclaves</w:t>
      </w:r>
      <w:proofErr w:type="spellEnd"/>
      <w:r w:rsidRPr="00CB5924">
        <w:t>, Joint submission for the Universal Periodic Review of Mauritania, 23rd Session, October</w:t>
      </w:r>
      <w:r>
        <w:t xml:space="preserve"> </w:t>
      </w:r>
      <w:r w:rsidRPr="00CB5924">
        <w:t>– November 2015</w:t>
      </w:r>
      <w:r>
        <w:t>, 23 March 2015.</w:t>
      </w:r>
    </w:p>
  </w:footnote>
  <w:footnote w:id="16">
    <w:p w14:paraId="4B81DC4A" w14:textId="62EFC7E4" w:rsidR="008525E7" w:rsidRPr="00C22094" w:rsidRDefault="008525E7">
      <w:pPr>
        <w:pStyle w:val="FootnoteText"/>
      </w:pPr>
      <w:r>
        <w:rPr>
          <w:rStyle w:val="FootnoteReference"/>
        </w:rPr>
        <w:footnoteRef/>
      </w:r>
      <w:r>
        <w:t xml:space="preserve"> The connection with poverty is also interesting to explore, as defending the rights of the poorest of the poor may not attract the interest of those with the skills to defend them.</w:t>
      </w:r>
    </w:p>
  </w:footnote>
  <w:footnote w:id="17">
    <w:p w14:paraId="2C8139BE" w14:textId="4F95D5A4" w:rsidR="008525E7" w:rsidRPr="00855842" w:rsidRDefault="008525E7" w:rsidP="008A5446">
      <w:pPr>
        <w:pStyle w:val="CommentText"/>
        <w:spacing w:after="0"/>
      </w:pPr>
      <w:r w:rsidRPr="00CB1543">
        <w:rPr>
          <w:rStyle w:val="FootnoteReference"/>
        </w:rPr>
        <w:footnoteRef/>
      </w:r>
      <w:r w:rsidRPr="00CB1543">
        <w:t xml:space="preserve"> </w:t>
      </w:r>
      <w:r>
        <w:t>T</w:t>
      </w:r>
      <w:r w:rsidRPr="00CB1543">
        <w:t xml:space="preserve">he Mauritanian society cannot be seen as a post-slavery society and the history of slavery is an ongoing history, where slavery has evolved and taken different forms over time. See </w:t>
      </w:r>
      <w:proofErr w:type="spellStart"/>
      <w:r>
        <w:t>Benedetta</w:t>
      </w:r>
      <w:proofErr w:type="spellEnd"/>
      <w:r>
        <w:t xml:space="preserve"> Rossi, ‘</w:t>
      </w:r>
      <w:r w:rsidRPr="008A5446">
        <w:t>African post-slavery: a history of the future</w:t>
      </w:r>
      <w:r>
        <w:t>’, in</w:t>
      </w:r>
      <w:r w:rsidRPr="008A5446">
        <w:t xml:space="preserve"> </w:t>
      </w:r>
      <w:r>
        <w:t xml:space="preserve">Eric </w:t>
      </w:r>
      <w:proofErr w:type="spellStart"/>
      <w:r>
        <w:t>Komlavi</w:t>
      </w:r>
      <w:proofErr w:type="spellEnd"/>
      <w:r>
        <w:t xml:space="preserve"> </w:t>
      </w:r>
      <w:proofErr w:type="spellStart"/>
      <w:r>
        <w:t>Hahonou</w:t>
      </w:r>
      <w:proofErr w:type="spellEnd"/>
      <w:r>
        <w:t xml:space="preserve">, Baz </w:t>
      </w:r>
      <w:proofErr w:type="spellStart"/>
      <w:r>
        <w:t>Lecocq</w:t>
      </w:r>
      <w:proofErr w:type="spellEnd"/>
      <w:r>
        <w:t xml:space="preserve">, ‘Exploring Post-Slavery in Contemporary Africa’, </w:t>
      </w:r>
      <w:r w:rsidRPr="008A5446">
        <w:rPr>
          <w:i/>
          <w:iCs/>
        </w:rPr>
        <w:t>International Journal of African Historical Studies</w:t>
      </w:r>
      <w:r>
        <w:t>, vol 48, n. 2 (2015), 303-324.</w:t>
      </w:r>
    </w:p>
  </w:footnote>
  <w:footnote w:id="18">
    <w:p w14:paraId="75D88254" w14:textId="74D68846" w:rsidR="001E72A9" w:rsidRPr="00B15BAF" w:rsidRDefault="001E72A9" w:rsidP="001E72A9">
      <w:pPr>
        <w:pStyle w:val="FootnoteText"/>
      </w:pPr>
      <w:r>
        <w:rPr>
          <w:rStyle w:val="FootnoteReference"/>
        </w:rPr>
        <w:footnoteRef/>
      </w:r>
      <w:r>
        <w:t xml:space="preserve"> The consultation was </w:t>
      </w:r>
      <w:r w:rsidR="00060B80">
        <w:t>undertaken as</w:t>
      </w:r>
      <w:r>
        <w:t xml:space="preserve"> </w:t>
      </w:r>
      <w:r w:rsidR="00060B80">
        <w:t>a combination</w:t>
      </w:r>
      <w:r w:rsidR="00BF2964">
        <w:t xml:space="preserve"> of</w:t>
      </w:r>
      <w:r w:rsidR="00060B80">
        <w:t xml:space="preserve"> </w:t>
      </w:r>
      <w:r>
        <w:t xml:space="preserve">individual interviews and a workshop with experts from diverse disciplines </w:t>
      </w:r>
      <w:r w:rsidR="00060B80">
        <w:t xml:space="preserve">hosted by the authors </w:t>
      </w:r>
      <w:r>
        <w:t>at King’s College London</w:t>
      </w:r>
      <w:r w:rsidRPr="00B15BAF">
        <w:t>.</w:t>
      </w:r>
      <w:r w:rsidR="00DE5E47">
        <w:t xml:space="preserve"> The study is ethically cleared.</w:t>
      </w:r>
      <w:r w:rsidR="00060B80" w:rsidRPr="00060B80">
        <w:t xml:space="preserve"> </w:t>
      </w:r>
      <w:r w:rsidR="00060B80">
        <w:t>Upcoming phases of this project</w:t>
      </w:r>
      <w:r w:rsidR="00060B80" w:rsidRPr="00B15BAF">
        <w:t xml:space="preserve"> will incorporate resources for a broader analysis of original evidence, such as transcripts of court hearings, police reports and reports of government agencies. It will also incorporate fieldwork, including interviews with victims, law enforcement authorities and government officials.</w:t>
      </w:r>
    </w:p>
  </w:footnote>
  <w:footnote w:id="19">
    <w:p w14:paraId="229B15DD" w14:textId="52A46717" w:rsidR="008525E7" w:rsidRDefault="008525E7">
      <w:pPr>
        <w:pStyle w:val="FootnoteText"/>
      </w:pPr>
      <w:r>
        <w:rPr>
          <w:rStyle w:val="FootnoteReference"/>
        </w:rPr>
        <w:footnoteRef/>
      </w:r>
      <w:r>
        <w:t xml:space="preserve"> </w:t>
      </w:r>
      <w:r w:rsidRPr="00C51FEF">
        <w:t>Pathfinder countries go further and faster to achieve Target 8.7. They accelerate efforts, try new approaches and collaborate with others. Pathfinder countries turn their commitments into action. They can pick up the pace in their own country and/or support other countries to accelerate action. They can themselves serve as an example to drive change by showing progress and successful interventions</w:t>
      </w:r>
      <w:r>
        <w:t xml:space="preserve"> (Alliance 8.7 - Pathfinder Country Guidance Note, </w:t>
      </w:r>
      <w:hyperlink r:id="rId4" w:history="1">
        <w:r>
          <w:rPr>
            <w:rStyle w:val="Hyperlink"/>
          </w:rPr>
          <w:t>https://www.alliance87.org/wp-content/uploads/2019/05/Pathfinder-Countries_Final_English-1.pdf</w:t>
        </w:r>
      </w:hyperlink>
      <w:r>
        <w:t xml:space="preserve">) </w:t>
      </w:r>
    </w:p>
  </w:footnote>
  <w:footnote w:id="20">
    <w:p w14:paraId="30E97F99" w14:textId="58577777" w:rsidR="008525E7" w:rsidRDefault="008525E7">
      <w:pPr>
        <w:pStyle w:val="FootnoteText"/>
      </w:pPr>
      <w:r>
        <w:rPr>
          <w:rStyle w:val="FootnoteReference"/>
        </w:rPr>
        <w:footnoteRef/>
      </w:r>
      <w:r>
        <w:t xml:space="preserve"> </w:t>
      </w:r>
      <w:r w:rsidRPr="0069482F">
        <w:rPr>
          <w:bCs/>
        </w:rPr>
        <w:t xml:space="preserve"> Ann McDougall</w:t>
      </w:r>
      <w:r w:rsidRPr="0069482F">
        <w:t xml:space="preserve">, ‘The Politics of Slavery, Racism and Democracy in Mauritania’, </w:t>
      </w:r>
      <w:r w:rsidRPr="008A5446">
        <w:rPr>
          <w:i/>
          <w:iCs/>
        </w:rPr>
        <w:t>Open Democracy: beyond traffic and slavery</w:t>
      </w:r>
      <w:r w:rsidRPr="0069482F">
        <w:t>, 26 June 2015.</w:t>
      </w:r>
    </w:p>
  </w:footnote>
  <w:footnote w:id="21">
    <w:p w14:paraId="65F9E9B9" w14:textId="367B21C8" w:rsidR="008525E7" w:rsidRPr="001407D8" w:rsidRDefault="008525E7">
      <w:pPr>
        <w:pStyle w:val="FootnoteText"/>
        <w:rPr>
          <w:lang w:val="pt-BR"/>
        </w:rPr>
      </w:pPr>
      <w:r>
        <w:rPr>
          <w:rStyle w:val="FootnoteReference"/>
        </w:rPr>
        <w:footnoteRef/>
      </w:r>
      <w:r w:rsidRPr="001407D8">
        <w:rPr>
          <w:lang w:val="pt-BR"/>
        </w:rPr>
        <w:t xml:space="preserve"> A/HRC/15/20/Add.2, supra note </w:t>
      </w:r>
      <w:r w:rsidR="00BB3730">
        <w:rPr>
          <w:lang w:val="pt-BR"/>
        </w:rPr>
        <w:t>2</w:t>
      </w:r>
      <w:r w:rsidRPr="001407D8">
        <w:rPr>
          <w:lang w:val="pt-BR"/>
        </w:rPr>
        <w:t>, para 8.</w:t>
      </w:r>
    </w:p>
  </w:footnote>
  <w:footnote w:id="22">
    <w:p w14:paraId="68EB7F16" w14:textId="2792EB9A" w:rsidR="008525E7" w:rsidRDefault="008525E7">
      <w:pPr>
        <w:pStyle w:val="FootnoteText"/>
      </w:pPr>
      <w:r>
        <w:rPr>
          <w:rStyle w:val="FootnoteReference"/>
        </w:rPr>
        <w:footnoteRef/>
      </w:r>
      <w:r>
        <w:t xml:space="preserve"> Ahmed </w:t>
      </w:r>
      <w:proofErr w:type="spellStart"/>
      <w:r>
        <w:t>Meiloud</w:t>
      </w:r>
      <w:proofErr w:type="spellEnd"/>
      <w:r>
        <w:t xml:space="preserve">, Mohamed El Mokhtar Sidi </w:t>
      </w:r>
      <w:proofErr w:type="spellStart"/>
      <w:r>
        <w:t>Haiba</w:t>
      </w:r>
      <w:proofErr w:type="spellEnd"/>
      <w:r>
        <w:t xml:space="preserve">, ‘Slavery in Mauritania: Differentiating between facts and fiction’, 21 April 2015: </w:t>
      </w:r>
      <w:hyperlink r:id="rId5" w:history="1">
        <w:r w:rsidRPr="00904CB7">
          <w:rPr>
            <w:rStyle w:val="Hyperlink"/>
          </w:rPr>
          <w:t>https://www.middleeasteye.net/big-story/slavery-mauritania-differentiating-between-facts-and-fiction</w:t>
        </w:r>
      </w:hyperlink>
      <w:r>
        <w:rPr>
          <w:rStyle w:val="Hyperlink"/>
        </w:rPr>
        <w:t>.</w:t>
      </w:r>
    </w:p>
  </w:footnote>
  <w:footnote w:id="23">
    <w:p w14:paraId="2740D744" w14:textId="4A654DFC" w:rsidR="008525E7" w:rsidRPr="00ED23BE" w:rsidRDefault="008525E7">
      <w:pPr>
        <w:pStyle w:val="FootnoteText"/>
        <w:rPr>
          <w:lang w:val="fr-FR"/>
        </w:rPr>
      </w:pPr>
      <w:r>
        <w:rPr>
          <w:rStyle w:val="FootnoteReference"/>
        </w:rPr>
        <w:footnoteRef/>
      </w:r>
      <w:r w:rsidRPr="00ED23BE">
        <w:rPr>
          <w:lang w:val="fr-FR"/>
        </w:rPr>
        <w:t xml:space="preserve"> UN </w:t>
      </w:r>
      <w:proofErr w:type="spellStart"/>
      <w:r w:rsidRPr="00ED23BE">
        <w:rPr>
          <w:lang w:val="fr-FR"/>
        </w:rPr>
        <w:t>Special</w:t>
      </w:r>
      <w:proofErr w:type="spellEnd"/>
      <w:r w:rsidRPr="00ED23BE">
        <w:rPr>
          <w:lang w:val="fr-FR"/>
        </w:rPr>
        <w:t xml:space="preserve"> Rapporteur, consultation. </w:t>
      </w:r>
    </w:p>
  </w:footnote>
  <w:footnote w:id="24">
    <w:p w14:paraId="798FB267" w14:textId="26C96185" w:rsidR="008525E7" w:rsidRPr="00ED23BE" w:rsidRDefault="008525E7">
      <w:pPr>
        <w:pStyle w:val="FootnoteText"/>
        <w:rPr>
          <w:lang w:val="fr-FR"/>
        </w:rPr>
      </w:pPr>
      <w:r>
        <w:rPr>
          <w:rStyle w:val="FootnoteReference"/>
        </w:rPr>
        <w:footnoteRef/>
      </w:r>
      <w:r w:rsidRPr="00ED23BE">
        <w:rPr>
          <w:lang w:val="fr-FR"/>
        </w:rPr>
        <w:t xml:space="preserve"> Sarah </w:t>
      </w:r>
      <w:proofErr w:type="spellStart"/>
      <w:r w:rsidRPr="00ED23BE">
        <w:rPr>
          <w:lang w:val="fr-FR"/>
        </w:rPr>
        <w:t>Mathewson</w:t>
      </w:r>
      <w:proofErr w:type="spellEnd"/>
      <w:r w:rsidR="00BB3730">
        <w:rPr>
          <w:lang w:val="fr-FR"/>
        </w:rPr>
        <w:t>, supra note 8</w:t>
      </w:r>
      <w:r w:rsidRPr="00ED23BE">
        <w:rPr>
          <w:lang w:val="fr-FR"/>
        </w:rPr>
        <w:t>.</w:t>
      </w:r>
    </w:p>
  </w:footnote>
  <w:footnote w:id="25">
    <w:p w14:paraId="26AD1B2C" w14:textId="6D3C6434" w:rsidR="008525E7" w:rsidRPr="009E35F6" w:rsidRDefault="008525E7">
      <w:pPr>
        <w:pStyle w:val="FootnoteText"/>
        <w:rPr>
          <w:lang w:val="fr-FR"/>
        </w:rPr>
      </w:pPr>
      <w:r>
        <w:rPr>
          <w:rStyle w:val="FootnoteReference"/>
        </w:rPr>
        <w:footnoteRef/>
      </w:r>
      <w:r w:rsidRPr="009E35F6">
        <w:rPr>
          <w:lang w:val="fr-FR"/>
        </w:rPr>
        <w:t xml:space="preserve"> Moustapha </w:t>
      </w:r>
      <w:proofErr w:type="spellStart"/>
      <w:r w:rsidRPr="009E35F6">
        <w:rPr>
          <w:lang w:val="fr-FR"/>
        </w:rPr>
        <w:t>Sidiya</w:t>
      </w:r>
      <w:proofErr w:type="spellEnd"/>
      <w:r w:rsidRPr="009E35F6">
        <w:rPr>
          <w:lang w:val="fr-FR"/>
        </w:rPr>
        <w:t xml:space="preserve">, </w:t>
      </w:r>
      <w:r>
        <w:rPr>
          <w:lang w:val="fr-FR"/>
        </w:rPr>
        <w:t>‘</w:t>
      </w:r>
      <w:r w:rsidRPr="009E35F6">
        <w:rPr>
          <w:lang w:val="fr-FR"/>
        </w:rPr>
        <w:t xml:space="preserve">Mauritanie : Détails de la rencontre entre </w:t>
      </w:r>
      <w:proofErr w:type="spellStart"/>
      <w:r w:rsidRPr="009E35F6">
        <w:rPr>
          <w:lang w:val="fr-FR"/>
        </w:rPr>
        <w:t>Ghazouani</w:t>
      </w:r>
      <w:proofErr w:type="spellEnd"/>
      <w:r w:rsidRPr="009E35F6">
        <w:rPr>
          <w:lang w:val="fr-FR"/>
        </w:rPr>
        <w:t xml:space="preserve"> et </w:t>
      </w:r>
      <w:proofErr w:type="spellStart"/>
      <w:r w:rsidRPr="009E35F6">
        <w:rPr>
          <w:lang w:val="fr-FR"/>
        </w:rPr>
        <w:t>Biram</w:t>
      </w:r>
      <w:proofErr w:type="spellEnd"/>
      <w:r>
        <w:rPr>
          <w:lang w:val="fr-FR"/>
        </w:rPr>
        <w:t xml:space="preserve">’, </w:t>
      </w:r>
      <w:proofErr w:type="spellStart"/>
      <w:r>
        <w:rPr>
          <w:i/>
          <w:iCs/>
          <w:lang w:val="fr-FR"/>
        </w:rPr>
        <w:t>Senalioune</w:t>
      </w:r>
      <w:proofErr w:type="spellEnd"/>
      <w:r>
        <w:rPr>
          <w:i/>
          <w:iCs/>
          <w:lang w:val="fr-FR"/>
        </w:rPr>
        <w:t xml:space="preserve">, </w:t>
      </w:r>
      <w:r>
        <w:rPr>
          <w:lang w:val="fr-FR"/>
        </w:rPr>
        <w:t xml:space="preserve">1 </w:t>
      </w:r>
      <w:proofErr w:type="spellStart"/>
      <w:r>
        <w:rPr>
          <w:lang w:val="fr-FR"/>
        </w:rPr>
        <w:t>October</w:t>
      </w:r>
      <w:proofErr w:type="spellEnd"/>
      <w:r>
        <w:rPr>
          <w:lang w:val="fr-FR"/>
        </w:rPr>
        <w:t xml:space="preserve"> 2019, </w:t>
      </w:r>
      <w:hyperlink r:id="rId6" w:history="1">
        <w:r w:rsidRPr="009E35F6">
          <w:rPr>
            <w:rStyle w:val="Hyperlink"/>
            <w:lang w:val="fr-FR"/>
          </w:rPr>
          <w:t>https://senalioune.com/mauritanie-details-de-la-rencontre-entre-ghazouani-et-biram/</w:t>
        </w:r>
      </w:hyperlink>
      <w:r w:rsidRPr="009E35F6">
        <w:rPr>
          <w:lang w:val="fr-FR"/>
        </w:rPr>
        <w:t xml:space="preserve">. </w:t>
      </w:r>
    </w:p>
  </w:footnote>
  <w:footnote w:id="26">
    <w:p w14:paraId="55A1C672" w14:textId="26832664" w:rsidR="008525E7" w:rsidRPr="00F62084" w:rsidRDefault="008525E7">
      <w:pPr>
        <w:pStyle w:val="FootnoteText"/>
      </w:pPr>
      <w:r w:rsidRPr="009E35F6">
        <w:rPr>
          <w:rStyle w:val="FootnoteReference"/>
        </w:rPr>
        <w:footnoteRef/>
      </w:r>
      <w:r w:rsidRPr="009E35F6">
        <w:t xml:space="preserve"> </w:t>
      </w:r>
      <w:r w:rsidRPr="003C71F1">
        <w:t xml:space="preserve">Paul </w:t>
      </w:r>
      <w:proofErr w:type="spellStart"/>
      <w:r w:rsidRPr="003C71F1">
        <w:t>Melly</w:t>
      </w:r>
      <w:proofErr w:type="spellEnd"/>
      <w:r w:rsidRPr="003C71F1">
        <w:t>, ‘</w:t>
      </w:r>
      <w:r w:rsidRPr="006804FC">
        <w:t>Mauritania’s Unfolding Landscape: Elections, Hydrocarbons and Socio-Economic Change</w:t>
      </w:r>
      <w:r w:rsidRPr="00C91339">
        <w:t>’, Chatham House Research Paper, April 2019, p. 3</w:t>
      </w:r>
      <w:r w:rsidRPr="009E35F6">
        <w:t>.</w:t>
      </w:r>
    </w:p>
  </w:footnote>
  <w:footnote w:id="27">
    <w:p w14:paraId="7B2AEACF" w14:textId="195BAFE6" w:rsidR="008525E7" w:rsidRDefault="008525E7">
      <w:pPr>
        <w:pStyle w:val="FootnoteText"/>
      </w:pPr>
      <w:r>
        <w:rPr>
          <w:rStyle w:val="FootnoteReference"/>
        </w:rPr>
        <w:footnoteRef/>
      </w:r>
      <w:r>
        <w:t xml:space="preserve"> Ibid.</w:t>
      </w:r>
    </w:p>
  </w:footnote>
  <w:footnote w:id="28">
    <w:p w14:paraId="56CD2CF6" w14:textId="4610B51A" w:rsidR="008525E7" w:rsidRDefault="008525E7">
      <w:pPr>
        <w:pStyle w:val="FootnoteText"/>
      </w:pPr>
      <w:r>
        <w:rPr>
          <w:rStyle w:val="FootnoteReference"/>
        </w:rPr>
        <w:footnoteRef/>
      </w:r>
      <w:r>
        <w:t xml:space="preserve"> Sarah Mathewson, supra note </w:t>
      </w:r>
      <w:r w:rsidR="00BB3730">
        <w:t>8</w:t>
      </w:r>
      <w:r>
        <w:t xml:space="preserve">. </w:t>
      </w:r>
    </w:p>
  </w:footnote>
  <w:footnote w:id="29">
    <w:p w14:paraId="29181E57" w14:textId="3A7E3C05" w:rsidR="008525E7" w:rsidRPr="008275A2" w:rsidRDefault="008525E7">
      <w:pPr>
        <w:pStyle w:val="FootnoteText"/>
      </w:pPr>
      <w:r>
        <w:rPr>
          <w:rStyle w:val="FootnoteReference"/>
        </w:rPr>
        <w:footnoteRef/>
      </w:r>
      <w:r>
        <w:t xml:space="preserve"> Ibid</w:t>
      </w:r>
      <w:r w:rsidRPr="008275A2">
        <w:t>.</w:t>
      </w:r>
    </w:p>
  </w:footnote>
  <w:footnote w:id="30">
    <w:p w14:paraId="612B7B3C" w14:textId="50E17B35" w:rsidR="008525E7" w:rsidRDefault="008525E7" w:rsidP="00A63129">
      <w:pPr>
        <w:pStyle w:val="FootnoteText"/>
      </w:pPr>
      <w:r>
        <w:rPr>
          <w:rStyle w:val="FootnoteReference"/>
        </w:rPr>
        <w:footnoteRef/>
      </w:r>
      <w:r>
        <w:t xml:space="preserve"> US 2019 TIP Report, supra note </w:t>
      </w:r>
      <w:r w:rsidR="00BB3730">
        <w:t>5</w:t>
      </w:r>
      <w:r>
        <w:t>.</w:t>
      </w:r>
    </w:p>
  </w:footnote>
  <w:footnote w:id="31">
    <w:p w14:paraId="1422846F" w14:textId="77777777" w:rsidR="008525E7" w:rsidRPr="00F33468" w:rsidRDefault="008525E7" w:rsidP="00A63129">
      <w:pPr>
        <w:pStyle w:val="FootnoteText"/>
      </w:pPr>
      <w:r>
        <w:rPr>
          <w:rStyle w:val="FootnoteReference"/>
        </w:rPr>
        <w:footnoteRef/>
      </w:r>
      <w:r w:rsidRPr="00F33468">
        <w:t xml:space="preserve"> Ibid.</w:t>
      </w:r>
    </w:p>
  </w:footnote>
  <w:footnote w:id="32">
    <w:p w14:paraId="60179B18" w14:textId="3A0C7D7B" w:rsidR="008525E7" w:rsidRPr="00F33468" w:rsidRDefault="008525E7">
      <w:pPr>
        <w:pStyle w:val="FootnoteText"/>
      </w:pPr>
      <w:r>
        <w:rPr>
          <w:rStyle w:val="FootnoteReference"/>
        </w:rPr>
        <w:footnoteRef/>
      </w:r>
      <w:r w:rsidRPr="00F33468">
        <w:t xml:space="preserve"> Ibid; MRGI, consultation. </w:t>
      </w:r>
    </w:p>
  </w:footnote>
  <w:footnote w:id="33">
    <w:p w14:paraId="3F6D40E2" w14:textId="46ACAFFA" w:rsidR="008525E7" w:rsidRPr="00082ECC" w:rsidRDefault="008525E7">
      <w:pPr>
        <w:pStyle w:val="FootnoteText"/>
      </w:pPr>
      <w:r>
        <w:rPr>
          <w:rStyle w:val="FootnoteReference"/>
        </w:rPr>
        <w:footnoteRef/>
      </w:r>
      <w:r w:rsidRPr="00082ECC">
        <w:t xml:space="preserve"> Lotte </w:t>
      </w:r>
      <w:proofErr w:type="spellStart"/>
      <w:r w:rsidRPr="00082ECC">
        <w:t>Pelckmans</w:t>
      </w:r>
      <w:proofErr w:type="spellEnd"/>
      <w:r w:rsidRPr="00082ECC">
        <w:t>, supra note 1</w:t>
      </w:r>
      <w:r w:rsidR="00BB3730" w:rsidRPr="00082ECC">
        <w:t>1</w:t>
      </w:r>
      <w:r w:rsidRPr="00082ECC">
        <w:t>.</w:t>
      </w:r>
    </w:p>
  </w:footnote>
  <w:footnote w:id="34">
    <w:p w14:paraId="7BECF704" w14:textId="7E3E3146" w:rsidR="008525E7" w:rsidRPr="00082ECC" w:rsidRDefault="008525E7">
      <w:pPr>
        <w:pStyle w:val="FootnoteText"/>
      </w:pPr>
      <w:r>
        <w:rPr>
          <w:rStyle w:val="FootnoteReference"/>
        </w:rPr>
        <w:footnoteRef/>
      </w:r>
      <w:r w:rsidRPr="00082ECC">
        <w:t xml:space="preserve"> UN Special Rapporteur, supra note 2</w:t>
      </w:r>
      <w:r w:rsidR="00BB3730" w:rsidRPr="00082ECC">
        <w:t>3</w:t>
      </w:r>
      <w:r w:rsidRPr="00082ECC">
        <w:t xml:space="preserve">. </w:t>
      </w:r>
    </w:p>
  </w:footnote>
  <w:footnote w:id="35">
    <w:p w14:paraId="68B54D3B" w14:textId="622FF91E" w:rsidR="008525E7" w:rsidRPr="00896721" w:rsidRDefault="008525E7">
      <w:pPr>
        <w:pStyle w:val="FootnoteText"/>
      </w:pPr>
      <w:r>
        <w:rPr>
          <w:rStyle w:val="FootnoteReference"/>
        </w:rPr>
        <w:footnoteRef/>
      </w:r>
      <w:r w:rsidRPr="00896721">
        <w:t xml:space="preserve"> Ibid.</w:t>
      </w:r>
    </w:p>
  </w:footnote>
  <w:footnote w:id="36">
    <w:p w14:paraId="2C2D94B3" w14:textId="0C00F624" w:rsidR="008525E7" w:rsidRPr="003C71F1" w:rsidRDefault="008525E7">
      <w:pPr>
        <w:pStyle w:val="FootnoteText"/>
      </w:pPr>
      <w:r>
        <w:rPr>
          <w:rStyle w:val="FootnoteReference"/>
        </w:rPr>
        <w:footnoteRef/>
      </w:r>
      <w:r w:rsidRPr="003C71F1">
        <w:t xml:space="preserve"> </w:t>
      </w:r>
      <w:r w:rsidRPr="00FA7558">
        <w:t xml:space="preserve">Kate </w:t>
      </w:r>
      <w:proofErr w:type="spellStart"/>
      <w:r w:rsidRPr="00FA7558">
        <w:t>Hodal</w:t>
      </w:r>
      <w:proofErr w:type="spellEnd"/>
      <w:r w:rsidRPr="00FA7558">
        <w:t>, ‘Mauritanian presidential hopeful arrested amid fears of political foul play</w:t>
      </w:r>
      <w:r>
        <w:t xml:space="preserve">’, </w:t>
      </w:r>
      <w:r>
        <w:rPr>
          <w:i/>
          <w:iCs/>
        </w:rPr>
        <w:t xml:space="preserve">The Guardian, </w:t>
      </w:r>
      <w:r>
        <w:t xml:space="preserve">9 August 2018, </w:t>
      </w:r>
      <w:hyperlink r:id="rId7" w:history="1">
        <w:r>
          <w:rPr>
            <w:rStyle w:val="Hyperlink"/>
          </w:rPr>
          <w:t>https://www.theguardian.com/global-development/2018/aug/09/biram-dah-abeid-mauritanian-presidential-hopeful-arrested-fears-political-foul-play</w:t>
        </w:r>
      </w:hyperlink>
    </w:p>
  </w:footnote>
  <w:footnote w:id="37">
    <w:p w14:paraId="4847C2F8" w14:textId="43839714" w:rsidR="008525E7" w:rsidRPr="00590236" w:rsidRDefault="008525E7" w:rsidP="00C143CC">
      <w:pPr>
        <w:pStyle w:val="FootnoteText"/>
        <w:rPr>
          <w:lang w:val="fr-FR"/>
        </w:rPr>
      </w:pPr>
      <w:r>
        <w:rPr>
          <w:rStyle w:val="FootnoteReference"/>
        </w:rPr>
        <w:footnoteRef/>
      </w:r>
      <w:r w:rsidRPr="00590236">
        <w:rPr>
          <w:lang w:val="fr-FR"/>
        </w:rPr>
        <w:t xml:space="preserve"> UN </w:t>
      </w:r>
      <w:proofErr w:type="spellStart"/>
      <w:r w:rsidRPr="00590236">
        <w:rPr>
          <w:lang w:val="fr-FR"/>
        </w:rPr>
        <w:t>Special</w:t>
      </w:r>
      <w:proofErr w:type="spellEnd"/>
      <w:r w:rsidRPr="00590236">
        <w:rPr>
          <w:lang w:val="fr-FR"/>
        </w:rPr>
        <w:t xml:space="preserve"> Rapporteur, supra note </w:t>
      </w:r>
      <w:r>
        <w:rPr>
          <w:lang w:val="fr-FR"/>
        </w:rPr>
        <w:t>2</w:t>
      </w:r>
      <w:r w:rsidR="009A4CE1">
        <w:rPr>
          <w:lang w:val="fr-FR"/>
        </w:rPr>
        <w:t>3</w:t>
      </w:r>
      <w:r w:rsidRPr="00590236">
        <w:rPr>
          <w:lang w:val="fr-FR"/>
        </w:rPr>
        <w:t>.</w:t>
      </w:r>
    </w:p>
  </w:footnote>
  <w:footnote w:id="38">
    <w:p w14:paraId="116F8FFE" w14:textId="77777777" w:rsidR="008525E7" w:rsidRPr="008D7E3F" w:rsidRDefault="008525E7" w:rsidP="00C91339">
      <w:pPr>
        <w:pStyle w:val="FootnoteText"/>
        <w:rPr>
          <w:lang w:val="fr-FR"/>
        </w:rPr>
      </w:pPr>
      <w:r>
        <w:rPr>
          <w:rStyle w:val="FootnoteReference"/>
        </w:rPr>
        <w:footnoteRef/>
      </w:r>
      <w:r w:rsidRPr="008D7E3F">
        <w:rPr>
          <w:lang w:val="fr-FR"/>
        </w:rPr>
        <w:t xml:space="preserve"> Ibid.</w:t>
      </w:r>
    </w:p>
  </w:footnote>
  <w:footnote w:id="39">
    <w:p w14:paraId="092B276A" w14:textId="77777777" w:rsidR="008525E7" w:rsidRPr="008D7E3F" w:rsidRDefault="008525E7" w:rsidP="00C91339">
      <w:pPr>
        <w:pStyle w:val="FootnoteText"/>
        <w:rPr>
          <w:lang w:val="fr-FR"/>
        </w:rPr>
      </w:pPr>
      <w:r>
        <w:rPr>
          <w:rStyle w:val="FootnoteReference"/>
        </w:rPr>
        <w:footnoteRef/>
      </w:r>
      <w:r w:rsidRPr="008D7E3F">
        <w:rPr>
          <w:lang w:val="fr-FR"/>
        </w:rPr>
        <w:t xml:space="preserve"> Ibid.</w:t>
      </w:r>
    </w:p>
  </w:footnote>
  <w:footnote w:id="40">
    <w:p w14:paraId="1BD14844" w14:textId="77777777" w:rsidR="008525E7" w:rsidRPr="00FA7558" w:rsidRDefault="008525E7" w:rsidP="00C91339">
      <w:pPr>
        <w:pStyle w:val="FootnoteText"/>
        <w:rPr>
          <w:lang w:val="fr-FR"/>
        </w:rPr>
      </w:pPr>
      <w:r>
        <w:rPr>
          <w:rStyle w:val="FootnoteReference"/>
        </w:rPr>
        <w:footnoteRef/>
      </w:r>
      <w:r w:rsidRPr="00FA7558">
        <w:rPr>
          <w:lang w:val="fr-FR"/>
        </w:rPr>
        <w:t xml:space="preserve"> </w:t>
      </w:r>
      <w:r>
        <w:rPr>
          <w:lang w:val="fr-FR"/>
        </w:rPr>
        <w:t xml:space="preserve">UN </w:t>
      </w:r>
      <w:proofErr w:type="spellStart"/>
      <w:r>
        <w:rPr>
          <w:lang w:val="fr-FR"/>
        </w:rPr>
        <w:t>Working</w:t>
      </w:r>
      <w:proofErr w:type="spellEnd"/>
      <w:r>
        <w:rPr>
          <w:lang w:val="fr-FR"/>
        </w:rPr>
        <w:t xml:space="preserve"> Group on </w:t>
      </w:r>
      <w:proofErr w:type="spellStart"/>
      <w:r>
        <w:rPr>
          <w:lang w:val="fr-FR"/>
        </w:rPr>
        <w:t>Arbitrary</w:t>
      </w:r>
      <w:proofErr w:type="spellEnd"/>
      <w:r>
        <w:rPr>
          <w:lang w:val="fr-FR"/>
        </w:rPr>
        <w:t xml:space="preserve"> </w:t>
      </w:r>
      <w:proofErr w:type="spellStart"/>
      <w:r>
        <w:rPr>
          <w:lang w:val="fr-FR"/>
        </w:rPr>
        <w:t>Detention</w:t>
      </w:r>
      <w:proofErr w:type="spellEnd"/>
      <w:r>
        <w:rPr>
          <w:lang w:val="fr-FR"/>
        </w:rPr>
        <w:t xml:space="preserve">, </w:t>
      </w:r>
      <w:r w:rsidRPr="008D7E3F">
        <w:rPr>
          <w:i/>
          <w:iCs/>
          <w:lang w:val="fr-FR"/>
        </w:rPr>
        <w:t xml:space="preserve">Avis adoptés par le Groupe de travail sur la détention arbitraire à sa 76ième session, 22-26 août 2016 Avis no 36/2016 concernant </w:t>
      </w:r>
      <w:proofErr w:type="spellStart"/>
      <w:r w:rsidRPr="008D7E3F">
        <w:rPr>
          <w:i/>
          <w:iCs/>
          <w:lang w:val="fr-FR"/>
        </w:rPr>
        <w:t>Biram</w:t>
      </w:r>
      <w:proofErr w:type="spellEnd"/>
      <w:r w:rsidRPr="008D7E3F">
        <w:rPr>
          <w:i/>
          <w:iCs/>
          <w:lang w:val="fr-FR"/>
        </w:rPr>
        <w:t xml:space="preserve"> </w:t>
      </w:r>
      <w:proofErr w:type="spellStart"/>
      <w:r w:rsidRPr="008D7E3F">
        <w:rPr>
          <w:i/>
          <w:iCs/>
          <w:lang w:val="fr-FR"/>
        </w:rPr>
        <w:t>Dah</w:t>
      </w:r>
      <w:proofErr w:type="spellEnd"/>
      <w:r w:rsidRPr="008D7E3F">
        <w:rPr>
          <w:i/>
          <w:iCs/>
          <w:lang w:val="fr-FR"/>
        </w:rPr>
        <w:t xml:space="preserve"> </w:t>
      </w:r>
      <w:proofErr w:type="spellStart"/>
      <w:r w:rsidRPr="008D7E3F">
        <w:rPr>
          <w:i/>
          <w:iCs/>
          <w:lang w:val="fr-FR"/>
        </w:rPr>
        <w:t>Abeid</w:t>
      </w:r>
      <w:proofErr w:type="spellEnd"/>
      <w:r w:rsidRPr="008D7E3F">
        <w:rPr>
          <w:i/>
          <w:iCs/>
          <w:lang w:val="fr-FR"/>
        </w:rPr>
        <w:t xml:space="preserve">, Brahim Bilal </w:t>
      </w:r>
      <w:proofErr w:type="spellStart"/>
      <w:r w:rsidRPr="008D7E3F">
        <w:rPr>
          <w:i/>
          <w:iCs/>
          <w:lang w:val="fr-FR"/>
        </w:rPr>
        <w:t>Ramdane</w:t>
      </w:r>
      <w:proofErr w:type="spellEnd"/>
      <w:r w:rsidRPr="008D7E3F">
        <w:rPr>
          <w:i/>
          <w:iCs/>
          <w:lang w:val="fr-FR"/>
        </w:rPr>
        <w:t xml:space="preserve"> et Djibril Sow (Mauritanie)</w:t>
      </w:r>
      <w:r>
        <w:rPr>
          <w:lang w:val="fr-FR"/>
        </w:rPr>
        <w:t xml:space="preserve">, </w:t>
      </w:r>
      <w:r w:rsidRPr="008D7E3F">
        <w:rPr>
          <w:lang w:val="fr-FR"/>
        </w:rPr>
        <w:t>A/HRC/WGAD/2016</w:t>
      </w:r>
      <w:r>
        <w:rPr>
          <w:lang w:val="fr-FR"/>
        </w:rPr>
        <w:t xml:space="preserve">, 21 </w:t>
      </w:r>
      <w:proofErr w:type="spellStart"/>
      <w:r>
        <w:rPr>
          <w:lang w:val="fr-FR"/>
        </w:rPr>
        <w:t>October</w:t>
      </w:r>
      <w:proofErr w:type="spellEnd"/>
      <w:r>
        <w:rPr>
          <w:lang w:val="fr-FR"/>
        </w:rPr>
        <w:t xml:space="preserve"> 2016.</w:t>
      </w:r>
    </w:p>
  </w:footnote>
  <w:footnote w:id="41">
    <w:p w14:paraId="3CD9EDA9" w14:textId="080F578F" w:rsidR="008525E7" w:rsidRPr="006804FC" w:rsidRDefault="008525E7" w:rsidP="00C911FF">
      <w:pPr>
        <w:pStyle w:val="FootnoteText"/>
      </w:pPr>
      <w:r>
        <w:rPr>
          <w:rStyle w:val="FootnoteReference"/>
        </w:rPr>
        <w:footnoteRef/>
      </w:r>
      <w:r w:rsidRPr="008D7E3F">
        <w:t xml:space="preserve"> UN Special Rapporteur on Contemporary Forms of Slavery,</w:t>
      </w:r>
      <w:r>
        <w:t xml:space="preserve"> ‘</w:t>
      </w:r>
      <w:r w:rsidRPr="008D7E3F">
        <w:t>Mauritanian new anti-slavery law: Effective enforcement is the key – UN rights expert</w:t>
      </w:r>
      <w:r>
        <w:t>’, 21 August 2015,</w:t>
      </w:r>
      <w:r w:rsidRPr="006804FC">
        <w:t xml:space="preserve"> </w:t>
      </w:r>
      <w:hyperlink r:id="rId8" w:history="1">
        <w:r w:rsidRPr="006804FC">
          <w:rPr>
            <w:rStyle w:val="Hyperlink"/>
          </w:rPr>
          <w:t>https://www.ohchr.org/EN/NewsEvents/Pages/DisplayNews.aspx?NewsID=16338&amp;LangID=E</w:t>
        </w:r>
      </w:hyperlink>
    </w:p>
  </w:footnote>
  <w:footnote w:id="42">
    <w:p w14:paraId="1CD71F41" w14:textId="3A696E93" w:rsidR="008525E7" w:rsidRPr="003C71F1" w:rsidRDefault="008525E7">
      <w:pPr>
        <w:pStyle w:val="FootnoteText"/>
      </w:pPr>
      <w:r>
        <w:rPr>
          <w:rStyle w:val="FootnoteReference"/>
        </w:rPr>
        <w:footnoteRef/>
      </w:r>
      <w:r>
        <w:t xml:space="preserve"> </w:t>
      </w:r>
      <w:r w:rsidR="009A4CE1">
        <w:t>‘</w:t>
      </w:r>
      <w:r>
        <w:t xml:space="preserve">Enforcing Mauritania’s Anti-Slavery Legislation: The Continued Failure of the Justice System to Prevent, Protect and Punish’, Gesellschaft </w:t>
      </w:r>
      <w:proofErr w:type="spellStart"/>
      <w:r>
        <w:t>für</w:t>
      </w:r>
      <w:proofErr w:type="spellEnd"/>
      <w:r>
        <w:t xml:space="preserve"> </w:t>
      </w:r>
      <w:proofErr w:type="spellStart"/>
      <w:r>
        <w:t>bedrohtevölker</w:t>
      </w:r>
      <w:proofErr w:type="spellEnd"/>
      <w:r>
        <w:t>, MRGI, Anti-Slavery International, Unrepresented Nations and peoples Organizations, 2015, p. 9.</w:t>
      </w:r>
    </w:p>
  </w:footnote>
  <w:footnote w:id="43">
    <w:p w14:paraId="21A0AEA4" w14:textId="3F6DFD8C" w:rsidR="008525E7" w:rsidRPr="003344A0" w:rsidRDefault="008525E7">
      <w:pPr>
        <w:pStyle w:val="FootnoteText"/>
        <w:rPr>
          <w:lang w:val="es-ES"/>
        </w:rPr>
      </w:pPr>
      <w:r>
        <w:rPr>
          <w:rStyle w:val="FootnoteReference"/>
        </w:rPr>
        <w:footnoteRef/>
      </w:r>
      <w:r w:rsidRPr="003344A0">
        <w:rPr>
          <w:lang w:val="es-ES"/>
        </w:rPr>
        <w:t xml:space="preserve"> Ibid.</w:t>
      </w:r>
    </w:p>
  </w:footnote>
  <w:footnote w:id="44">
    <w:p w14:paraId="3FA21379" w14:textId="20F62D89" w:rsidR="008525E7" w:rsidRPr="003344A0" w:rsidRDefault="008525E7">
      <w:pPr>
        <w:pStyle w:val="FootnoteText"/>
        <w:rPr>
          <w:lang w:val="es-ES"/>
        </w:rPr>
      </w:pPr>
      <w:r>
        <w:rPr>
          <w:rStyle w:val="FootnoteReference"/>
        </w:rPr>
        <w:footnoteRef/>
      </w:r>
      <w:r w:rsidRPr="003344A0">
        <w:rPr>
          <w:lang w:val="es-ES"/>
        </w:rPr>
        <w:t xml:space="preserve"> Ibid.</w:t>
      </w:r>
    </w:p>
  </w:footnote>
  <w:footnote w:id="45">
    <w:p w14:paraId="60FD8DC9" w14:textId="1BAD034B" w:rsidR="008525E7" w:rsidRPr="00082ECC" w:rsidRDefault="008525E7" w:rsidP="004D5CFF">
      <w:pPr>
        <w:pStyle w:val="FootnoteText"/>
        <w:rPr>
          <w:lang w:val="fr-FR"/>
        </w:rPr>
      </w:pPr>
      <w:r>
        <w:rPr>
          <w:rStyle w:val="FootnoteReference"/>
        </w:rPr>
        <w:footnoteRef/>
      </w:r>
      <w:r w:rsidRPr="00082ECC">
        <w:rPr>
          <w:lang w:val="fr-FR"/>
        </w:rPr>
        <w:t xml:space="preserve"> UN </w:t>
      </w:r>
      <w:proofErr w:type="spellStart"/>
      <w:r w:rsidRPr="00082ECC">
        <w:rPr>
          <w:lang w:val="fr-FR"/>
        </w:rPr>
        <w:t>Special</w:t>
      </w:r>
      <w:proofErr w:type="spellEnd"/>
      <w:r w:rsidRPr="00082ECC">
        <w:rPr>
          <w:lang w:val="fr-FR"/>
        </w:rPr>
        <w:t xml:space="preserve"> Rapporteur, supra note 2</w:t>
      </w:r>
      <w:r w:rsidR="009A4CE1" w:rsidRPr="00082ECC">
        <w:rPr>
          <w:lang w:val="fr-FR"/>
        </w:rPr>
        <w:t>3</w:t>
      </w:r>
      <w:r w:rsidRPr="00082ECC">
        <w:rPr>
          <w:lang w:val="fr-FR"/>
        </w:rPr>
        <w:t>.</w:t>
      </w:r>
    </w:p>
  </w:footnote>
  <w:footnote w:id="46">
    <w:p w14:paraId="62AA03D2" w14:textId="24E454C2" w:rsidR="008525E7" w:rsidRPr="00ED23BE" w:rsidRDefault="008525E7">
      <w:pPr>
        <w:pStyle w:val="FootnoteText"/>
      </w:pPr>
      <w:r>
        <w:rPr>
          <w:rStyle w:val="FootnoteReference"/>
        </w:rPr>
        <w:footnoteRef/>
      </w:r>
      <w:r w:rsidRPr="00ED23BE">
        <w:t xml:space="preserve"> Ibid.</w:t>
      </w:r>
    </w:p>
  </w:footnote>
  <w:footnote w:id="47">
    <w:p w14:paraId="2874953C" w14:textId="193EDD1F" w:rsidR="008525E7" w:rsidRPr="00CB5924" w:rsidRDefault="008525E7">
      <w:pPr>
        <w:pStyle w:val="FootnoteText"/>
      </w:pPr>
      <w:r>
        <w:rPr>
          <w:rStyle w:val="FootnoteReference"/>
        </w:rPr>
        <w:footnoteRef/>
      </w:r>
      <w:r w:rsidRPr="00CB5924">
        <w:t xml:space="preserve"> Enforcing Mauritania’s Anti-Slavery Legislation, supra note </w:t>
      </w:r>
      <w:r>
        <w:t>4</w:t>
      </w:r>
      <w:r w:rsidRPr="00CB5924">
        <w:t>2, p. 10.</w:t>
      </w:r>
    </w:p>
  </w:footnote>
  <w:footnote w:id="48">
    <w:p w14:paraId="4446F380" w14:textId="126B201C" w:rsidR="008525E7" w:rsidRPr="003C71F1" w:rsidRDefault="008525E7">
      <w:pPr>
        <w:pStyle w:val="FootnoteText"/>
      </w:pPr>
      <w:r>
        <w:rPr>
          <w:rStyle w:val="FootnoteReference"/>
        </w:rPr>
        <w:footnoteRef/>
      </w:r>
      <w:r w:rsidRPr="003C71F1">
        <w:t xml:space="preserve"> </w:t>
      </w:r>
      <w:r>
        <w:t xml:space="preserve">US 2019 TIP Report, supra note </w:t>
      </w:r>
      <w:r w:rsidR="009A4CE1">
        <w:t>5</w:t>
      </w:r>
      <w:r>
        <w:t>, p. 319.</w:t>
      </w:r>
    </w:p>
  </w:footnote>
  <w:footnote w:id="49">
    <w:p w14:paraId="0FDFF789" w14:textId="5BC8F12B" w:rsidR="008525E7" w:rsidRPr="003C71F1" w:rsidRDefault="008525E7">
      <w:pPr>
        <w:pStyle w:val="FootnoteText"/>
      </w:pPr>
      <w:r>
        <w:rPr>
          <w:rStyle w:val="FootnoteReference"/>
        </w:rPr>
        <w:footnoteRef/>
      </w:r>
      <w:r w:rsidRPr="003C71F1">
        <w:t xml:space="preserve"> </w:t>
      </w:r>
      <w:r w:rsidRPr="00FA7558">
        <w:t>2015 Anti-Slavery Act</w:t>
      </w:r>
      <w:r>
        <w:t>,</w:t>
      </w:r>
      <w:r w:rsidRPr="00FA7558">
        <w:t xml:space="preserve"> see supra note </w:t>
      </w:r>
      <w:r w:rsidR="009A4CE1">
        <w:t>5</w:t>
      </w:r>
      <w:r w:rsidRPr="00FA7558">
        <w:t>.</w:t>
      </w:r>
    </w:p>
  </w:footnote>
  <w:footnote w:id="50">
    <w:p w14:paraId="3BFA50A4" w14:textId="2DABDB37" w:rsidR="00207818" w:rsidRDefault="00207818">
      <w:pPr>
        <w:pStyle w:val="FootnoteText"/>
      </w:pPr>
      <w:r>
        <w:rPr>
          <w:rStyle w:val="FootnoteReference"/>
        </w:rPr>
        <w:footnoteRef/>
      </w:r>
      <w:r>
        <w:t xml:space="preserve"> </w:t>
      </w:r>
      <w:hyperlink r:id="rId9" w:history="1">
        <w:r w:rsidRPr="00207818">
          <w:rPr>
            <w:rStyle w:val="Hyperlink"/>
          </w:rPr>
          <w:t>https://www.antislavery.org/mauritania-legal-win/</w:t>
        </w:r>
      </w:hyperlink>
    </w:p>
  </w:footnote>
  <w:footnote w:id="51">
    <w:p w14:paraId="3F9FA71E" w14:textId="0A509D62" w:rsidR="008525E7" w:rsidRPr="00FA7558" w:rsidRDefault="008525E7" w:rsidP="00267FD5">
      <w:pPr>
        <w:pStyle w:val="FootnoteText"/>
      </w:pPr>
      <w:r>
        <w:rPr>
          <w:rStyle w:val="FootnoteReference"/>
        </w:rPr>
        <w:footnoteRef/>
      </w:r>
      <w:r w:rsidRPr="00FA7558">
        <w:t xml:space="preserve"> </w:t>
      </w:r>
      <w:r w:rsidRPr="006804FC">
        <w:t xml:space="preserve">Decision </w:t>
      </w:r>
      <w:r w:rsidRPr="00590236">
        <w:t xml:space="preserve">3/2017 </w:t>
      </w:r>
      <w:r w:rsidRPr="003C71F1">
        <w:t xml:space="preserve">of the </w:t>
      </w:r>
      <w:r>
        <w:t>African Committee of Experts on the Rights and Welfare of the Child, 15 December 2017, supra note 1</w:t>
      </w:r>
      <w:r w:rsidR="009A4CE1">
        <w:t>3</w:t>
      </w:r>
      <w:r>
        <w:t>.</w:t>
      </w:r>
    </w:p>
  </w:footnote>
  <w:footnote w:id="52">
    <w:p w14:paraId="56476ACE" w14:textId="77777777" w:rsidR="008525E7" w:rsidRPr="00FA7558" w:rsidRDefault="008525E7" w:rsidP="00267FD5">
      <w:pPr>
        <w:pStyle w:val="FootnoteText"/>
      </w:pPr>
      <w:r>
        <w:rPr>
          <w:rStyle w:val="FootnoteReference"/>
        </w:rPr>
        <w:footnoteRef/>
      </w:r>
      <w:r w:rsidRPr="00FA7558">
        <w:t xml:space="preserve"> Ibid. </w:t>
      </w:r>
    </w:p>
  </w:footnote>
  <w:footnote w:id="53">
    <w:p w14:paraId="7F524FC4" w14:textId="5BD8779D" w:rsidR="008525E7" w:rsidRPr="00344880" w:rsidRDefault="008525E7" w:rsidP="00344880">
      <w:pPr>
        <w:pStyle w:val="FootnoteText"/>
      </w:pPr>
      <w:r>
        <w:rPr>
          <w:rStyle w:val="FootnoteReference"/>
        </w:rPr>
        <w:footnoteRef/>
      </w:r>
      <w:r>
        <w:t xml:space="preserve"> </w:t>
      </w:r>
      <w:bookmarkStart w:id="11" w:name="_Hlk35354708"/>
      <w:r>
        <w:t xml:space="preserve">F. </w:t>
      </w:r>
      <w:proofErr w:type="spellStart"/>
      <w:r>
        <w:t>Vettraino</w:t>
      </w:r>
      <w:proofErr w:type="spellEnd"/>
      <w:r>
        <w:t xml:space="preserve">, S. Mathewson, ‘Mauritania’s Culture of Impunity for Slavery: Failures </w:t>
      </w:r>
      <w:bookmarkStart w:id="12" w:name="_Hlk35354729"/>
      <w:bookmarkEnd w:id="11"/>
      <w:r>
        <w:t xml:space="preserve">of the Administrative, Police and Justice Systems’, ASI, UNPO and STPI, </w:t>
      </w:r>
      <w:r w:rsidRPr="00344880">
        <w:t>September 2013</w:t>
      </w:r>
      <w:r>
        <w:t>.</w:t>
      </w:r>
    </w:p>
    <w:bookmarkEnd w:id="12"/>
  </w:footnote>
  <w:footnote w:id="54">
    <w:p w14:paraId="3BC872F8" w14:textId="4761707C" w:rsidR="008525E7" w:rsidRPr="006804FC" w:rsidRDefault="008525E7" w:rsidP="00C91339">
      <w:pPr>
        <w:pStyle w:val="FootnoteText"/>
        <w:rPr>
          <w:lang w:val="fr-FR"/>
        </w:rPr>
      </w:pPr>
      <w:r>
        <w:rPr>
          <w:rStyle w:val="FootnoteReference"/>
        </w:rPr>
        <w:footnoteRef/>
      </w:r>
      <w:r w:rsidRPr="006804FC">
        <w:rPr>
          <w:lang w:val="fr-FR"/>
        </w:rPr>
        <w:t xml:space="preserve"> </w:t>
      </w:r>
      <w:r w:rsidRPr="00F70287">
        <w:rPr>
          <w:lang w:val="fr-FR"/>
        </w:rPr>
        <w:t xml:space="preserve">UN </w:t>
      </w:r>
      <w:proofErr w:type="spellStart"/>
      <w:r w:rsidRPr="00F70287">
        <w:rPr>
          <w:lang w:val="fr-FR"/>
        </w:rPr>
        <w:t>Special</w:t>
      </w:r>
      <w:proofErr w:type="spellEnd"/>
      <w:r w:rsidRPr="00F70287">
        <w:rPr>
          <w:lang w:val="fr-FR"/>
        </w:rPr>
        <w:t xml:space="preserve"> Rapporteur, supra note </w:t>
      </w:r>
      <w:r>
        <w:rPr>
          <w:lang w:val="fr-FR"/>
        </w:rPr>
        <w:t>2</w:t>
      </w:r>
      <w:r w:rsidR="009A4CE1">
        <w:rPr>
          <w:lang w:val="fr-FR"/>
        </w:rPr>
        <w:t>3</w:t>
      </w:r>
      <w:r>
        <w:rPr>
          <w:lang w:val="fr-FR"/>
        </w:rPr>
        <w:t>.</w:t>
      </w:r>
    </w:p>
  </w:footnote>
  <w:footnote w:id="55">
    <w:p w14:paraId="1E8D7580" w14:textId="2D29E49A" w:rsidR="008525E7" w:rsidRPr="00F70287" w:rsidRDefault="008525E7">
      <w:pPr>
        <w:pStyle w:val="FootnoteText"/>
        <w:rPr>
          <w:lang w:val="fr-FR"/>
        </w:rPr>
      </w:pPr>
      <w:r>
        <w:rPr>
          <w:rStyle w:val="FootnoteReference"/>
        </w:rPr>
        <w:footnoteRef/>
      </w:r>
      <w:r w:rsidRPr="00F70287">
        <w:rPr>
          <w:lang w:val="fr-FR"/>
        </w:rPr>
        <w:t xml:space="preserve"> UN </w:t>
      </w:r>
      <w:proofErr w:type="spellStart"/>
      <w:r w:rsidRPr="00F70287">
        <w:rPr>
          <w:lang w:val="fr-FR"/>
        </w:rPr>
        <w:t>Special</w:t>
      </w:r>
      <w:proofErr w:type="spellEnd"/>
      <w:r w:rsidRPr="00F70287">
        <w:rPr>
          <w:lang w:val="fr-FR"/>
        </w:rPr>
        <w:t xml:space="preserve"> Rapporteur, supra note </w:t>
      </w:r>
      <w:r>
        <w:rPr>
          <w:lang w:val="fr-FR"/>
        </w:rPr>
        <w:t>2</w:t>
      </w:r>
      <w:r w:rsidR="009A4CE1">
        <w:rPr>
          <w:lang w:val="fr-FR"/>
        </w:rPr>
        <w:t>3</w:t>
      </w:r>
      <w:r w:rsidRPr="00F70287">
        <w:rPr>
          <w:lang w:val="fr-FR"/>
        </w:rPr>
        <w:t>.</w:t>
      </w:r>
    </w:p>
  </w:footnote>
  <w:footnote w:id="56">
    <w:p w14:paraId="0B25C490" w14:textId="7B04B81E" w:rsidR="008525E7" w:rsidRPr="00ED23BE" w:rsidRDefault="008525E7" w:rsidP="008D4D7F">
      <w:pPr>
        <w:pStyle w:val="FootnoteText"/>
      </w:pPr>
      <w:r>
        <w:rPr>
          <w:rStyle w:val="FootnoteReference"/>
        </w:rPr>
        <w:footnoteRef/>
      </w:r>
      <w:r w:rsidRPr="00ED23BE">
        <w:t xml:space="preserve"> Enforcing Mauritania’s Anti-Slavery Legislation, supra note </w:t>
      </w:r>
      <w:r>
        <w:t>4</w:t>
      </w:r>
      <w:r w:rsidRPr="00ED23BE">
        <w:t>2, p. 10.</w:t>
      </w:r>
    </w:p>
  </w:footnote>
  <w:footnote w:id="57">
    <w:p w14:paraId="1836B7BF" w14:textId="48624153" w:rsidR="008525E7" w:rsidRPr="00E82517" w:rsidRDefault="008525E7">
      <w:pPr>
        <w:pStyle w:val="FootnoteText"/>
      </w:pPr>
      <w:r>
        <w:rPr>
          <w:rStyle w:val="FootnoteReference"/>
        </w:rPr>
        <w:footnoteRef/>
      </w:r>
      <w:r>
        <w:t xml:space="preserve"> US 2019 TIP Report, supra note </w:t>
      </w:r>
      <w:r w:rsidR="009A4CE1">
        <w:t>5</w:t>
      </w:r>
      <w:r w:rsidRPr="00E82517">
        <w:t>.</w:t>
      </w:r>
    </w:p>
  </w:footnote>
  <w:footnote w:id="58">
    <w:p w14:paraId="1721B595" w14:textId="73CA39E0" w:rsidR="008525E7" w:rsidRPr="00410A5C" w:rsidRDefault="008525E7">
      <w:pPr>
        <w:pStyle w:val="FootnoteText"/>
        <w:rPr>
          <w:lang w:val="fr-FR"/>
        </w:rPr>
      </w:pPr>
      <w:r>
        <w:rPr>
          <w:rStyle w:val="FootnoteReference"/>
        </w:rPr>
        <w:footnoteRef/>
      </w:r>
      <w:r w:rsidRPr="00E82517">
        <w:rPr>
          <w:lang w:val="fr-FR"/>
        </w:rPr>
        <w:t xml:space="preserve"> Lotte </w:t>
      </w:r>
      <w:proofErr w:type="spellStart"/>
      <w:r w:rsidRPr="00E82517">
        <w:rPr>
          <w:lang w:val="fr-FR"/>
        </w:rPr>
        <w:t>Pelckmans</w:t>
      </w:r>
      <w:proofErr w:type="spellEnd"/>
      <w:r w:rsidRPr="00E82517">
        <w:rPr>
          <w:lang w:val="fr-FR"/>
        </w:rPr>
        <w:t xml:space="preserve">, </w:t>
      </w:r>
      <w:r>
        <w:rPr>
          <w:lang w:val="fr-FR"/>
        </w:rPr>
        <w:t xml:space="preserve">supra note </w:t>
      </w:r>
      <w:r w:rsidR="009A4CE1">
        <w:rPr>
          <w:lang w:val="fr-FR"/>
        </w:rPr>
        <w:t>11</w:t>
      </w:r>
      <w:r w:rsidRPr="00E82517">
        <w:rPr>
          <w:lang w:val="fr-FR"/>
        </w:rPr>
        <w:t xml:space="preserve">. </w:t>
      </w:r>
      <w:proofErr w:type="spellStart"/>
      <w:r w:rsidRPr="00F65030">
        <w:rPr>
          <w:lang w:val="fr-FR"/>
        </w:rPr>
        <w:t>See</w:t>
      </w:r>
      <w:proofErr w:type="spellEnd"/>
      <w:r w:rsidRPr="00F65030">
        <w:rPr>
          <w:lang w:val="fr-FR"/>
        </w:rPr>
        <w:t xml:space="preserve"> </w:t>
      </w:r>
      <w:proofErr w:type="spellStart"/>
      <w:r w:rsidRPr="00F65030">
        <w:rPr>
          <w:lang w:val="fr-FR"/>
        </w:rPr>
        <w:t>also</w:t>
      </w:r>
      <w:proofErr w:type="spellEnd"/>
      <w:r w:rsidRPr="00F65030">
        <w:rPr>
          <w:lang w:val="fr-FR"/>
        </w:rPr>
        <w:t xml:space="preserve"> </w:t>
      </w:r>
      <w:proofErr w:type="spellStart"/>
      <w:r w:rsidRPr="008428A0">
        <w:rPr>
          <w:lang w:val="fr-FR"/>
        </w:rPr>
        <w:t>Ould</w:t>
      </w:r>
      <w:proofErr w:type="spellEnd"/>
      <w:r w:rsidRPr="008428A0">
        <w:rPr>
          <w:lang w:val="fr-FR"/>
        </w:rPr>
        <w:t xml:space="preserve"> Ahmed Salem</w:t>
      </w:r>
      <w:r>
        <w:rPr>
          <w:lang w:val="fr-FR"/>
        </w:rPr>
        <w:t xml:space="preserve">, </w:t>
      </w:r>
      <w:r w:rsidRPr="00F65030">
        <w:rPr>
          <w:lang w:val="fr-FR"/>
        </w:rPr>
        <w:t xml:space="preserve">'Droit du statut personnel et équivalence citoyenne en République Islamique de Mauritanie. </w:t>
      </w:r>
      <w:r w:rsidRPr="0006636B">
        <w:rPr>
          <w:lang w:val="fr-FR"/>
        </w:rPr>
        <w:t xml:space="preserve">Le cas du mariage', 2003, La Pensée, </w:t>
      </w:r>
      <w:proofErr w:type="gramStart"/>
      <w:r w:rsidRPr="0006636B">
        <w:rPr>
          <w:lang w:val="fr-FR"/>
        </w:rPr>
        <w:t>336;</w:t>
      </w:r>
      <w:proofErr w:type="gramEnd"/>
      <w:r w:rsidRPr="0006636B">
        <w:rPr>
          <w:lang w:val="fr-FR"/>
        </w:rPr>
        <w:t xml:space="preserve"> </w:t>
      </w:r>
      <w:proofErr w:type="spellStart"/>
      <w:r w:rsidRPr="0006636B">
        <w:rPr>
          <w:lang w:val="fr-FR"/>
        </w:rPr>
        <w:t>Diamantides</w:t>
      </w:r>
      <w:proofErr w:type="spellEnd"/>
      <w:r w:rsidRPr="0006636B">
        <w:rPr>
          <w:lang w:val="fr-FR"/>
        </w:rPr>
        <w:t xml:space="preserve"> and </w:t>
      </w:r>
      <w:proofErr w:type="spellStart"/>
      <w:r w:rsidRPr="0006636B">
        <w:rPr>
          <w:lang w:val="fr-FR"/>
        </w:rPr>
        <w:t>Gearey</w:t>
      </w:r>
      <w:proofErr w:type="spellEnd"/>
      <w:r w:rsidRPr="0006636B">
        <w:rPr>
          <w:lang w:val="fr-FR"/>
        </w:rPr>
        <w:t xml:space="preserve">, </w:t>
      </w:r>
      <w:r w:rsidRPr="0006636B">
        <w:rPr>
          <w:i/>
          <w:iCs/>
          <w:lang w:val="fr-FR"/>
        </w:rPr>
        <w:t>Islam, Law and Identity</w:t>
      </w:r>
      <w:r w:rsidRPr="0006636B">
        <w:rPr>
          <w:lang w:val="fr-FR"/>
        </w:rPr>
        <w:t>, Routledge, 2012</w:t>
      </w:r>
      <w:r>
        <w:rPr>
          <w:lang w:val="fr-FR"/>
        </w:rPr>
        <w:t>.</w:t>
      </w:r>
    </w:p>
  </w:footnote>
  <w:footnote w:id="59">
    <w:p w14:paraId="6D892EC6" w14:textId="2169ADC6" w:rsidR="008525E7" w:rsidRPr="00082ECC" w:rsidRDefault="008525E7" w:rsidP="008D4D7F">
      <w:pPr>
        <w:pStyle w:val="FootnoteText"/>
        <w:rPr>
          <w:lang w:val="fr-FR"/>
        </w:rPr>
      </w:pPr>
      <w:r>
        <w:rPr>
          <w:rStyle w:val="FootnoteReference"/>
        </w:rPr>
        <w:footnoteRef/>
      </w:r>
      <w:r w:rsidRPr="00082ECC">
        <w:rPr>
          <w:lang w:val="fr-FR"/>
        </w:rPr>
        <w:t xml:space="preserve"> US 2019 TIP Report, supra note </w:t>
      </w:r>
      <w:r w:rsidR="009A4CE1" w:rsidRPr="00082ECC">
        <w:rPr>
          <w:lang w:val="fr-FR"/>
        </w:rPr>
        <w:t>5</w:t>
      </w:r>
      <w:r w:rsidRPr="00082ECC">
        <w:rPr>
          <w:lang w:val="fr-FR"/>
        </w:rPr>
        <w:t>.</w:t>
      </w:r>
    </w:p>
  </w:footnote>
  <w:footnote w:id="60">
    <w:p w14:paraId="45357501" w14:textId="57D9AE7A" w:rsidR="008525E7" w:rsidRPr="00082ECC" w:rsidRDefault="008525E7" w:rsidP="00844809">
      <w:pPr>
        <w:pStyle w:val="FootnoteText"/>
        <w:rPr>
          <w:lang w:val="fr-FR"/>
        </w:rPr>
      </w:pPr>
      <w:r>
        <w:rPr>
          <w:rStyle w:val="FootnoteReference"/>
        </w:rPr>
        <w:footnoteRef/>
      </w:r>
      <w:r w:rsidRPr="00082ECC">
        <w:rPr>
          <w:lang w:val="fr-FR"/>
        </w:rPr>
        <w:t xml:space="preserve"> Ibid.</w:t>
      </w:r>
    </w:p>
  </w:footnote>
  <w:footnote w:id="61">
    <w:p w14:paraId="389CCCC2" w14:textId="55077229" w:rsidR="008525E7" w:rsidRPr="00844809" w:rsidRDefault="008525E7" w:rsidP="008D4D7F">
      <w:pPr>
        <w:pStyle w:val="FootnoteText"/>
      </w:pPr>
      <w:r>
        <w:rPr>
          <w:rStyle w:val="FootnoteReference"/>
        </w:rPr>
        <w:footnoteRef/>
      </w:r>
      <w:r w:rsidRPr="00844809">
        <w:t xml:space="preserve"> Enforcing Mauritania’s Anti-Slavery Legislation, supra note </w:t>
      </w:r>
      <w:r>
        <w:t>42</w:t>
      </w:r>
      <w:r w:rsidRPr="00844809">
        <w:t>, p. 10.</w:t>
      </w:r>
    </w:p>
  </w:footnote>
  <w:footnote w:id="62">
    <w:p w14:paraId="58277934" w14:textId="198305FB" w:rsidR="008525E7" w:rsidRPr="007430DB" w:rsidRDefault="008525E7" w:rsidP="008D4D7F">
      <w:pPr>
        <w:pStyle w:val="FootnoteText"/>
        <w:rPr>
          <w:lang w:val="fr-FR"/>
        </w:rPr>
      </w:pPr>
      <w:r>
        <w:rPr>
          <w:rStyle w:val="FootnoteReference"/>
        </w:rPr>
        <w:footnoteRef/>
      </w:r>
      <w:r w:rsidRPr="007430DB">
        <w:rPr>
          <w:lang w:val="fr-FR"/>
        </w:rPr>
        <w:t xml:space="preserve"> UN </w:t>
      </w:r>
      <w:proofErr w:type="spellStart"/>
      <w:r w:rsidRPr="007430DB">
        <w:rPr>
          <w:lang w:val="fr-FR"/>
        </w:rPr>
        <w:t>Special</w:t>
      </w:r>
      <w:proofErr w:type="spellEnd"/>
      <w:r w:rsidRPr="007430DB">
        <w:rPr>
          <w:lang w:val="fr-FR"/>
        </w:rPr>
        <w:t xml:space="preserve"> Rapporteur, supra note </w:t>
      </w:r>
      <w:r>
        <w:rPr>
          <w:lang w:val="fr-FR"/>
        </w:rPr>
        <w:t>2</w:t>
      </w:r>
      <w:r w:rsidR="009A4CE1">
        <w:rPr>
          <w:lang w:val="fr-FR"/>
        </w:rPr>
        <w:t>3</w:t>
      </w:r>
      <w:r w:rsidRPr="007430DB">
        <w:rPr>
          <w:lang w:val="fr-FR"/>
        </w:rPr>
        <w:t xml:space="preserve">. </w:t>
      </w:r>
    </w:p>
  </w:footnote>
  <w:footnote w:id="63">
    <w:p w14:paraId="7D61A3C4" w14:textId="11B79221" w:rsidR="008525E7" w:rsidRDefault="008525E7" w:rsidP="008D4D7F">
      <w:pPr>
        <w:pStyle w:val="FootnoteText"/>
      </w:pPr>
      <w:r>
        <w:rPr>
          <w:rStyle w:val="FootnoteReference"/>
        </w:rPr>
        <w:footnoteRef/>
      </w:r>
      <w:r>
        <w:t xml:space="preserve"> Enforcing Mauritania’s Anti-Slavery Legislation, supra note 42, p. 10.</w:t>
      </w:r>
    </w:p>
  </w:footnote>
  <w:footnote w:id="64">
    <w:p w14:paraId="25D49B47" w14:textId="77777777" w:rsidR="008525E7" w:rsidRDefault="008525E7" w:rsidP="008D4D7F">
      <w:pPr>
        <w:pStyle w:val="FootnoteText"/>
      </w:pPr>
      <w:r>
        <w:rPr>
          <w:rStyle w:val="FootnoteReference"/>
        </w:rPr>
        <w:footnoteRef/>
      </w:r>
      <w:r>
        <w:t xml:space="preserve"> Ibid.</w:t>
      </w:r>
    </w:p>
  </w:footnote>
  <w:footnote w:id="65">
    <w:p w14:paraId="507B65F1" w14:textId="77777777" w:rsidR="008525E7" w:rsidRDefault="008525E7" w:rsidP="000B4071">
      <w:pPr>
        <w:pStyle w:val="FootnoteText"/>
      </w:pPr>
      <w:r>
        <w:rPr>
          <w:rStyle w:val="FootnoteReference"/>
        </w:rPr>
        <w:footnoteRef/>
      </w:r>
      <w:r>
        <w:t xml:space="preserve"> Ibid, p. 10.</w:t>
      </w:r>
    </w:p>
  </w:footnote>
  <w:footnote w:id="66">
    <w:p w14:paraId="639D08D3" w14:textId="21739043" w:rsidR="008525E7" w:rsidRPr="003C71F1" w:rsidRDefault="008525E7">
      <w:pPr>
        <w:pStyle w:val="FootnoteText"/>
      </w:pPr>
      <w:r>
        <w:rPr>
          <w:rStyle w:val="FootnoteReference"/>
        </w:rPr>
        <w:footnoteRef/>
      </w:r>
      <w:r>
        <w:t xml:space="preserve"> Enforcing Mauritania’s Anti-Slavery Legislation, supra note 42, p. 10.</w:t>
      </w:r>
    </w:p>
  </w:footnote>
  <w:footnote w:id="67">
    <w:p w14:paraId="68E874A2" w14:textId="6D6FB436" w:rsidR="008525E7" w:rsidRPr="003344A0" w:rsidRDefault="008525E7" w:rsidP="000B4071">
      <w:pPr>
        <w:pStyle w:val="FootnoteText"/>
        <w:rPr>
          <w:lang w:val="es-ES"/>
        </w:rPr>
      </w:pPr>
      <w:r>
        <w:rPr>
          <w:rStyle w:val="FootnoteReference"/>
        </w:rPr>
        <w:footnoteRef/>
      </w:r>
      <w:r w:rsidRPr="003344A0">
        <w:rPr>
          <w:lang w:val="es-ES"/>
        </w:rPr>
        <w:t xml:space="preserve"> Ibid.</w:t>
      </w:r>
    </w:p>
  </w:footnote>
  <w:footnote w:id="68">
    <w:p w14:paraId="30009A79" w14:textId="633C592F" w:rsidR="008525E7" w:rsidRPr="00082ECC" w:rsidRDefault="008525E7">
      <w:pPr>
        <w:pStyle w:val="FootnoteText"/>
        <w:rPr>
          <w:lang w:val="fr-FR"/>
        </w:rPr>
      </w:pPr>
      <w:r>
        <w:rPr>
          <w:rStyle w:val="FootnoteReference"/>
        </w:rPr>
        <w:footnoteRef/>
      </w:r>
      <w:r w:rsidRPr="00082ECC">
        <w:rPr>
          <w:lang w:val="fr-FR"/>
        </w:rPr>
        <w:t xml:space="preserve"> UN </w:t>
      </w:r>
      <w:proofErr w:type="spellStart"/>
      <w:r w:rsidRPr="00082ECC">
        <w:rPr>
          <w:lang w:val="fr-FR"/>
        </w:rPr>
        <w:t>Special</w:t>
      </w:r>
      <w:proofErr w:type="spellEnd"/>
      <w:r w:rsidRPr="00082ECC">
        <w:rPr>
          <w:lang w:val="fr-FR"/>
        </w:rPr>
        <w:t xml:space="preserve"> Rapporteur, supra note 2</w:t>
      </w:r>
      <w:r w:rsidR="009A4CE1" w:rsidRPr="00082ECC">
        <w:rPr>
          <w:lang w:val="fr-FR"/>
        </w:rPr>
        <w:t>3</w:t>
      </w:r>
      <w:r w:rsidRPr="00082ECC">
        <w:rPr>
          <w:lang w:val="fr-FR"/>
        </w:rPr>
        <w:t xml:space="preserve">. </w:t>
      </w:r>
    </w:p>
  </w:footnote>
  <w:footnote w:id="69">
    <w:p w14:paraId="68A4EC90" w14:textId="69920FA0" w:rsidR="008525E7" w:rsidRPr="007E06AA" w:rsidRDefault="008525E7">
      <w:pPr>
        <w:pStyle w:val="FootnoteText"/>
      </w:pPr>
      <w:r>
        <w:rPr>
          <w:rStyle w:val="FootnoteReference"/>
        </w:rPr>
        <w:footnoteRef/>
      </w:r>
      <w:r w:rsidRPr="007E06AA">
        <w:t xml:space="preserve"> </w:t>
      </w:r>
      <w:r>
        <w:t>See art. 18 and 21 of the Law</w:t>
      </w:r>
      <w:r w:rsidRPr="0011263A">
        <w:t>.</w:t>
      </w:r>
    </w:p>
  </w:footnote>
  <w:footnote w:id="70">
    <w:p w14:paraId="58951DB0" w14:textId="492CA012" w:rsidR="008525E7" w:rsidRPr="0011263A" w:rsidRDefault="008525E7" w:rsidP="00623749">
      <w:pPr>
        <w:pStyle w:val="FootnoteText"/>
        <w:rPr>
          <w:lang w:val="fr-FR"/>
        </w:rPr>
      </w:pPr>
      <w:r>
        <w:rPr>
          <w:rStyle w:val="FootnoteReference"/>
        </w:rPr>
        <w:footnoteRef/>
      </w:r>
      <w:r w:rsidRPr="00F33468">
        <w:rPr>
          <w:lang w:val="fr-FR"/>
        </w:rPr>
        <w:t xml:space="preserve"> </w:t>
      </w:r>
      <w:r w:rsidRPr="0011263A">
        <w:rPr>
          <w:lang w:val="fr-FR"/>
        </w:rPr>
        <w:t xml:space="preserve">UN </w:t>
      </w:r>
      <w:proofErr w:type="spellStart"/>
      <w:r w:rsidRPr="0011263A">
        <w:rPr>
          <w:lang w:val="fr-FR"/>
        </w:rPr>
        <w:t>Special</w:t>
      </w:r>
      <w:proofErr w:type="spellEnd"/>
      <w:r w:rsidRPr="0011263A">
        <w:rPr>
          <w:lang w:val="fr-FR"/>
        </w:rPr>
        <w:t xml:space="preserve"> Rapporteur, supra note 2</w:t>
      </w:r>
      <w:r w:rsidR="009A4CE1">
        <w:rPr>
          <w:lang w:val="fr-FR"/>
        </w:rPr>
        <w:t>3</w:t>
      </w:r>
      <w:r w:rsidRPr="0011263A">
        <w:rPr>
          <w:lang w:val="fr-FR"/>
        </w:rPr>
        <w:t>.</w:t>
      </w:r>
    </w:p>
  </w:footnote>
  <w:footnote w:id="71">
    <w:p w14:paraId="4F3D5C6D" w14:textId="5F3EB295" w:rsidR="008525E7" w:rsidRPr="003344A0" w:rsidRDefault="008525E7" w:rsidP="008D4D7F">
      <w:pPr>
        <w:pStyle w:val="FootnoteText"/>
        <w:rPr>
          <w:lang w:val="es-ES"/>
        </w:rPr>
      </w:pPr>
      <w:r>
        <w:rPr>
          <w:rStyle w:val="FootnoteReference"/>
        </w:rPr>
        <w:footnoteRef/>
      </w:r>
      <w:r w:rsidRPr="003344A0">
        <w:rPr>
          <w:lang w:val="es-ES"/>
        </w:rPr>
        <w:t xml:space="preserve"> Ibid. </w:t>
      </w:r>
    </w:p>
  </w:footnote>
  <w:footnote w:id="72">
    <w:p w14:paraId="353E94F2" w14:textId="0387E45D" w:rsidR="008525E7" w:rsidRPr="00F25458" w:rsidRDefault="008525E7">
      <w:pPr>
        <w:pStyle w:val="FootnoteText"/>
      </w:pPr>
      <w:r>
        <w:rPr>
          <w:rStyle w:val="FootnoteReference"/>
        </w:rPr>
        <w:footnoteRef/>
      </w:r>
      <w:r>
        <w:t xml:space="preserve"> </w:t>
      </w:r>
      <w:r w:rsidRPr="006804FC">
        <w:t xml:space="preserve">Decision </w:t>
      </w:r>
      <w:r w:rsidRPr="00590236">
        <w:t xml:space="preserve">3/2017 </w:t>
      </w:r>
      <w:r w:rsidRPr="003C71F1">
        <w:t xml:space="preserve">of the </w:t>
      </w:r>
      <w:r>
        <w:t>African Committee of Experts on the Rights and Welfare of the Child, 15 December 2017, supra note 1</w:t>
      </w:r>
      <w:r w:rsidR="009A4CE1">
        <w:t>3</w:t>
      </w:r>
      <w:r>
        <w:t>.</w:t>
      </w:r>
    </w:p>
  </w:footnote>
  <w:footnote w:id="73">
    <w:p w14:paraId="174683AD" w14:textId="1DE7CC69" w:rsidR="008525E7" w:rsidRPr="00344880" w:rsidRDefault="008525E7">
      <w:pPr>
        <w:pStyle w:val="FootnoteText"/>
      </w:pPr>
      <w:r>
        <w:rPr>
          <w:rStyle w:val="FootnoteReference"/>
        </w:rPr>
        <w:footnoteRef/>
      </w:r>
      <w:r w:rsidRPr="00344880">
        <w:t xml:space="preserve"> A/HRC/15/20/Add.2, supra note </w:t>
      </w:r>
      <w:r w:rsidR="009A4CE1">
        <w:t>2</w:t>
      </w:r>
      <w:r w:rsidRPr="00344880">
        <w:t>.</w:t>
      </w:r>
    </w:p>
  </w:footnote>
  <w:footnote w:id="74">
    <w:p w14:paraId="065FCD66" w14:textId="7E969888" w:rsidR="008525E7" w:rsidRPr="00082ECC" w:rsidRDefault="008525E7">
      <w:pPr>
        <w:pStyle w:val="FootnoteText"/>
      </w:pPr>
      <w:r>
        <w:rPr>
          <w:rStyle w:val="FootnoteReference"/>
        </w:rPr>
        <w:footnoteRef/>
      </w:r>
      <w:r w:rsidRPr="00082ECC">
        <w:t xml:space="preserve"> UN Special Rapporteur, supra note 2</w:t>
      </w:r>
      <w:r w:rsidR="009A4CE1" w:rsidRPr="00082ECC">
        <w:t>3</w:t>
      </w:r>
      <w:r w:rsidRPr="00082ECC">
        <w:t>.</w:t>
      </w:r>
    </w:p>
  </w:footnote>
  <w:footnote w:id="75">
    <w:p w14:paraId="482E7E65" w14:textId="4443AC6F" w:rsidR="008525E7" w:rsidRPr="003C71F1" w:rsidRDefault="008525E7" w:rsidP="00344880">
      <w:pPr>
        <w:pStyle w:val="FootnoteText"/>
      </w:pPr>
      <w:r>
        <w:rPr>
          <w:rStyle w:val="FootnoteReference"/>
        </w:rPr>
        <w:footnoteRef/>
      </w:r>
      <w:r>
        <w:t xml:space="preserve"> </w:t>
      </w:r>
      <w:proofErr w:type="spellStart"/>
      <w:r w:rsidRPr="0048310F">
        <w:rPr>
          <w:i/>
          <w:iCs/>
        </w:rPr>
        <w:t>Rabi’a</w:t>
      </w:r>
      <w:proofErr w:type="spellEnd"/>
      <w:r w:rsidRPr="0048310F">
        <w:rPr>
          <w:i/>
          <w:iCs/>
        </w:rPr>
        <w:t xml:space="preserve"> and her six siblings’</w:t>
      </w:r>
      <w:r>
        <w:t xml:space="preserve"> case, reported in August 2011 in the </w:t>
      </w:r>
      <w:proofErr w:type="spellStart"/>
      <w:r>
        <w:t>Nouhadibou</w:t>
      </w:r>
      <w:proofErr w:type="spellEnd"/>
      <w:r>
        <w:t xml:space="preserve"> Region.</w:t>
      </w:r>
    </w:p>
  </w:footnote>
  <w:footnote w:id="76">
    <w:p w14:paraId="206CBF5C" w14:textId="31701FA5" w:rsidR="008525E7" w:rsidRPr="00C91339" w:rsidRDefault="008525E7" w:rsidP="000B4071">
      <w:pPr>
        <w:pStyle w:val="FootnoteText"/>
      </w:pPr>
      <w:r>
        <w:rPr>
          <w:rStyle w:val="FootnoteReference"/>
        </w:rPr>
        <w:footnoteRef/>
      </w:r>
      <w:r w:rsidRPr="003C71F1">
        <w:t xml:space="preserve"> Enforcing Mauritania’s Ant</w:t>
      </w:r>
      <w:r w:rsidRPr="006804FC">
        <w:t xml:space="preserve">i-Slavery Legislation, supra note </w:t>
      </w:r>
      <w:r>
        <w:t>4</w:t>
      </w:r>
      <w:r w:rsidRPr="006804FC">
        <w:t>2, p. 12.</w:t>
      </w:r>
    </w:p>
  </w:footnote>
  <w:footnote w:id="77">
    <w:p w14:paraId="5400675D" w14:textId="65BB006F" w:rsidR="008525E7" w:rsidRPr="0048310F" w:rsidRDefault="008525E7">
      <w:pPr>
        <w:pStyle w:val="FootnoteText"/>
        <w:rPr>
          <w:lang w:val="fr-FR"/>
        </w:rPr>
      </w:pPr>
      <w:r>
        <w:rPr>
          <w:rStyle w:val="FootnoteReference"/>
        </w:rPr>
        <w:footnoteRef/>
      </w:r>
      <w:r w:rsidRPr="0048310F">
        <w:rPr>
          <w:lang w:val="fr-FR"/>
        </w:rPr>
        <w:t xml:space="preserve"> </w:t>
      </w:r>
      <w:r w:rsidRPr="008A0BE0">
        <w:rPr>
          <w:lang w:val="fr-FR"/>
        </w:rPr>
        <w:t xml:space="preserve">UN </w:t>
      </w:r>
      <w:proofErr w:type="spellStart"/>
      <w:r w:rsidRPr="008A0BE0">
        <w:rPr>
          <w:lang w:val="fr-FR"/>
        </w:rPr>
        <w:t>Special</w:t>
      </w:r>
      <w:proofErr w:type="spellEnd"/>
      <w:r w:rsidRPr="008A0BE0">
        <w:rPr>
          <w:lang w:val="fr-FR"/>
        </w:rPr>
        <w:t xml:space="preserve"> Rapporteur, supra note </w:t>
      </w:r>
      <w:r>
        <w:rPr>
          <w:lang w:val="fr-FR"/>
        </w:rPr>
        <w:t>2</w:t>
      </w:r>
      <w:r w:rsidR="009A4CE1">
        <w:rPr>
          <w:lang w:val="fr-FR"/>
        </w:rPr>
        <w:t>3</w:t>
      </w:r>
      <w:r>
        <w:rPr>
          <w:lang w:val="fr-FR"/>
        </w:rPr>
        <w:t>.</w:t>
      </w:r>
    </w:p>
  </w:footnote>
  <w:footnote w:id="78">
    <w:p w14:paraId="3EB582BD" w14:textId="43CDF0FE" w:rsidR="008525E7" w:rsidRPr="003344A0" w:rsidRDefault="008525E7">
      <w:pPr>
        <w:pStyle w:val="FootnoteText"/>
        <w:rPr>
          <w:lang w:val="es-ES"/>
        </w:rPr>
      </w:pPr>
      <w:r>
        <w:rPr>
          <w:rStyle w:val="FootnoteReference"/>
        </w:rPr>
        <w:footnoteRef/>
      </w:r>
      <w:r w:rsidRPr="003344A0">
        <w:rPr>
          <w:lang w:val="es-ES"/>
        </w:rPr>
        <w:t xml:space="preserve"> Ibid.</w:t>
      </w:r>
    </w:p>
  </w:footnote>
  <w:footnote w:id="79">
    <w:p w14:paraId="41D11DA3" w14:textId="5A5C1C1E" w:rsidR="008525E7" w:rsidRPr="002656AE" w:rsidRDefault="008525E7">
      <w:pPr>
        <w:pStyle w:val="FootnoteText"/>
      </w:pPr>
      <w:r>
        <w:rPr>
          <w:rStyle w:val="FootnoteReference"/>
        </w:rPr>
        <w:footnoteRef/>
      </w:r>
      <w:r w:rsidRPr="002656AE">
        <w:t xml:space="preserve"> </w:t>
      </w:r>
      <w:r>
        <w:t xml:space="preserve">Ibid. </w:t>
      </w:r>
    </w:p>
  </w:footnote>
  <w:footnote w:id="80">
    <w:p w14:paraId="76FB9844" w14:textId="72ADFEF1" w:rsidR="008525E7" w:rsidRPr="00202A6A" w:rsidRDefault="008525E7">
      <w:pPr>
        <w:pStyle w:val="FootnoteText"/>
      </w:pPr>
      <w:r>
        <w:rPr>
          <w:rStyle w:val="FootnoteReference"/>
        </w:rPr>
        <w:footnoteRef/>
      </w:r>
      <w:r>
        <w:t xml:space="preserve"> US 2019 TIP Report, supra note </w:t>
      </w:r>
      <w:r w:rsidR="009A4CE1">
        <w:t>5.</w:t>
      </w:r>
    </w:p>
  </w:footnote>
  <w:footnote w:id="81">
    <w:p w14:paraId="185B94BE" w14:textId="1F07B13B" w:rsidR="008525E7" w:rsidRDefault="008525E7">
      <w:pPr>
        <w:pStyle w:val="FootnoteText"/>
      </w:pPr>
      <w:r>
        <w:rPr>
          <w:rStyle w:val="FootnoteReference"/>
        </w:rPr>
        <w:footnoteRef/>
      </w:r>
      <w:r>
        <w:t xml:space="preserve"> Ibid.</w:t>
      </w:r>
    </w:p>
  </w:footnote>
  <w:footnote w:id="82">
    <w:p w14:paraId="2B61474A" w14:textId="51FE1103" w:rsidR="008525E7" w:rsidRPr="00F97145" w:rsidRDefault="008525E7" w:rsidP="001C712C">
      <w:pPr>
        <w:autoSpaceDE w:val="0"/>
        <w:autoSpaceDN w:val="0"/>
        <w:adjustRightInd w:val="0"/>
        <w:spacing w:after="0" w:line="240" w:lineRule="auto"/>
        <w:rPr>
          <w:sz w:val="20"/>
          <w:szCs w:val="20"/>
        </w:rPr>
      </w:pPr>
      <w:r>
        <w:rPr>
          <w:rStyle w:val="FootnoteReference"/>
        </w:rPr>
        <w:footnoteRef/>
      </w:r>
      <w:r>
        <w:t xml:space="preserve"> </w:t>
      </w:r>
      <w:r>
        <w:rPr>
          <w:sz w:val="20"/>
          <w:szCs w:val="20"/>
        </w:rPr>
        <w:t>See</w:t>
      </w:r>
      <w:r w:rsidRPr="007618AD">
        <w:rPr>
          <w:sz w:val="20"/>
          <w:szCs w:val="20"/>
        </w:rPr>
        <w:t xml:space="preserve"> </w:t>
      </w:r>
      <w:r>
        <w:rPr>
          <w:sz w:val="20"/>
          <w:szCs w:val="20"/>
        </w:rPr>
        <w:t xml:space="preserve">William John </w:t>
      </w:r>
      <w:proofErr w:type="spellStart"/>
      <w:r>
        <w:rPr>
          <w:sz w:val="20"/>
          <w:szCs w:val="20"/>
        </w:rPr>
        <w:t>Sersen</w:t>
      </w:r>
      <w:proofErr w:type="spellEnd"/>
      <w:r>
        <w:rPr>
          <w:sz w:val="20"/>
          <w:szCs w:val="20"/>
        </w:rPr>
        <w:t>, “</w:t>
      </w:r>
      <w:r w:rsidRPr="007618AD">
        <w:rPr>
          <w:sz w:val="20"/>
          <w:szCs w:val="20"/>
        </w:rPr>
        <w:t>Stereotypes</w:t>
      </w:r>
      <w:r>
        <w:rPr>
          <w:sz w:val="20"/>
          <w:szCs w:val="20"/>
        </w:rPr>
        <w:t xml:space="preserve"> </w:t>
      </w:r>
      <w:r w:rsidRPr="007618AD">
        <w:rPr>
          <w:sz w:val="20"/>
          <w:szCs w:val="20"/>
        </w:rPr>
        <w:t>and Attitudes towards Slaves</w:t>
      </w:r>
      <w:r>
        <w:rPr>
          <w:sz w:val="20"/>
          <w:szCs w:val="20"/>
        </w:rPr>
        <w:t xml:space="preserve"> </w:t>
      </w:r>
      <w:r w:rsidRPr="007618AD">
        <w:rPr>
          <w:sz w:val="20"/>
          <w:szCs w:val="20"/>
        </w:rPr>
        <w:t>in</w:t>
      </w:r>
      <w:r>
        <w:rPr>
          <w:sz w:val="20"/>
          <w:szCs w:val="20"/>
        </w:rPr>
        <w:t xml:space="preserve"> </w:t>
      </w:r>
      <w:r w:rsidRPr="007618AD">
        <w:rPr>
          <w:sz w:val="20"/>
          <w:szCs w:val="20"/>
        </w:rPr>
        <w:t>Arabic Proverbs</w:t>
      </w:r>
      <w:r>
        <w:rPr>
          <w:sz w:val="20"/>
          <w:szCs w:val="20"/>
        </w:rPr>
        <w:t>”</w:t>
      </w:r>
      <w:r w:rsidRPr="007618AD">
        <w:rPr>
          <w:sz w:val="20"/>
          <w:szCs w:val="20"/>
        </w:rPr>
        <w:t xml:space="preserve">, in John Ralf Willis, </w:t>
      </w:r>
      <w:r w:rsidRPr="007618AD">
        <w:rPr>
          <w:i/>
          <w:iCs/>
          <w:sz w:val="20"/>
          <w:szCs w:val="20"/>
        </w:rPr>
        <w:t>Salves and Slavery in Muslim Africa</w:t>
      </w:r>
      <w:r w:rsidRPr="007618AD">
        <w:rPr>
          <w:sz w:val="20"/>
          <w:szCs w:val="20"/>
        </w:rPr>
        <w:t xml:space="preserve">, </w:t>
      </w:r>
      <w:r w:rsidRPr="007618AD">
        <w:rPr>
          <w:i/>
          <w:iCs/>
          <w:sz w:val="20"/>
          <w:szCs w:val="20"/>
        </w:rPr>
        <w:t xml:space="preserve">Vol. 2, The Servile State, </w:t>
      </w:r>
      <w:r w:rsidRPr="007618AD">
        <w:rPr>
          <w:sz w:val="20"/>
          <w:szCs w:val="20"/>
        </w:rPr>
        <w:t xml:space="preserve">Routledge, 2013, pp. 92-105; Mervyn </w:t>
      </w:r>
      <w:proofErr w:type="spellStart"/>
      <w:r w:rsidRPr="007618AD">
        <w:rPr>
          <w:sz w:val="20"/>
          <w:szCs w:val="20"/>
        </w:rPr>
        <w:t>Hiskett</w:t>
      </w:r>
      <w:proofErr w:type="spellEnd"/>
      <w:r>
        <w:rPr>
          <w:sz w:val="20"/>
          <w:szCs w:val="20"/>
        </w:rPr>
        <w:t>, ‘</w:t>
      </w:r>
      <w:r w:rsidRPr="007618AD">
        <w:rPr>
          <w:sz w:val="20"/>
          <w:szCs w:val="20"/>
        </w:rPr>
        <w:t>The Image of Slaves in Hausa Literature</w:t>
      </w:r>
      <w:r>
        <w:rPr>
          <w:sz w:val="20"/>
          <w:szCs w:val="20"/>
        </w:rPr>
        <w:t xml:space="preserve">’, in </w:t>
      </w:r>
      <w:r w:rsidRPr="007618AD">
        <w:rPr>
          <w:sz w:val="20"/>
          <w:szCs w:val="20"/>
        </w:rPr>
        <w:t xml:space="preserve">John Ralf Willis, </w:t>
      </w:r>
      <w:r w:rsidRPr="007618AD">
        <w:rPr>
          <w:i/>
          <w:iCs/>
          <w:sz w:val="20"/>
          <w:szCs w:val="20"/>
        </w:rPr>
        <w:t>Salves and Slavery in Muslim Africa</w:t>
      </w:r>
      <w:r w:rsidRPr="007618AD">
        <w:rPr>
          <w:sz w:val="20"/>
          <w:szCs w:val="20"/>
        </w:rPr>
        <w:t xml:space="preserve">, </w:t>
      </w:r>
      <w:r w:rsidRPr="007618AD">
        <w:rPr>
          <w:i/>
          <w:iCs/>
          <w:sz w:val="20"/>
          <w:szCs w:val="20"/>
        </w:rPr>
        <w:t xml:space="preserve">Vol. 2, The Servile State, </w:t>
      </w:r>
      <w:r w:rsidRPr="007618AD">
        <w:rPr>
          <w:sz w:val="20"/>
          <w:szCs w:val="20"/>
        </w:rPr>
        <w:t xml:space="preserve">Routledge, 2013, pp. </w:t>
      </w:r>
      <w:r>
        <w:rPr>
          <w:sz w:val="20"/>
          <w:szCs w:val="20"/>
        </w:rPr>
        <w:t xml:space="preserve">106-124. </w:t>
      </w:r>
    </w:p>
  </w:footnote>
  <w:footnote w:id="83">
    <w:p w14:paraId="3888620A" w14:textId="488B6830" w:rsidR="00965F14" w:rsidRPr="00965F14" w:rsidRDefault="00965F14">
      <w:pPr>
        <w:pStyle w:val="FootnoteText"/>
      </w:pPr>
      <w:r>
        <w:rPr>
          <w:rStyle w:val="FootnoteReference"/>
        </w:rPr>
        <w:footnoteRef/>
      </w:r>
      <w:r>
        <w:t xml:space="preserve"> Anti-Slavery International, MRGI, SOS-</w:t>
      </w:r>
      <w:proofErr w:type="spellStart"/>
      <w:r>
        <w:t>Esclaves</w:t>
      </w:r>
      <w:proofErr w:type="spellEnd"/>
      <w:r w:rsidRPr="00CB5924">
        <w:t xml:space="preserve">, Joint submission for the Universal Periodic Review of Mauritania, </w:t>
      </w:r>
      <w:r>
        <w:t>supra note 1</w:t>
      </w:r>
      <w:r w:rsidR="009A4CE1">
        <w:t>5</w:t>
      </w:r>
      <w:r>
        <w:t>, p. 5.</w:t>
      </w:r>
    </w:p>
  </w:footnote>
  <w:footnote w:id="84">
    <w:p w14:paraId="18D8ED03" w14:textId="796C9539" w:rsidR="008525E7" w:rsidRDefault="008525E7">
      <w:pPr>
        <w:pStyle w:val="FootnoteText"/>
      </w:pPr>
      <w:r>
        <w:rPr>
          <w:rStyle w:val="FootnoteReference"/>
        </w:rPr>
        <w:footnoteRef/>
      </w:r>
      <w:r>
        <w:t xml:space="preserve"> </w:t>
      </w:r>
      <w:r w:rsidRPr="00DE593B">
        <w:t xml:space="preserve">Joel Quirk, Darshan Vigneswaran (Ed.), </w:t>
      </w:r>
      <w:r w:rsidRPr="009177AD">
        <w:rPr>
          <w:i/>
          <w:iCs/>
        </w:rPr>
        <w:t>Slavery, Migration and Contemporary Bondage in Africa</w:t>
      </w:r>
      <w:r w:rsidRPr="00DE593B">
        <w:t>, Africa World Press, 2013</w:t>
      </w:r>
      <w:r>
        <w:t>, p. 15.</w:t>
      </w:r>
    </w:p>
  </w:footnote>
  <w:footnote w:id="85">
    <w:p w14:paraId="63E7734F" w14:textId="3D14A5B5" w:rsidR="00636E0F" w:rsidRDefault="00636E0F">
      <w:pPr>
        <w:pStyle w:val="FootnoteText"/>
      </w:pPr>
      <w:r>
        <w:rPr>
          <w:rStyle w:val="FootnoteReference"/>
        </w:rPr>
        <w:footnoteRef/>
      </w:r>
      <w:r>
        <w:t xml:space="preserve"> </w:t>
      </w:r>
      <w:r w:rsidRPr="00636E0F">
        <w:t>Slavery has existed for centuries in all ethnic communities in Mauritania. It existed before the French colonisation and it then became associated to the colonial period. The institution of slavery, as we understand it in modern-day Mauritania, contains elements of the pre-colonial period but was shaped by colonial and post-colonial developments which have influenced the perception of slavery and of the anti-slavery movement in current times. This influence also shaped the tensions between the domestic and the international views of the reality of slavery in the country. The country gained independence in 1960, and abolition of slavery was not formally enacted until 1981.</w:t>
      </w:r>
    </w:p>
  </w:footnote>
  <w:footnote w:id="86">
    <w:p w14:paraId="45D85D51" w14:textId="182F311D" w:rsidR="008525E7" w:rsidRPr="00275DBF" w:rsidRDefault="008525E7" w:rsidP="00275DBF">
      <w:pPr>
        <w:spacing w:after="0" w:line="240" w:lineRule="auto"/>
        <w:rPr>
          <w:sz w:val="20"/>
          <w:szCs w:val="20"/>
        </w:rPr>
      </w:pPr>
      <w:r>
        <w:rPr>
          <w:rStyle w:val="FootnoteReference"/>
        </w:rPr>
        <w:footnoteRef/>
      </w:r>
      <w:r>
        <w:t xml:space="preserve"> </w:t>
      </w:r>
      <w:r w:rsidRPr="000E1304">
        <w:rPr>
          <w:sz w:val="20"/>
          <w:szCs w:val="20"/>
        </w:rPr>
        <w:t xml:space="preserve">Lotte </w:t>
      </w:r>
      <w:proofErr w:type="spellStart"/>
      <w:r w:rsidRPr="000E1304">
        <w:rPr>
          <w:sz w:val="20"/>
          <w:szCs w:val="20"/>
        </w:rPr>
        <w:t>Pelckmans</w:t>
      </w:r>
      <w:proofErr w:type="spellEnd"/>
      <w:r w:rsidRPr="000E1304">
        <w:rPr>
          <w:sz w:val="20"/>
          <w:szCs w:val="20"/>
        </w:rPr>
        <w:t>, ‘Questioning the concept of post-slavery. Alternative concepts to analyse legacies of slavery in Africa’, Dansk Institute for Internationale Studier, October 2015</w:t>
      </w:r>
      <w:r>
        <w:rPr>
          <w:sz w:val="20"/>
          <w:szCs w:val="20"/>
        </w:rPr>
        <w:t>.</w:t>
      </w:r>
    </w:p>
  </w:footnote>
  <w:footnote w:id="87">
    <w:p w14:paraId="5E8AC59C" w14:textId="77777777" w:rsidR="008525E7" w:rsidRPr="00ED23BE" w:rsidRDefault="008525E7" w:rsidP="00805BB0">
      <w:pPr>
        <w:pStyle w:val="FootnoteText"/>
        <w:rPr>
          <w:lang w:val="fr-FR"/>
        </w:rPr>
      </w:pPr>
      <w:r>
        <w:rPr>
          <w:rStyle w:val="FootnoteReference"/>
        </w:rPr>
        <w:footnoteRef/>
      </w:r>
      <w:r>
        <w:t xml:space="preserve"> Oliver </w:t>
      </w:r>
      <w:proofErr w:type="spellStart"/>
      <w:r>
        <w:t>Leservoisier</w:t>
      </w:r>
      <w:proofErr w:type="spellEnd"/>
      <w:r>
        <w:t xml:space="preserve">, ‘Contemporary Trajectories of Slavery in </w:t>
      </w:r>
      <w:proofErr w:type="spellStart"/>
      <w:r>
        <w:t>Haalpulaar</w:t>
      </w:r>
      <w:proofErr w:type="spellEnd"/>
      <w:r>
        <w:t xml:space="preserve"> Society (Mauritania)’, in </w:t>
      </w:r>
      <w:proofErr w:type="spellStart"/>
      <w:r>
        <w:t>Benedetta</w:t>
      </w:r>
      <w:proofErr w:type="spellEnd"/>
      <w:r>
        <w:t xml:space="preserve"> Rossi (Ed.), </w:t>
      </w:r>
      <w:r>
        <w:rPr>
          <w:i/>
          <w:iCs/>
        </w:rPr>
        <w:t xml:space="preserve">Reconfiguring Slavery. </w:t>
      </w:r>
      <w:r w:rsidRPr="00ED23BE">
        <w:rPr>
          <w:i/>
          <w:iCs/>
          <w:lang w:val="fr-FR"/>
        </w:rPr>
        <w:t xml:space="preserve">West </w:t>
      </w:r>
      <w:proofErr w:type="spellStart"/>
      <w:r w:rsidRPr="00ED23BE">
        <w:rPr>
          <w:i/>
          <w:iCs/>
          <w:lang w:val="fr-FR"/>
        </w:rPr>
        <w:t>African</w:t>
      </w:r>
      <w:proofErr w:type="spellEnd"/>
      <w:r w:rsidRPr="00ED23BE">
        <w:rPr>
          <w:i/>
          <w:iCs/>
          <w:lang w:val="fr-FR"/>
        </w:rPr>
        <w:t xml:space="preserve"> </w:t>
      </w:r>
      <w:proofErr w:type="spellStart"/>
      <w:r w:rsidRPr="00ED23BE">
        <w:rPr>
          <w:i/>
          <w:iCs/>
          <w:lang w:val="fr-FR"/>
        </w:rPr>
        <w:t>Trajectories</w:t>
      </w:r>
      <w:proofErr w:type="spellEnd"/>
      <w:r w:rsidRPr="00ED23BE">
        <w:rPr>
          <w:i/>
          <w:iCs/>
          <w:lang w:val="fr-FR"/>
        </w:rPr>
        <w:t xml:space="preserve">, </w:t>
      </w:r>
      <w:r w:rsidRPr="00ED23BE">
        <w:rPr>
          <w:lang w:val="fr-FR"/>
        </w:rPr>
        <w:t xml:space="preserve">Liverpool </w:t>
      </w:r>
      <w:proofErr w:type="spellStart"/>
      <w:r w:rsidRPr="00ED23BE">
        <w:rPr>
          <w:lang w:val="fr-FR"/>
        </w:rPr>
        <w:t>University</w:t>
      </w:r>
      <w:proofErr w:type="spellEnd"/>
      <w:r w:rsidRPr="00ED23BE">
        <w:rPr>
          <w:lang w:val="fr-FR"/>
        </w:rPr>
        <w:t xml:space="preserve"> </w:t>
      </w:r>
      <w:proofErr w:type="spellStart"/>
      <w:r w:rsidRPr="00ED23BE">
        <w:rPr>
          <w:lang w:val="fr-FR"/>
        </w:rPr>
        <w:t>Press</w:t>
      </w:r>
      <w:proofErr w:type="spellEnd"/>
      <w:r w:rsidRPr="00ED23BE">
        <w:rPr>
          <w:lang w:val="fr-FR"/>
        </w:rPr>
        <w:t>, 2009, pp 140-151.</w:t>
      </w:r>
    </w:p>
  </w:footnote>
  <w:footnote w:id="88">
    <w:p w14:paraId="0CCBD208" w14:textId="77777777" w:rsidR="008525E7" w:rsidRPr="009E232B" w:rsidRDefault="008525E7" w:rsidP="00805BB0">
      <w:pPr>
        <w:pStyle w:val="FootnoteText"/>
        <w:rPr>
          <w:lang w:val="fr-FR"/>
        </w:rPr>
      </w:pPr>
      <w:r>
        <w:rPr>
          <w:rStyle w:val="FootnoteReference"/>
        </w:rPr>
        <w:footnoteRef/>
      </w:r>
      <w:r w:rsidRPr="009E232B">
        <w:rPr>
          <w:lang w:val="fr-FR"/>
        </w:rPr>
        <w:t xml:space="preserve"> Abderrahmane </w:t>
      </w:r>
      <w:proofErr w:type="spellStart"/>
      <w:r w:rsidRPr="009E232B">
        <w:rPr>
          <w:lang w:val="fr-FR"/>
        </w:rPr>
        <w:t>Ngaïdé</w:t>
      </w:r>
      <w:proofErr w:type="spellEnd"/>
      <w:r w:rsidRPr="009E232B">
        <w:rPr>
          <w:lang w:val="fr-FR"/>
        </w:rPr>
        <w:t>,</w:t>
      </w:r>
      <w:r>
        <w:rPr>
          <w:lang w:val="fr-FR"/>
        </w:rPr>
        <w:t xml:space="preserve"> ‘</w:t>
      </w:r>
      <w:r w:rsidRPr="009E232B">
        <w:rPr>
          <w:lang w:val="fr-FR"/>
        </w:rPr>
        <w:t>Stéréotypes et imaginaires sociaux en milieu</w:t>
      </w:r>
      <w:r>
        <w:rPr>
          <w:lang w:val="fr-FR"/>
        </w:rPr>
        <w:t xml:space="preserve"> </w:t>
      </w:r>
      <w:proofErr w:type="spellStart"/>
      <w:r w:rsidRPr="009E232B">
        <w:rPr>
          <w:lang w:val="fr-FR"/>
        </w:rPr>
        <w:t>haalpulaar</w:t>
      </w:r>
      <w:proofErr w:type="spellEnd"/>
      <w:r>
        <w:rPr>
          <w:lang w:val="fr-FR"/>
        </w:rPr>
        <w:t>’</w:t>
      </w:r>
      <w:r w:rsidRPr="009E232B">
        <w:rPr>
          <w:lang w:val="fr-FR"/>
        </w:rPr>
        <w:t xml:space="preserve">, </w:t>
      </w:r>
      <w:r w:rsidRPr="009E232B">
        <w:rPr>
          <w:i/>
          <w:iCs/>
          <w:lang w:val="fr-FR"/>
        </w:rPr>
        <w:t>Cahiers d’études africaines</w:t>
      </w:r>
      <w:r>
        <w:rPr>
          <w:lang w:val="fr-FR"/>
        </w:rPr>
        <w:t>,</w:t>
      </w:r>
      <w:r w:rsidRPr="009E232B">
        <w:rPr>
          <w:lang w:val="fr-FR"/>
        </w:rPr>
        <w:t xml:space="preserve"> 4/2003 (n° 172), pp. 707-738.</w:t>
      </w:r>
    </w:p>
  </w:footnote>
  <w:footnote w:id="89">
    <w:p w14:paraId="02454704" w14:textId="77777777" w:rsidR="008525E7" w:rsidRDefault="008525E7" w:rsidP="00805BB0">
      <w:pPr>
        <w:pStyle w:val="FootnoteText"/>
      </w:pPr>
      <w:r>
        <w:rPr>
          <w:rStyle w:val="FootnoteReference"/>
        </w:rPr>
        <w:footnoteRef/>
      </w:r>
      <w:r>
        <w:t xml:space="preserve"> </w:t>
      </w:r>
      <w:proofErr w:type="spellStart"/>
      <w:r w:rsidRPr="002317DA">
        <w:t>Ibrahima</w:t>
      </w:r>
      <w:proofErr w:type="spellEnd"/>
      <w:r w:rsidRPr="002317DA">
        <w:t xml:space="preserve"> </w:t>
      </w:r>
      <w:proofErr w:type="spellStart"/>
      <w:r w:rsidRPr="002317DA">
        <w:t>Thioub</w:t>
      </w:r>
      <w:proofErr w:type="spellEnd"/>
      <w:r w:rsidRPr="002317DA">
        <w:t>, ‘Stigmas and Memory of Slavery in West Africa</w:t>
      </w:r>
      <w:r>
        <w:t xml:space="preserve">: Skin </w:t>
      </w:r>
      <w:proofErr w:type="spellStart"/>
      <w:r>
        <w:t>Color</w:t>
      </w:r>
      <w:proofErr w:type="spellEnd"/>
      <w:r>
        <w:t xml:space="preserve"> and Blood as Social</w:t>
      </w:r>
    </w:p>
    <w:p w14:paraId="36C20A38" w14:textId="77777777" w:rsidR="008525E7" w:rsidRPr="005934C3" w:rsidRDefault="008525E7" w:rsidP="00805BB0">
      <w:pPr>
        <w:pStyle w:val="FootnoteText"/>
      </w:pPr>
      <w:r>
        <w:t xml:space="preserve">Fracture Lines’, </w:t>
      </w:r>
      <w:r w:rsidRPr="005934C3">
        <w:rPr>
          <w:i/>
          <w:iCs/>
        </w:rPr>
        <w:t>New Global Studies</w:t>
      </w:r>
      <w:r w:rsidRPr="005934C3">
        <w:t>,</w:t>
      </w:r>
      <w:r>
        <w:rPr>
          <w:i/>
          <w:iCs/>
        </w:rPr>
        <w:t xml:space="preserve"> </w:t>
      </w:r>
      <w:r w:rsidRPr="005934C3">
        <w:t>Volume 6, Issue 3</w:t>
      </w:r>
      <w:r>
        <w:t xml:space="preserve"> (</w:t>
      </w:r>
      <w:r w:rsidRPr="005934C3">
        <w:t>2012</w:t>
      </w:r>
      <w:r>
        <w:t xml:space="preserve">), </w:t>
      </w:r>
      <w:r w:rsidRPr="005934C3">
        <w:t>p. 7.</w:t>
      </w:r>
    </w:p>
  </w:footnote>
  <w:footnote w:id="90">
    <w:p w14:paraId="4D0ECECD" w14:textId="77777777" w:rsidR="008525E7" w:rsidRPr="000503CB" w:rsidRDefault="008525E7" w:rsidP="00805BB0">
      <w:pPr>
        <w:pStyle w:val="FootnoteText"/>
      </w:pPr>
      <w:r>
        <w:rPr>
          <w:rStyle w:val="FootnoteReference"/>
        </w:rPr>
        <w:footnoteRef/>
      </w:r>
      <w:r>
        <w:t xml:space="preserve"> </w:t>
      </w:r>
      <w:r w:rsidRPr="009C074F">
        <w:t>Orlando Patterson</w:t>
      </w:r>
      <w:r>
        <w:t>,</w:t>
      </w:r>
      <w:r w:rsidRPr="002102B1">
        <w:t xml:space="preserve"> </w:t>
      </w:r>
      <w:r>
        <w:t>‘</w:t>
      </w:r>
      <w:r w:rsidRPr="002102B1">
        <w:t>Revisiting Slavery, Property, and Social Death</w:t>
      </w:r>
      <w:r>
        <w:t>’, i</w:t>
      </w:r>
      <w:r w:rsidRPr="002102B1">
        <w:t xml:space="preserve">n </w:t>
      </w:r>
      <w:r>
        <w:t xml:space="preserve">J </w:t>
      </w:r>
      <w:proofErr w:type="spellStart"/>
      <w:r w:rsidRPr="002102B1">
        <w:t>Bodel</w:t>
      </w:r>
      <w:proofErr w:type="spellEnd"/>
      <w:r w:rsidRPr="002102B1">
        <w:t xml:space="preserve">, </w:t>
      </w:r>
      <w:r>
        <w:t xml:space="preserve">W </w:t>
      </w:r>
      <w:proofErr w:type="spellStart"/>
      <w:r w:rsidRPr="002102B1">
        <w:t>Scheidel</w:t>
      </w:r>
      <w:proofErr w:type="spellEnd"/>
      <w:r>
        <w:t xml:space="preserve">, </w:t>
      </w:r>
      <w:r w:rsidRPr="002102B1">
        <w:rPr>
          <w:i/>
          <w:iCs/>
        </w:rPr>
        <w:t>On Human Bondage: After Slavery and Social Death</w:t>
      </w:r>
      <w:r>
        <w:t xml:space="preserve">, </w:t>
      </w:r>
      <w:r w:rsidRPr="002102B1">
        <w:t>Wiley Blackwell</w:t>
      </w:r>
      <w:r>
        <w:t>,</w:t>
      </w:r>
      <w:r w:rsidRPr="002102B1">
        <w:t xml:space="preserve"> 2017</w:t>
      </w:r>
      <w:r>
        <w:t>,</w:t>
      </w:r>
      <w:r w:rsidRPr="002102B1">
        <w:t xml:space="preserve"> pp. 265-296</w:t>
      </w:r>
      <w:r w:rsidRPr="009C074F">
        <w:t>.</w:t>
      </w:r>
    </w:p>
  </w:footnote>
  <w:footnote w:id="91">
    <w:p w14:paraId="6AF276C6" w14:textId="77777777" w:rsidR="008525E7" w:rsidRDefault="008525E7" w:rsidP="004D40E2">
      <w:pPr>
        <w:pStyle w:val="FootnoteText"/>
      </w:pPr>
      <w:r>
        <w:rPr>
          <w:rStyle w:val="FootnoteReference"/>
        </w:rPr>
        <w:footnoteRef/>
      </w:r>
      <w:r>
        <w:t xml:space="preserve"> Ibid</w:t>
      </w:r>
      <w:r w:rsidRPr="00BE6F8E">
        <w:t>.</w:t>
      </w:r>
    </w:p>
  </w:footnote>
  <w:footnote w:id="92">
    <w:p w14:paraId="05DDBD6C" w14:textId="77777777" w:rsidR="008525E7" w:rsidRDefault="008525E7" w:rsidP="004D40E2">
      <w:pPr>
        <w:pStyle w:val="FootnoteText"/>
      </w:pPr>
      <w:r>
        <w:rPr>
          <w:rStyle w:val="FootnoteReference"/>
        </w:rPr>
        <w:footnoteRef/>
      </w:r>
      <w:r>
        <w:t xml:space="preserve"> On t</w:t>
      </w:r>
      <w:r w:rsidRPr="00AE3B7F">
        <w:rPr>
          <w:szCs w:val="24"/>
        </w:rPr>
        <w:t>he complex history of land dispossession in Mauritania, with former slaves and slave-descendants being most affected</w:t>
      </w:r>
      <w:r>
        <w:rPr>
          <w:szCs w:val="24"/>
        </w:rPr>
        <w:t>, see</w:t>
      </w:r>
      <w:r>
        <w:t xml:space="preserve"> </w:t>
      </w:r>
      <w:hyperlink r:id="rId10" w:history="1">
        <w:r w:rsidRPr="00BE6F8E">
          <w:rPr>
            <w:rStyle w:val="Hyperlink"/>
          </w:rPr>
          <w:t>https://www.verite.org/africa/explore-by-country/mauritania/</w:t>
        </w:r>
      </w:hyperlink>
    </w:p>
  </w:footnote>
  <w:footnote w:id="93">
    <w:p w14:paraId="301588D3" w14:textId="77777777" w:rsidR="008525E7" w:rsidRDefault="008525E7" w:rsidP="004D40E2">
      <w:pPr>
        <w:pStyle w:val="FootnoteText"/>
      </w:pPr>
      <w:r>
        <w:rPr>
          <w:rStyle w:val="FootnoteReference"/>
        </w:rPr>
        <w:footnoteRef/>
      </w:r>
      <w:r>
        <w:t xml:space="preserve"> </w:t>
      </w:r>
      <w:r w:rsidRPr="00FC3790">
        <w:rPr>
          <w:bCs/>
        </w:rPr>
        <w:t>Ann McDougall</w:t>
      </w:r>
      <w:r w:rsidRPr="00FC3790">
        <w:t>, ‘Living the Legacy of Slavery:</w:t>
      </w:r>
      <w:r w:rsidRPr="00FC3790">
        <w:rPr>
          <w:rFonts w:eastAsia="Times New Roman"/>
          <w:lang w:eastAsia="en-GB"/>
        </w:rPr>
        <w:t xml:space="preserve"> </w:t>
      </w:r>
      <w:r w:rsidRPr="00FC3790">
        <w:t xml:space="preserve">Between Discourse and Reality’, </w:t>
      </w:r>
      <w:r w:rsidRPr="00FC3790">
        <w:rPr>
          <w:i/>
          <w:iCs/>
        </w:rPr>
        <w:t xml:space="preserve">Cahiers </w:t>
      </w:r>
      <w:proofErr w:type="spellStart"/>
      <w:r w:rsidRPr="00FC3790">
        <w:rPr>
          <w:i/>
          <w:iCs/>
        </w:rPr>
        <w:t>d’études</w:t>
      </w:r>
      <w:proofErr w:type="spellEnd"/>
      <w:r w:rsidRPr="00FC3790">
        <w:rPr>
          <w:i/>
          <w:iCs/>
        </w:rPr>
        <w:t xml:space="preserve"> </w:t>
      </w:r>
      <w:proofErr w:type="spellStart"/>
      <w:r w:rsidRPr="00FC3790">
        <w:rPr>
          <w:i/>
          <w:iCs/>
        </w:rPr>
        <w:t>africaines</w:t>
      </w:r>
      <w:proofErr w:type="spellEnd"/>
      <w:r w:rsidRPr="00FC3790">
        <w:rPr>
          <w:i/>
          <w:iCs/>
        </w:rPr>
        <w:t>,</w:t>
      </w:r>
      <w:r w:rsidRPr="00FC3790">
        <w:t xml:space="preserve"> 2005, 957-986</w:t>
      </w:r>
      <w:r w:rsidRPr="003401CB">
        <w:t>. See</w:t>
      </w:r>
      <w:r>
        <w:t xml:space="preserve"> also </w:t>
      </w:r>
      <w:proofErr w:type="spellStart"/>
      <w:r w:rsidRPr="00FC3790">
        <w:t>Nehemia</w:t>
      </w:r>
      <w:proofErr w:type="spellEnd"/>
      <w:r w:rsidRPr="00FC3790">
        <w:t xml:space="preserve"> </w:t>
      </w:r>
      <w:proofErr w:type="spellStart"/>
      <w:r w:rsidRPr="00FC3790">
        <w:t>Levtzion</w:t>
      </w:r>
      <w:proofErr w:type="spellEnd"/>
      <w:r w:rsidRPr="00FC3790">
        <w:t xml:space="preserve">, </w:t>
      </w:r>
      <w:r>
        <w:t>‘</w:t>
      </w:r>
      <w:r w:rsidRPr="00FC3790">
        <w:t>Slavery and Islamization in Africa</w:t>
      </w:r>
      <w:r>
        <w:t>’</w:t>
      </w:r>
      <w:r w:rsidRPr="00FC3790">
        <w:t xml:space="preserve">, in John Ralf Willis, </w:t>
      </w:r>
      <w:r w:rsidRPr="00FC3790">
        <w:rPr>
          <w:i/>
          <w:iCs/>
        </w:rPr>
        <w:t>Salves and Slavery in Muslim Africa</w:t>
      </w:r>
      <w:r w:rsidRPr="00FC3790">
        <w:t xml:space="preserve">, </w:t>
      </w:r>
      <w:r w:rsidRPr="00FC3790">
        <w:rPr>
          <w:i/>
          <w:iCs/>
        </w:rPr>
        <w:t xml:space="preserve">Vol. 2, The Servile State, </w:t>
      </w:r>
      <w:r w:rsidRPr="00FC3790">
        <w:t>Routledge, 2013, pp. 182-198.</w:t>
      </w:r>
    </w:p>
  </w:footnote>
  <w:footnote w:id="94">
    <w:p w14:paraId="7EE9B416" w14:textId="39B8888F" w:rsidR="00447C85" w:rsidRDefault="00447C85">
      <w:pPr>
        <w:pStyle w:val="FootnoteText"/>
      </w:pPr>
      <w:r>
        <w:rPr>
          <w:rStyle w:val="FootnoteReference"/>
        </w:rPr>
        <w:footnoteRef/>
      </w:r>
      <w:r>
        <w:t xml:space="preserve"> </w:t>
      </w:r>
      <w:r w:rsidR="00060B80">
        <w:t xml:space="preserve">Upcoming </w:t>
      </w:r>
      <w:r>
        <w:t xml:space="preserve">phases of this study will look at the extent to which slavery-related discrimination may be differentiated from discrimination due to economic inequality. </w:t>
      </w:r>
    </w:p>
  </w:footnote>
  <w:footnote w:id="95">
    <w:p w14:paraId="07CA47E5" w14:textId="77777777" w:rsidR="008525E7" w:rsidRPr="009E232B" w:rsidRDefault="008525E7" w:rsidP="004D40E2">
      <w:pPr>
        <w:pStyle w:val="FootnoteText"/>
      </w:pPr>
      <w:r w:rsidRPr="00A36409">
        <w:rPr>
          <w:rStyle w:val="FootnoteReference"/>
        </w:rPr>
        <w:footnoteRef/>
      </w:r>
      <w:r w:rsidRPr="009E232B">
        <w:t xml:space="preserve"> </w:t>
      </w:r>
      <w:proofErr w:type="spellStart"/>
      <w:r w:rsidRPr="009E232B">
        <w:t>Benedetta</w:t>
      </w:r>
      <w:proofErr w:type="spellEnd"/>
      <w:r w:rsidRPr="009E232B">
        <w:t xml:space="preserve"> Rossi, </w:t>
      </w:r>
      <w:r>
        <w:t>‘</w:t>
      </w:r>
      <w:r w:rsidRPr="009E232B">
        <w:t>Periodizing the end of slavery: Colonial law, the League of Nations, and slave resistance in the Nigerien Sahel, 1920s-1930s</w:t>
      </w:r>
      <w:r>
        <w:t>’, Annales</w:t>
      </w:r>
      <w:r w:rsidRPr="009E232B">
        <w:t>,</w:t>
      </w:r>
      <w:r>
        <w:t xml:space="preserve"> issue 4 (</w:t>
      </w:r>
      <w:r w:rsidRPr="009E232B">
        <w:t>2017</w:t>
      </w:r>
      <w:r>
        <w:t>), pp. 983-1021.</w:t>
      </w:r>
    </w:p>
  </w:footnote>
  <w:footnote w:id="96">
    <w:p w14:paraId="3703DB69" w14:textId="45D71207" w:rsidR="008525E7" w:rsidRPr="003344A0" w:rsidRDefault="008525E7" w:rsidP="004D40E2">
      <w:pPr>
        <w:pStyle w:val="FootnoteText"/>
      </w:pPr>
      <w:r>
        <w:rPr>
          <w:rStyle w:val="FootnoteReference"/>
        </w:rPr>
        <w:footnoteRef/>
      </w:r>
      <w:r w:rsidRPr="003344A0">
        <w:t xml:space="preserve"> Sarah Mathewson, supra note </w:t>
      </w:r>
      <w:r w:rsidR="00BB3730" w:rsidRPr="003344A0">
        <w:t>8</w:t>
      </w:r>
      <w:r w:rsidRPr="003344A0">
        <w:t xml:space="preserve">. </w:t>
      </w:r>
    </w:p>
  </w:footnote>
  <w:footnote w:id="97">
    <w:p w14:paraId="4E30A511" w14:textId="41BECBD0" w:rsidR="008525E7" w:rsidRPr="003344A0" w:rsidRDefault="008525E7">
      <w:pPr>
        <w:pStyle w:val="FootnoteText"/>
      </w:pPr>
      <w:r>
        <w:rPr>
          <w:rStyle w:val="FootnoteReference"/>
        </w:rPr>
        <w:footnoteRef/>
      </w:r>
      <w:r w:rsidRPr="003344A0">
        <w:t xml:space="preserve"> Ibid.</w:t>
      </w:r>
    </w:p>
  </w:footnote>
  <w:footnote w:id="98">
    <w:p w14:paraId="011908E5" w14:textId="2152152E" w:rsidR="008525E7" w:rsidRDefault="008525E7" w:rsidP="003F5EE5">
      <w:pPr>
        <w:pStyle w:val="FootnoteText"/>
      </w:pPr>
      <w:r>
        <w:rPr>
          <w:rStyle w:val="FootnoteReference"/>
        </w:rPr>
        <w:footnoteRef/>
      </w:r>
      <w:r>
        <w:t xml:space="preserve"> Ibid. </w:t>
      </w:r>
    </w:p>
  </w:footnote>
  <w:footnote w:id="99">
    <w:p w14:paraId="611A65C6" w14:textId="7E42C86E" w:rsidR="008525E7" w:rsidRPr="00A57A37" w:rsidRDefault="008525E7" w:rsidP="00E5088A">
      <w:pPr>
        <w:pStyle w:val="CommentText"/>
        <w:spacing w:after="0"/>
        <w:rPr>
          <w:iCs/>
        </w:rPr>
      </w:pPr>
      <w:r>
        <w:rPr>
          <w:rStyle w:val="FootnoteReference"/>
        </w:rPr>
        <w:footnoteRef/>
      </w:r>
      <w:r w:rsidRPr="00082ECC">
        <w:t xml:space="preserve"> UN Special Rapporteur, supra note 2</w:t>
      </w:r>
      <w:r w:rsidR="009A4CE1" w:rsidRPr="00082ECC">
        <w:t>3</w:t>
      </w:r>
      <w:r w:rsidRPr="00082ECC">
        <w:t xml:space="preserve">. </w:t>
      </w:r>
      <w:r>
        <w:t xml:space="preserve">See also </w:t>
      </w:r>
      <w:bookmarkStart w:id="30" w:name="_Hlk26285682"/>
      <w:proofErr w:type="spellStart"/>
      <w:r>
        <w:t>Urs</w:t>
      </w:r>
      <w:proofErr w:type="spellEnd"/>
      <w:r>
        <w:t xml:space="preserve"> Peter </w:t>
      </w:r>
      <w:proofErr w:type="spellStart"/>
      <w:r>
        <w:t>Ruf</w:t>
      </w:r>
      <w:proofErr w:type="spellEnd"/>
      <w:r>
        <w:t xml:space="preserve">, </w:t>
      </w:r>
      <w:r w:rsidRPr="00C8346D">
        <w:rPr>
          <w:i/>
        </w:rPr>
        <w:t>Ending Slavery</w:t>
      </w:r>
      <w:r>
        <w:rPr>
          <w:i/>
        </w:rPr>
        <w:t xml:space="preserve"> </w:t>
      </w:r>
      <w:r w:rsidRPr="00C8346D">
        <w:rPr>
          <w:i/>
        </w:rPr>
        <w:t>Hierarchy, Dependency and Gender in Central Mauritania</w:t>
      </w:r>
      <w:r>
        <w:rPr>
          <w:i/>
        </w:rPr>
        <w:t xml:space="preserve">; </w:t>
      </w:r>
      <w:r w:rsidRPr="00FC6B9D">
        <w:rPr>
          <w:iCs/>
        </w:rPr>
        <w:t xml:space="preserve">Kevin Bales, Jody </w:t>
      </w:r>
      <w:proofErr w:type="spellStart"/>
      <w:r w:rsidRPr="00FC6B9D">
        <w:rPr>
          <w:iCs/>
        </w:rPr>
        <w:t>Sarich</w:t>
      </w:r>
      <w:proofErr w:type="spellEnd"/>
      <w:r w:rsidRPr="00FC6B9D">
        <w:rPr>
          <w:iCs/>
        </w:rPr>
        <w:t>, ‘Afterword: The Paradox of Women, Children,</w:t>
      </w:r>
      <w:r>
        <w:rPr>
          <w:iCs/>
        </w:rPr>
        <w:t xml:space="preserve"> </w:t>
      </w:r>
      <w:r w:rsidRPr="00FC6B9D">
        <w:rPr>
          <w:iCs/>
        </w:rPr>
        <w:t xml:space="preserve">and Slavery’, in Benjamin N. </w:t>
      </w:r>
      <w:proofErr w:type="spellStart"/>
      <w:r w:rsidRPr="00FC6B9D">
        <w:rPr>
          <w:iCs/>
        </w:rPr>
        <w:t>Lawrance</w:t>
      </w:r>
      <w:proofErr w:type="spellEnd"/>
      <w:r w:rsidRPr="00FC6B9D">
        <w:rPr>
          <w:iCs/>
        </w:rPr>
        <w:t xml:space="preserve">, Richard L. Roberts, </w:t>
      </w:r>
      <w:r w:rsidRPr="00FC6B9D">
        <w:rPr>
          <w:i/>
        </w:rPr>
        <w:t>Trafficking in Slavery’s Wake. Law and the Experience of Women and Children in Africa</w:t>
      </w:r>
      <w:r w:rsidRPr="00FC6B9D">
        <w:rPr>
          <w:iCs/>
        </w:rPr>
        <w:t xml:space="preserve">, Ohio University Press, 2012, pp. 241-254. </w:t>
      </w:r>
      <w:bookmarkEnd w:id="30"/>
      <w:r w:rsidR="00A57A37">
        <w:rPr>
          <w:iCs/>
        </w:rPr>
        <w:t xml:space="preserve">The link </w:t>
      </w:r>
      <w:r w:rsidR="00BF2964">
        <w:rPr>
          <w:iCs/>
        </w:rPr>
        <w:t>between</w:t>
      </w:r>
      <w:r w:rsidR="00A57A37">
        <w:rPr>
          <w:iCs/>
        </w:rPr>
        <w:t xml:space="preserve"> slavery and gender inequality has been so strong historically as to </w:t>
      </w:r>
      <w:r w:rsidR="00060B80">
        <w:rPr>
          <w:iCs/>
        </w:rPr>
        <w:t>connect</w:t>
      </w:r>
      <w:r w:rsidR="00A57A37">
        <w:rPr>
          <w:iCs/>
        </w:rPr>
        <w:t xml:space="preserve"> the definition of slavery to gender, as Davis has pointed out (</w:t>
      </w:r>
      <w:r w:rsidR="00A57A37" w:rsidRPr="00A57A37">
        <w:rPr>
          <w:iCs/>
        </w:rPr>
        <w:t xml:space="preserve">David </w:t>
      </w:r>
      <w:proofErr w:type="spellStart"/>
      <w:r w:rsidR="00A57A37" w:rsidRPr="00A57A37">
        <w:rPr>
          <w:iCs/>
        </w:rPr>
        <w:t>Brion</w:t>
      </w:r>
      <w:proofErr w:type="spellEnd"/>
      <w:r w:rsidR="00A57A37" w:rsidRPr="00A57A37">
        <w:rPr>
          <w:iCs/>
        </w:rPr>
        <w:t xml:space="preserve"> Davis, “Declaring Equality: Sisterhood and Slavery,” in Women’s Rights, 4-5</w:t>
      </w:r>
      <w:r w:rsidR="00A57A37">
        <w:rPr>
          <w:iCs/>
        </w:rPr>
        <w:t>).</w:t>
      </w:r>
    </w:p>
  </w:footnote>
  <w:footnote w:id="100">
    <w:p w14:paraId="2E7228D2" w14:textId="1B007EE2" w:rsidR="008525E7" w:rsidRPr="005C4671" w:rsidRDefault="008525E7">
      <w:pPr>
        <w:pStyle w:val="FootnoteText"/>
        <w:rPr>
          <w:lang w:val="fr-FR"/>
        </w:rPr>
      </w:pPr>
      <w:r>
        <w:rPr>
          <w:rStyle w:val="FootnoteReference"/>
        </w:rPr>
        <w:footnoteRef/>
      </w:r>
      <w:r w:rsidRPr="005C4671">
        <w:rPr>
          <w:lang w:val="fr-FR"/>
        </w:rPr>
        <w:t xml:space="preserve"> UN </w:t>
      </w:r>
      <w:proofErr w:type="spellStart"/>
      <w:r w:rsidRPr="005C4671">
        <w:rPr>
          <w:lang w:val="fr-FR"/>
        </w:rPr>
        <w:t>Special</w:t>
      </w:r>
      <w:proofErr w:type="spellEnd"/>
      <w:r w:rsidRPr="005C4671">
        <w:rPr>
          <w:lang w:val="fr-FR"/>
        </w:rPr>
        <w:t xml:space="preserve"> Rapporteur, </w:t>
      </w:r>
      <w:r>
        <w:rPr>
          <w:lang w:val="fr-FR"/>
        </w:rPr>
        <w:t xml:space="preserve">supra note </w:t>
      </w:r>
      <w:r w:rsidR="009A4CE1">
        <w:rPr>
          <w:lang w:val="fr-FR"/>
        </w:rPr>
        <w:t>2</w:t>
      </w:r>
      <w:r w:rsidRPr="0079758D">
        <w:rPr>
          <w:lang w:val="fr-FR"/>
        </w:rPr>
        <w:t>.</w:t>
      </w:r>
    </w:p>
  </w:footnote>
  <w:footnote w:id="101">
    <w:p w14:paraId="4CBF4FF2" w14:textId="7977DDDA" w:rsidR="008525E7" w:rsidRPr="0042564B" w:rsidRDefault="008525E7" w:rsidP="00E5088A">
      <w:pPr>
        <w:pStyle w:val="FootnoteText"/>
      </w:pPr>
      <w:r>
        <w:rPr>
          <w:rStyle w:val="FootnoteReference"/>
        </w:rPr>
        <w:footnoteRef/>
      </w:r>
      <w:r w:rsidRPr="003344A0">
        <w:rPr>
          <w:lang w:val="es-ES"/>
        </w:rPr>
        <w:t xml:space="preserve"> Ibid. </w:t>
      </w:r>
      <w:r w:rsidRPr="00BA3BCB">
        <w:t xml:space="preserve">See also </w:t>
      </w:r>
      <w:r>
        <w:t>Anti-Slavery International, MRGI, SOS-</w:t>
      </w:r>
      <w:proofErr w:type="spellStart"/>
      <w:r>
        <w:t>Esclaves</w:t>
      </w:r>
      <w:proofErr w:type="spellEnd"/>
      <w:r w:rsidRPr="00CB5924">
        <w:t xml:space="preserve">, Joint submission for the Universal Periodic Review of Mauritania, </w:t>
      </w:r>
      <w:r>
        <w:t>supra note 1</w:t>
      </w:r>
      <w:r w:rsidR="009A4CE1">
        <w:t>5</w:t>
      </w:r>
      <w:r>
        <w:t>.</w:t>
      </w:r>
    </w:p>
  </w:footnote>
  <w:footnote w:id="102">
    <w:p w14:paraId="4D8D6078" w14:textId="05E37386" w:rsidR="008525E7" w:rsidRPr="006804FC" w:rsidRDefault="008525E7">
      <w:pPr>
        <w:pStyle w:val="FootnoteText"/>
      </w:pPr>
      <w:r>
        <w:rPr>
          <w:rStyle w:val="FootnoteReference"/>
        </w:rPr>
        <w:footnoteRef/>
      </w:r>
      <w:r w:rsidRPr="006804FC">
        <w:t xml:space="preserve"> </w:t>
      </w:r>
      <w:r w:rsidRPr="00BA3BCB">
        <w:t xml:space="preserve">CEDAW/C/MRT/CO/2-3, </w:t>
      </w:r>
      <w:r w:rsidRPr="00BA3BCB">
        <w:rPr>
          <w:i/>
          <w:iCs/>
        </w:rPr>
        <w:t>Concluding observations on the combined second and third periodic reports of Mauritania</w:t>
      </w:r>
      <w:r>
        <w:t>, 24 July 2014.</w:t>
      </w:r>
    </w:p>
  </w:footnote>
  <w:footnote w:id="103">
    <w:p w14:paraId="626AC9C8" w14:textId="03CAAE40" w:rsidR="008525E7" w:rsidRPr="005C4671" w:rsidRDefault="008525E7" w:rsidP="00E5088A">
      <w:pPr>
        <w:pStyle w:val="FootnoteText"/>
        <w:rPr>
          <w:lang w:val="fr-FR"/>
        </w:rPr>
      </w:pPr>
      <w:r>
        <w:rPr>
          <w:rStyle w:val="FootnoteReference"/>
        </w:rPr>
        <w:footnoteRef/>
      </w:r>
      <w:r w:rsidRPr="005C4671">
        <w:rPr>
          <w:lang w:val="fr-FR"/>
        </w:rPr>
        <w:t xml:space="preserve"> UN </w:t>
      </w:r>
      <w:proofErr w:type="spellStart"/>
      <w:r w:rsidRPr="005C4671">
        <w:rPr>
          <w:lang w:val="fr-FR"/>
        </w:rPr>
        <w:t>Special</w:t>
      </w:r>
      <w:proofErr w:type="spellEnd"/>
      <w:r w:rsidRPr="005C4671">
        <w:rPr>
          <w:lang w:val="fr-FR"/>
        </w:rPr>
        <w:t xml:space="preserve"> Rapporteur, supra note </w:t>
      </w:r>
      <w:proofErr w:type="gramStart"/>
      <w:r>
        <w:rPr>
          <w:lang w:val="fr-FR"/>
        </w:rPr>
        <w:t>2</w:t>
      </w:r>
      <w:r w:rsidR="009A4CE1">
        <w:rPr>
          <w:lang w:val="fr-FR"/>
        </w:rPr>
        <w:t>3</w:t>
      </w:r>
      <w:r w:rsidRPr="005C4671">
        <w:rPr>
          <w:lang w:val="fr-FR"/>
        </w:rPr>
        <w:t>;</w:t>
      </w:r>
      <w:proofErr w:type="gramEnd"/>
      <w:r w:rsidRPr="005C4671">
        <w:rPr>
          <w:lang w:val="fr-FR"/>
        </w:rPr>
        <w:t xml:space="preserve"> </w:t>
      </w:r>
      <w:proofErr w:type="spellStart"/>
      <w:r w:rsidRPr="005C4671">
        <w:rPr>
          <w:lang w:val="fr-FR"/>
        </w:rPr>
        <w:t>Personal</w:t>
      </w:r>
      <w:proofErr w:type="spellEnd"/>
      <w:r w:rsidRPr="005C4671">
        <w:rPr>
          <w:lang w:val="fr-FR"/>
        </w:rPr>
        <w:t xml:space="preserve"> </w:t>
      </w:r>
      <w:proofErr w:type="spellStart"/>
      <w:r w:rsidRPr="005C4671">
        <w:rPr>
          <w:lang w:val="fr-FR"/>
        </w:rPr>
        <w:t>Status</w:t>
      </w:r>
      <w:proofErr w:type="spellEnd"/>
      <w:r w:rsidRPr="005C4671">
        <w:rPr>
          <w:lang w:val="fr-FR"/>
        </w:rPr>
        <w:t xml:space="preserve"> Code, Art. 253-259.</w:t>
      </w:r>
    </w:p>
  </w:footnote>
  <w:footnote w:id="104">
    <w:p w14:paraId="6D3B7993" w14:textId="526C87D0" w:rsidR="008525E7" w:rsidRPr="009A6CDA" w:rsidRDefault="008525E7" w:rsidP="00E5088A">
      <w:pPr>
        <w:pStyle w:val="FootnoteText"/>
      </w:pPr>
      <w:r>
        <w:rPr>
          <w:rStyle w:val="FootnoteReference"/>
        </w:rPr>
        <w:footnoteRef/>
      </w:r>
      <w:r>
        <w:t xml:space="preserve"> UN Human Rights Council, 2015; GI-ESCR, 2014.</w:t>
      </w:r>
    </w:p>
  </w:footnote>
  <w:footnote w:id="105">
    <w:p w14:paraId="1DB3F484" w14:textId="77777777" w:rsidR="008525E7" w:rsidRPr="00914D3B" w:rsidRDefault="008525E7" w:rsidP="00E5088A">
      <w:pPr>
        <w:pStyle w:val="FootnoteText"/>
      </w:pPr>
      <w:r>
        <w:rPr>
          <w:rStyle w:val="FootnoteReference"/>
        </w:rPr>
        <w:footnoteRef/>
      </w:r>
      <w:r>
        <w:t xml:space="preserve"> Ibid.</w:t>
      </w:r>
    </w:p>
  </w:footnote>
  <w:footnote w:id="106">
    <w:p w14:paraId="1BB82606" w14:textId="77777777" w:rsidR="008525E7" w:rsidRPr="00914D3B" w:rsidRDefault="008525E7" w:rsidP="00E5088A">
      <w:pPr>
        <w:pStyle w:val="FootnoteText"/>
      </w:pPr>
      <w:r>
        <w:rPr>
          <w:rStyle w:val="FootnoteReference"/>
        </w:rPr>
        <w:footnoteRef/>
      </w:r>
      <w:r>
        <w:t xml:space="preserve"> </w:t>
      </w:r>
      <w:r w:rsidRPr="00914D3B">
        <w:t>OECD</w:t>
      </w:r>
      <w:r>
        <w:t>, Social Institutions and Gender Index, Country Profile, Mauritania, 2019.</w:t>
      </w:r>
    </w:p>
  </w:footnote>
  <w:footnote w:id="107">
    <w:p w14:paraId="02978542" w14:textId="77777777" w:rsidR="008525E7" w:rsidRDefault="008525E7" w:rsidP="00E5088A">
      <w:pPr>
        <w:pStyle w:val="FootnoteText"/>
      </w:pPr>
      <w:r>
        <w:rPr>
          <w:rStyle w:val="FootnoteReference"/>
        </w:rPr>
        <w:footnoteRef/>
      </w:r>
      <w:r>
        <w:t xml:space="preserve"> Ibid.</w:t>
      </w:r>
    </w:p>
  </w:footnote>
  <w:footnote w:id="108">
    <w:p w14:paraId="40E5F6DB" w14:textId="3A8E2099" w:rsidR="008525E7" w:rsidRPr="003C2158" w:rsidRDefault="008525E7" w:rsidP="00F2364E">
      <w:pPr>
        <w:pStyle w:val="FootnoteText"/>
      </w:pPr>
      <w:r>
        <w:rPr>
          <w:rStyle w:val="FootnoteReference"/>
        </w:rPr>
        <w:footnoteRef/>
      </w:r>
      <w:r>
        <w:t xml:space="preserve"> Jonathan Brown, </w:t>
      </w:r>
      <w:r>
        <w:rPr>
          <w:i/>
          <w:iCs/>
        </w:rPr>
        <w:t>Slavery and Islam,</w:t>
      </w:r>
      <w:r>
        <w:t xml:space="preserve"> 2019; Bernard </w:t>
      </w:r>
      <w:proofErr w:type="spellStart"/>
      <w:r>
        <w:t>Freemon</w:t>
      </w:r>
      <w:proofErr w:type="spellEnd"/>
      <w:r>
        <w:t xml:space="preserve">, </w:t>
      </w:r>
      <w:r>
        <w:rPr>
          <w:i/>
          <w:iCs/>
        </w:rPr>
        <w:t>Possessed by the Right Hand: The Problem of Slavery in Islamic Law and Muslim Cultures</w:t>
      </w:r>
      <w:r>
        <w:t xml:space="preserve">, Brill, 2019; Kecia Ali, </w:t>
      </w:r>
      <w:r>
        <w:rPr>
          <w:i/>
          <w:iCs/>
        </w:rPr>
        <w:t>Marriage and Slavery in Early Islam</w:t>
      </w:r>
      <w:r>
        <w:t>, Harvard UP, 2010.</w:t>
      </w:r>
      <w:r w:rsidRPr="003C2158">
        <w:t xml:space="preserve"> </w:t>
      </w:r>
      <w:r w:rsidRPr="00A36409">
        <w:t>See also Ali Mazrui</w:t>
      </w:r>
      <w:r>
        <w:t>, ‘</w:t>
      </w:r>
      <w:proofErr w:type="spellStart"/>
      <w:r>
        <w:t>Afrabia</w:t>
      </w:r>
      <w:proofErr w:type="spellEnd"/>
      <w:r>
        <w:t xml:space="preserve">: Africa and the Arabs in the New World Order’, </w:t>
      </w:r>
      <w:proofErr w:type="spellStart"/>
      <w:r w:rsidRPr="003B7176">
        <w:rPr>
          <w:i/>
          <w:iCs/>
        </w:rPr>
        <w:t>Ufahamu</w:t>
      </w:r>
      <w:proofErr w:type="spellEnd"/>
      <w:r w:rsidRPr="003B7176">
        <w:rPr>
          <w:i/>
          <w:iCs/>
        </w:rPr>
        <w:t xml:space="preserve">: A Journal of African </w:t>
      </w:r>
      <w:r w:rsidRPr="003B7176">
        <w:t>Studies</w:t>
      </w:r>
      <w:r>
        <w:t xml:space="preserve">, </w:t>
      </w:r>
      <w:r w:rsidRPr="003B7176">
        <w:t>Volume 20, Issue 3</w:t>
      </w:r>
      <w:r>
        <w:t xml:space="preserve"> (1992), pp. 51-62 and</w:t>
      </w:r>
      <w:r w:rsidRPr="003B7176">
        <w:t xml:space="preserve"> </w:t>
      </w:r>
      <w:r w:rsidRPr="00A36409">
        <w:t>Wole Soyinka’s critique thereof</w:t>
      </w:r>
      <w:r>
        <w:t xml:space="preserve"> (2000:12)</w:t>
      </w:r>
      <w:r w:rsidRPr="00A36409">
        <w:t>.</w:t>
      </w:r>
    </w:p>
  </w:footnote>
  <w:footnote w:id="109">
    <w:p w14:paraId="0273B4C3" w14:textId="3DAAB125" w:rsidR="008525E7" w:rsidRPr="003344A0" w:rsidRDefault="008525E7" w:rsidP="001A61E8">
      <w:pPr>
        <w:pStyle w:val="FootnoteText"/>
      </w:pPr>
      <w:r>
        <w:rPr>
          <w:rStyle w:val="FootnoteReference"/>
        </w:rPr>
        <w:footnoteRef/>
      </w:r>
      <w:r w:rsidRPr="003344A0">
        <w:t xml:space="preserve"> Sarah Mathewson, supra note </w:t>
      </w:r>
      <w:r w:rsidR="009A4CE1" w:rsidRPr="003344A0">
        <w:t>8</w:t>
      </w:r>
      <w:r w:rsidRPr="003344A0">
        <w:t xml:space="preserve">. </w:t>
      </w:r>
    </w:p>
  </w:footnote>
  <w:footnote w:id="110">
    <w:p w14:paraId="2A5EEC3F" w14:textId="789297B5" w:rsidR="008525E7" w:rsidRPr="003344A0" w:rsidRDefault="008525E7">
      <w:pPr>
        <w:pStyle w:val="FootnoteText"/>
      </w:pPr>
      <w:r>
        <w:rPr>
          <w:rStyle w:val="FootnoteReference"/>
        </w:rPr>
        <w:footnoteRef/>
      </w:r>
      <w:r w:rsidRPr="003344A0">
        <w:t xml:space="preserve"> Ibid. </w:t>
      </w:r>
    </w:p>
  </w:footnote>
  <w:footnote w:id="111">
    <w:p w14:paraId="530EDD8F" w14:textId="1D04EEE0" w:rsidR="008525E7" w:rsidRPr="003540C7" w:rsidRDefault="008525E7">
      <w:pPr>
        <w:pStyle w:val="FootnoteText"/>
      </w:pPr>
      <w:r>
        <w:rPr>
          <w:rStyle w:val="FootnoteReference"/>
        </w:rPr>
        <w:footnoteRef/>
      </w:r>
      <w:r>
        <w:t xml:space="preserve"> Mohamed </w:t>
      </w:r>
      <w:proofErr w:type="spellStart"/>
      <w:r>
        <w:t>Mattar</w:t>
      </w:r>
      <w:proofErr w:type="spellEnd"/>
      <w:r>
        <w:t xml:space="preserve">, ‘Trafficking in Persons, Especially Women and Children, in Countries of the Middle East: The Scope of the Problem and the Appropriate Legislative Responses’, 26 </w:t>
      </w:r>
      <w:r w:rsidRPr="003B7176">
        <w:rPr>
          <w:i/>
          <w:iCs/>
        </w:rPr>
        <w:t>Fordham International Law Journal</w:t>
      </w:r>
      <w:r>
        <w:t xml:space="preserve"> 729 (2003).</w:t>
      </w:r>
    </w:p>
  </w:footnote>
  <w:footnote w:id="112">
    <w:p w14:paraId="0342D188" w14:textId="75B2FFCA" w:rsidR="008525E7" w:rsidRPr="00BA3BCB" w:rsidRDefault="008525E7">
      <w:pPr>
        <w:pStyle w:val="FootnoteText"/>
        <w:rPr>
          <w:i/>
          <w:iCs/>
        </w:rPr>
      </w:pPr>
      <w:r>
        <w:rPr>
          <w:rStyle w:val="FootnoteReference"/>
        </w:rPr>
        <w:footnoteRef/>
      </w:r>
      <w:r>
        <w:t xml:space="preserve"> Peter Van Den Berg, ‘</w:t>
      </w:r>
      <w:r w:rsidRPr="0064685B">
        <w:t>Slaves: persons or property? The Roman law on slavery and its reception in Western Europe and its overseas territories</w:t>
      </w:r>
      <w:r>
        <w:t xml:space="preserve">’ (2016) 63 </w:t>
      </w:r>
      <w:r>
        <w:rPr>
          <w:i/>
          <w:iCs/>
        </w:rPr>
        <w:t>Osaka</w:t>
      </w:r>
      <w:r w:rsidRPr="0064685B">
        <w:t xml:space="preserve"> </w:t>
      </w:r>
      <w:r w:rsidRPr="0064685B">
        <w:rPr>
          <w:i/>
          <w:iCs/>
        </w:rPr>
        <w:t xml:space="preserve">University </w:t>
      </w:r>
      <w:r>
        <w:rPr>
          <w:i/>
          <w:iCs/>
        </w:rPr>
        <w:t>L</w:t>
      </w:r>
      <w:r w:rsidRPr="0064685B">
        <w:rPr>
          <w:i/>
          <w:iCs/>
        </w:rPr>
        <w:t xml:space="preserve">aw </w:t>
      </w:r>
      <w:r>
        <w:rPr>
          <w:i/>
          <w:iCs/>
        </w:rPr>
        <w:t>R</w:t>
      </w:r>
      <w:r w:rsidRPr="0064685B">
        <w:rPr>
          <w:i/>
          <w:iCs/>
        </w:rPr>
        <w:t xml:space="preserve">eview </w:t>
      </w:r>
      <w:r w:rsidRPr="00BA3BCB">
        <w:t>171.</w:t>
      </w:r>
    </w:p>
  </w:footnote>
  <w:footnote w:id="113">
    <w:p w14:paraId="50EC3677" w14:textId="04437217" w:rsidR="008525E7" w:rsidRPr="00A36409" w:rsidRDefault="008525E7">
      <w:pPr>
        <w:pStyle w:val="FootnoteText"/>
      </w:pPr>
      <w:r>
        <w:rPr>
          <w:rStyle w:val="FootnoteReference"/>
        </w:rPr>
        <w:footnoteRef/>
      </w:r>
      <w:r>
        <w:t xml:space="preserve"> </w:t>
      </w:r>
      <w:r w:rsidRPr="00A36409">
        <w:t>Abdullahi Ahmed An-</w:t>
      </w:r>
      <w:proofErr w:type="spellStart"/>
      <w:r w:rsidRPr="00A36409">
        <w:t>Na'im</w:t>
      </w:r>
      <w:proofErr w:type="spellEnd"/>
      <w:r w:rsidRPr="00A36409">
        <w:rPr>
          <w:i/>
          <w:iCs/>
        </w:rPr>
        <w:t xml:space="preserve">, </w:t>
      </w:r>
      <w:proofErr w:type="spellStart"/>
      <w:r w:rsidRPr="00A36409">
        <w:rPr>
          <w:i/>
          <w:iCs/>
        </w:rPr>
        <w:t>Shari'a</w:t>
      </w:r>
      <w:proofErr w:type="spellEnd"/>
      <w:r w:rsidRPr="00A36409">
        <w:rPr>
          <w:i/>
          <w:iCs/>
        </w:rPr>
        <w:t xml:space="preserve"> and Basic Human Rights Concerns, in Liberal Islam</w:t>
      </w:r>
      <w:r w:rsidRPr="00A36409">
        <w:t>, Charles Kurzman, 1998</w:t>
      </w:r>
      <w:r>
        <w:t>.</w:t>
      </w:r>
    </w:p>
  </w:footnote>
  <w:footnote w:id="114">
    <w:p w14:paraId="36DEAD31" w14:textId="70AB603C" w:rsidR="008525E7" w:rsidRPr="00A36409" w:rsidRDefault="008525E7" w:rsidP="00A36409">
      <w:pPr>
        <w:pStyle w:val="FootnoteText"/>
      </w:pPr>
      <w:r>
        <w:rPr>
          <w:rStyle w:val="FootnoteReference"/>
        </w:rPr>
        <w:footnoteRef/>
      </w:r>
      <w:r>
        <w:t xml:space="preserve"> Bernard K. </w:t>
      </w:r>
      <w:proofErr w:type="spellStart"/>
      <w:r>
        <w:t>Freamon</w:t>
      </w:r>
      <w:proofErr w:type="spellEnd"/>
      <w:r>
        <w:t xml:space="preserve">, </w:t>
      </w:r>
      <w:r w:rsidRPr="003B7176">
        <w:rPr>
          <w:i/>
          <w:iCs/>
        </w:rPr>
        <w:t>Possessed by the Right Hand. The Problem of Slavery in Islamic Law and Muslim Cultures</w:t>
      </w:r>
      <w:r>
        <w:t>, Series: Studies in Global Slavery, Volume: 8, Brill, 2019, see pp. 439-519 on the illusion of abolition and the re-emergence of slavery in the Muslim world.</w:t>
      </w:r>
    </w:p>
  </w:footnote>
  <w:footnote w:id="115">
    <w:p w14:paraId="6CE7F04A" w14:textId="18490CFB" w:rsidR="008525E7" w:rsidRPr="005A0DC0" w:rsidRDefault="008525E7">
      <w:pPr>
        <w:pStyle w:val="FootnoteText"/>
      </w:pPr>
      <w:r>
        <w:rPr>
          <w:rStyle w:val="FootnoteReference"/>
        </w:rPr>
        <w:footnoteRef/>
      </w:r>
      <w:r>
        <w:t xml:space="preserve"> UNODC, </w:t>
      </w:r>
      <w:proofErr w:type="spellStart"/>
      <w:r>
        <w:t>Naif</w:t>
      </w:r>
      <w:proofErr w:type="spellEnd"/>
      <w:r>
        <w:t xml:space="preserve"> Arab University for Security Sciences, John Hopkins University, Combating Trafficking in Persons in Accordance with the Principles of Islamic Law, p. 6</w:t>
      </w:r>
      <w:r w:rsidRPr="005A0DC0">
        <w:t>.</w:t>
      </w:r>
    </w:p>
  </w:footnote>
  <w:footnote w:id="116">
    <w:p w14:paraId="31DE1417" w14:textId="2BB83758" w:rsidR="008525E7" w:rsidRPr="00825972" w:rsidRDefault="008525E7">
      <w:pPr>
        <w:pStyle w:val="FootnoteText"/>
      </w:pPr>
      <w:r>
        <w:rPr>
          <w:rStyle w:val="FootnoteReference"/>
        </w:rPr>
        <w:footnoteRef/>
      </w:r>
      <w:r>
        <w:t xml:space="preserve"> Lotte </w:t>
      </w:r>
      <w:proofErr w:type="spellStart"/>
      <w:r>
        <w:t>Pelkmans</w:t>
      </w:r>
      <w:proofErr w:type="spellEnd"/>
      <w:r>
        <w:t>, supra note 1</w:t>
      </w:r>
      <w:r w:rsidR="009A4CE1">
        <w:t>1</w:t>
      </w:r>
      <w:r>
        <w:t xml:space="preserve">. </w:t>
      </w:r>
    </w:p>
  </w:footnote>
  <w:footnote w:id="117">
    <w:p w14:paraId="45D89224" w14:textId="2DF60DB8" w:rsidR="008525E7" w:rsidRPr="006804FC" w:rsidRDefault="008525E7">
      <w:pPr>
        <w:pStyle w:val="FootnoteText"/>
      </w:pPr>
      <w:r>
        <w:rPr>
          <w:rStyle w:val="FootnoteReference"/>
        </w:rPr>
        <w:footnoteRef/>
      </w:r>
      <w:r>
        <w:t xml:space="preserve"> See MRGI website and ASI website. The need for training has also been highlighted by the US 2019 TIP Report, supra note </w:t>
      </w:r>
      <w:r w:rsidR="009A4CE1">
        <w:t>5</w:t>
      </w:r>
      <w:r>
        <w:t>.</w:t>
      </w:r>
    </w:p>
  </w:footnote>
  <w:footnote w:id="118">
    <w:p w14:paraId="769A36AD" w14:textId="65ED272E" w:rsidR="008525E7" w:rsidRPr="001D23CF" w:rsidRDefault="008525E7">
      <w:pPr>
        <w:pStyle w:val="FootnoteText"/>
      </w:pPr>
      <w:r>
        <w:rPr>
          <w:rStyle w:val="FootnoteReference"/>
        </w:rPr>
        <w:footnoteRef/>
      </w:r>
      <w:r>
        <w:t xml:space="preserve"> </w:t>
      </w:r>
      <w:r w:rsidRPr="00E76045">
        <w:t xml:space="preserve">Related to this, the training of lawyers at university level has been reported as more focused on </w:t>
      </w:r>
      <w:r w:rsidRPr="001D23CF">
        <w:rPr>
          <w:i/>
          <w:iCs/>
        </w:rPr>
        <w:t>sharia</w:t>
      </w:r>
      <w:r w:rsidRPr="00E76045">
        <w:t xml:space="preserve"> law aspects than on international human rights ratifications (Lotte </w:t>
      </w:r>
      <w:proofErr w:type="spellStart"/>
      <w:r w:rsidRPr="00E76045">
        <w:t>Pelckmans</w:t>
      </w:r>
      <w:proofErr w:type="spellEnd"/>
      <w:r w:rsidRPr="00E76045">
        <w:t xml:space="preserve">, </w:t>
      </w:r>
      <w:r>
        <w:t>supra note 1</w:t>
      </w:r>
      <w:r w:rsidR="009A4CE1">
        <w:t>1</w:t>
      </w:r>
      <w:r>
        <w:t xml:space="preserve">). </w:t>
      </w:r>
      <w:bookmarkStart w:id="33" w:name="_Hlk32321035"/>
      <w:r>
        <w:t>Minority Rights Group International has also identified a need for training in international human rights law in Mauritanian lawyers.</w:t>
      </w:r>
      <w:bookmarkEnd w:id="33"/>
    </w:p>
  </w:footnote>
  <w:footnote w:id="119">
    <w:p w14:paraId="330762C8" w14:textId="4FA14188" w:rsidR="008525E7" w:rsidRPr="0071774C" w:rsidRDefault="008525E7" w:rsidP="0071774C">
      <w:pPr>
        <w:pStyle w:val="FootnoteText"/>
      </w:pPr>
      <w:r>
        <w:rPr>
          <w:rStyle w:val="FootnoteReference"/>
        </w:rPr>
        <w:footnoteRef/>
      </w:r>
      <w:r>
        <w:t xml:space="preserve"> Abdullahi Ahmed An-</w:t>
      </w:r>
      <w:proofErr w:type="spellStart"/>
      <w:r>
        <w:t>Na'im</w:t>
      </w:r>
      <w:proofErr w:type="spellEnd"/>
      <w:r>
        <w:t xml:space="preserve">, </w:t>
      </w:r>
      <w:proofErr w:type="spellStart"/>
      <w:r w:rsidRPr="003B7176">
        <w:rPr>
          <w:i/>
          <w:iCs/>
        </w:rPr>
        <w:t>Shari'a</w:t>
      </w:r>
      <w:proofErr w:type="spellEnd"/>
      <w:r w:rsidRPr="003B7176">
        <w:rPr>
          <w:i/>
          <w:iCs/>
        </w:rPr>
        <w:t xml:space="preserve"> and Basic Human Rights Concerns in Liberal Islam</w:t>
      </w:r>
      <w:r>
        <w:t>, Charles Kurzman (ed.), 1998.</w:t>
      </w:r>
    </w:p>
  </w:footnote>
  <w:footnote w:id="120">
    <w:p w14:paraId="6B6C22D2" w14:textId="2B1BFB0D" w:rsidR="008525E7" w:rsidRPr="00F272D2" w:rsidRDefault="008525E7">
      <w:pPr>
        <w:pStyle w:val="FootnoteText"/>
      </w:pPr>
      <w:r>
        <w:rPr>
          <w:rStyle w:val="FootnoteReference"/>
        </w:rPr>
        <w:footnoteRef/>
      </w:r>
      <w:r>
        <w:t xml:space="preserve"> </w:t>
      </w:r>
      <w:r w:rsidRPr="00F272D2">
        <w:t xml:space="preserve">See </w:t>
      </w:r>
      <w:r>
        <w:t>reference to CEDAW ratification under factor 2 above.</w:t>
      </w:r>
    </w:p>
  </w:footnote>
  <w:footnote w:id="121">
    <w:p w14:paraId="2C11DA05" w14:textId="1B538A23" w:rsidR="008525E7" w:rsidRPr="006804FC" w:rsidRDefault="008525E7" w:rsidP="004336E3">
      <w:pPr>
        <w:pStyle w:val="FootnoteText"/>
      </w:pPr>
      <w:r>
        <w:rPr>
          <w:rStyle w:val="FootnoteReference"/>
        </w:rPr>
        <w:footnoteRef/>
      </w:r>
      <w:r>
        <w:t xml:space="preserve"> </w:t>
      </w:r>
      <w:proofErr w:type="spellStart"/>
      <w:r>
        <w:t>Euractiv</w:t>
      </w:r>
      <w:proofErr w:type="spellEnd"/>
      <w:r>
        <w:t>, ‘</w:t>
      </w:r>
      <w:r w:rsidRPr="004336E3">
        <w:t>Activists warn over slavery as Mauritania joins UN human rights council</w:t>
      </w:r>
      <w:r>
        <w:t xml:space="preserve">’, 27 February 2020, </w:t>
      </w:r>
      <w:hyperlink r:id="rId11" w:history="1">
        <w:r w:rsidRPr="004336E3">
          <w:rPr>
            <w:rStyle w:val="Hyperlink"/>
          </w:rPr>
          <w:t>https://www.euractiv.com/section/global-europe/news/activists-warn-over-slavery-as-mauritania-joins-un-human-rights-council/</w:t>
        </w:r>
      </w:hyperlink>
    </w:p>
  </w:footnote>
  <w:footnote w:id="122">
    <w:p w14:paraId="62D78EAD" w14:textId="1940ACB4" w:rsidR="008525E7" w:rsidRPr="00C646AE" w:rsidRDefault="008525E7" w:rsidP="00E034B9">
      <w:pPr>
        <w:pStyle w:val="FootnoteText"/>
      </w:pPr>
      <w:r>
        <w:rPr>
          <w:rStyle w:val="FootnoteReference"/>
        </w:rPr>
        <w:footnoteRef/>
      </w:r>
      <w:r>
        <w:t xml:space="preserve"> </w:t>
      </w:r>
      <w:r w:rsidRPr="00C0148C">
        <w:t>Investable sectors in Mauritania include tourism, transport infrastructure, livestock, fisheries and agriculture, mining, oil and retail</w:t>
      </w:r>
      <w:r>
        <w:t xml:space="preserve"> (UNCTAD, ‘Mauritania rolls out the welcome mat to investors with new </w:t>
      </w:r>
      <w:proofErr w:type="spellStart"/>
      <w:r>
        <w:t>iGuide</w:t>
      </w:r>
      <w:proofErr w:type="spellEnd"/>
      <w:r>
        <w:t xml:space="preserve">’, 2018). </w:t>
      </w:r>
      <w:r w:rsidRPr="00C0148C">
        <w:t>Another key economic opportunity comes from hydrocarbons developments</w:t>
      </w:r>
      <w:r>
        <w:t>, which have attracted Canadian, British and Chinese partners.</w:t>
      </w:r>
      <w:r w:rsidRPr="00C0148C">
        <w:t xml:space="preserve"> The country’s rich fisheries have drawn operators from China</w:t>
      </w:r>
      <w:r>
        <w:t>,</w:t>
      </w:r>
      <w:r w:rsidRPr="00C0148C">
        <w:t xml:space="preserve"> Russia</w:t>
      </w:r>
      <w:r>
        <w:t xml:space="preserve"> and</w:t>
      </w:r>
      <w:r w:rsidRPr="00C0148C">
        <w:t xml:space="preserve"> the EU</w:t>
      </w:r>
      <w:r>
        <w:t xml:space="preserve"> (Paul </w:t>
      </w:r>
      <w:proofErr w:type="spellStart"/>
      <w:r>
        <w:t>Melly</w:t>
      </w:r>
      <w:proofErr w:type="spellEnd"/>
      <w:r>
        <w:t>, ‘</w:t>
      </w:r>
      <w:r w:rsidRPr="0094301B">
        <w:t>Mauritania’s Unfolding Landscape: Elections, Hydrocarbons and Socio-Economic Change</w:t>
      </w:r>
      <w:r>
        <w:t>’, supra note 2</w:t>
      </w:r>
      <w:r w:rsidR="009A4CE1">
        <w:t>6</w:t>
      </w:r>
      <w:r w:rsidRPr="00CD0325">
        <w:t>, p. 2</w:t>
      </w:r>
      <w:r>
        <w:t>).</w:t>
      </w:r>
    </w:p>
  </w:footnote>
  <w:footnote w:id="123">
    <w:p w14:paraId="29BF472F" w14:textId="61135978" w:rsidR="008525E7" w:rsidRPr="008328AC" w:rsidRDefault="008525E7">
      <w:pPr>
        <w:pStyle w:val="FootnoteText"/>
      </w:pPr>
      <w:r>
        <w:rPr>
          <w:rStyle w:val="FootnoteReference"/>
        </w:rPr>
        <w:footnoteRef/>
      </w:r>
      <w:r>
        <w:t xml:space="preserve"> </w:t>
      </w:r>
      <w:r w:rsidRPr="004336E3">
        <w:t>Ibid.</w:t>
      </w:r>
    </w:p>
  </w:footnote>
  <w:footnote w:id="124">
    <w:p w14:paraId="3BAC3F1D" w14:textId="64792390" w:rsidR="008525E7" w:rsidRPr="007B7960" w:rsidRDefault="008525E7">
      <w:pPr>
        <w:pStyle w:val="FootnoteText"/>
      </w:pPr>
      <w:r>
        <w:rPr>
          <w:rStyle w:val="FootnoteReference"/>
        </w:rPr>
        <w:footnoteRef/>
      </w:r>
      <w:r>
        <w:t xml:space="preserve"> </w:t>
      </w:r>
      <w:r w:rsidRPr="007B7960">
        <w:t>I</w:t>
      </w:r>
      <w:r>
        <w:t>bid.</w:t>
      </w:r>
    </w:p>
  </w:footnote>
  <w:footnote w:id="125">
    <w:p w14:paraId="13080AA5" w14:textId="74590CA1" w:rsidR="008525E7" w:rsidRPr="002F27CA" w:rsidRDefault="008525E7">
      <w:pPr>
        <w:pStyle w:val="FootnoteText"/>
      </w:pPr>
      <w:r>
        <w:rPr>
          <w:rStyle w:val="FootnoteReference"/>
        </w:rPr>
        <w:footnoteRef/>
      </w:r>
      <w:r>
        <w:t xml:space="preserve"> Kevin Bales, Paul </w:t>
      </w:r>
      <w:proofErr w:type="spellStart"/>
      <w:r>
        <w:t>Melly</w:t>
      </w:r>
      <w:proofErr w:type="spellEnd"/>
      <w:r>
        <w:t xml:space="preserve">, consultation.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854"/>
    <w:multiLevelType w:val="hybridMultilevel"/>
    <w:tmpl w:val="EF86A5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292713"/>
    <w:multiLevelType w:val="hybridMultilevel"/>
    <w:tmpl w:val="0D282B18"/>
    <w:lvl w:ilvl="0" w:tplc="E9CAA9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C62C41"/>
    <w:multiLevelType w:val="hybridMultilevel"/>
    <w:tmpl w:val="B6EAD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91B89"/>
    <w:multiLevelType w:val="hybridMultilevel"/>
    <w:tmpl w:val="81A0700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AE60D9"/>
    <w:multiLevelType w:val="hybridMultilevel"/>
    <w:tmpl w:val="2136958A"/>
    <w:lvl w:ilvl="0" w:tplc="1FFEB4F2">
      <w:start w:val="1"/>
      <w:numFmt w:val="bullet"/>
      <w:lvlText w:val=""/>
      <w:lvlJc w:val="left"/>
      <w:pPr>
        <w:ind w:left="1080" w:hanging="72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627090"/>
    <w:multiLevelType w:val="hybridMultilevel"/>
    <w:tmpl w:val="03FA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C38D6"/>
    <w:multiLevelType w:val="hybridMultilevel"/>
    <w:tmpl w:val="0E844C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2A5DC1"/>
    <w:multiLevelType w:val="hybridMultilevel"/>
    <w:tmpl w:val="9A0E8994"/>
    <w:lvl w:ilvl="0" w:tplc="CA826BEC">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406003"/>
    <w:multiLevelType w:val="hybridMultilevel"/>
    <w:tmpl w:val="333CFCAE"/>
    <w:lvl w:ilvl="0" w:tplc="0C0A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744E3"/>
    <w:multiLevelType w:val="hybridMultilevel"/>
    <w:tmpl w:val="06A8A6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9950DC"/>
    <w:multiLevelType w:val="hybridMultilevel"/>
    <w:tmpl w:val="AEF8DD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D95C6F"/>
    <w:multiLevelType w:val="hybridMultilevel"/>
    <w:tmpl w:val="9D401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4D6DFF"/>
    <w:multiLevelType w:val="hybridMultilevel"/>
    <w:tmpl w:val="28384304"/>
    <w:lvl w:ilvl="0" w:tplc="08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5D634F"/>
    <w:multiLevelType w:val="hybridMultilevel"/>
    <w:tmpl w:val="3D3EE2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78719B"/>
    <w:multiLevelType w:val="hybridMultilevel"/>
    <w:tmpl w:val="B02ABE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D991E8B"/>
    <w:multiLevelType w:val="hybridMultilevel"/>
    <w:tmpl w:val="9C0CFBD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FA77D2B"/>
    <w:multiLevelType w:val="hybridMultilevel"/>
    <w:tmpl w:val="7CD0CA8A"/>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20076925"/>
    <w:multiLevelType w:val="hybridMultilevel"/>
    <w:tmpl w:val="0D0A91AA"/>
    <w:lvl w:ilvl="0" w:tplc="FB3CDAD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1335312"/>
    <w:multiLevelType w:val="hybridMultilevel"/>
    <w:tmpl w:val="B88E9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59F10D4"/>
    <w:multiLevelType w:val="hybridMultilevel"/>
    <w:tmpl w:val="85FEF3BA"/>
    <w:lvl w:ilvl="0" w:tplc="B4E64C2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6792A7D"/>
    <w:multiLevelType w:val="hybridMultilevel"/>
    <w:tmpl w:val="CF3239E4"/>
    <w:lvl w:ilvl="0" w:tplc="2892E766">
      <w:start w:val="1"/>
      <w:numFmt w:val="decimal"/>
      <w:lvlText w:val="%1."/>
      <w:lvlJc w:val="left"/>
      <w:pPr>
        <w:ind w:left="1080" w:hanging="720"/>
      </w:pPr>
      <w:rPr>
        <w:rFonts w:ascii="Times New Roman" w:eastAsiaTheme="minorHAnsi" w:hAnsi="Times New Roman" w:cs="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7B92B11"/>
    <w:multiLevelType w:val="hybridMultilevel"/>
    <w:tmpl w:val="0D4EBEF2"/>
    <w:lvl w:ilvl="0" w:tplc="C0D42A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968402E"/>
    <w:multiLevelType w:val="hybridMultilevel"/>
    <w:tmpl w:val="AC98E94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D610DB0"/>
    <w:multiLevelType w:val="hybridMultilevel"/>
    <w:tmpl w:val="0BAC1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4E1BD7"/>
    <w:multiLevelType w:val="hybridMultilevel"/>
    <w:tmpl w:val="BB3C7CAA"/>
    <w:lvl w:ilvl="0" w:tplc="5D4E0874">
      <w:start w:val="9"/>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4FA72AD"/>
    <w:multiLevelType w:val="hybridMultilevel"/>
    <w:tmpl w:val="DDB4DC7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EF3152"/>
    <w:multiLevelType w:val="hybridMultilevel"/>
    <w:tmpl w:val="63B81C96"/>
    <w:lvl w:ilvl="0" w:tplc="CA4EB6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E385D"/>
    <w:multiLevelType w:val="hybridMultilevel"/>
    <w:tmpl w:val="5F64E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70A52F9"/>
    <w:multiLevelType w:val="hybridMultilevel"/>
    <w:tmpl w:val="AE80FF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160EF5"/>
    <w:multiLevelType w:val="hybridMultilevel"/>
    <w:tmpl w:val="DFCA01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9FF4B4F"/>
    <w:multiLevelType w:val="hybridMultilevel"/>
    <w:tmpl w:val="2F6A3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3831B8"/>
    <w:multiLevelType w:val="multilevel"/>
    <w:tmpl w:val="2ECA6C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373AA6"/>
    <w:multiLevelType w:val="hybridMultilevel"/>
    <w:tmpl w:val="46907D2A"/>
    <w:lvl w:ilvl="0" w:tplc="08090001">
      <w:start w:val="1"/>
      <w:numFmt w:val="bullet"/>
      <w:lvlText w:val=""/>
      <w:lvlJc w:val="left"/>
      <w:pPr>
        <w:ind w:left="720" w:hanging="360"/>
      </w:pPr>
      <w:rPr>
        <w:rFonts w:ascii="Symbol" w:hAnsi="Symbol" w:hint="default"/>
        <w:color w:val="auto"/>
      </w:rPr>
    </w:lvl>
    <w:lvl w:ilvl="1" w:tplc="73EA631A">
      <w:start w:val="1"/>
      <w:numFmt w:val="bullet"/>
      <w:lvlText w:val="•"/>
      <w:lvlJc w:val="left"/>
      <w:pPr>
        <w:ind w:left="1800" w:hanging="720"/>
      </w:pPr>
      <w:rPr>
        <w:rFonts w:ascii="Times New Roman" w:eastAsiaTheme="minorHAnsi" w:hAnsi="Times New Roman"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1C7F49"/>
    <w:multiLevelType w:val="hybridMultilevel"/>
    <w:tmpl w:val="B010D2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C13301"/>
    <w:multiLevelType w:val="multilevel"/>
    <w:tmpl w:val="EFFA00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2228A4"/>
    <w:multiLevelType w:val="hybridMultilevel"/>
    <w:tmpl w:val="FF703862"/>
    <w:lvl w:ilvl="0" w:tplc="7C600F6A">
      <w:start w:val="1"/>
      <w:numFmt w:val="lowerRoman"/>
      <w:lvlText w:val="(%1)"/>
      <w:lvlJc w:val="left"/>
      <w:pPr>
        <w:ind w:left="1080" w:hanging="720"/>
      </w:pPr>
      <w:rPr>
        <w:rFonts w:hint="default"/>
        <w:color w:val="auto"/>
      </w:rPr>
    </w:lvl>
    <w:lvl w:ilvl="1" w:tplc="73EA631A">
      <w:start w:val="1"/>
      <w:numFmt w:val="bullet"/>
      <w:lvlText w:val="•"/>
      <w:lvlJc w:val="left"/>
      <w:pPr>
        <w:ind w:left="1800" w:hanging="720"/>
      </w:pPr>
      <w:rPr>
        <w:rFonts w:ascii="Times New Roman" w:eastAsiaTheme="minorHAnsi" w:hAnsi="Times New Roman"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CD4DF3"/>
    <w:multiLevelType w:val="hybridMultilevel"/>
    <w:tmpl w:val="BAA263D2"/>
    <w:lvl w:ilvl="0" w:tplc="9EF80F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F5904DF"/>
    <w:multiLevelType w:val="hybridMultilevel"/>
    <w:tmpl w:val="0DB661C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8A5FCB"/>
    <w:multiLevelType w:val="hybridMultilevel"/>
    <w:tmpl w:val="EF86A5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3802FF"/>
    <w:multiLevelType w:val="hybridMultilevel"/>
    <w:tmpl w:val="51C08B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342F5A"/>
    <w:multiLevelType w:val="hybridMultilevel"/>
    <w:tmpl w:val="BD2CE9B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8A18D2"/>
    <w:multiLevelType w:val="hybridMultilevel"/>
    <w:tmpl w:val="A9B88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CE43FA"/>
    <w:multiLevelType w:val="hybridMultilevel"/>
    <w:tmpl w:val="3200A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58A137E"/>
    <w:multiLevelType w:val="hybridMultilevel"/>
    <w:tmpl w:val="1BAE403A"/>
    <w:lvl w:ilvl="0" w:tplc="2B3C288E">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78343799"/>
    <w:multiLevelType w:val="hybridMultilevel"/>
    <w:tmpl w:val="48C050FE"/>
    <w:lvl w:ilvl="0" w:tplc="90FECB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8965366"/>
    <w:multiLevelType w:val="hybridMultilevel"/>
    <w:tmpl w:val="714E38D4"/>
    <w:lvl w:ilvl="0" w:tplc="151C0F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B913CD"/>
    <w:multiLevelType w:val="multilevel"/>
    <w:tmpl w:val="9E8AADB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FC73C7F"/>
    <w:multiLevelType w:val="multilevel"/>
    <w:tmpl w:val="5A480096"/>
    <w:lvl w:ilvl="0">
      <w:start w:val="1"/>
      <w:numFmt w:val="decimal"/>
      <w:pStyle w:val="Heading1"/>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5"/>
  </w:num>
  <w:num w:numId="2">
    <w:abstractNumId w:val="26"/>
  </w:num>
  <w:num w:numId="3">
    <w:abstractNumId w:val="23"/>
  </w:num>
  <w:num w:numId="4">
    <w:abstractNumId w:val="0"/>
  </w:num>
  <w:num w:numId="5">
    <w:abstractNumId w:val="38"/>
  </w:num>
  <w:num w:numId="6">
    <w:abstractNumId w:val="14"/>
  </w:num>
  <w:num w:numId="7">
    <w:abstractNumId w:val="35"/>
  </w:num>
  <w:num w:numId="8">
    <w:abstractNumId w:val="47"/>
  </w:num>
  <w:num w:numId="9">
    <w:abstractNumId w:val="3"/>
  </w:num>
  <w:num w:numId="10">
    <w:abstractNumId w:val="25"/>
  </w:num>
  <w:num w:numId="11">
    <w:abstractNumId w:val="19"/>
  </w:num>
  <w:num w:numId="12">
    <w:abstractNumId w:val="19"/>
    <w:lvlOverride w:ilvl="0">
      <w:startOverride w:val="1"/>
    </w:lvlOverride>
  </w:num>
  <w:num w:numId="13">
    <w:abstractNumId w:val="9"/>
  </w:num>
  <w:num w:numId="14">
    <w:abstractNumId w:val="41"/>
  </w:num>
  <w:num w:numId="15">
    <w:abstractNumId w:val="19"/>
    <w:lvlOverride w:ilvl="0">
      <w:startOverride w:val="1"/>
    </w:lvlOverride>
  </w:num>
  <w:num w:numId="16">
    <w:abstractNumId w:val="4"/>
  </w:num>
  <w:num w:numId="17">
    <w:abstractNumId w:val="20"/>
  </w:num>
  <w:num w:numId="18">
    <w:abstractNumId w:val="37"/>
  </w:num>
  <w:num w:numId="19">
    <w:abstractNumId w:val="34"/>
  </w:num>
  <w:num w:numId="20">
    <w:abstractNumId w:val="31"/>
  </w:num>
  <w:num w:numId="21">
    <w:abstractNumId w:val="42"/>
  </w:num>
  <w:num w:numId="22">
    <w:abstractNumId w:val="10"/>
  </w:num>
  <w:num w:numId="23">
    <w:abstractNumId w:val="13"/>
  </w:num>
  <w:num w:numId="24">
    <w:abstractNumId w:val="15"/>
  </w:num>
  <w:num w:numId="25">
    <w:abstractNumId w:val="8"/>
  </w:num>
  <w:num w:numId="26">
    <w:abstractNumId w:val="2"/>
  </w:num>
  <w:num w:numId="27">
    <w:abstractNumId w:val="24"/>
  </w:num>
  <w:num w:numId="28">
    <w:abstractNumId w:val="29"/>
  </w:num>
  <w:num w:numId="29">
    <w:abstractNumId w:val="12"/>
  </w:num>
  <w:num w:numId="30">
    <w:abstractNumId w:val="17"/>
  </w:num>
  <w:num w:numId="31">
    <w:abstractNumId w:val="28"/>
  </w:num>
  <w:num w:numId="32">
    <w:abstractNumId w:val="22"/>
  </w:num>
  <w:num w:numId="33">
    <w:abstractNumId w:val="40"/>
  </w:num>
  <w:num w:numId="34">
    <w:abstractNumId w:val="7"/>
  </w:num>
  <w:num w:numId="35">
    <w:abstractNumId w:val="39"/>
  </w:num>
  <w:num w:numId="36">
    <w:abstractNumId w:val="6"/>
  </w:num>
  <w:num w:numId="37">
    <w:abstractNumId w:val="18"/>
  </w:num>
  <w:num w:numId="38">
    <w:abstractNumId w:val="16"/>
    <w:lvlOverride w:ilvl="0"/>
    <w:lvlOverride w:ilvl="1">
      <w:startOverride w:val="1"/>
    </w:lvlOverride>
    <w:lvlOverride w:ilvl="2"/>
    <w:lvlOverride w:ilvl="3"/>
    <w:lvlOverride w:ilvl="4"/>
    <w:lvlOverride w:ilvl="5"/>
    <w:lvlOverride w:ilvl="6"/>
    <w:lvlOverride w:ilvl="7"/>
    <w:lvlOverride w:ilvl="8"/>
  </w:num>
  <w:num w:numId="3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5"/>
  </w:num>
  <w:num w:numId="42">
    <w:abstractNumId w:val="32"/>
  </w:num>
  <w:num w:numId="43">
    <w:abstractNumId w:val="1"/>
  </w:num>
  <w:num w:numId="44">
    <w:abstractNumId w:val="44"/>
  </w:num>
  <w:num w:numId="45">
    <w:abstractNumId w:val="21"/>
  </w:num>
  <w:num w:numId="46">
    <w:abstractNumId w:val="36"/>
  </w:num>
  <w:num w:numId="47">
    <w:abstractNumId w:val="33"/>
  </w:num>
  <w:num w:numId="48">
    <w:abstractNumId w:val="43"/>
  </w:num>
  <w:num w:numId="49">
    <w:abstractNumId w:val="27"/>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3A"/>
    <w:rsid w:val="000025C1"/>
    <w:rsid w:val="00003504"/>
    <w:rsid w:val="00004AE3"/>
    <w:rsid w:val="00013866"/>
    <w:rsid w:val="00017086"/>
    <w:rsid w:val="000170E3"/>
    <w:rsid w:val="0002390B"/>
    <w:rsid w:val="00024004"/>
    <w:rsid w:val="0002445A"/>
    <w:rsid w:val="00025C8C"/>
    <w:rsid w:val="00026F5E"/>
    <w:rsid w:val="00027B43"/>
    <w:rsid w:val="00027EEF"/>
    <w:rsid w:val="0003002F"/>
    <w:rsid w:val="00030248"/>
    <w:rsid w:val="0003281D"/>
    <w:rsid w:val="000353D6"/>
    <w:rsid w:val="00036C28"/>
    <w:rsid w:val="00037CA7"/>
    <w:rsid w:val="0004002A"/>
    <w:rsid w:val="0004407D"/>
    <w:rsid w:val="00045EA8"/>
    <w:rsid w:val="00046C1D"/>
    <w:rsid w:val="00047C0D"/>
    <w:rsid w:val="000503CB"/>
    <w:rsid w:val="00055A49"/>
    <w:rsid w:val="00060B80"/>
    <w:rsid w:val="000640DC"/>
    <w:rsid w:val="00065120"/>
    <w:rsid w:val="00065B2D"/>
    <w:rsid w:val="0006636B"/>
    <w:rsid w:val="00066DF1"/>
    <w:rsid w:val="00067CB7"/>
    <w:rsid w:val="0007029B"/>
    <w:rsid w:val="00072139"/>
    <w:rsid w:val="00073E3D"/>
    <w:rsid w:val="00074802"/>
    <w:rsid w:val="000804B7"/>
    <w:rsid w:val="00082ECC"/>
    <w:rsid w:val="00093EF0"/>
    <w:rsid w:val="00094FC0"/>
    <w:rsid w:val="0009691B"/>
    <w:rsid w:val="000A3D72"/>
    <w:rsid w:val="000A468F"/>
    <w:rsid w:val="000A6E5A"/>
    <w:rsid w:val="000A7A99"/>
    <w:rsid w:val="000A7CDB"/>
    <w:rsid w:val="000B05BD"/>
    <w:rsid w:val="000B324B"/>
    <w:rsid w:val="000B4071"/>
    <w:rsid w:val="000B5B3F"/>
    <w:rsid w:val="000B5CD7"/>
    <w:rsid w:val="000B66B6"/>
    <w:rsid w:val="000B753F"/>
    <w:rsid w:val="000B7AD9"/>
    <w:rsid w:val="000C2EC5"/>
    <w:rsid w:val="000C329B"/>
    <w:rsid w:val="000C37CE"/>
    <w:rsid w:val="000C58F7"/>
    <w:rsid w:val="000C6F0F"/>
    <w:rsid w:val="000C77E7"/>
    <w:rsid w:val="000D026A"/>
    <w:rsid w:val="000D04F8"/>
    <w:rsid w:val="000D31F9"/>
    <w:rsid w:val="000D62D2"/>
    <w:rsid w:val="000D7C66"/>
    <w:rsid w:val="000E0312"/>
    <w:rsid w:val="000E1304"/>
    <w:rsid w:val="000E16C8"/>
    <w:rsid w:val="000E2287"/>
    <w:rsid w:val="000E4DC1"/>
    <w:rsid w:val="000E5A08"/>
    <w:rsid w:val="000E6EAB"/>
    <w:rsid w:val="000E72CD"/>
    <w:rsid w:val="000F3541"/>
    <w:rsid w:val="00101731"/>
    <w:rsid w:val="0010318B"/>
    <w:rsid w:val="001067E6"/>
    <w:rsid w:val="00107124"/>
    <w:rsid w:val="0011263A"/>
    <w:rsid w:val="00112B46"/>
    <w:rsid w:val="00116EFE"/>
    <w:rsid w:val="0011707F"/>
    <w:rsid w:val="0012020C"/>
    <w:rsid w:val="001219D2"/>
    <w:rsid w:val="00121EF9"/>
    <w:rsid w:val="00127126"/>
    <w:rsid w:val="00127FB0"/>
    <w:rsid w:val="001316E4"/>
    <w:rsid w:val="001407D8"/>
    <w:rsid w:val="001409FB"/>
    <w:rsid w:val="00141B36"/>
    <w:rsid w:val="00146BDB"/>
    <w:rsid w:val="00147F24"/>
    <w:rsid w:val="001503E9"/>
    <w:rsid w:val="00150AEA"/>
    <w:rsid w:val="00153B9C"/>
    <w:rsid w:val="00153C0E"/>
    <w:rsid w:val="00156BB4"/>
    <w:rsid w:val="00160E0B"/>
    <w:rsid w:val="00164C5B"/>
    <w:rsid w:val="001658C4"/>
    <w:rsid w:val="0016595E"/>
    <w:rsid w:val="0017011E"/>
    <w:rsid w:val="00170AA5"/>
    <w:rsid w:val="001727B2"/>
    <w:rsid w:val="0017551B"/>
    <w:rsid w:val="0018333E"/>
    <w:rsid w:val="00183EC0"/>
    <w:rsid w:val="0018510C"/>
    <w:rsid w:val="00190DC3"/>
    <w:rsid w:val="001913C9"/>
    <w:rsid w:val="00195829"/>
    <w:rsid w:val="00197392"/>
    <w:rsid w:val="00197A2A"/>
    <w:rsid w:val="001A4AEB"/>
    <w:rsid w:val="001A501E"/>
    <w:rsid w:val="001A61E8"/>
    <w:rsid w:val="001A64A5"/>
    <w:rsid w:val="001A65D7"/>
    <w:rsid w:val="001A7309"/>
    <w:rsid w:val="001B036F"/>
    <w:rsid w:val="001C12C0"/>
    <w:rsid w:val="001C4FC2"/>
    <w:rsid w:val="001C712C"/>
    <w:rsid w:val="001D00E1"/>
    <w:rsid w:val="001D0E55"/>
    <w:rsid w:val="001D1261"/>
    <w:rsid w:val="001D175F"/>
    <w:rsid w:val="001D23CF"/>
    <w:rsid w:val="001D6780"/>
    <w:rsid w:val="001D6D44"/>
    <w:rsid w:val="001D7001"/>
    <w:rsid w:val="001D7816"/>
    <w:rsid w:val="001D7FC8"/>
    <w:rsid w:val="001E030D"/>
    <w:rsid w:val="001E0478"/>
    <w:rsid w:val="001E2705"/>
    <w:rsid w:val="001E72A9"/>
    <w:rsid w:val="001F0EB3"/>
    <w:rsid w:val="001F3103"/>
    <w:rsid w:val="001F665D"/>
    <w:rsid w:val="002022E2"/>
    <w:rsid w:val="00202A6A"/>
    <w:rsid w:val="00203025"/>
    <w:rsid w:val="00204FFE"/>
    <w:rsid w:val="00206A21"/>
    <w:rsid w:val="00207818"/>
    <w:rsid w:val="002102B1"/>
    <w:rsid w:val="0021322E"/>
    <w:rsid w:val="00215EAB"/>
    <w:rsid w:val="00216E66"/>
    <w:rsid w:val="00220C8E"/>
    <w:rsid w:val="00230140"/>
    <w:rsid w:val="00230668"/>
    <w:rsid w:val="002317DA"/>
    <w:rsid w:val="00234FDE"/>
    <w:rsid w:val="002416E3"/>
    <w:rsid w:val="0024279E"/>
    <w:rsid w:val="00243A54"/>
    <w:rsid w:val="00247D90"/>
    <w:rsid w:val="00250F6A"/>
    <w:rsid w:val="00256C48"/>
    <w:rsid w:val="00262983"/>
    <w:rsid w:val="00263357"/>
    <w:rsid w:val="002635AB"/>
    <w:rsid w:val="002647E9"/>
    <w:rsid w:val="002656AE"/>
    <w:rsid w:val="00266330"/>
    <w:rsid w:val="00267FD5"/>
    <w:rsid w:val="002700E0"/>
    <w:rsid w:val="00270426"/>
    <w:rsid w:val="00274081"/>
    <w:rsid w:val="00275DBF"/>
    <w:rsid w:val="002769BE"/>
    <w:rsid w:val="00280A6B"/>
    <w:rsid w:val="00295CC1"/>
    <w:rsid w:val="0029639E"/>
    <w:rsid w:val="00297D44"/>
    <w:rsid w:val="002A0448"/>
    <w:rsid w:val="002A13DE"/>
    <w:rsid w:val="002A16FC"/>
    <w:rsid w:val="002C144D"/>
    <w:rsid w:val="002C3D5B"/>
    <w:rsid w:val="002C3D60"/>
    <w:rsid w:val="002C70DE"/>
    <w:rsid w:val="002D0C53"/>
    <w:rsid w:val="002D1295"/>
    <w:rsid w:val="002D4125"/>
    <w:rsid w:val="002D72F0"/>
    <w:rsid w:val="002D7822"/>
    <w:rsid w:val="002D7A87"/>
    <w:rsid w:val="002D7DAC"/>
    <w:rsid w:val="002E18B0"/>
    <w:rsid w:val="002E495E"/>
    <w:rsid w:val="002E4A54"/>
    <w:rsid w:val="002F27CA"/>
    <w:rsid w:val="002F411E"/>
    <w:rsid w:val="002F7F6A"/>
    <w:rsid w:val="0030255A"/>
    <w:rsid w:val="00303C47"/>
    <w:rsid w:val="00304575"/>
    <w:rsid w:val="00306930"/>
    <w:rsid w:val="00314F17"/>
    <w:rsid w:val="00316914"/>
    <w:rsid w:val="00320606"/>
    <w:rsid w:val="003216CC"/>
    <w:rsid w:val="00325847"/>
    <w:rsid w:val="003259A7"/>
    <w:rsid w:val="0033435A"/>
    <w:rsid w:val="003344A0"/>
    <w:rsid w:val="00335868"/>
    <w:rsid w:val="003401CB"/>
    <w:rsid w:val="00342347"/>
    <w:rsid w:val="003443CC"/>
    <w:rsid w:val="00344880"/>
    <w:rsid w:val="00345EFF"/>
    <w:rsid w:val="003540C7"/>
    <w:rsid w:val="0036304A"/>
    <w:rsid w:val="00365936"/>
    <w:rsid w:val="00366558"/>
    <w:rsid w:val="00370274"/>
    <w:rsid w:val="00370D4B"/>
    <w:rsid w:val="003753F2"/>
    <w:rsid w:val="00375CFA"/>
    <w:rsid w:val="00376192"/>
    <w:rsid w:val="00377C81"/>
    <w:rsid w:val="00381033"/>
    <w:rsid w:val="0038302E"/>
    <w:rsid w:val="00383144"/>
    <w:rsid w:val="003858C8"/>
    <w:rsid w:val="00387A44"/>
    <w:rsid w:val="00392DF7"/>
    <w:rsid w:val="0039539A"/>
    <w:rsid w:val="003A20B0"/>
    <w:rsid w:val="003A4CFE"/>
    <w:rsid w:val="003B082B"/>
    <w:rsid w:val="003B1902"/>
    <w:rsid w:val="003B2091"/>
    <w:rsid w:val="003B425B"/>
    <w:rsid w:val="003B6FC0"/>
    <w:rsid w:val="003B7176"/>
    <w:rsid w:val="003C2158"/>
    <w:rsid w:val="003C2247"/>
    <w:rsid w:val="003C4A12"/>
    <w:rsid w:val="003C5B3A"/>
    <w:rsid w:val="003C71F1"/>
    <w:rsid w:val="003C7CC0"/>
    <w:rsid w:val="003D082A"/>
    <w:rsid w:val="003D297F"/>
    <w:rsid w:val="003D3F4E"/>
    <w:rsid w:val="003D454B"/>
    <w:rsid w:val="003D6A43"/>
    <w:rsid w:val="003E5041"/>
    <w:rsid w:val="003E5D77"/>
    <w:rsid w:val="003F1178"/>
    <w:rsid w:val="003F231B"/>
    <w:rsid w:val="003F3015"/>
    <w:rsid w:val="003F381D"/>
    <w:rsid w:val="003F430A"/>
    <w:rsid w:val="003F4A84"/>
    <w:rsid w:val="003F5227"/>
    <w:rsid w:val="003F5EE5"/>
    <w:rsid w:val="00405621"/>
    <w:rsid w:val="00406F3A"/>
    <w:rsid w:val="004079A4"/>
    <w:rsid w:val="004108A6"/>
    <w:rsid w:val="00410A5C"/>
    <w:rsid w:val="004203AB"/>
    <w:rsid w:val="004213C3"/>
    <w:rsid w:val="0042564B"/>
    <w:rsid w:val="0043197A"/>
    <w:rsid w:val="00432BF2"/>
    <w:rsid w:val="00432E3A"/>
    <w:rsid w:val="004336E3"/>
    <w:rsid w:val="00435E95"/>
    <w:rsid w:val="004367D2"/>
    <w:rsid w:val="00441388"/>
    <w:rsid w:val="00444CDD"/>
    <w:rsid w:val="00447C85"/>
    <w:rsid w:val="0045309E"/>
    <w:rsid w:val="00457863"/>
    <w:rsid w:val="004660CC"/>
    <w:rsid w:val="00470ECB"/>
    <w:rsid w:val="00471625"/>
    <w:rsid w:val="00473159"/>
    <w:rsid w:val="00476ABB"/>
    <w:rsid w:val="00482FF1"/>
    <w:rsid w:val="0048310F"/>
    <w:rsid w:val="00483398"/>
    <w:rsid w:val="00491410"/>
    <w:rsid w:val="004967FA"/>
    <w:rsid w:val="004A5BAB"/>
    <w:rsid w:val="004B03AA"/>
    <w:rsid w:val="004B45DF"/>
    <w:rsid w:val="004B63E6"/>
    <w:rsid w:val="004C45D8"/>
    <w:rsid w:val="004C4AD3"/>
    <w:rsid w:val="004C4F3F"/>
    <w:rsid w:val="004C69D1"/>
    <w:rsid w:val="004C7A67"/>
    <w:rsid w:val="004D1677"/>
    <w:rsid w:val="004D1EF7"/>
    <w:rsid w:val="004D40E2"/>
    <w:rsid w:val="004D4A71"/>
    <w:rsid w:val="004D5CFF"/>
    <w:rsid w:val="004E0362"/>
    <w:rsid w:val="004E05AE"/>
    <w:rsid w:val="004E4B3B"/>
    <w:rsid w:val="004E67BC"/>
    <w:rsid w:val="004E7E90"/>
    <w:rsid w:val="004F0866"/>
    <w:rsid w:val="004F3E5E"/>
    <w:rsid w:val="004F4110"/>
    <w:rsid w:val="004F4F87"/>
    <w:rsid w:val="004F6CC8"/>
    <w:rsid w:val="004F6DC8"/>
    <w:rsid w:val="004F734A"/>
    <w:rsid w:val="004F780C"/>
    <w:rsid w:val="004F7F5A"/>
    <w:rsid w:val="00501111"/>
    <w:rsid w:val="005031DE"/>
    <w:rsid w:val="00507185"/>
    <w:rsid w:val="0051401E"/>
    <w:rsid w:val="00514484"/>
    <w:rsid w:val="00522103"/>
    <w:rsid w:val="005257E4"/>
    <w:rsid w:val="005335FE"/>
    <w:rsid w:val="00536B6E"/>
    <w:rsid w:val="00541522"/>
    <w:rsid w:val="00542782"/>
    <w:rsid w:val="005457BC"/>
    <w:rsid w:val="00546ADE"/>
    <w:rsid w:val="00546C41"/>
    <w:rsid w:val="00551A82"/>
    <w:rsid w:val="00552F1C"/>
    <w:rsid w:val="00553215"/>
    <w:rsid w:val="005560BE"/>
    <w:rsid w:val="0055653E"/>
    <w:rsid w:val="0055717A"/>
    <w:rsid w:val="005655A4"/>
    <w:rsid w:val="00572473"/>
    <w:rsid w:val="00573896"/>
    <w:rsid w:val="00575C20"/>
    <w:rsid w:val="00576095"/>
    <w:rsid w:val="00580D91"/>
    <w:rsid w:val="00582D35"/>
    <w:rsid w:val="00587D96"/>
    <w:rsid w:val="00592CDD"/>
    <w:rsid w:val="00593175"/>
    <w:rsid w:val="005934C3"/>
    <w:rsid w:val="005A09B3"/>
    <w:rsid w:val="005A0DC0"/>
    <w:rsid w:val="005A0E6C"/>
    <w:rsid w:val="005A20E9"/>
    <w:rsid w:val="005A214E"/>
    <w:rsid w:val="005A68C0"/>
    <w:rsid w:val="005A69BD"/>
    <w:rsid w:val="005A7787"/>
    <w:rsid w:val="005A7DBF"/>
    <w:rsid w:val="005B242B"/>
    <w:rsid w:val="005C2454"/>
    <w:rsid w:val="005C2DE5"/>
    <w:rsid w:val="005C4671"/>
    <w:rsid w:val="005C4810"/>
    <w:rsid w:val="005C7B87"/>
    <w:rsid w:val="005D2A9D"/>
    <w:rsid w:val="005D2FB9"/>
    <w:rsid w:val="005D3537"/>
    <w:rsid w:val="005E2DAD"/>
    <w:rsid w:val="005E4200"/>
    <w:rsid w:val="005F2A72"/>
    <w:rsid w:val="005F2F0E"/>
    <w:rsid w:val="005F65CF"/>
    <w:rsid w:val="006004F9"/>
    <w:rsid w:val="00600AF7"/>
    <w:rsid w:val="0060434D"/>
    <w:rsid w:val="00606874"/>
    <w:rsid w:val="006111A6"/>
    <w:rsid w:val="006124EC"/>
    <w:rsid w:val="00620E12"/>
    <w:rsid w:val="00623749"/>
    <w:rsid w:val="00626EB7"/>
    <w:rsid w:val="00630E61"/>
    <w:rsid w:val="00632985"/>
    <w:rsid w:val="006345BE"/>
    <w:rsid w:val="006354D3"/>
    <w:rsid w:val="00635923"/>
    <w:rsid w:val="00636571"/>
    <w:rsid w:val="00636E0F"/>
    <w:rsid w:val="00641566"/>
    <w:rsid w:val="0064610F"/>
    <w:rsid w:val="006467E2"/>
    <w:rsid w:val="0064685B"/>
    <w:rsid w:val="006477A9"/>
    <w:rsid w:val="00647C0C"/>
    <w:rsid w:val="006530CB"/>
    <w:rsid w:val="006600D9"/>
    <w:rsid w:val="0066163E"/>
    <w:rsid w:val="00662FE2"/>
    <w:rsid w:val="00662FF6"/>
    <w:rsid w:val="00666F71"/>
    <w:rsid w:val="00671BC4"/>
    <w:rsid w:val="00674FF7"/>
    <w:rsid w:val="00680404"/>
    <w:rsid w:val="006804FC"/>
    <w:rsid w:val="006809F9"/>
    <w:rsid w:val="00680FC1"/>
    <w:rsid w:val="00684032"/>
    <w:rsid w:val="006865AB"/>
    <w:rsid w:val="00687C9E"/>
    <w:rsid w:val="006912FE"/>
    <w:rsid w:val="006945F9"/>
    <w:rsid w:val="0069482F"/>
    <w:rsid w:val="00697C9B"/>
    <w:rsid w:val="006A0F74"/>
    <w:rsid w:val="006A1293"/>
    <w:rsid w:val="006A27B5"/>
    <w:rsid w:val="006B133F"/>
    <w:rsid w:val="006B2C34"/>
    <w:rsid w:val="006B4446"/>
    <w:rsid w:val="006B6EA1"/>
    <w:rsid w:val="006B71DC"/>
    <w:rsid w:val="006C2A7E"/>
    <w:rsid w:val="006C38D1"/>
    <w:rsid w:val="006C4300"/>
    <w:rsid w:val="006C4C1F"/>
    <w:rsid w:val="006C54B1"/>
    <w:rsid w:val="006C698B"/>
    <w:rsid w:val="006C6F1C"/>
    <w:rsid w:val="006D1D62"/>
    <w:rsid w:val="006D4052"/>
    <w:rsid w:val="006D4282"/>
    <w:rsid w:val="006E1E14"/>
    <w:rsid w:val="006E3305"/>
    <w:rsid w:val="006E4D7A"/>
    <w:rsid w:val="006E59DA"/>
    <w:rsid w:val="006F07EF"/>
    <w:rsid w:val="006F2A22"/>
    <w:rsid w:val="006F4AF4"/>
    <w:rsid w:val="006F780B"/>
    <w:rsid w:val="00700142"/>
    <w:rsid w:val="007008C2"/>
    <w:rsid w:val="007016F2"/>
    <w:rsid w:val="0070525C"/>
    <w:rsid w:val="00707726"/>
    <w:rsid w:val="0071774C"/>
    <w:rsid w:val="007178AB"/>
    <w:rsid w:val="00723E16"/>
    <w:rsid w:val="00730193"/>
    <w:rsid w:val="007348BC"/>
    <w:rsid w:val="00740AB5"/>
    <w:rsid w:val="00740B54"/>
    <w:rsid w:val="007430DB"/>
    <w:rsid w:val="00743510"/>
    <w:rsid w:val="00744BA2"/>
    <w:rsid w:val="007527F6"/>
    <w:rsid w:val="0076062C"/>
    <w:rsid w:val="007618AD"/>
    <w:rsid w:val="00765ADF"/>
    <w:rsid w:val="00765C4A"/>
    <w:rsid w:val="00766CDF"/>
    <w:rsid w:val="007703C6"/>
    <w:rsid w:val="0077408C"/>
    <w:rsid w:val="00774499"/>
    <w:rsid w:val="00775388"/>
    <w:rsid w:val="007800DD"/>
    <w:rsid w:val="0078128A"/>
    <w:rsid w:val="00781952"/>
    <w:rsid w:val="00793A59"/>
    <w:rsid w:val="00795DD7"/>
    <w:rsid w:val="0079758D"/>
    <w:rsid w:val="007A3000"/>
    <w:rsid w:val="007A31A3"/>
    <w:rsid w:val="007A4961"/>
    <w:rsid w:val="007B6155"/>
    <w:rsid w:val="007B6845"/>
    <w:rsid w:val="007B7960"/>
    <w:rsid w:val="007C1A92"/>
    <w:rsid w:val="007C4A0A"/>
    <w:rsid w:val="007C546F"/>
    <w:rsid w:val="007D0702"/>
    <w:rsid w:val="007D09C9"/>
    <w:rsid w:val="007D0A95"/>
    <w:rsid w:val="007D2994"/>
    <w:rsid w:val="007D3666"/>
    <w:rsid w:val="007D737F"/>
    <w:rsid w:val="007E06AA"/>
    <w:rsid w:val="007E4FEC"/>
    <w:rsid w:val="007F1450"/>
    <w:rsid w:val="007F238C"/>
    <w:rsid w:val="007F2A0D"/>
    <w:rsid w:val="007F7070"/>
    <w:rsid w:val="00803333"/>
    <w:rsid w:val="00803E0D"/>
    <w:rsid w:val="00805BB0"/>
    <w:rsid w:val="00805C27"/>
    <w:rsid w:val="00807681"/>
    <w:rsid w:val="0081197B"/>
    <w:rsid w:val="00814D97"/>
    <w:rsid w:val="00815342"/>
    <w:rsid w:val="00816722"/>
    <w:rsid w:val="00820D9F"/>
    <w:rsid w:val="0082579A"/>
    <w:rsid w:val="00825972"/>
    <w:rsid w:val="008275A2"/>
    <w:rsid w:val="008319D6"/>
    <w:rsid w:val="008328AC"/>
    <w:rsid w:val="00840191"/>
    <w:rsid w:val="00840DC9"/>
    <w:rsid w:val="00844809"/>
    <w:rsid w:val="008502C9"/>
    <w:rsid w:val="008525E7"/>
    <w:rsid w:val="008539F1"/>
    <w:rsid w:val="00855842"/>
    <w:rsid w:val="008567A5"/>
    <w:rsid w:val="00856DB0"/>
    <w:rsid w:val="00857C9F"/>
    <w:rsid w:val="00867338"/>
    <w:rsid w:val="00867A24"/>
    <w:rsid w:val="00871053"/>
    <w:rsid w:val="00877FC2"/>
    <w:rsid w:val="0088316E"/>
    <w:rsid w:val="008837EC"/>
    <w:rsid w:val="00896721"/>
    <w:rsid w:val="0089779A"/>
    <w:rsid w:val="008A09BB"/>
    <w:rsid w:val="008A0BE0"/>
    <w:rsid w:val="008A1802"/>
    <w:rsid w:val="008A4685"/>
    <w:rsid w:val="008A5446"/>
    <w:rsid w:val="008A6F2B"/>
    <w:rsid w:val="008A745E"/>
    <w:rsid w:val="008B0C20"/>
    <w:rsid w:val="008B1758"/>
    <w:rsid w:val="008B1CDC"/>
    <w:rsid w:val="008B2853"/>
    <w:rsid w:val="008B7E52"/>
    <w:rsid w:val="008C0B6C"/>
    <w:rsid w:val="008C3E2F"/>
    <w:rsid w:val="008D0C5E"/>
    <w:rsid w:val="008D18C1"/>
    <w:rsid w:val="008D1B47"/>
    <w:rsid w:val="008D4D7F"/>
    <w:rsid w:val="008D6A27"/>
    <w:rsid w:val="008D6A7E"/>
    <w:rsid w:val="008D7E3F"/>
    <w:rsid w:val="008E01EA"/>
    <w:rsid w:val="008E1B6A"/>
    <w:rsid w:val="008E3AFC"/>
    <w:rsid w:val="008E7095"/>
    <w:rsid w:val="008F1F82"/>
    <w:rsid w:val="008F4CD3"/>
    <w:rsid w:val="008F4E99"/>
    <w:rsid w:val="008F54FF"/>
    <w:rsid w:val="00900E40"/>
    <w:rsid w:val="00904F3F"/>
    <w:rsid w:val="00906B4E"/>
    <w:rsid w:val="009100E6"/>
    <w:rsid w:val="00911FE2"/>
    <w:rsid w:val="0091388B"/>
    <w:rsid w:val="00914D3B"/>
    <w:rsid w:val="009177AD"/>
    <w:rsid w:val="00920AE5"/>
    <w:rsid w:val="0092115A"/>
    <w:rsid w:val="00921DC1"/>
    <w:rsid w:val="00922028"/>
    <w:rsid w:val="00922667"/>
    <w:rsid w:val="009335D1"/>
    <w:rsid w:val="00933DBC"/>
    <w:rsid w:val="00937724"/>
    <w:rsid w:val="00942F1B"/>
    <w:rsid w:val="0094301B"/>
    <w:rsid w:val="009440D0"/>
    <w:rsid w:val="0094451B"/>
    <w:rsid w:val="0095058F"/>
    <w:rsid w:val="00950794"/>
    <w:rsid w:val="00950F22"/>
    <w:rsid w:val="009519A9"/>
    <w:rsid w:val="00954DD6"/>
    <w:rsid w:val="00956BE7"/>
    <w:rsid w:val="00965F14"/>
    <w:rsid w:val="009706DB"/>
    <w:rsid w:val="00972F61"/>
    <w:rsid w:val="00974176"/>
    <w:rsid w:val="00974E03"/>
    <w:rsid w:val="009754AA"/>
    <w:rsid w:val="009765CE"/>
    <w:rsid w:val="009767B6"/>
    <w:rsid w:val="009832A4"/>
    <w:rsid w:val="00983657"/>
    <w:rsid w:val="00983B06"/>
    <w:rsid w:val="00984ACC"/>
    <w:rsid w:val="00984B15"/>
    <w:rsid w:val="0099039C"/>
    <w:rsid w:val="00996703"/>
    <w:rsid w:val="009A119E"/>
    <w:rsid w:val="009A3A88"/>
    <w:rsid w:val="009A4CE1"/>
    <w:rsid w:val="009A6CDA"/>
    <w:rsid w:val="009B1B88"/>
    <w:rsid w:val="009B5CD8"/>
    <w:rsid w:val="009C074F"/>
    <w:rsid w:val="009C2B70"/>
    <w:rsid w:val="009C3E6C"/>
    <w:rsid w:val="009C45BD"/>
    <w:rsid w:val="009D4DAE"/>
    <w:rsid w:val="009D6EB7"/>
    <w:rsid w:val="009D7CDE"/>
    <w:rsid w:val="009E232B"/>
    <w:rsid w:val="009E2A58"/>
    <w:rsid w:val="009E35F6"/>
    <w:rsid w:val="009E52CA"/>
    <w:rsid w:val="009E7F93"/>
    <w:rsid w:val="009F1C4F"/>
    <w:rsid w:val="009F33C7"/>
    <w:rsid w:val="00A01973"/>
    <w:rsid w:val="00A02F3F"/>
    <w:rsid w:val="00A04425"/>
    <w:rsid w:val="00A051C0"/>
    <w:rsid w:val="00A15F4B"/>
    <w:rsid w:val="00A25F57"/>
    <w:rsid w:val="00A27D48"/>
    <w:rsid w:val="00A30941"/>
    <w:rsid w:val="00A30A18"/>
    <w:rsid w:val="00A33EA9"/>
    <w:rsid w:val="00A36409"/>
    <w:rsid w:val="00A3787F"/>
    <w:rsid w:val="00A431B6"/>
    <w:rsid w:val="00A444AB"/>
    <w:rsid w:val="00A4561B"/>
    <w:rsid w:val="00A4668A"/>
    <w:rsid w:val="00A469F2"/>
    <w:rsid w:val="00A46B2A"/>
    <w:rsid w:val="00A518AE"/>
    <w:rsid w:val="00A53370"/>
    <w:rsid w:val="00A56302"/>
    <w:rsid w:val="00A56790"/>
    <w:rsid w:val="00A57A37"/>
    <w:rsid w:val="00A6064F"/>
    <w:rsid w:val="00A60C27"/>
    <w:rsid w:val="00A63129"/>
    <w:rsid w:val="00A65547"/>
    <w:rsid w:val="00A65C7B"/>
    <w:rsid w:val="00A65F08"/>
    <w:rsid w:val="00A677C1"/>
    <w:rsid w:val="00A761FB"/>
    <w:rsid w:val="00A82FAE"/>
    <w:rsid w:val="00A84AB9"/>
    <w:rsid w:val="00A85A30"/>
    <w:rsid w:val="00A86D00"/>
    <w:rsid w:val="00A90123"/>
    <w:rsid w:val="00A939E1"/>
    <w:rsid w:val="00A945DE"/>
    <w:rsid w:val="00AA0FD9"/>
    <w:rsid w:val="00AA6E7D"/>
    <w:rsid w:val="00AA776E"/>
    <w:rsid w:val="00AB00E5"/>
    <w:rsid w:val="00AB3B22"/>
    <w:rsid w:val="00AB4810"/>
    <w:rsid w:val="00AB4E96"/>
    <w:rsid w:val="00AC04C1"/>
    <w:rsid w:val="00AC14E2"/>
    <w:rsid w:val="00AC1A72"/>
    <w:rsid w:val="00AC5225"/>
    <w:rsid w:val="00AC5D39"/>
    <w:rsid w:val="00AC645B"/>
    <w:rsid w:val="00AD0D1C"/>
    <w:rsid w:val="00AD4280"/>
    <w:rsid w:val="00AD4446"/>
    <w:rsid w:val="00AD516C"/>
    <w:rsid w:val="00AD62F3"/>
    <w:rsid w:val="00AE3B21"/>
    <w:rsid w:val="00AE3B7F"/>
    <w:rsid w:val="00AE4DB6"/>
    <w:rsid w:val="00AE5DBB"/>
    <w:rsid w:val="00AF1A6A"/>
    <w:rsid w:val="00AF28C7"/>
    <w:rsid w:val="00AF436B"/>
    <w:rsid w:val="00AF4AF6"/>
    <w:rsid w:val="00B01B72"/>
    <w:rsid w:val="00B02555"/>
    <w:rsid w:val="00B0456B"/>
    <w:rsid w:val="00B066CE"/>
    <w:rsid w:val="00B06C6B"/>
    <w:rsid w:val="00B12D1F"/>
    <w:rsid w:val="00B15BAF"/>
    <w:rsid w:val="00B15E14"/>
    <w:rsid w:val="00B17129"/>
    <w:rsid w:val="00B21330"/>
    <w:rsid w:val="00B2402B"/>
    <w:rsid w:val="00B25633"/>
    <w:rsid w:val="00B27500"/>
    <w:rsid w:val="00B27948"/>
    <w:rsid w:val="00B3591D"/>
    <w:rsid w:val="00B455CB"/>
    <w:rsid w:val="00B457C3"/>
    <w:rsid w:val="00B464F9"/>
    <w:rsid w:val="00B46DD7"/>
    <w:rsid w:val="00B471AD"/>
    <w:rsid w:val="00B502DC"/>
    <w:rsid w:val="00B52BC7"/>
    <w:rsid w:val="00B52E5C"/>
    <w:rsid w:val="00B54077"/>
    <w:rsid w:val="00B55B3D"/>
    <w:rsid w:val="00B61425"/>
    <w:rsid w:val="00B626D1"/>
    <w:rsid w:val="00B63954"/>
    <w:rsid w:val="00B70925"/>
    <w:rsid w:val="00B71A65"/>
    <w:rsid w:val="00B814CB"/>
    <w:rsid w:val="00B83B16"/>
    <w:rsid w:val="00B90B01"/>
    <w:rsid w:val="00B93CDC"/>
    <w:rsid w:val="00BA3BCB"/>
    <w:rsid w:val="00BA3F2A"/>
    <w:rsid w:val="00BB0B3C"/>
    <w:rsid w:val="00BB3730"/>
    <w:rsid w:val="00BB4776"/>
    <w:rsid w:val="00BB6538"/>
    <w:rsid w:val="00BC1E43"/>
    <w:rsid w:val="00BC2F27"/>
    <w:rsid w:val="00BC682A"/>
    <w:rsid w:val="00BC7379"/>
    <w:rsid w:val="00BD1CBB"/>
    <w:rsid w:val="00BD570B"/>
    <w:rsid w:val="00BE0CC6"/>
    <w:rsid w:val="00BE1B81"/>
    <w:rsid w:val="00BE32CC"/>
    <w:rsid w:val="00BE6F8E"/>
    <w:rsid w:val="00BF2964"/>
    <w:rsid w:val="00C0148C"/>
    <w:rsid w:val="00C043A2"/>
    <w:rsid w:val="00C103C9"/>
    <w:rsid w:val="00C143CC"/>
    <w:rsid w:val="00C16064"/>
    <w:rsid w:val="00C209FD"/>
    <w:rsid w:val="00C20ACA"/>
    <w:rsid w:val="00C22094"/>
    <w:rsid w:val="00C22DCD"/>
    <w:rsid w:val="00C25111"/>
    <w:rsid w:val="00C256B9"/>
    <w:rsid w:val="00C2671C"/>
    <w:rsid w:val="00C30B39"/>
    <w:rsid w:val="00C3721C"/>
    <w:rsid w:val="00C40D01"/>
    <w:rsid w:val="00C42A25"/>
    <w:rsid w:val="00C46D64"/>
    <w:rsid w:val="00C51FEF"/>
    <w:rsid w:val="00C52A6E"/>
    <w:rsid w:val="00C57148"/>
    <w:rsid w:val="00C575EE"/>
    <w:rsid w:val="00C6091A"/>
    <w:rsid w:val="00C6239B"/>
    <w:rsid w:val="00C624C8"/>
    <w:rsid w:val="00C6328D"/>
    <w:rsid w:val="00C63C69"/>
    <w:rsid w:val="00C646AE"/>
    <w:rsid w:val="00C64A74"/>
    <w:rsid w:val="00C740C5"/>
    <w:rsid w:val="00C8098C"/>
    <w:rsid w:val="00C8346D"/>
    <w:rsid w:val="00C868AB"/>
    <w:rsid w:val="00C90A4B"/>
    <w:rsid w:val="00C911FF"/>
    <w:rsid w:val="00C91339"/>
    <w:rsid w:val="00C9221F"/>
    <w:rsid w:val="00C93918"/>
    <w:rsid w:val="00C958B9"/>
    <w:rsid w:val="00C96014"/>
    <w:rsid w:val="00C97D9A"/>
    <w:rsid w:val="00CA14C6"/>
    <w:rsid w:val="00CA3CAD"/>
    <w:rsid w:val="00CB1543"/>
    <w:rsid w:val="00CB17F5"/>
    <w:rsid w:val="00CB44B0"/>
    <w:rsid w:val="00CB5924"/>
    <w:rsid w:val="00CB667C"/>
    <w:rsid w:val="00CC18B4"/>
    <w:rsid w:val="00CC1C1E"/>
    <w:rsid w:val="00CC211B"/>
    <w:rsid w:val="00CC41DC"/>
    <w:rsid w:val="00CC5D87"/>
    <w:rsid w:val="00CC71CB"/>
    <w:rsid w:val="00CD0325"/>
    <w:rsid w:val="00CD1C6C"/>
    <w:rsid w:val="00CD210C"/>
    <w:rsid w:val="00CD30BC"/>
    <w:rsid w:val="00CD39BA"/>
    <w:rsid w:val="00CD5A1A"/>
    <w:rsid w:val="00CE0D10"/>
    <w:rsid w:val="00CF083B"/>
    <w:rsid w:val="00CF210A"/>
    <w:rsid w:val="00CF7445"/>
    <w:rsid w:val="00CF78CA"/>
    <w:rsid w:val="00D00123"/>
    <w:rsid w:val="00D02A0F"/>
    <w:rsid w:val="00D0321E"/>
    <w:rsid w:val="00D04E64"/>
    <w:rsid w:val="00D14EA1"/>
    <w:rsid w:val="00D15262"/>
    <w:rsid w:val="00D222DC"/>
    <w:rsid w:val="00D23344"/>
    <w:rsid w:val="00D27A97"/>
    <w:rsid w:val="00D27B9D"/>
    <w:rsid w:val="00D27CB9"/>
    <w:rsid w:val="00D37942"/>
    <w:rsid w:val="00D42096"/>
    <w:rsid w:val="00D42AF2"/>
    <w:rsid w:val="00D45740"/>
    <w:rsid w:val="00D464D3"/>
    <w:rsid w:val="00D46785"/>
    <w:rsid w:val="00D55824"/>
    <w:rsid w:val="00D55B23"/>
    <w:rsid w:val="00D6017A"/>
    <w:rsid w:val="00D642DB"/>
    <w:rsid w:val="00D7066A"/>
    <w:rsid w:val="00D72E86"/>
    <w:rsid w:val="00D7615C"/>
    <w:rsid w:val="00D77436"/>
    <w:rsid w:val="00D77558"/>
    <w:rsid w:val="00D80F6C"/>
    <w:rsid w:val="00D818D6"/>
    <w:rsid w:val="00D83A96"/>
    <w:rsid w:val="00D83C58"/>
    <w:rsid w:val="00D86245"/>
    <w:rsid w:val="00D8630D"/>
    <w:rsid w:val="00D86EA3"/>
    <w:rsid w:val="00D873FD"/>
    <w:rsid w:val="00D934D0"/>
    <w:rsid w:val="00D9762A"/>
    <w:rsid w:val="00DA12F7"/>
    <w:rsid w:val="00DA1DFD"/>
    <w:rsid w:val="00DA5D95"/>
    <w:rsid w:val="00DB33F0"/>
    <w:rsid w:val="00DB5464"/>
    <w:rsid w:val="00DB6A2B"/>
    <w:rsid w:val="00DC0040"/>
    <w:rsid w:val="00DC4484"/>
    <w:rsid w:val="00DC60A9"/>
    <w:rsid w:val="00DC6353"/>
    <w:rsid w:val="00DD4920"/>
    <w:rsid w:val="00DD5E67"/>
    <w:rsid w:val="00DD6FC6"/>
    <w:rsid w:val="00DE2B48"/>
    <w:rsid w:val="00DE3807"/>
    <w:rsid w:val="00DE593B"/>
    <w:rsid w:val="00DE5A33"/>
    <w:rsid w:val="00DE5E47"/>
    <w:rsid w:val="00DE6017"/>
    <w:rsid w:val="00DE69A0"/>
    <w:rsid w:val="00DF1A88"/>
    <w:rsid w:val="00DF2566"/>
    <w:rsid w:val="00DF2F8E"/>
    <w:rsid w:val="00DF5ED7"/>
    <w:rsid w:val="00E000B2"/>
    <w:rsid w:val="00E0089E"/>
    <w:rsid w:val="00E0113C"/>
    <w:rsid w:val="00E0263D"/>
    <w:rsid w:val="00E034B9"/>
    <w:rsid w:val="00E04012"/>
    <w:rsid w:val="00E0503B"/>
    <w:rsid w:val="00E05AC5"/>
    <w:rsid w:val="00E10F0B"/>
    <w:rsid w:val="00E16FC0"/>
    <w:rsid w:val="00E34947"/>
    <w:rsid w:val="00E37276"/>
    <w:rsid w:val="00E40D21"/>
    <w:rsid w:val="00E419F1"/>
    <w:rsid w:val="00E448B0"/>
    <w:rsid w:val="00E44F10"/>
    <w:rsid w:val="00E4526C"/>
    <w:rsid w:val="00E46D58"/>
    <w:rsid w:val="00E4712F"/>
    <w:rsid w:val="00E5088A"/>
    <w:rsid w:val="00E70DF1"/>
    <w:rsid w:val="00E73158"/>
    <w:rsid w:val="00E74B69"/>
    <w:rsid w:val="00E754F9"/>
    <w:rsid w:val="00E755A9"/>
    <w:rsid w:val="00E76045"/>
    <w:rsid w:val="00E76154"/>
    <w:rsid w:val="00E77831"/>
    <w:rsid w:val="00E77C10"/>
    <w:rsid w:val="00E8153D"/>
    <w:rsid w:val="00E82517"/>
    <w:rsid w:val="00E83C36"/>
    <w:rsid w:val="00E90671"/>
    <w:rsid w:val="00E91FEE"/>
    <w:rsid w:val="00E92461"/>
    <w:rsid w:val="00E96305"/>
    <w:rsid w:val="00E96D85"/>
    <w:rsid w:val="00EA7324"/>
    <w:rsid w:val="00EA75A2"/>
    <w:rsid w:val="00EB4B7D"/>
    <w:rsid w:val="00EB544E"/>
    <w:rsid w:val="00EC5E5F"/>
    <w:rsid w:val="00EC747B"/>
    <w:rsid w:val="00ED23BE"/>
    <w:rsid w:val="00ED2534"/>
    <w:rsid w:val="00ED28AF"/>
    <w:rsid w:val="00ED2DAD"/>
    <w:rsid w:val="00ED3B0D"/>
    <w:rsid w:val="00ED4146"/>
    <w:rsid w:val="00ED4F1E"/>
    <w:rsid w:val="00ED7D5B"/>
    <w:rsid w:val="00EE0148"/>
    <w:rsid w:val="00EE288F"/>
    <w:rsid w:val="00EE3BAA"/>
    <w:rsid w:val="00EE4AB1"/>
    <w:rsid w:val="00EE4D66"/>
    <w:rsid w:val="00EE5A3C"/>
    <w:rsid w:val="00EE638D"/>
    <w:rsid w:val="00EF00B9"/>
    <w:rsid w:val="00EF039C"/>
    <w:rsid w:val="00EF03A9"/>
    <w:rsid w:val="00EF1F91"/>
    <w:rsid w:val="00EF58AA"/>
    <w:rsid w:val="00F0733C"/>
    <w:rsid w:val="00F11C3F"/>
    <w:rsid w:val="00F1747A"/>
    <w:rsid w:val="00F22E49"/>
    <w:rsid w:val="00F2364E"/>
    <w:rsid w:val="00F24459"/>
    <w:rsid w:val="00F25458"/>
    <w:rsid w:val="00F257E3"/>
    <w:rsid w:val="00F25D0F"/>
    <w:rsid w:val="00F272D2"/>
    <w:rsid w:val="00F32B91"/>
    <w:rsid w:val="00F32EC2"/>
    <w:rsid w:val="00F33468"/>
    <w:rsid w:val="00F33644"/>
    <w:rsid w:val="00F34BEF"/>
    <w:rsid w:val="00F34FE0"/>
    <w:rsid w:val="00F35100"/>
    <w:rsid w:val="00F36007"/>
    <w:rsid w:val="00F3642A"/>
    <w:rsid w:val="00F41C42"/>
    <w:rsid w:val="00F421F6"/>
    <w:rsid w:val="00F45CCD"/>
    <w:rsid w:val="00F46157"/>
    <w:rsid w:val="00F50B7C"/>
    <w:rsid w:val="00F53EAE"/>
    <w:rsid w:val="00F579E5"/>
    <w:rsid w:val="00F57C88"/>
    <w:rsid w:val="00F602EE"/>
    <w:rsid w:val="00F6102F"/>
    <w:rsid w:val="00F62084"/>
    <w:rsid w:val="00F649AB"/>
    <w:rsid w:val="00F65030"/>
    <w:rsid w:val="00F70287"/>
    <w:rsid w:val="00F7147F"/>
    <w:rsid w:val="00F739CE"/>
    <w:rsid w:val="00F772DC"/>
    <w:rsid w:val="00F81776"/>
    <w:rsid w:val="00F81796"/>
    <w:rsid w:val="00F8224E"/>
    <w:rsid w:val="00F82A72"/>
    <w:rsid w:val="00F857F8"/>
    <w:rsid w:val="00F872B9"/>
    <w:rsid w:val="00F91CF9"/>
    <w:rsid w:val="00F95013"/>
    <w:rsid w:val="00F962ED"/>
    <w:rsid w:val="00F964AE"/>
    <w:rsid w:val="00F97145"/>
    <w:rsid w:val="00FA36C0"/>
    <w:rsid w:val="00FA3850"/>
    <w:rsid w:val="00FA6621"/>
    <w:rsid w:val="00FA7558"/>
    <w:rsid w:val="00FB145A"/>
    <w:rsid w:val="00FB5168"/>
    <w:rsid w:val="00FB5B1D"/>
    <w:rsid w:val="00FB5DC3"/>
    <w:rsid w:val="00FB68B4"/>
    <w:rsid w:val="00FC0D5E"/>
    <w:rsid w:val="00FC32F0"/>
    <w:rsid w:val="00FC3790"/>
    <w:rsid w:val="00FC3C4B"/>
    <w:rsid w:val="00FC3F03"/>
    <w:rsid w:val="00FC41EE"/>
    <w:rsid w:val="00FC6B9D"/>
    <w:rsid w:val="00FC789F"/>
    <w:rsid w:val="00FD3D95"/>
    <w:rsid w:val="00FD46FC"/>
    <w:rsid w:val="00FD5D18"/>
    <w:rsid w:val="00FD7CCC"/>
    <w:rsid w:val="00FE04C0"/>
    <w:rsid w:val="00FE1B5E"/>
    <w:rsid w:val="00FE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3F0F"/>
  <w15:chartTrackingRefBased/>
  <w15:docId w15:val="{5D782D19-2498-40A6-A540-76B12BDC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7E52"/>
    <w:pPr>
      <w:spacing w:line="276"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18333E"/>
    <w:pPr>
      <w:numPr>
        <w:numId w:val="8"/>
      </w:numPr>
      <w:outlineLvl w:val="0"/>
    </w:pPr>
    <w:rPr>
      <w:b/>
      <w:bCs/>
    </w:rPr>
  </w:style>
  <w:style w:type="paragraph" w:styleId="Heading2">
    <w:name w:val="heading 2"/>
    <w:basedOn w:val="Normal"/>
    <w:next w:val="Normal"/>
    <w:link w:val="Heading2Char"/>
    <w:uiPriority w:val="9"/>
    <w:unhideWhenUsed/>
    <w:qFormat/>
    <w:rsid w:val="006A1293"/>
    <w:pPr>
      <w:outlineLvl w:val="1"/>
    </w:pPr>
    <w:rPr>
      <w:b/>
      <w:bCs/>
      <w:i/>
      <w:iCs/>
    </w:rPr>
  </w:style>
  <w:style w:type="paragraph" w:styleId="Heading3">
    <w:name w:val="heading 3"/>
    <w:basedOn w:val="Normal"/>
    <w:next w:val="Normal"/>
    <w:link w:val="Heading3Char"/>
    <w:uiPriority w:val="9"/>
    <w:unhideWhenUsed/>
    <w:qFormat/>
    <w:rsid w:val="005A20E9"/>
    <w:pPr>
      <w:outlineLvl w:val="2"/>
    </w:pPr>
    <w:rPr>
      <w:i/>
      <w:iCs/>
      <w:u w:val="single"/>
    </w:rPr>
  </w:style>
  <w:style w:type="paragraph" w:styleId="Heading4">
    <w:name w:val="heading 4"/>
    <w:basedOn w:val="Normal"/>
    <w:next w:val="Normal"/>
    <w:link w:val="Heading4Char"/>
    <w:uiPriority w:val="9"/>
    <w:semiHidden/>
    <w:unhideWhenUsed/>
    <w:qFormat/>
    <w:rsid w:val="00A3640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0D2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124"/>
    <w:pPr>
      <w:ind w:left="720"/>
      <w:contextualSpacing/>
    </w:pPr>
  </w:style>
  <w:style w:type="paragraph" w:styleId="BalloonText">
    <w:name w:val="Balloon Text"/>
    <w:basedOn w:val="Normal"/>
    <w:link w:val="BalloonTextChar"/>
    <w:uiPriority w:val="99"/>
    <w:semiHidden/>
    <w:unhideWhenUsed/>
    <w:rsid w:val="00EC5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E5F"/>
    <w:rPr>
      <w:rFonts w:ascii="Segoe UI" w:hAnsi="Segoe UI" w:cs="Segoe UI"/>
      <w:sz w:val="18"/>
      <w:szCs w:val="18"/>
    </w:rPr>
  </w:style>
  <w:style w:type="character" w:customStyle="1" w:styleId="Heading1Char">
    <w:name w:val="Heading 1 Char"/>
    <w:basedOn w:val="DefaultParagraphFont"/>
    <w:link w:val="Heading1"/>
    <w:uiPriority w:val="9"/>
    <w:rsid w:val="0018333E"/>
    <w:rPr>
      <w:rFonts w:ascii="Times New Roman" w:hAnsi="Times New Roman" w:cs="Times New Roman"/>
      <w:b/>
      <w:bCs/>
    </w:rPr>
  </w:style>
  <w:style w:type="character" w:styleId="Hyperlink">
    <w:name w:val="Hyperlink"/>
    <w:basedOn w:val="DefaultParagraphFont"/>
    <w:uiPriority w:val="99"/>
    <w:unhideWhenUsed/>
    <w:rsid w:val="0099039C"/>
    <w:rPr>
      <w:color w:val="0000FF"/>
      <w:u w:val="single"/>
    </w:rPr>
  </w:style>
  <w:style w:type="character" w:customStyle="1" w:styleId="Heading2Char">
    <w:name w:val="Heading 2 Char"/>
    <w:basedOn w:val="DefaultParagraphFont"/>
    <w:link w:val="Heading2"/>
    <w:uiPriority w:val="9"/>
    <w:rsid w:val="006A1293"/>
    <w:rPr>
      <w:rFonts w:ascii="Times New Roman" w:hAnsi="Times New Roman" w:cs="Times New Roman"/>
      <w:b/>
      <w:bCs/>
      <w:i/>
      <w:iCs/>
    </w:rPr>
  </w:style>
  <w:style w:type="character" w:styleId="CommentReference">
    <w:name w:val="annotation reference"/>
    <w:basedOn w:val="DefaultParagraphFont"/>
    <w:uiPriority w:val="99"/>
    <w:semiHidden/>
    <w:unhideWhenUsed/>
    <w:rsid w:val="00D8630D"/>
    <w:rPr>
      <w:sz w:val="16"/>
      <w:szCs w:val="16"/>
    </w:rPr>
  </w:style>
  <w:style w:type="paragraph" w:styleId="CommentText">
    <w:name w:val="annotation text"/>
    <w:basedOn w:val="Normal"/>
    <w:link w:val="CommentTextChar"/>
    <w:uiPriority w:val="99"/>
    <w:unhideWhenUsed/>
    <w:rsid w:val="00D8630D"/>
    <w:pPr>
      <w:spacing w:line="240" w:lineRule="auto"/>
    </w:pPr>
    <w:rPr>
      <w:sz w:val="20"/>
      <w:szCs w:val="20"/>
    </w:rPr>
  </w:style>
  <w:style w:type="character" w:customStyle="1" w:styleId="CommentTextChar">
    <w:name w:val="Comment Text Char"/>
    <w:basedOn w:val="DefaultParagraphFont"/>
    <w:link w:val="CommentText"/>
    <w:uiPriority w:val="99"/>
    <w:rsid w:val="00D863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630D"/>
    <w:rPr>
      <w:b/>
      <w:bCs/>
    </w:rPr>
  </w:style>
  <w:style w:type="character" w:customStyle="1" w:styleId="CommentSubjectChar">
    <w:name w:val="Comment Subject Char"/>
    <w:basedOn w:val="CommentTextChar"/>
    <w:link w:val="CommentSubject"/>
    <w:uiPriority w:val="99"/>
    <w:semiHidden/>
    <w:rsid w:val="00D8630D"/>
    <w:rPr>
      <w:rFonts w:ascii="Times New Roman" w:hAnsi="Times New Roman" w:cs="Times New Roman"/>
      <w:b/>
      <w:bCs/>
      <w:sz w:val="20"/>
      <w:szCs w:val="20"/>
    </w:rPr>
  </w:style>
  <w:style w:type="paragraph" w:styleId="FootnoteText">
    <w:name w:val="footnote text"/>
    <w:basedOn w:val="Normal"/>
    <w:link w:val="FootnoteTextChar"/>
    <w:uiPriority w:val="99"/>
    <w:unhideWhenUsed/>
    <w:rsid w:val="00013866"/>
    <w:pPr>
      <w:spacing w:after="0" w:line="240" w:lineRule="auto"/>
    </w:pPr>
    <w:rPr>
      <w:sz w:val="20"/>
      <w:szCs w:val="20"/>
    </w:rPr>
  </w:style>
  <w:style w:type="character" w:customStyle="1" w:styleId="FootnoteTextChar">
    <w:name w:val="Footnote Text Char"/>
    <w:basedOn w:val="DefaultParagraphFont"/>
    <w:link w:val="FootnoteText"/>
    <w:uiPriority w:val="99"/>
    <w:rsid w:val="00013866"/>
    <w:rPr>
      <w:rFonts w:ascii="Times New Roman" w:hAnsi="Times New Roman" w:cs="Times New Roman"/>
      <w:sz w:val="20"/>
      <w:szCs w:val="20"/>
    </w:rPr>
  </w:style>
  <w:style w:type="character" w:styleId="FootnoteReference">
    <w:name w:val="footnote reference"/>
    <w:basedOn w:val="DefaultParagraphFont"/>
    <w:uiPriority w:val="99"/>
    <w:unhideWhenUsed/>
    <w:rsid w:val="00013866"/>
    <w:rPr>
      <w:vertAlign w:val="superscript"/>
    </w:rPr>
  </w:style>
  <w:style w:type="character" w:customStyle="1" w:styleId="Heading3Char">
    <w:name w:val="Heading 3 Char"/>
    <w:basedOn w:val="DefaultParagraphFont"/>
    <w:link w:val="Heading3"/>
    <w:uiPriority w:val="9"/>
    <w:rsid w:val="005A20E9"/>
    <w:rPr>
      <w:rFonts w:ascii="Times New Roman" w:hAnsi="Times New Roman" w:cs="Times New Roman"/>
      <w:i/>
      <w:iCs/>
      <w:u w:val="single"/>
    </w:rPr>
  </w:style>
  <w:style w:type="character" w:customStyle="1" w:styleId="Heading5Char">
    <w:name w:val="Heading 5 Char"/>
    <w:basedOn w:val="DefaultParagraphFont"/>
    <w:link w:val="Heading5"/>
    <w:uiPriority w:val="9"/>
    <w:semiHidden/>
    <w:rsid w:val="00E40D21"/>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E40D21"/>
    <w:pPr>
      <w:spacing w:before="100" w:beforeAutospacing="1" w:after="100" w:afterAutospacing="1" w:line="240" w:lineRule="auto"/>
      <w:jc w:val="left"/>
    </w:pPr>
    <w:rPr>
      <w:rFonts w:eastAsia="Times New Roman"/>
      <w:szCs w:val="24"/>
      <w:lang w:val="es-ES" w:eastAsia="es-ES"/>
    </w:rPr>
  </w:style>
  <w:style w:type="character" w:styleId="Strong">
    <w:name w:val="Strong"/>
    <w:basedOn w:val="DefaultParagraphFont"/>
    <w:uiPriority w:val="22"/>
    <w:qFormat/>
    <w:rsid w:val="00E40D21"/>
    <w:rPr>
      <w:b/>
      <w:bCs/>
    </w:rPr>
  </w:style>
  <w:style w:type="character" w:customStyle="1" w:styleId="Mencinsinresolver1">
    <w:name w:val="Mención sin resolver1"/>
    <w:basedOn w:val="DefaultParagraphFont"/>
    <w:uiPriority w:val="99"/>
    <w:semiHidden/>
    <w:unhideWhenUsed/>
    <w:rsid w:val="004E05AE"/>
    <w:rPr>
      <w:color w:val="605E5C"/>
      <w:shd w:val="clear" w:color="auto" w:fill="E1DFDD"/>
    </w:rPr>
  </w:style>
  <w:style w:type="character" w:styleId="Emphasis">
    <w:name w:val="Emphasis"/>
    <w:basedOn w:val="DefaultParagraphFont"/>
    <w:uiPriority w:val="20"/>
    <w:qFormat/>
    <w:rsid w:val="001A7309"/>
    <w:rPr>
      <w:i/>
      <w:iCs/>
    </w:rPr>
  </w:style>
  <w:style w:type="character" w:styleId="FollowedHyperlink">
    <w:name w:val="FollowedHyperlink"/>
    <w:basedOn w:val="DefaultParagraphFont"/>
    <w:uiPriority w:val="99"/>
    <w:semiHidden/>
    <w:unhideWhenUsed/>
    <w:rsid w:val="00AB3B22"/>
    <w:rPr>
      <w:color w:val="954F72" w:themeColor="followedHyperlink"/>
      <w:u w:val="single"/>
    </w:rPr>
  </w:style>
  <w:style w:type="character" w:customStyle="1" w:styleId="mw-headline">
    <w:name w:val="mw-headline"/>
    <w:basedOn w:val="DefaultParagraphFont"/>
    <w:rsid w:val="00316914"/>
  </w:style>
  <w:style w:type="character" w:customStyle="1" w:styleId="mw-editsection">
    <w:name w:val="mw-editsection"/>
    <w:basedOn w:val="DefaultParagraphFont"/>
    <w:rsid w:val="00316914"/>
  </w:style>
  <w:style w:type="character" w:customStyle="1" w:styleId="mw-editsection-bracket">
    <w:name w:val="mw-editsection-bracket"/>
    <w:basedOn w:val="DefaultParagraphFont"/>
    <w:rsid w:val="00316914"/>
  </w:style>
  <w:style w:type="paragraph" w:styleId="TOC1">
    <w:name w:val="toc 1"/>
    <w:basedOn w:val="Normal"/>
    <w:next w:val="Normal"/>
    <w:autoRedefine/>
    <w:uiPriority w:val="39"/>
    <w:unhideWhenUsed/>
    <w:rsid w:val="00996703"/>
    <w:pPr>
      <w:spacing w:after="100"/>
    </w:pPr>
  </w:style>
  <w:style w:type="paragraph" w:styleId="TOC2">
    <w:name w:val="toc 2"/>
    <w:basedOn w:val="Normal"/>
    <w:next w:val="Normal"/>
    <w:autoRedefine/>
    <w:uiPriority w:val="39"/>
    <w:unhideWhenUsed/>
    <w:rsid w:val="0029639E"/>
    <w:pPr>
      <w:tabs>
        <w:tab w:val="right" w:leader="dot" w:pos="9016"/>
      </w:tabs>
      <w:spacing w:after="100"/>
      <w:ind w:left="426" w:hanging="206"/>
    </w:pPr>
  </w:style>
  <w:style w:type="paragraph" w:styleId="TOC3">
    <w:name w:val="toc 3"/>
    <w:basedOn w:val="Normal"/>
    <w:next w:val="Normal"/>
    <w:autoRedefine/>
    <w:uiPriority w:val="39"/>
    <w:unhideWhenUsed/>
    <w:rsid w:val="00996703"/>
    <w:pPr>
      <w:spacing w:after="100"/>
      <w:ind w:left="440"/>
    </w:pPr>
  </w:style>
  <w:style w:type="paragraph" w:styleId="Header">
    <w:name w:val="header"/>
    <w:basedOn w:val="Normal"/>
    <w:link w:val="HeaderChar"/>
    <w:uiPriority w:val="99"/>
    <w:unhideWhenUsed/>
    <w:rsid w:val="00093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EF0"/>
    <w:rPr>
      <w:rFonts w:ascii="Times New Roman" w:hAnsi="Times New Roman" w:cs="Times New Roman"/>
    </w:rPr>
  </w:style>
  <w:style w:type="paragraph" w:styleId="Footer">
    <w:name w:val="footer"/>
    <w:basedOn w:val="Normal"/>
    <w:link w:val="FooterChar"/>
    <w:uiPriority w:val="99"/>
    <w:unhideWhenUsed/>
    <w:rsid w:val="00093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EF0"/>
    <w:rPr>
      <w:rFonts w:ascii="Times New Roman" w:hAnsi="Times New Roman" w:cs="Times New Roman"/>
    </w:rPr>
  </w:style>
  <w:style w:type="paragraph" w:customStyle="1" w:styleId="Default">
    <w:name w:val="Default"/>
    <w:rsid w:val="0050718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UnresolvedMention1">
    <w:name w:val="Unresolved Mention1"/>
    <w:basedOn w:val="DefaultParagraphFont"/>
    <w:uiPriority w:val="99"/>
    <w:rsid w:val="005257E4"/>
    <w:rPr>
      <w:color w:val="605E5C"/>
      <w:shd w:val="clear" w:color="auto" w:fill="E1DFDD"/>
    </w:rPr>
  </w:style>
  <w:style w:type="character" w:customStyle="1" w:styleId="s3uucc">
    <w:name w:val="s3uucc"/>
    <w:basedOn w:val="DefaultParagraphFont"/>
    <w:rsid w:val="00DA5D95"/>
  </w:style>
  <w:style w:type="paragraph" w:styleId="PlainText">
    <w:name w:val="Plain Text"/>
    <w:basedOn w:val="Normal"/>
    <w:link w:val="PlainTextChar"/>
    <w:uiPriority w:val="99"/>
    <w:unhideWhenUsed/>
    <w:rsid w:val="006E59DA"/>
    <w:pPr>
      <w:spacing w:after="0" w:line="240" w:lineRule="auto"/>
      <w:jc w:val="left"/>
    </w:pPr>
    <w:rPr>
      <w:rFonts w:ascii="Calibri" w:hAnsi="Calibri" w:cstheme="minorBidi"/>
      <w:sz w:val="22"/>
      <w:szCs w:val="21"/>
      <w:lang w:val="es-ES"/>
    </w:rPr>
  </w:style>
  <w:style w:type="character" w:customStyle="1" w:styleId="PlainTextChar">
    <w:name w:val="Plain Text Char"/>
    <w:basedOn w:val="DefaultParagraphFont"/>
    <w:link w:val="PlainText"/>
    <w:uiPriority w:val="99"/>
    <w:rsid w:val="006E59DA"/>
    <w:rPr>
      <w:rFonts w:ascii="Calibri" w:hAnsi="Calibri"/>
      <w:szCs w:val="21"/>
      <w:lang w:val="es-ES"/>
    </w:rPr>
  </w:style>
  <w:style w:type="character" w:customStyle="1" w:styleId="apple-converted-space">
    <w:name w:val="apple-converted-space"/>
    <w:basedOn w:val="DefaultParagraphFont"/>
    <w:rsid w:val="001D00E1"/>
  </w:style>
  <w:style w:type="paragraph" w:styleId="Revision">
    <w:name w:val="Revision"/>
    <w:hidden/>
    <w:uiPriority w:val="99"/>
    <w:semiHidden/>
    <w:rsid w:val="005B242B"/>
    <w:pPr>
      <w:spacing w:after="0" w:line="240" w:lineRule="auto"/>
    </w:pPr>
    <w:rPr>
      <w:rFonts w:ascii="Times New Roman" w:hAnsi="Times New Roman" w:cs="Times New Roman"/>
      <w:sz w:val="24"/>
    </w:rPr>
  </w:style>
  <w:style w:type="character" w:customStyle="1" w:styleId="Heading4Char">
    <w:name w:val="Heading 4 Char"/>
    <w:basedOn w:val="DefaultParagraphFont"/>
    <w:link w:val="Heading4"/>
    <w:uiPriority w:val="9"/>
    <w:semiHidden/>
    <w:rsid w:val="00A36409"/>
    <w:rPr>
      <w:rFonts w:asciiTheme="majorHAnsi" w:eastAsiaTheme="majorEastAsia" w:hAnsiTheme="majorHAnsi" w:cstheme="majorBidi"/>
      <w:i/>
      <w:iCs/>
      <w:color w:val="2F5496" w:themeColor="accent1" w:themeShade="BF"/>
      <w:sz w:val="24"/>
    </w:rPr>
  </w:style>
  <w:style w:type="character" w:customStyle="1" w:styleId="Mencinsinresolver2">
    <w:name w:val="Mención sin resolver2"/>
    <w:basedOn w:val="DefaultParagraphFont"/>
    <w:uiPriority w:val="99"/>
    <w:semiHidden/>
    <w:unhideWhenUsed/>
    <w:rsid w:val="006F780B"/>
    <w:rPr>
      <w:color w:val="605E5C"/>
      <w:shd w:val="clear" w:color="auto" w:fill="E1DFDD"/>
    </w:rPr>
  </w:style>
  <w:style w:type="character" w:styleId="UnresolvedMention">
    <w:name w:val="Unresolved Mention"/>
    <w:basedOn w:val="DefaultParagraphFont"/>
    <w:uiPriority w:val="99"/>
    <w:rsid w:val="00BF2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4557">
      <w:bodyDiv w:val="1"/>
      <w:marLeft w:val="0"/>
      <w:marRight w:val="0"/>
      <w:marTop w:val="0"/>
      <w:marBottom w:val="0"/>
      <w:divBdr>
        <w:top w:val="none" w:sz="0" w:space="0" w:color="auto"/>
        <w:left w:val="none" w:sz="0" w:space="0" w:color="auto"/>
        <w:bottom w:val="none" w:sz="0" w:space="0" w:color="auto"/>
        <w:right w:val="none" w:sz="0" w:space="0" w:color="auto"/>
      </w:divBdr>
    </w:div>
    <w:div w:id="224803983">
      <w:bodyDiv w:val="1"/>
      <w:marLeft w:val="0"/>
      <w:marRight w:val="0"/>
      <w:marTop w:val="0"/>
      <w:marBottom w:val="0"/>
      <w:divBdr>
        <w:top w:val="none" w:sz="0" w:space="0" w:color="auto"/>
        <w:left w:val="none" w:sz="0" w:space="0" w:color="auto"/>
        <w:bottom w:val="none" w:sz="0" w:space="0" w:color="auto"/>
        <w:right w:val="none" w:sz="0" w:space="0" w:color="auto"/>
      </w:divBdr>
    </w:div>
    <w:div w:id="230701504">
      <w:bodyDiv w:val="1"/>
      <w:marLeft w:val="0"/>
      <w:marRight w:val="0"/>
      <w:marTop w:val="0"/>
      <w:marBottom w:val="0"/>
      <w:divBdr>
        <w:top w:val="none" w:sz="0" w:space="0" w:color="auto"/>
        <w:left w:val="none" w:sz="0" w:space="0" w:color="auto"/>
        <w:bottom w:val="none" w:sz="0" w:space="0" w:color="auto"/>
        <w:right w:val="none" w:sz="0" w:space="0" w:color="auto"/>
      </w:divBdr>
      <w:divsChild>
        <w:div w:id="900485724">
          <w:marLeft w:val="0"/>
          <w:marRight w:val="0"/>
          <w:marTop w:val="0"/>
          <w:marBottom w:val="150"/>
          <w:divBdr>
            <w:top w:val="none" w:sz="0" w:space="0" w:color="auto"/>
            <w:left w:val="none" w:sz="0" w:space="0" w:color="auto"/>
            <w:bottom w:val="single" w:sz="6" w:space="0" w:color="E5E5E5"/>
            <w:right w:val="none" w:sz="0" w:space="0" w:color="auto"/>
          </w:divBdr>
          <w:divsChild>
            <w:div w:id="1587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6690">
      <w:bodyDiv w:val="1"/>
      <w:marLeft w:val="0"/>
      <w:marRight w:val="0"/>
      <w:marTop w:val="0"/>
      <w:marBottom w:val="0"/>
      <w:divBdr>
        <w:top w:val="none" w:sz="0" w:space="0" w:color="auto"/>
        <w:left w:val="none" w:sz="0" w:space="0" w:color="auto"/>
        <w:bottom w:val="none" w:sz="0" w:space="0" w:color="auto"/>
        <w:right w:val="none" w:sz="0" w:space="0" w:color="auto"/>
      </w:divBdr>
    </w:div>
    <w:div w:id="364869345">
      <w:bodyDiv w:val="1"/>
      <w:marLeft w:val="0"/>
      <w:marRight w:val="0"/>
      <w:marTop w:val="0"/>
      <w:marBottom w:val="0"/>
      <w:divBdr>
        <w:top w:val="none" w:sz="0" w:space="0" w:color="auto"/>
        <w:left w:val="none" w:sz="0" w:space="0" w:color="auto"/>
        <w:bottom w:val="none" w:sz="0" w:space="0" w:color="auto"/>
        <w:right w:val="none" w:sz="0" w:space="0" w:color="auto"/>
      </w:divBdr>
      <w:divsChild>
        <w:div w:id="2035181266">
          <w:marLeft w:val="0"/>
          <w:marRight w:val="0"/>
          <w:marTop w:val="0"/>
          <w:marBottom w:val="0"/>
          <w:divBdr>
            <w:top w:val="none" w:sz="0" w:space="0" w:color="auto"/>
            <w:left w:val="none" w:sz="0" w:space="0" w:color="auto"/>
            <w:bottom w:val="none" w:sz="0" w:space="0" w:color="auto"/>
            <w:right w:val="none" w:sz="0" w:space="0" w:color="auto"/>
          </w:divBdr>
          <w:divsChild>
            <w:div w:id="1374967217">
              <w:marLeft w:val="0"/>
              <w:marRight w:val="0"/>
              <w:marTop w:val="0"/>
              <w:marBottom w:val="240"/>
              <w:divBdr>
                <w:top w:val="none" w:sz="0" w:space="0" w:color="auto"/>
                <w:left w:val="none" w:sz="0" w:space="0" w:color="auto"/>
                <w:bottom w:val="none" w:sz="0" w:space="0" w:color="auto"/>
                <w:right w:val="none" w:sz="0" w:space="0" w:color="auto"/>
              </w:divBdr>
              <w:divsChild>
                <w:div w:id="2139177430">
                  <w:marLeft w:val="0"/>
                  <w:marRight w:val="0"/>
                  <w:marTop w:val="0"/>
                  <w:marBottom w:val="0"/>
                  <w:divBdr>
                    <w:top w:val="none" w:sz="0" w:space="0" w:color="auto"/>
                    <w:left w:val="none" w:sz="0" w:space="0" w:color="auto"/>
                    <w:bottom w:val="none" w:sz="0" w:space="0" w:color="auto"/>
                    <w:right w:val="none" w:sz="0" w:space="0" w:color="auto"/>
                  </w:divBdr>
                  <w:divsChild>
                    <w:div w:id="3689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3096">
          <w:marLeft w:val="0"/>
          <w:marRight w:val="0"/>
          <w:marTop w:val="0"/>
          <w:marBottom w:val="0"/>
          <w:divBdr>
            <w:top w:val="none" w:sz="0" w:space="0" w:color="auto"/>
            <w:left w:val="none" w:sz="0" w:space="0" w:color="auto"/>
            <w:bottom w:val="none" w:sz="0" w:space="0" w:color="auto"/>
            <w:right w:val="none" w:sz="0" w:space="0" w:color="auto"/>
          </w:divBdr>
          <w:divsChild>
            <w:div w:id="1588079461">
              <w:marLeft w:val="0"/>
              <w:marRight w:val="0"/>
              <w:marTop w:val="0"/>
              <w:marBottom w:val="240"/>
              <w:divBdr>
                <w:top w:val="none" w:sz="0" w:space="0" w:color="auto"/>
                <w:left w:val="none" w:sz="0" w:space="0" w:color="auto"/>
                <w:bottom w:val="none" w:sz="0" w:space="0" w:color="auto"/>
                <w:right w:val="none" w:sz="0" w:space="0" w:color="auto"/>
              </w:divBdr>
              <w:divsChild>
                <w:div w:id="1594165982">
                  <w:marLeft w:val="0"/>
                  <w:marRight w:val="0"/>
                  <w:marTop w:val="0"/>
                  <w:marBottom w:val="0"/>
                  <w:divBdr>
                    <w:top w:val="none" w:sz="0" w:space="0" w:color="auto"/>
                    <w:left w:val="none" w:sz="0" w:space="0" w:color="auto"/>
                    <w:bottom w:val="none" w:sz="0" w:space="0" w:color="auto"/>
                    <w:right w:val="none" w:sz="0" w:space="0" w:color="auto"/>
                  </w:divBdr>
                  <w:divsChild>
                    <w:div w:id="823738538">
                      <w:marLeft w:val="0"/>
                      <w:marRight w:val="0"/>
                      <w:marTop w:val="0"/>
                      <w:marBottom w:val="0"/>
                      <w:divBdr>
                        <w:top w:val="none" w:sz="0" w:space="0" w:color="auto"/>
                        <w:left w:val="none" w:sz="0" w:space="0" w:color="auto"/>
                        <w:bottom w:val="none" w:sz="0" w:space="0" w:color="auto"/>
                        <w:right w:val="none" w:sz="0" w:space="0" w:color="auto"/>
                      </w:divBdr>
                      <w:divsChild>
                        <w:div w:id="1855925102">
                          <w:marLeft w:val="0"/>
                          <w:marRight w:val="0"/>
                          <w:marTop w:val="0"/>
                          <w:marBottom w:val="0"/>
                          <w:divBdr>
                            <w:top w:val="none" w:sz="0" w:space="0" w:color="auto"/>
                            <w:left w:val="none" w:sz="0" w:space="0" w:color="auto"/>
                            <w:bottom w:val="none" w:sz="0" w:space="0" w:color="auto"/>
                            <w:right w:val="none" w:sz="0" w:space="0" w:color="auto"/>
                          </w:divBdr>
                          <w:divsChild>
                            <w:div w:id="9061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17256">
      <w:bodyDiv w:val="1"/>
      <w:marLeft w:val="0"/>
      <w:marRight w:val="0"/>
      <w:marTop w:val="0"/>
      <w:marBottom w:val="0"/>
      <w:divBdr>
        <w:top w:val="none" w:sz="0" w:space="0" w:color="auto"/>
        <w:left w:val="none" w:sz="0" w:space="0" w:color="auto"/>
        <w:bottom w:val="none" w:sz="0" w:space="0" w:color="auto"/>
        <w:right w:val="none" w:sz="0" w:space="0" w:color="auto"/>
      </w:divBdr>
      <w:divsChild>
        <w:div w:id="390036783">
          <w:marLeft w:val="0"/>
          <w:marRight w:val="0"/>
          <w:marTop w:val="0"/>
          <w:marBottom w:val="0"/>
          <w:divBdr>
            <w:top w:val="none" w:sz="0" w:space="0" w:color="auto"/>
            <w:left w:val="none" w:sz="0" w:space="0" w:color="auto"/>
            <w:bottom w:val="none" w:sz="0" w:space="0" w:color="auto"/>
            <w:right w:val="none" w:sz="0" w:space="0" w:color="auto"/>
          </w:divBdr>
        </w:div>
      </w:divsChild>
    </w:div>
    <w:div w:id="498469664">
      <w:bodyDiv w:val="1"/>
      <w:marLeft w:val="0"/>
      <w:marRight w:val="0"/>
      <w:marTop w:val="0"/>
      <w:marBottom w:val="0"/>
      <w:divBdr>
        <w:top w:val="none" w:sz="0" w:space="0" w:color="auto"/>
        <w:left w:val="none" w:sz="0" w:space="0" w:color="auto"/>
        <w:bottom w:val="none" w:sz="0" w:space="0" w:color="auto"/>
        <w:right w:val="none" w:sz="0" w:space="0" w:color="auto"/>
      </w:divBdr>
    </w:div>
    <w:div w:id="576398070">
      <w:bodyDiv w:val="1"/>
      <w:marLeft w:val="0"/>
      <w:marRight w:val="0"/>
      <w:marTop w:val="0"/>
      <w:marBottom w:val="0"/>
      <w:divBdr>
        <w:top w:val="none" w:sz="0" w:space="0" w:color="auto"/>
        <w:left w:val="none" w:sz="0" w:space="0" w:color="auto"/>
        <w:bottom w:val="none" w:sz="0" w:space="0" w:color="auto"/>
        <w:right w:val="none" w:sz="0" w:space="0" w:color="auto"/>
      </w:divBdr>
    </w:div>
    <w:div w:id="604963041">
      <w:bodyDiv w:val="1"/>
      <w:marLeft w:val="0"/>
      <w:marRight w:val="0"/>
      <w:marTop w:val="0"/>
      <w:marBottom w:val="0"/>
      <w:divBdr>
        <w:top w:val="none" w:sz="0" w:space="0" w:color="auto"/>
        <w:left w:val="none" w:sz="0" w:space="0" w:color="auto"/>
        <w:bottom w:val="none" w:sz="0" w:space="0" w:color="auto"/>
        <w:right w:val="none" w:sz="0" w:space="0" w:color="auto"/>
      </w:divBdr>
    </w:div>
    <w:div w:id="625620105">
      <w:bodyDiv w:val="1"/>
      <w:marLeft w:val="0"/>
      <w:marRight w:val="0"/>
      <w:marTop w:val="0"/>
      <w:marBottom w:val="0"/>
      <w:divBdr>
        <w:top w:val="none" w:sz="0" w:space="0" w:color="auto"/>
        <w:left w:val="none" w:sz="0" w:space="0" w:color="auto"/>
        <w:bottom w:val="none" w:sz="0" w:space="0" w:color="auto"/>
        <w:right w:val="none" w:sz="0" w:space="0" w:color="auto"/>
      </w:divBdr>
    </w:div>
    <w:div w:id="682511482">
      <w:bodyDiv w:val="1"/>
      <w:marLeft w:val="0"/>
      <w:marRight w:val="0"/>
      <w:marTop w:val="0"/>
      <w:marBottom w:val="0"/>
      <w:divBdr>
        <w:top w:val="none" w:sz="0" w:space="0" w:color="auto"/>
        <w:left w:val="none" w:sz="0" w:space="0" w:color="auto"/>
        <w:bottom w:val="none" w:sz="0" w:space="0" w:color="auto"/>
        <w:right w:val="none" w:sz="0" w:space="0" w:color="auto"/>
      </w:divBdr>
    </w:div>
    <w:div w:id="727149513">
      <w:bodyDiv w:val="1"/>
      <w:marLeft w:val="0"/>
      <w:marRight w:val="0"/>
      <w:marTop w:val="0"/>
      <w:marBottom w:val="0"/>
      <w:divBdr>
        <w:top w:val="none" w:sz="0" w:space="0" w:color="auto"/>
        <w:left w:val="none" w:sz="0" w:space="0" w:color="auto"/>
        <w:bottom w:val="none" w:sz="0" w:space="0" w:color="auto"/>
        <w:right w:val="none" w:sz="0" w:space="0" w:color="auto"/>
      </w:divBdr>
    </w:div>
    <w:div w:id="804010696">
      <w:bodyDiv w:val="1"/>
      <w:marLeft w:val="0"/>
      <w:marRight w:val="0"/>
      <w:marTop w:val="0"/>
      <w:marBottom w:val="0"/>
      <w:divBdr>
        <w:top w:val="none" w:sz="0" w:space="0" w:color="auto"/>
        <w:left w:val="none" w:sz="0" w:space="0" w:color="auto"/>
        <w:bottom w:val="none" w:sz="0" w:space="0" w:color="auto"/>
        <w:right w:val="none" w:sz="0" w:space="0" w:color="auto"/>
      </w:divBdr>
    </w:div>
    <w:div w:id="821191747">
      <w:bodyDiv w:val="1"/>
      <w:marLeft w:val="0"/>
      <w:marRight w:val="0"/>
      <w:marTop w:val="0"/>
      <w:marBottom w:val="0"/>
      <w:divBdr>
        <w:top w:val="none" w:sz="0" w:space="0" w:color="auto"/>
        <w:left w:val="none" w:sz="0" w:space="0" w:color="auto"/>
        <w:bottom w:val="none" w:sz="0" w:space="0" w:color="auto"/>
        <w:right w:val="none" w:sz="0" w:space="0" w:color="auto"/>
      </w:divBdr>
    </w:div>
    <w:div w:id="894197571">
      <w:bodyDiv w:val="1"/>
      <w:marLeft w:val="0"/>
      <w:marRight w:val="0"/>
      <w:marTop w:val="0"/>
      <w:marBottom w:val="0"/>
      <w:divBdr>
        <w:top w:val="none" w:sz="0" w:space="0" w:color="auto"/>
        <w:left w:val="none" w:sz="0" w:space="0" w:color="auto"/>
        <w:bottom w:val="none" w:sz="0" w:space="0" w:color="auto"/>
        <w:right w:val="none" w:sz="0" w:space="0" w:color="auto"/>
      </w:divBdr>
    </w:div>
    <w:div w:id="941304092">
      <w:bodyDiv w:val="1"/>
      <w:marLeft w:val="0"/>
      <w:marRight w:val="0"/>
      <w:marTop w:val="0"/>
      <w:marBottom w:val="0"/>
      <w:divBdr>
        <w:top w:val="none" w:sz="0" w:space="0" w:color="auto"/>
        <w:left w:val="none" w:sz="0" w:space="0" w:color="auto"/>
        <w:bottom w:val="none" w:sz="0" w:space="0" w:color="auto"/>
        <w:right w:val="none" w:sz="0" w:space="0" w:color="auto"/>
      </w:divBdr>
    </w:div>
    <w:div w:id="994869226">
      <w:bodyDiv w:val="1"/>
      <w:marLeft w:val="0"/>
      <w:marRight w:val="0"/>
      <w:marTop w:val="0"/>
      <w:marBottom w:val="0"/>
      <w:divBdr>
        <w:top w:val="none" w:sz="0" w:space="0" w:color="auto"/>
        <w:left w:val="none" w:sz="0" w:space="0" w:color="auto"/>
        <w:bottom w:val="none" w:sz="0" w:space="0" w:color="auto"/>
        <w:right w:val="none" w:sz="0" w:space="0" w:color="auto"/>
      </w:divBdr>
    </w:div>
    <w:div w:id="1041173004">
      <w:bodyDiv w:val="1"/>
      <w:marLeft w:val="0"/>
      <w:marRight w:val="0"/>
      <w:marTop w:val="0"/>
      <w:marBottom w:val="0"/>
      <w:divBdr>
        <w:top w:val="none" w:sz="0" w:space="0" w:color="auto"/>
        <w:left w:val="none" w:sz="0" w:space="0" w:color="auto"/>
        <w:bottom w:val="none" w:sz="0" w:space="0" w:color="auto"/>
        <w:right w:val="none" w:sz="0" w:space="0" w:color="auto"/>
      </w:divBdr>
    </w:div>
    <w:div w:id="1078744856">
      <w:bodyDiv w:val="1"/>
      <w:marLeft w:val="0"/>
      <w:marRight w:val="0"/>
      <w:marTop w:val="0"/>
      <w:marBottom w:val="0"/>
      <w:divBdr>
        <w:top w:val="none" w:sz="0" w:space="0" w:color="auto"/>
        <w:left w:val="none" w:sz="0" w:space="0" w:color="auto"/>
        <w:bottom w:val="none" w:sz="0" w:space="0" w:color="auto"/>
        <w:right w:val="none" w:sz="0" w:space="0" w:color="auto"/>
      </w:divBdr>
    </w:div>
    <w:div w:id="1211067456">
      <w:bodyDiv w:val="1"/>
      <w:marLeft w:val="0"/>
      <w:marRight w:val="0"/>
      <w:marTop w:val="0"/>
      <w:marBottom w:val="0"/>
      <w:divBdr>
        <w:top w:val="none" w:sz="0" w:space="0" w:color="auto"/>
        <w:left w:val="none" w:sz="0" w:space="0" w:color="auto"/>
        <w:bottom w:val="none" w:sz="0" w:space="0" w:color="auto"/>
        <w:right w:val="none" w:sz="0" w:space="0" w:color="auto"/>
      </w:divBdr>
    </w:div>
    <w:div w:id="1226531964">
      <w:bodyDiv w:val="1"/>
      <w:marLeft w:val="0"/>
      <w:marRight w:val="0"/>
      <w:marTop w:val="0"/>
      <w:marBottom w:val="0"/>
      <w:divBdr>
        <w:top w:val="none" w:sz="0" w:space="0" w:color="auto"/>
        <w:left w:val="none" w:sz="0" w:space="0" w:color="auto"/>
        <w:bottom w:val="none" w:sz="0" w:space="0" w:color="auto"/>
        <w:right w:val="none" w:sz="0" w:space="0" w:color="auto"/>
      </w:divBdr>
      <w:divsChild>
        <w:div w:id="2114276923">
          <w:marLeft w:val="0"/>
          <w:marRight w:val="0"/>
          <w:marTop w:val="60"/>
          <w:marBottom w:val="60"/>
          <w:divBdr>
            <w:top w:val="none" w:sz="0" w:space="0" w:color="auto"/>
            <w:left w:val="none" w:sz="0" w:space="0" w:color="auto"/>
            <w:bottom w:val="none" w:sz="0" w:space="0" w:color="auto"/>
            <w:right w:val="none" w:sz="0" w:space="0" w:color="auto"/>
          </w:divBdr>
        </w:div>
      </w:divsChild>
    </w:div>
    <w:div w:id="1231695718">
      <w:bodyDiv w:val="1"/>
      <w:marLeft w:val="0"/>
      <w:marRight w:val="0"/>
      <w:marTop w:val="0"/>
      <w:marBottom w:val="0"/>
      <w:divBdr>
        <w:top w:val="none" w:sz="0" w:space="0" w:color="auto"/>
        <w:left w:val="none" w:sz="0" w:space="0" w:color="auto"/>
        <w:bottom w:val="none" w:sz="0" w:space="0" w:color="auto"/>
        <w:right w:val="none" w:sz="0" w:space="0" w:color="auto"/>
      </w:divBdr>
    </w:div>
    <w:div w:id="1275407370">
      <w:bodyDiv w:val="1"/>
      <w:marLeft w:val="0"/>
      <w:marRight w:val="0"/>
      <w:marTop w:val="0"/>
      <w:marBottom w:val="0"/>
      <w:divBdr>
        <w:top w:val="none" w:sz="0" w:space="0" w:color="auto"/>
        <w:left w:val="none" w:sz="0" w:space="0" w:color="auto"/>
        <w:bottom w:val="none" w:sz="0" w:space="0" w:color="auto"/>
        <w:right w:val="none" w:sz="0" w:space="0" w:color="auto"/>
      </w:divBdr>
    </w:div>
    <w:div w:id="1307129716">
      <w:bodyDiv w:val="1"/>
      <w:marLeft w:val="0"/>
      <w:marRight w:val="0"/>
      <w:marTop w:val="0"/>
      <w:marBottom w:val="0"/>
      <w:divBdr>
        <w:top w:val="none" w:sz="0" w:space="0" w:color="auto"/>
        <w:left w:val="none" w:sz="0" w:space="0" w:color="auto"/>
        <w:bottom w:val="none" w:sz="0" w:space="0" w:color="auto"/>
        <w:right w:val="none" w:sz="0" w:space="0" w:color="auto"/>
      </w:divBdr>
    </w:div>
    <w:div w:id="1322537614">
      <w:bodyDiv w:val="1"/>
      <w:marLeft w:val="0"/>
      <w:marRight w:val="0"/>
      <w:marTop w:val="0"/>
      <w:marBottom w:val="0"/>
      <w:divBdr>
        <w:top w:val="none" w:sz="0" w:space="0" w:color="auto"/>
        <w:left w:val="none" w:sz="0" w:space="0" w:color="auto"/>
        <w:bottom w:val="none" w:sz="0" w:space="0" w:color="auto"/>
        <w:right w:val="none" w:sz="0" w:space="0" w:color="auto"/>
      </w:divBdr>
      <w:divsChild>
        <w:div w:id="330453680">
          <w:marLeft w:val="0"/>
          <w:marRight w:val="0"/>
          <w:marTop w:val="0"/>
          <w:marBottom w:val="0"/>
          <w:divBdr>
            <w:top w:val="none" w:sz="0" w:space="0" w:color="auto"/>
            <w:left w:val="none" w:sz="0" w:space="0" w:color="auto"/>
            <w:bottom w:val="none" w:sz="0" w:space="0" w:color="auto"/>
            <w:right w:val="none" w:sz="0" w:space="0" w:color="auto"/>
          </w:divBdr>
        </w:div>
        <w:div w:id="1345398288">
          <w:marLeft w:val="0"/>
          <w:marRight w:val="0"/>
          <w:marTop w:val="0"/>
          <w:marBottom w:val="0"/>
          <w:divBdr>
            <w:top w:val="none" w:sz="0" w:space="0" w:color="auto"/>
            <w:left w:val="none" w:sz="0" w:space="0" w:color="auto"/>
            <w:bottom w:val="none" w:sz="0" w:space="0" w:color="auto"/>
            <w:right w:val="none" w:sz="0" w:space="0" w:color="auto"/>
          </w:divBdr>
        </w:div>
      </w:divsChild>
    </w:div>
    <w:div w:id="1352367663">
      <w:bodyDiv w:val="1"/>
      <w:marLeft w:val="0"/>
      <w:marRight w:val="0"/>
      <w:marTop w:val="0"/>
      <w:marBottom w:val="0"/>
      <w:divBdr>
        <w:top w:val="none" w:sz="0" w:space="0" w:color="auto"/>
        <w:left w:val="none" w:sz="0" w:space="0" w:color="auto"/>
        <w:bottom w:val="none" w:sz="0" w:space="0" w:color="auto"/>
        <w:right w:val="none" w:sz="0" w:space="0" w:color="auto"/>
      </w:divBdr>
    </w:div>
    <w:div w:id="1393112332">
      <w:bodyDiv w:val="1"/>
      <w:marLeft w:val="0"/>
      <w:marRight w:val="0"/>
      <w:marTop w:val="0"/>
      <w:marBottom w:val="0"/>
      <w:divBdr>
        <w:top w:val="none" w:sz="0" w:space="0" w:color="auto"/>
        <w:left w:val="none" w:sz="0" w:space="0" w:color="auto"/>
        <w:bottom w:val="none" w:sz="0" w:space="0" w:color="auto"/>
        <w:right w:val="none" w:sz="0" w:space="0" w:color="auto"/>
      </w:divBdr>
    </w:div>
    <w:div w:id="1396246652">
      <w:bodyDiv w:val="1"/>
      <w:marLeft w:val="0"/>
      <w:marRight w:val="0"/>
      <w:marTop w:val="0"/>
      <w:marBottom w:val="0"/>
      <w:divBdr>
        <w:top w:val="none" w:sz="0" w:space="0" w:color="auto"/>
        <w:left w:val="none" w:sz="0" w:space="0" w:color="auto"/>
        <w:bottom w:val="none" w:sz="0" w:space="0" w:color="auto"/>
        <w:right w:val="none" w:sz="0" w:space="0" w:color="auto"/>
      </w:divBdr>
    </w:div>
    <w:div w:id="1410468890">
      <w:bodyDiv w:val="1"/>
      <w:marLeft w:val="0"/>
      <w:marRight w:val="0"/>
      <w:marTop w:val="0"/>
      <w:marBottom w:val="0"/>
      <w:divBdr>
        <w:top w:val="none" w:sz="0" w:space="0" w:color="auto"/>
        <w:left w:val="none" w:sz="0" w:space="0" w:color="auto"/>
        <w:bottom w:val="none" w:sz="0" w:space="0" w:color="auto"/>
        <w:right w:val="none" w:sz="0" w:space="0" w:color="auto"/>
      </w:divBdr>
    </w:div>
    <w:div w:id="1435592389">
      <w:bodyDiv w:val="1"/>
      <w:marLeft w:val="0"/>
      <w:marRight w:val="0"/>
      <w:marTop w:val="0"/>
      <w:marBottom w:val="0"/>
      <w:divBdr>
        <w:top w:val="none" w:sz="0" w:space="0" w:color="auto"/>
        <w:left w:val="none" w:sz="0" w:space="0" w:color="auto"/>
        <w:bottom w:val="none" w:sz="0" w:space="0" w:color="auto"/>
        <w:right w:val="none" w:sz="0" w:space="0" w:color="auto"/>
      </w:divBdr>
      <w:divsChild>
        <w:div w:id="1801919360">
          <w:marLeft w:val="0"/>
          <w:marRight w:val="0"/>
          <w:marTop w:val="0"/>
          <w:marBottom w:val="0"/>
          <w:divBdr>
            <w:top w:val="none" w:sz="0" w:space="0" w:color="auto"/>
            <w:left w:val="none" w:sz="0" w:space="0" w:color="auto"/>
            <w:bottom w:val="none" w:sz="0" w:space="0" w:color="auto"/>
            <w:right w:val="none" w:sz="0" w:space="0" w:color="auto"/>
          </w:divBdr>
        </w:div>
        <w:div w:id="87963864">
          <w:marLeft w:val="0"/>
          <w:marRight w:val="0"/>
          <w:marTop w:val="0"/>
          <w:marBottom w:val="0"/>
          <w:divBdr>
            <w:top w:val="none" w:sz="0" w:space="0" w:color="auto"/>
            <w:left w:val="none" w:sz="0" w:space="0" w:color="auto"/>
            <w:bottom w:val="none" w:sz="0" w:space="0" w:color="auto"/>
            <w:right w:val="none" w:sz="0" w:space="0" w:color="auto"/>
          </w:divBdr>
        </w:div>
      </w:divsChild>
    </w:div>
    <w:div w:id="1472558682">
      <w:bodyDiv w:val="1"/>
      <w:marLeft w:val="0"/>
      <w:marRight w:val="0"/>
      <w:marTop w:val="0"/>
      <w:marBottom w:val="0"/>
      <w:divBdr>
        <w:top w:val="none" w:sz="0" w:space="0" w:color="auto"/>
        <w:left w:val="none" w:sz="0" w:space="0" w:color="auto"/>
        <w:bottom w:val="none" w:sz="0" w:space="0" w:color="auto"/>
        <w:right w:val="none" w:sz="0" w:space="0" w:color="auto"/>
      </w:divBdr>
    </w:div>
    <w:div w:id="1530610309">
      <w:bodyDiv w:val="1"/>
      <w:marLeft w:val="0"/>
      <w:marRight w:val="0"/>
      <w:marTop w:val="0"/>
      <w:marBottom w:val="0"/>
      <w:divBdr>
        <w:top w:val="none" w:sz="0" w:space="0" w:color="auto"/>
        <w:left w:val="none" w:sz="0" w:space="0" w:color="auto"/>
        <w:bottom w:val="none" w:sz="0" w:space="0" w:color="auto"/>
        <w:right w:val="none" w:sz="0" w:space="0" w:color="auto"/>
      </w:divBdr>
    </w:div>
    <w:div w:id="1549881861">
      <w:bodyDiv w:val="1"/>
      <w:marLeft w:val="0"/>
      <w:marRight w:val="0"/>
      <w:marTop w:val="0"/>
      <w:marBottom w:val="0"/>
      <w:divBdr>
        <w:top w:val="none" w:sz="0" w:space="0" w:color="auto"/>
        <w:left w:val="none" w:sz="0" w:space="0" w:color="auto"/>
        <w:bottom w:val="none" w:sz="0" w:space="0" w:color="auto"/>
        <w:right w:val="none" w:sz="0" w:space="0" w:color="auto"/>
      </w:divBdr>
    </w:div>
    <w:div w:id="1615287372">
      <w:bodyDiv w:val="1"/>
      <w:marLeft w:val="0"/>
      <w:marRight w:val="0"/>
      <w:marTop w:val="0"/>
      <w:marBottom w:val="0"/>
      <w:divBdr>
        <w:top w:val="none" w:sz="0" w:space="0" w:color="auto"/>
        <w:left w:val="none" w:sz="0" w:space="0" w:color="auto"/>
        <w:bottom w:val="none" w:sz="0" w:space="0" w:color="auto"/>
        <w:right w:val="none" w:sz="0" w:space="0" w:color="auto"/>
      </w:divBdr>
    </w:div>
    <w:div w:id="1769738798">
      <w:bodyDiv w:val="1"/>
      <w:marLeft w:val="0"/>
      <w:marRight w:val="0"/>
      <w:marTop w:val="0"/>
      <w:marBottom w:val="0"/>
      <w:divBdr>
        <w:top w:val="none" w:sz="0" w:space="0" w:color="auto"/>
        <w:left w:val="none" w:sz="0" w:space="0" w:color="auto"/>
        <w:bottom w:val="none" w:sz="0" w:space="0" w:color="auto"/>
        <w:right w:val="none" w:sz="0" w:space="0" w:color="auto"/>
      </w:divBdr>
    </w:div>
    <w:div w:id="1800146285">
      <w:bodyDiv w:val="1"/>
      <w:marLeft w:val="0"/>
      <w:marRight w:val="0"/>
      <w:marTop w:val="0"/>
      <w:marBottom w:val="0"/>
      <w:divBdr>
        <w:top w:val="none" w:sz="0" w:space="0" w:color="auto"/>
        <w:left w:val="none" w:sz="0" w:space="0" w:color="auto"/>
        <w:bottom w:val="none" w:sz="0" w:space="0" w:color="auto"/>
        <w:right w:val="none" w:sz="0" w:space="0" w:color="auto"/>
      </w:divBdr>
    </w:div>
    <w:div w:id="2104758316">
      <w:bodyDiv w:val="1"/>
      <w:marLeft w:val="0"/>
      <w:marRight w:val="0"/>
      <w:marTop w:val="0"/>
      <w:marBottom w:val="0"/>
      <w:divBdr>
        <w:top w:val="none" w:sz="0" w:space="0" w:color="auto"/>
        <w:left w:val="none" w:sz="0" w:space="0" w:color="auto"/>
        <w:bottom w:val="none" w:sz="0" w:space="0" w:color="auto"/>
        <w:right w:val="none" w:sz="0" w:space="0" w:color="auto"/>
      </w:divBdr>
    </w:div>
    <w:div w:id="213073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NewsEvents/Pages/DisplayNews.aspx?NewsID=16338&amp;LangID=E" TargetMode="External"/><Relationship Id="rId3" Type="http://schemas.openxmlformats.org/officeDocument/2006/relationships/hyperlink" Target="https://acerwc.africa/wp-content/uploads/2018/13/ACERWC%20Decision%20FinaL%20ON%20Mauritania.pdf" TargetMode="External"/><Relationship Id="rId7" Type="http://schemas.openxmlformats.org/officeDocument/2006/relationships/hyperlink" Target="https://www.theguardian.com/global-development/2018/aug/09/biram-dah-abeid-mauritanian-presidential-hopeful-arrested-fears-political-foul-play" TargetMode="External"/><Relationship Id="rId2" Type="http://schemas.openxmlformats.org/officeDocument/2006/relationships/hyperlink" Target="https://www.globalslaveryindex.org/2018/data/country-data/mauritania/" TargetMode="External"/><Relationship Id="rId1" Type="http://schemas.openxmlformats.org/officeDocument/2006/relationships/hyperlink" Target="https://eur03.safelinks.protection.outlook.com/?url=http%3A%2F%2Fedition.cnn.com%2Finteractive%2F2012%2F03%2Fworld%2Fmauritania.slaverys.last.stronghold%2Findex.html&amp;data=01%7C01%7Crosana.garciandia%40kcl.ac.uk%7Cb32d082fccc2407867fd08d7d0e868a0%7C8370cf1416f34c16b83c724071654356%7C0&amp;sdata=4eHKYe34ABjLwDqODLeGze379TQDiDxbdx%2FjSVMZk08%3D&amp;reserved=0" TargetMode="External"/><Relationship Id="rId6" Type="http://schemas.openxmlformats.org/officeDocument/2006/relationships/hyperlink" Target="https://senalioune.com/mauritanie-details-de-la-rencontre-entre-ghazouani-et-biram/" TargetMode="External"/><Relationship Id="rId11" Type="http://schemas.openxmlformats.org/officeDocument/2006/relationships/hyperlink" Target="https://www.euractiv.com/section/global-europe/news/activists-warn-over-slavery-as-mauritania-joins-un-human-rights-council/" TargetMode="External"/><Relationship Id="rId5" Type="http://schemas.openxmlformats.org/officeDocument/2006/relationships/hyperlink" Target="https://www.middleeasteye.net/big-story/slavery-mauritania-differentiating-between-facts-and-fiction" TargetMode="External"/><Relationship Id="rId10" Type="http://schemas.openxmlformats.org/officeDocument/2006/relationships/hyperlink" Target="https://www.verite.org/africa/explore-by-country/mauritania/" TargetMode="External"/><Relationship Id="rId4" Type="http://schemas.openxmlformats.org/officeDocument/2006/relationships/hyperlink" Target="https://www.alliance87.org/wp-content/uploads/2019/05/Pathfinder-Countries_Final_English-1.pdf" TargetMode="External"/><Relationship Id="rId9" Type="http://schemas.openxmlformats.org/officeDocument/2006/relationships/hyperlink" Target="https://www.antislavery.org/mauritania-legal-w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E77DA-FE83-4D5F-BCDF-43C7E7E1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6586</Words>
  <Characters>37546</Characters>
  <Application>Microsoft Office Word</Application>
  <DocSecurity>0</DocSecurity>
  <Lines>312</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Garciandia Garmendia, Rosana</dc:creator>
  <cp:keywords/>
  <dc:description/>
  <cp:lastModifiedBy>Dylan</cp:lastModifiedBy>
  <cp:revision>2</cp:revision>
  <cp:lastPrinted>2020-03-08T11:23:00Z</cp:lastPrinted>
  <dcterms:created xsi:type="dcterms:W3CDTF">2020-11-04T16:31:00Z</dcterms:created>
  <dcterms:modified xsi:type="dcterms:W3CDTF">2020-11-04T16:31:00Z</dcterms:modified>
</cp:coreProperties>
</file>