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F4531" w14:textId="4B66D52D" w:rsidR="0027740D" w:rsidRPr="00E5792C" w:rsidRDefault="005E6381" w:rsidP="00E5792C">
      <w:pPr>
        <w:spacing w:line="480" w:lineRule="auto"/>
        <w:jc w:val="center"/>
        <w:rPr>
          <w:b/>
          <w:bCs/>
          <w:lang w:val="en-US"/>
        </w:rPr>
      </w:pPr>
      <w:bookmarkStart w:id="0" w:name="_GoBack"/>
      <w:bookmarkEnd w:id="0"/>
      <w:r w:rsidRPr="00E5792C">
        <w:rPr>
          <w:b/>
          <w:bCs/>
          <w:lang w:val="en-US"/>
        </w:rPr>
        <w:t>Prognostic Impact of Late Gadolinium Enhancement by C</w:t>
      </w:r>
      <w:r w:rsidR="007E5199" w:rsidRPr="00E5792C">
        <w:rPr>
          <w:b/>
          <w:bCs/>
          <w:lang w:val="en-US"/>
        </w:rPr>
        <w:t>MR</w:t>
      </w:r>
      <w:r w:rsidRPr="00E5792C">
        <w:rPr>
          <w:b/>
          <w:bCs/>
          <w:lang w:val="en-US"/>
        </w:rPr>
        <w:t xml:space="preserve"> </w:t>
      </w:r>
      <w:r w:rsidR="005841E2" w:rsidRPr="00E5792C">
        <w:rPr>
          <w:b/>
          <w:bCs/>
          <w:lang w:val="en-US"/>
        </w:rPr>
        <w:t xml:space="preserve">in </w:t>
      </w:r>
      <w:r w:rsidRPr="00E5792C">
        <w:rPr>
          <w:b/>
          <w:bCs/>
          <w:lang w:val="en-US"/>
        </w:rPr>
        <w:t>Myocarditis</w:t>
      </w:r>
      <w:r w:rsidR="001078BA" w:rsidRPr="00E5792C">
        <w:rPr>
          <w:b/>
          <w:bCs/>
          <w:lang w:val="en-US"/>
        </w:rPr>
        <w:t xml:space="preserve">: </w:t>
      </w:r>
      <w:r w:rsidRPr="00E5792C">
        <w:rPr>
          <w:b/>
          <w:bCs/>
          <w:lang w:val="en-US"/>
        </w:rPr>
        <w:t xml:space="preserve">A Systematic Review </w:t>
      </w:r>
      <w:r w:rsidR="001078BA" w:rsidRPr="00E5792C">
        <w:rPr>
          <w:b/>
          <w:bCs/>
          <w:lang w:val="en-US"/>
        </w:rPr>
        <w:t xml:space="preserve">and </w:t>
      </w:r>
      <w:r w:rsidRPr="00E5792C">
        <w:rPr>
          <w:b/>
          <w:bCs/>
          <w:lang w:val="en-US"/>
        </w:rPr>
        <w:t>Meta</w:t>
      </w:r>
      <w:r w:rsidR="001078BA" w:rsidRPr="00E5792C">
        <w:rPr>
          <w:b/>
          <w:bCs/>
          <w:lang w:val="en-US"/>
        </w:rPr>
        <w:t>-analysis</w:t>
      </w:r>
    </w:p>
    <w:p w14:paraId="138A7546" w14:textId="61A667F5" w:rsidR="0027740D" w:rsidRPr="00E5792C" w:rsidRDefault="00DC44AF" w:rsidP="00E5792C">
      <w:pPr>
        <w:spacing w:line="480" w:lineRule="auto"/>
        <w:rPr>
          <w:lang w:val="en-US"/>
        </w:rPr>
      </w:pPr>
      <w:r w:rsidRPr="00E5792C">
        <w:rPr>
          <w:b/>
          <w:bCs/>
          <w:lang w:val="en-US"/>
        </w:rPr>
        <w:t xml:space="preserve">Running </w:t>
      </w:r>
      <w:r w:rsidR="00BC1354" w:rsidRPr="00E5792C">
        <w:rPr>
          <w:b/>
          <w:bCs/>
          <w:lang w:val="en-US"/>
        </w:rPr>
        <w:t xml:space="preserve">title: </w:t>
      </w:r>
      <w:r w:rsidR="00BC1354" w:rsidRPr="00E5792C">
        <w:rPr>
          <w:lang w:val="en-US"/>
        </w:rPr>
        <w:t>Prognostic Impact of LGE in Myocarditis</w:t>
      </w:r>
    </w:p>
    <w:p w14:paraId="1B4EC37C" w14:textId="77777777" w:rsidR="0027740D" w:rsidRPr="00E5792C" w:rsidRDefault="0027740D" w:rsidP="00E5792C">
      <w:pPr>
        <w:spacing w:line="480" w:lineRule="auto"/>
        <w:rPr>
          <w:lang w:val="en-US"/>
        </w:rPr>
      </w:pPr>
    </w:p>
    <w:p w14:paraId="3AEA3F43" w14:textId="53871023" w:rsidR="008D2B26" w:rsidRPr="00E5792C" w:rsidRDefault="00F959DD" w:rsidP="00E5792C">
      <w:pPr>
        <w:spacing w:line="480" w:lineRule="auto"/>
        <w:jc w:val="both"/>
        <w:rPr>
          <w:bCs/>
          <w:lang w:val="en-US"/>
        </w:rPr>
      </w:pPr>
      <w:r w:rsidRPr="00E5792C">
        <w:rPr>
          <w:bCs/>
          <w:lang w:val="en-US"/>
        </w:rPr>
        <w:t>Georgios Georgiopoulos</w:t>
      </w:r>
      <w:r w:rsidRPr="00E5792C">
        <w:rPr>
          <w:bCs/>
          <w:vertAlign w:val="superscript"/>
          <w:lang w:val="en-US"/>
        </w:rPr>
        <w:t>a,b*</w:t>
      </w:r>
      <w:r w:rsidRPr="00E5792C">
        <w:rPr>
          <w:bCs/>
          <w:lang w:val="en-US"/>
        </w:rPr>
        <w:t>, MD, Stefano Figliozzi</w:t>
      </w:r>
      <w:r w:rsidRPr="00E5792C">
        <w:rPr>
          <w:bCs/>
          <w:vertAlign w:val="superscript"/>
          <w:lang w:val="en-US"/>
        </w:rPr>
        <w:t>a*</w:t>
      </w:r>
      <w:r w:rsidRPr="00E5792C">
        <w:rPr>
          <w:bCs/>
          <w:lang w:val="en-US"/>
        </w:rPr>
        <w:t>, MD, Francesca Sanguineti</w:t>
      </w:r>
      <w:r w:rsidRPr="00E5792C">
        <w:rPr>
          <w:bCs/>
          <w:vertAlign w:val="superscript"/>
          <w:lang w:val="en-US"/>
        </w:rPr>
        <w:t>c</w:t>
      </w:r>
      <w:r w:rsidRPr="00E5792C">
        <w:rPr>
          <w:bCs/>
          <w:lang w:val="en-US"/>
        </w:rPr>
        <w:t>, MD, Giovanni Donato Aquaro</w:t>
      </w:r>
      <w:r w:rsidRPr="00E5792C">
        <w:rPr>
          <w:bCs/>
          <w:vertAlign w:val="superscript"/>
          <w:lang w:val="en-US"/>
        </w:rPr>
        <w:t>d</w:t>
      </w:r>
      <w:r w:rsidRPr="00E5792C">
        <w:rPr>
          <w:bCs/>
          <w:lang w:val="en-US"/>
        </w:rPr>
        <w:t>, MD, Gianluca di Bella</w:t>
      </w:r>
      <w:r w:rsidRPr="00E5792C">
        <w:rPr>
          <w:bCs/>
          <w:vertAlign w:val="superscript"/>
          <w:lang w:val="en-US"/>
        </w:rPr>
        <w:t>e</w:t>
      </w:r>
      <w:r w:rsidRPr="00E5792C">
        <w:rPr>
          <w:bCs/>
          <w:lang w:val="en-US"/>
        </w:rPr>
        <w:t xml:space="preserve">, MD, </w:t>
      </w:r>
      <w:r w:rsidRPr="00E5792C">
        <w:rPr>
          <w:bCs/>
          <w:vertAlign w:val="superscript"/>
          <w:lang w:val="en-US"/>
        </w:rPr>
        <w:t xml:space="preserve"> </w:t>
      </w:r>
      <w:r w:rsidRPr="00E5792C">
        <w:rPr>
          <w:bCs/>
          <w:lang w:val="en-US"/>
        </w:rPr>
        <w:t>Kimon Stamatelopoulos</w:t>
      </w:r>
      <w:r w:rsidRPr="00E5792C">
        <w:rPr>
          <w:bCs/>
          <w:vertAlign w:val="superscript"/>
          <w:lang w:val="en-US"/>
        </w:rPr>
        <w:t>b</w:t>
      </w:r>
      <w:r w:rsidRPr="00E5792C">
        <w:rPr>
          <w:bCs/>
          <w:lang w:val="en-US"/>
        </w:rPr>
        <w:t>, MD, Amedeo Chiribiri</w:t>
      </w:r>
      <w:r w:rsidRPr="00E5792C">
        <w:rPr>
          <w:bCs/>
          <w:vertAlign w:val="superscript"/>
          <w:lang w:val="en-US"/>
        </w:rPr>
        <w:t>a</w:t>
      </w:r>
      <w:r w:rsidRPr="00E5792C">
        <w:rPr>
          <w:bCs/>
          <w:lang w:val="en-US"/>
        </w:rPr>
        <w:t>, MD, Jerome Garot</w:t>
      </w:r>
      <w:r w:rsidRPr="00E5792C">
        <w:rPr>
          <w:bCs/>
          <w:vertAlign w:val="superscript"/>
          <w:lang w:val="en-US"/>
        </w:rPr>
        <w:t>c</w:t>
      </w:r>
      <w:r w:rsidRPr="00E5792C">
        <w:rPr>
          <w:bCs/>
          <w:lang w:val="en-US"/>
        </w:rPr>
        <w:t>, MD, Pier Giorgio Masci</w:t>
      </w:r>
      <w:r w:rsidRPr="00E5792C">
        <w:rPr>
          <w:bCs/>
          <w:vertAlign w:val="superscript"/>
          <w:lang w:val="en-US"/>
        </w:rPr>
        <w:t>a†</w:t>
      </w:r>
      <w:r w:rsidRPr="00E5792C">
        <w:rPr>
          <w:bCs/>
          <w:lang w:val="en-US"/>
        </w:rPr>
        <w:t>, MD, Tevfik F Ismail</w:t>
      </w:r>
      <w:r w:rsidRPr="00E5792C">
        <w:rPr>
          <w:bCs/>
          <w:vertAlign w:val="superscript"/>
          <w:lang w:val="en-US"/>
        </w:rPr>
        <w:t xml:space="preserve"> a†</w:t>
      </w:r>
      <w:r w:rsidRPr="00E5792C">
        <w:rPr>
          <w:bCs/>
          <w:lang w:val="en-US"/>
        </w:rPr>
        <w:t>, PhD, FACC.</w:t>
      </w:r>
    </w:p>
    <w:p w14:paraId="6AC0DB9F" w14:textId="77777777" w:rsidR="0027740D" w:rsidRPr="00E5792C" w:rsidRDefault="0027740D" w:rsidP="00E5792C">
      <w:pPr>
        <w:spacing w:line="480" w:lineRule="auto"/>
        <w:jc w:val="both"/>
        <w:rPr>
          <w:bCs/>
          <w:lang w:val="en-US"/>
        </w:rPr>
      </w:pPr>
    </w:p>
    <w:p w14:paraId="6526F1FD" w14:textId="77777777" w:rsidR="00EB594B" w:rsidRPr="00E5792C" w:rsidRDefault="00EB594B" w:rsidP="00E5792C">
      <w:pPr>
        <w:spacing w:line="480" w:lineRule="auto"/>
        <w:jc w:val="both"/>
        <w:rPr>
          <w:bCs/>
          <w:lang w:val="en-US"/>
        </w:rPr>
      </w:pPr>
      <w:r w:rsidRPr="00E5792C">
        <w:rPr>
          <w:bCs/>
          <w:lang w:val="en-US"/>
        </w:rPr>
        <w:t>* These authors contributed equally as first authors.</w:t>
      </w:r>
    </w:p>
    <w:p w14:paraId="2EF742CB" w14:textId="37AE2CDC" w:rsidR="0027740D" w:rsidRPr="00E5792C" w:rsidRDefault="00EB594B" w:rsidP="00E5792C">
      <w:pPr>
        <w:spacing w:line="480" w:lineRule="auto"/>
        <w:jc w:val="both"/>
        <w:rPr>
          <w:bCs/>
          <w:lang w:val="en-US"/>
        </w:rPr>
      </w:pPr>
      <w:r w:rsidRPr="00E5792C">
        <w:rPr>
          <w:bCs/>
          <w:vertAlign w:val="superscript"/>
          <w:lang w:val="en-US"/>
        </w:rPr>
        <w:t>†</w:t>
      </w:r>
      <w:r w:rsidRPr="00E5792C">
        <w:rPr>
          <w:bCs/>
          <w:lang w:val="en-US"/>
        </w:rPr>
        <w:t xml:space="preserve"> These authors contributed equally as senior authors.</w:t>
      </w:r>
    </w:p>
    <w:p w14:paraId="0373A03D" w14:textId="4EE9C456" w:rsidR="00EB594B" w:rsidRPr="00E5792C" w:rsidRDefault="003E6CC2" w:rsidP="00E5792C">
      <w:pPr>
        <w:spacing w:line="480" w:lineRule="auto"/>
        <w:jc w:val="both"/>
        <w:rPr>
          <w:bCs/>
          <w:lang w:val="en-US"/>
        </w:rPr>
      </w:pPr>
      <w:r w:rsidRPr="00E5792C">
        <w:rPr>
          <w:bCs/>
          <w:vertAlign w:val="superscript"/>
          <w:lang w:val="en-US"/>
        </w:rPr>
        <w:t>a</w:t>
      </w:r>
      <w:r w:rsidR="00EB594B" w:rsidRPr="00E5792C">
        <w:rPr>
          <w:bCs/>
          <w:lang w:val="en-US"/>
        </w:rPr>
        <w:t>School of Biomedical Engineering &amp; Imaging Sciences, King's College London, UK.</w:t>
      </w:r>
    </w:p>
    <w:p w14:paraId="05D70880" w14:textId="6CB812CD" w:rsidR="00EB594B" w:rsidRPr="00E5792C" w:rsidRDefault="003E6CC2" w:rsidP="00E5792C">
      <w:pPr>
        <w:spacing w:line="480" w:lineRule="auto"/>
        <w:jc w:val="both"/>
        <w:rPr>
          <w:bCs/>
          <w:lang w:val="en-US"/>
        </w:rPr>
      </w:pPr>
      <w:r w:rsidRPr="00E5792C">
        <w:rPr>
          <w:bCs/>
          <w:vertAlign w:val="superscript"/>
          <w:lang w:val="en-US"/>
        </w:rPr>
        <w:t>b</w:t>
      </w:r>
      <w:r w:rsidR="00EB594B" w:rsidRPr="00E5792C">
        <w:rPr>
          <w:bCs/>
          <w:lang w:val="en-US"/>
        </w:rPr>
        <w:t>Department of Clinical Therapeutics, National and Kapodistrian University of Athens, Greece.</w:t>
      </w:r>
    </w:p>
    <w:p w14:paraId="256DBCCA" w14:textId="38A14610" w:rsidR="00EB594B" w:rsidRPr="00E5792C" w:rsidRDefault="003E6CC2" w:rsidP="00E5792C">
      <w:pPr>
        <w:spacing w:line="480" w:lineRule="auto"/>
        <w:jc w:val="both"/>
        <w:rPr>
          <w:bCs/>
          <w:lang w:val="en-US"/>
        </w:rPr>
      </w:pPr>
      <w:r w:rsidRPr="00E5792C">
        <w:rPr>
          <w:bCs/>
          <w:vertAlign w:val="superscript"/>
          <w:lang w:val="en-US"/>
        </w:rPr>
        <w:t>c</w:t>
      </w:r>
      <w:r w:rsidR="00EB594B" w:rsidRPr="00E5792C">
        <w:rPr>
          <w:bCs/>
          <w:lang w:val="en-US"/>
        </w:rPr>
        <w:t>Cardiovascular MR Lab, ICPS, Hôpital Privé Jacques Cartier- Ramsay Santé, Massy, France.</w:t>
      </w:r>
    </w:p>
    <w:p w14:paraId="7DF06440" w14:textId="5FCF89C7" w:rsidR="00EB594B" w:rsidRPr="00E5792C" w:rsidRDefault="003E6CC2" w:rsidP="00E5792C">
      <w:pPr>
        <w:spacing w:line="480" w:lineRule="auto"/>
        <w:jc w:val="both"/>
        <w:rPr>
          <w:bCs/>
        </w:rPr>
      </w:pPr>
      <w:r w:rsidRPr="00E5792C">
        <w:rPr>
          <w:bCs/>
          <w:vertAlign w:val="superscript"/>
        </w:rPr>
        <w:t>d</w:t>
      </w:r>
      <w:r w:rsidR="00EB594B" w:rsidRPr="00E5792C">
        <w:rPr>
          <w:bCs/>
        </w:rPr>
        <w:t>Fondazione Toscana G.</w:t>
      </w:r>
      <w:r w:rsidR="00783059" w:rsidRPr="00E5792C">
        <w:rPr>
          <w:bCs/>
        </w:rPr>
        <w:t xml:space="preserve"> </w:t>
      </w:r>
      <w:r w:rsidR="00EB594B" w:rsidRPr="00E5792C">
        <w:rPr>
          <w:bCs/>
        </w:rPr>
        <w:t>Monasterio, Pisa, Italy.</w:t>
      </w:r>
    </w:p>
    <w:p w14:paraId="77E9AA06" w14:textId="6E7616DB" w:rsidR="00171750" w:rsidRPr="00E5792C" w:rsidRDefault="003E6CC2" w:rsidP="00E5792C">
      <w:pPr>
        <w:spacing w:line="480" w:lineRule="auto"/>
        <w:jc w:val="both"/>
        <w:rPr>
          <w:bCs/>
          <w:lang w:val="en-US"/>
        </w:rPr>
      </w:pPr>
      <w:r w:rsidRPr="00E5792C">
        <w:rPr>
          <w:bCs/>
          <w:vertAlign w:val="superscript"/>
          <w:lang w:val="en-US"/>
        </w:rPr>
        <w:t>e</w:t>
      </w:r>
      <w:r w:rsidR="00EB594B" w:rsidRPr="00E5792C">
        <w:rPr>
          <w:bCs/>
          <w:lang w:val="en-US"/>
        </w:rPr>
        <w:t>Clinical and Experimental Department of Medicine and Pharmacology, University of Messina, Messina, Italy.</w:t>
      </w:r>
    </w:p>
    <w:p w14:paraId="6441D847" w14:textId="6B473ECC" w:rsidR="00143214" w:rsidRPr="00E5792C" w:rsidRDefault="00DC44AF" w:rsidP="00E5792C">
      <w:pPr>
        <w:spacing w:line="480" w:lineRule="auto"/>
        <w:jc w:val="both"/>
        <w:rPr>
          <w:b/>
          <w:bCs/>
          <w:lang w:val="en-US"/>
        </w:rPr>
      </w:pPr>
      <w:r w:rsidRPr="00E5792C">
        <w:rPr>
          <w:b/>
          <w:bCs/>
          <w:lang w:val="en-US"/>
        </w:rPr>
        <w:t xml:space="preserve">Address for </w:t>
      </w:r>
      <w:r w:rsidR="00143214" w:rsidRPr="00E5792C">
        <w:rPr>
          <w:b/>
          <w:bCs/>
          <w:lang w:val="en-US"/>
        </w:rPr>
        <w:t>Correspondence:</w:t>
      </w:r>
    </w:p>
    <w:p w14:paraId="4D130E48" w14:textId="7327F9DC" w:rsidR="00143214" w:rsidRPr="00E5792C" w:rsidRDefault="00DC44AF" w:rsidP="00E5792C">
      <w:pPr>
        <w:spacing w:line="480" w:lineRule="auto"/>
        <w:jc w:val="both"/>
        <w:rPr>
          <w:lang w:val="en-US"/>
        </w:rPr>
      </w:pPr>
      <w:r w:rsidRPr="00E5792C">
        <w:rPr>
          <w:lang w:val="en-US"/>
        </w:rPr>
        <w:t xml:space="preserve">Dr </w:t>
      </w:r>
      <w:r w:rsidR="00143214" w:rsidRPr="00E5792C">
        <w:rPr>
          <w:lang w:val="en-US"/>
        </w:rPr>
        <w:t>Georgios Georgiopoulos, MD, PhD</w:t>
      </w:r>
    </w:p>
    <w:p w14:paraId="2FDB8F03" w14:textId="1D35870C" w:rsidR="008675ED" w:rsidRPr="00E5792C" w:rsidRDefault="008675ED" w:rsidP="00E5792C">
      <w:pPr>
        <w:spacing w:line="480" w:lineRule="auto"/>
        <w:jc w:val="both"/>
        <w:rPr>
          <w:lang w:val="en-US"/>
        </w:rPr>
      </w:pPr>
      <w:r w:rsidRPr="00E5792C">
        <w:rPr>
          <w:bCs/>
          <w:lang w:val="en-US"/>
        </w:rPr>
        <w:t>School of Biomedical Engineering &amp; Imaging Sciences</w:t>
      </w:r>
    </w:p>
    <w:p w14:paraId="6F17CEF9" w14:textId="64E549EC" w:rsidR="00143214" w:rsidRPr="00E5792C" w:rsidRDefault="00143214" w:rsidP="00E5792C">
      <w:pPr>
        <w:spacing w:line="480" w:lineRule="auto"/>
        <w:jc w:val="both"/>
        <w:rPr>
          <w:lang w:val="en-US"/>
        </w:rPr>
      </w:pPr>
      <w:r w:rsidRPr="00E5792C">
        <w:rPr>
          <w:lang w:val="en-US"/>
        </w:rPr>
        <w:t>King’s College London</w:t>
      </w:r>
    </w:p>
    <w:p w14:paraId="2533C3D9" w14:textId="77777777" w:rsidR="00850836" w:rsidRPr="00E5792C" w:rsidRDefault="00850836" w:rsidP="00E5792C">
      <w:pPr>
        <w:spacing w:line="480" w:lineRule="auto"/>
        <w:jc w:val="both"/>
        <w:rPr>
          <w:lang w:val="en-US"/>
        </w:rPr>
      </w:pPr>
      <w:r w:rsidRPr="00E5792C">
        <w:rPr>
          <w:lang w:val="en-US"/>
        </w:rPr>
        <w:t>St Thomas’ Hospital</w:t>
      </w:r>
    </w:p>
    <w:p w14:paraId="1E876C4C" w14:textId="77777777" w:rsidR="00850836" w:rsidRPr="00E5792C" w:rsidRDefault="00143214" w:rsidP="00E5792C">
      <w:pPr>
        <w:spacing w:line="480" w:lineRule="auto"/>
        <w:jc w:val="both"/>
        <w:rPr>
          <w:lang w:val="en-US"/>
        </w:rPr>
      </w:pPr>
      <w:r w:rsidRPr="00E5792C">
        <w:rPr>
          <w:lang w:val="en-US"/>
        </w:rPr>
        <w:t>Westminster Bridge Road</w:t>
      </w:r>
    </w:p>
    <w:p w14:paraId="7F6C1918" w14:textId="42EB39F0" w:rsidR="00143214" w:rsidRPr="00E5792C" w:rsidRDefault="00143214" w:rsidP="00E5792C">
      <w:pPr>
        <w:spacing w:line="480" w:lineRule="auto"/>
        <w:jc w:val="both"/>
        <w:rPr>
          <w:lang w:val="en-US"/>
        </w:rPr>
      </w:pPr>
      <w:r w:rsidRPr="00E5792C">
        <w:rPr>
          <w:lang w:val="en-US"/>
        </w:rPr>
        <w:t>London SE1 7EH</w:t>
      </w:r>
    </w:p>
    <w:p w14:paraId="0618D183" w14:textId="6057341F" w:rsidR="00850836" w:rsidRPr="00E5792C" w:rsidRDefault="00850836" w:rsidP="00E5792C">
      <w:pPr>
        <w:spacing w:line="480" w:lineRule="auto"/>
        <w:jc w:val="both"/>
        <w:rPr>
          <w:lang w:val="en-US"/>
        </w:rPr>
      </w:pPr>
      <w:r w:rsidRPr="00E5792C">
        <w:rPr>
          <w:lang w:val="en-US"/>
        </w:rPr>
        <w:t>United Kingdom</w:t>
      </w:r>
    </w:p>
    <w:p w14:paraId="710BAA9F" w14:textId="77777777" w:rsidR="00143214" w:rsidRPr="00E5792C" w:rsidRDefault="00143214" w:rsidP="00E5792C">
      <w:pPr>
        <w:spacing w:line="480" w:lineRule="auto"/>
        <w:jc w:val="both"/>
        <w:rPr>
          <w:lang w:val="en-US"/>
        </w:rPr>
      </w:pPr>
      <w:r w:rsidRPr="00E5792C">
        <w:rPr>
          <w:lang w:val="en-US"/>
        </w:rPr>
        <w:t>Email: georgios.georgiopoulos@kcl.ac.uk</w:t>
      </w:r>
    </w:p>
    <w:p w14:paraId="29418499" w14:textId="4B35D017" w:rsidR="00EB594B" w:rsidRPr="00E5792C" w:rsidRDefault="00143214" w:rsidP="00E5792C">
      <w:pPr>
        <w:spacing w:line="480" w:lineRule="auto"/>
        <w:jc w:val="both"/>
        <w:rPr>
          <w:lang w:val="en-US"/>
        </w:rPr>
      </w:pPr>
      <w:r w:rsidRPr="00E5792C">
        <w:rPr>
          <w:lang w:val="en-US"/>
        </w:rPr>
        <w:t>Phone: +44 747 1551780</w:t>
      </w:r>
    </w:p>
    <w:p w14:paraId="299B2F00" w14:textId="56C43944" w:rsidR="008D2B26" w:rsidRPr="00E5792C" w:rsidRDefault="008D2B26" w:rsidP="00E5792C">
      <w:pPr>
        <w:spacing w:line="480" w:lineRule="auto"/>
        <w:rPr>
          <w:lang w:val="en-US"/>
        </w:rPr>
      </w:pPr>
      <w:r w:rsidRPr="00E5792C">
        <w:rPr>
          <w:b/>
          <w:lang w:val="en-US"/>
        </w:rPr>
        <w:lastRenderedPageBreak/>
        <w:t xml:space="preserve">Authors email address: </w:t>
      </w:r>
    </w:p>
    <w:p w14:paraId="5E2E9AEA" w14:textId="7E53C37B" w:rsidR="008D2B26" w:rsidRPr="00E5792C" w:rsidRDefault="008D2B26" w:rsidP="00E5792C">
      <w:pPr>
        <w:spacing w:line="480" w:lineRule="auto"/>
        <w:jc w:val="both"/>
        <w:rPr>
          <w:bCs/>
          <w:lang w:val="en-US"/>
        </w:rPr>
      </w:pPr>
      <w:r w:rsidRPr="00E5792C">
        <w:rPr>
          <w:bCs/>
          <w:lang w:val="en-US"/>
        </w:rPr>
        <w:t>Georgios Georgiopoulos: georgiopoulosgeorgios@gmail.com</w:t>
      </w:r>
    </w:p>
    <w:p w14:paraId="48646A8E" w14:textId="58D09359" w:rsidR="008D2B26" w:rsidRPr="00E5792C" w:rsidRDefault="008D2B26" w:rsidP="00E5792C">
      <w:pPr>
        <w:spacing w:line="480" w:lineRule="auto"/>
        <w:jc w:val="both"/>
        <w:rPr>
          <w:bCs/>
        </w:rPr>
      </w:pPr>
      <w:r w:rsidRPr="00E5792C">
        <w:rPr>
          <w:bCs/>
        </w:rPr>
        <w:t>Stefano Figliozzi: stefanofigliozzi@hotmail.it</w:t>
      </w:r>
    </w:p>
    <w:p w14:paraId="3E1339F7" w14:textId="3235C850" w:rsidR="008D2B26" w:rsidRPr="00E5792C" w:rsidRDefault="008D2B26" w:rsidP="00E5792C">
      <w:pPr>
        <w:spacing w:line="480" w:lineRule="auto"/>
        <w:jc w:val="both"/>
        <w:rPr>
          <w:bCs/>
        </w:rPr>
      </w:pPr>
      <w:r w:rsidRPr="00E5792C">
        <w:rPr>
          <w:bCs/>
        </w:rPr>
        <w:t>Francesca Sanguineti: f.sanguineti@angio-icps.com</w:t>
      </w:r>
    </w:p>
    <w:p w14:paraId="2E0F2581" w14:textId="171FF072" w:rsidR="008D2B26" w:rsidRPr="00E5792C" w:rsidRDefault="008D2B26" w:rsidP="00E5792C">
      <w:pPr>
        <w:spacing w:line="480" w:lineRule="auto"/>
        <w:jc w:val="both"/>
        <w:rPr>
          <w:bCs/>
          <w:vertAlign w:val="superscript"/>
        </w:rPr>
      </w:pPr>
      <w:r w:rsidRPr="00E5792C">
        <w:rPr>
          <w:bCs/>
        </w:rPr>
        <w:t>Giovanni Donato Aquaro: aquaro@ftgm.it</w:t>
      </w:r>
    </w:p>
    <w:p w14:paraId="3CE112FC" w14:textId="3C1A8D61" w:rsidR="008D2B26" w:rsidRPr="00E5792C" w:rsidRDefault="008D2B26" w:rsidP="00E5792C">
      <w:pPr>
        <w:spacing w:line="480" w:lineRule="auto"/>
        <w:jc w:val="both"/>
        <w:rPr>
          <w:bCs/>
          <w:vertAlign w:val="superscript"/>
        </w:rPr>
      </w:pPr>
      <w:r w:rsidRPr="00E5792C">
        <w:rPr>
          <w:bCs/>
        </w:rPr>
        <w:t>Gianluca di Bella: gianluca.dibella@unime.it</w:t>
      </w:r>
    </w:p>
    <w:p w14:paraId="7EC5C887" w14:textId="59355962" w:rsidR="008D2B26" w:rsidRPr="00E5792C" w:rsidRDefault="008D2B26" w:rsidP="00E5792C">
      <w:pPr>
        <w:spacing w:line="480" w:lineRule="auto"/>
        <w:jc w:val="both"/>
        <w:rPr>
          <w:bCs/>
          <w:lang w:val="en-US"/>
        </w:rPr>
      </w:pPr>
      <w:r w:rsidRPr="00E5792C">
        <w:rPr>
          <w:bCs/>
          <w:lang w:val="en-US"/>
        </w:rPr>
        <w:t>Kimon Stamatelopoulos:</w:t>
      </w:r>
      <w:r w:rsidR="00BF457B" w:rsidRPr="00E5792C">
        <w:rPr>
          <w:bCs/>
          <w:lang w:val="en-US"/>
        </w:rPr>
        <w:t xml:space="preserve"> stamatelopoulosk@yahoo.gr</w:t>
      </w:r>
    </w:p>
    <w:p w14:paraId="2B6D23D0" w14:textId="60225F28" w:rsidR="008D2B26" w:rsidRPr="00E5792C" w:rsidRDefault="008D2B26" w:rsidP="00E5792C">
      <w:pPr>
        <w:tabs>
          <w:tab w:val="left" w:pos="3072"/>
        </w:tabs>
        <w:spacing w:line="480" w:lineRule="auto"/>
        <w:jc w:val="both"/>
        <w:rPr>
          <w:bCs/>
          <w:vertAlign w:val="superscript"/>
          <w:lang w:val="en-US"/>
        </w:rPr>
      </w:pPr>
      <w:r w:rsidRPr="00E5792C">
        <w:rPr>
          <w:bCs/>
          <w:lang w:val="en-US"/>
        </w:rPr>
        <w:t>Amedeo Chiribiri: amedeo.chiribiri@kcl.ac.uk</w:t>
      </w:r>
    </w:p>
    <w:p w14:paraId="417A1D32" w14:textId="1BAD68BF" w:rsidR="008D2B26" w:rsidRPr="00E5792C" w:rsidRDefault="008D2B26" w:rsidP="00E5792C">
      <w:pPr>
        <w:spacing w:line="480" w:lineRule="auto"/>
        <w:jc w:val="both"/>
        <w:rPr>
          <w:bCs/>
          <w:vertAlign w:val="superscript"/>
        </w:rPr>
      </w:pPr>
      <w:r w:rsidRPr="00E5792C">
        <w:rPr>
          <w:bCs/>
        </w:rPr>
        <w:t>Jerome Garot: jgarot@angio-icps.com</w:t>
      </w:r>
    </w:p>
    <w:p w14:paraId="159D98E2" w14:textId="48C78053" w:rsidR="008D2B26" w:rsidRPr="00E5792C" w:rsidRDefault="008D2B26" w:rsidP="00E5792C">
      <w:pPr>
        <w:spacing w:line="480" w:lineRule="auto"/>
        <w:jc w:val="both"/>
        <w:rPr>
          <w:bCs/>
          <w:vertAlign w:val="superscript"/>
        </w:rPr>
      </w:pPr>
      <w:r w:rsidRPr="00E5792C">
        <w:rPr>
          <w:bCs/>
        </w:rPr>
        <w:t>Pier Giorgio Masci: pgmasci@gmail.com</w:t>
      </w:r>
    </w:p>
    <w:p w14:paraId="071D6097" w14:textId="40167A64" w:rsidR="00B12304" w:rsidRPr="00E5792C" w:rsidRDefault="008D2B26" w:rsidP="00E5792C">
      <w:pPr>
        <w:spacing w:line="480" w:lineRule="auto"/>
        <w:jc w:val="both"/>
        <w:rPr>
          <w:bCs/>
          <w:lang w:val="en-US"/>
        </w:rPr>
      </w:pPr>
      <w:r w:rsidRPr="00E5792C">
        <w:rPr>
          <w:bCs/>
          <w:lang w:val="en-US"/>
        </w:rPr>
        <w:t xml:space="preserve">Tevfik </w:t>
      </w:r>
      <w:r w:rsidR="00BF336E" w:rsidRPr="00E5792C">
        <w:rPr>
          <w:bCs/>
          <w:lang w:val="en-US"/>
        </w:rPr>
        <w:t xml:space="preserve">F </w:t>
      </w:r>
      <w:r w:rsidRPr="00E5792C">
        <w:rPr>
          <w:bCs/>
          <w:lang w:val="en-US"/>
        </w:rPr>
        <w:t xml:space="preserve">Ismail: </w:t>
      </w:r>
      <w:r w:rsidR="00DC44AF" w:rsidRPr="00E5792C">
        <w:rPr>
          <w:lang w:val="en-US"/>
        </w:rPr>
        <w:t>tevfik.ismail@kcl.ac.uk</w:t>
      </w:r>
    </w:p>
    <w:p w14:paraId="213A03C6" w14:textId="77777777" w:rsidR="00B12304" w:rsidRPr="00E5792C" w:rsidRDefault="00B12304" w:rsidP="00E5792C">
      <w:pPr>
        <w:spacing w:line="480" w:lineRule="auto"/>
        <w:jc w:val="both"/>
        <w:rPr>
          <w:bCs/>
          <w:lang w:val="en-US"/>
        </w:rPr>
      </w:pPr>
    </w:p>
    <w:p w14:paraId="63223C9A" w14:textId="731936F8" w:rsidR="00B12304" w:rsidRPr="00E5792C" w:rsidRDefault="00B12304" w:rsidP="00E5792C">
      <w:pPr>
        <w:spacing w:line="480" w:lineRule="auto"/>
        <w:jc w:val="both"/>
        <w:rPr>
          <w:b/>
          <w:bCs/>
          <w:lang w:val="en-US"/>
        </w:rPr>
      </w:pPr>
      <w:r w:rsidRPr="00E5792C">
        <w:rPr>
          <w:b/>
          <w:bCs/>
          <w:lang w:val="en-US"/>
        </w:rPr>
        <w:t xml:space="preserve">Word count: </w:t>
      </w:r>
      <w:r w:rsidR="008675ED" w:rsidRPr="00E5792C">
        <w:rPr>
          <w:b/>
          <w:bCs/>
          <w:lang w:val="en-US"/>
        </w:rPr>
        <w:t>6</w:t>
      </w:r>
      <w:r w:rsidR="00A0660A" w:rsidRPr="00E5792C">
        <w:rPr>
          <w:b/>
          <w:bCs/>
          <w:lang w:val="en-US"/>
        </w:rPr>
        <w:t>,</w:t>
      </w:r>
      <w:r w:rsidR="00E51F2E" w:rsidRPr="00E5792C">
        <w:rPr>
          <w:b/>
          <w:bCs/>
          <w:lang w:val="en-US"/>
        </w:rPr>
        <w:t>322</w:t>
      </w:r>
    </w:p>
    <w:p w14:paraId="28D84C96" w14:textId="14DB435E" w:rsidR="00FD1EC3" w:rsidRPr="00E5792C" w:rsidRDefault="00FD1EC3" w:rsidP="00E5792C">
      <w:pPr>
        <w:spacing w:line="480" w:lineRule="auto"/>
        <w:jc w:val="both"/>
        <w:rPr>
          <w:b/>
          <w:bCs/>
          <w:lang w:val="en-US"/>
        </w:rPr>
      </w:pPr>
      <w:r w:rsidRPr="00E5792C">
        <w:rPr>
          <w:b/>
          <w:bCs/>
          <w:lang w:val="en-US"/>
        </w:rPr>
        <w:t xml:space="preserve">Subject terms: </w:t>
      </w:r>
      <w:r w:rsidRPr="00E5792C">
        <w:rPr>
          <w:lang w:val="en-US"/>
        </w:rPr>
        <w:t xml:space="preserve">meta-analysis; </w:t>
      </w:r>
      <w:r w:rsidR="00DC44AF" w:rsidRPr="00E5792C">
        <w:rPr>
          <w:lang w:val="en-US"/>
        </w:rPr>
        <w:t xml:space="preserve">systematic review; </w:t>
      </w:r>
      <w:r w:rsidR="00252790" w:rsidRPr="00E5792C">
        <w:rPr>
          <w:lang w:val="en-US"/>
        </w:rPr>
        <w:t xml:space="preserve">myocarditis; </w:t>
      </w:r>
      <w:r w:rsidRPr="00E5792C">
        <w:rPr>
          <w:lang w:val="en-US"/>
        </w:rPr>
        <w:t>inflammatory heart disease; Magnetic Resonance Imaging (MRI); prognosis.</w:t>
      </w:r>
    </w:p>
    <w:p w14:paraId="6D43F531" w14:textId="77777777" w:rsidR="00B12304" w:rsidRPr="00E5792C" w:rsidRDefault="00B12304" w:rsidP="00E5792C">
      <w:pPr>
        <w:spacing w:line="480" w:lineRule="auto"/>
        <w:jc w:val="both"/>
        <w:rPr>
          <w:bCs/>
          <w:lang w:val="en-US"/>
        </w:rPr>
      </w:pPr>
    </w:p>
    <w:p w14:paraId="7F897E2E" w14:textId="77777777" w:rsidR="00AC48AF" w:rsidRPr="00E5792C" w:rsidRDefault="00AC48AF" w:rsidP="00E5792C">
      <w:pPr>
        <w:autoSpaceDE w:val="0"/>
        <w:autoSpaceDN w:val="0"/>
        <w:adjustRightInd w:val="0"/>
        <w:spacing w:line="480" w:lineRule="auto"/>
        <w:rPr>
          <w:b/>
          <w:lang w:val="en-US"/>
        </w:rPr>
      </w:pPr>
    </w:p>
    <w:p w14:paraId="6EBB7CF2" w14:textId="7EA78D6F" w:rsidR="00E37DBD" w:rsidRPr="00E5792C" w:rsidRDefault="00A37E21" w:rsidP="00E5792C">
      <w:pPr>
        <w:spacing w:line="480" w:lineRule="auto"/>
        <w:rPr>
          <w:b/>
          <w:bCs/>
          <w:lang w:val="en-US"/>
        </w:rPr>
      </w:pPr>
      <w:r w:rsidRPr="00E5792C">
        <w:rPr>
          <w:b/>
          <w:bCs/>
          <w:lang w:val="en-US"/>
        </w:rPr>
        <w:br w:type="page"/>
      </w:r>
    </w:p>
    <w:p w14:paraId="423DD406" w14:textId="6DCE0963" w:rsidR="002646CA" w:rsidRPr="00E5792C" w:rsidRDefault="002E0202" w:rsidP="00E5792C">
      <w:pPr>
        <w:spacing w:line="480" w:lineRule="auto"/>
        <w:rPr>
          <w:b/>
          <w:bCs/>
          <w:lang w:val="en-US"/>
        </w:rPr>
      </w:pPr>
      <w:r w:rsidRPr="00E5792C">
        <w:rPr>
          <w:b/>
          <w:bCs/>
          <w:lang w:val="en-US"/>
        </w:rPr>
        <w:lastRenderedPageBreak/>
        <w:t>ABSTRACT</w:t>
      </w:r>
    </w:p>
    <w:p w14:paraId="25E7E314" w14:textId="5BA9C880" w:rsidR="006C272C" w:rsidRPr="00E5792C" w:rsidRDefault="00311DD4" w:rsidP="00E5792C">
      <w:pPr>
        <w:spacing w:line="480" w:lineRule="auto"/>
        <w:jc w:val="both"/>
        <w:rPr>
          <w:lang w:val="en-US"/>
        </w:rPr>
      </w:pPr>
      <w:r w:rsidRPr="00E5792C">
        <w:rPr>
          <w:b/>
          <w:bCs/>
          <w:lang w:val="en-US"/>
        </w:rPr>
        <w:t>Background:</w:t>
      </w:r>
      <w:r w:rsidRPr="00E5792C">
        <w:rPr>
          <w:bCs/>
          <w:lang w:val="en-US"/>
        </w:rPr>
        <w:t xml:space="preserve"> </w:t>
      </w:r>
      <w:r w:rsidR="006C272C" w:rsidRPr="00E5792C">
        <w:rPr>
          <w:lang w:val="en-US"/>
        </w:rPr>
        <w:t>Patients</w:t>
      </w:r>
      <w:r w:rsidR="006C272C" w:rsidRPr="00E5792C">
        <w:rPr>
          <w:b/>
          <w:bCs/>
          <w:lang w:val="en-US"/>
        </w:rPr>
        <w:t xml:space="preserve"> </w:t>
      </w:r>
      <w:r w:rsidR="006C272C" w:rsidRPr="00E5792C">
        <w:rPr>
          <w:lang w:val="en-US"/>
        </w:rPr>
        <w:t>with</w:t>
      </w:r>
      <w:r w:rsidR="006C272C" w:rsidRPr="00E5792C">
        <w:rPr>
          <w:b/>
          <w:bCs/>
          <w:lang w:val="en-US"/>
        </w:rPr>
        <w:t xml:space="preserve"> </w:t>
      </w:r>
      <w:r w:rsidR="006C272C" w:rsidRPr="00E5792C">
        <w:rPr>
          <w:bCs/>
          <w:lang w:val="en-US"/>
        </w:rPr>
        <w:t xml:space="preserve">acute myocarditis (AM) are at increased risk of adverse cardiac events </w:t>
      </w:r>
      <w:r w:rsidR="006C272C" w:rsidRPr="00E5792C">
        <w:rPr>
          <w:lang w:val="en-US"/>
        </w:rPr>
        <w:t>after the index episode</w:t>
      </w:r>
      <w:r w:rsidR="006C272C" w:rsidRPr="00E5792C">
        <w:rPr>
          <w:bCs/>
          <w:lang w:val="en-US"/>
        </w:rPr>
        <w:t xml:space="preserve">. </w:t>
      </w:r>
      <w:r w:rsidR="006C272C" w:rsidRPr="00E5792C">
        <w:rPr>
          <w:lang w:val="en-US"/>
        </w:rPr>
        <w:t xml:space="preserve">Late gadolinium enhancement (LGE) detected by cardiovascular magnetic resonance (CMR) in patients with AM </w:t>
      </w:r>
      <w:r w:rsidR="006C272C" w:rsidRPr="00E5792C">
        <w:rPr>
          <w:bCs/>
          <w:lang w:val="en-US"/>
        </w:rPr>
        <w:t xml:space="preserve">plays an important diagnostic role but </w:t>
      </w:r>
      <w:r w:rsidR="00252790" w:rsidRPr="00E5792C">
        <w:rPr>
          <w:bCs/>
          <w:lang w:val="en-US"/>
        </w:rPr>
        <w:t xml:space="preserve">its </w:t>
      </w:r>
      <w:r w:rsidR="006C272C" w:rsidRPr="00E5792C">
        <w:rPr>
          <w:bCs/>
          <w:lang w:val="en-US"/>
        </w:rPr>
        <w:t>prognostic significance remains unresolved.</w:t>
      </w:r>
      <w:r w:rsidR="006C272C" w:rsidRPr="00E5792C">
        <w:rPr>
          <w:b/>
          <w:bCs/>
          <w:lang w:val="en-US"/>
        </w:rPr>
        <w:t xml:space="preserve"> </w:t>
      </w:r>
      <w:r w:rsidRPr="00E5792C">
        <w:rPr>
          <w:noProof/>
          <w:lang w:val="en-US"/>
        </w:rPr>
        <w:t>This systematic review and meta-analysis sought to</w:t>
      </w:r>
      <w:r w:rsidR="006C272C" w:rsidRPr="00E5792C">
        <w:rPr>
          <w:noProof/>
          <w:lang w:val="en-US"/>
        </w:rPr>
        <w:t xml:space="preserve"> </w:t>
      </w:r>
      <w:r w:rsidR="006C272C" w:rsidRPr="00E5792C">
        <w:rPr>
          <w:lang w:val="en-US"/>
        </w:rPr>
        <w:t xml:space="preserve">assess the prognostic implications of </w:t>
      </w:r>
      <w:r w:rsidR="006C272C" w:rsidRPr="00E5792C">
        <w:rPr>
          <w:bCs/>
          <w:lang w:val="en-US"/>
        </w:rPr>
        <w:t xml:space="preserve">CMR-derived LGE </w:t>
      </w:r>
      <w:r w:rsidR="006C272C" w:rsidRPr="00E5792C">
        <w:rPr>
          <w:lang w:val="en-US"/>
        </w:rPr>
        <w:t>in patients with AM.</w:t>
      </w:r>
    </w:p>
    <w:p w14:paraId="5262B1F3" w14:textId="558E47F7" w:rsidR="00311DD4" w:rsidRPr="00E5792C" w:rsidRDefault="00311DD4" w:rsidP="00E5792C">
      <w:pPr>
        <w:spacing w:line="480" w:lineRule="auto"/>
        <w:jc w:val="both"/>
        <w:rPr>
          <w:rFonts w:ascii="Times" w:hAnsi="Times"/>
          <w:lang w:val="en-US"/>
        </w:rPr>
      </w:pPr>
      <w:r w:rsidRPr="00E5792C">
        <w:rPr>
          <w:b/>
          <w:bCs/>
          <w:lang w:val="en-US"/>
        </w:rPr>
        <w:t xml:space="preserve">Methods: </w:t>
      </w:r>
      <w:r w:rsidR="00C641C3" w:rsidRPr="00E5792C">
        <w:rPr>
          <w:lang w:val="en-US"/>
        </w:rPr>
        <w:t xml:space="preserve">Data search was conducted from </w:t>
      </w:r>
      <w:r w:rsidR="00C641C3" w:rsidRPr="00E5792C">
        <w:rPr>
          <w:noProof/>
          <w:lang w:val="en-US"/>
        </w:rPr>
        <w:t xml:space="preserve">inception through February 28, 2020, </w:t>
      </w:r>
      <w:r w:rsidR="00C641C3" w:rsidRPr="00E5792C">
        <w:rPr>
          <w:lang w:val="en-US"/>
        </w:rPr>
        <w:t>using the following Medical Subject Heading terms:</w:t>
      </w:r>
      <w:r w:rsidR="00C641C3" w:rsidRPr="00E5792C">
        <w:rPr>
          <w:b/>
          <w:bCs/>
          <w:lang w:val="en-US"/>
        </w:rPr>
        <w:t xml:space="preserve"> </w:t>
      </w:r>
      <w:r w:rsidR="00C641C3" w:rsidRPr="00E5792C">
        <w:rPr>
          <w:i/>
          <w:iCs/>
          <w:lang w:val="en-US"/>
        </w:rPr>
        <w:t>Myocarditis, CMR, MRI, Magnetic Resonance</w:t>
      </w:r>
      <w:r w:rsidR="00C641C3" w:rsidRPr="00E5792C">
        <w:rPr>
          <w:lang w:val="en-US"/>
        </w:rPr>
        <w:t xml:space="preserve">. </w:t>
      </w:r>
      <w:r w:rsidRPr="00E5792C">
        <w:rPr>
          <w:noProof/>
          <w:lang w:val="en-US"/>
        </w:rPr>
        <w:t xml:space="preserve">From </w:t>
      </w:r>
      <w:r w:rsidRPr="00E5792C">
        <w:rPr>
          <w:lang w:val="en-US"/>
        </w:rPr>
        <w:t>2,422 articles retrieved, we selected 11 studies reporting baseline CMR assessment and long-term clinical follow-up in AM patients.</w:t>
      </w:r>
      <w:r w:rsidRPr="00E5792C">
        <w:rPr>
          <w:noProof/>
          <w:lang w:val="en-US"/>
        </w:rPr>
        <w:t xml:space="preserve"> Hazard ratios (HR) and confidence intervals (CIs) for </w:t>
      </w:r>
      <w:r w:rsidRPr="00E5792C">
        <w:rPr>
          <w:rFonts w:ascii="Times" w:hAnsi="Times"/>
          <w:lang w:val="en-US"/>
        </w:rPr>
        <w:t xml:space="preserve">a </w:t>
      </w:r>
      <w:r w:rsidRPr="00E5792C">
        <w:rPr>
          <w:lang w:val="en-US"/>
        </w:rPr>
        <w:t>combined clinical endpoint were recorded for</w:t>
      </w:r>
      <w:r w:rsidRPr="00E5792C">
        <w:rPr>
          <w:noProof/>
          <w:lang w:val="en-US"/>
        </w:rPr>
        <w:t xml:space="preserve"> LGE presence, extent (</w:t>
      </w:r>
      <w:r w:rsidRPr="00E5792C">
        <w:rPr>
          <w:rFonts w:ascii="Times" w:hAnsi="Times"/>
          <w:noProof/>
          <w:lang w:val="en-US"/>
        </w:rPr>
        <w:t>&gt;2 segments or &gt;10% of left ventricular [LV] mass or &gt;17g</w:t>
      </w:r>
      <w:r w:rsidRPr="00E5792C">
        <w:rPr>
          <w:noProof/>
          <w:lang w:val="en-US"/>
        </w:rPr>
        <w:t>) and location (</w:t>
      </w:r>
      <w:r w:rsidRPr="00E5792C">
        <w:rPr>
          <w:lang w:val="en-US"/>
        </w:rPr>
        <w:t>anteroseptal [AS] vs. non-AS</w:t>
      </w:r>
      <w:r w:rsidRPr="00E5792C">
        <w:rPr>
          <w:noProof/>
          <w:lang w:val="en-US"/>
        </w:rPr>
        <w:t>)</w:t>
      </w:r>
      <w:r w:rsidRPr="00E5792C">
        <w:rPr>
          <w:lang w:val="en-US"/>
        </w:rPr>
        <w:t xml:space="preserve">. </w:t>
      </w:r>
      <w:r w:rsidR="006C272C" w:rsidRPr="00E5792C">
        <w:rPr>
          <w:lang w:val="en-US"/>
        </w:rPr>
        <w:t>A</w:t>
      </w:r>
      <w:r w:rsidRPr="00E5792C">
        <w:rPr>
          <w:lang w:val="en-US"/>
        </w:rPr>
        <w:t xml:space="preserve"> combined endpoint comprised all-cause mortality, cardiac </w:t>
      </w:r>
      <w:r w:rsidR="007612E5" w:rsidRPr="00E5792C">
        <w:rPr>
          <w:lang w:val="en-US"/>
        </w:rPr>
        <w:t>mortality,</w:t>
      </w:r>
      <w:r w:rsidRPr="00E5792C">
        <w:rPr>
          <w:lang w:val="en-US"/>
        </w:rPr>
        <w:t xml:space="preserve"> and MACE</w:t>
      </w:r>
      <w:r w:rsidRPr="00E5792C">
        <w:rPr>
          <w:noProof/>
          <w:lang w:val="en-US"/>
        </w:rPr>
        <w:t xml:space="preserve">. </w:t>
      </w:r>
      <w:r w:rsidRPr="00E5792C">
        <w:rPr>
          <w:lang w:val="en-US" w:eastAsia="en-GB"/>
        </w:rPr>
        <w:t xml:space="preserve">Hartung and Knapp (HK) correction improved robustness of the results. </w:t>
      </w:r>
      <w:r w:rsidRPr="00E5792C">
        <w:rPr>
          <w:rFonts w:eastAsia="MS Mincho"/>
          <w:lang w:val="en-US"/>
        </w:rPr>
        <w:t>Pre-specified sensitivity analyses explored potential sources of heterogeneity.</w:t>
      </w:r>
      <w:r w:rsidR="006C272C" w:rsidRPr="00E5792C">
        <w:rPr>
          <w:rFonts w:eastAsia="MS Mincho"/>
          <w:lang w:val="en-US"/>
        </w:rPr>
        <w:t xml:space="preserve"> </w:t>
      </w:r>
      <w:r w:rsidR="006C272C" w:rsidRPr="00E5792C">
        <w:rPr>
          <w:lang w:val="en-US"/>
        </w:rPr>
        <w:t xml:space="preserve">The meta-analysis </w:t>
      </w:r>
      <w:r w:rsidR="006C272C" w:rsidRPr="00E5792C">
        <w:rPr>
          <w:noProof/>
          <w:lang w:val="en-US"/>
        </w:rPr>
        <w:t>was conducted</w:t>
      </w:r>
      <w:r w:rsidR="006C272C" w:rsidRPr="00E5792C">
        <w:rPr>
          <w:lang w:val="en-US"/>
        </w:rPr>
        <w:t xml:space="preserve"> according to the Meta-analysis of Observational Studies in Epidemiology (MOOSE) guidelines and registered in the PROSPERO database (</w:t>
      </w:r>
      <w:r w:rsidR="006C272C" w:rsidRPr="00E5792C">
        <w:rPr>
          <w:color w:val="201F1E"/>
          <w:shd w:val="clear" w:color="auto" w:fill="FFFFFF"/>
          <w:lang w:val="en-US"/>
        </w:rPr>
        <w:t>CRD42019146619)</w:t>
      </w:r>
      <w:r w:rsidR="006C272C" w:rsidRPr="00E5792C">
        <w:rPr>
          <w:lang w:val="en-US"/>
        </w:rPr>
        <w:t>.</w:t>
      </w:r>
    </w:p>
    <w:p w14:paraId="133764B4" w14:textId="52806991" w:rsidR="006C272C" w:rsidRPr="00E5792C" w:rsidRDefault="006C272C" w:rsidP="00E5792C">
      <w:pPr>
        <w:pStyle w:val="NormalWeb"/>
        <w:spacing w:before="0" w:beforeAutospacing="0" w:after="0" w:afterAutospacing="0" w:line="480" w:lineRule="auto"/>
        <w:jc w:val="both"/>
        <w:rPr>
          <w:bCs/>
          <w:lang w:val="en-US"/>
        </w:rPr>
      </w:pPr>
      <w:r w:rsidRPr="00E5792C">
        <w:rPr>
          <w:b/>
          <w:bCs/>
          <w:lang w:val="en-US"/>
        </w:rPr>
        <w:t xml:space="preserve">Results: </w:t>
      </w:r>
      <w:r w:rsidRPr="00E5792C">
        <w:rPr>
          <w:bCs/>
          <w:lang w:val="en-US"/>
        </w:rPr>
        <w:t>LGE presence</w:t>
      </w:r>
      <w:r w:rsidR="00CD2179" w:rsidRPr="00E5792C">
        <w:rPr>
          <w:bCs/>
          <w:lang w:val="en-US"/>
        </w:rPr>
        <w:t xml:space="preserve"> (pooled-HR=3.28, 95% CI</w:t>
      </w:r>
      <w:r w:rsidR="00030D9E" w:rsidRPr="00E5792C">
        <w:rPr>
          <w:bCs/>
          <w:lang w:val="en-US"/>
        </w:rPr>
        <w:t>s</w:t>
      </w:r>
      <w:r w:rsidR="00CD2179" w:rsidRPr="00E5792C">
        <w:rPr>
          <w:bCs/>
          <w:lang w:val="en-US"/>
        </w:rPr>
        <w:t xml:space="preserve"> 1.69-6.39, P&lt;0.001;</w:t>
      </w:r>
      <w:r w:rsidR="00CD2179" w:rsidRPr="00E5792C" w:rsidDel="00BA780C">
        <w:rPr>
          <w:bCs/>
          <w:lang w:val="en-US"/>
        </w:rPr>
        <w:t xml:space="preserve"> </w:t>
      </w:r>
      <w:r w:rsidR="00CD2179" w:rsidRPr="00E5792C">
        <w:rPr>
          <w:bCs/>
          <w:lang w:val="en-US"/>
        </w:rPr>
        <w:t>95% CI</w:t>
      </w:r>
      <w:r w:rsidR="00030D9E" w:rsidRPr="00E5792C">
        <w:rPr>
          <w:bCs/>
          <w:lang w:val="en-US"/>
        </w:rPr>
        <w:t>s</w:t>
      </w:r>
      <w:r w:rsidR="00CD2179" w:rsidRPr="00E5792C">
        <w:rPr>
          <w:bCs/>
          <w:lang w:val="en-US"/>
        </w:rPr>
        <w:t xml:space="preserve"> 1.33-8.11 after HK correction)</w:t>
      </w:r>
      <w:r w:rsidRPr="00E5792C">
        <w:rPr>
          <w:bCs/>
          <w:lang w:val="en-US"/>
        </w:rPr>
        <w:t xml:space="preserve"> </w:t>
      </w:r>
      <w:r w:rsidR="00CD2179" w:rsidRPr="00E5792C">
        <w:rPr>
          <w:bCs/>
          <w:lang w:val="en-US"/>
        </w:rPr>
        <w:t>and AS LGE (pooled-HR=2.</w:t>
      </w:r>
      <w:r w:rsidR="00E3186E" w:rsidRPr="00E5792C">
        <w:rPr>
          <w:bCs/>
          <w:lang w:val="en-US"/>
        </w:rPr>
        <w:t>58</w:t>
      </w:r>
      <w:r w:rsidR="00CD2179" w:rsidRPr="00E5792C">
        <w:rPr>
          <w:bCs/>
          <w:lang w:val="en-US"/>
        </w:rPr>
        <w:t>, 95% CI</w:t>
      </w:r>
      <w:r w:rsidR="00030D9E" w:rsidRPr="00E5792C">
        <w:rPr>
          <w:bCs/>
          <w:lang w:val="en-US"/>
        </w:rPr>
        <w:t>s</w:t>
      </w:r>
      <w:r w:rsidR="00CD2179" w:rsidRPr="00E5792C">
        <w:rPr>
          <w:bCs/>
          <w:lang w:val="en-US"/>
        </w:rPr>
        <w:t xml:space="preserve"> 1.</w:t>
      </w:r>
      <w:r w:rsidR="0027331E" w:rsidRPr="00E5792C">
        <w:rPr>
          <w:bCs/>
          <w:lang w:val="en-US"/>
        </w:rPr>
        <w:t>87</w:t>
      </w:r>
      <w:r w:rsidR="00CD2179" w:rsidRPr="00E5792C">
        <w:rPr>
          <w:bCs/>
          <w:lang w:val="en-US"/>
        </w:rPr>
        <w:t>-</w:t>
      </w:r>
      <w:r w:rsidR="0027331E" w:rsidRPr="00E5792C">
        <w:rPr>
          <w:bCs/>
          <w:lang w:val="en-US"/>
        </w:rPr>
        <w:t>3.55</w:t>
      </w:r>
      <w:r w:rsidR="00CD2179" w:rsidRPr="00E5792C">
        <w:rPr>
          <w:bCs/>
          <w:lang w:val="en-US"/>
        </w:rPr>
        <w:t>, P</w:t>
      </w:r>
      <w:r w:rsidR="0027331E" w:rsidRPr="00E5792C">
        <w:rPr>
          <w:bCs/>
          <w:lang w:val="en-US"/>
        </w:rPr>
        <w:t>&lt;</w:t>
      </w:r>
      <w:r w:rsidR="00CD2179" w:rsidRPr="00E5792C">
        <w:rPr>
          <w:bCs/>
          <w:lang w:val="en-US"/>
        </w:rPr>
        <w:t>0.00</w:t>
      </w:r>
      <w:r w:rsidR="0027331E" w:rsidRPr="00E5792C">
        <w:rPr>
          <w:bCs/>
          <w:lang w:val="en-US"/>
        </w:rPr>
        <w:t>1</w:t>
      </w:r>
      <w:r w:rsidR="00CD2179" w:rsidRPr="00E5792C">
        <w:rPr>
          <w:bCs/>
          <w:lang w:val="en-US"/>
        </w:rPr>
        <w:t>;</w:t>
      </w:r>
      <w:r w:rsidR="00CD2179" w:rsidRPr="00E5792C" w:rsidDel="00BA780C">
        <w:rPr>
          <w:bCs/>
          <w:lang w:val="en-US"/>
        </w:rPr>
        <w:t xml:space="preserve"> </w:t>
      </w:r>
      <w:r w:rsidR="00CD2179" w:rsidRPr="00E5792C">
        <w:rPr>
          <w:bCs/>
          <w:lang w:val="en-US"/>
        </w:rPr>
        <w:t>95% CI</w:t>
      </w:r>
      <w:r w:rsidR="00030D9E" w:rsidRPr="00E5792C">
        <w:rPr>
          <w:bCs/>
          <w:lang w:val="en-US"/>
        </w:rPr>
        <w:t>s</w:t>
      </w:r>
      <w:r w:rsidR="00CD2179" w:rsidRPr="00E5792C">
        <w:rPr>
          <w:bCs/>
          <w:lang w:val="en-US"/>
        </w:rPr>
        <w:t xml:space="preserve"> 1.</w:t>
      </w:r>
      <w:r w:rsidR="0027331E" w:rsidRPr="00E5792C">
        <w:rPr>
          <w:bCs/>
          <w:lang w:val="en-US"/>
        </w:rPr>
        <w:t>64</w:t>
      </w:r>
      <w:r w:rsidR="00CD2179" w:rsidRPr="00E5792C">
        <w:rPr>
          <w:bCs/>
          <w:lang w:val="en-US"/>
        </w:rPr>
        <w:t>-</w:t>
      </w:r>
      <w:r w:rsidR="0027331E" w:rsidRPr="00E5792C">
        <w:rPr>
          <w:bCs/>
          <w:lang w:val="en-US"/>
        </w:rPr>
        <w:t>4</w:t>
      </w:r>
      <w:r w:rsidR="00CD2179" w:rsidRPr="00E5792C">
        <w:rPr>
          <w:bCs/>
          <w:lang w:val="en-US"/>
        </w:rPr>
        <w:t>.</w:t>
      </w:r>
      <w:r w:rsidR="0027331E" w:rsidRPr="00E5792C">
        <w:rPr>
          <w:bCs/>
          <w:lang w:val="en-US"/>
        </w:rPr>
        <w:t>0</w:t>
      </w:r>
      <w:r w:rsidR="00CD2179" w:rsidRPr="00E5792C">
        <w:rPr>
          <w:bCs/>
          <w:lang w:val="en-US"/>
        </w:rPr>
        <w:t xml:space="preserve">6 after HK correction) </w:t>
      </w:r>
      <w:r w:rsidRPr="00E5792C">
        <w:rPr>
          <w:bCs/>
          <w:lang w:val="en-US"/>
        </w:rPr>
        <w:t>w</w:t>
      </w:r>
      <w:r w:rsidR="00CD2179" w:rsidRPr="00E5792C">
        <w:rPr>
          <w:bCs/>
          <w:lang w:val="en-US"/>
        </w:rPr>
        <w:t>ere</w:t>
      </w:r>
      <w:r w:rsidRPr="00E5792C">
        <w:rPr>
          <w:bCs/>
          <w:lang w:val="en-US"/>
        </w:rPr>
        <w:t xml:space="preserve"> associated with an increased risk of the combined endpoint. Extensive LGE </w:t>
      </w:r>
      <w:r w:rsidR="00CD2179" w:rsidRPr="00E5792C">
        <w:rPr>
          <w:bCs/>
          <w:lang w:val="en-US"/>
        </w:rPr>
        <w:t>was</w:t>
      </w:r>
      <w:r w:rsidRPr="00E5792C">
        <w:rPr>
          <w:bCs/>
          <w:lang w:val="en-US"/>
        </w:rPr>
        <w:t xml:space="preserve"> associated with worse outcomes (pooled-HR=1.96, 95% CIs 1.08-3.56, P=0.027) but </w:t>
      </w:r>
      <w:r w:rsidR="00CD2179" w:rsidRPr="00E5792C">
        <w:rPr>
          <w:rFonts w:ascii="Times" w:eastAsiaTheme="minorHAnsi" w:hAnsi="Times"/>
          <w:noProof/>
          <w:lang w:val="en-US" w:eastAsia="en-US"/>
        </w:rPr>
        <w:t xml:space="preserve">this </w:t>
      </w:r>
      <w:r w:rsidRPr="00E5792C">
        <w:rPr>
          <w:rFonts w:ascii="Times" w:eastAsiaTheme="minorHAnsi" w:hAnsi="Times"/>
          <w:noProof/>
          <w:lang w:val="en-US" w:eastAsia="en-US"/>
        </w:rPr>
        <w:t xml:space="preserve">association </w:t>
      </w:r>
      <w:r w:rsidR="00CD2179" w:rsidRPr="00E5792C">
        <w:rPr>
          <w:rFonts w:ascii="Times" w:eastAsiaTheme="minorHAnsi" w:hAnsi="Times"/>
          <w:noProof/>
          <w:lang w:val="en-US" w:eastAsia="en-US"/>
        </w:rPr>
        <w:t xml:space="preserve">was </w:t>
      </w:r>
      <w:r w:rsidRPr="00E5792C">
        <w:rPr>
          <w:rFonts w:ascii="Times" w:eastAsiaTheme="minorHAnsi" w:hAnsi="Times"/>
          <w:noProof/>
          <w:lang w:val="en-US" w:eastAsia="en-US"/>
        </w:rPr>
        <w:t>not confirmed after HK correction (</w:t>
      </w:r>
      <w:r w:rsidRPr="00E5792C">
        <w:rPr>
          <w:bCs/>
          <w:lang w:val="en-US"/>
        </w:rPr>
        <w:t>95% CIs =</w:t>
      </w:r>
      <w:r w:rsidRPr="00E5792C">
        <w:rPr>
          <w:rFonts w:ascii="Times" w:eastAsiaTheme="minorHAnsi" w:hAnsi="Times"/>
          <w:noProof/>
          <w:lang w:val="en-US" w:eastAsia="en-US"/>
        </w:rPr>
        <w:t>0.843-4.57).</w:t>
      </w:r>
    </w:p>
    <w:p w14:paraId="67D1A69B" w14:textId="3ED739A1" w:rsidR="00311DD4" w:rsidRPr="00E5792C" w:rsidRDefault="00311DD4" w:rsidP="00E5792C">
      <w:pPr>
        <w:spacing w:line="480" w:lineRule="auto"/>
        <w:jc w:val="both"/>
        <w:rPr>
          <w:lang w:val="en-US"/>
        </w:rPr>
      </w:pPr>
      <w:bookmarkStart w:id="1" w:name="_Hlk49623776"/>
      <w:r w:rsidRPr="00E5792C">
        <w:rPr>
          <w:b/>
          <w:bCs/>
          <w:lang w:val="en-US"/>
        </w:rPr>
        <w:t xml:space="preserve">Conclusion: </w:t>
      </w:r>
      <w:bookmarkStart w:id="2" w:name="_Hlk51510496"/>
      <w:r w:rsidR="006C272C" w:rsidRPr="00E5792C">
        <w:rPr>
          <w:rFonts w:ascii="Times" w:hAnsi="Times"/>
          <w:lang w:val="en-US"/>
        </w:rPr>
        <w:t>LGE presence</w:t>
      </w:r>
      <w:r w:rsidR="0027331E" w:rsidRPr="00E5792C">
        <w:rPr>
          <w:rFonts w:ascii="Times" w:hAnsi="Times"/>
          <w:lang w:val="en-US"/>
        </w:rPr>
        <w:t xml:space="preserve"> </w:t>
      </w:r>
      <w:r w:rsidR="00701935" w:rsidRPr="00E5792C">
        <w:rPr>
          <w:rFonts w:ascii="Times" w:hAnsi="Times"/>
          <w:lang w:val="en-US"/>
        </w:rPr>
        <w:t xml:space="preserve">and anteroseptal location </w:t>
      </w:r>
      <w:r w:rsidR="006C272C" w:rsidRPr="00E5792C">
        <w:rPr>
          <w:rFonts w:ascii="Times" w:hAnsi="Times"/>
          <w:lang w:val="en-US"/>
        </w:rPr>
        <w:t xml:space="preserve">at baseline CMR </w:t>
      </w:r>
      <w:r w:rsidR="00701935" w:rsidRPr="00E5792C">
        <w:rPr>
          <w:rFonts w:ascii="Times" w:hAnsi="Times"/>
          <w:lang w:val="en-US"/>
        </w:rPr>
        <w:t xml:space="preserve">are </w:t>
      </w:r>
      <w:r w:rsidR="00632B4A" w:rsidRPr="00E5792C">
        <w:rPr>
          <w:rFonts w:ascii="Times" w:hAnsi="Times"/>
          <w:lang w:val="en-US"/>
        </w:rPr>
        <w:t xml:space="preserve">important </w:t>
      </w:r>
      <w:r w:rsidR="006C272C" w:rsidRPr="00E5792C">
        <w:rPr>
          <w:rFonts w:ascii="Times" w:hAnsi="Times"/>
          <w:lang w:val="en-US"/>
        </w:rPr>
        <w:t xml:space="preserve">independent </w:t>
      </w:r>
      <w:r w:rsidR="00632B4A" w:rsidRPr="00E5792C">
        <w:rPr>
          <w:rFonts w:ascii="Times" w:hAnsi="Times"/>
          <w:lang w:val="en-US"/>
        </w:rPr>
        <w:t>prognostic marker</w:t>
      </w:r>
      <w:r w:rsidR="00701935" w:rsidRPr="00E5792C">
        <w:rPr>
          <w:rFonts w:ascii="Times" w:hAnsi="Times"/>
          <w:lang w:val="en-US"/>
        </w:rPr>
        <w:t>s</w:t>
      </w:r>
      <w:r w:rsidR="00632B4A" w:rsidRPr="00E5792C">
        <w:rPr>
          <w:rFonts w:ascii="Times" w:hAnsi="Times"/>
          <w:lang w:val="en-US"/>
        </w:rPr>
        <w:t xml:space="preserve"> that herald an increased risk </w:t>
      </w:r>
      <w:r w:rsidR="006C272C" w:rsidRPr="00E5792C">
        <w:rPr>
          <w:rFonts w:ascii="Times" w:hAnsi="Times"/>
          <w:lang w:val="en-US"/>
        </w:rPr>
        <w:t>of adverse cardiac outcomes in patients with AM.</w:t>
      </w:r>
      <w:bookmarkEnd w:id="2"/>
    </w:p>
    <w:bookmarkEnd w:id="1"/>
    <w:p w14:paraId="11464314" w14:textId="77777777" w:rsidR="00AD05C2" w:rsidRPr="00E5792C" w:rsidRDefault="00AD05C2" w:rsidP="00E5792C">
      <w:pPr>
        <w:spacing w:line="480" w:lineRule="auto"/>
        <w:rPr>
          <w:b/>
          <w:bCs/>
          <w:lang w:val="en-US"/>
        </w:rPr>
      </w:pPr>
      <w:r w:rsidRPr="00E5792C">
        <w:rPr>
          <w:b/>
          <w:bCs/>
          <w:lang w:val="en-US"/>
        </w:rPr>
        <w:br w:type="page"/>
      </w:r>
    </w:p>
    <w:p w14:paraId="59E3617E" w14:textId="1F129AA2" w:rsidR="00993961" w:rsidRPr="00E5792C" w:rsidRDefault="00993961" w:rsidP="00E5792C">
      <w:pPr>
        <w:spacing w:line="480" w:lineRule="auto"/>
        <w:rPr>
          <w:b/>
          <w:bCs/>
          <w:caps/>
          <w:lang w:val="en-US"/>
        </w:rPr>
      </w:pPr>
      <w:r w:rsidRPr="00E5792C">
        <w:rPr>
          <w:b/>
          <w:bCs/>
          <w:caps/>
          <w:lang w:val="en-US"/>
        </w:rPr>
        <w:lastRenderedPageBreak/>
        <w:t>Clinical Perspective</w:t>
      </w:r>
    </w:p>
    <w:p w14:paraId="03200BCC" w14:textId="31FE1293" w:rsidR="00993961" w:rsidRPr="00E5792C" w:rsidRDefault="00345595" w:rsidP="00E5792C">
      <w:pPr>
        <w:pStyle w:val="NormalWeb"/>
        <w:spacing w:before="0" w:beforeAutospacing="0" w:after="0" w:afterAutospacing="0" w:line="480" w:lineRule="auto"/>
        <w:jc w:val="both"/>
        <w:rPr>
          <w:bCs/>
          <w:lang w:val="en-US"/>
        </w:rPr>
      </w:pPr>
      <w:r w:rsidRPr="00E5792C">
        <w:rPr>
          <w:lang w:val="en-US"/>
        </w:rPr>
        <w:t xml:space="preserve">Acute myocarditis is an inflammatory myocardial disease which can be complicated by adverse cardiac events, including sudden cardiac death and heart failure. Hitherto, endomyocardial biopsy has been the cornerstone of diagnosis, however, most patients are now being diagnosed non-invasively with cardiovascular magnetic resonance (CMR). The latter may reveal areas of late gadolinium enhancement (LGE) typically in an epicardial to mid-wall (non-ischemic) distribution denoting tissue inflammation and early fibrosis. In addition to being of diagnostic importance, there is growing evidence that the presence, extent, and regional location of LGE assume prognostic significance. However, due to the low incidence of the condition and relatively low event rates, observational studies addressing this have been limited by small sample sizes, short follow-up durations, and the use of broad composite endpoints. We therefore undertook a systematic review and meta-analysis of the available literature. To account for the small number of studies available, the Hartung and Knapp correction was used to improve the robustness of confidence interval estimates. Based on data from 2,328 patients derived from 11 independent cohorts, we showed that the presence of LGE conferred a significant adjusted 3-fold increased risk of the combined endpoint of all-cause mortality and major adverse cardiac events. Anteroseptal location but not LGE extent was </w:t>
      </w:r>
      <w:r w:rsidR="00BB6CD5" w:rsidRPr="00E5792C">
        <w:rPr>
          <w:lang w:val="en-US"/>
        </w:rPr>
        <w:t xml:space="preserve">also </w:t>
      </w:r>
      <w:r w:rsidRPr="00E5792C">
        <w:rPr>
          <w:lang w:val="en-US"/>
        </w:rPr>
        <w:t>associated with the clinical outcome when the stringent Hartung and Knapp correction was applied. Our meta-analysis demonstrates that the presence and location of LGE may identify a subgroup of patients with acute myocarditis who warrant more intensive clinical surveillance for adverse cardiac events.</w:t>
      </w:r>
    </w:p>
    <w:p w14:paraId="28E44381" w14:textId="77777777" w:rsidR="00993961" w:rsidRPr="00E5792C" w:rsidRDefault="00993961" w:rsidP="00E5792C">
      <w:pPr>
        <w:spacing w:after="160" w:line="259" w:lineRule="auto"/>
        <w:rPr>
          <w:b/>
          <w:bCs/>
          <w:lang w:val="en-US"/>
        </w:rPr>
      </w:pPr>
      <w:r w:rsidRPr="00E5792C">
        <w:rPr>
          <w:b/>
          <w:bCs/>
          <w:lang w:val="en-US"/>
        </w:rPr>
        <w:br w:type="page"/>
      </w:r>
    </w:p>
    <w:p w14:paraId="7C6EECDD" w14:textId="65C3F03D" w:rsidR="00E41634" w:rsidRPr="00E5792C" w:rsidRDefault="00E41634" w:rsidP="00E5792C">
      <w:pPr>
        <w:spacing w:line="480" w:lineRule="auto"/>
        <w:jc w:val="both"/>
        <w:rPr>
          <w:lang w:val="en-US"/>
        </w:rPr>
      </w:pPr>
      <w:r w:rsidRPr="00E5792C">
        <w:rPr>
          <w:b/>
          <w:bCs/>
          <w:lang w:val="en-US"/>
        </w:rPr>
        <w:lastRenderedPageBreak/>
        <w:t>I</w:t>
      </w:r>
      <w:r w:rsidR="00C16D93" w:rsidRPr="00E5792C">
        <w:rPr>
          <w:b/>
          <w:bCs/>
          <w:lang w:val="en-US"/>
        </w:rPr>
        <w:t>NTRODUCTION</w:t>
      </w:r>
    </w:p>
    <w:p w14:paraId="574C47BF" w14:textId="64BE0C2D" w:rsidR="00E65EFB" w:rsidRPr="00E5792C" w:rsidRDefault="00E41634" w:rsidP="00E5792C">
      <w:pPr>
        <w:spacing w:line="480" w:lineRule="auto"/>
        <w:jc w:val="both"/>
        <w:rPr>
          <w:bCs/>
          <w:lang w:val="en-US"/>
        </w:rPr>
      </w:pPr>
      <w:r w:rsidRPr="00E5792C">
        <w:rPr>
          <w:bCs/>
          <w:lang w:val="en-US"/>
        </w:rPr>
        <w:t xml:space="preserve">Acute myocarditis (AM) is an inflammatory </w:t>
      </w:r>
      <w:r w:rsidR="00E65EFB" w:rsidRPr="00E5792C">
        <w:rPr>
          <w:bCs/>
          <w:lang w:val="en-US"/>
        </w:rPr>
        <w:t xml:space="preserve">disease of the myocardium </w:t>
      </w:r>
      <w:r w:rsidR="000B03BF" w:rsidRPr="00E5792C">
        <w:rPr>
          <w:bCs/>
          <w:lang w:val="en-US"/>
        </w:rPr>
        <w:t xml:space="preserve">with a heterogeneous etiology and </w:t>
      </w:r>
      <w:r w:rsidR="00A208B0" w:rsidRPr="00E5792C">
        <w:rPr>
          <w:bCs/>
          <w:lang w:val="en-US"/>
        </w:rPr>
        <w:t>natural history</w:t>
      </w:r>
      <w:r w:rsidR="0016723D" w:rsidRPr="00E5792C">
        <w:rPr>
          <w:bCs/>
          <w:lang w:val="en-US"/>
        </w:rPr>
        <w:t>.</w:t>
      </w:r>
      <w:r w:rsidR="00BF0796" w:rsidRPr="00E5792C">
        <w:rPr>
          <w:bCs/>
          <w:vertAlign w:val="superscript"/>
          <w:lang w:val="en-US"/>
        </w:rPr>
        <w:t>1</w:t>
      </w:r>
      <w:r w:rsidR="007C7AB3" w:rsidRPr="00E5792C">
        <w:rPr>
          <w:bCs/>
          <w:vertAlign w:val="superscript"/>
          <w:lang w:val="en-US"/>
        </w:rPr>
        <w:t>,2</w:t>
      </w:r>
      <w:r w:rsidR="001078BA" w:rsidRPr="00E5792C">
        <w:rPr>
          <w:bCs/>
          <w:lang w:val="en-US"/>
        </w:rPr>
        <w:t xml:space="preserve"> </w:t>
      </w:r>
      <w:r w:rsidR="00E65EFB" w:rsidRPr="00E5792C">
        <w:rPr>
          <w:bCs/>
          <w:lang w:val="en-US"/>
        </w:rPr>
        <w:t>While the majority of patients appear to have a benign clinical course, a</w:t>
      </w:r>
      <w:r w:rsidR="00AD05C2" w:rsidRPr="00E5792C">
        <w:rPr>
          <w:bCs/>
          <w:lang w:val="en-US"/>
        </w:rPr>
        <w:t xml:space="preserve"> significant</w:t>
      </w:r>
      <w:r w:rsidR="00457D17" w:rsidRPr="00E5792C">
        <w:rPr>
          <w:bCs/>
          <w:lang w:val="en-US"/>
        </w:rPr>
        <w:t xml:space="preserve"> number</w:t>
      </w:r>
      <w:r w:rsidR="00E65EFB" w:rsidRPr="00E5792C">
        <w:rPr>
          <w:bCs/>
          <w:lang w:val="en-US"/>
        </w:rPr>
        <w:t xml:space="preserve"> experience adverse events including sudden cardiac death</w:t>
      </w:r>
      <w:r w:rsidR="00457D17" w:rsidRPr="00E5792C">
        <w:rPr>
          <w:bCs/>
          <w:lang w:val="en-US"/>
        </w:rPr>
        <w:t xml:space="preserve"> (SCD)</w:t>
      </w:r>
      <w:r w:rsidR="00E65EFB" w:rsidRPr="00E5792C">
        <w:rPr>
          <w:bCs/>
          <w:lang w:val="en-US"/>
        </w:rPr>
        <w:t xml:space="preserve"> </w:t>
      </w:r>
      <w:r w:rsidR="00457D17" w:rsidRPr="00E5792C">
        <w:rPr>
          <w:bCs/>
          <w:lang w:val="en-US"/>
        </w:rPr>
        <w:t>or</w:t>
      </w:r>
      <w:r w:rsidR="00E65EFB" w:rsidRPr="00E5792C">
        <w:rPr>
          <w:bCs/>
          <w:lang w:val="en-US"/>
        </w:rPr>
        <w:t xml:space="preserve"> heart failure</w:t>
      </w:r>
      <w:r w:rsidR="00457D17" w:rsidRPr="00E5792C">
        <w:rPr>
          <w:bCs/>
          <w:lang w:val="en-US"/>
        </w:rPr>
        <w:t xml:space="preserve"> (HF)</w:t>
      </w:r>
      <w:r w:rsidR="0021671F" w:rsidRPr="00E5792C">
        <w:rPr>
          <w:bCs/>
          <w:lang w:val="en-US"/>
        </w:rPr>
        <w:t>.</w:t>
      </w:r>
      <w:r w:rsidR="0021671F" w:rsidRPr="00E5792C">
        <w:rPr>
          <w:bCs/>
          <w:vertAlign w:val="superscript"/>
          <w:lang w:val="en-US"/>
        </w:rPr>
        <w:t>2-5</w:t>
      </w:r>
      <w:r w:rsidR="00E65EFB" w:rsidRPr="00E5792C">
        <w:rPr>
          <w:bCs/>
          <w:lang w:val="en-US"/>
        </w:rPr>
        <w:t xml:space="preserve"> </w:t>
      </w:r>
      <w:r w:rsidR="006C4046" w:rsidRPr="00E5792C">
        <w:rPr>
          <w:bCs/>
          <w:lang w:val="en-US"/>
        </w:rPr>
        <w:t>Endomyocardial biopsy</w:t>
      </w:r>
      <w:r w:rsidR="008D2B26" w:rsidRPr="00E5792C">
        <w:rPr>
          <w:bCs/>
          <w:lang w:val="en-US"/>
        </w:rPr>
        <w:t xml:space="preserve"> (EMB)</w:t>
      </w:r>
      <w:r w:rsidR="006C4046" w:rsidRPr="00E5792C">
        <w:rPr>
          <w:bCs/>
          <w:lang w:val="en-US"/>
        </w:rPr>
        <w:t xml:space="preserve"> has traditionally played a vital role in the diagnosis of myocarditis, however, it is an imperfect tool with a yield as low as 35% due to the patchy nature of inflammation in some cases</w:t>
      </w:r>
      <w:r w:rsidR="00F338EE" w:rsidRPr="00E5792C">
        <w:rPr>
          <w:bCs/>
          <w:lang w:val="en-US"/>
        </w:rPr>
        <w:t>,</w:t>
      </w:r>
      <w:r w:rsidR="00E03B80" w:rsidRPr="00E5792C">
        <w:rPr>
          <w:bCs/>
          <w:lang w:val="en-US"/>
        </w:rPr>
        <w:t xml:space="preserve"> and inability to readily access the epicardial and mid-wall layers where inflammation predominates</w:t>
      </w:r>
      <w:r w:rsidR="00CF4DEA" w:rsidRPr="00E5792C">
        <w:rPr>
          <w:bCs/>
          <w:lang w:val="en-US"/>
        </w:rPr>
        <w:t>.</w:t>
      </w:r>
      <w:r w:rsidR="007C7AB3" w:rsidRPr="00E5792C">
        <w:rPr>
          <w:vertAlign w:val="superscript"/>
          <w:lang w:val="en-US"/>
        </w:rPr>
        <w:t>2</w:t>
      </w:r>
      <w:r w:rsidR="00A208B0" w:rsidRPr="00E5792C">
        <w:rPr>
          <w:lang w:val="en-US"/>
        </w:rPr>
        <w:t xml:space="preserve"> </w:t>
      </w:r>
      <w:bookmarkStart w:id="3" w:name="_Hlk49621829"/>
      <w:r w:rsidR="00E03B80" w:rsidRPr="00E5792C">
        <w:rPr>
          <w:bCs/>
          <w:lang w:val="en-US"/>
        </w:rPr>
        <w:t>In this context, cardiovascular magnetic resonance</w:t>
      </w:r>
      <w:r w:rsidR="00077FFE" w:rsidRPr="00E5792C">
        <w:rPr>
          <w:bCs/>
          <w:lang w:val="en-US"/>
        </w:rPr>
        <w:t xml:space="preserve"> (CMR)</w:t>
      </w:r>
      <w:r w:rsidR="00E03B80" w:rsidRPr="00E5792C">
        <w:rPr>
          <w:bCs/>
          <w:lang w:val="en-US"/>
        </w:rPr>
        <w:t xml:space="preserve"> with T2</w:t>
      </w:r>
      <w:r w:rsidR="00077FFE" w:rsidRPr="00E5792C">
        <w:rPr>
          <w:bCs/>
          <w:lang w:val="en-US"/>
        </w:rPr>
        <w:t>-weighted</w:t>
      </w:r>
      <w:r w:rsidR="00060479" w:rsidRPr="00E5792C">
        <w:rPr>
          <w:bCs/>
          <w:lang w:val="en-US"/>
        </w:rPr>
        <w:t xml:space="preserve"> </w:t>
      </w:r>
      <w:r w:rsidR="00F129B2" w:rsidRPr="00E5792C">
        <w:rPr>
          <w:bCs/>
          <w:lang w:val="en-US"/>
        </w:rPr>
        <w:t>imaging, contemporary parametric mapping techniques,</w:t>
      </w:r>
      <w:r w:rsidR="00E03B80" w:rsidRPr="00E5792C">
        <w:rPr>
          <w:bCs/>
          <w:lang w:val="en-US"/>
        </w:rPr>
        <w:t xml:space="preserve"> and late gadolinium enhancement </w:t>
      </w:r>
      <w:r w:rsidR="00077FFE" w:rsidRPr="00E5792C">
        <w:rPr>
          <w:bCs/>
          <w:lang w:val="en-US"/>
        </w:rPr>
        <w:t xml:space="preserve">(LGE) </w:t>
      </w:r>
      <w:r w:rsidR="00E03B80" w:rsidRPr="00E5792C">
        <w:rPr>
          <w:bCs/>
          <w:lang w:val="en-US"/>
        </w:rPr>
        <w:t>imaging</w:t>
      </w:r>
      <w:r w:rsidR="00520BB1" w:rsidRPr="00E5792C">
        <w:rPr>
          <w:bCs/>
          <w:lang w:val="en-US"/>
        </w:rPr>
        <w:t>,</w:t>
      </w:r>
      <w:r w:rsidR="00E03B80" w:rsidRPr="00E5792C">
        <w:rPr>
          <w:bCs/>
          <w:lang w:val="en-US"/>
        </w:rPr>
        <w:t xml:space="preserve"> </w:t>
      </w:r>
      <w:r w:rsidR="00F129B2" w:rsidRPr="00E5792C">
        <w:rPr>
          <w:bCs/>
          <w:lang w:val="en-US"/>
        </w:rPr>
        <w:t xml:space="preserve">are </w:t>
      </w:r>
      <w:r w:rsidR="00E03B80" w:rsidRPr="00E5792C">
        <w:rPr>
          <w:bCs/>
          <w:lang w:val="en-US"/>
        </w:rPr>
        <w:t>assuming greater importance in non-invasive diagnosis.</w:t>
      </w:r>
      <w:r w:rsidR="00D954C2" w:rsidRPr="00E5792C">
        <w:rPr>
          <w:bCs/>
          <w:vertAlign w:val="superscript"/>
          <w:lang w:val="en-US"/>
        </w:rPr>
        <w:t>6,7</w:t>
      </w:r>
      <w:r w:rsidR="00E03B80" w:rsidRPr="00E5792C">
        <w:rPr>
          <w:bCs/>
          <w:lang w:val="en-US"/>
        </w:rPr>
        <w:t xml:space="preserve"> </w:t>
      </w:r>
      <w:bookmarkEnd w:id="3"/>
      <w:r w:rsidR="00E03B80" w:rsidRPr="00E5792C">
        <w:rPr>
          <w:bCs/>
          <w:lang w:val="en-US"/>
        </w:rPr>
        <w:t xml:space="preserve">The presence of </w:t>
      </w:r>
      <w:r w:rsidR="00707FB4" w:rsidRPr="00E5792C">
        <w:rPr>
          <w:bCs/>
          <w:lang w:val="en-US"/>
        </w:rPr>
        <w:t>LGE</w:t>
      </w:r>
      <w:r w:rsidR="00E03B80" w:rsidRPr="00E5792C">
        <w:rPr>
          <w:bCs/>
          <w:lang w:val="en-US"/>
        </w:rPr>
        <w:t xml:space="preserve"> </w:t>
      </w:r>
      <w:r w:rsidR="00656240" w:rsidRPr="00E5792C">
        <w:rPr>
          <w:bCs/>
          <w:lang w:val="en-US"/>
        </w:rPr>
        <w:t xml:space="preserve">denotes </w:t>
      </w:r>
      <w:r w:rsidR="00E03B80" w:rsidRPr="00E5792C">
        <w:rPr>
          <w:bCs/>
          <w:lang w:val="en-US"/>
        </w:rPr>
        <w:t>tissue inflammation, necrosis and early fibrosis</w:t>
      </w:r>
      <w:r w:rsidR="0021671F" w:rsidRPr="00E5792C">
        <w:rPr>
          <w:bCs/>
          <w:lang w:val="en-US"/>
        </w:rPr>
        <w:t>.</w:t>
      </w:r>
      <w:r w:rsidR="00D954C2" w:rsidRPr="00E5792C">
        <w:rPr>
          <w:bCs/>
          <w:vertAlign w:val="superscript"/>
          <w:lang w:val="en-US"/>
        </w:rPr>
        <w:t>8</w:t>
      </w:r>
      <w:r w:rsidR="0021671F" w:rsidRPr="00E5792C">
        <w:rPr>
          <w:bCs/>
          <w:vertAlign w:val="superscript"/>
          <w:lang w:val="en-US"/>
        </w:rPr>
        <w:t>,</w:t>
      </w:r>
      <w:r w:rsidR="00D954C2" w:rsidRPr="00E5792C">
        <w:rPr>
          <w:bCs/>
          <w:vertAlign w:val="superscript"/>
          <w:lang w:val="en-US"/>
        </w:rPr>
        <w:t>9</w:t>
      </w:r>
      <w:r w:rsidR="00E03B80" w:rsidRPr="00E5792C">
        <w:rPr>
          <w:bCs/>
          <w:lang w:val="en-US"/>
        </w:rPr>
        <w:t xml:space="preserve"> </w:t>
      </w:r>
      <w:r w:rsidR="007F20C8" w:rsidRPr="00E5792C">
        <w:rPr>
          <w:bCs/>
          <w:lang w:val="en-US"/>
        </w:rPr>
        <w:t xml:space="preserve">The latter is known to play a key role in generating arrhythmogenic substrates </w:t>
      </w:r>
      <w:r w:rsidR="007112E1" w:rsidRPr="00E5792C">
        <w:rPr>
          <w:bCs/>
          <w:lang w:val="en-US"/>
        </w:rPr>
        <w:t xml:space="preserve">and </w:t>
      </w:r>
      <w:r w:rsidR="007F20C8" w:rsidRPr="00E5792C">
        <w:rPr>
          <w:bCs/>
          <w:lang w:val="en-US"/>
        </w:rPr>
        <w:t xml:space="preserve">has been </w:t>
      </w:r>
      <w:r w:rsidR="007112E1" w:rsidRPr="00E5792C">
        <w:rPr>
          <w:bCs/>
          <w:lang w:val="en-US"/>
        </w:rPr>
        <w:t>shown</w:t>
      </w:r>
      <w:r w:rsidR="007F20C8" w:rsidRPr="00E5792C">
        <w:rPr>
          <w:bCs/>
          <w:lang w:val="en-US"/>
        </w:rPr>
        <w:t xml:space="preserve"> to be a harbinger of </w:t>
      </w:r>
      <w:r w:rsidR="007112E1" w:rsidRPr="00E5792C">
        <w:rPr>
          <w:bCs/>
          <w:lang w:val="en-US"/>
        </w:rPr>
        <w:t>SCD</w:t>
      </w:r>
      <w:r w:rsidR="007F20C8" w:rsidRPr="00E5792C">
        <w:rPr>
          <w:bCs/>
          <w:lang w:val="en-US"/>
        </w:rPr>
        <w:t xml:space="preserve"> as well as </w:t>
      </w:r>
      <w:r w:rsidR="007112E1" w:rsidRPr="00E5792C">
        <w:rPr>
          <w:bCs/>
          <w:lang w:val="en-US"/>
        </w:rPr>
        <w:t>HF</w:t>
      </w:r>
      <w:r w:rsidR="007F20C8" w:rsidRPr="00E5792C">
        <w:rPr>
          <w:bCs/>
          <w:lang w:val="en-US"/>
        </w:rPr>
        <w:t xml:space="preserve"> in a variety of non-ischemic cardiomyopathies</w:t>
      </w:r>
      <w:r w:rsidR="0021671F" w:rsidRPr="00E5792C">
        <w:rPr>
          <w:bCs/>
          <w:lang w:val="en-US"/>
        </w:rPr>
        <w:t>.</w:t>
      </w:r>
      <w:r w:rsidR="00D954C2" w:rsidRPr="00E5792C">
        <w:rPr>
          <w:bCs/>
          <w:vertAlign w:val="superscript"/>
          <w:lang w:val="en-US"/>
        </w:rPr>
        <w:t>10,11</w:t>
      </w:r>
    </w:p>
    <w:p w14:paraId="576BD559" w14:textId="6A257FD6" w:rsidR="007F20C8" w:rsidRPr="00E5792C" w:rsidRDefault="007F20C8" w:rsidP="00E5792C">
      <w:pPr>
        <w:spacing w:line="480" w:lineRule="auto"/>
        <w:jc w:val="both"/>
        <w:rPr>
          <w:bCs/>
          <w:lang w:val="en-US"/>
        </w:rPr>
      </w:pPr>
      <w:r w:rsidRPr="00E5792C">
        <w:rPr>
          <w:bCs/>
          <w:lang w:val="en-US"/>
        </w:rPr>
        <w:t>There is emerging evidence that the presence</w:t>
      </w:r>
      <w:r w:rsidR="007112E1" w:rsidRPr="00E5792C">
        <w:rPr>
          <w:bCs/>
          <w:lang w:val="en-US"/>
        </w:rPr>
        <w:t>, location</w:t>
      </w:r>
      <w:r w:rsidR="00F338EE" w:rsidRPr="00E5792C">
        <w:rPr>
          <w:bCs/>
          <w:lang w:val="en-US"/>
        </w:rPr>
        <w:t>,</w:t>
      </w:r>
      <w:r w:rsidRPr="00E5792C">
        <w:rPr>
          <w:bCs/>
          <w:lang w:val="en-US"/>
        </w:rPr>
        <w:t xml:space="preserve"> and extent of LGE may also carry important prognostic information in </w:t>
      </w:r>
      <w:r w:rsidR="007112E1" w:rsidRPr="00E5792C">
        <w:rPr>
          <w:bCs/>
          <w:lang w:val="en-US"/>
        </w:rPr>
        <w:t>AM</w:t>
      </w:r>
      <w:r w:rsidR="0016723D" w:rsidRPr="00E5792C">
        <w:rPr>
          <w:bCs/>
          <w:lang w:val="en-US"/>
        </w:rPr>
        <w:t>.</w:t>
      </w:r>
      <w:r w:rsidR="007C7AB3" w:rsidRPr="00E5792C">
        <w:rPr>
          <w:bCs/>
          <w:vertAlign w:val="superscript"/>
          <w:lang w:val="en-US"/>
        </w:rPr>
        <w:t>4</w:t>
      </w:r>
      <w:r w:rsidR="008D44EA" w:rsidRPr="00E5792C">
        <w:rPr>
          <w:bCs/>
          <w:vertAlign w:val="superscript"/>
          <w:lang w:val="en-US"/>
        </w:rPr>
        <w:t>,1</w:t>
      </w:r>
      <w:r w:rsidR="00D954C2" w:rsidRPr="00E5792C">
        <w:rPr>
          <w:bCs/>
          <w:vertAlign w:val="superscript"/>
          <w:lang w:val="en-US"/>
        </w:rPr>
        <w:t>2</w:t>
      </w:r>
      <w:r w:rsidR="00C713C2" w:rsidRPr="00E5792C">
        <w:rPr>
          <w:bCs/>
          <w:vertAlign w:val="superscript"/>
          <w:lang w:val="en-US"/>
        </w:rPr>
        <w:t>-1</w:t>
      </w:r>
      <w:r w:rsidR="00D954C2" w:rsidRPr="00E5792C">
        <w:rPr>
          <w:bCs/>
          <w:vertAlign w:val="superscript"/>
          <w:lang w:val="en-US"/>
        </w:rPr>
        <w:t>6</w:t>
      </w:r>
      <w:r w:rsidRPr="00E5792C">
        <w:rPr>
          <w:bCs/>
          <w:lang w:val="en-US"/>
        </w:rPr>
        <w:t xml:space="preserve"> However, due to a combination of the low incidence of the condition, and relatively low event rates, </w:t>
      </w:r>
      <w:r w:rsidR="00AF2380" w:rsidRPr="00E5792C">
        <w:rPr>
          <w:bCs/>
          <w:lang w:val="en-US"/>
        </w:rPr>
        <w:t>studies addressing the prognostic significance of LGE in this context have been limited by small sample sizes</w:t>
      </w:r>
      <w:r w:rsidR="00E2308A" w:rsidRPr="00E5792C">
        <w:rPr>
          <w:bCs/>
          <w:lang w:val="en-US"/>
        </w:rPr>
        <w:t>, short follow-up durations</w:t>
      </w:r>
      <w:r w:rsidR="00F338EE" w:rsidRPr="00E5792C">
        <w:rPr>
          <w:bCs/>
          <w:lang w:val="en-US"/>
        </w:rPr>
        <w:t>,</w:t>
      </w:r>
      <w:r w:rsidR="00AF2380" w:rsidRPr="00E5792C">
        <w:rPr>
          <w:bCs/>
          <w:lang w:val="en-US"/>
        </w:rPr>
        <w:t xml:space="preserve"> and a reliance on broad composite endpoints</w:t>
      </w:r>
      <w:r w:rsidR="0016723D" w:rsidRPr="00E5792C">
        <w:rPr>
          <w:bCs/>
          <w:lang w:val="en-US"/>
        </w:rPr>
        <w:t>.</w:t>
      </w:r>
      <w:r w:rsidR="00C713C2" w:rsidRPr="00E5792C">
        <w:rPr>
          <w:bCs/>
          <w:vertAlign w:val="superscript"/>
          <w:lang w:val="en-US"/>
        </w:rPr>
        <w:t>1</w:t>
      </w:r>
      <w:r w:rsidR="00D954C2" w:rsidRPr="00E5792C">
        <w:rPr>
          <w:bCs/>
          <w:vertAlign w:val="superscript"/>
          <w:lang w:val="en-US"/>
        </w:rPr>
        <w:t>5</w:t>
      </w:r>
      <w:r w:rsidR="00C713C2" w:rsidRPr="00E5792C">
        <w:rPr>
          <w:bCs/>
          <w:vertAlign w:val="superscript"/>
          <w:lang w:val="en-US"/>
        </w:rPr>
        <w:t>-1</w:t>
      </w:r>
      <w:r w:rsidR="00D954C2" w:rsidRPr="00E5792C">
        <w:rPr>
          <w:bCs/>
          <w:vertAlign w:val="superscript"/>
          <w:lang w:val="en-US"/>
        </w:rPr>
        <w:t>8</w:t>
      </w:r>
      <w:r w:rsidR="00AF2380" w:rsidRPr="00E5792C">
        <w:rPr>
          <w:bCs/>
          <w:lang w:val="en-US"/>
        </w:rPr>
        <w:t xml:space="preserve"> These observational data therefore do not permit granular risk stratification</w:t>
      </w:r>
      <w:r w:rsidR="00E2308A" w:rsidRPr="00E5792C">
        <w:rPr>
          <w:bCs/>
          <w:lang w:val="en-US"/>
        </w:rPr>
        <w:t xml:space="preserve">. We sought to address this by undertaking a </w:t>
      </w:r>
      <w:r w:rsidR="00427647" w:rsidRPr="00E5792C">
        <w:rPr>
          <w:bCs/>
          <w:lang w:val="en-US"/>
        </w:rPr>
        <w:t xml:space="preserve">systematic review and </w:t>
      </w:r>
      <w:r w:rsidR="00E2308A" w:rsidRPr="00E5792C">
        <w:rPr>
          <w:bCs/>
          <w:lang w:val="en-US"/>
        </w:rPr>
        <w:t xml:space="preserve">meta-analysis </w:t>
      </w:r>
      <w:r w:rsidR="00427647" w:rsidRPr="00E5792C">
        <w:rPr>
          <w:bCs/>
          <w:lang w:val="en-US"/>
        </w:rPr>
        <w:t>of the available observational studies to derive adjusted estimates of the prognostic significance of LGE.</w:t>
      </w:r>
    </w:p>
    <w:p w14:paraId="77D81ACE" w14:textId="77777777" w:rsidR="00E65EFB" w:rsidRPr="00E5792C" w:rsidRDefault="00E65EFB" w:rsidP="00E5792C">
      <w:pPr>
        <w:spacing w:line="480" w:lineRule="auto"/>
        <w:jc w:val="both"/>
        <w:rPr>
          <w:bCs/>
          <w:lang w:val="en-US"/>
        </w:rPr>
      </w:pPr>
    </w:p>
    <w:p w14:paraId="64F41D01" w14:textId="264145DA" w:rsidR="00D26FDE" w:rsidRPr="00E5792C" w:rsidRDefault="00D26FDE" w:rsidP="00E5792C">
      <w:pPr>
        <w:spacing w:line="480" w:lineRule="auto"/>
        <w:jc w:val="both"/>
        <w:rPr>
          <w:b/>
          <w:bCs/>
          <w:lang w:val="en-US"/>
        </w:rPr>
      </w:pPr>
      <w:r w:rsidRPr="00E5792C">
        <w:rPr>
          <w:b/>
          <w:bCs/>
          <w:lang w:val="en-US"/>
        </w:rPr>
        <w:t>M</w:t>
      </w:r>
      <w:r w:rsidR="00C16D93" w:rsidRPr="00E5792C">
        <w:rPr>
          <w:b/>
          <w:bCs/>
          <w:lang w:val="en-US"/>
        </w:rPr>
        <w:t>ETHODS</w:t>
      </w:r>
    </w:p>
    <w:p w14:paraId="698BF479" w14:textId="481C8D12" w:rsidR="0061718C" w:rsidRPr="00E5792C" w:rsidRDefault="0061718C" w:rsidP="00E5792C">
      <w:pPr>
        <w:spacing w:line="480" w:lineRule="auto"/>
        <w:jc w:val="both"/>
        <w:rPr>
          <w:noProof/>
          <w:lang w:val="en-US"/>
        </w:rPr>
      </w:pPr>
      <w:r w:rsidRPr="00E5792C">
        <w:rPr>
          <w:noProof/>
          <w:lang w:val="en-US"/>
        </w:rPr>
        <w:t xml:space="preserve">The authors declare that all supporting data are available within the article and its online supplementary files. </w:t>
      </w:r>
    </w:p>
    <w:p w14:paraId="51D6CBAE" w14:textId="77777777" w:rsidR="0061718C" w:rsidRPr="00E5792C" w:rsidRDefault="0061718C" w:rsidP="00E5792C">
      <w:pPr>
        <w:spacing w:after="160" w:line="259" w:lineRule="auto"/>
        <w:rPr>
          <w:noProof/>
          <w:lang w:val="en-US"/>
        </w:rPr>
      </w:pPr>
      <w:r w:rsidRPr="00E5792C">
        <w:rPr>
          <w:noProof/>
          <w:lang w:val="en-US"/>
        </w:rPr>
        <w:br w:type="page"/>
      </w:r>
    </w:p>
    <w:p w14:paraId="3127A50B" w14:textId="392EC20A" w:rsidR="008D2EA6" w:rsidRPr="00E5792C" w:rsidRDefault="00A54877" w:rsidP="00E5792C">
      <w:pPr>
        <w:spacing w:line="480" w:lineRule="auto"/>
        <w:jc w:val="both"/>
        <w:rPr>
          <w:b/>
          <w:bCs/>
          <w:lang w:val="en-US"/>
        </w:rPr>
      </w:pPr>
      <w:r w:rsidRPr="00E5792C">
        <w:rPr>
          <w:b/>
          <w:bCs/>
          <w:lang w:val="en-US"/>
        </w:rPr>
        <w:lastRenderedPageBreak/>
        <w:t>Systematic review</w:t>
      </w:r>
    </w:p>
    <w:p w14:paraId="58F372EF" w14:textId="77777777" w:rsidR="00A54877" w:rsidRPr="00E5792C" w:rsidRDefault="00A54877" w:rsidP="00E5792C">
      <w:pPr>
        <w:spacing w:line="480" w:lineRule="auto"/>
        <w:jc w:val="both"/>
        <w:rPr>
          <w:i/>
          <w:noProof/>
          <w:lang w:val="en-US"/>
        </w:rPr>
      </w:pPr>
      <w:r w:rsidRPr="00E5792C">
        <w:rPr>
          <w:i/>
          <w:noProof/>
          <w:lang w:val="en-US"/>
        </w:rPr>
        <w:t>Search strategy</w:t>
      </w:r>
    </w:p>
    <w:p w14:paraId="27D06576" w14:textId="26DFDF78" w:rsidR="00724DBF" w:rsidRPr="00E5792C" w:rsidRDefault="00492544" w:rsidP="00E5792C">
      <w:pPr>
        <w:spacing w:line="480" w:lineRule="auto"/>
        <w:jc w:val="both"/>
        <w:rPr>
          <w:lang w:val="en-US"/>
        </w:rPr>
      </w:pPr>
      <w:r w:rsidRPr="00E5792C">
        <w:rPr>
          <w:noProof/>
          <w:lang w:val="en-US"/>
        </w:rPr>
        <w:t xml:space="preserve">We </w:t>
      </w:r>
      <w:r w:rsidR="000255D7" w:rsidRPr="00E5792C">
        <w:rPr>
          <w:noProof/>
          <w:lang w:val="en-US"/>
        </w:rPr>
        <w:t>performed</w:t>
      </w:r>
      <w:r w:rsidR="003F7EBC" w:rsidRPr="00E5792C">
        <w:rPr>
          <w:noProof/>
          <w:lang w:val="en-US"/>
        </w:rPr>
        <w:t xml:space="preserve"> a systematic review of the English and non-English literature </w:t>
      </w:r>
      <w:r w:rsidR="002C0E8B" w:rsidRPr="00E5792C">
        <w:rPr>
          <w:noProof/>
          <w:lang w:val="en-US"/>
        </w:rPr>
        <w:t xml:space="preserve">using </w:t>
      </w:r>
      <w:r w:rsidR="003F7EBC" w:rsidRPr="00E5792C">
        <w:rPr>
          <w:noProof/>
          <w:lang w:val="en-US"/>
        </w:rPr>
        <w:t xml:space="preserve">PubMed, </w:t>
      </w:r>
      <w:r w:rsidR="001F6F2B" w:rsidRPr="00E5792C">
        <w:rPr>
          <w:noProof/>
          <w:lang w:val="en-US"/>
        </w:rPr>
        <w:t>Cochrane Libra</w:t>
      </w:r>
      <w:r w:rsidR="00BA645C" w:rsidRPr="00E5792C">
        <w:rPr>
          <w:noProof/>
          <w:lang w:val="en-US"/>
        </w:rPr>
        <w:t>ry</w:t>
      </w:r>
      <w:r w:rsidR="001F6F2B" w:rsidRPr="00E5792C">
        <w:rPr>
          <w:noProof/>
          <w:lang w:val="en-US"/>
        </w:rPr>
        <w:t xml:space="preserve">, </w:t>
      </w:r>
      <w:r w:rsidR="003F7EBC" w:rsidRPr="00E5792C">
        <w:rPr>
          <w:noProof/>
          <w:lang w:val="en-US"/>
        </w:rPr>
        <w:t>Medline, Embase, Web of Science, Cinahl</w:t>
      </w:r>
      <w:r w:rsidR="002D275C" w:rsidRPr="00E5792C">
        <w:rPr>
          <w:noProof/>
          <w:lang w:val="en-US"/>
        </w:rPr>
        <w:t>, ClinicalTrials.gov</w:t>
      </w:r>
      <w:r w:rsidR="003F7EBC" w:rsidRPr="00E5792C">
        <w:rPr>
          <w:noProof/>
          <w:lang w:val="en-US"/>
        </w:rPr>
        <w:t xml:space="preserve"> and grey literature databases (OpenGrey and The Grey Literature Report by the New York </w:t>
      </w:r>
      <w:r w:rsidRPr="00E5792C">
        <w:rPr>
          <w:noProof/>
          <w:lang w:val="en-US"/>
        </w:rPr>
        <w:t>A</w:t>
      </w:r>
      <w:r w:rsidR="003F7EBC" w:rsidRPr="00E5792C">
        <w:rPr>
          <w:noProof/>
          <w:lang w:val="en-US"/>
        </w:rPr>
        <w:t>cademy of medicine)</w:t>
      </w:r>
      <w:r w:rsidR="00D53E6E" w:rsidRPr="00E5792C">
        <w:rPr>
          <w:noProof/>
          <w:lang w:val="en-US"/>
        </w:rPr>
        <w:t xml:space="preserve"> from inception</w:t>
      </w:r>
      <w:r w:rsidR="003F7EBC" w:rsidRPr="00E5792C">
        <w:rPr>
          <w:noProof/>
          <w:lang w:val="en-US"/>
        </w:rPr>
        <w:t xml:space="preserve"> t</w:t>
      </w:r>
      <w:r w:rsidR="00D53E6E" w:rsidRPr="00E5792C">
        <w:rPr>
          <w:noProof/>
          <w:lang w:val="en-US"/>
        </w:rPr>
        <w:t>hrough</w:t>
      </w:r>
      <w:r w:rsidR="003F7EBC" w:rsidRPr="00E5792C">
        <w:rPr>
          <w:noProof/>
          <w:lang w:val="en-US"/>
        </w:rPr>
        <w:t xml:space="preserve"> </w:t>
      </w:r>
      <w:r w:rsidR="00B40326" w:rsidRPr="00E5792C">
        <w:rPr>
          <w:noProof/>
          <w:lang w:val="en-US"/>
        </w:rPr>
        <w:t>February 28</w:t>
      </w:r>
      <w:r w:rsidR="00D53E6E" w:rsidRPr="00E5792C">
        <w:rPr>
          <w:noProof/>
          <w:lang w:val="en-US"/>
        </w:rPr>
        <w:t>,</w:t>
      </w:r>
      <w:r w:rsidR="000255D7" w:rsidRPr="00E5792C">
        <w:rPr>
          <w:noProof/>
          <w:lang w:val="en-US"/>
        </w:rPr>
        <w:t xml:space="preserve"> 20</w:t>
      </w:r>
      <w:r w:rsidR="00AC7E1A" w:rsidRPr="00E5792C">
        <w:rPr>
          <w:noProof/>
          <w:lang w:val="en-US"/>
        </w:rPr>
        <w:t>20</w:t>
      </w:r>
      <w:r w:rsidR="003F7EBC" w:rsidRPr="00E5792C">
        <w:rPr>
          <w:noProof/>
          <w:lang w:val="en-US"/>
        </w:rPr>
        <w:t>.</w:t>
      </w:r>
      <w:r w:rsidR="003F7EBC" w:rsidRPr="00E5792C">
        <w:rPr>
          <w:lang w:val="en-US"/>
        </w:rPr>
        <w:t xml:space="preserve"> </w:t>
      </w:r>
      <w:r w:rsidR="00B764FD" w:rsidRPr="00E5792C">
        <w:rPr>
          <w:noProof/>
          <w:lang w:val="en-US"/>
        </w:rPr>
        <w:t>Full-length publications in peer-reviewed journals or abstracts in international congresses</w:t>
      </w:r>
      <w:r w:rsidR="00B764FD" w:rsidRPr="00E5792C" w:rsidDel="003F7EBC">
        <w:rPr>
          <w:noProof/>
          <w:lang w:val="en-US"/>
        </w:rPr>
        <w:t xml:space="preserve"> </w:t>
      </w:r>
      <w:r w:rsidR="00B764FD" w:rsidRPr="00E5792C">
        <w:rPr>
          <w:noProof/>
          <w:lang w:val="en-US"/>
        </w:rPr>
        <w:t xml:space="preserve">that assessed the association of </w:t>
      </w:r>
      <w:r w:rsidR="000255D7" w:rsidRPr="00E5792C">
        <w:rPr>
          <w:noProof/>
          <w:lang w:val="en-US"/>
        </w:rPr>
        <w:t>CMR</w:t>
      </w:r>
      <w:r w:rsidR="00DB537A" w:rsidRPr="00E5792C">
        <w:rPr>
          <w:noProof/>
          <w:lang w:val="en-US"/>
        </w:rPr>
        <w:t>-LGE</w:t>
      </w:r>
      <w:r w:rsidR="00B764FD" w:rsidRPr="00E5792C">
        <w:rPr>
          <w:noProof/>
          <w:lang w:val="en-US"/>
        </w:rPr>
        <w:t xml:space="preserve"> and the risk of future clinical events in patients </w:t>
      </w:r>
      <w:r w:rsidR="000255D7" w:rsidRPr="00E5792C">
        <w:rPr>
          <w:noProof/>
          <w:lang w:val="en-US"/>
        </w:rPr>
        <w:t xml:space="preserve">with </w:t>
      </w:r>
      <w:r w:rsidR="000F36F5" w:rsidRPr="00E5792C">
        <w:rPr>
          <w:noProof/>
          <w:lang w:val="en-US"/>
        </w:rPr>
        <w:t xml:space="preserve">clinically </w:t>
      </w:r>
      <w:r w:rsidR="000255D7" w:rsidRPr="00E5792C">
        <w:rPr>
          <w:noProof/>
          <w:lang w:val="en-US"/>
        </w:rPr>
        <w:t>suspected</w:t>
      </w:r>
      <w:r w:rsidR="00CA3687" w:rsidRPr="00E5792C">
        <w:rPr>
          <w:noProof/>
          <w:vertAlign w:val="superscript"/>
          <w:lang w:val="en-US"/>
        </w:rPr>
        <w:t>1</w:t>
      </w:r>
      <w:r w:rsidR="00D954C2" w:rsidRPr="00E5792C">
        <w:rPr>
          <w:noProof/>
          <w:vertAlign w:val="superscript"/>
          <w:lang w:val="en-US"/>
        </w:rPr>
        <w:t>3</w:t>
      </w:r>
      <w:r w:rsidR="000F36F5" w:rsidRPr="00E5792C">
        <w:rPr>
          <w:noProof/>
          <w:lang w:val="en-US"/>
        </w:rPr>
        <w:t xml:space="preserve"> </w:t>
      </w:r>
      <w:r w:rsidR="000255D7" w:rsidRPr="00E5792C">
        <w:rPr>
          <w:noProof/>
          <w:lang w:val="en-US"/>
        </w:rPr>
        <w:t>or</w:t>
      </w:r>
      <w:r w:rsidR="00DB537A" w:rsidRPr="00E5792C">
        <w:rPr>
          <w:noProof/>
          <w:lang w:val="en-US"/>
        </w:rPr>
        <w:t xml:space="preserve"> </w:t>
      </w:r>
      <w:r w:rsidR="000255D7" w:rsidRPr="00E5792C">
        <w:rPr>
          <w:noProof/>
          <w:lang w:val="en-US"/>
        </w:rPr>
        <w:t>confirmed</w:t>
      </w:r>
      <w:r w:rsidR="00CA3687" w:rsidRPr="00E5792C">
        <w:rPr>
          <w:noProof/>
          <w:vertAlign w:val="superscript"/>
          <w:lang w:val="en-US"/>
        </w:rPr>
        <w:t>1</w:t>
      </w:r>
      <w:r w:rsidR="00D954C2" w:rsidRPr="00E5792C">
        <w:rPr>
          <w:noProof/>
          <w:vertAlign w:val="superscript"/>
          <w:lang w:val="en-US"/>
        </w:rPr>
        <w:t>2</w:t>
      </w:r>
      <w:r w:rsidR="00CA3687" w:rsidRPr="00E5792C">
        <w:rPr>
          <w:noProof/>
          <w:vertAlign w:val="superscript"/>
          <w:lang w:val="en-US"/>
        </w:rPr>
        <w:t>,1</w:t>
      </w:r>
      <w:r w:rsidR="00D954C2" w:rsidRPr="00E5792C">
        <w:rPr>
          <w:noProof/>
          <w:vertAlign w:val="superscript"/>
          <w:lang w:val="en-US"/>
        </w:rPr>
        <w:t>4</w:t>
      </w:r>
      <w:r w:rsidR="00CA3687" w:rsidRPr="00E5792C">
        <w:rPr>
          <w:noProof/>
          <w:vertAlign w:val="superscript"/>
          <w:lang w:val="en-US"/>
        </w:rPr>
        <w:t>-1</w:t>
      </w:r>
      <w:r w:rsidR="00D954C2" w:rsidRPr="00E5792C">
        <w:rPr>
          <w:noProof/>
          <w:vertAlign w:val="superscript"/>
          <w:lang w:val="en-US"/>
        </w:rPr>
        <w:t>7</w:t>
      </w:r>
      <w:r w:rsidR="00CA3687" w:rsidRPr="00E5792C">
        <w:rPr>
          <w:noProof/>
          <w:vertAlign w:val="superscript"/>
          <w:lang w:val="en-US"/>
        </w:rPr>
        <w:t>,1</w:t>
      </w:r>
      <w:r w:rsidR="00D954C2" w:rsidRPr="00E5792C">
        <w:rPr>
          <w:noProof/>
          <w:vertAlign w:val="superscript"/>
          <w:lang w:val="en-US"/>
        </w:rPr>
        <w:t>9</w:t>
      </w:r>
      <w:r w:rsidR="00CA3687" w:rsidRPr="00E5792C">
        <w:rPr>
          <w:noProof/>
          <w:vertAlign w:val="superscript"/>
          <w:lang w:val="en-US"/>
        </w:rPr>
        <w:t>-2</w:t>
      </w:r>
      <w:r w:rsidR="00D954C2" w:rsidRPr="00E5792C">
        <w:rPr>
          <w:noProof/>
          <w:vertAlign w:val="superscript"/>
          <w:lang w:val="en-US"/>
        </w:rPr>
        <w:t>3</w:t>
      </w:r>
      <w:r w:rsidR="000F36F5" w:rsidRPr="00E5792C">
        <w:rPr>
          <w:noProof/>
          <w:lang w:val="en-US"/>
        </w:rPr>
        <w:t xml:space="preserve"> </w:t>
      </w:r>
      <w:r w:rsidR="009C7E2E" w:rsidRPr="00E5792C">
        <w:rPr>
          <w:noProof/>
          <w:lang w:val="en-US"/>
        </w:rPr>
        <w:t>AM</w:t>
      </w:r>
      <w:r w:rsidR="000255D7" w:rsidRPr="00E5792C">
        <w:rPr>
          <w:noProof/>
          <w:lang w:val="en-US"/>
        </w:rPr>
        <w:t xml:space="preserve"> </w:t>
      </w:r>
      <w:r w:rsidR="00B764FD" w:rsidRPr="00E5792C">
        <w:rPr>
          <w:noProof/>
          <w:lang w:val="en-US"/>
        </w:rPr>
        <w:t>were retrieved</w:t>
      </w:r>
      <w:bookmarkStart w:id="4" w:name="_Hlk11578177"/>
      <w:r w:rsidR="00B764FD" w:rsidRPr="00E5792C">
        <w:rPr>
          <w:noProof/>
          <w:lang w:val="en-US"/>
        </w:rPr>
        <w:t xml:space="preserve">. </w:t>
      </w:r>
      <w:r w:rsidR="002C0E8B" w:rsidRPr="00E5792C">
        <w:rPr>
          <w:noProof/>
          <w:lang w:val="en-US"/>
        </w:rPr>
        <w:t>CMR</w:t>
      </w:r>
      <w:r w:rsidR="00067FEE" w:rsidRPr="00E5792C">
        <w:rPr>
          <w:noProof/>
          <w:lang w:val="en-US"/>
        </w:rPr>
        <w:t xml:space="preserve"> </w:t>
      </w:r>
      <w:r w:rsidR="00E94751" w:rsidRPr="00E5792C">
        <w:rPr>
          <w:lang w:val="en-US"/>
        </w:rPr>
        <w:t>variables</w:t>
      </w:r>
      <w:r w:rsidR="00067FEE" w:rsidRPr="00E5792C">
        <w:rPr>
          <w:lang w:val="en-US"/>
        </w:rPr>
        <w:t xml:space="preserve"> of interest were </w:t>
      </w:r>
      <w:r w:rsidR="00AA47E0" w:rsidRPr="00E5792C">
        <w:rPr>
          <w:lang w:val="en-US"/>
        </w:rPr>
        <w:t xml:space="preserve">the </w:t>
      </w:r>
      <w:r w:rsidR="00067FEE" w:rsidRPr="00E5792C">
        <w:rPr>
          <w:lang w:val="en-US"/>
        </w:rPr>
        <w:t>presence</w:t>
      </w:r>
      <w:r w:rsidR="0088543B" w:rsidRPr="00E5792C">
        <w:rPr>
          <w:lang w:val="en-US"/>
        </w:rPr>
        <w:t>,</w:t>
      </w:r>
      <w:r w:rsidR="00816097" w:rsidRPr="00E5792C">
        <w:rPr>
          <w:vertAlign w:val="superscript"/>
          <w:lang w:val="en-US"/>
        </w:rPr>
        <w:t>1</w:t>
      </w:r>
      <w:r w:rsidR="00D954C2" w:rsidRPr="00E5792C">
        <w:rPr>
          <w:vertAlign w:val="superscript"/>
          <w:lang w:val="en-US"/>
        </w:rPr>
        <w:t>2</w:t>
      </w:r>
      <w:r w:rsidR="005B08D1" w:rsidRPr="00E5792C">
        <w:rPr>
          <w:vertAlign w:val="superscript"/>
          <w:lang w:val="en-US"/>
        </w:rPr>
        <w:t>,1</w:t>
      </w:r>
      <w:r w:rsidR="00D954C2" w:rsidRPr="00E5792C">
        <w:rPr>
          <w:vertAlign w:val="superscript"/>
          <w:lang w:val="en-US"/>
        </w:rPr>
        <w:t>3</w:t>
      </w:r>
      <w:r w:rsidR="005B08D1" w:rsidRPr="00E5792C">
        <w:rPr>
          <w:vertAlign w:val="superscript"/>
          <w:lang w:val="en-US"/>
        </w:rPr>
        <w:t>,</w:t>
      </w:r>
      <w:r w:rsidR="00816097" w:rsidRPr="00E5792C">
        <w:rPr>
          <w:vertAlign w:val="superscript"/>
          <w:lang w:val="en-US"/>
        </w:rPr>
        <w:t>1</w:t>
      </w:r>
      <w:r w:rsidR="00D954C2" w:rsidRPr="00E5792C">
        <w:rPr>
          <w:vertAlign w:val="superscript"/>
          <w:lang w:val="en-US"/>
        </w:rPr>
        <w:t>6</w:t>
      </w:r>
      <w:r w:rsidR="00816097" w:rsidRPr="00E5792C">
        <w:rPr>
          <w:vertAlign w:val="superscript"/>
          <w:lang w:val="en-US"/>
        </w:rPr>
        <w:t>,1</w:t>
      </w:r>
      <w:r w:rsidR="00D954C2" w:rsidRPr="00E5792C">
        <w:rPr>
          <w:vertAlign w:val="superscript"/>
          <w:lang w:val="en-US"/>
        </w:rPr>
        <w:t>9</w:t>
      </w:r>
      <w:r w:rsidR="00816097" w:rsidRPr="00E5792C">
        <w:rPr>
          <w:vertAlign w:val="superscript"/>
          <w:lang w:val="en-US"/>
        </w:rPr>
        <w:t>-2</w:t>
      </w:r>
      <w:r w:rsidR="00D954C2" w:rsidRPr="00E5792C">
        <w:rPr>
          <w:vertAlign w:val="superscript"/>
          <w:lang w:val="en-US"/>
        </w:rPr>
        <w:t>1</w:t>
      </w:r>
      <w:r w:rsidR="00067FEE" w:rsidRPr="00E5792C">
        <w:rPr>
          <w:lang w:val="en-US"/>
        </w:rPr>
        <w:t xml:space="preserve"> </w:t>
      </w:r>
      <w:r w:rsidR="002C0E8B" w:rsidRPr="00E5792C">
        <w:rPr>
          <w:lang w:val="en-US"/>
        </w:rPr>
        <w:t>extent</w:t>
      </w:r>
      <w:r w:rsidR="0088543B" w:rsidRPr="00E5792C">
        <w:rPr>
          <w:lang w:val="en-US"/>
        </w:rPr>
        <w:t>,</w:t>
      </w:r>
      <w:r w:rsidR="00816097" w:rsidRPr="00E5792C">
        <w:rPr>
          <w:vertAlign w:val="superscript"/>
          <w:lang w:val="en-US"/>
        </w:rPr>
        <w:t>1</w:t>
      </w:r>
      <w:r w:rsidR="00D954C2" w:rsidRPr="00E5792C">
        <w:rPr>
          <w:vertAlign w:val="superscript"/>
          <w:lang w:val="en-US"/>
        </w:rPr>
        <w:t>4</w:t>
      </w:r>
      <w:r w:rsidR="00816097" w:rsidRPr="00E5792C">
        <w:rPr>
          <w:vertAlign w:val="superscript"/>
          <w:lang w:val="en-US"/>
        </w:rPr>
        <w:t>-1</w:t>
      </w:r>
      <w:r w:rsidR="00D954C2" w:rsidRPr="00E5792C">
        <w:rPr>
          <w:vertAlign w:val="superscript"/>
          <w:lang w:val="en-US"/>
        </w:rPr>
        <w:t>6</w:t>
      </w:r>
      <w:r w:rsidR="00816097" w:rsidRPr="00E5792C">
        <w:rPr>
          <w:vertAlign w:val="superscript"/>
          <w:lang w:val="en-US"/>
        </w:rPr>
        <w:t>, 1</w:t>
      </w:r>
      <w:r w:rsidR="00D954C2" w:rsidRPr="00E5792C">
        <w:rPr>
          <w:vertAlign w:val="superscript"/>
          <w:lang w:val="en-US"/>
        </w:rPr>
        <w:t>9</w:t>
      </w:r>
      <w:r w:rsidR="00816097" w:rsidRPr="00E5792C">
        <w:rPr>
          <w:vertAlign w:val="superscript"/>
          <w:lang w:val="en-US"/>
        </w:rPr>
        <w:t>, 2</w:t>
      </w:r>
      <w:r w:rsidR="00D954C2" w:rsidRPr="00E5792C">
        <w:rPr>
          <w:vertAlign w:val="superscript"/>
          <w:lang w:val="en-US"/>
        </w:rPr>
        <w:t>2</w:t>
      </w:r>
      <w:r w:rsidR="00067FEE" w:rsidRPr="00E5792C">
        <w:rPr>
          <w:lang w:val="en-US"/>
        </w:rPr>
        <w:t xml:space="preserve"> </w:t>
      </w:r>
      <w:r w:rsidR="00067FEE" w:rsidRPr="00E5792C">
        <w:rPr>
          <w:color w:val="000000" w:themeColor="text1"/>
          <w:lang w:val="en-US"/>
        </w:rPr>
        <w:t>location</w:t>
      </w:r>
      <w:r w:rsidR="00816097" w:rsidRPr="00E5792C">
        <w:rPr>
          <w:color w:val="000000" w:themeColor="text1"/>
          <w:vertAlign w:val="superscript"/>
          <w:lang w:val="en-US"/>
        </w:rPr>
        <w:t>1</w:t>
      </w:r>
      <w:r w:rsidR="00D954C2" w:rsidRPr="00E5792C">
        <w:rPr>
          <w:color w:val="000000" w:themeColor="text1"/>
          <w:vertAlign w:val="superscript"/>
          <w:lang w:val="en-US"/>
        </w:rPr>
        <w:t>5</w:t>
      </w:r>
      <w:r w:rsidR="00816097" w:rsidRPr="00E5792C">
        <w:rPr>
          <w:color w:val="000000" w:themeColor="text1"/>
          <w:vertAlign w:val="superscript"/>
          <w:lang w:val="en-US"/>
        </w:rPr>
        <w:t>-1</w:t>
      </w:r>
      <w:r w:rsidR="00D954C2" w:rsidRPr="00E5792C">
        <w:rPr>
          <w:color w:val="000000" w:themeColor="text1"/>
          <w:vertAlign w:val="superscript"/>
          <w:lang w:val="en-US"/>
        </w:rPr>
        <w:t>7</w:t>
      </w:r>
      <w:r w:rsidR="00816097" w:rsidRPr="00E5792C">
        <w:rPr>
          <w:color w:val="000000" w:themeColor="text1"/>
          <w:vertAlign w:val="superscript"/>
          <w:lang w:val="en-US"/>
        </w:rPr>
        <w:t>,1</w:t>
      </w:r>
      <w:r w:rsidR="00D954C2" w:rsidRPr="00E5792C">
        <w:rPr>
          <w:color w:val="000000" w:themeColor="text1"/>
          <w:vertAlign w:val="superscript"/>
          <w:lang w:val="en-US"/>
        </w:rPr>
        <w:t>9</w:t>
      </w:r>
      <w:r w:rsidR="00816097" w:rsidRPr="00E5792C">
        <w:rPr>
          <w:color w:val="000000" w:themeColor="text1"/>
          <w:vertAlign w:val="superscript"/>
          <w:lang w:val="en-US"/>
        </w:rPr>
        <w:t>,2</w:t>
      </w:r>
      <w:r w:rsidR="00D954C2" w:rsidRPr="00E5792C">
        <w:rPr>
          <w:color w:val="000000" w:themeColor="text1"/>
          <w:vertAlign w:val="superscript"/>
          <w:lang w:val="en-US"/>
        </w:rPr>
        <w:t>3</w:t>
      </w:r>
      <w:r w:rsidR="00F0026C" w:rsidRPr="00E5792C">
        <w:rPr>
          <w:color w:val="000000" w:themeColor="text1"/>
          <w:lang w:val="en-US"/>
        </w:rPr>
        <w:t>, pattern</w:t>
      </w:r>
      <w:r w:rsidR="002A750F" w:rsidRPr="00E5792C">
        <w:rPr>
          <w:color w:val="000000" w:themeColor="text1"/>
          <w:vertAlign w:val="superscript"/>
          <w:lang w:val="en-US"/>
        </w:rPr>
        <w:t>1</w:t>
      </w:r>
      <w:r w:rsidR="00D954C2" w:rsidRPr="00E5792C">
        <w:rPr>
          <w:color w:val="000000" w:themeColor="text1"/>
          <w:vertAlign w:val="superscript"/>
          <w:lang w:val="en-US"/>
        </w:rPr>
        <w:t>5</w:t>
      </w:r>
      <w:r w:rsidR="002A750F" w:rsidRPr="00E5792C">
        <w:rPr>
          <w:color w:val="000000" w:themeColor="text1"/>
          <w:vertAlign w:val="superscript"/>
          <w:lang w:val="en-US"/>
        </w:rPr>
        <w:t>,1</w:t>
      </w:r>
      <w:r w:rsidR="00D954C2" w:rsidRPr="00E5792C">
        <w:rPr>
          <w:color w:val="000000" w:themeColor="text1"/>
          <w:vertAlign w:val="superscript"/>
          <w:lang w:val="en-US"/>
        </w:rPr>
        <w:t>9</w:t>
      </w:r>
      <w:r w:rsidR="00F0026C" w:rsidRPr="00E5792C">
        <w:rPr>
          <w:color w:val="000000" w:themeColor="text1"/>
          <w:lang w:val="en-US"/>
        </w:rPr>
        <w:t xml:space="preserve"> and distribution</w:t>
      </w:r>
      <w:r w:rsidR="002A750F" w:rsidRPr="00E5792C">
        <w:rPr>
          <w:color w:val="000000" w:themeColor="text1"/>
          <w:vertAlign w:val="superscript"/>
          <w:lang w:val="en-US"/>
        </w:rPr>
        <w:t>1</w:t>
      </w:r>
      <w:r w:rsidR="00D954C2" w:rsidRPr="00E5792C">
        <w:rPr>
          <w:color w:val="000000" w:themeColor="text1"/>
          <w:vertAlign w:val="superscript"/>
          <w:lang w:val="en-US"/>
        </w:rPr>
        <w:t>5</w:t>
      </w:r>
      <w:r w:rsidR="002A750F" w:rsidRPr="00E5792C">
        <w:rPr>
          <w:color w:val="000000" w:themeColor="text1"/>
          <w:vertAlign w:val="superscript"/>
          <w:lang w:val="en-US"/>
        </w:rPr>
        <w:t>,1</w:t>
      </w:r>
      <w:r w:rsidR="00D954C2" w:rsidRPr="00E5792C">
        <w:rPr>
          <w:color w:val="000000" w:themeColor="text1"/>
          <w:vertAlign w:val="superscript"/>
          <w:lang w:val="en-US"/>
        </w:rPr>
        <w:t>9</w:t>
      </w:r>
      <w:r w:rsidR="00F0026C" w:rsidRPr="00E5792C">
        <w:rPr>
          <w:color w:val="000000" w:themeColor="text1"/>
          <w:lang w:val="en-US"/>
        </w:rPr>
        <w:t xml:space="preserve"> </w:t>
      </w:r>
      <w:r w:rsidR="00067FEE" w:rsidRPr="00E5792C">
        <w:rPr>
          <w:color w:val="000000" w:themeColor="text1"/>
          <w:lang w:val="en-US"/>
        </w:rPr>
        <w:t>of LGE</w:t>
      </w:r>
      <w:bookmarkEnd w:id="4"/>
      <w:r w:rsidR="00067FEE" w:rsidRPr="00E5792C">
        <w:rPr>
          <w:color w:val="000000" w:themeColor="text1"/>
          <w:lang w:val="en-US"/>
        </w:rPr>
        <w:t xml:space="preserve">. </w:t>
      </w:r>
      <w:r w:rsidR="00AA47E0" w:rsidRPr="00E5792C">
        <w:rPr>
          <w:color w:val="000000" w:themeColor="text1"/>
          <w:lang w:val="en-US"/>
        </w:rPr>
        <w:t xml:space="preserve">The extent </w:t>
      </w:r>
      <w:r w:rsidR="00067FEE" w:rsidRPr="00E5792C">
        <w:rPr>
          <w:color w:val="000000" w:themeColor="text1"/>
          <w:lang w:val="en-US"/>
        </w:rPr>
        <w:t xml:space="preserve">of LGE was evaluated either </w:t>
      </w:r>
      <w:r w:rsidR="00DB537A" w:rsidRPr="00E5792C">
        <w:rPr>
          <w:color w:val="000000" w:themeColor="text1"/>
          <w:lang w:val="en-US"/>
        </w:rPr>
        <w:t>as</w:t>
      </w:r>
      <w:r w:rsidR="008D2B26" w:rsidRPr="00E5792C">
        <w:rPr>
          <w:color w:val="000000" w:themeColor="text1"/>
          <w:lang w:val="en-US"/>
        </w:rPr>
        <w:t xml:space="preserve"> left ventricular</w:t>
      </w:r>
      <w:r w:rsidR="00067FEE" w:rsidRPr="00E5792C">
        <w:rPr>
          <w:color w:val="000000" w:themeColor="text1"/>
          <w:lang w:val="en-US"/>
        </w:rPr>
        <w:t xml:space="preserve"> </w:t>
      </w:r>
      <w:r w:rsidR="008D2B26" w:rsidRPr="00E5792C">
        <w:rPr>
          <w:color w:val="000000" w:themeColor="text1"/>
          <w:lang w:val="en-US"/>
        </w:rPr>
        <w:t>(</w:t>
      </w:r>
      <w:r w:rsidR="008E4968" w:rsidRPr="00E5792C">
        <w:rPr>
          <w:color w:val="000000" w:themeColor="text1"/>
          <w:lang w:val="en-US"/>
        </w:rPr>
        <w:t>LV</w:t>
      </w:r>
      <w:r w:rsidR="008D2B26" w:rsidRPr="00E5792C">
        <w:rPr>
          <w:color w:val="000000" w:themeColor="text1"/>
          <w:lang w:val="en-US"/>
        </w:rPr>
        <w:t>)</w:t>
      </w:r>
      <w:r w:rsidR="008E4968" w:rsidRPr="00E5792C">
        <w:rPr>
          <w:color w:val="000000" w:themeColor="text1"/>
          <w:lang w:val="en-US"/>
        </w:rPr>
        <w:t xml:space="preserve"> segments </w:t>
      </w:r>
      <w:r w:rsidR="00067FEE" w:rsidRPr="00E5792C">
        <w:rPr>
          <w:color w:val="000000" w:themeColor="text1"/>
          <w:lang w:val="en-US"/>
        </w:rPr>
        <w:t>involved</w:t>
      </w:r>
      <w:r w:rsidR="0088543B" w:rsidRPr="00E5792C">
        <w:rPr>
          <w:color w:val="000000" w:themeColor="text1"/>
          <w:lang w:val="en-US"/>
        </w:rPr>
        <w:t>,</w:t>
      </w:r>
      <w:r w:rsidR="000F36F5" w:rsidRPr="00E5792C">
        <w:rPr>
          <w:color w:val="000000" w:themeColor="text1"/>
          <w:vertAlign w:val="superscript"/>
          <w:lang w:val="en-US"/>
        </w:rPr>
        <w:t>1</w:t>
      </w:r>
      <w:r w:rsidR="00D954C2" w:rsidRPr="00E5792C">
        <w:rPr>
          <w:color w:val="000000" w:themeColor="text1"/>
          <w:vertAlign w:val="superscript"/>
          <w:lang w:val="en-US"/>
        </w:rPr>
        <w:t>5</w:t>
      </w:r>
      <w:r w:rsidR="000F36F5" w:rsidRPr="00E5792C">
        <w:rPr>
          <w:color w:val="000000" w:themeColor="text1"/>
          <w:vertAlign w:val="superscript"/>
          <w:lang w:val="en-US"/>
        </w:rPr>
        <w:t>,1</w:t>
      </w:r>
      <w:r w:rsidR="00D954C2" w:rsidRPr="00E5792C">
        <w:rPr>
          <w:color w:val="000000" w:themeColor="text1"/>
          <w:vertAlign w:val="superscript"/>
          <w:lang w:val="en-US"/>
        </w:rPr>
        <w:t>6</w:t>
      </w:r>
      <w:r w:rsidR="000F36F5" w:rsidRPr="00E5792C">
        <w:rPr>
          <w:color w:val="000000" w:themeColor="text1"/>
          <w:vertAlign w:val="superscript"/>
          <w:lang w:val="en-US"/>
        </w:rPr>
        <w:t>,2</w:t>
      </w:r>
      <w:r w:rsidR="00D954C2" w:rsidRPr="00E5792C">
        <w:rPr>
          <w:color w:val="000000" w:themeColor="text1"/>
          <w:vertAlign w:val="superscript"/>
          <w:lang w:val="en-US"/>
        </w:rPr>
        <w:t>2</w:t>
      </w:r>
      <w:r w:rsidR="00BC1BAD" w:rsidRPr="00E5792C">
        <w:rPr>
          <w:color w:val="000000" w:themeColor="text1"/>
          <w:vertAlign w:val="superscript"/>
          <w:lang w:val="en-US"/>
        </w:rPr>
        <w:t>,2</w:t>
      </w:r>
      <w:r w:rsidR="00D954C2" w:rsidRPr="00E5792C">
        <w:rPr>
          <w:color w:val="000000" w:themeColor="text1"/>
          <w:vertAlign w:val="superscript"/>
          <w:lang w:val="en-US"/>
        </w:rPr>
        <w:t>4</w:t>
      </w:r>
      <w:r w:rsidR="000F36F5" w:rsidRPr="00E5792C">
        <w:rPr>
          <w:color w:val="000000" w:themeColor="text1"/>
          <w:lang w:val="en-US"/>
        </w:rPr>
        <w:t xml:space="preserve"> grams</w:t>
      </w:r>
      <w:r w:rsidR="0088543B" w:rsidRPr="00E5792C">
        <w:rPr>
          <w:color w:val="000000" w:themeColor="text1"/>
          <w:lang w:val="en-US"/>
        </w:rPr>
        <w:t>,</w:t>
      </w:r>
      <w:r w:rsidR="0088543B" w:rsidRPr="00E5792C">
        <w:rPr>
          <w:color w:val="000000" w:themeColor="text1"/>
          <w:vertAlign w:val="superscript"/>
          <w:lang w:val="en-US"/>
        </w:rPr>
        <w:t>1</w:t>
      </w:r>
      <w:r w:rsidR="00D954C2" w:rsidRPr="00E5792C">
        <w:rPr>
          <w:color w:val="000000" w:themeColor="text1"/>
          <w:vertAlign w:val="superscript"/>
          <w:lang w:val="en-US"/>
        </w:rPr>
        <w:t>4</w:t>
      </w:r>
      <w:r w:rsidR="00067FEE" w:rsidRPr="00E5792C">
        <w:rPr>
          <w:color w:val="000000" w:themeColor="text1"/>
          <w:lang w:val="en-US"/>
        </w:rPr>
        <w:t xml:space="preserve"> or as a percentage of </w:t>
      </w:r>
      <w:r w:rsidR="00DB537A" w:rsidRPr="00E5792C">
        <w:rPr>
          <w:color w:val="000000" w:themeColor="text1"/>
          <w:lang w:val="en-US"/>
        </w:rPr>
        <w:t xml:space="preserve">LV </w:t>
      </w:r>
      <w:r w:rsidR="00067FEE" w:rsidRPr="00E5792C">
        <w:rPr>
          <w:color w:val="000000" w:themeColor="text1"/>
          <w:lang w:val="en-US"/>
        </w:rPr>
        <w:t>mass</w:t>
      </w:r>
      <w:r w:rsidR="0088543B" w:rsidRPr="00E5792C">
        <w:rPr>
          <w:color w:val="000000" w:themeColor="text1"/>
          <w:lang w:val="en-US"/>
        </w:rPr>
        <w:t>.</w:t>
      </w:r>
      <w:r w:rsidR="000F36F5" w:rsidRPr="00E5792C">
        <w:rPr>
          <w:color w:val="000000" w:themeColor="text1"/>
          <w:vertAlign w:val="superscript"/>
          <w:lang w:val="en-US"/>
        </w:rPr>
        <w:t>1</w:t>
      </w:r>
      <w:r w:rsidR="00D954C2" w:rsidRPr="00E5792C">
        <w:rPr>
          <w:color w:val="000000" w:themeColor="text1"/>
          <w:vertAlign w:val="superscript"/>
          <w:lang w:val="en-US"/>
        </w:rPr>
        <w:t>5</w:t>
      </w:r>
      <w:r w:rsidR="000F36F5" w:rsidRPr="00E5792C">
        <w:rPr>
          <w:color w:val="000000" w:themeColor="text1"/>
          <w:vertAlign w:val="superscript"/>
          <w:lang w:val="en-US"/>
        </w:rPr>
        <w:t>,1</w:t>
      </w:r>
      <w:r w:rsidR="00D954C2" w:rsidRPr="00E5792C">
        <w:rPr>
          <w:color w:val="000000" w:themeColor="text1"/>
          <w:vertAlign w:val="superscript"/>
          <w:lang w:val="en-US"/>
        </w:rPr>
        <w:t>6</w:t>
      </w:r>
      <w:r w:rsidR="000F36F5" w:rsidRPr="00E5792C">
        <w:rPr>
          <w:color w:val="000000" w:themeColor="text1"/>
          <w:vertAlign w:val="superscript"/>
          <w:lang w:val="en-US"/>
        </w:rPr>
        <w:t>,</w:t>
      </w:r>
      <w:r w:rsidR="00D954C2" w:rsidRPr="00E5792C">
        <w:rPr>
          <w:color w:val="000000" w:themeColor="text1"/>
          <w:vertAlign w:val="superscript"/>
          <w:lang w:val="en-US"/>
        </w:rPr>
        <w:t>19</w:t>
      </w:r>
      <w:r w:rsidR="00067FEE" w:rsidRPr="00E5792C">
        <w:rPr>
          <w:color w:val="000000" w:themeColor="text1"/>
          <w:lang w:val="en-US"/>
        </w:rPr>
        <w:t xml:space="preserve"> </w:t>
      </w:r>
      <w:r w:rsidR="00892F82" w:rsidRPr="00E5792C">
        <w:rPr>
          <w:color w:val="000000" w:themeColor="text1"/>
          <w:lang w:val="en-US"/>
        </w:rPr>
        <w:t xml:space="preserve">For </w:t>
      </w:r>
      <w:r w:rsidR="00067FEE" w:rsidRPr="00E5792C">
        <w:rPr>
          <w:color w:val="000000" w:themeColor="text1"/>
          <w:lang w:val="en-US"/>
        </w:rPr>
        <w:t xml:space="preserve">LGE </w:t>
      </w:r>
      <w:r w:rsidR="0022147C" w:rsidRPr="00E5792C">
        <w:rPr>
          <w:color w:val="000000" w:themeColor="text1"/>
          <w:lang w:val="en-US"/>
        </w:rPr>
        <w:t>location</w:t>
      </w:r>
      <w:r w:rsidR="00067FEE" w:rsidRPr="00E5792C">
        <w:rPr>
          <w:color w:val="000000" w:themeColor="text1"/>
          <w:lang w:val="en-US"/>
        </w:rPr>
        <w:t xml:space="preserve">, we </w:t>
      </w:r>
      <w:r w:rsidR="00D41C22" w:rsidRPr="00E5792C">
        <w:rPr>
          <w:color w:val="000000" w:themeColor="text1"/>
          <w:lang w:val="en-US"/>
        </w:rPr>
        <w:t xml:space="preserve">searched for risk estimates for </w:t>
      </w:r>
      <w:r w:rsidR="008D2B26" w:rsidRPr="00E5792C">
        <w:rPr>
          <w:color w:val="000000" w:themeColor="text1"/>
          <w:lang w:val="en-US"/>
        </w:rPr>
        <w:t>anteroseptal (</w:t>
      </w:r>
      <w:r w:rsidR="00DB537A" w:rsidRPr="00E5792C">
        <w:rPr>
          <w:color w:val="000000" w:themeColor="text1"/>
          <w:lang w:val="en-US"/>
        </w:rPr>
        <w:t>AS</w:t>
      </w:r>
      <w:r w:rsidR="008D2B26" w:rsidRPr="00E5792C">
        <w:rPr>
          <w:color w:val="000000" w:themeColor="text1"/>
          <w:lang w:val="en-US"/>
        </w:rPr>
        <w:t>)</w:t>
      </w:r>
      <w:r w:rsidR="00DB537A" w:rsidRPr="00E5792C">
        <w:rPr>
          <w:color w:val="000000" w:themeColor="text1"/>
          <w:lang w:val="en-US"/>
        </w:rPr>
        <w:t xml:space="preserve"> </w:t>
      </w:r>
      <w:r w:rsidR="00067FEE" w:rsidRPr="00E5792C">
        <w:rPr>
          <w:color w:val="000000" w:themeColor="text1"/>
          <w:lang w:val="en-US"/>
        </w:rPr>
        <w:t>versus</w:t>
      </w:r>
      <w:r w:rsidR="00D41C22" w:rsidRPr="00E5792C">
        <w:rPr>
          <w:color w:val="000000" w:themeColor="text1"/>
          <w:lang w:val="en-US"/>
        </w:rPr>
        <w:t xml:space="preserve"> </w:t>
      </w:r>
      <w:r w:rsidR="00D92D12" w:rsidRPr="00E5792C">
        <w:rPr>
          <w:color w:val="000000" w:themeColor="text1"/>
          <w:lang w:val="en-US"/>
        </w:rPr>
        <w:t>non-AS</w:t>
      </w:r>
      <w:r w:rsidR="00D41C22" w:rsidRPr="00E5792C">
        <w:rPr>
          <w:color w:val="000000" w:themeColor="text1"/>
          <w:lang w:val="en-US"/>
        </w:rPr>
        <w:t xml:space="preserve"> </w:t>
      </w:r>
      <w:r w:rsidR="00AC7E1A" w:rsidRPr="00E5792C">
        <w:rPr>
          <w:color w:val="000000" w:themeColor="text1"/>
          <w:lang w:val="en-US"/>
        </w:rPr>
        <w:t>and inferolateral (IL) versus non-IL</w:t>
      </w:r>
      <w:r w:rsidR="00892F82" w:rsidRPr="00E5792C">
        <w:rPr>
          <w:color w:val="000000" w:themeColor="text1"/>
          <w:lang w:val="en-US"/>
        </w:rPr>
        <w:t xml:space="preserve"> </w:t>
      </w:r>
      <w:r w:rsidR="00AC7E1A" w:rsidRPr="00E5792C">
        <w:rPr>
          <w:color w:val="000000" w:themeColor="text1"/>
          <w:lang w:val="en-US"/>
        </w:rPr>
        <w:t xml:space="preserve">location of </w:t>
      </w:r>
      <w:r w:rsidR="00892F82" w:rsidRPr="00E5792C">
        <w:rPr>
          <w:color w:val="000000" w:themeColor="text1"/>
          <w:lang w:val="en-US"/>
        </w:rPr>
        <w:t>LGE</w:t>
      </w:r>
      <w:r w:rsidR="00D92D12" w:rsidRPr="00E5792C">
        <w:rPr>
          <w:color w:val="000000" w:themeColor="text1"/>
          <w:lang w:val="en-US"/>
        </w:rPr>
        <w:t>.</w:t>
      </w:r>
      <w:r w:rsidR="00AC7E1A" w:rsidRPr="00E5792C">
        <w:rPr>
          <w:color w:val="000000" w:themeColor="text1"/>
          <w:lang w:val="en-US"/>
        </w:rPr>
        <w:t xml:space="preserve"> </w:t>
      </w:r>
      <w:r w:rsidR="00F0026C" w:rsidRPr="00E5792C">
        <w:rPr>
          <w:color w:val="000000" w:themeColor="text1"/>
          <w:lang w:val="en-US"/>
        </w:rPr>
        <w:t xml:space="preserve">For </w:t>
      </w:r>
      <w:r w:rsidR="00F0026C" w:rsidRPr="00E5792C">
        <w:rPr>
          <w:rFonts w:ascii="Times" w:hAnsi="Times"/>
          <w:color w:val="000000" w:themeColor="text1"/>
          <w:lang w:val="en-US"/>
        </w:rPr>
        <w:t>LGE pattern and distribution, we searched for mid-wall vs. subepicardial and patchy vs. linear, respectively.</w:t>
      </w:r>
      <w:r w:rsidR="00F0026C" w:rsidRPr="00E5792C">
        <w:rPr>
          <w:color w:val="000000" w:themeColor="text1"/>
          <w:lang w:val="en-US"/>
        </w:rPr>
        <w:t xml:space="preserve"> </w:t>
      </w:r>
      <w:r w:rsidR="00BF29C5" w:rsidRPr="00E5792C">
        <w:rPr>
          <w:color w:val="000000" w:themeColor="text1"/>
          <w:lang w:val="en-US"/>
        </w:rPr>
        <w:t xml:space="preserve">Data sources </w:t>
      </w:r>
      <w:r w:rsidR="00BF29C5" w:rsidRPr="00E5792C">
        <w:rPr>
          <w:noProof/>
          <w:color w:val="000000" w:themeColor="text1"/>
          <w:lang w:val="en-US"/>
        </w:rPr>
        <w:t>were also identified</w:t>
      </w:r>
      <w:r w:rsidR="00BF29C5" w:rsidRPr="00E5792C">
        <w:rPr>
          <w:color w:val="000000" w:themeColor="text1"/>
          <w:lang w:val="en-US"/>
        </w:rPr>
        <w:t xml:space="preserve"> through</w:t>
      </w:r>
      <w:r w:rsidR="00E5362B" w:rsidRPr="00E5792C">
        <w:rPr>
          <w:color w:val="000000" w:themeColor="text1"/>
          <w:lang w:val="en-US"/>
        </w:rPr>
        <w:t xml:space="preserve"> </w:t>
      </w:r>
      <w:r w:rsidR="00E5362B" w:rsidRPr="00E5792C">
        <w:rPr>
          <w:lang w:val="en-US"/>
        </w:rPr>
        <w:t>a</w:t>
      </w:r>
      <w:r w:rsidR="00BF29C5" w:rsidRPr="00E5792C">
        <w:rPr>
          <w:lang w:val="en-US"/>
        </w:rPr>
        <w:t xml:space="preserve"> manual</w:t>
      </w:r>
      <w:r w:rsidR="00E5362B" w:rsidRPr="00E5792C">
        <w:rPr>
          <w:lang w:val="en-US"/>
        </w:rPr>
        <w:t xml:space="preserve"> search of </w:t>
      </w:r>
      <w:r w:rsidR="00BF29C5" w:rsidRPr="00E5792C">
        <w:rPr>
          <w:lang w:val="en-US"/>
        </w:rPr>
        <w:t>the</w:t>
      </w:r>
      <w:r w:rsidR="00E5362B" w:rsidRPr="00E5792C">
        <w:rPr>
          <w:lang w:val="en-US"/>
        </w:rPr>
        <w:t xml:space="preserve"> retrieved articles’</w:t>
      </w:r>
      <w:r w:rsidR="00BF29C5" w:rsidRPr="00E5792C">
        <w:rPr>
          <w:lang w:val="en-US"/>
        </w:rPr>
        <w:t xml:space="preserve"> references. All abstracts from large international cardiovascular conventions </w:t>
      </w:r>
      <w:r w:rsidR="00BF29C5" w:rsidRPr="00E5792C">
        <w:rPr>
          <w:noProof/>
          <w:lang w:val="en-US"/>
        </w:rPr>
        <w:t>were also sought</w:t>
      </w:r>
      <w:r w:rsidR="00E5362B" w:rsidRPr="00E5792C">
        <w:rPr>
          <w:noProof/>
          <w:lang w:val="en-US"/>
        </w:rPr>
        <w:t xml:space="preserve"> and screened</w:t>
      </w:r>
      <w:r w:rsidR="00BF29C5" w:rsidRPr="00E5792C">
        <w:rPr>
          <w:lang w:val="en-US"/>
        </w:rPr>
        <w:t xml:space="preserve">. </w:t>
      </w:r>
      <w:r w:rsidR="00E5362B" w:rsidRPr="00E5792C">
        <w:rPr>
          <w:lang w:val="en-US"/>
        </w:rPr>
        <w:t xml:space="preserve">Further details on the search strategy </w:t>
      </w:r>
      <w:r w:rsidR="00E5362B" w:rsidRPr="00E5792C">
        <w:rPr>
          <w:noProof/>
          <w:lang w:val="en-US"/>
        </w:rPr>
        <w:t>are provided</w:t>
      </w:r>
      <w:r w:rsidR="00E5362B" w:rsidRPr="00E5792C">
        <w:rPr>
          <w:lang w:val="en-US"/>
        </w:rPr>
        <w:t xml:space="preserve"> in the </w:t>
      </w:r>
      <w:r w:rsidR="00E5362B" w:rsidRPr="00E5792C">
        <w:rPr>
          <w:b/>
          <w:bCs/>
          <w:lang w:val="en-US"/>
        </w:rPr>
        <w:t>Supplementary File</w:t>
      </w:r>
      <w:r w:rsidR="00E5362B" w:rsidRPr="00E5792C">
        <w:rPr>
          <w:lang w:val="en-US"/>
        </w:rPr>
        <w:t>.</w:t>
      </w:r>
      <w:bookmarkStart w:id="5" w:name="_Hlk532856535"/>
    </w:p>
    <w:p w14:paraId="00D115BF" w14:textId="77777777" w:rsidR="00724DBF" w:rsidRPr="00E5792C" w:rsidRDefault="00A54877" w:rsidP="00E5792C">
      <w:pPr>
        <w:spacing w:line="480" w:lineRule="auto"/>
        <w:jc w:val="both"/>
        <w:rPr>
          <w:i/>
          <w:lang w:val="en-US"/>
        </w:rPr>
      </w:pPr>
      <w:r w:rsidRPr="00E5792C">
        <w:rPr>
          <w:i/>
          <w:lang w:val="en-US"/>
        </w:rPr>
        <w:t>Study eligibility</w:t>
      </w:r>
    </w:p>
    <w:p w14:paraId="1966EF5C" w14:textId="50405006" w:rsidR="00FA137A" w:rsidRPr="00E5792C" w:rsidRDefault="00CC3C26" w:rsidP="00E5792C">
      <w:pPr>
        <w:autoSpaceDE w:val="0"/>
        <w:autoSpaceDN w:val="0"/>
        <w:adjustRightInd w:val="0"/>
        <w:spacing w:line="480" w:lineRule="auto"/>
        <w:jc w:val="both"/>
        <w:rPr>
          <w:lang w:val="en-US"/>
        </w:rPr>
      </w:pPr>
      <w:r w:rsidRPr="00E5792C">
        <w:rPr>
          <w:lang w:val="en-US"/>
        </w:rPr>
        <w:t xml:space="preserve">Studies </w:t>
      </w:r>
      <w:r w:rsidR="008D2EA6" w:rsidRPr="00E5792C">
        <w:rPr>
          <w:noProof/>
          <w:lang w:val="en-US"/>
        </w:rPr>
        <w:t>were deemed</w:t>
      </w:r>
      <w:r w:rsidR="008D2EA6" w:rsidRPr="00E5792C">
        <w:rPr>
          <w:lang w:val="en-US"/>
        </w:rPr>
        <w:t xml:space="preserve"> eligible if </w:t>
      </w:r>
      <w:r w:rsidR="00E5362B" w:rsidRPr="00E5792C">
        <w:rPr>
          <w:lang w:val="en-US"/>
        </w:rPr>
        <w:t xml:space="preserve">they </w:t>
      </w:r>
      <w:r w:rsidR="004E760D" w:rsidRPr="00E5792C">
        <w:rPr>
          <w:lang w:val="en-US"/>
        </w:rPr>
        <w:t>analyzed</w:t>
      </w:r>
      <w:r w:rsidR="00E5362B" w:rsidRPr="00E5792C">
        <w:rPr>
          <w:lang w:val="en-US"/>
        </w:rPr>
        <w:t xml:space="preserve"> data </w:t>
      </w:r>
      <w:r w:rsidR="00DB537A" w:rsidRPr="00E5792C">
        <w:rPr>
          <w:lang w:val="en-US"/>
        </w:rPr>
        <w:t>in</w:t>
      </w:r>
      <w:r w:rsidR="00896A27" w:rsidRPr="00E5792C">
        <w:rPr>
          <w:lang w:val="en-US"/>
        </w:rPr>
        <w:t xml:space="preserve"> patients with </w:t>
      </w:r>
      <w:r w:rsidR="00806B71" w:rsidRPr="00E5792C">
        <w:rPr>
          <w:lang w:val="en-US"/>
        </w:rPr>
        <w:t>AM</w:t>
      </w:r>
      <w:r w:rsidR="00896A27" w:rsidRPr="00E5792C">
        <w:rPr>
          <w:lang w:val="en-US"/>
        </w:rPr>
        <w:t xml:space="preserve"> (interval</w:t>
      </w:r>
      <w:r w:rsidR="00DB537A" w:rsidRPr="00E5792C">
        <w:rPr>
          <w:lang w:val="en-US"/>
        </w:rPr>
        <w:t xml:space="preserve"> time</w:t>
      </w:r>
      <w:r w:rsidR="00896A27" w:rsidRPr="00E5792C">
        <w:rPr>
          <w:lang w:val="en-US"/>
        </w:rPr>
        <w:t xml:space="preserve"> between symptom</w:t>
      </w:r>
      <w:r w:rsidR="00892F82" w:rsidRPr="00E5792C">
        <w:rPr>
          <w:lang w:val="en-US"/>
        </w:rPr>
        <w:t>-</w:t>
      </w:r>
      <w:r w:rsidR="00806B71" w:rsidRPr="00E5792C">
        <w:rPr>
          <w:lang w:val="en-US"/>
        </w:rPr>
        <w:t xml:space="preserve">onset </w:t>
      </w:r>
      <w:r w:rsidR="00896A27" w:rsidRPr="00E5792C">
        <w:rPr>
          <w:lang w:val="en-US"/>
        </w:rPr>
        <w:t xml:space="preserve">and CMR </w:t>
      </w:r>
      <w:r w:rsidR="00806B71" w:rsidRPr="00E5792C">
        <w:rPr>
          <w:lang w:val="en-US"/>
        </w:rPr>
        <w:t>≤</w:t>
      </w:r>
      <w:r w:rsidR="00896A27" w:rsidRPr="00E5792C">
        <w:rPr>
          <w:lang w:val="en-US"/>
        </w:rPr>
        <w:t>2 weeks</w:t>
      </w:r>
      <w:r w:rsidR="007B1733" w:rsidRPr="00E5792C">
        <w:rPr>
          <w:lang w:val="en-US"/>
        </w:rPr>
        <w:t xml:space="preserve">); </w:t>
      </w:r>
      <w:r w:rsidR="00E46001" w:rsidRPr="00E5792C">
        <w:rPr>
          <w:lang w:val="en-US"/>
        </w:rPr>
        <w:t xml:space="preserve">reported </w:t>
      </w:r>
      <w:r w:rsidR="00497F81" w:rsidRPr="00E5792C">
        <w:rPr>
          <w:lang w:val="en-US"/>
        </w:rPr>
        <w:t>details of LGE</w:t>
      </w:r>
      <w:r w:rsidR="008D2EA6" w:rsidRPr="00E5792C">
        <w:rPr>
          <w:lang w:val="en-US"/>
        </w:rPr>
        <w:t xml:space="preserve"> </w:t>
      </w:r>
      <w:r w:rsidRPr="00E5792C">
        <w:rPr>
          <w:lang w:val="en-US"/>
        </w:rPr>
        <w:t>(</w:t>
      </w:r>
      <w:r w:rsidR="00771BA6" w:rsidRPr="00E5792C">
        <w:rPr>
          <w:lang w:val="en-US"/>
        </w:rPr>
        <w:t xml:space="preserve">presence and/or location and/or </w:t>
      </w:r>
      <w:r w:rsidR="00855A69" w:rsidRPr="00E5792C">
        <w:rPr>
          <w:lang w:val="en-US"/>
        </w:rPr>
        <w:t>extent</w:t>
      </w:r>
      <w:r w:rsidR="007B1733" w:rsidRPr="00E5792C">
        <w:rPr>
          <w:lang w:val="en-US"/>
        </w:rPr>
        <w:t xml:space="preserve">); </w:t>
      </w:r>
      <w:r w:rsidR="00DB537A" w:rsidRPr="00E5792C">
        <w:rPr>
          <w:lang w:val="en-US"/>
        </w:rPr>
        <w:t>and</w:t>
      </w:r>
      <w:r w:rsidR="00BF29C5" w:rsidRPr="00E5792C">
        <w:rPr>
          <w:lang w:val="en-US"/>
        </w:rPr>
        <w:t xml:space="preserve"> </w:t>
      </w:r>
      <w:r w:rsidR="008D2EA6" w:rsidRPr="00E5792C">
        <w:rPr>
          <w:rFonts w:eastAsia="MS Mincho"/>
          <w:lang w:val="en-US"/>
        </w:rPr>
        <w:t xml:space="preserve">evaluation of </w:t>
      </w:r>
      <w:r w:rsidR="00BF29C5" w:rsidRPr="00E5792C">
        <w:rPr>
          <w:rFonts w:eastAsia="MS Mincho"/>
          <w:lang w:val="en-US"/>
        </w:rPr>
        <w:t>at least one of the following outcome</w:t>
      </w:r>
      <w:r w:rsidR="00497F81" w:rsidRPr="00E5792C">
        <w:rPr>
          <w:rFonts w:eastAsia="MS Mincho"/>
          <w:lang w:val="en-US"/>
        </w:rPr>
        <w:t>s</w:t>
      </w:r>
      <w:r w:rsidR="00BF29C5" w:rsidRPr="00E5792C">
        <w:rPr>
          <w:rFonts w:eastAsia="MS Mincho"/>
          <w:lang w:val="en-US"/>
        </w:rPr>
        <w:t xml:space="preserve">: </w:t>
      </w:r>
      <w:r w:rsidR="00181438" w:rsidRPr="00E5792C">
        <w:rPr>
          <w:rFonts w:eastAsia="MS Mincho"/>
          <w:lang w:val="en-US"/>
        </w:rPr>
        <w:t xml:space="preserve">all-cause </w:t>
      </w:r>
      <w:r w:rsidR="00524CAF" w:rsidRPr="00E5792C">
        <w:rPr>
          <w:rFonts w:eastAsia="MS Mincho"/>
          <w:lang w:val="en-US"/>
        </w:rPr>
        <w:t>or</w:t>
      </w:r>
      <w:r w:rsidR="00181438" w:rsidRPr="00E5792C">
        <w:rPr>
          <w:rFonts w:eastAsia="MS Mincho"/>
          <w:lang w:val="en-US"/>
        </w:rPr>
        <w:t xml:space="preserve"> </w:t>
      </w:r>
      <w:r w:rsidR="00462AC3" w:rsidRPr="00E5792C">
        <w:rPr>
          <w:rFonts w:eastAsia="MS Mincho"/>
          <w:lang w:val="en-US"/>
        </w:rPr>
        <w:t xml:space="preserve">cardiac </w:t>
      </w:r>
      <w:r w:rsidR="00497F81" w:rsidRPr="00E5792C">
        <w:rPr>
          <w:rFonts w:eastAsia="MS Mincho"/>
          <w:lang w:val="en-US"/>
        </w:rPr>
        <w:t xml:space="preserve">mortality </w:t>
      </w:r>
      <w:r w:rsidR="008447E2" w:rsidRPr="00E5792C">
        <w:rPr>
          <w:rFonts w:eastAsia="MS Mincho"/>
          <w:lang w:val="en-US"/>
        </w:rPr>
        <w:t xml:space="preserve">and </w:t>
      </w:r>
      <w:r w:rsidR="008D2B26" w:rsidRPr="00E5792C">
        <w:rPr>
          <w:rFonts w:eastAsia="MS Mincho"/>
          <w:lang w:val="en-US"/>
        </w:rPr>
        <w:t>major adverse cardiovascular events (</w:t>
      </w:r>
      <w:r w:rsidR="00944D38" w:rsidRPr="00E5792C">
        <w:rPr>
          <w:rFonts w:eastAsia="MS Mincho"/>
          <w:lang w:val="en-US"/>
        </w:rPr>
        <w:t>MACE</w:t>
      </w:r>
      <w:r w:rsidR="008D2B26" w:rsidRPr="00E5792C">
        <w:rPr>
          <w:rFonts w:eastAsia="MS Mincho"/>
          <w:lang w:val="en-US"/>
        </w:rPr>
        <w:t>)</w:t>
      </w:r>
      <w:r w:rsidR="00116309" w:rsidRPr="00E5792C">
        <w:rPr>
          <w:rFonts w:eastAsia="MS Mincho"/>
          <w:lang w:val="en-US"/>
        </w:rPr>
        <w:t>.</w:t>
      </w:r>
      <w:r w:rsidR="00DB537A" w:rsidRPr="00E5792C">
        <w:rPr>
          <w:rFonts w:eastAsia="MS Mincho"/>
          <w:lang w:val="en-US"/>
        </w:rPr>
        <w:t xml:space="preserve"> </w:t>
      </w:r>
      <w:r w:rsidR="00497F81" w:rsidRPr="00E5792C">
        <w:rPr>
          <w:rFonts w:eastAsia="MS Mincho"/>
          <w:lang w:val="en-US"/>
        </w:rPr>
        <w:t>W</w:t>
      </w:r>
      <w:r w:rsidR="00DB537A" w:rsidRPr="00E5792C">
        <w:rPr>
          <w:rFonts w:eastAsia="MS Mincho"/>
          <w:lang w:val="en-US"/>
        </w:rPr>
        <w:t xml:space="preserve">e defined the combined endpoint as the combination of any cause of death and </w:t>
      </w:r>
      <w:r w:rsidR="00CC7FBF" w:rsidRPr="00E5792C">
        <w:rPr>
          <w:rFonts w:eastAsia="MS Mincho"/>
          <w:lang w:val="en-US"/>
        </w:rPr>
        <w:t>MACE</w:t>
      </w:r>
      <w:r w:rsidR="00DB537A" w:rsidRPr="00E5792C">
        <w:rPr>
          <w:rFonts w:eastAsia="MS Mincho"/>
          <w:lang w:val="en-US"/>
        </w:rPr>
        <w:t>. The latter compris</w:t>
      </w:r>
      <w:r w:rsidR="005B3008" w:rsidRPr="00E5792C">
        <w:rPr>
          <w:rFonts w:eastAsia="MS Mincho"/>
          <w:lang w:val="en-US"/>
        </w:rPr>
        <w:t>ed</w:t>
      </w:r>
      <w:r w:rsidR="00A602EC" w:rsidRPr="00E5792C">
        <w:rPr>
          <w:rFonts w:eastAsia="MS Mincho"/>
          <w:lang w:val="en-US"/>
        </w:rPr>
        <w:t xml:space="preserve"> </w:t>
      </w:r>
      <w:r w:rsidR="00497F81" w:rsidRPr="00E5792C">
        <w:rPr>
          <w:rFonts w:eastAsia="MS Mincho"/>
          <w:lang w:val="en-US"/>
        </w:rPr>
        <w:t>of</w:t>
      </w:r>
      <w:r w:rsidR="003B2339" w:rsidRPr="00E5792C">
        <w:rPr>
          <w:rFonts w:eastAsia="MS Mincho"/>
          <w:lang w:val="en-US"/>
        </w:rPr>
        <w:t xml:space="preserve"> </w:t>
      </w:r>
      <w:r w:rsidR="009D093B" w:rsidRPr="00E5792C">
        <w:rPr>
          <w:rFonts w:eastAsia="MS Mincho"/>
          <w:lang w:val="en-US"/>
        </w:rPr>
        <w:t xml:space="preserve">new heart failure; </w:t>
      </w:r>
      <w:r w:rsidR="00F06F2C" w:rsidRPr="00E5792C">
        <w:rPr>
          <w:rFonts w:eastAsia="MS Mincho"/>
          <w:lang w:val="en-US"/>
        </w:rPr>
        <w:t xml:space="preserve">sustained </w:t>
      </w:r>
      <w:r w:rsidR="007C0A57" w:rsidRPr="00E5792C">
        <w:rPr>
          <w:rFonts w:eastAsia="MS Mincho"/>
          <w:lang w:val="en-US"/>
        </w:rPr>
        <w:t xml:space="preserve">ventricular </w:t>
      </w:r>
      <w:r w:rsidR="005B3008" w:rsidRPr="00E5792C">
        <w:rPr>
          <w:rFonts w:eastAsia="MS Mincho"/>
          <w:lang w:val="en-US"/>
        </w:rPr>
        <w:t>tachycardia</w:t>
      </w:r>
      <w:r w:rsidR="008D2B26" w:rsidRPr="00E5792C">
        <w:rPr>
          <w:rFonts w:eastAsia="MS Mincho"/>
          <w:lang w:val="en-US"/>
        </w:rPr>
        <w:t xml:space="preserve"> (VT)</w:t>
      </w:r>
      <w:r w:rsidR="009D093B" w:rsidRPr="00E5792C">
        <w:rPr>
          <w:rFonts w:eastAsia="MS Mincho"/>
          <w:lang w:val="en-US"/>
        </w:rPr>
        <w:t xml:space="preserve">; </w:t>
      </w:r>
      <w:r w:rsidR="003B2339" w:rsidRPr="00E5792C">
        <w:rPr>
          <w:rFonts w:eastAsia="MS Mincho"/>
          <w:lang w:val="en-US"/>
        </w:rPr>
        <w:t xml:space="preserve">aborted SCD or appropriate </w:t>
      </w:r>
      <w:r w:rsidR="00195F24" w:rsidRPr="00E5792C">
        <w:rPr>
          <w:rFonts w:eastAsia="MS Mincho"/>
          <w:lang w:val="en-US"/>
        </w:rPr>
        <w:t xml:space="preserve">implantable cardioverter defibrillator (ICD) </w:t>
      </w:r>
      <w:r w:rsidR="003B2339" w:rsidRPr="00E5792C">
        <w:rPr>
          <w:rFonts w:eastAsia="MS Mincho"/>
          <w:lang w:val="en-US"/>
        </w:rPr>
        <w:t>discharge</w:t>
      </w:r>
      <w:r w:rsidR="009D093B" w:rsidRPr="00E5792C">
        <w:rPr>
          <w:rFonts w:eastAsia="MS Mincho"/>
          <w:lang w:val="en-US"/>
        </w:rPr>
        <w:t xml:space="preserve">; </w:t>
      </w:r>
      <w:r w:rsidR="003B2339" w:rsidRPr="00E5792C">
        <w:rPr>
          <w:rFonts w:eastAsia="MS Mincho"/>
          <w:lang w:val="en-US"/>
        </w:rPr>
        <w:t xml:space="preserve">implantation of </w:t>
      </w:r>
      <w:r w:rsidR="009F7A7E" w:rsidRPr="00E5792C">
        <w:rPr>
          <w:rFonts w:eastAsia="MS Mincho"/>
          <w:lang w:val="en-US"/>
        </w:rPr>
        <w:t xml:space="preserve">an </w:t>
      </w:r>
      <w:r w:rsidR="00195F24" w:rsidRPr="00E5792C">
        <w:rPr>
          <w:rFonts w:eastAsia="MS Mincho"/>
          <w:lang w:val="en-US"/>
        </w:rPr>
        <w:t xml:space="preserve">ICD </w:t>
      </w:r>
      <w:r w:rsidR="003B2339" w:rsidRPr="00E5792C">
        <w:rPr>
          <w:rFonts w:eastAsia="MS Mincho"/>
          <w:lang w:val="en-US"/>
        </w:rPr>
        <w:t>or pacemaker</w:t>
      </w:r>
      <w:r w:rsidR="009D093B" w:rsidRPr="00E5792C">
        <w:rPr>
          <w:rFonts w:eastAsia="MS Mincho"/>
          <w:lang w:val="en-US"/>
        </w:rPr>
        <w:t>;</w:t>
      </w:r>
      <w:r w:rsidR="005B3008" w:rsidRPr="00E5792C">
        <w:rPr>
          <w:rFonts w:eastAsia="MS Mincho"/>
          <w:lang w:val="en-US"/>
        </w:rPr>
        <w:t xml:space="preserve"> </w:t>
      </w:r>
      <w:r w:rsidR="003B2339" w:rsidRPr="00E5792C">
        <w:rPr>
          <w:rFonts w:eastAsia="MS Mincho"/>
          <w:lang w:val="en-US"/>
        </w:rPr>
        <w:t>cardiac transplantation or ventricular assist device implantation</w:t>
      </w:r>
      <w:r w:rsidR="009D093B" w:rsidRPr="00E5792C">
        <w:rPr>
          <w:rFonts w:eastAsia="MS Mincho"/>
          <w:lang w:val="en-US"/>
        </w:rPr>
        <w:t>;</w:t>
      </w:r>
      <w:r w:rsidR="008D2B26" w:rsidRPr="00E5792C">
        <w:rPr>
          <w:rFonts w:eastAsia="MS Mincho"/>
          <w:lang w:val="en-US"/>
        </w:rPr>
        <w:t xml:space="preserve"> </w:t>
      </w:r>
      <w:r w:rsidR="003B2339" w:rsidRPr="00E5792C">
        <w:rPr>
          <w:rFonts w:eastAsia="MS Mincho"/>
          <w:lang w:val="en-US"/>
        </w:rPr>
        <w:t>VT ablation</w:t>
      </w:r>
      <w:r w:rsidR="00497F81" w:rsidRPr="00E5792C">
        <w:rPr>
          <w:rFonts w:eastAsia="MS Mincho"/>
          <w:lang w:val="en-US"/>
        </w:rPr>
        <w:t>;</w:t>
      </w:r>
      <w:r w:rsidR="00D765FB" w:rsidRPr="00E5792C">
        <w:rPr>
          <w:rFonts w:eastAsia="MS Mincho"/>
          <w:lang w:val="en-US"/>
        </w:rPr>
        <w:t xml:space="preserve"> or recurrence of myocarditis</w:t>
      </w:r>
      <w:r w:rsidR="009F2A2B" w:rsidRPr="00E5792C">
        <w:rPr>
          <w:rFonts w:eastAsia="MS Mincho"/>
          <w:lang w:val="en-US"/>
        </w:rPr>
        <w:t xml:space="preserve">. </w:t>
      </w:r>
      <w:bookmarkEnd w:id="5"/>
      <w:r w:rsidR="005B3008" w:rsidRPr="00E5792C">
        <w:rPr>
          <w:noProof/>
          <w:lang w:val="en-US"/>
        </w:rPr>
        <w:t xml:space="preserve">Criteria used for study inclusion were: estimates of the risk related to LGE presence, </w:t>
      </w:r>
      <w:r w:rsidR="005B2953" w:rsidRPr="00E5792C">
        <w:rPr>
          <w:noProof/>
          <w:lang w:val="en-US"/>
        </w:rPr>
        <w:t xml:space="preserve">extent </w:t>
      </w:r>
      <w:r w:rsidR="005B3008" w:rsidRPr="00E5792C">
        <w:rPr>
          <w:noProof/>
          <w:lang w:val="en-US"/>
        </w:rPr>
        <w:t xml:space="preserve">or location; survival models </w:t>
      </w:r>
      <w:r w:rsidR="00722230" w:rsidRPr="00E5792C">
        <w:rPr>
          <w:noProof/>
          <w:lang w:val="en-US"/>
        </w:rPr>
        <w:t xml:space="preserve">adjusted </w:t>
      </w:r>
      <w:r w:rsidR="005B3008" w:rsidRPr="00E5792C">
        <w:rPr>
          <w:noProof/>
          <w:lang w:val="en-US"/>
        </w:rPr>
        <w:t xml:space="preserve">for </w:t>
      </w:r>
      <w:r w:rsidR="005B3008" w:rsidRPr="00E5792C">
        <w:rPr>
          <w:noProof/>
          <w:lang w:val="en-US"/>
        </w:rPr>
        <w:lastRenderedPageBreak/>
        <w:t>confounders; otherwise</w:t>
      </w:r>
      <w:r w:rsidR="00497F81" w:rsidRPr="00E5792C">
        <w:rPr>
          <w:noProof/>
          <w:lang w:val="en-US"/>
        </w:rPr>
        <w:t xml:space="preserve">, </w:t>
      </w:r>
      <w:r w:rsidR="005B3008" w:rsidRPr="00E5792C">
        <w:rPr>
          <w:noProof/>
          <w:lang w:val="en-US"/>
        </w:rPr>
        <w:t xml:space="preserve">unadjusted (crude) estimates of the combined endpoint incidence were used. </w:t>
      </w:r>
      <w:r w:rsidR="00BF29C5" w:rsidRPr="00E5792C">
        <w:rPr>
          <w:lang w:val="en-US"/>
        </w:rPr>
        <w:t>N</w:t>
      </w:r>
      <w:r w:rsidR="008D2EA6" w:rsidRPr="00E5792C">
        <w:rPr>
          <w:lang w:val="en-US"/>
        </w:rPr>
        <w:t>o restriction</w:t>
      </w:r>
      <w:r w:rsidR="007965EF" w:rsidRPr="00E5792C">
        <w:rPr>
          <w:lang w:val="en-US"/>
        </w:rPr>
        <w:t xml:space="preserve">s </w:t>
      </w:r>
      <w:r w:rsidR="008D2EA6" w:rsidRPr="00E5792C">
        <w:rPr>
          <w:noProof/>
          <w:lang w:val="en-US"/>
        </w:rPr>
        <w:t>were imposed</w:t>
      </w:r>
      <w:r w:rsidR="008D2EA6" w:rsidRPr="00E5792C">
        <w:rPr>
          <w:lang w:val="en-US"/>
        </w:rPr>
        <w:t xml:space="preserve"> </w:t>
      </w:r>
      <w:r w:rsidR="008D2EA6" w:rsidRPr="00E5792C">
        <w:rPr>
          <w:noProof/>
          <w:lang w:val="en-US"/>
        </w:rPr>
        <w:t>with regard to</w:t>
      </w:r>
      <w:r w:rsidR="008D2EA6" w:rsidRPr="00E5792C">
        <w:rPr>
          <w:lang w:val="en-US"/>
        </w:rPr>
        <w:t xml:space="preserve"> </w:t>
      </w:r>
      <w:r w:rsidR="005B3008" w:rsidRPr="00E5792C">
        <w:rPr>
          <w:lang w:val="en-US"/>
        </w:rPr>
        <w:t>the type AM</w:t>
      </w:r>
      <w:r w:rsidR="00771BA6" w:rsidRPr="00E5792C">
        <w:rPr>
          <w:lang w:val="en-US"/>
        </w:rPr>
        <w:t xml:space="preserve"> diagnosis</w:t>
      </w:r>
      <w:r w:rsidR="005B3008" w:rsidRPr="00E5792C">
        <w:rPr>
          <w:lang w:val="en-US"/>
        </w:rPr>
        <w:t xml:space="preserve"> (clinical plus EMB-based versus clinical plus CMR-based diagnosis</w:t>
      </w:r>
      <w:r w:rsidR="0073451D" w:rsidRPr="00E5792C">
        <w:rPr>
          <w:lang w:val="en-US"/>
        </w:rPr>
        <w:t xml:space="preserve">); </w:t>
      </w:r>
      <w:r w:rsidR="005B3008" w:rsidRPr="00E5792C">
        <w:rPr>
          <w:lang w:val="en-US"/>
        </w:rPr>
        <w:t>patient treatment (</w:t>
      </w:r>
      <w:r w:rsidR="00771BA6" w:rsidRPr="00E5792C">
        <w:rPr>
          <w:lang w:val="en-US"/>
        </w:rPr>
        <w:t>beta</w:t>
      </w:r>
      <w:r w:rsidR="00114D20" w:rsidRPr="00E5792C">
        <w:rPr>
          <w:lang w:val="en-US"/>
        </w:rPr>
        <w:t>-</w:t>
      </w:r>
      <w:r w:rsidR="00771BA6" w:rsidRPr="00E5792C">
        <w:rPr>
          <w:lang w:val="en-US"/>
        </w:rPr>
        <w:t>blockers and/or ACE</w:t>
      </w:r>
      <w:r w:rsidR="00DD0705" w:rsidRPr="00E5792C">
        <w:rPr>
          <w:lang w:val="en-US"/>
        </w:rPr>
        <w:t>i</w:t>
      </w:r>
      <w:r w:rsidR="00771BA6" w:rsidRPr="00E5792C">
        <w:rPr>
          <w:lang w:val="en-US"/>
        </w:rPr>
        <w:t xml:space="preserve">/ARB </w:t>
      </w:r>
      <w:r w:rsidR="005B3008" w:rsidRPr="00E5792C">
        <w:rPr>
          <w:lang w:val="en-US"/>
        </w:rPr>
        <w:t>versus</w:t>
      </w:r>
      <w:r w:rsidR="00771BA6" w:rsidRPr="00E5792C">
        <w:rPr>
          <w:lang w:val="en-US"/>
        </w:rPr>
        <w:t xml:space="preserve"> medical monitoring</w:t>
      </w:r>
      <w:r w:rsidR="005B3008" w:rsidRPr="00E5792C">
        <w:rPr>
          <w:lang w:val="en-US"/>
        </w:rPr>
        <w:t>)</w:t>
      </w:r>
      <w:r w:rsidR="0073451D" w:rsidRPr="00E5792C">
        <w:rPr>
          <w:lang w:val="en-US"/>
        </w:rPr>
        <w:t>;</w:t>
      </w:r>
      <w:r w:rsidR="005B3008" w:rsidRPr="00E5792C">
        <w:rPr>
          <w:lang w:val="en-US"/>
        </w:rPr>
        <w:t xml:space="preserve"> or study</w:t>
      </w:r>
      <w:r w:rsidR="008D2EA6" w:rsidRPr="00E5792C">
        <w:rPr>
          <w:lang w:val="en-US"/>
        </w:rPr>
        <w:t xml:space="preserve"> </w:t>
      </w:r>
      <w:r w:rsidR="00DF765F" w:rsidRPr="00E5792C">
        <w:rPr>
          <w:lang w:val="en-US"/>
        </w:rPr>
        <w:t>sample size</w:t>
      </w:r>
      <w:r w:rsidR="008D2EA6" w:rsidRPr="00E5792C">
        <w:rPr>
          <w:lang w:val="en-US"/>
        </w:rPr>
        <w:t>.</w:t>
      </w:r>
      <w:r w:rsidR="00722230" w:rsidRPr="00E5792C">
        <w:rPr>
          <w:lang w:val="en-US"/>
        </w:rPr>
        <w:t xml:space="preserve"> </w:t>
      </w:r>
      <w:r w:rsidR="005955C4" w:rsidRPr="00E5792C">
        <w:rPr>
          <w:lang w:val="en-US"/>
        </w:rPr>
        <w:t xml:space="preserve">Studies </w:t>
      </w:r>
      <w:r w:rsidR="00597D1F" w:rsidRPr="00E5792C">
        <w:rPr>
          <w:lang w:val="en-US"/>
        </w:rPr>
        <w:t xml:space="preserve">with </w:t>
      </w:r>
      <w:r w:rsidR="007965EF" w:rsidRPr="00E5792C">
        <w:rPr>
          <w:lang w:val="en-US"/>
        </w:rPr>
        <w:t>mean follow-up &lt;</w:t>
      </w:r>
      <w:r w:rsidR="003B2339" w:rsidRPr="00E5792C">
        <w:rPr>
          <w:lang w:val="en-US"/>
        </w:rPr>
        <w:t>9</w:t>
      </w:r>
      <w:r w:rsidR="00771BA6" w:rsidRPr="00E5792C">
        <w:rPr>
          <w:lang w:val="en-US"/>
        </w:rPr>
        <w:t>-months</w:t>
      </w:r>
      <w:r w:rsidR="0073451D" w:rsidRPr="00E5792C">
        <w:rPr>
          <w:lang w:val="en-US"/>
        </w:rPr>
        <w:t>,</w:t>
      </w:r>
      <w:r w:rsidR="00597D1F" w:rsidRPr="00E5792C">
        <w:rPr>
          <w:lang w:val="en-US"/>
        </w:rPr>
        <w:t xml:space="preserve"> </w:t>
      </w:r>
      <w:r w:rsidR="006410E0" w:rsidRPr="00E5792C">
        <w:rPr>
          <w:lang w:val="en-US"/>
        </w:rPr>
        <w:t>in</w:t>
      </w:r>
      <w:r w:rsidR="005955C4" w:rsidRPr="00E5792C">
        <w:rPr>
          <w:lang w:val="en-US"/>
        </w:rPr>
        <w:t xml:space="preserve"> pediatric </w:t>
      </w:r>
      <w:r w:rsidR="005B3008" w:rsidRPr="00E5792C">
        <w:rPr>
          <w:lang w:val="en-US"/>
        </w:rPr>
        <w:t>subjects</w:t>
      </w:r>
      <w:r w:rsidR="005955C4" w:rsidRPr="00E5792C">
        <w:rPr>
          <w:lang w:val="en-US"/>
        </w:rPr>
        <w:t xml:space="preserve"> (&lt;18 years)</w:t>
      </w:r>
      <w:r w:rsidR="0073451D" w:rsidRPr="00E5792C">
        <w:rPr>
          <w:lang w:val="en-US"/>
        </w:rPr>
        <w:t>,</w:t>
      </w:r>
      <w:r w:rsidR="0022147C" w:rsidRPr="00E5792C">
        <w:rPr>
          <w:lang w:val="en-US"/>
        </w:rPr>
        <w:t xml:space="preserve"> or </w:t>
      </w:r>
      <w:r w:rsidR="005B3008" w:rsidRPr="00E5792C">
        <w:rPr>
          <w:lang w:val="en-US"/>
        </w:rPr>
        <w:t>in</w:t>
      </w:r>
      <w:r w:rsidR="0022147C" w:rsidRPr="00E5792C">
        <w:rPr>
          <w:lang w:val="en-US"/>
        </w:rPr>
        <w:t xml:space="preserve"> patients affected by significant comorbidities or other cardiac diseases</w:t>
      </w:r>
      <w:r w:rsidR="005955C4" w:rsidRPr="00E5792C">
        <w:rPr>
          <w:lang w:val="en-US"/>
        </w:rPr>
        <w:t xml:space="preserve">, </w:t>
      </w:r>
      <w:r w:rsidR="005955C4" w:rsidRPr="00E5792C">
        <w:rPr>
          <w:noProof/>
          <w:lang w:val="en-US"/>
        </w:rPr>
        <w:t>were excluded</w:t>
      </w:r>
      <w:r w:rsidR="005955C4" w:rsidRPr="00E5792C">
        <w:rPr>
          <w:lang w:val="en-US"/>
        </w:rPr>
        <w:t>.</w:t>
      </w:r>
      <w:r w:rsidR="00227CB5" w:rsidRPr="00E5792C">
        <w:rPr>
          <w:lang w:val="en-US"/>
        </w:rPr>
        <w:t xml:space="preserve"> </w:t>
      </w:r>
      <w:r w:rsidR="00722230" w:rsidRPr="00E5792C">
        <w:rPr>
          <w:lang w:val="en-US"/>
        </w:rPr>
        <w:t xml:space="preserve">Comprehensive details of the </w:t>
      </w:r>
      <w:r w:rsidR="007965EF" w:rsidRPr="00E5792C">
        <w:rPr>
          <w:lang w:val="en-US"/>
        </w:rPr>
        <w:t xml:space="preserve">included </w:t>
      </w:r>
      <w:r w:rsidR="00722230" w:rsidRPr="00E5792C">
        <w:rPr>
          <w:lang w:val="en-US"/>
        </w:rPr>
        <w:t xml:space="preserve">studies </w:t>
      </w:r>
      <w:r w:rsidR="007965EF" w:rsidRPr="00E5792C">
        <w:rPr>
          <w:lang w:val="en-US"/>
        </w:rPr>
        <w:t>are provided in the</w:t>
      </w:r>
      <w:r w:rsidR="00116309" w:rsidRPr="00E5792C">
        <w:rPr>
          <w:noProof/>
          <w:lang w:val="en-US"/>
        </w:rPr>
        <w:t xml:space="preserve"> </w:t>
      </w:r>
      <w:r w:rsidR="00116309" w:rsidRPr="00E5792C">
        <w:rPr>
          <w:b/>
          <w:bCs/>
          <w:noProof/>
          <w:lang w:val="en-US"/>
        </w:rPr>
        <w:t xml:space="preserve">Supplementary </w:t>
      </w:r>
      <w:r w:rsidR="00722230" w:rsidRPr="00E5792C">
        <w:rPr>
          <w:b/>
          <w:bCs/>
          <w:noProof/>
          <w:lang w:val="en-US"/>
        </w:rPr>
        <w:t>File</w:t>
      </w:r>
      <w:r w:rsidR="00722230" w:rsidRPr="00E5792C">
        <w:rPr>
          <w:noProof/>
          <w:lang w:val="en-US"/>
        </w:rPr>
        <w:t>.</w:t>
      </w:r>
    </w:p>
    <w:p w14:paraId="1CF96ACD" w14:textId="12A7E1E8" w:rsidR="00FA137A" w:rsidRPr="00E5792C" w:rsidRDefault="00FA137A" w:rsidP="00E5792C">
      <w:pPr>
        <w:spacing w:line="480" w:lineRule="auto"/>
        <w:jc w:val="both"/>
        <w:rPr>
          <w:i/>
          <w:lang w:val="en-US"/>
        </w:rPr>
      </w:pPr>
      <w:r w:rsidRPr="00E5792C">
        <w:rPr>
          <w:i/>
          <w:lang w:val="en-US"/>
        </w:rPr>
        <w:t>Identification of el</w:t>
      </w:r>
      <w:r w:rsidR="00632E3A" w:rsidRPr="00E5792C">
        <w:rPr>
          <w:i/>
          <w:lang w:val="en-US"/>
        </w:rPr>
        <w:t>i</w:t>
      </w:r>
      <w:r w:rsidRPr="00E5792C">
        <w:rPr>
          <w:i/>
          <w:lang w:val="en-US"/>
        </w:rPr>
        <w:t>gible studies</w:t>
      </w:r>
    </w:p>
    <w:p w14:paraId="64E99535" w14:textId="0E06EEC4" w:rsidR="00FA137A" w:rsidRPr="00E5792C" w:rsidRDefault="00FA137A" w:rsidP="00E5792C">
      <w:pPr>
        <w:spacing w:line="480" w:lineRule="auto"/>
        <w:jc w:val="both"/>
        <w:rPr>
          <w:lang w:val="en-US"/>
        </w:rPr>
      </w:pPr>
      <w:r w:rsidRPr="00E5792C">
        <w:rPr>
          <w:lang w:val="en-US"/>
        </w:rPr>
        <w:t>The literature search, selection of studies</w:t>
      </w:r>
      <w:r w:rsidR="00722230" w:rsidRPr="00E5792C">
        <w:rPr>
          <w:lang w:val="en-US"/>
        </w:rPr>
        <w:t>,</w:t>
      </w:r>
      <w:r w:rsidRPr="00E5792C">
        <w:rPr>
          <w:lang w:val="en-US"/>
        </w:rPr>
        <w:t xml:space="preserve"> and extraction of data were performed by </w:t>
      </w:r>
      <w:r w:rsidRPr="00E5792C">
        <w:rPr>
          <w:noProof/>
          <w:lang w:val="en-US"/>
        </w:rPr>
        <w:t>two</w:t>
      </w:r>
      <w:r w:rsidRPr="00E5792C">
        <w:rPr>
          <w:lang w:val="en-US"/>
        </w:rPr>
        <w:t xml:space="preserve"> independent authors (</w:t>
      </w:r>
      <w:r w:rsidR="00913643" w:rsidRPr="00E5792C">
        <w:rPr>
          <w:lang w:val="en-US"/>
        </w:rPr>
        <w:t>GG</w:t>
      </w:r>
      <w:r w:rsidRPr="00E5792C">
        <w:rPr>
          <w:lang w:val="en-US"/>
        </w:rPr>
        <w:t xml:space="preserve"> and </w:t>
      </w:r>
      <w:r w:rsidR="00913643" w:rsidRPr="00E5792C">
        <w:rPr>
          <w:lang w:val="en-US"/>
        </w:rPr>
        <w:t>SF</w:t>
      </w:r>
      <w:r w:rsidRPr="00E5792C">
        <w:rPr>
          <w:lang w:val="en-US"/>
        </w:rPr>
        <w:t>) who followed pre-specified form</w:t>
      </w:r>
      <w:r w:rsidR="0091660A" w:rsidRPr="00E5792C">
        <w:rPr>
          <w:lang w:val="en-US"/>
        </w:rPr>
        <w:t>s</w:t>
      </w:r>
      <w:r w:rsidRPr="00E5792C">
        <w:rPr>
          <w:lang w:val="en-US"/>
        </w:rPr>
        <w:t xml:space="preserve"> (</w:t>
      </w:r>
      <w:r w:rsidR="00624C36" w:rsidRPr="00E5792C">
        <w:rPr>
          <w:lang w:val="en-US"/>
        </w:rPr>
        <w:t xml:space="preserve">see the </w:t>
      </w:r>
      <w:r w:rsidR="00624C36" w:rsidRPr="00E5792C">
        <w:rPr>
          <w:b/>
          <w:bCs/>
          <w:noProof/>
          <w:lang w:val="en-US"/>
        </w:rPr>
        <w:t>Supple</w:t>
      </w:r>
      <w:r w:rsidR="003375FC" w:rsidRPr="00E5792C">
        <w:rPr>
          <w:b/>
          <w:bCs/>
          <w:noProof/>
          <w:lang w:val="en-US"/>
        </w:rPr>
        <w:t>m</w:t>
      </w:r>
      <w:r w:rsidR="00624C36" w:rsidRPr="00E5792C">
        <w:rPr>
          <w:b/>
          <w:bCs/>
          <w:noProof/>
          <w:lang w:val="en-US"/>
        </w:rPr>
        <w:t>entary File</w:t>
      </w:r>
      <w:r w:rsidRPr="00E5792C">
        <w:rPr>
          <w:lang w:val="en-US"/>
        </w:rPr>
        <w:t>). Where</w:t>
      </w:r>
      <w:r w:rsidR="00582C53" w:rsidRPr="00E5792C">
        <w:rPr>
          <w:lang w:val="en-US"/>
        </w:rPr>
        <w:t xml:space="preserve"> the</w:t>
      </w:r>
      <w:r w:rsidRPr="00E5792C">
        <w:rPr>
          <w:lang w:val="en-US"/>
        </w:rPr>
        <w:t xml:space="preserve"> </w:t>
      </w:r>
      <w:r w:rsidRPr="00E5792C">
        <w:rPr>
          <w:noProof/>
          <w:lang w:val="en-US"/>
        </w:rPr>
        <w:t>required</w:t>
      </w:r>
      <w:r w:rsidRPr="00E5792C">
        <w:rPr>
          <w:lang w:val="en-US"/>
        </w:rPr>
        <w:t xml:space="preserve"> data were not available, we </w:t>
      </w:r>
      <w:r w:rsidR="005B2953" w:rsidRPr="00E5792C">
        <w:rPr>
          <w:lang w:val="en-US"/>
        </w:rPr>
        <w:t xml:space="preserve">contacted </w:t>
      </w:r>
      <w:r w:rsidRPr="00E5792C">
        <w:rPr>
          <w:lang w:val="en-US"/>
        </w:rPr>
        <w:t>the study authors</w:t>
      </w:r>
      <w:r w:rsidR="0088543B" w:rsidRPr="00E5792C">
        <w:rPr>
          <w:lang w:val="en-US"/>
        </w:rPr>
        <w:t>.</w:t>
      </w:r>
      <w:r w:rsidR="005B6D86" w:rsidRPr="00E5792C">
        <w:rPr>
          <w:vertAlign w:val="superscript"/>
          <w:lang w:val="en-US"/>
        </w:rPr>
        <w:t>1</w:t>
      </w:r>
      <w:r w:rsidR="00D954C2" w:rsidRPr="00E5792C">
        <w:rPr>
          <w:vertAlign w:val="superscript"/>
          <w:lang w:val="en-US"/>
        </w:rPr>
        <w:t>2</w:t>
      </w:r>
      <w:r w:rsidR="005B6D86" w:rsidRPr="00E5792C">
        <w:rPr>
          <w:vertAlign w:val="superscript"/>
          <w:lang w:val="en-US"/>
        </w:rPr>
        <w:t>,</w:t>
      </w:r>
      <w:r w:rsidR="00D55499" w:rsidRPr="00E5792C">
        <w:rPr>
          <w:vertAlign w:val="superscript"/>
          <w:lang w:val="en-US"/>
        </w:rPr>
        <w:t>13,</w:t>
      </w:r>
      <w:r w:rsidR="005B6D86" w:rsidRPr="00E5792C">
        <w:rPr>
          <w:vertAlign w:val="superscript"/>
          <w:lang w:val="en-US"/>
        </w:rPr>
        <w:t>1</w:t>
      </w:r>
      <w:r w:rsidR="00D954C2" w:rsidRPr="00E5792C">
        <w:rPr>
          <w:vertAlign w:val="superscript"/>
          <w:lang w:val="en-US"/>
        </w:rPr>
        <w:t>5</w:t>
      </w:r>
      <w:r w:rsidR="005B6D86" w:rsidRPr="00E5792C">
        <w:rPr>
          <w:vertAlign w:val="superscript"/>
          <w:lang w:val="en-US"/>
        </w:rPr>
        <w:t>,1</w:t>
      </w:r>
      <w:r w:rsidR="00D954C2" w:rsidRPr="00E5792C">
        <w:rPr>
          <w:vertAlign w:val="superscript"/>
          <w:lang w:val="en-US"/>
        </w:rPr>
        <w:t>6,</w:t>
      </w:r>
      <w:r w:rsidRPr="00E5792C">
        <w:rPr>
          <w:lang w:val="en-US"/>
        </w:rPr>
        <w:t xml:space="preserve"> Disagreements </w:t>
      </w:r>
      <w:r w:rsidRPr="00E5792C">
        <w:rPr>
          <w:noProof/>
          <w:lang w:val="en-US"/>
        </w:rPr>
        <w:t>were reviewed</w:t>
      </w:r>
      <w:r w:rsidRPr="00E5792C">
        <w:rPr>
          <w:lang w:val="en-US"/>
        </w:rPr>
        <w:t xml:space="preserve"> by a third investigator (</w:t>
      </w:r>
      <w:r w:rsidR="00A667F2" w:rsidRPr="00E5792C">
        <w:rPr>
          <w:lang w:val="en-US"/>
        </w:rPr>
        <w:t>PGM</w:t>
      </w:r>
      <w:r w:rsidRPr="00E5792C">
        <w:rPr>
          <w:lang w:val="en-US"/>
        </w:rPr>
        <w:t>) and finally resolved by consensus.</w:t>
      </w:r>
    </w:p>
    <w:p w14:paraId="700DF3E2" w14:textId="70D9498B" w:rsidR="00E46001" w:rsidRPr="00E5792C" w:rsidRDefault="00E46001" w:rsidP="00E5792C">
      <w:pPr>
        <w:spacing w:line="480" w:lineRule="auto"/>
        <w:jc w:val="both"/>
        <w:rPr>
          <w:b/>
          <w:lang w:val="en-US"/>
        </w:rPr>
      </w:pPr>
      <w:r w:rsidRPr="00E5792C">
        <w:rPr>
          <w:b/>
          <w:noProof/>
          <w:lang w:val="en-US"/>
        </w:rPr>
        <w:t>M</w:t>
      </w:r>
      <w:r w:rsidR="005B3008" w:rsidRPr="00E5792C">
        <w:rPr>
          <w:b/>
          <w:noProof/>
          <w:lang w:val="en-US"/>
        </w:rPr>
        <w:t>e</w:t>
      </w:r>
      <w:r w:rsidRPr="00E5792C">
        <w:rPr>
          <w:b/>
          <w:noProof/>
          <w:lang w:val="en-US"/>
        </w:rPr>
        <w:t>ta-analysis</w:t>
      </w:r>
    </w:p>
    <w:p w14:paraId="625218F0" w14:textId="6A2A6EB2" w:rsidR="00597D1F" w:rsidRPr="00E5792C" w:rsidRDefault="00597D1F" w:rsidP="00E5792C">
      <w:pPr>
        <w:spacing w:line="480" w:lineRule="auto"/>
        <w:jc w:val="both"/>
        <w:rPr>
          <w:b/>
          <w:bCs/>
          <w:lang w:val="en-US"/>
        </w:rPr>
      </w:pPr>
      <w:r w:rsidRPr="00E5792C">
        <w:rPr>
          <w:lang w:val="en-US"/>
        </w:rPr>
        <w:t xml:space="preserve">The meta-analysis </w:t>
      </w:r>
      <w:r w:rsidRPr="00E5792C">
        <w:rPr>
          <w:noProof/>
          <w:lang w:val="en-US"/>
        </w:rPr>
        <w:t>was conducted</w:t>
      </w:r>
      <w:r w:rsidRPr="00E5792C">
        <w:rPr>
          <w:lang w:val="en-US"/>
        </w:rPr>
        <w:t xml:space="preserve"> </w:t>
      </w:r>
      <w:r w:rsidRPr="00E5792C">
        <w:rPr>
          <w:color w:val="000000" w:themeColor="text1"/>
          <w:lang w:val="en-US"/>
        </w:rPr>
        <w:t xml:space="preserve">according to the </w:t>
      </w:r>
      <w:r w:rsidR="00AC7E1A" w:rsidRPr="00E5792C">
        <w:rPr>
          <w:color w:val="000000" w:themeColor="text1"/>
          <w:lang w:val="en-US"/>
        </w:rPr>
        <w:t>framework</w:t>
      </w:r>
      <w:r w:rsidRPr="00E5792C">
        <w:rPr>
          <w:color w:val="000000" w:themeColor="text1"/>
          <w:lang w:val="en-US"/>
        </w:rPr>
        <w:t xml:space="preserve"> of the Meta-analysis of Observational Studies in Epidemiology</w:t>
      </w:r>
      <w:r w:rsidR="0088543B" w:rsidRPr="00E5792C">
        <w:rPr>
          <w:color w:val="000000" w:themeColor="text1"/>
          <w:vertAlign w:val="superscript"/>
          <w:lang w:val="en-US"/>
        </w:rPr>
        <w:t>2</w:t>
      </w:r>
      <w:r w:rsidR="00D55499" w:rsidRPr="00E5792C">
        <w:rPr>
          <w:color w:val="000000" w:themeColor="text1"/>
          <w:vertAlign w:val="superscript"/>
          <w:lang w:val="en-US"/>
        </w:rPr>
        <w:t>5</w:t>
      </w:r>
      <w:r w:rsidR="000A0F8A" w:rsidRPr="00E5792C">
        <w:rPr>
          <w:color w:val="000000" w:themeColor="text1"/>
          <w:lang w:val="en-US"/>
        </w:rPr>
        <w:t xml:space="preserve"> and registered</w:t>
      </w:r>
      <w:r w:rsidR="000A0F8A" w:rsidRPr="00E5792C">
        <w:rPr>
          <w:lang w:val="en-US"/>
        </w:rPr>
        <w:t xml:space="preserve"> in the PROSPERO database (</w:t>
      </w:r>
      <w:r w:rsidR="000A0F8A" w:rsidRPr="00E5792C">
        <w:rPr>
          <w:color w:val="201F1E"/>
          <w:shd w:val="clear" w:color="auto" w:fill="FFFFFF"/>
          <w:lang w:val="en-US"/>
        </w:rPr>
        <w:t>CRD42019146619)</w:t>
      </w:r>
      <w:r w:rsidR="00C35250" w:rsidRPr="00E5792C">
        <w:rPr>
          <w:lang w:val="en-US"/>
        </w:rPr>
        <w:t>.</w:t>
      </w:r>
      <w:r w:rsidR="00F14F45" w:rsidRPr="00E5792C">
        <w:rPr>
          <w:lang w:val="en-US"/>
        </w:rPr>
        <w:t xml:space="preserve"> </w:t>
      </w:r>
      <w:bookmarkStart w:id="6" w:name="_Hlk51499456"/>
      <w:r w:rsidR="00F14F45" w:rsidRPr="00E5792C">
        <w:rPr>
          <w:lang w:val="en-US"/>
        </w:rPr>
        <w:t xml:space="preserve">Missing data </w:t>
      </w:r>
      <w:r w:rsidR="007555F8" w:rsidRPr="00E5792C">
        <w:rPr>
          <w:lang w:val="en-US"/>
        </w:rPr>
        <w:t xml:space="preserve">were </w:t>
      </w:r>
      <w:r w:rsidR="00F14F45" w:rsidRPr="00E5792C">
        <w:rPr>
          <w:lang w:val="en-US"/>
        </w:rPr>
        <w:t xml:space="preserve">obtained from original study investigators whenever possible (see </w:t>
      </w:r>
      <w:r w:rsidR="00F14F45" w:rsidRPr="00E5792C">
        <w:rPr>
          <w:b/>
          <w:bCs/>
          <w:lang w:val="en-US"/>
        </w:rPr>
        <w:t>Supplementa</w:t>
      </w:r>
      <w:r w:rsidR="00B51549" w:rsidRPr="00E5792C">
        <w:rPr>
          <w:b/>
          <w:bCs/>
          <w:lang w:val="en-US"/>
        </w:rPr>
        <w:t>ry</w:t>
      </w:r>
      <w:r w:rsidR="00F14F45" w:rsidRPr="00E5792C">
        <w:rPr>
          <w:b/>
          <w:bCs/>
          <w:lang w:val="en-US"/>
        </w:rPr>
        <w:t xml:space="preserve"> File</w:t>
      </w:r>
      <w:r w:rsidR="00F14F45" w:rsidRPr="00E5792C">
        <w:rPr>
          <w:lang w:val="en-US"/>
        </w:rPr>
        <w:t>).</w:t>
      </w:r>
      <w:bookmarkEnd w:id="6"/>
      <w:r w:rsidR="007571FD" w:rsidRPr="00E5792C">
        <w:rPr>
          <w:lang w:val="en-US"/>
        </w:rPr>
        <w:t xml:space="preserve"> </w:t>
      </w:r>
      <w:bookmarkStart w:id="7" w:name="_Hlk52705947"/>
      <w:r w:rsidR="007571FD" w:rsidRPr="00E5792C">
        <w:rPr>
          <w:lang w:val="en-US"/>
        </w:rPr>
        <w:t>No imputation methods were used.</w:t>
      </w:r>
      <w:bookmarkEnd w:id="7"/>
    </w:p>
    <w:p w14:paraId="12940874" w14:textId="14813E2F" w:rsidR="007E4AFE" w:rsidRPr="00E5792C" w:rsidRDefault="00612B40" w:rsidP="00E5792C">
      <w:pPr>
        <w:spacing w:line="480" w:lineRule="auto"/>
        <w:jc w:val="both"/>
        <w:rPr>
          <w:i/>
          <w:lang w:val="en-US"/>
        </w:rPr>
      </w:pPr>
      <w:r w:rsidRPr="00E5792C">
        <w:rPr>
          <w:i/>
          <w:lang w:val="en-US"/>
        </w:rPr>
        <w:t>Quality Assessment</w:t>
      </w:r>
      <w:r w:rsidR="00EB77F0" w:rsidRPr="00E5792C">
        <w:rPr>
          <w:i/>
          <w:lang w:val="en-US"/>
        </w:rPr>
        <w:t xml:space="preserve"> and Grading of Evidence</w:t>
      </w:r>
    </w:p>
    <w:p w14:paraId="54150CE7" w14:textId="4CBE2BAF" w:rsidR="009B222B" w:rsidRPr="00E5792C" w:rsidRDefault="0081264E" w:rsidP="00E5792C">
      <w:pPr>
        <w:autoSpaceDE w:val="0"/>
        <w:autoSpaceDN w:val="0"/>
        <w:adjustRightInd w:val="0"/>
        <w:spacing w:line="480" w:lineRule="auto"/>
        <w:jc w:val="both"/>
        <w:rPr>
          <w:rFonts w:eastAsia="MS Mincho"/>
          <w:lang w:val="en-US"/>
        </w:rPr>
      </w:pPr>
      <w:r w:rsidRPr="00E5792C">
        <w:rPr>
          <w:lang w:val="en-US"/>
        </w:rPr>
        <w:t xml:space="preserve">Two reviewers </w:t>
      </w:r>
      <w:r w:rsidR="002478D9" w:rsidRPr="00E5792C">
        <w:rPr>
          <w:lang w:val="en-US"/>
        </w:rPr>
        <w:t>(</w:t>
      </w:r>
      <w:r w:rsidR="006379FA" w:rsidRPr="00E5792C">
        <w:rPr>
          <w:lang w:val="en-US"/>
        </w:rPr>
        <w:t>GG</w:t>
      </w:r>
      <w:r w:rsidR="00F96B9A" w:rsidRPr="00E5792C">
        <w:rPr>
          <w:lang w:val="en-US"/>
        </w:rPr>
        <w:t xml:space="preserve"> and </w:t>
      </w:r>
      <w:r w:rsidR="006379FA" w:rsidRPr="00E5792C">
        <w:rPr>
          <w:lang w:val="en-US"/>
        </w:rPr>
        <w:t>SF</w:t>
      </w:r>
      <w:r w:rsidR="002478D9" w:rsidRPr="00E5792C">
        <w:rPr>
          <w:lang w:val="en-US"/>
        </w:rPr>
        <w:t xml:space="preserve">) </w:t>
      </w:r>
      <w:r w:rsidRPr="00E5792C">
        <w:rPr>
          <w:lang w:val="en-US"/>
        </w:rPr>
        <w:t xml:space="preserve">independently assessed </w:t>
      </w:r>
      <w:r w:rsidR="00B72AB4" w:rsidRPr="00E5792C">
        <w:rPr>
          <w:lang w:val="en-US"/>
        </w:rPr>
        <w:t xml:space="preserve">the quality of the included studies </w:t>
      </w:r>
      <w:r w:rsidR="002561DD" w:rsidRPr="00E5792C">
        <w:rPr>
          <w:lang w:val="en-US"/>
        </w:rPr>
        <w:t>using the validated Newcastle-Ottawa Quality Assessment</w:t>
      </w:r>
      <w:r w:rsidR="00EA1216" w:rsidRPr="00E5792C">
        <w:rPr>
          <w:lang w:val="en-US"/>
        </w:rPr>
        <w:t xml:space="preserve"> </w:t>
      </w:r>
      <w:r w:rsidR="002561DD" w:rsidRPr="00E5792C">
        <w:rPr>
          <w:lang w:val="en-US"/>
        </w:rPr>
        <w:t xml:space="preserve">Scale </w:t>
      </w:r>
      <w:r w:rsidR="006C074C" w:rsidRPr="00E5792C">
        <w:rPr>
          <w:lang w:val="en-US"/>
        </w:rPr>
        <w:t xml:space="preserve">(NOS) </w:t>
      </w:r>
      <w:r w:rsidR="002561DD" w:rsidRPr="00E5792C">
        <w:rPr>
          <w:lang w:val="en-US"/>
        </w:rPr>
        <w:t>for case-control, cross-sectional</w:t>
      </w:r>
      <w:r w:rsidR="00F47D64" w:rsidRPr="00E5792C">
        <w:rPr>
          <w:lang w:val="en-US"/>
        </w:rPr>
        <w:t>,</w:t>
      </w:r>
      <w:r w:rsidR="002561DD" w:rsidRPr="00E5792C">
        <w:rPr>
          <w:lang w:val="en-US"/>
        </w:rPr>
        <w:t xml:space="preserve"> and </w:t>
      </w:r>
      <w:r w:rsidR="00736782" w:rsidRPr="00E5792C">
        <w:rPr>
          <w:lang w:val="en-US"/>
        </w:rPr>
        <w:t>cohort studie</w:t>
      </w:r>
      <w:r w:rsidR="006379FA" w:rsidRPr="00E5792C">
        <w:rPr>
          <w:lang w:val="en-US"/>
        </w:rPr>
        <w:t>s</w:t>
      </w:r>
      <w:r w:rsidR="0021671F" w:rsidRPr="00E5792C">
        <w:rPr>
          <w:lang w:val="en-US"/>
        </w:rPr>
        <w:t>.</w:t>
      </w:r>
      <w:r w:rsidR="00833487" w:rsidRPr="00E5792C">
        <w:rPr>
          <w:vertAlign w:val="superscript"/>
          <w:lang w:val="en-US"/>
        </w:rPr>
        <w:t>2</w:t>
      </w:r>
      <w:r w:rsidR="00D55499" w:rsidRPr="00E5792C">
        <w:rPr>
          <w:vertAlign w:val="superscript"/>
          <w:lang w:val="en-US"/>
        </w:rPr>
        <w:t>6</w:t>
      </w:r>
      <w:r w:rsidR="00833487" w:rsidRPr="00E5792C">
        <w:rPr>
          <w:lang w:val="en-US"/>
        </w:rPr>
        <w:t xml:space="preserve"> </w:t>
      </w:r>
      <w:r w:rsidR="009000F4" w:rsidRPr="00E5792C">
        <w:rPr>
          <w:lang w:val="en-US"/>
        </w:rPr>
        <w:t>Potential selection bias, comparability</w:t>
      </w:r>
      <w:r w:rsidR="00F47D64" w:rsidRPr="00E5792C">
        <w:rPr>
          <w:lang w:val="en-US"/>
        </w:rPr>
        <w:t>,</w:t>
      </w:r>
      <w:r w:rsidR="009000F4" w:rsidRPr="00E5792C">
        <w:rPr>
          <w:lang w:val="en-US"/>
        </w:rPr>
        <w:t xml:space="preserve"> and outcome assessment adequacy were evaluated. </w:t>
      </w:r>
      <w:r w:rsidR="00C85285" w:rsidRPr="00E5792C">
        <w:rPr>
          <w:rFonts w:eastAsia="MS Mincho"/>
          <w:lang w:val="en-US"/>
        </w:rPr>
        <w:t xml:space="preserve">Quality assessment through the Newcastle Ottawa Scale (NOS) indicated that </w:t>
      </w:r>
      <w:r w:rsidR="00964BE6" w:rsidRPr="00E5792C">
        <w:rPr>
          <w:rFonts w:eastAsia="MS Mincho"/>
          <w:lang w:val="en-US"/>
        </w:rPr>
        <w:t>7</w:t>
      </w:r>
      <w:r w:rsidR="00C85285" w:rsidRPr="00E5792C">
        <w:rPr>
          <w:rFonts w:eastAsia="MS Mincho"/>
          <w:lang w:val="en-US"/>
        </w:rPr>
        <w:t xml:space="preserve"> studies could </w:t>
      </w:r>
      <w:r w:rsidR="00C85285" w:rsidRPr="00E5792C">
        <w:rPr>
          <w:rFonts w:eastAsia="MS Mincho"/>
          <w:noProof/>
          <w:lang w:val="en-US"/>
        </w:rPr>
        <w:t>be classified</w:t>
      </w:r>
      <w:r w:rsidR="00C85285" w:rsidRPr="00E5792C">
        <w:rPr>
          <w:rFonts w:eastAsia="MS Mincho"/>
          <w:lang w:val="en-US"/>
        </w:rPr>
        <w:t xml:space="preserve"> as good quality studies</w:t>
      </w:r>
      <w:r w:rsidR="00F47D64" w:rsidRPr="00E5792C">
        <w:rPr>
          <w:rFonts w:eastAsia="MS Mincho"/>
          <w:noProof/>
          <w:lang w:val="en-US"/>
        </w:rPr>
        <w:t xml:space="preserve">; </w:t>
      </w:r>
      <w:r w:rsidR="00964BE6" w:rsidRPr="00E5792C">
        <w:rPr>
          <w:rFonts w:eastAsia="MS Mincho"/>
          <w:noProof/>
          <w:lang w:val="en-US"/>
        </w:rPr>
        <w:t>3 studies</w:t>
      </w:r>
      <w:r w:rsidR="00C85285" w:rsidRPr="00E5792C">
        <w:rPr>
          <w:rFonts w:eastAsia="MS Mincho"/>
          <w:lang w:val="en-US"/>
        </w:rPr>
        <w:t xml:space="preserve"> as fair quality studies</w:t>
      </w:r>
      <w:r w:rsidR="00F47D64" w:rsidRPr="00E5792C">
        <w:rPr>
          <w:rFonts w:eastAsia="MS Mincho"/>
          <w:lang w:val="en-US"/>
        </w:rPr>
        <w:t>;</w:t>
      </w:r>
      <w:r w:rsidR="00964BE6" w:rsidRPr="00E5792C">
        <w:rPr>
          <w:rFonts w:eastAsia="MS Mincho"/>
          <w:lang w:val="en-US"/>
        </w:rPr>
        <w:t xml:space="preserve"> and 1 study as </w:t>
      </w:r>
      <w:r w:rsidR="00F3123D" w:rsidRPr="00E5792C">
        <w:rPr>
          <w:rFonts w:eastAsia="MS Mincho"/>
          <w:lang w:val="en-US"/>
        </w:rPr>
        <w:t xml:space="preserve">a </w:t>
      </w:r>
      <w:r w:rsidR="00964BE6" w:rsidRPr="00E5792C">
        <w:rPr>
          <w:rFonts w:eastAsia="MS Mincho"/>
          <w:lang w:val="en-US"/>
        </w:rPr>
        <w:t>poor</w:t>
      </w:r>
      <w:r w:rsidR="00E94751" w:rsidRPr="00E5792C">
        <w:rPr>
          <w:rFonts w:eastAsia="MS Mincho"/>
          <w:lang w:val="en-US"/>
        </w:rPr>
        <w:t>-</w:t>
      </w:r>
      <w:r w:rsidR="00964BE6" w:rsidRPr="00E5792C">
        <w:rPr>
          <w:rFonts w:eastAsia="MS Mincho"/>
          <w:lang w:val="en-US"/>
        </w:rPr>
        <w:t>quality study</w:t>
      </w:r>
      <w:r w:rsidR="00C85285" w:rsidRPr="00E5792C">
        <w:rPr>
          <w:rFonts w:eastAsia="MS Mincho"/>
          <w:lang w:val="en-US"/>
        </w:rPr>
        <w:t xml:space="preserve">. The criteria for converting NOS results (expressed as stars, </w:t>
      </w:r>
      <w:r w:rsidR="00B51549" w:rsidRPr="00E5792C">
        <w:rPr>
          <w:rFonts w:eastAsia="MS Mincho"/>
          <w:b/>
          <w:bCs/>
          <w:lang w:val="en-US"/>
        </w:rPr>
        <w:t>S</w:t>
      </w:r>
      <w:r w:rsidR="00B04004" w:rsidRPr="00E5792C">
        <w:rPr>
          <w:rFonts w:eastAsia="MS Mincho"/>
          <w:b/>
          <w:bCs/>
          <w:lang w:val="en-US"/>
        </w:rPr>
        <w:t xml:space="preserve">upplementary </w:t>
      </w:r>
      <w:r w:rsidR="00C85285" w:rsidRPr="00E5792C">
        <w:rPr>
          <w:rFonts w:eastAsia="MS Mincho"/>
          <w:b/>
          <w:bCs/>
          <w:lang w:val="en-US"/>
        </w:rPr>
        <w:t xml:space="preserve">Table </w:t>
      </w:r>
      <w:r w:rsidR="00A1334A" w:rsidRPr="00E5792C">
        <w:rPr>
          <w:rFonts w:eastAsia="MS Mincho"/>
          <w:b/>
          <w:bCs/>
          <w:lang w:val="en-US"/>
        </w:rPr>
        <w:t>1</w:t>
      </w:r>
      <w:r w:rsidR="00C85285" w:rsidRPr="00E5792C">
        <w:rPr>
          <w:rFonts w:eastAsia="MS Mincho"/>
          <w:b/>
          <w:bCs/>
          <w:lang w:val="en-US"/>
        </w:rPr>
        <w:t>S</w:t>
      </w:r>
      <w:r w:rsidR="00C85285" w:rsidRPr="00E5792C">
        <w:rPr>
          <w:rFonts w:eastAsia="MS Mincho"/>
          <w:lang w:val="en-US"/>
        </w:rPr>
        <w:t>) to quality category were a) good quality if NOS was ≥</w:t>
      </w:r>
      <w:r w:rsidR="00C85285" w:rsidRPr="00E5792C">
        <w:rPr>
          <w:rFonts w:eastAsia="MS Mincho"/>
          <w:noProof/>
          <w:lang w:val="en-US"/>
        </w:rPr>
        <w:t>7</w:t>
      </w:r>
      <w:r w:rsidR="00C85285" w:rsidRPr="00E5792C">
        <w:rPr>
          <w:rFonts w:eastAsia="MS Mincho"/>
          <w:lang w:val="en-US"/>
        </w:rPr>
        <w:t xml:space="preserve"> stars</w:t>
      </w:r>
      <w:r w:rsidR="00F47D64" w:rsidRPr="00E5792C">
        <w:rPr>
          <w:rFonts w:eastAsia="MS Mincho"/>
          <w:lang w:val="en-US"/>
        </w:rPr>
        <w:t xml:space="preserve">; </w:t>
      </w:r>
      <w:r w:rsidR="00C85285" w:rsidRPr="00E5792C">
        <w:rPr>
          <w:rFonts w:eastAsia="MS Mincho"/>
          <w:lang w:val="en-US"/>
        </w:rPr>
        <w:t>b) fair quality for studies with 5-6 stars</w:t>
      </w:r>
      <w:r w:rsidR="00F47D64" w:rsidRPr="00E5792C">
        <w:rPr>
          <w:rFonts w:eastAsia="MS Mincho"/>
          <w:lang w:val="en-US"/>
        </w:rPr>
        <w:t>;</w:t>
      </w:r>
      <w:r w:rsidR="00C85285" w:rsidRPr="00E5792C">
        <w:rPr>
          <w:rFonts w:eastAsia="MS Mincho"/>
          <w:lang w:val="en-US"/>
        </w:rPr>
        <w:t xml:space="preserve"> and c) poor quality for studies ≤</w:t>
      </w:r>
      <w:r w:rsidR="00C85285" w:rsidRPr="00E5792C">
        <w:rPr>
          <w:rFonts w:eastAsia="MS Mincho"/>
          <w:noProof/>
          <w:lang w:val="en-US"/>
        </w:rPr>
        <w:t>4</w:t>
      </w:r>
      <w:r w:rsidR="00C85285" w:rsidRPr="00E5792C">
        <w:rPr>
          <w:rFonts w:eastAsia="MS Mincho"/>
          <w:lang w:val="en-US"/>
        </w:rPr>
        <w:t xml:space="preserve"> stars.</w:t>
      </w:r>
      <w:r w:rsidR="00EF0BD3" w:rsidRPr="00E5792C">
        <w:rPr>
          <w:rFonts w:eastAsia="MS Mincho"/>
          <w:lang w:val="en-US"/>
        </w:rPr>
        <w:t xml:space="preserve"> The certainty of evidence for the association between LGE </w:t>
      </w:r>
      <w:r w:rsidR="00EF0BD3" w:rsidRPr="00E5792C">
        <w:rPr>
          <w:rFonts w:eastAsia="MS Mincho"/>
          <w:lang w:val="en-US"/>
        </w:rPr>
        <w:lastRenderedPageBreak/>
        <w:t xml:space="preserve">and the occurrence of adverse cardiac events </w:t>
      </w:r>
      <w:r w:rsidR="00D52EFF" w:rsidRPr="00E5792C">
        <w:rPr>
          <w:rFonts w:eastAsia="MS Mincho"/>
          <w:lang w:val="en-US"/>
        </w:rPr>
        <w:t xml:space="preserve">in AM </w:t>
      </w:r>
      <w:r w:rsidR="00EF0BD3" w:rsidRPr="00E5792C">
        <w:rPr>
          <w:rFonts w:eastAsia="MS Mincho"/>
          <w:lang w:val="en-US"/>
        </w:rPr>
        <w:t>was evaluated by implementing The Grades of Recommendation, Assessment, Development and Evaluation Working Group (GRADE) system.</w:t>
      </w:r>
      <w:r w:rsidR="00F72CDF" w:rsidRPr="00E5792C">
        <w:rPr>
          <w:rFonts w:eastAsia="MS Mincho"/>
          <w:vertAlign w:val="superscript"/>
          <w:lang w:val="en-US"/>
        </w:rPr>
        <w:t>27,28</w:t>
      </w:r>
      <w:r w:rsidR="00D52EFF" w:rsidRPr="00E5792C">
        <w:rPr>
          <w:rFonts w:eastAsia="MS Mincho"/>
          <w:lang w:val="en-US"/>
        </w:rPr>
        <w:t xml:space="preserve"> In brief, we took into account the five GRADE considerations (</w:t>
      </w:r>
      <w:r w:rsidR="00D52EFF" w:rsidRPr="00E5792C">
        <w:rPr>
          <w:rFonts w:eastAsia="MS Mincho"/>
          <w:i/>
          <w:iCs/>
          <w:lang w:val="en-US"/>
        </w:rPr>
        <w:t>i.e.</w:t>
      </w:r>
      <w:r w:rsidR="00D45F57" w:rsidRPr="00E5792C">
        <w:rPr>
          <w:rFonts w:eastAsia="MS Mincho"/>
          <w:lang w:val="en-US"/>
        </w:rPr>
        <w:t>,</w:t>
      </w:r>
      <w:r w:rsidR="00D52EFF" w:rsidRPr="00E5792C">
        <w:rPr>
          <w:rFonts w:eastAsia="MS Mincho"/>
          <w:lang w:val="en-US"/>
        </w:rPr>
        <w:t xml:space="preserve"> risk of bias, consistency of effect, imprecision, indirectness and publication bias) and adjudicated the certainty of the body of evidence separately for LGE presence, extent and location and the incidence of the combined endpoint.</w:t>
      </w:r>
    </w:p>
    <w:p w14:paraId="469CCDB0" w14:textId="6E7369B0" w:rsidR="0097786B" w:rsidRPr="00E5792C" w:rsidRDefault="0097786B" w:rsidP="00E5792C">
      <w:pPr>
        <w:spacing w:line="480" w:lineRule="auto"/>
        <w:jc w:val="both"/>
        <w:rPr>
          <w:bCs/>
          <w:i/>
          <w:lang w:val="en-US"/>
        </w:rPr>
      </w:pPr>
      <w:r w:rsidRPr="00E5792C">
        <w:rPr>
          <w:bCs/>
          <w:i/>
          <w:lang w:val="en-US"/>
        </w:rPr>
        <w:t xml:space="preserve">Data </w:t>
      </w:r>
      <w:r w:rsidR="002372C2" w:rsidRPr="00E5792C">
        <w:rPr>
          <w:bCs/>
          <w:i/>
          <w:lang w:val="en-US"/>
        </w:rPr>
        <w:t>extraction</w:t>
      </w:r>
    </w:p>
    <w:p w14:paraId="15B0F393" w14:textId="13AB6A7B" w:rsidR="00A356E6" w:rsidRPr="00E5792C" w:rsidRDefault="00A248BF" w:rsidP="00E5792C">
      <w:pPr>
        <w:autoSpaceDE w:val="0"/>
        <w:autoSpaceDN w:val="0"/>
        <w:adjustRightInd w:val="0"/>
        <w:spacing w:line="480" w:lineRule="auto"/>
        <w:jc w:val="both"/>
        <w:rPr>
          <w:lang w:val="en-US"/>
        </w:rPr>
      </w:pPr>
      <w:r w:rsidRPr="00E5792C">
        <w:rPr>
          <w:rFonts w:ascii="Times" w:hAnsi="Times"/>
          <w:lang w:val="en-US"/>
        </w:rPr>
        <w:t xml:space="preserve">Data were screened and extracted independently by 2 investigators (SF and GG). </w:t>
      </w:r>
      <w:r w:rsidR="002446C7" w:rsidRPr="00E5792C">
        <w:rPr>
          <w:rFonts w:ascii="Times" w:hAnsi="Times"/>
          <w:lang w:val="en-US"/>
        </w:rPr>
        <w:t>W</w:t>
      </w:r>
      <w:r w:rsidR="002372C2" w:rsidRPr="00E5792C">
        <w:rPr>
          <w:rFonts w:ascii="Times" w:hAnsi="Times"/>
          <w:lang w:val="en-US"/>
        </w:rPr>
        <w:t>e recorded hazard ratios (HRs) and corresponding 95% confidence intervals as indices of effect size for</w:t>
      </w:r>
      <w:r w:rsidR="00B564EB" w:rsidRPr="00E5792C">
        <w:rPr>
          <w:rFonts w:ascii="Times" w:hAnsi="Times"/>
          <w:lang w:val="en-US"/>
        </w:rPr>
        <w:t xml:space="preserve">: </w:t>
      </w:r>
      <w:r w:rsidR="002372C2" w:rsidRPr="00E5792C">
        <w:rPr>
          <w:rFonts w:ascii="Times" w:hAnsi="Times"/>
          <w:lang w:val="en-US"/>
        </w:rPr>
        <w:t xml:space="preserve">a) LGE presence; b) </w:t>
      </w:r>
      <w:r w:rsidR="005120D7" w:rsidRPr="00E5792C">
        <w:rPr>
          <w:rFonts w:ascii="Times" w:hAnsi="Times"/>
          <w:lang w:val="en-US"/>
        </w:rPr>
        <w:t xml:space="preserve">LGE </w:t>
      </w:r>
      <w:r w:rsidR="009C08DB" w:rsidRPr="00E5792C">
        <w:rPr>
          <w:rFonts w:ascii="Times" w:hAnsi="Times"/>
          <w:lang w:val="en-US"/>
        </w:rPr>
        <w:t xml:space="preserve">extent </w:t>
      </w:r>
      <w:r w:rsidR="005120D7" w:rsidRPr="00E5792C">
        <w:rPr>
          <w:rFonts w:ascii="Times" w:hAnsi="Times"/>
          <w:noProof/>
          <w:lang w:val="en-US"/>
        </w:rPr>
        <w:t>(</w:t>
      </w:r>
      <w:r w:rsidR="005120D7" w:rsidRPr="00E5792C">
        <w:rPr>
          <w:rFonts w:ascii="Times" w:hAnsi="Times"/>
          <w:i/>
          <w:iCs/>
          <w:noProof/>
          <w:lang w:val="en-US"/>
        </w:rPr>
        <w:t>i.e.</w:t>
      </w:r>
      <w:r w:rsidR="009C08DB" w:rsidRPr="00E5792C">
        <w:rPr>
          <w:rFonts w:ascii="Times" w:hAnsi="Times"/>
          <w:noProof/>
          <w:lang w:val="en-US"/>
        </w:rPr>
        <w:t>,</w:t>
      </w:r>
      <w:r w:rsidR="005120D7" w:rsidRPr="00E5792C">
        <w:rPr>
          <w:rFonts w:ascii="Times" w:hAnsi="Times"/>
          <w:noProof/>
          <w:lang w:val="en-US"/>
        </w:rPr>
        <w:t xml:space="preserve"> more than 2 involved </w:t>
      </w:r>
      <w:r w:rsidR="005120D7" w:rsidRPr="00E5792C">
        <w:rPr>
          <w:rFonts w:ascii="Times" w:hAnsi="Times"/>
          <w:noProof/>
          <w:color w:val="000000" w:themeColor="text1"/>
          <w:lang w:val="en-US"/>
        </w:rPr>
        <w:t>myocardial segments or more than 10% of the total myocardial mass or more than 17g of LGE)</w:t>
      </w:r>
      <w:r w:rsidR="002372C2" w:rsidRPr="00E5792C">
        <w:rPr>
          <w:rFonts w:ascii="Times" w:hAnsi="Times"/>
          <w:color w:val="000000" w:themeColor="text1"/>
          <w:lang w:val="en-US"/>
        </w:rPr>
        <w:t xml:space="preserve">; c) AS vs non-AS </w:t>
      </w:r>
      <w:r w:rsidR="00AC7E1A" w:rsidRPr="00E5792C">
        <w:rPr>
          <w:rFonts w:ascii="Times" w:hAnsi="Times"/>
          <w:color w:val="000000" w:themeColor="text1"/>
          <w:lang w:val="en-US"/>
        </w:rPr>
        <w:t xml:space="preserve">and IL vs non-IL </w:t>
      </w:r>
      <w:r w:rsidR="002372C2" w:rsidRPr="00E5792C">
        <w:rPr>
          <w:rFonts w:ascii="Times" w:hAnsi="Times"/>
          <w:color w:val="000000" w:themeColor="text1"/>
          <w:lang w:val="en-US"/>
        </w:rPr>
        <w:t xml:space="preserve">location. </w:t>
      </w:r>
      <w:r w:rsidR="0021671F" w:rsidRPr="00E5792C">
        <w:rPr>
          <w:rFonts w:ascii="Times" w:hAnsi="Times"/>
          <w:color w:val="000000" w:themeColor="text1"/>
          <w:lang w:val="en-US"/>
        </w:rPr>
        <w:t xml:space="preserve">We </w:t>
      </w:r>
      <w:r w:rsidR="00F0026C" w:rsidRPr="00E5792C">
        <w:rPr>
          <w:rFonts w:ascii="Times" w:hAnsi="Times"/>
          <w:color w:val="000000" w:themeColor="text1"/>
          <w:lang w:val="en-US"/>
        </w:rPr>
        <w:t xml:space="preserve">could not perform any analysis on </w:t>
      </w:r>
      <w:r w:rsidR="0021671F" w:rsidRPr="00E5792C">
        <w:rPr>
          <w:rFonts w:ascii="Times" w:hAnsi="Times"/>
          <w:color w:val="000000" w:themeColor="text1"/>
          <w:lang w:val="en-US"/>
        </w:rPr>
        <w:t>the prognostic impact of LGE pattern</w:t>
      </w:r>
      <w:r w:rsidR="00F0026C" w:rsidRPr="00E5792C">
        <w:rPr>
          <w:rFonts w:ascii="Times" w:hAnsi="Times"/>
          <w:color w:val="000000" w:themeColor="text1"/>
          <w:lang w:val="en-US"/>
        </w:rPr>
        <w:t xml:space="preserve"> and distribution since only two </w:t>
      </w:r>
      <w:r w:rsidR="004D11A6" w:rsidRPr="00E5792C">
        <w:rPr>
          <w:rFonts w:ascii="Times" w:hAnsi="Times"/>
          <w:color w:val="000000" w:themeColor="text1"/>
          <w:lang w:val="en-US"/>
        </w:rPr>
        <w:t>studies were eligible.</w:t>
      </w:r>
      <w:r w:rsidR="00F0026C" w:rsidRPr="00E5792C">
        <w:rPr>
          <w:rFonts w:ascii="Times" w:hAnsi="Times"/>
          <w:color w:val="000000" w:themeColor="text1"/>
          <w:vertAlign w:val="superscript"/>
          <w:lang w:val="en-US"/>
        </w:rPr>
        <w:t>1</w:t>
      </w:r>
      <w:r w:rsidR="00D55499" w:rsidRPr="00E5792C">
        <w:rPr>
          <w:rFonts w:ascii="Times" w:hAnsi="Times"/>
          <w:color w:val="000000" w:themeColor="text1"/>
          <w:vertAlign w:val="superscript"/>
          <w:lang w:val="en-US"/>
        </w:rPr>
        <w:t>5</w:t>
      </w:r>
      <w:r w:rsidR="00F0026C" w:rsidRPr="00E5792C">
        <w:rPr>
          <w:rFonts w:ascii="Times" w:hAnsi="Times"/>
          <w:color w:val="000000" w:themeColor="text1"/>
          <w:vertAlign w:val="superscript"/>
          <w:lang w:val="en-US"/>
        </w:rPr>
        <w:t>,1</w:t>
      </w:r>
      <w:r w:rsidR="00D55499" w:rsidRPr="00E5792C">
        <w:rPr>
          <w:rFonts w:ascii="Times" w:hAnsi="Times"/>
          <w:color w:val="000000" w:themeColor="text1"/>
          <w:vertAlign w:val="superscript"/>
          <w:lang w:val="en-US"/>
        </w:rPr>
        <w:t>9</w:t>
      </w:r>
      <w:r w:rsidR="00F0026C" w:rsidRPr="00E5792C">
        <w:rPr>
          <w:rFonts w:ascii="Times" w:hAnsi="Times"/>
          <w:color w:val="000000" w:themeColor="text1"/>
          <w:lang w:val="en-US"/>
        </w:rPr>
        <w:t xml:space="preserve"> </w:t>
      </w:r>
      <w:bookmarkStart w:id="8" w:name="_Hlk51501784"/>
      <w:r w:rsidR="0097786B" w:rsidRPr="00E5792C">
        <w:rPr>
          <w:rFonts w:ascii="Times" w:eastAsia="MS Mincho" w:hAnsi="Times"/>
          <w:color w:val="000000" w:themeColor="text1"/>
          <w:lang w:val="en-US"/>
        </w:rPr>
        <w:t>Wh</w:t>
      </w:r>
      <w:r w:rsidR="00FA137A" w:rsidRPr="00E5792C">
        <w:rPr>
          <w:rFonts w:ascii="Times" w:eastAsia="MS Mincho" w:hAnsi="Times"/>
          <w:color w:val="000000" w:themeColor="text1"/>
          <w:lang w:val="en-US"/>
        </w:rPr>
        <w:t>en possible</w:t>
      </w:r>
      <w:r w:rsidR="0097786B" w:rsidRPr="00E5792C">
        <w:rPr>
          <w:rFonts w:ascii="Times" w:eastAsia="MS Mincho" w:hAnsi="Times"/>
          <w:color w:val="000000" w:themeColor="text1"/>
          <w:lang w:val="en-US"/>
        </w:rPr>
        <w:t xml:space="preserve">, multi-adjusted </w:t>
      </w:r>
      <w:r w:rsidR="006722F9" w:rsidRPr="00E5792C">
        <w:rPr>
          <w:rFonts w:ascii="Times" w:eastAsia="MS Mincho" w:hAnsi="Times"/>
          <w:color w:val="000000" w:themeColor="text1"/>
          <w:lang w:val="en-US"/>
        </w:rPr>
        <w:t>H</w:t>
      </w:r>
      <w:r w:rsidR="0097786B" w:rsidRPr="00E5792C">
        <w:rPr>
          <w:rFonts w:ascii="Times" w:eastAsia="MS Mincho" w:hAnsi="Times"/>
          <w:color w:val="000000" w:themeColor="text1"/>
          <w:lang w:val="en-US"/>
        </w:rPr>
        <w:t xml:space="preserve">Rs </w:t>
      </w:r>
      <w:r w:rsidR="0097786B" w:rsidRPr="00E5792C">
        <w:rPr>
          <w:rFonts w:ascii="Times" w:eastAsia="MS Mincho" w:hAnsi="Times"/>
          <w:noProof/>
          <w:color w:val="000000" w:themeColor="text1"/>
          <w:lang w:val="en-US"/>
        </w:rPr>
        <w:t>were used</w:t>
      </w:r>
      <w:r w:rsidR="00643522" w:rsidRPr="00E5792C">
        <w:rPr>
          <w:rFonts w:ascii="Times" w:eastAsia="MS Mincho" w:hAnsi="Times"/>
          <w:noProof/>
          <w:color w:val="000000" w:themeColor="text1"/>
          <w:lang w:val="en-US"/>
        </w:rPr>
        <w:t xml:space="preserve"> (</w:t>
      </w:r>
      <w:r w:rsidR="00643522" w:rsidRPr="00E5792C">
        <w:rPr>
          <w:rFonts w:ascii="Times" w:eastAsia="MS Mincho" w:hAnsi="Times"/>
          <w:b/>
          <w:bCs/>
          <w:noProof/>
          <w:color w:val="000000" w:themeColor="text1"/>
          <w:lang w:val="en-US"/>
        </w:rPr>
        <w:t xml:space="preserve">Supplementary Table </w:t>
      </w:r>
      <w:r w:rsidR="0071721D" w:rsidRPr="00E5792C">
        <w:rPr>
          <w:rFonts w:ascii="Times" w:eastAsia="MS Mincho" w:hAnsi="Times"/>
          <w:b/>
          <w:bCs/>
          <w:noProof/>
          <w:color w:val="000000" w:themeColor="text1"/>
          <w:lang w:val="en-US"/>
        </w:rPr>
        <w:t>2</w:t>
      </w:r>
      <w:r w:rsidR="00643522" w:rsidRPr="00E5792C">
        <w:rPr>
          <w:rFonts w:ascii="Times" w:eastAsia="MS Mincho" w:hAnsi="Times"/>
          <w:b/>
          <w:bCs/>
          <w:noProof/>
          <w:color w:val="000000" w:themeColor="text1"/>
          <w:lang w:val="en-US"/>
        </w:rPr>
        <w:t>S</w:t>
      </w:r>
      <w:r w:rsidR="00643522" w:rsidRPr="00E5792C">
        <w:rPr>
          <w:rFonts w:ascii="Times" w:eastAsia="MS Mincho" w:hAnsi="Times"/>
          <w:noProof/>
          <w:color w:val="000000" w:themeColor="text1"/>
          <w:lang w:val="en-US"/>
        </w:rPr>
        <w:t>)</w:t>
      </w:r>
      <w:r w:rsidR="000907FD" w:rsidRPr="00E5792C">
        <w:rPr>
          <w:rFonts w:ascii="Times" w:eastAsia="MS Mincho" w:hAnsi="Times"/>
          <w:color w:val="000000" w:themeColor="text1"/>
          <w:lang w:val="en-US"/>
        </w:rPr>
        <w:t>.</w:t>
      </w:r>
      <w:r w:rsidR="00527FE3" w:rsidRPr="00E5792C">
        <w:rPr>
          <w:rFonts w:ascii="Times" w:eastAsia="MS Mincho" w:hAnsi="Times"/>
          <w:color w:val="000000" w:themeColor="text1"/>
          <w:vertAlign w:val="superscript"/>
          <w:lang w:val="en-US"/>
        </w:rPr>
        <w:t>12,13,15,16,19,21,23</w:t>
      </w:r>
      <w:r w:rsidR="00527FE3" w:rsidRPr="00E5792C">
        <w:rPr>
          <w:rFonts w:ascii="Times" w:eastAsia="MS Mincho" w:hAnsi="Times"/>
          <w:color w:val="000000" w:themeColor="text1"/>
          <w:lang w:val="en-US"/>
        </w:rPr>
        <w:t xml:space="preserve"> </w:t>
      </w:r>
      <w:r w:rsidR="00D70AC3" w:rsidRPr="00E5792C">
        <w:rPr>
          <w:rFonts w:ascii="Times" w:eastAsia="MS Mincho" w:hAnsi="Times"/>
          <w:color w:val="000000" w:themeColor="text1"/>
          <w:lang w:val="en-US"/>
        </w:rPr>
        <w:t xml:space="preserve">For </w:t>
      </w:r>
      <w:r w:rsidR="0016723D" w:rsidRPr="00E5792C">
        <w:rPr>
          <w:rFonts w:ascii="Times" w:eastAsia="MS Mincho" w:hAnsi="Times"/>
          <w:color w:val="000000" w:themeColor="text1"/>
          <w:lang w:val="en-US"/>
        </w:rPr>
        <w:t xml:space="preserve">two </w:t>
      </w:r>
      <w:r w:rsidR="00D70AC3" w:rsidRPr="00E5792C">
        <w:rPr>
          <w:rFonts w:ascii="Times" w:eastAsia="MS Mincho" w:hAnsi="Times"/>
          <w:color w:val="000000" w:themeColor="text1"/>
          <w:lang w:val="en-US"/>
        </w:rPr>
        <w:t>studies</w:t>
      </w:r>
      <w:r w:rsidR="0016723D" w:rsidRPr="00E5792C">
        <w:rPr>
          <w:rFonts w:ascii="Times" w:eastAsia="MS Mincho" w:hAnsi="Times"/>
          <w:color w:val="000000" w:themeColor="text1"/>
          <w:lang w:val="en-US"/>
        </w:rPr>
        <w:t>,</w:t>
      </w:r>
      <w:r w:rsidR="0016723D" w:rsidRPr="00E5792C">
        <w:rPr>
          <w:rFonts w:ascii="Times" w:eastAsia="MS Mincho" w:hAnsi="Times"/>
          <w:color w:val="000000" w:themeColor="text1"/>
          <w:vertAlign w:val="superscript"/>
          <w:lang w:val="en-US"/>
        </w:rPr>
        <w:t>1</w:t>
      </w:r>
      <w:r w:rsidR="00D55499" w:rsidRPr="00E5792C">
        <w:rPr>
          <w:rFonts w:ascii="Times" w:eastAsia="MS Mincho" w:hAnsi="Times"/>
          <w:color w:val="000000" w:themeColor="text1"/>
          <w:vertAlign w:val="superscript"/>
          <w:lang w:val="en-US"/>
        </w:rPr>
        <w:t>5</w:t>
      </w:r>
      <w:r w:rsidR="0016723D" w:rsidRPr="00E5792C">
        <w:rPr>
          <w:rFonts w:ascii="Times" w:eastAsia="MS Mincho" w:hAnsi="Times"/>
          <w:color w:val="000000" w:themeColor="text1"/>
          <w:vertAlign w:val="superscript"/>
          <w:lang w:val="en-US"/>
        </w:rPr>
        <w:t>,1</w:t>
      </w:r>
      <w:r w:rsidR="00D55499" w:rsidRPr="00E5792C">
        <w:rPr>
          <w:rFonts w:ascii="Times" w:eastAsia="MS Mincho" w:hAnsi="Times"/>
          <w:color w:val="000000" w:themeColor="text1"/>
          <w:vertAlign w:val="superscript"/>
          <w:lang w:val="en-US"/>
        </w:rPr>
        <w:t>6</w:t>
      </w:r>
      <w:r w:rsidR="00D70AC3" w:rsidRPr="00E5792C">
        <w:rPr>
          <w:rFonts w:ascii="Times" w:eastAsia="MS Mincho" w:hAnsi="Times"/>
          <w:color w:val="000000" w:themeColor="text1"/>
          <w:lang w:val="en-US"/>
        </w:rPr>
        <w:t xml:space="preserve"> additional data were </w:t>
      </w:r>
      <w:r w:rsidR="002446C7" w:rsidRPr="00E5792C">
        <w:rPr>
          <w:rFonts w:ascii="Times" w:eastAsia="MS Mincho" w:hAnsi="Times"/>
          <w:color w:val="000000" w:themeColor="text1"/>
          <w:lang w:val="en-US"/>
        </w:rPr>
        <w:t xml:space="preserve">obtained </w:t>
      </w:r>
      <w:r w:rsidR="00D70AC3" w:rsidRPr="00E5792C">
        <w:rPr>
          <w:rFonts w:ascii="Times" w:eastAsia="MS Mincho" w:hAnsi="Times"/>
          <w:color w:val="000000" w:themeColor="text1"/>
          <w:lang w:val="en-US"/>
        </w:rPr>
        <w:t>after contacting the authors.</w:t>
      </w:r>
      <w:r w:rsidR="00AE1019" w:rsidRPr="00E5792C">
        <w:rPr>
          <w:rFonts w:ascii="Times" w:eastAsia="MS Mincho" w:hAnsi="Times"/>
          <w:color w:val="000000" w:themeColor="text1"/>
          <w:lang w:val="en-US"/>
        </w:rPr>
        <w:t xml:space="preserve"> For two studies</w:t>
      </w:r>
      <w:r w:rsidR="00F72CDF" w:rsidRPr="00E5792C">
        <w:rPr>
          <w:rFonts w:ascii="Times" w:eastAsia="MS Mincho" w:hAnsi="Times"/>
          <w:color w:val="000000" w:themeColor="text1"/>
          <w:lang w:val="en-US"/>
        </w:rPr>
        <w:t>,</w:t>
      </w:r>
      <w:r w:rsidR="00F72CDF" w:rsidRPr="00E5792C">
        <w:rPr>
          <w:rFonts w:ascii="Times" w:eastAsia="MS Mincho" w:hAnsi="Times"/>
          <w:color w:val="000000" w:themeColor="text1"/>
          <w:vertAlign w:val="superscript"/>
          <w:lang w:val="en-US"/>
        </w:rPr>
        <w:t>12,13</w:t>
      </w:r>
      <w:r w:rsidR="00F72CDF" w:rsidRPr="00E5792C">
        <w:rPr>
          <w:rFonts w:ascii="Times" w:eastAsia="MS Mincho" w:hAnsi="Times"/>
          <w:color w:val="000000" w:themeColor="text1"/>
          <w:lang w:val="en-US"/>
        </w:rPr>
        <w:t xml:space="preserve"> </w:t>
      </w:r>
      <w:r w:rsidR="00AE1019" w:rsidRPr="00E5792C">
        <w:rPr>
          <w:rFonts w:ascii="Times" w:eastAsia="MS Mincho" w:hAnsi="Times"/>
          <w:color w:val="000000" w:themeColor="text1"/>
          <w:lang w:val="en-US"/>
        </w:rPr>
        <w:t xml:space="preserve">95% </w:t>
      </w:r>
      <w:r w:rsidR="00030D9E" w:rsidRPr="00E5792C">
        <w:rPr>
          <w:rFonts w:ascii="Times" w:eastAsia="MS Mincho" w:hAnsi="Times"/>
          <w:color w:val="000000" w:themeColor="text1"/>
          <w:lang w:val="en-US"/>
        </w:rPr>
        <w:t>Confidence Intervals (CIs)</w:t>
      </w:r>
      <w:r w:rsidR="00AE1019" w:rsidRPr="00E5792C">
        <w:rPr>
          <w:rFonts w:ascii="Times" w:eastAsia="MS Mincho" w:hAnsi="Times"/>
          <w:color w:val="000000" w:themeColor="text1"/>
          <w:lang w:val="en-US"/>
        </w:rPr>
        <w:t xml:space="preserve"> around the mean estimate were calculated as previously suggested</w:t>
      </w:r>
      <w:r w:rsidR="00DA40F1" w:rsidRPr="00E5792C">
        <w:rPr>
          <w:lang w:val="en-US"/>
        </w:rPr>
        <w:t>.</w:t>
      </w:r>
      <w:r w:rsidR="00F72CDF" w:rsidRPr="00E5792C">
        <w:rPr>
          <w:vertAlign w:val="superscript"/>
          <w:lang w:val="en-US"/>
        </w:rPr>
        <w:t>29</w:t>
      </w:r>
      <w:r w:rsidR="00DA40F1" w:rsidRPr="00E5792C">
        <w:rPr>
          <w:lang w:val="en-US"/>
        </w:rPr>
        <w:t xml:space="preserve"> </w:t>
      </w:r>
      <w:r w:rsidR="00AC6B72" w:rsidRPr="00E5792C">
        <w:rPr>
          <w:lang w:val="en-US"/>
        </w:rPr>
        <w:t>In one study</w:t>
      </w:r>
      <w:r w:rsidR="00F72CDF" w:rsidRPr="00E5792C">
        <w:rPr>
          <w:lang w:val="en-US"/>
        </w:rPr>
        <w:t>,</w:t>
      </w:r>
      <w:r w:rsidR="00F72CDF" w:rsidRPr="00E5792C">
        <w:rPr>
          <w:vertAlign w:val="superscript"/>
          <w:lang w:val="en-US"/>
        </w:rPr>
        <w:t>17</w:t>
      </w:r>
      <w:r w:rsidR="00AC6B72" w:rsidRPr="00E5792C">
        <w:rPr>
          <w:lang w:val="en-US"/>
        </w:rPr>
        <w:t xml:space="preserve"> HR was calculated from the corresponding log-rank test as previously show</w:t>
      </w:r>
      <w:r w:rsidR="00F72CDF" w:rsidRPr="00E5792C">
        <w:rPr>
          <w:lang w:val="en-US"/>
        </w:rPr>
        <w:t>n</w:t>
      </w:r>
      <w:r w:rsidR="00AC6B72" w:rsidRPr="00E5792C">
        <w:rPr>
          <w:lang w:val="en-US"/>
        </w:rPr>
        <w:t>.</w:t>
      </w:r>
      <w:r w:rsidR="00F72CDF" w:rsidRPr="00E5792C">
        <w:rPr>
          <w:vertAlign w:val="superscript"/>
          <w:lang w:val="en-US"/>
        </w:rPr>
        <w:t>30</w:t>
      </w:r>
      <w:r w:rsidR="00AC6B72" w:rsidRPr="00E5792C">
        <w:rPr>
          <w:lang w:val="en-US"/>
        </w:rPr>
        <w:t xml:space="preserve"> </w:t>
      </w:r>
      <w:r w:rsidR="00DA40F1" w:rsidRPr="00E5792C">
        <w:rPr>
          <w:lang w:val="en-US"/>
        </w:rPr>
        <w:t xml:space="preserve">For </w:t>
      </w:r>
      <w:r w:rsidR="007638C2" w:rsidRPr="00E5792C">
        <w:rPr>
          <w:lang w:val="en-US"/>
        </w:rPr>
        <w:t>two</w:t>
      </w:r>
      <w:r w:rsidR="00DA40F1" w:rsidRPr="00E5792C">
        <w:rPr>
          <w:lang w:val="en-US"/>
        </w:rPr>
        <w:t xml:space="preserve"> studies</w:t>
      </w:r>
      <w:r w:rsidR="007638C2" w:rsidRPr="00E5792C">
        <w:rPr>
          <w:lang w:val="en-US"/>
        </w:rPr>
        <w:t>,</w:t>
      </w:r>
      <w:r w:rsidR="007638C2" w:rsidRPr="00E5792C">
        <w:rPr>
          <w:vertAlign w:val="superscript"/>
          <w:lang w:val="en-US"/>
        </w:rPr>
        <w:t>17,22</w:t>
      </w:r>
      <w:r w:rsidR="00DA40F1" w:rsidRPr="00E5792C">
        <w:rPr>
          <w:lang w:val="en-US"/>
        </w:rPr>
        <w:t xml:space="preserve"> ORs and 95% CIs were calculated from available data as approximation of HRs</w:t>
      </w:r>
      <w:r w:rsidR="0068271B" w:rsidRPr="00E5792C">
        <w:rPr>
          <w:lang w:val="en-US"/>
        </w:rPr>
        <w:t xml:space="preserve"> in light of the small probability of the event of interest</w:t>
      </w:r>
      <w:r w:rsidR="00076FE8" w:rsidRPr="00E5792C">
        <w:rPr>
          <w:lang w:val="en-US"/>
        </w:rPr>
        <w:t>.</w:t>
      </w:r>
      <w:r w:rsidR="0007599E" w:rsidRPr="00E5792C">
        <w:rPr>
          <w:vertAlign w:val="superscript"/>
          <w:lang w:val="en-US"/>
        </w:rPr>
        <w:t>31,32</w:t>
      </w:r>
      <w:r w:rsidR="00783059" w:rsidRPr="00E5792C">
        <w:rPr>
          <w:vertAlign w:val="superscript"/>
          <w:lang w:val="en-US"/>
        </w:rPr>
        <w:t xml:space="preserve"> </w:t>
      </w:r>
      <w:r w:rsidR="0017206A" w:rsidRPr="00E5792C">
        <w:rPr>
          <w:lang w:val="en-US"/>
        </w:rPr>
        <w:t>For one study,</w:t>
      </w:r>
      <w:r w:rsidR="007638C2" w:rsidRPr="00E5792C">
        <w:rPr>
          <w:vertAlign w:val="superscript"/>
          <w:lang w:val="en-US"/>
        </w:rPr>
        <w:t>16</w:t>
      </w:r>
      <w:r w:rsidR="0017206A" w:rsidRPr="00E5792C">
        <w:rPr>
          <w:lang w:val="en-US"/>
        </w:rPr>
        <w:t xml:space="preserve"> a zero-cell correction was applied during OR calculation</w:t>
      </w:r>
      <w:r w:rsidR="00E046D2" w:rsidRPr="00E5792C">
        <w:rPr>
          <w:lang w:val="en-US"/>
        </w:rPr>
        <w:t>.</w:t>
      </w:r>
      <w:bookmarkEnd w:id="8"/>
      <w:r w:rsidR="006C3C02" w:rsidRPr="00E5792C">
        <w:rPr>
          <w:lang w:val="en-US"/>
        </w:rPr>
        <w:t xml:space="preserve"> </w:t>
      </w:r>
      <w:bookmarkStart w:id="9" w:name="_Hlk51505864"/>
      <w:r w:rsidR="006C3C02" w:rsidRPr="00E5792C">
        <w:rPr>
          <w:lang w:val="en-US"/>
        </w:rPr>
        <w:t xml:space="preserve">One study was excluded from estimates </w:t>
      </w:r>
      <w:r w:rsidR="006D4680" w:rsidRPr="00E5792C">
        <w:rPr>
          <w:lang w:val="en-US"/>
        </w:rPr>
        <w:t xml:space="preserve">of </w:t>
      </w:r>
      <w:r w:rsidR="006C3C02" w:rsidRPr="00E5792C">
        <w:rPr>
          <w:lang w:val="en-US"/>
        </w:rPr>
        <w:t>effect for the presence of LGE as study participants without LGE on CMR were excluded from the final study cohort.</w:t>
      </w:r>
      <w:r w:rsidR="00076FE8" w:rsidRPr="00E5792C">
        <w:rPr>
          <w:vertAlign w:val="superscript"/>
          <w:lang w:val="en-US"/>
        </w:rPr>
        <w:t>15</w:t>
      </w:r>
    </w:p>
    <w:bookmarkEnd w:id="9"/>
    <w:p w14:paraId="125B6381" w14:textId="018D1BA0" w:rsidR="002372C2" w:rsidRPr="00E5792C" w:rsidRDefault="002372C2" w:rsidP="00E5792C">
      <w:pPr>
        <w:autoSpaceDE w:val="0"/>
        <w:autoSpaceDN w:val="0"/>
        <w:adjustRightInd w:val="0"/>
        <w:spacing w:line="480" w:lineRule="auto"/>
        <w:jc w:val="both"/>
        <w:rPr>
          <w:rFonts w:eastAsia="MS Mincho"/>
          <w:color w:val="000000" w:themeColor="text1"/>
          <w:lang w:val="en-US"/>
        </w:rPr>
      </w:pPr>
      <w:r w:rsidRPr="00E5792C">
        <w:rPr>
          <w:bCs/>
          <w:i/>
          <w:color w:val="000000" w:themeColor="text1"/>
          <w:lang w:val="en-US"/>
        </w:rPr>
        <w:t>Data synthesis and analysis</w:t>
      </w:r>
    </w:p>
    <w:p w14:paraId="0FD07407" w14:textId="7B3C7799" w:rsidR="00880F3C" w:rsidRPr="00E5792C" w:rsidRDefault="0097786B" w:rsidP="00E5792C">
      <w:pPr>
        <w:pStyle w:val="NormalWeb"/>
        <w:spacing w:before="0" w:beforeAutospacing="0" w:after="0" w:afterAutospacing="0" w:line="480" w:lineRule="auto"/>
        <w:jc w:val="both"/>
        <w:rPr>
          <w:rFonts w:eastAsiaTheme="minorHAnsi"/>
          <w:noProof/>
          <w:lang w:val="en-US" w:eastAsia="en-US"/>
        </w:rPr>
      </w:pPr>
      <w:r w:rsidRPr="00E5792C">
        <w:rPr>
          <w:rFonts w:eastAsia="MS Mincho"/>
          <w:lang w:val="en-US"/>
        </w:rPr>
        <w:t xml:space="preserve">We performed </w:t>
      </w:r>
      <w:r w:rsidR="00F41126" w:rsidRPr="00E5792C">
        <w:rPr>
          <w:rFonts w:eastAsia="MS Mincho"/>
          <w:lang w:val="en-US"/>
        </w:rPr>
        <w:t xml:space="preserve">a </w:t>
      </w:r>
      <w:r w:rsidRPr="00E5792C">
        <w:rPr>
          <w:rFonts w:eastAsia="MS Mincho"/>
          <w:noProof/>
          <w:lang w:val="en-US"/>
        </w:rPr>
        <w:t>meta-analysis</w:t>
      </w:r>
      <w:r w:rsidRPr="00E5792C">
        <w:rPr>
          <w:rFonts w:eastAsia="MS Mincho"/>
          <w:lang w:val="en-US"/>
        </w:rPr>
        <w:t xml:space="preserve"> of </w:t>
      </w:r>
      <w:r w:rsidR="00273683" w:rsidRPr="00E5792C">
        <w:rPr>
          <w:rFonts w:eastAsia="MS Mincho"/>
          <w:lang w:val="en-US"/>
        </w:rPr>
        <w:t xml:space="preserve">all eligible </w:t>
      </w:r>
      <w:r w:rsidR="002372C2" w:rsidRPr="00E5792C">
        <w:rPr>
          <w:rFonts w:eastAsia="MS Mincho"/>
          <w:lang w:val="en-US"/>
        </w:rPr>
        <w:t xml:space="preserve">studies </w:t>
      </w:r>
      <w:r w:rsidR="00273683" w:rsidRPr="00E5792C">
        <w:rPr>
          <w:rFonts w:eastAsia="MS Mincho"/>
          <w:lang w:val="en-US"/>
        </w:rPr>
        <w:t xml:space="preserve">and </w:t>
      </w:r>
      <w:r w:rsidR="00B50620" w:rsidRPr="00E5792C">
        <w:rPr>
          <w:rFonts w:eastAsia="MS Mincho"/>
          <w:lang w:val="en-US"/>
        </w:rPr>
        <w:t>obtained</w:t>
      </w:r>
      <w:r w:rsidR="00273683" w:rsidRPr="00E5792C">
        <w:rPr>
          <w:rFonts w:eastAsia="MS Mincho"/>
          <w:lang w:val="en-US"/>
        </w:rPr>
        <w:t xml:space="preserve"> the pooled estimate separately for </w:t>
      </w:r>
      <w:r w:rsidRPr="00E5792C">
        <w:rPr>
          <w:rFonts w:eastAsia="MS Mincho"/>
          <w:lang w:val="en-US"/>
        </w:rPr>
        <w:t xml:space="preserve">the </w:t>
      </w:r>
      <w:r w:rsidR="00273683" w:rsidRPr="00E5792C">
        <w:rPr>
          <w:rFonts w:eastAsia="MS Mincho"/>
          <w:lang w:val="en-US"/>
        </w:rPr>
        <w:t>association between LGE presence</w:t>
      </w:r>
      <w:r w:rsidR="00AC631A" w:rsidRPr="00E5792C">
        <w:rPr>
          <w:rFonts w:eastAsia="MS Mincho"/>
          <w:lang w:val="en-US"/>
        </w:rPr>
        <w:t>;</w:t>
      </w:r>
      <w:r w:rsidR="00273683" w:rsidRPr="00E5792C">
        <w:rPr>
          <w:rFonts w:eastAsia="MS Mincho"/>
          <w:lang w:val="en-US"/>
        </w:rPr>
        <w:t xml:space="preserve"> </w:t>
      </w:r>
      <w:r w:rsidR="00A365FF" w:rsidRPr="00E5792C">
        <w:rPr>
          <w:rFonts w:eastAsia="MS Mincho"/>
          <w:lang w:val="en-US"/>
        </w:rPr>
        <w:t>extent</w:t>
      </w:r>
      <w:r w:rsidR="002446C7" w:rsidRPr="00E5792C">
        <w:rPr>
          <w:rFonts w:eastAsia="MS Mincho"/>
          <w:lang w:val="en-US"/>
        </w:rPr>
        <w:t>;</w:t>
      </w:r>
      <w:r w:rsidR="00273683" w:rsidRPr="00E5792C">
        <w:rPr>
          <w:rFonts w:eastAsia="MS Mincho"/>
          <w:lang w:val="en-US"/>
        </w:rPr>
        <w:t xml:space="preserve"> </w:t>
      </w:r>
      <w:r w:rsidR="00AC631A" w:rsidRPr="00E5792C">
        <w:rPr>
          <w:rFonts w:eastAsia="MS Mincho"/>
          <w:lang w:val="en-US"/>
        </w:rPr>
        <w:t xml:space="preserve">and </w:t>
      </w:r>
      <w:r w:rsidR="00A365FF" w:rsidRPr="00E5792C">
        <w:rPr>
          <w:rFonts w:eastAsia="MS Mincho"/>
          <w:lang w:val="en-US"/>
        </w:rPr>
        <w:t xml:space="preserve">LGE </w:t>
      </w:r>
      <w:r w:rsidR="00273683" w:rsidRPr="00E5792C">
        <w:rPr>
          <w:rFonts w:eastAsia="MS Mincho"/>
          <w:lang w:val="en-US"/>
        </w:rPr>
        <w:t xml:space="preserve">location </w:t>
      </w:r>
      <w:r w:rsidR="00E539C0" w:rsidRPr="00E5792C">
        <w:rPr>
          <w:rFonts w:eastAsia="MS Mincho"/>
          <w:lang w:val="en-US"/>
        </w:rPr>
        <w:t xml:space="preserve">and </w:t>
      </w:r>
      <w:r w:rsidR="00273683" w:rsidRPr="00E5792C">
        <w:rPr>
          <w:rFonts w:eastAsia="MS Mincho"/>
          <w:noProof/>
          <w:lang w:val="en-US"/>
        </w:rPr>
        <w:t>the</w:t>
      </w:r>
      <w:r w:rsidR="00273683" w:rsidRPr="00E5792C">
        <w:rPr>
          <w:rFonts w:eastAsia="MS Mincho"/>
          <w:lang w:val="en-US"/>
        </w:rPr>
        <w:t xml:space="preserve"> combined endpoint </w:t>
      </w:r>
      <w:r w:rsidR="008F2702" w:rsidRPr="00E5792C">
        <w:rPr>
          <w:rFonts w:eastAsia="MS Mincho"/>
          <w:lang w:val="en-US"/>
        </w:rPr>
        <w:t xml:space="preserve">comprising </w:t>
      </w:r>
      <w:r w:rsidR="00273683" w:rsidRPr="00E5792C">
        <w:rPr>
          <w:rFonts w:eastAsia="MS Mincho"/>
          <w:lang w:val="en-US"/>
        </w:rPr>
        <w:t>all-cause mortality,</w:t>
      </w:r>
      <w:r w:rsidR="007C0A57" w:rsidRPr="00E5792C">
        <w:rPr>
          <w:rFonts w:eastAsia="MS Mincho"/>
          <w:lang w:val="en-US"/>
        </w:rPr>
        <w:t xml:space="preserve"> cardiac mortality</w:t>
      </w:r>
      <w:r w:rsidR="005D2DB3" w:rsidRPr="00E5792C">
        <w:rPr>
          <w:rFonts w:eastAsia="MS Mincho"/>
          <w:lang w:val="en-US"/>
        </w:rPr>
        <w:t>,</w:t>
      </w:r>
      <w:r w:rsidR="007C0A57" w:rsidRPr="00E5792C">
        <w:rPr>
          <w:rFonts w:eastAsia="MS Mincho"/>
          <w:lang w:val="en-US"/>
        </w:rPr>
        <w:t xml:space="preserve"> and </w:t>
      </w:r>
      <w:r w:rsidR="000D4CD7" w:rsidRPr="00E5792C">
        <w:rPr>
          <w:rFonts w:eastAsia="MS Mincho"/>
          <w:lang w:val="en-US"/>
        </w:rPr>
        <w:t>MACE</w:t>
      </w:r>
      <w:r w:rsidR="002F37E7" w:rsidRPr="00E5792C">
        <w:rPr>
          <w:rFonts w:eastAsiaTheme="minorHAnsi"/>
          <w:noProof/>
          <w:lang w:val="en-US" w:eastAsia="en-US"/>
        </w:rPr>
        <w:t>.</w:t>
      </w:r>
      <w:r w:rsidR="00AC631A" w:rsidRPr="00E5792C">
        <w:rPr>
          <w:rFonts w:eastAsiaTheme="minorHAnsi"/>
          <w:noProof/>
          <w:lang w:val="en-US" w:eastAsia="en-US"/>
        </w:rPr>
        <w:t xml:space="preserve"> </w:t>
      </w:r>
      <w:r w:rsidR="00880F3C" w:rsidRPr="00E5792C">
        <w:rPr>
          <w:rFonts w:eastAsiaTheme="minorHAnsi"/>
          <w:noProof/>
          <w:lang w:val="en-US" w:eastAsia="en-US"/>
        </w:rPr>
        <w:t xml:space="preserve">We evaluated combined clinical endpoints since data for </w:t>
      </w:r>
      <w:r w:rsidR="00A12FBD" w:rsidRPr="00E5792C">
        <w:rPr>
          <w:rFonts w:eastAsiaTheme="minorHAnsi"/>
          <w:noProof/>
          <w:lang w:val="en-US" w:eastAsia="en-US"/>
        </w:rPr>
        <w:t>individual outcomes</w:t>
      </w:r>
      <w:r w:rsidR="005D2DB3" w:rsidRPr="00E5792C">
        <w:rPr>
          <w:rFonts w:eastAsiaTheme="minorHAnsi"/>
          <w:noProof/>
          <w:lang w:val="en-US" w:eastAsia="en-US"/>
        </w:rPr>
        <w:t xml:space="preserve"> were</w:t>
      </w:r>
      <w:r w:rsidR="00880F3C" w:rsidRPr="00E5792C">
        <w:rPr>
          <w:rFonts w:eastAsiaTheme="minorHAnsi"/>
          <w:noProof/>
          <w:lang w:val="en-US" w:eastAsia="en-US"/>
        </w:rPr>
        <w:t xml:space="preserve"> available only in </w:t>
      </w:r>
      <w:r w:rsidR="00A12FBD" w:rsidRPr="00E5792C">
        <w:rPr>
          <w:rFonts w:eastAsiaTheme="minorHAnsi"/>
          <w:noProof/>
          <w:lang w:val="en-US" w:eastAsia="en-US"/>
        </w:rPr>
        <w:t>few</w:t>
      </w:r>
      <w:r w:rsidR="00A948C3" w:rsidRPr="00E5792C">
        <w:rPr>
          <w:rFonts w:eastAsiaTheme="minorHAnsi"/>
          <w:noProof/>
          <w:lang w:val="en-US" w:eastAsia="en-US"/>
        </w:rPr>
        <w:t xml:space="preserve"> </w:t>
      </w:r>
      <w:r w:rsidR="00A12FBD" w:rsidRPr="00E5792C">
        <w:rPr>
          <w:rFonts w:eastAsiaTheme="minorHAnsi"/>
          <w:noProof/>
          <w:lang w:val="en-US" w:eastAsia="en-US"/>
        </w:rPr>
        <w:t>eligible</w:t>
      </w:r>
      <w:r w:rsidR="00880F3C" w:rsidRPr="00E5792C">
        <w:rPr>
          <w:rFonts w:eastAsiaTheme="minorHAnsi"/>
          <w:noProof/>
          <w:lang w:val="en-US" w:eastAsia="en-US"/>
        </w:rPr>
        <w:t xml:space="preserve"> studies (</w:t>
      </w:r>
      <w:r w:rsidR="00B51549" w:rsidRPr="00E5792C">
        <w:rPr>
          <w:rFonts w:eastAsiaTheme="minorHAnsi"/>
          <w:b/>
          <w:bCs/>
          <w:noProof/>
          <w:lang w:val="en-US" w:eastAsia="en-US"/>
        </w:rPr>
        <w:t>S</w:t>
      </w:r>
      <w:r w:rsidR="00A1334A" w:rsidRPr="00E5792C">
        <w:rPr>
          <w:rFonts w:eastAsiaTheme="minorHAnsi"/>
          <w:b/>
          <w:bCs/>
          <w:noProof/>
          <w:lang w:val="en-US" w:eastAsia="en-US"/>
        </w:rPr>
        <w:t xml:space="preserve">upplementary </w:t>
      </w:r>
      <w:r w:rsidR="00B01ADB" w:rsidRPr="00E5792C">
        <w:rPr>
          <w:rFonts w:eastAsiaTheme="minorHAnsi"/>
          <w:b/>
          <w:bCs/>
          <w:noProof/>
          <w:lang w:val="en-US" w:eastAsia="en-US"/>
        </w:rPr>
        <w:t xml:space="preserve">Table </w:t>
      </w:r>
      <w:r w:rsidR="00C41555" w:rsidRPr="00E5792C">
        <w:rPr>
          <w:rFonts w:eastAsiaTheme="minorHAnsi"/>
          <w:b/>
          <w:bCs/>
          <w:noProof/>
          <w:lang w:val="en-US" w:eastAsia="en-US"/>
        </w:rPr>
        <w:t>3</w:t>
      </w:r>
      <w:r w:rsidR="00A1334A" w:rsidRPr="00E5792C">
        <w:rPr>
          <w:rFonts w:eastAsiaTheme="minorHAnsi"/>
          <w:b/>
          <w:bCs/>
          <w:noProof/>
          <w:lang w:val="en-US" w:eastAsia="en-US"/>
        </w:rPr>
        <w:t>S</w:t>
      </w:r>
      <w:r w:rsidR="00880F3C" w:rsidRPr="00E5792C">
        <w:rPr>
          <w:rFonts w:eastAsiaTheme="minorHAnsi"/>
          <w:noProof/>
          <w:lang w:val="en-US" w:eastAsia="en-US"/>
        </w:rPr>
        <w:t>).</w:t>
      </w:r>
    </w:p>
    <w:p w14:paraId="4CCEA02E" w14:textId="01321A79" w:rsidR="000C7BA0" w:rsidRPr="00E5792C" w:rsidRDefault="00AC631A" w:rsidP="00E5792C">
      <w:pPr>
        <w:spacing w:line="480" w:lineRule="auto"/>
        <w:jc w:val="both"/>
        <w:rPr>
          <w:rFonts w:eastAsia="MS Mincho"/>
          <w:lang w:val="en-US"/>
        </w:rPr>
      </w:pPr>
      <w:r w:rsidRPr="00E5792C">
        <w:rPr>
          <w:rFonts w:eastAsia="MS Mincho"/>
          <w:lang w:val="en-US"/>
        </w:rPr>
        <w:lastRenderedPageBreak/>
        <w:t>We evaluated heterogeneity using the</w:t>
      </w:r>
      <w:r w:rsidR="00273683" w:rsidRPr="00E5792C">
        <w:rPr>
          <w:rFonts w:eastAsia="MS Mincho"/>
          <w:lang w:val="en-US"/>
        </w:rPr>
        <w:t xml:space="preserve"> </w:t>
      </w:r>
      <w:r w:rsidRPr="00E5792C">
        <w:rPr>
          <w:rFonts w:eastAsia="MS Mincho"/>
          <w:lang w:val="en-US"/>
        </w:rPr>
        <w:t>I</w:t>
      </w:r>
      <w:r w:rsidRPr="00E5792C">
        <w:rPr>
          <w:rFonts w:eastAsia="MS Mincho"/>
          <w:vertAlign w:val="superscript"/>
          <w:lang w:val="en-US"/>
        </w:rPr>
        <w:t>2</w:t>
      </w:r>
      <w:r w:rsidRPr="00E5792C">
        <w:rPr>
          <w:rFonts w:eastAsia="MS Mincho"/>
          <w:lang w:val="en-US"/>
        </w:rPr>
        <w:t>-statistic</w:t>
      </w:r>
      <w:r w:rsidR="00273683" w:rsidRPr="00E5792C">
        <w:rPr>
          <w:rFonts w:eastAsia="MS Mincho"/>
          <w:lang w:val="en-US"/>
        </w:rPr>
        <w:t>. Usually</w:t>
      </w:r>
      <w:r w:rsidR="00634FA1" w:rsidRPr="00E5792C">
        <w:rPr>
          <w:rFonts w:eastAsia="MS Mincho"/>
          <w:lang w:val="en-US"/>
        </w:rPr>
        <w:t>,</w:t>
      </w:r>
      <w:r w:rsidR="00273683" w:rsidRPr="00E5792C">
        <w:rPr>
          <w:rFonts w:eastAsia="MS Mincho"/>
          <w:lang w:val="en-US"/>
        </w:rPr>
        <w:t xml:space="preserve"> when moderate to significant heterogeneity (p&lt;0.1) exists among studies, a </w:t>
      </w:r>
      <w:r w:rsidR="00634FA1" w:rsidRPr="00E5792C">
        <w:rPr>
          <w:rFonts w:eastAsia="MS Mincho"/>
          <w:lang w:val="en-US"/>
        </w:rPr>
        <w:t>random-</w:t>
      </w:r>
      <w:r w:rsidR="00273683" w:rsidRPr="00E5792C">
        <w:rPr>
          <w:rFonts w:eastAsia="MS Mincho"/>
          <w:lang w:val="en-US"/>
        </w:rPr>
        <w:t>effects model is implemented</w:t>
      </w:r>
      <w:r w:rsidR="0021671F" w:rsidRPr="00E5792C">
        <w:rPr>
          <w:rFonts w:eastAsia="MS Mincho"/>
          <w:lang w:val="en-US"/>
        </w:rPr>
        <w:t>.</w:t>
      </w:r>
      <w:r w:rsidR="000F5295" w:rsidRPr="00E5792C">
        <w:rPr>
          <w:rFonts w:eastAsia="MS Mincho"/>
          <w:vertAlign w:val="superscript"/>
          <w:lang w:val="en-US"/>
        </w:rPr>
        <w:t>33</w:t>
      </w:r>
      <w:r w:rsidR="00273683" w:rsidRPr="00E5792C">
        <w:rPr>
          <w:rFonts w:eastAsia="MS Mincho"/>
          <w:lang w:val="en-US"/>
        </w:rPr>
        <w:t xml:space="preserve"> In our case, given that the power of such heterogeneity identification tests is low </w:t>
      </w:r>
      <w:r w:rsidR="007E4D4D" w:rsidRPr="00E5792C">
        <w:rPr>
          <w:rFonts w:eastAsia="MS Mincho"/>
          <w:lang w:val="en-US"/>
        </w:rPr>
        <w:t>due to the</w:t>
      </w:r>
      <w:r w:rsidR="0079706F" w:rsidRPr="00E5792C">
        <w:rPr>
          <w:rFonts w:eastAsia="MS Mincho"/>
          <w:lang w:val="en-US"/>
        </w:rPr>
        <w:t xml:space="preserve"> </w:t>
      </w:r>
      <w:r w:rsidR="00273683" w:rsidRPr="00E5792C">
        <w:rPr>
          <w:rFonts w:eastAsia="MS Mincho"/>
          <w:lang w:val="en-US"/>
        </w:rPr>
        <w:t xml:space="preserve">small number of </w:t>
      </w:r>
      <w:r w:rsidR="007E4D4D" w:rsidRPr="00E5792C">
        <w:rPr>
          <w:rFonts w:eastAsia="MS Mincho"/>
          <w:lang w:val="en-US"/>
        </w:rPr>
        <w:t xml:space="preserve">included </w:t>
      </w:r>
      <w:r w:rsidR="00273683" w:rsidRPr="00E5792C">
        <w:rPr>
          <w:rFonts w:eastAsia="MS Mincho"/>
          <w:lang w:val="en-US"/>
        </w:rPr>
        <w:t xml:space="preserve">studies, visual checks through forest plots were also performed to identify heterogeneity. Subsequently, </w:t>
      </w:r>
      <w:r w:rsidR="00C7731E" w:rsidRPr="00E5792C">
        <w:rPr>
          <w:rFonts w:eastAsia="MS Mincho"/>
          <w:lang w:val="en-US"/>
        </w:rPr>
        <w:t>to</w:t>
      </w:r>
      <w:r w:rsidR="00273683" w:rsidRPr="00E5792C">
        <w:rPr>
          <w:rFonts w:eastAsia="MS Mincho"/>
          <w:lang w:val="en-US"/>
        </w:rPr>
        <w:t xml:space="preserve"> avoid false positive findings</w:t>
      </w:r>
      <w:r w:rsidR="0079706F" w:rsidRPr="00E5792C">
        <w:rPr>
          <w:rFonts w:eastAsia="MS Mincho"/>
          <w:lang w:val="en-US"/>
        </w:rPr>
        <w:t>,</w:t>
      </w:r>
      <w:r w:rsidR="00273683" w:rsidRPr="00E5792C">
        <w:rPr>
          <w:rFonts w:eastAsia="MS Mincho"/>
          <w:lang w:val="en-US"/>
        </w:rPr>
        <w:t xml:space="preserve"> we directly implemented a random-effects mode</w:t>
      </w:r>
      <w:r w:rsidR="00B564EB" w:rsidRPr="00E5792C">
        <w:rPr>
          <w:rFonts w:eastAsia="MS Mincho"/>
          <w:lang w:val="en-US"/>
        </w:rPr>
        <w:t>l</w:t>
      </w:r>
      <w:r w:rsidR="00273683" w:rsidRPr="00E5792C">
        <w:rPr>
          <w:rFonts w:eastAsia="MS Mincho"/>
          <w:lang w:val="en-US"/>
        </w:rPr>
        <w:t xml:space="preserve">. We </w:t>
      </w:r>
      <w:r w:rsidR="004E760D" w:rsidRPr="00E5792C">
        <w:rPr>
          <w:rFonts w:eastAsia="MS Mincho"/>
          <w:lang w:val="en-US"/>
        </w:rPr>
        <w:t>utilized</w:t>
      </w:r>
      <w:r w:rsidR="00273683" w:rsidRPr="00E5792C">
        <w:rPr>
          <w:rFonts w:eastAsia="MS Mincho"/>
          <w:lang w:val="en-US"/>
        </w:rPr>
        <w:t xml:space="preserve"> the inverse variance method with the Sidik-Jonkman two-step heterogeneity estimator as a reference method, instead of the popular DerSimonian </w:t>
      </w:r>
      <w:r w:rsidR="000C1A59" w:rsidRPr="00E5792C">
        <w:rPr>
          <w:rFonts w:eastAsia="MS Mincho"/>
          <w:lang w:val="en-US"/>
        </w:rPr>
        <w:t xml:space="preserve">and </w:t>
      </w:r>
      <w:r w:rsidR="00273683" w:rsidRPr="00E5792C">
        <w:rPr>
          <w:rFonts w:eastAsia="MS Mincho"/>
          <w:lang w:val="en-US"/>
        </w:rPr>
        <w:t>Laird</w:t>
      </w:r>
      <w:r w:rsidR="000C1A59" w:rsidRPr="00E5792C">
        <w:rPr>
          <w:rFonts w:eastAsia="MS Mincho"/>
          <w:lang w:val="en-US"/>
        </w:rPr>
        <w:t xml:space="preserve"> method</w:t>
      </w:r>
      <w:r w:rsidR="00273683" w:rsidRPr="00E5792C">
        <w:rPr>
          <w:rFonts w:eastAsia="MS Mincho"/>
          <w:lang w:val="en-US"/>
        </w:rPr>
        <w:t>, since the latter is known to underestimate heterogeneity in meta-analyses with a low number of individual studies</w:t>
      </w:r>
      <w:r w:rsidR="0021671F" w:rsidRPr="00E5792C">
        <w:rPr>
          <w:rFonts w:eastAsia="MS Mincho"/>
          <w:lang w:val="en-US"/>
        </w:rPr>
        <w:t>.</w:t>
      </w:r>
      <w:r w:rsidR="000F5295" w:rsidRPr="00E5792C">
        <w:rPr>
          <w:rFonts w:eastAsia="MS Mincho"/>
          <w:vertAlign w:val="superscript"/>
          <w:lang w:val="en-US"/>
        </w:rPr>
        <w:t>34</w:t>
      </w:r>
      <w:r w:rsidR="00273683" w:rsidRPr="00E5792C">
        <w:rPr>
          <w:rFonts w:eastAsia="MS Mincho"/>
          <w:lang w:val="en-US"/>
        </w:rPr>
        <w:t xml:space="preserve"> To</w:t>
      </w:r>
      <w:r w:rsidR="00273683" w:rsidRPr="00E5792C">
        <w:rPr>
          <w:lang w:val="en-US" w:eastAsia="en-GB"/>
        </w:rPr>
        <w:t xml:space="preserve"> tackle the small number of studies and provide more robust results, we applied the more conservative Hartung and Knapp </w:t>
      </w:r>
      <w:r w:rsidR="00F8753D" w:rsidRPr="00E5792C">
        <w:rPr>
          <w:lang w:val="en-US" w:eastAsia="en-GB"/>
        </w:rPr>
        <w:t xml:space="preserve">(HK) </w:t>
      </w:r>
      <w:r w:rsidR="00273683" w:rsidRPr="00E5792C">
        <w:rPr>
          <w:lang w:val="en-US" w:eastAsia="en-GB"/>
        </w:rPr>
        <w:t xml:space="preserve">correction </w:t>
      </w:r>
      <w:r w:rsidR="007E4D4D" w:rsidRPr="00E5792C">
        <w:rPr>
          <w:lang w:val="en-US" w:eastAsia="en-GB"/>
        </w:rPr>
        <w:t xml:space="preserve">to </w:t>
      </w:r>
      <w:r w:rsidR="00273683" w:rsidRPr="00E5792C">
        <w:rPr>
          <w:lang w:val="en-US" w:eastAsia="en-GB"/>
        </w:rPr>
        <w:t xml:space="preserve">the overall estimate </w:t>
      </w:r>
      <w:r w:rsidR="007E4D4D" w:rsidRPr="00E5792C">
        <w:rPr>
          <w:lang w:val="en-US" w:eastAsia="en-GB"/>
        </w:rPr>
        <w:t xml:space="preserve">of </w:t>
      </w:r>
      <w:r w:rsidR="00273683" w:rsidRPr="00E5792C">
        <w:rPr>
          <w:lang w:val="en-US" w:eastAsia="en-GB"/>
        </w:rPr>
        <w:t>confidence interval</w:t>
      </w:r>
      <w:r w:rsidR="007E4D4D" w:rsidRPr="00E5792C">
        <w:rPr>
          <w:lang w:val="en-US" w:eastAsia="en-GB"/>
        </w:rPr>
        <w:t>s</w:t>
      </w:r>
      <w:r w:rsidR="0021671F" w:rsidRPr="00E5792C">
        <w:rPr>
          <w:lang w:val="en-US" w:eastAsia="en-GB"/>
        </w:rPr>
        <w:t>.</w:t>
      </w:r>
      <w:r w:rsidR="000F5295" w:rsidRPr="00E5792C">
        <w:rPr>
          <w:vertAlign w:val="superscript"/>
          <w:lang w:val="en-US" w:eastAsia="en-GB"/>
        </w:rPr>
        <w:t>35</w:t>
      </w:r>
      <w:r w:rsidR="00273683" w:rsidRPr="00E5792C">
        <w:rPr>
          <w:rFonts w:eastAsia="MS Mincho"/>
          <w:lang w:val="en-US"/>
        </w:rPr>
        <w:t xml:space="preserve"> </w:t>
      </w:r>
      <w:r w:rsidR="0097786B" w:rsidRPr="00E5792C">
        <w:rPr>
          <w:rFonts w:eastAsia="MS Mincho"/>
          <w:lang w:val="en-US"/>
        </w:rPr>
        <w:t xml:space="preserve">The mean effect size and CIs of individual studies </w:t>
      </w:r>
      <w:r w:rsidR="0097786B" w:rsidRPr="00E5792C">
        <w:rPr>
          <w:rFonts w:eastAsia="MS Mincho"/>
          <w:noProof/>
          <w:lang w:val="en-US"/>
        </w:rPr>
        <w:t>were illustrated</w:t>
      </w:r>
      <w:r w:rsidR="0097786B" w:rsidRPr="00E5792C">
        <w:rPr>
          <w:rFonts w:eastAsia="MS Mincho"/>
          <w:lang w:val="en-US"/>
        </w:rPr>
        <w:t xml:space="preserve"> with forest plots.</w:t>
      </w:r>
      <w:r w:rsidR="0097786B" w:rsidRPr="00E5792C">
        <w:rPr>
          <w:lang w:val="en-US"/>
        </w:rPr>
        <w:t xml:space="preserve"> </w:t>
      </w:r>
      <w:r w:rsidR="0004463C" w:rsidRPr="00E5792C">
        <w:rPr>
          <w:rFonts w:eastAsia="MS Mincho"/>
          <w:lang w:val="en-US"/>
        </w:rPr>
        <w:t xml:space="preserve">We conducted </w:t>
      </w:r>
      <w:r w:rsidR="000C7BA0" w:rsidRPr="00E5792C">
        <w:rPr>
          <w:rFonts w:eastAsia="MS Mincho"/>
          <w:lang w:val="en-US"/>
        </w:rPr>
        <w:t>pre-specified sensitivity analyses</w:t>
      </w:r>
      <w:r w:rsidR="0004463C" w:rsidRPr="00E5792C">
        <w:rPr>
          <w:rFonts w:eastAsia="MS Mincho"/>
          <w:lang w:val="en-US"/>
        </w:rPr>
        <w:t xml:space="preserve"> where applicable to evaluate whether the estimates of the </w:t>
      </w:r>
      <w:r w:rsidR="0081212B" w:rsidRPr="00E5792C">
        <w:rPr>
          <w:rFonts w:eastAsia="MS Mincho"/>
          <w:lang w:val="en-US"/>
        </w:rPr>
        <w:t xml:space="preserve">association of </w:t>
      </w:r>
      <w:r w:rsidR="00873F12" w:rsidRPr="00E5792C">
        <w:rPr>
          <w:rFonts w:eastAsia="MS Mincho"/>
          <w:lang w:val="en-US"/>
        </w:rPr>
        <w:t xml:space="preserve">LGE </w:t>
      </w:r>
      <w:r w:rsidR="0081212B" w:rsidRPr="00E5792C">
        <w:rPr>
          <w:rFonts w:eastAsia="MS Mincho"/>
          <w:lang w:val="en-US"/>
        </w:rPr>
        <w:t>findings</w:t>
      </w:r>
      <w:r w:rsidR="0004463C" w:rsidRPr="00E5792C">
        <w:rPr>
          <w:rFonts w:eastAsia="MS Mincho"/>
          <w:lang w:val="en-US"/>
        </w:rPr>
        <w:t xml:space="preserve"> on </w:t>
      </w:r>
      <w:r w:rsidR="005D2DB3" w:rsidRPr="00E5792C">
        <w:rPr>
          <w:rFonts w:eastAsia="MS Mincho"/>
          <w:lang w:val="en-US"/>
        </w:rPr>
        <w:t xml:space="preserve">the </w:t>
      </w:r>
      <w:r w:rsidR="00BC1BAD" w:rsidRPr="00E5792C">
        <w:rPr>
          <w:rFonts w:eastAsia="MS Mincho"/>
          <w:lang w:val="en-US"/>
        </w:rPr>
        <w:t>c</w:t>
      </w:r>
      <w:r w:rsidR="00F06F2C" w:rsidRPr="00E5792C">
        <w:rPr>
          <w:rFonts w:eastAsia="MS Mincho"/>
          <w:lang w:val="en-US"/>
        </w:rPr>
        <w:t>ombined endpoint</w:t>
      </w:r>
      <w:r w:rsidR="0004463C" w:rsidRPr="00E5792C">
        <w:rPr>
          <w:rFonts w:eastAsia="MS Mincho"/>
          <w:lang w:val="en-US"/>
        </w:rPr>
        <w:t xml:space="preserve"> differ</w:t>
      </w:r>
      <w:r w:rsidR="005D2DB3" w:rsidRPr="00E5792C">
        <w:rPr>
          <w:rFonts w:eastAsia="MS Mincho"/>
          <w:lang w:val="en-US"/>
        </w:rPr>
        <w:t>ed</w:t>
      </w:r>
      <w:r w:rsidR="0004463C" w:rsidRPr="00E5792C">
        <w:rPr>
          <w:rFonts w:eastAsia="MS Mincho"/>
          <w:lang w:val="en-US"/>
        </w:rPr>
        <w:t xml:space="preserve"> within certain populations</w:t>
      </w:r>
      <w:r w:rsidR="000C7BA0" w:rsidRPr="00E5792C">
        <w:rPr>
          <w:rFonts w:eastAsia="MS Mincho"/>
          <w:lang w:val="en-US"/>
        </w:rPr>
        <w:t xml:space="preserve"> and </w:t>
      </w:r>
      <w:r w:rsidR="007E4D4D" w:rsidRPr="00E5792C">
        <w:rPr>
          <w:rFonts w:eastAsia="MS Mincho"/>
          <w:lang w:val="en-US"/>
        </w:rPr>
        <w:t xml:space="preserve">to further </w:t>
      </w:r>
      <w:r w:rsidR="000C7BA0" w:rsidRPr="00E5792C">
        <w:rPr>
          <w:rFonts w:eastAsia="MS Mincho"/>
          <w:lang w:val="en-US"/>
        </w:rPr>
        <w:t>explore potential sources of heterogeneity</w:t>
      </w:r>
      <w:r w:rsidR="0004463C" w:rsidRPr="00E5792C">
        <w:rPr>
          <w:rFonts w:eastAsia="MS Mincho"/>
          <w:lang w:val="en-US"/>
        </w:rPr>
        <w:t xml:space="preserve">. </w:t>
      </w:r>
      <w:bookmarkStart w:id="10" w:name="_Hlk52708749"/>
      <w:r w:rsidR="000C7BA0" w:rsidRPr="00E5792C">
        <w:rPr>
          <w:rFonts w:eastAsia="MS Mincho"/>
          <w:lang w:val="en-US"/>
        </w:rPr>
        <w:t>Briefly, we excluded</w:t>
      </w:r>
      <w:r w:rsidR="00703B7D" w:rsidRPr="00E5792C">
        <w:rPr>
          <w:rFonts w:eastAsia="MS Mincho"/>
          <w:lang w:val="en-US"/>
        </w:rPr>
        <w:t>:</w:t>
      </w:r>
      <w:r w:rsidR="000F347B" w:rsidRPr="00E5792C">
        <w:rPr>
          <w:rFonts w:eastAsia="MS Mincho"/>
          <w:lang w:val="en-US"/>
        </w:rPr>
        <w:t xml:space="preserve"> a) studies with &lt;50 participants</w:t>
      </w:r>
      <w:r w:rsidR="00703B7D" w:rsidRPr="00E5792C">
        <w:rPr>
          <w:rFonts w:eastAsia="MS Mincho"/>
          <w:lang w:val="en-US"/>
        </w:rPr>
        <w:t>;</w:t>
      </w:r>
      <w:r w:rsidR="000F347B" w:rsidRPr="00E5792C">
        <w:rPr>
          <w:rFonts w:eastAsia="MS Mincho"/>
          <w:vertAlign w:val="superscript"/>
          <w:lang w:val="en-US"/>
        </w:rPr>
        <w:t xml:space="preserve">20-22 </w:t>
      </w:r>
      <w:r w:rsidR="000F347B" w:rsidRPr="00E5792C">
        <w:rPr>
          <w:rFonts w:eastAsia="MS Mincho"/>
          <w:lang w:val="en-US"/>
        </w:rPr>
        <w:t>b) studies of lower quality according to NOS evaluation</w:t>
      </w:r>
      <w:r w:rsidR="00703B7D" w:rsidRPr="00E5792C">
        <w:rPr>
          <w:rFonts w:eastAsia="MS Mincho"/>
          <w:lang w:val="en-US"/>
        </w:rPr>
        <w:t>;</w:t>
      </w:r>
      <w:r w:rsidR="000F347B" w:rsidRPr="00E5792C">
        <w:rPr>
          <w:rFonts w:eastAsia="MS Mincho"/>
          <w:vertAlign w:val="superscript"/>
          <w:lang w:val="en-US"/>
        </w:rPr>
        <w:t>13,21-23</w:t>
      </w:r>
      <w:r w:rsidR="000F347B" w:rsidRPr="00E5792C">
        <w:rPr>
          <w:rFonts w:eastAsia="MS Mincho"/>
          <w:lang w:val="en-US"/>
        </w:rPr>
        <w:t xml:space="preserve"> and/or studies with less likely AM</w:t>
      </w:r>
      <w:r w:rsidR="00F85A89" w:rsidRPr="00E5792C">
        <w:rPr>
          <w:rFonts w:eastAsia="MS Mincho"/>
          <w:lang w:val="en-US"/>
        </w:rPr>
        <w:t xml:space="preserve"> (potential bias in AM diagnosis</w:t>
      </w:r>
      <w:r w:rsidR="00F85A89" w:rsidRPr="00E5792C">
        <w:rPr>
          <w:rFonts w:eastAsia="MS Mincho"/>
          <w:vertAlign w:val="superscript"/>
          <w:lang w:val="en-US"/>
        </w:rPr>
        <w:t>13</w:t>
      </w:r>
      <w:r w:rsidR="00F85A89" w:rsidRPr="00E5792C">
        <w:rPr>
          <w:rFonts w:eastAsia="MS Mincho"/>
          <w:lang w:val="en-US"/>
        </w:rPr>
        <w:t xml:space="preserve"> and delayed CMR</w:t>
      </w:r>
      <w:r w:rsidR="00F85A89" w:rsidRPr="00E5792C">
        <w:rPr>
          <w:rFonts w:eastAsia="MS Mincho"/>
          <w:vertAlign w:val="superscript"/>
          <w:lang w:val="en-US"/>
        </w:rPr>
        <w:t>19</w:t>
      </w:r>
      <w:r w:rsidR="00990314" w:rsidRPr="00E5792C">
        <w:rPr>
          <w:rFonts w:eastAsia="MS Mincho"/>
          <w:lang w:val="en-US"/>
        </w:rPr>
        <w:t>)</w:t>
      </w:r>
      <w:r w:rsidR="00F85A89" w:rsidRPr="00E5792C">
        <w:rPr>
          <w:rFonts w:eastAsia="MS Mincho"/>
          <w:lang w:val="en-US"/>
        </w:rPr>
        <w:t xml:space="preserve">. </w:t>
      </w:r>
      <w:r w:rsidR="00AC6B72" w:rsidRPr="00E5792C">
        <w:rPr>
          <w:rFonts w:eastAsia="MS Mincho"/>
          <w:lang w:val="en-US"/>
        </w:rPr>
        <w:t xml:space="preserve">We did not implement the HK correction in sensitivity analyses </w:t>
      </w:r>
      <w:r w:rsidR="007545B9" w:rsidRPr="00E5792C">
        <w:rPr>
          <w:rFonts w:eastAsia="MS Mincho"/>
          <w:lang w:val="en-US"/>
        </w:rPr>
        <w:t>since the</w:t>
      </w:r>
      <w:r w:rsidR="00AC6B72" w:rsidRPr="00E5792C">
        <w:rPr>
          <w:rFonts w:eastAsia="MS Mincho"/>
          <w:lang w:val="en-US"/>
        </w:rPr>
        <w:t xml:space="preserve"> number of studies was low (≤4)</w:t>
      </w:r>
      <w:r w:rsidR="007545B9" w:rsidRPr="00E5792C">
        <w:rPr>
          <w:rFonts w:eastAsia="MS Mincho"/>
          <w:lang w:val="en-US"/>
        </w:rPr>
        <w:t xml:space="preserve"> and the underlying distribution</w:t>
      </w:r>
      <w:r w:rsidR="00AC6B72" w:rsidRPr="00E5792C">
        <w:rPr>
          <w:rFonts w:eastAsia="MS Mincho"/>
          <w:lang w:val="en-US"/>
        </w:rPr>
        <w:t xml:space="preserve"> </w:t>
      </w:r>
      <w:r w:rsidR="007545B9" w:rsidRPr="00E5792C">
        <w:rPr>
          <w:rFonts w:eastAsia="MS Mincho"/>
          <w:lang w:val="en-US"/>
        </w:rPr>
        <w:t>of the treatment effect with 3 or less degrees of freedom could substantially deviate from both the t- and the normal distribution, rendering the calculation of corrected 95% confidence intervals problematic</w:t>
      </w:r>
      <w:r w:rsidR="00703B7D" w:rsidRPr="00E5792C">
        <w:rPr>
          <w:rFonts w:eastAsia="MS Mincho"/>
          <w:lang w:val="en-US"/>
        </w:rPr>
        <w:t>.</w:t>
      </w:r>
      <w:r w:rsidR="0007599E" w:rsidRPr="00E5792C">
        <w:rPr>
          <w:rFonts w:eastAsia="MS Mincho"/>
          <w:vertAlign w:val="superscript"/>
          <w:lang w:val="en-US"/>
        </w:rPr>
        <w:t>36</w:t>
      </w:r>
      <w:bookmarkEnd w:id="10"/>
      <w:r w:rsidR="0049477D" w:rsidRPr="00E5792C">
        <w:rPr>
          <w:rFonts w:eastAsia="MS Mincho"/>
          <w:lang w:val="en-US"/>
        </w:rPr>
        <w:t xml:space="preserve"> </w:t>
      </w:r>
      <w:r w:rsidR="000C7BA0" w:rsidRPr="00E5792C">
        <w:rPr>
          <w:rFonts w:eastAsia="MS Mincho"/>
          <w:lang w:val="en-US"/>
        </w:rPr>
        <w:t>In addition, r</w:t>
      </w:r>
      <w:r w:rsidR="00AD0C6C" w:rsidRPr="00E5792C">
        <w:rPr>
          <w:rFonts w:eastAsia="MS Mincho"/>
          <w:lang w:val="en-US"/>
        </w:rPr>
        <w:t>andom-effects meta-regression was performed t</w:t>
      </w:r>
      <w:r w:rsidR="0097786B" w:rsidRPr="00E5792C">
        <w:rPr>
          <w:rFonts w:eastAsia="MS Mincho"/>
          <w:lang w:val="en-US"/>
        </w:rPr>
        <w:t>o estimate the contribution of study moderators to the overall heterogeneity</w:t>
      </w:r>
      <w:r w:rsidR="00A3466D" w:rsidRPr="00E5792C">
        <w:rPr>
          <w:rFonts w:eastAsia="MS Mincho"/>
          <w:lang w:val="en-US"/>
        </w:rPr>
        <w:t xml:space="preserve"> for </w:t>
      </w:r>
      <w:r w:rsidR="00FF0C28" w:rsidRPr="00E5792C">
        <w:rPr>
          <w:rFonts w:eastAsia="MS Mincho"/>
          <w:lang w:val="en-US"/>
        </w:rPr>
        <w:t xml:space="preserve">the combined endpoint </w:t>
      </w:r>
      <w:r w:rsidR="003C5196" w:rsidRPr="00E5792C">
        <w:rPr>
          <w:rFonts w:eastAsia="MS Mincho"/>
          <w:lang w:val="en-US"/>
        </w:rPr>
        <w:t>thr</w:t>
      </w:r>
      <w:r w:rsidR="00B564EB" w:rsidRPr="00E5792C">
        <w:rPr>
          <w:rFonts w:eastAsia="MS Mincho"/>
          <w:lang w:val="en-US"/>
        </w:rPr>
        <w:t>o</w:t>
      </w:r>
      <w:r w:rsidR="003C5196" w:rsidRPr="00E5792C">
        <w:rPr>
          <w:rFonts w:eastAsia="MS Mincho"/>
          <w:lang w:val="en-US"/>
        </w:rPr>
        <w:t xml:space="preserve">ughout the selected </w:t>
      </w:r>
      <w:r w:rsidR="00A3466D" w:rsidRPr="00E5792C">
        <w:rPr>
          <w:rFonts w:eastAsia="MS Mincho"/>
          <w:lang w:val="en-US"/>
        </w:rPr>
        <w:t>individual</w:t>
      </w:r>
      <w:r w:rsidR="00A3466D" w:rsidRPr="00E5792C">
        <w:rPr>
          <w:rFonts w:eastAsia="MS Mincho"/>
          <w:noProof/>
          <w:lang w:val="en-US"/>
        </w:rPr>
        <w:t xml:space="preserve"> studies</w:t>
      </w:r>
      <w:r w:rsidR="0097786B" w:rsidRPr="00E5792C">
        <w:rPr>
          <w:rFonts w:eastAsia="MS Mincho"/>
          <w:lang w:val="en-US"/>
        </w:rPr>
        <w:t xml:space="preserve">. </w:t>
      </w:r>
      <w:r w:rsidR="000C7BA0" w:rsidRPr="00E5792C">
        <w:rPr>
          <w:rFonts w:eastAsia="MS Mincho"/>
          <w:lang w:val="en-US"/>
        </w:rPr>
        <w:t>Due to</w:t>
      </w:r>
      <w:r w:rsidR="00D83D09" w:rsidRPr="00E5792C">
        <w:rPr>
          <w:rFonts w:eastAsia="MS Mincho"/>
          <w:lang w:val="en-US"/>
        </w:rPr>
        <w:t xml:space="preserve"> the</w:t>
      </w:r>
      <w:r w:rsidR="000C7BA0" w:rsidRPr="00E5792C">
        <w:rPr>
          <w:rFonts w:eastAsia="MS Mincho"/>
          <w:lang w:val="en-US"/>
        </w:rPr>
        <w:t xml:space="preserve"> small number of included studies, dedicated sub-group analysis was not performed.</w:t>
      </w:r>
      <w:r w:rsidR="000F5295" w:rsidRPr="00E5792C">
        <w:rPr>
          <w:rFonts w:eastAsia="MS Mincho"/>
          <w:vertAlign w:val="superscript"/>
          <w:lang w:val="en-US"/>
        </w:rPr>
        <w:t>37</w:t>
      </w:r>
    </w:p>
    <w:p w14:paraId="15C98CEC" w14:textId="6747F33F" w:rsidR="008B4E65" w:rsidRPr="00E5792C" w:rsidRDefault="0097786B" w:rsidP="00E5792C">
      <w:pPr>
        <w:spacing w:line="480" w:lineRule="auto"/>
        <w:jc w:val="both"/>
        <w:rPr>
          <w:rFonts w:eastAsia="MS Mincho"/>
          <w:lang w:val="en-US"/>
        </w:rPr>
      </w:pPr>
      <w:r w:rsidRPr="00E5792C">
        <w:rPr>
          <w:rFonts w:eastAsia="MS Mincho"/>
          <w:lang w:val="en-US"/>
        </w:rPr>
        <w:t>The presence of publication bias was investigated graphically by funnel plots of precision</w:t>
      </w:r>
      <w:r w:rsidR="005D2DB3" w:rsidRPr="00E5792C">
        <w:rPr>
          <w:rFonts w:eastAsia="MS Mincho"/>
          <w:lang w:val="en-US"/>
        </w:rPr>
        <w:t>,</w:t>
      </w:r>
      <w:r w:rsidRPr="00E5792C">
        <w:rPr>
          <w:rFonts w:eastAsia="MS Mincho"/>
          <w:lang w:val="en-US"/>
        </w:rPr>
        <w:t xml:space="preserve"> and statistically by regression tests for asymmetry. The Egger test </w:t>
      </w:r>
      <w:r w:rsidR="00E9204F" w:rsidRPr="00E5792C">
        <w:rPr>
          <w:rFonts w:eastAsia="MS Mincho"/>
          <w:lang w:val="en-US"/>
        </w:rPr>
        <w:t xml:space="preserve">and </w:t>
      </w:r>
      <w:r w:rsidRPr="00E5792C">
        <w:rPr>
          <w:rFonts w:eastAsia="MS Mincho"/>
          <w:lang w:val="en-US"/>
        </w:rPr>
        <w:t>the Begg</w:t>
      </w:r>
      <w:r w:rsidR="00332D2D" w:rsidRPr="00E5792C">
        <w:rPr>
          <w:rFonts w:eastAsia="MS Mincho"/>
          <w:lang w:val="en-US"/>
        </w:rPr>
        <w:t xml:space="preserve"> and </w:t>
      </w:r>
      <w:r w:rsidRPr="00E5792C">
        <w:rPr>
          <w:rFonts w:eastAsia="MS Mincho"/>
          <w:lang w:val="en-US"/>
        </w:rPr>
        <w:t xml:space="preserve">Mazumdar test </w:t>
      </w:r>
      <w:r w:rsidRPr="00E5792C">
        <w:rPr>
          <w:rFonts w:eastAsia="MS Mincho"/>
          <w:noProof/>
          <w:lang w:val="en-US"/>
        </w:rPr>
        <w:t>were implemented</w:t>
      </w:r>
      <w:r w:rsidR="00E9204F" w:rsidRPr="00E5792C">
        <w:rPr>
          <w:rFonts w:eastAsia="MS Mincho"/>
          <w:lang w:val="en-US"/>
        </w:rPr>
        <w:t>. We</w:t>
      </w:r>
      <w:r w:rsidR="00AD0C6C" w:rsidRPr="00E5792C">
        <w:rPr>
          <w:rFonts w:eastAsia="MS Mincho"/>
          <w:lang w:val="en-US"/>
        </w:rPr>
        <w:t xml:space="preserve"> </w:t>
      </w:r>
      <w:r w:rsidR="00705508" w:rsidRPr="00E5792C">
        <w:rPr>
          <w:rFonts w:eastAsia="MS Mincho"/>
          <w:lang w:val="en-US"/>
        </w:rPr>
        <w:t xml:space="preserve">also </w:t>
      </w:r>
      <w:r w:rsidRPr="00E5792C">
        <w:rPr>
          <w:rFonts w:eastAsia="MS Mincho"/>
          <w:lang w:val="en-US"/>
        </w:rPr>
        <w:t xml:space="preserve">performed a linear regression of the intervention effect estimates on their </w:t>
      </w:r>
      <w:r w:rsidRPr="00E5792C">
        <w:rPr>
          <w:rFonts w:eastAsia="MS Mincho"/>
          <w:lang w:val="en-US"/>
        </w:rPr>
        <w:lastRenderedPageBreak/>
        <w:t>standard errors</w:t>
      </w:r>
      <w:r w:rsidRPr="00E5792C">
        <w:rPr>
          <w:lang w:val="en-US"/>
        </w:rPr>
        <w:t xml:space="preserve"> </w:t>
      </w:r>
      <w:r w:rsidRPr="00E5792C">
        <w:rPr>
          <w:rFonts w:eastAsia="MS Mincho"/>
          <w:lang w:val="en-US"/>
        </w:rPr>
        <w:t>weighting by 1</w:t>
      </w:r>
      <w:r w:rsidR="00DF02F2" w:rsidRPr="00E5792C">
        <w:rPr>
          <w:rFonts w:eastAsia="MS Mincho"/>
          <w:lang w:val="en-US"/>
        </w:rPr>
        <w:t>/(</w:t>
      </w:r>
      <w:r w:rsidRPr="00E5792C">
        <w:rPr>
          <w:rFonts w:eastAsia="MS Mincho"/>
          <w:lang w:val="en-US"/>
        </w:rPr>
        <w:t>variance of the intervention effect estimate).</w:t>
      </w:r>
      <w:r w:rsidR="008B4E65" w:rsidRPr="00E5792C">
        <w:rPr>
          <w:rFonts w:eastAsia="MS Mincho"/>
          <w:lang w:val="en-US"/>
        </w:rPr>
        <w:t xml:space="preserve"> </w:t>
      </w:r>
      <w:r w:rsidRPr="00E5792C">
        <w:rPr>
          <w:rFonts w:eastAsia="MS Mincho"/>
          <w:lang w:val="en-US"/>
        </w:rPr>
        <w:t xml:space="preserve">Statistical analysis </w:t>
      </w:r>
      <w:r w:rsidRPr="00E5792C">
        <w:rPr>
          <w:rFonts w:eastAsia="MS Mincho"/>
          <w:noProof/>
          <w:lang w:val="en-US"/>
        </w:rPr>
        <w:t>was performed</w:t>
      </w:r>
      <w:r w:rsidRPr="00E5792C">
        <w:rPr>
          <w:rFonts w:eastAsia="MS Mincho"/>
          <w:lang w:val="en-US"/>
        </w:rPr>
        <w:t xml:space="preserve"> with</w:t>
      </w:r>
      <w:r w:rsidRPr="00E5792C">
        <w:rPr>
          <w:lang w:val="en-US"/>
        </w:rPr>
        <w:t xml:space="preserve"> STATA </w:t>
      </w:r>
      <w:r w:rsidR="00332D2D" w:rsidRPr="00E5792C">
        <w:rPr>
          <w:lang w:val="en-US"/>
        </w:rPr>
        <w:t>V</w:t>
      </w:r>
      <w:r w:rsidRPr="00E5792C">
        <w:rPr>
          <w:lang w:val="en-US"/>
        </w:rPr>
        <w:t>1</w:t>
      </w:r>
      <w:r w:rsidR="0081212B" w:rsidRPr="00E5792C">
        <w:rPr>
          <w:lang w:val="en-US"/>
        </w:rPr>
        <w:t>2</w:t>
      </w:r>
      <w:r w:rsidRPr="00E5792C">
        <w:rPr>
          <w:lang w:val="en-US"/>
        </w:rPr>
        <w:t>.1 (StataCorp, College Station, Texas</w:t>
      </w:r>
      <w:r w:rsidR="00332D2D" w:rsidRPr="00E5792C">
        <w:rPr>
          <w:lang w:val="en-US"/>
        </w:rPr>
        <w:t>,</w:t>
      </w:r>
      <w:r w:rsidRPr="00E5792C">
        <w:rPr>
          <w:lang w:val="en-US"/>
        </w:rPr>
        <w:t xml:space="preserve"> USA). </w:t>
      </w:r>
      <w:r w:rsidR="00705508" w:rsidRPr="00E5792C">
        <w:rPr>
          <w:lang w:val="en-US" w:eastAsia="en-GB"/>
        </w:rPr>
        <w:t>The module "</w:t>
      </w:r>
      <w:r w:rsidR="0081212B" w:rsidRPr="00E5792C">
        <w:rPr>
          <w:lang w:val="en-US" w:eastAsia="en-GB"/>
        </w:rPr>
        <w:t>ad</w:t>
      </w:r>
      <w:r w:rsidR="00705508" w:rsidRPr="00E5792C">
        <w:rPr>
          <w:noProof/>
          <w:lang w:val="en-US" w:eastAsia="en-GB"/>
        </w:rPr>
        <w:t>metan</w:t>
      </w:r>
      <w:r w:rsidR="00705508" w:rsidRPr="00E5792C">
        <w:rPr>
          <w:lang w:val="en-US" w:eastAsia="en-GB"/>
        </w:rPr>
        <w:t xml:space="preserve">" was used for meta-analysis in STATA. </w:t>
      </w:r>
      <w:r w:rsidR="004240C5" w:rsidRPr="00E5792C">
        <w:rPr>
          <w:lang w:val="en-US" w:eastAsia="en-GB"/>
        </w:rPr>
        <w:t>Two-tailed values of P&lt;0.05 were deemed significant.</w:t>
      </w:r>
    </w:p>
    <w:p w14:paraId="4167CEEA" w14:textId="77777777" w:rsidR="00C16D93" w:rsidRPr="00E5792C" w:rsidRDefault="00C16D93" w:rsidP="00E5792C">
      <w:pPr>
        <w:autoSpaceDE w:val="0"/>
        <w:autoSpaceDN w:val="0"/>
        <w:adjustRightInd w:val="0"/>
        <w:spacing w:line="480" w:lineRule="auto"/>
        <w:jc w:val="both"/>
        <w:rPr>
          <w:b/>
          <w:bCs/>
          <w:lang w:val="en-US"/>
        </w:rPr>
      </w:pPr>
    </w:p>
    <w:p w14:paraId="7B14D8AF" w14:textId="69C99860" w:rsidR="00713468" w:rsidRPr="00E5792C" w:rsidRDefault="0097786B" w:rsidP="00E5792C">
      <w:pPr>
        <w:autoSpaceDE w:val="0"/>
        <w:autoSpaceDN w:val="0"/>
        <w:adjustRightInd w:val="0"/>
        <w:spacing w:line="480" w:lineRule="auto"/>
        <w:jc w:val="both"/>
        <w:rPr>
          <w:b/>
          <w:bCs/>
          <w:lang w:val="en-US"/>
        </w:rPr>
      </w:pPr>
      <w:r w:rsidRPr="00E5792C">
        <w:rPr>
          <w:b/>
          <w:bCs/>
          <w:lang w:val="en-US"/>
        </w:rPr>
        <w:t>RESULTS</w:t>
      </w:r>
    </w:p>
    <w:p w14:paraId="2BD0A5C4" w14:textId="0EB2C3F9" w:rsidR="0097786B" w:rsidRPr="00E5792C" w:rsidRDefault="0097786B" w:rsidP="00E5792C">
      <w:pPr>
        <w:autoSpaceDE w:val="0"/>
        <w:autoSpaceDN w:val="0"/>
        <w:adjustRightInd w:val="0"/>
        <w:spacing w:line="480" w:lineRule="auto"/>
        <w:jc w:val="both"/>
        <w:rPr>
          <w:b/>
          <w:bCs/>
          <w:lang w:val="en-US"/>
        </w:rPr>
      </w:pPr>
      <w:r w:rsidRPr="00E5792C">
        <w:rPr>
          <w:b/>
          <w:bCs/>
          <w:lang w:val="en-US"/>
        </w:rPr>
        <w:t>Literature Search</w:t>
      </w:r>
    </w:p>
    <w:p w14:paraId="3CD9E854" w14:textId="700A173F" w:rsidR="00713468" w:rsidRPr="00E5792C" w:rsidRDefault="0097786B" w:rsidP="00E5792C">
      <w:pPr>
        <w:spacing w:line="480" w:lineRule="auto"/>
        <w:jc w:val="both"/>
        <w:rPr>
          <w:lang w:val="en-US"/>
        </w:rPr>
      </w:pPr>
      <w:r w:rsidRPr="00E5792C">
        <w:rPr>
          <w:lang w:val="en-US"/>
        </w:rPr>
        <w:t>The results of the literature search</w:t>
      </w:r>
      <w:r w:rsidR="002654B1" w:rsidRPr="00E5792C">
        <w:rPr>
          <w:lang w:val="en-US"/>
        </w:rPr>
        <w:t xml:space="preserve"> are depicted </w:t>
      </w:r>
      <w:r w:rsidRPr="00E5792C">
        <w:rPr>
          <w:lang w:val="en-US"/>
        </w:rPr>
        <w:t xml:space="preserve">in </w:t>
      </w:r>
      <w:r w:rsidRPr="00E5792C">
        <w:rPr>
          <w:b/>
          <w:bCs/>
          <w:lang w:val="en-US"/>
        </w:rPr>
        <w:t>Figure 1</w:t>
      </w:r>
      <w:r w:rsidRPr="00E5792C">
        <w:rPr>
          <w:lang w:val="en-US"/>
        </w:rPr>
        <w:t xml:space="preserve">. We retrieved </w:t>
      </w:r>
      <w:r w:rsidR="00345487" w:rsidRPr="00E5792C">
        <w:rPr>
          <w:lang w:val="en-US"/>
        </w:rPr>
        <w:t>2</w:t>
      </w:r>
      <w:r w:rsidR="003B5B15" w:rsidRPr="00E5792C">
        <w:rPr>
          <w:lang w:val="en-US"/>
        </w:rPr>
        <w:t>,</w:t>
      </w:r>
      <w:r w:rsidR="00345487" w:rsidRPr="00E5792C">
        <w:rPr>
          <w:lang w:val="en-US"/>
        </w:rPr>
        <w:t>422</w:t>
      </w:r>
      <w:r w:rsidR="007E129A" w:rsidRPr="00E5792C">
        <w:rPr>
          <w:lang w:val="en-US"/>
        </w:rPr>
        <w:t xml:space="preserve"> </w:t>
      </w:r>
      <w:r w:rsidRPr="00E5792C">
        <w:rPr>
          <w:lang w:val="en-US"/>
        </w:rPr>
        <w:t xml:space="preserve">articles </w:t>
      </w:r>
      <w:r w:rsidR="00C44399" w:rsidRPr="00E5792C">
        <w:rPr>
          <w:lang w:val="en-US"/>
        </w:rPr>
        <w:t>and a</w:t>
      </w:r>
      <w:r w:rsidR="003962F6" w:rsidRPr="00E5792C">
        <w:rPr>
          <w:lang w:val="en-US"/>
        </w:rPr>
        <w:t xml:space="preserve">fter </w:t>
      </w:r>
      <w:r w:rsidR="00AF697A" w:rsidRPr="00E5792C">
        <w:rPr>
          <w:lang w:val="en-US"/>
        </w:rPr>
        <w:t xml:space="preserve">discarding </w:t>
      </w:r>
      <w:r w:rsidR="003962F6" w:rsidRPr="00E5792C">
        <w:rPr>
          <w:lang w:val="en-US"/>
        </w:rPr>
        <w:t>duplicates (</w:t>
      </w:r>
      <w:r w:rsidR="004240C5" w:rsidRPr="00E5792C">
        <w:rPr>
          <w:lang w:val="en-US"/>
        </w:rPr>
        <w:t>n=</w:t>
      </w:r>
      <w:r w:rsidR="00345487" w:rsidRPr="00E5792C">
        <w:rPr>
          <w:lang w:val="en-US"/>
        </w:rPr>
        <w:t>1</w:t>
      </w:r>
      <w:r w:rsidR="00BD4A17" w:rsidRPr="00E5792C">
        <w:rPr>
          <w:lang w:val="en-US"/>
        </w:rPr>
        <w:t>,</w:t>
      </w:r>
      <w:r w:rsidR="00345487" w:rsidRPr="00E5792C">
        <w:rPr>
          <w:lang w:val="en-US"/>
        </w:rPr>
        <w:t>051</w:t>
      </w:r>
      <w:r w:rsidR="003962F6" w:rsidRPr="00E5792C">
        <w:rPr>
          <w:lang w:val="en-US"/>
        </w:rPr>
        <w:t xml:space="preserve">), the title and abstract of the remaining </w:t>
      </w:r>
      <w:r w:rsidR="00811A24" w:rsidRPr="00E5792C">
        <w:rPr>
          <w:lang w:val="en-US"/>
        </w:rPr>
        <w:t>1</w:t>
      </w:r>
      <w:r w:rsidR="003B5B15" w:rsidRPr="00E5792C">
        <w:rPr>
          <w:lang w:val="en-US"/>
        </w:rPr>
        <w:t>,</w:t>
      </w:r>
      <w:r w:rsidR="00345487" w:rsidRPr="00E5792C">
        <w:rPr>
          <w:lang w:val="en-US"/>
        </w:rPr>
        <w:t>371</w:t>
      </w:r>
      <w:r w:rsidR="003962F6" w:rsidRPr="00E5792C">
        <w:rPr>
          <w:lang w:val="en-US"/>
        </w:rPr>
        <w:t xml:space="preserve"> articles </w:t>
      </w:r>
      <w:r w:rsidR="003962F6" w:rsidRPr="00E5792C">
        <w:rPr>
          <w:noProof/>
          <w:lang w:val="en-US"/>
        </w:rPr>
        <w:t>were</w:t>
      </w:r>
      <w:r w:rsidR="002C7C35" w:rsidRPr="00E5792C">
        <w:rPr>
          <w:noProof/>
          <w:lang w:val="en-US"/>
        </w:rPr>
        <w:t xml:space="preserve"> </w:t>
      </w:r>
      <w:r w:rsidR="003962F6" w:rsidRPr="00E5792C">
        <w:rPr>
          <w:noProof/>
          <w:lang w:val="en-US"/>
        </w:rPr>
        <w:t>screened</w:t>
      </w:r>
      <w:r w:rsidR="003962F6" w:rsidRPr="00E5792C">
        <w:rPr>
          <w:lang w:val="en-US"/>
        </w:rPr>
        <w:t xml:space="preserve"> and </w:t>
      </w:r>
      <w:r w:rsidR="00811A24" w:rsidRPr="00E5792C">
        <w:rPr>
          <w:lang w:val="en-US"/>
        </w:rPr>
        <w:t>1</w:t>
      </w:r>
      <w:r w:rsidR="00493B95" w:rsidRPr="00E5792C">
        <w:rPr>
          <w:lang w:val="en-US"/>
        </w:rPr>
        <w:t>,</w:t>
      </w:r>
      <w:r w:rsidR="00345487" w:rsidRPr="00E5792C">
        <w:rPr>
          <w:lang w:val="en-US"/>
        </w:rPr>
        <w:t>298</w:t>
      </w:r>
      <w:r w:rsidR="003962F6" w:rsidRPr="00E5792C">
        <w:rPr>
          <w:lang w:val="en-US"/>
        </w:rPr>
        <w:t xml:space="preserve"> records </w:t>
      </w:r>
      <w:r w:rsidR="003962F6" w:rsidRPr="00E5792C">
        <w:rPr>
          <w:noProof/>
          <w:lang w:val="en-US"/>
        </w:rPr>
        <w:t>were</w:t>
      </w:r>
      <w:r w:rsidR="006132F5" w:rsidRPr="00E5792C">
        <w:rPr>
          <w:noProof/>
          <w:lang w:val="en-US"/>
        </w:rPr>
        <w:t xml:space="preserve"> </w:t>
      </w:r>
      <w:r w:rsidR="003962F6" w:rsidRPr="00E5792C">
        <w:rPr>
          <w:noProof/>
          <w:lang w:val="en-US"/>
        </w:rPr>
        <w:t>excluded</w:t>
      </w:r>
      <w:r w:rsidR="003962F6" w:rsidRPr="00E5792C">
        <w:rPr>
          <w:lang w:val="en-US"/>
        </w:rPr>
        <w:t xml:space="preserve">. </w:t>
      </w:r>
      <w:r w:rsidR="003962F6" w:rsidRPr="00E5792C">
        <w:rPr>
          <w:noProof/>
          <w:lang w:val="en-US"/>
        </w:rPr>
        <w:t>Full</w:t>
      </w:r>
      <w:r w:rsidR="00AD0C6C" w:rsidRPr="00E5792C">
        <w:rPr>
          <w:noProof/>
          <w:lang w:val="en-US"/>
        </w:rPr>
        <w:t>-</w:t>
      </w:r>
      <w:r w:rsidR="003962F6" w:rsidRPr="00E5792C">
        <w:rPr>
          <w:noProof/>
          <w:lang w:val="en-US"/>
        </w:rPr>
        <w:t>text</w:t>
      </w:r>
      <w:r w:rsidR="003962F6" w:rsidRPr="00E5792C">
        <w:rPr>
          <w:lang w:val="en-US"/>
        </w:rPr>
        <w:t xml:space="preserve"> articles of the remaining 73 records were retrieved and examined</w:t>
      </w:r>
      <w:r w:rsidR="000B7DDD" w:rsidRPr="00E5792C">
        <w:rPr>
          <w:lang w:val="en-US"/>
        </w:rPr>
        <w:t>.</w:t>
      </w:r>
      <w:r w:rsidR="003962F6" w:rsidRPr="00E5792C">
        <w:rPr>
          <w:lang w:val="en-US"/>
        </w:rPr>
        <w:t xml:space="preserve"> </w:t>
      </w:r>
      <w:r w:rsidR="000B7DDD" w:rsidRPr="00E5792C">
        <w:rPr>
          <w:lang w:val="en-US"/>
        </w:rPr>
        <w:t>U</w:t>
      </w:r>
      <w:r w:rsidR="003962F6" w:rsidRPr="00E5792C">
        <w:rPr>
          <w:lang w:val="en-US"/>
        </w:rPr>
        <w:t>ltimately</w:t>
      </w:r>
      <w:r w:rsidR="00BD4A17" w:rsidRPr="00E5792C">
        <w:rPr>
          <w:lang w:val="en-US"/>
        </w:rPr>
        <w:t>,</w:t>
      </w:r>
      <w:r w:rsidR="00453303" w:rsidRPr="00E5792C">
        <w:rPr>
          <w:lang w:val="en-US"/>
        </w:rPr>
        <w:t xml:space="preserve"> </w:t>
      </w:r>
      <w:r w:rsidR="00BD4A17" w:rsidRPr="00E5792C">
        <w:rPr>
          <w:lang w:val="en-US"/>
        </w:rPr>
        <w:t>62</w:t>
      </w:r>
      <w:r w:rsidR="00345487" w:rsidRPr="00E5792C">
        <w:rPr>
          <w:lang w:val="en-US"/>
        </w:rPr>
        <w:t xml:space="preserve"> </w:t>
      </w:r>
      <w:r w:rsidR="00453303" w:rsidRPr="00E5792C">
        <w:rPr>
          <w:lang w:val="en-US"/>
        </w:rPr>
        <w:t xml:space="preserve">studies were </w:t>
      </w:r>
      <w:r w:rsidR="00BD4A17" w:rsidRPr="00E5792C">
        <w:rPr>
          <w:lang w:val="en-US"/>
        </w:rPr>
        <w:t>deemed no</w:t>
      </w:r>
      <w:r w:rsidR="00B564EB" w:rsidRPr="00E5792C">
        <w:rPr>
          <w:lang w:val="en-US"/>
        </w:rPr>
        <w:t>t</w:t>
      </w:r>
      <w:r w:rsidR="00BD4A17" w:rsidRPr="00E5792C">
        <w:rPr>
          <w:lang w:val="en-US"/>
        </w:rPr>
        <w:t xml:space="preserve"> eligible</w:t>
      </w:r>
      <w:r w:rsidR="00345487" w:rsidRPr="00E5792C">
        <w:rPr>
          <w:lang w:val="en-US"/>
        </w:rPr>
        <w:t xml:space="preserve"> (see </w:t>
      </w:r>
      <w:r w:rsidR="00622526" w:rsidRPr="00E5792C">
        <w:rPr>
          <w:b/>
          <w:bCs/>
          <w:lang w:val="en-US"/>
        </w:rPr>
        <w:t>Supplementary File</w:t>
      </w:r>
      <w:r w:rsidR="00345487" w:rsidRPr="00E5792C">
        <w:rPr>
          <w:lang w:val="en-US"/>
        </w:rPr>
        <w:t>)</w:t>
      </w:r>
      <w:r w:rsidR="00BD4A17" w:rsidRPr="00E5792C">
        <w:rPr>
          <w:vertAlign w:val="superscript"/>
          <w:lang w:val="en-US"/>
        </w:rPr>
        <w:t xml:space="preserve"> </w:t>
      </w:r>
      <w:r w:rsidR="00BD4A17" w:rsidRPr="00E5792C">
        <w:rPr>
          <w:lang w:val="en-US"/>
        </w:rPr>
        <w:t>and</w:t>
      </w:r>
      <w:r w:rsidR="00453303" w:rsidRPr="00E5792C">
        <w:rPr>
          <w:lang w:val="en-US"/>
        </w:rPr>
        <w:t xml:space="preserve"> </w:t>
      </w:r>
      <w:r w:rsidR="00BD4A17" w:rsidRPr="00E5792C">
        <w:rPr>
          <w:lang w:val="en-US"/>
        </w:rPr>
        <w:t>the remain</w:t>
      </w:r>
      <w:r w:rsidR="00B564EB" w:rsidRPr="00E5792C">
        <w:rPr>
          <w:lang w:val="en-US"/>
        </w:rPr>
        <w:t>in</w:t>
      </w:r>
      <w:r w:rsidR="00BD4A17" w:rsidRPr="00E5792C">
        <w:rPr>
          <w:lang w:val="en-US"/>
        </w:rPr>
        <w:t xml:space="preserve">g </w:t>
      </w:r>
      <w:r w:rsidR="00622526" w:rsidRPr="00E5792C">
        <w:rPr>
          <w:lang w:val="en-US"/>
        </w:rPr>
        <w:t>11</w:t>
      </w:r>
      <w:r w:rsidR="003962F6" w:rsidRPr="00E5792C">
        <w:rPr>
          <w:lang w:val="en-US"/>
        </w:rPr>
        <w:t xml:space="preserve"> </w:t>
      </w:r>
      <w:r w:rsidR="00BD4A17" w:rsidRPr="00E5792C">
        <w:rPr>
          <w:lang w:val="en-US"/>
        </w:rPr>
        <w:t xml:space="preserve">studies </w:t>
      </w:r>
      <w:r w:rsidR="003962F6" w:rsidRPr="00E5792C">
        <w:rPr>
          <w:lang w:val="en-US"/>
        </w:rPr>
        <w:t>were selected for quantitative analysis</w:t>
      </w:r>
      <w:r w:rsidR="00CF4DEA" w:rsidRPr="00E5792C">
        <w:rPr>
          <w:lang w:val="en-US"/>
        </w:rPr>
        <w:t>.</w:t>
      </w:r>
      <w:r w:rsidR="00622526" w:rsidRPr="00E5792C">
        <w:rPr>
          <w:vertAlign w:val="superscript"/>
          <w:lang w:val="en-US"/>
        </w:rPr>
        <w:t>1</w:t>
      </w:r>
      <w:r w:rsidR="00D55499" w:rsidRPr="00E5792C">
        <w:rPr>
          <w:vertAlign w:val="superscript"/>
          <w:lang w:val="en-US"/>
        </w:rPr>
        <w:t>2</w:t>
      </w:r>
      <w:r w:rsidR="00622526" w:rsidRPr="00E5792C">
        <w:rPr>
          <w:vertAlign w:val="superscript"/>
          <w:lang w:val="en-US"/>
        </w:rPr>
        <w:t>-1</w:t>
      </w:r>
      <w:r w:rsidR="00D55499" w:rsidRPr="00E5792C">
        <w:rPr>
          <w:vertAlign w:val="superscript"/>
          <w:lang w:val="en-US"/>
        </w:rPr>
        <w:t>7</w:t>
      </w:r>
      <w:r w:rsidR="00622526" w:rsidRPr="00E5792C">
        <w:rPr>
          <w:vertAlign w:val="superscript"/>
          <w:lang w:val="en-US"/>
        </w:rPr>
        <w:t>, 1</w:t>
      </w:r>
      <w:r w:rsidR="00D55499" w:rsidRPr="00E5792C">
        <w:rPr>
          <w:vertAlign w:val="superscript"/>
          <w:lang w:val="en-US"/>
        </w:rPr>
        <w:t>9</w:t>
      </w:r>
      <w:r w:rsidR="00622526" w:rsidRPr="00E5792C">
        <w:rPr>
          <w:vertAlign w:val="superscript"/>
          <w:lang w:val="en-US"/>
        </w:rPr>
        <w:t>-2</w:t>
      </w:r>
      <w:r w:rsidR="00D55499" w:rsidRPr="00E5792C">
        <w:rPr>
          <w:vertAlign w:val="superscript"/>
          <w:lang w:val="en-US"/>
        </w:rPr>
        <w:t>3</w:t>
      </w:r>
      <w:r w:rsidR="00624C36" w:rsidRPr="00E5792C">
        <w:rPr>
          <w:lang w:val="en-US"/>
        </w:rPr>
        <w:t xml:space="preserve"> </w:t>
      </w:r>
    </w:p>
    <w:p w14:paraId="47EE2BA5" w14:textId="64DE3D13" w:rsidR="00F947F1" w:rsidRPr="00E5792C" w:rsidRDefault="0097786B" w:rsidP="00E5792C">
      <w:pPr>
        <w:autoSpaceDE w:val="0"/>
        <w:autoSpaceDN w:val="0"/>
        <w:adjustRightInd w:val="0"/>
        <w:spacing w:line="480" w:lineRule="auto"/>
        <w:jc w:val="both"/>
        <w:rPr>
          <w:bCs/>
          <w:lang w:val="en-US"/>
        </w:rPr>
      </w:pPr>
      <w:r w:rsidRPr="00E5792C">
        <w:rPr>
          <w:b/>
          <w:bCs/>
          <w:lang w:val="en-US"/>
        </w:rPr>
        <w:t>Study characteristics</w:t>
      </w:r>
    </w:p>
    <w:p w14:paraId="21EE10D1" w14:textId="4A48C835" w:rsidR="00713468" w:rsidRPr="00E5792C" w:rsidRDefault="0097786B" w:rsidP="00E5792C">
      <w:pPr>
        <w:autoSpaceDE w:val="0"/>
        <w:autoSpaceDN w:val="0"/>
        <w:adjustRightInd w:val="0"/>
        <w:spacing w:line="480" w:lineRule="auto"/>
        <w:jc w:val="both"/>
        <w:rPr>
          <w:rFonts w:eastAsia="MS Mincho"/>
          <w:lang w:val="en-US"/>
        </w:rPr>
      </w:pPr>
      <w:r w:rsidRPr="00E5792C">
        <w:rPr>
          <w:bCs/>
          <w:lang w:val="en-US"/>
        </w:rPr>
        <w:t xml:space="preserve">The meta-analysis included </w:t>
      </w:r>
      <w:r w:rsidR="0072444B" w:rsidRPr="00E5792C">
        <w:rPr>
          <w:bCs/>
          <w:lang w:val="en-US"/>
        </w:rPr>
        <w:t xml:space="preserve">11 </w:t>
      </w:r>
      <w:r w:rsidR="000C313E" w:rsidRPr="00E5792C">
        <w:rPr>
          <w:bCs/>
          <w:lang w:val="en-US"/>
        </w:rPr>
        <w:t xml:space="preserve">papers </w:t>
      </w:r>
      <w:r w:rsidRPr="00E5792C">
        <w:rPr>
          <w:bCs/>
          <w:lang w:val="en-US"/>
        </w:rPr>
        <w:t xml:space="preserve">with </w:t>
      </w:r>
      <w:r w:rsidR="000D059A" w:rsidRPr="00E5792C">
        <w:rPr>
          <w:bCs/>
          <w:lang w:val="en-US"/>
        </w:rPr>
        <w:t xml:space="preserve">11 </w:t>
      </w:r>
      <w:r w:rsidRPr="00E5792C">
        <w:rPr>
          <w:bCs/>
          <w:lang w:val="en-US"/>
        </w:rPr>
        <w:t xml:space="preserve">independent cohorts and a total of </w:t>
      </w:r>
      <w:bookmarkStart w:id="11" w:name="_Hlk532857608"/>
      <w:r w:rsidR="000D059A" w:rsidRPr="00E5792C">
        <w:rPr>
          <w:bCs/>
          <w:lang w:val="en-US"/>
        </w:rPr>
        <w:t>2,328</w:t>
      </w:r>
      <w:r w:rsidRPr="00E5792C">
        <w:rPr>
          <w:bCs/>
          <w:lang w:val="en-US"/>
        </w:rPr>
        <w:t xml:space="preserve"> patients </w:t>
      </w:r>
      <w:bookmarkEnd w:id="11"/>
      <w:r w:rsidRPr="00E5792C">
        <w:rPr>
          <w:bCs/>
          <w:lang w:val="en-US"/>
        </w:rPr>
        <w:t>(</w:t>
      </w:r>
      <w:r w:rsidRPr="00E5792C">
        <w:rPr>
          <w:b/>
          <w:lang w:val="en-US"/>
        </w:rPr>
        <w:t>Table 1</w:t>
      </w:r>
      <w:r w:rsidR="00B01ADB" w:rsidRPr="00E5792C">
        <w:rPr>
          <w:b/>
          <w:lang w:val="en-US"/>
        </w:rPr>
        <w:t xml:space="preserve">; </w:t>
      </w:r>
      <w:r w:rsidR="0071721D" w:rsidRPr="00E5792C">
        <w:rPr>
          <w:b/>
          <w:lang w:val="en-US"/>
        </w:rPr>
        <w:t>S</w:t>
      </w:r>
      <w:r w:rsidR="00A1334A" w:rsidRPr="00E5792C">
        <w:rPr>
          <w:b/>
          <w:lang w:val="en-US"/>
        </w:rPr>
        <w:t xml:space="preserve">upplementary </w:t>
      </w:r>
      <w:r w:rsidR="00B01ADB" w:rsidRPr="00E5792C">
        <w:rPr>
          <w:b/>
          <w:lang w:val="en-US"/>
        </w:rPr>
        <w:t xml:space="preserve">Table </w:t>
      </w:r>
      <w:r w:rsidR="00C41555" w:rsidRPr="00E5792C">
        <w:rPr>
          <w:b/>
          <w:lang w:val="en-US"/>
        </w:rPr>
        <w:t>4</w:t>
      </w:r>
      <w:r w:rsidR="00B01ADB" w:rsidRPr="00E5792C">
        <w:rPr>
          <w:b/>
          <w:lang w:val="en-US"/>
        </w:rPr>
        <w:t>S</w:t>
      </w:r>
      <w:r w:rsidRPr="00E5792C">
        <w:rPr>
          <w:bCs/>
          <w:lang w:val="en-US"/>
        </w:rPr>
        <w:t>).</w:t>
      </w:r>
      <w:r w:rsidR="000D059A" w:rsidRPr="00E5792C">
        <w:rPr>
          <w:bCs/>
          <w:lang w:val="en-US"/>
        </w:rPr>
        <w:t xml:space="preserve"> </w:t>
      </w:r>
      <w:r w:rsidR="00D3567B" w:rsidRPr="00E5792C">
        <w:rPr>
          <w:rFonts w:eastAsia="MS Mincho"/>
          <w:lang w:val="en-US"/>
        </w:rPr>
        <w:t xml:space="preserve">A total of </w:t>
      </w:r>
      <w:r w:rsidR="0049477D" w:rsidRPr="00E5792C">
        <w:rPr>
          <w:rFonts w:eastAsia="MS Mincho"/>
          <w:lang w:val="en-US"/>
        </w:rPr>
        <w:t xml:space="preserve">6 </w:t>
      </w:r>
      <w:r w:rsidR="00D3567B" w:rsidRPr="00E5792C">
        <w:rPr>
          <w:rFonts w:eastAsia="MS Mincho"/>
          <w:lang w:val="en-US"/>
        </w:rPr>
        <w:t xml:space="preserve">papers </w:t>
      </w:r>
      <w:r w:rsidR="00C026D4" w:rsidRPr="00E5792C">
        <w:rPr>
          <w:rFonts w:eastAsia="MS Mincho"/>
          <w:lang w:val="en-US"/>
        </w:rPr>
        <w:t xml:space="preserve">reported data on </w:t>
      </w:r>
      <w:r w:rsidR="00185178" w:rsidRPr="00E5792C">
        <w:rPr>
          <w:rFonts w:eastAsia="MS Mincho"/>
          <w:lang w:val="en-US"/>
        </w:rPr>
        <w:t>LGE presence</w:t>
      </w:r>
      <w:r w:rsidR="0008729F" w:rsidRPr="00E5792C">
        <w:rPr>
          <w:rFonts w:eastAsia="MS Mincho"/>
          <w:lang w:val="en-US"/>
        </w:rPr>
        <w:t xml:space="preserve">; </w:t>
      </w:r>
      <w:r w:rsidR="00185178" w:rsidRPr="00E5792C">
        <w:rPr>
          <w:rFonts w:eastAsia="MS Mincho"/>
          <w:lang w:val="en-US"/>
        </w:rPr>
        <w:t xml:space="preserve">5 on LGE </w:t>
      </w:r>
      <w:r w:rsidR="009B5D8D" w:rsidRPr="00E5792C">
        <w:rPr>
          <w:rFonts w:eastAsia="MS Mincho"/>
          <w:lang w:val="en-US"/>
        </w:rPr>
        <w:t>extent</w:t>
      </w:r>
      <w:r w:rsidR="0008729F" w:rsidRPr="00E5792C">
        <w:rPr>
          <w:rFonts w:eastAsia="MS Mincho"/>
          <w:lang w:val="en-US"/>
        </w:rPr>
        <w:t>;</w:t>
      </w:r>
      <w:r w:rsidR="00185178" w:rsidRPr="00E5792C">
        <w:rPr>
          <w:rFonts w:eastAsia="MS Mincho"/>
          <w:lang w:val="en-US"/>
        </w:rPr>
        <w:t xml:space="preserve"> and 5</w:t>
      </w:r>
      <w:r w:rsidR="00D3567B" w:rsidRPr="00E5792C">
        <w:rPr>
          <w:rFonts w:eastAsia="MS Mincho"/>
          <w:lang w:val="en-US"/>
        </w:rPr>
        <w:t xml:space="preserve"> </w:t>
      </w:r>
      <w:r w:rsidR="00C026D4" w:rsidRPr="00E5792C">
        <w:rPr>
          <w:rFonts w:eastAsia="MS Mincho"/>
          <w:lang w:val="en-US"/>
        </w:rPr>
        <w:t xml:space="preserve">on </w:t>
      </w:r>
      <w:r w:rsidR="00185178" w:rsidRPr="00E5792C">
        <w:rPr>
          <w:rFonts w:eastAsia="MS Mincho"/>
          <w:lang w:val="en-US"/>
        </w:rPr>
        <w:t xml:space="preserve">LGE </w:t>
      </w:r>
      <w:r w:rsidR="009B5D8D" w:rsidRPr="00E5792C">
        <w:rPr>
          <w:rFonts w:eastAsia="MS Mincho"/>
          <w:lang w:val="en-US"/>
        </w:rPr>
        <w:t>location</w:t>
      </w:r>
      <w:r w:rsidR="00A13021" w:rsidRPr="00E5792C">
        <w:rPr>
          <w:rFonts w:eastAsia="MS Mincho"/>
          <w:lang w:val="en-US"/>
        </w:rPr>
        <w:t xml:space="preserve">. </w:t>
      </w:r>
      <w:r w:rsidR="00965289" w:rsidRPr="00E5792C">
        <w:rPr>
          <w:rFonts w:eastAsia="MS Mincho"/>
          <w:lang w:val="en-US"/>
        </w:rPr>
        <w:t>Information on all</w:t>
      </w:r>
      <w:r w:rsidR="00CA0093" w:rsidRPr="00E5792C">
        <w:rPr>
          <w:rFonts w:eastAsia="MS Mincho"/>
          <w:lang w:val="en-US"/>
        </w:rPr>
        <w:t>-cause mortality</w:t>
      </w:r>
      <w:r w:rsidR="00635D1B" w:rsidRPr="00E5792C">
        <w:rPr>
          <w:rFonts w:eastAsia="MS Mincho"/>
          <w:lang w:val="en-US"/>
        </w:rPr>
        <w:t xml:space="preserve"> and cardiac death</w:t>
      </w:r>
      <w:r w:rsidR="00CA0093" w:rsidRPr="00E5792C">
        <w:rPr>
          <w:rFonts w:eastAsia="MS Mincho"/>
          <w:lang w:val="en-US"/>
        </w:rPr>
        <w:t xml:space="preserve"> was</w:t>
      </w:r>
      <w:r w:rsidR="00965289" w:rsidRPr="00E5792C">
        <w:rPr>
          <w:rFonts w:eastAsia="MS Mincho"/>
          <w:lang w:val="en-US"/>
        </w:rPr>
        <w:t xml:space="preserve"> available</w:t>
      </w:r>
      <w:r w:rsidR="00CA0093" w:rsidRPr="00E5792C">
        <w:rPr>
          <w:rFonts w:eastAsia="MS Mincho"/>
          <w:lang w:val="en-US"/>
        </w:rPr>
        <w:t xml:space="preserve"> in </w:t>
      </w:r>
      <w:r w:rsidR="00635D1B" w:rsidRPr="00E5792C">
        <w:rPr>
          <w:rFonts w:eastAsia="MS Mincho"/>
          <w:lang w:val="en-US"/>
        </w:rPr>
        <w:t>7 and 6</w:t>
      </w:r>
      <w:r w:rsidR="005F7A8F" w:rsidRPr="00E5792C">
        <w:rPr>
          <w:rFonts w:eastAsia="MS Mincho"/>
          <w:lang w:val="en-US"/>
        </w:rPr>
        <w:t xml:space="preserve"> </w:t>
      </w:r>
      <w:r w:rsidR="00CA0093" w:rsidRPr="00E5792C">
        <w:rPr>
          <w:rFonts w:eastAsia="MS Mincho"/>
          <w:lang w:val="en-US"/>
        </w:rPr>
        <w:t>studies,</w:t>
      </w:r>
      <w:r w:rsidR="00635D1B" w:rsidRPr="00E5792C">
        <w:rPr>
          <w:rFonts w:eastAsia="MS Mincho"/>
          <w:lang w:val="en-US"/>
        </w:rPr>
        <w:t xml:space="preserve"> respectively.</w:t>
      </w:r>
      <w:r w:rsidR="00CA0093" w:rsidRPr="00E5792C">
        <w:rPr>
          <w:rFonts w:eastAsia="MS Mincho"/>
          <w:lang w:val="en-US"/>
        </w:rPr>
        <w:t xml:space="preserve"> </w:t>
      </w:r>
      <w:r w:rsidR="005F7A8F" w:rsidRPr="00E5792C">
        <w:rPr>
          <w:rFonts w:eastAsia="MS Mincho"/>
          <w:lang w:val="en-US"/>
        </w:rPr>
        <w:t xml:space="preserve">MACE were </w:t>
      </w:r>
      <w:r w:rsidR="004E760D" w:rsidRPr="00E5792C">
        <w:rPr>
          <w:rFonts w:eastAsia="MS Mincho"/>
          <w:lang w:val="en-US"/>
        </w:rPr>
        <w:t>analyzed</w:t>
      </w:r>
      <w:r w:rsidR="005F7A8F" w:rsidRPr="00E5792C">
        <w:rPr>
          <w:rFonts w:eastAsia="MS Mincho"/>
          <w:lang w:val="en-US"/>
        </w:rPr>
        <w:t xml:space="preserve"> by </w:t>
      </w:r>
      <w:r w:rsidR="00635D1B" w:rsidRPr="00E5792C">
        <w:rPr>
          <w:rFonts w:eastAsia="MS Mincho"/>
          <w:lang w:val="en-US"/>
        </w:rPr>
        <w:t>10</w:t>
      </w:r>
      <w:r w:rsidR="005F7A8F" w:rsidRPr="00E5792C">
        <w:rPr>
          <w:rFonts w:eastAsia="MS Mincho"/>
          <w:lang w:val="en-US"/>
        </w:rPr>
        <w:t xml:space="preserve"> studies</w:t>
      </w:r>
      <w:r w:rsidR="00B860AA" w:rsidRPr="00E5792C">
        <w:rPr>
          <w:rFonts w:eastAsia="MS Mincho"/>
          <w:lang w:val="en-US"/>
        </w:rPr>
        <w:t>.</w:t>
      </w:r>
      <w:r w:rsidR="001729B9" w:rsidRPr="00E5792C">
        <w:rPr>
          <w:rFonts w:eastAsia="MS Mincho"/>
          <w:lang w:val="en-US"/>
        </w:rPr>
        <w:t xml:space="preserve"> </w:t>
      </w:r>
      <w:r w:rsidR="00B860AA" w:rsidRPr="00E5792C">
        <w:rPr>
          <w:rFonts w:eastAsia="MS Mincho"/>
          <w:lang w:val="en-US"/>
        </w:rPr>
        <w:t>A</w:t>
      </w:r>
      <w:r w:rsidR="00185178" w:rsidRPr="00E5792C">
        <w:rPr>
          <w:rFonts w:eastAsia="MS Mincho"/>
          <w:lang w:val="en-US"/>
        </w:rPr>
        <w:t>rrhythmic</w:t>
      </w:r>
      <w:r w:rsidR="00CA0093" w:rsidRPr="00E5792C">
        <w:rPr>
          <w:rFonts w:eastAsia="MS Mincho"/>
          <w:lang w:val="en-US"/>
        </w:rPr>
        <w:t xml:space="preserve"> complication</w:t>
      </w:r>
      <w:r w:rsidR="00DB5161" w:rsidRPr="00E5792C">
        <w:rPr>
          <w:rFonts w:eastAsia="MS Mincho"/>
          <w:lang w:val="en-US"/>
        </w:rPr>
        <w:t>s</w:t>
      </w:r>
      <w:r w:rsidR="002372C2" w:rsidRPr="00E5792C">
        <w:rPr>
          <w:rFonts w:eastAsia="MS Mincho"/>
          <w:lang w:val="en-US"/>
        </w:rPr>
        <w:t xml:space="preserve"> </w:t>
      </w:r>
      <w:r w:rsidR="00227CB5" w:rsidRPr="00E5792C">
        <w:rPr>
          <w:rFonts w:eastAsia="MS Mincho"/>
          <w:lang w:val="en-US"/>
        </w:rPr>
        <w:t xml:space="preserve">or </w:t>
      </w:r>
      <w:r w:rsidR="00635D1B" w:rsidRPr="00E5792C">
        <w:rPr>
          <w:rFonts w:eastAsia="MS Mincho"/>
          <w:lang w:val="en-US"/>
        </w:rPr>
        <w:t>development of heart failure</w:t>
      </w:r>
      <w:r w:rsidR="00CA0093" w:rsidRPr="00E5792C">
        <w:rPr>
          <w:rFonts w:eastAsia="MS Mincho"/>
          <w:lang w:val="en-US"/>
        </w:rPr>
        <w:t xml:space="preserve"> </w:t>
      </w:r>
      <w:r w:rsidR="005F7A8F" w:rsidRPr="00E5792C">
        <w:rPr>
          <w:rFonts w:eastAsia="MS Mincho"/>
          <w:lang w:val="en-US"/>
        </w:rPr>
        <w:t xml:space="preserve">were </w:t>
      </w:r>
      <w:r w:rsidR="00635D1B" w:rsidRPr="00E5792C">
        <w:rPr>
          <w:rFonts w:eastAsia="MS Mincho"/>
          <w:lang w:val="en-US"/>
        </w:rPr>
        <w:t>reported</w:t>
      </w:r>
      <w:r w:rsidR="005F7A8F" w:rsidRPr="00E5792C">
        <w:rPr>
          <w:rFonts w:eastAsia="MS Mincho"/>
          <w:lang w:val="en-US"/>
        </w:rPr>
        <w:t xml:space="preserve"> in 9 </w:t>
      </w:r>
      <w:r w:rsidR="00CA0093" w:rsidRPr="00E5792C">
        <w:rPr>
          <w:rFonts w:eastAsia="MS Mincho"/>
          <w:lang w:val="en-US"/>
        </w:rPr>
        <w:t>studies</w:t>
      </w:r>
      <w:r w:rsidR="00635D1B" w:rsidRPr="00E5792C">
        <w:rPr>
          <w:rFonts w:eastAsia="MS Mincho"/>
          <w:lang w:val="en-US"/>
        </w:rPr>
        <w:t xml:space="preserve">, whereas </w:t>
      </w:r>
      <w:r w:rsidR="00B860AA" w:rsidRPr="00E5792C">
        <w:rPr>
          <w:rFonts w:eastAsia="MS Mincho"/>
          <w:lang w:val="en-US"/>
        </w:rPr>
        <w:t xml:space="preserve">AM </w:t>
      </w:r>
      <w:r w:rsidR="00635D1B" w:rsidRPr="00E5792C">
        <w:rPr>
          <w:rFonts w:eastAsia="MS Mincho"/>
          <w:lang w:val="en-US"/>
        </w:rPr>
        <w:t>recurrence</w:t>
      </w:r>
      <w:r w:rsidR="002372C2" w:rsidRPr="00E5792C">
        <w:rPr>
          <w:rFonts w:eastAsia="MS Mincho"/>
          <w:lang w:val="en-US"/>
        </w:rPr>
        <w:t xml:space="preserve"> </w:t>
      </w:r>
      <w:r w:rsidR="00635D1B" w:rsidRPr="00E5792C">
        <w:rPr>
          <w:rFonts w:eastAsia="MS Mincho"/>
          <w:lang w:val="en-US"/>
        </w:rPr>
        <w:t>was assessed in 5</w:t>
      </w:r>
      <w:r w:rsidR="00227CB5" w:rsidRPr="00E5792C">
        <w:rPr>
          <w:rFonts w:eastAsia="MS Mincho"/>
          <w:lang w:val="en-US"/>
        </w:rPr>
        <w:t xml:space="preserve"> studies</w:t>
      </w:r>
      <w:r w:rsidR="00635D1B" w:rsidRPr="00E5792C">
        <w:rPr>
          <w:rFonts w:eastAsia="MS Mincho"/>
          <w:lang w:val="en-US"/>
        </w:rPr>
        <w:t xml:space="preserve">. </w:t>
      </w:r>
      <w:r w:rsidR="00F5501B" w:rsidRPr="00E5792C">
        <w:rPr>
          <w:rFonts w:eastAsia="MS Mincho"/>
          <w:lang w:val="en-US"/>
        </w:rPr>
        <w:t xml:space="preserve">Further information </w:t>
      </w:r>
      <w:r w:rsidR="003A5A19" w:rsidRPr="00E5792C">
        <w:rPr>
          <w:rFonts w:eastAsia="MS Mincho"/>
          <w:lang w:val="en-US"/>
        </w:rPr>
        <w:t>on the associati</w:t>
      </w:r>
      <w:r w:rsidR="002372C2" w:rsidRPr="00E5792C">
        <w:rPr>
          <w:rFonts w:eastAsia="MS Mincho"/>
          <w:lang w:val="en-US"/>
        </w:rPr>
        <w:t>o</w:t>
      </w:r>
      <w:r w:rsidR="003A5A19" w:rsidRPr="00E5792C">
        <w:rPr>
          <w:rFonts w:eastAsia="MS Mincho"/>
          <w:lang w:val="en-US"/>
        </w:rPr>
        <w:t>n between</w:t>
      </w:r>
      <w:r w:rsidR="00856894" w:rsidRPr="00E5792C">
        <w:rPr>
          <w:rFonts w:eastAsia="MS Mincho"/>
          <w:lang w:val="en-US"/>
        </w:rPr>
        <w:t xml:space="preserve"> LGE </w:t>
      </w:r>
      <w:r w:rsidR="00B72E6B" w:rsidRPr="00E5792C">
        <w:rPr>
          <w:rFonts w:eastAsia="MS Mincho"/>
          <w:lang w:val="en-US"/>
        </w:rPr>
        <w:t>features</w:t>
      </w:r>
      <w:bookmarkStart w:id="12" w:name="_Hlk529532430"/>
      <w:r w:rsidR="00227CB5" w:rsidRPr="00E5792C">
        <w:rPr>
          <w:rFonts w:eastAsia="MS Mincho"/>
          <w:lang w:val="en-US"/>
        </w:rPr>
        <w:t xml:space="preserve"> </w:t>
      </w:r>
      <w:r w:rsidR="00856894" w:rsidRPr="00E5792C">
        <w:rPr>
          <w:rFonts w:eastAsia="MS Mincho"/>
          <w:lang w:val="en-US"/>
        </w:rPr>
        <w:t xml:space="preserve">and </w:t>
      </w:r>
      <w:r w:rsidR="003A5A19" w:rsidRPr="00E5792C">
        <w:rPr>
          <w:rFonts w:eastAsia="MS Mincho"/>
          <w:lang w:val="en-US"/>
        </w:rPr>
        <w:t xml:space="preserve">the </w:t>
      </w:r>
      <w:r w:rsidR="00B72E6B" w:rsidRPr="00E5792C">
        <w:rPr>
          <w:rFonts w:eastAsia="MS Mincho"/>
          <w:lang w:val="en-US"/>
        </w:rPr>
        <w:t>risk of developing adverse clinical outcome</w:t>
      </w:r>
      <w:r w:rsidR="000F7F9E" w:rsidRPr="00E5792C">
        <w:rPr>
          <w:rFonts w:eastAsia="MS Mincho"/>
          <w:lang w:val="en-US"/>
        </w:rPr>
        <w:t>s</w:t>
      </w:r>
      <w:r w:rsidR="00B72E6B" w:rsidRPr="00E5792C">
        <w:rPr>
          <w:rFonts w:eastAsia="MS Mincho"/>
          <w:lang w:val="en-US"/>
        </w:rPr>
        <w:t xml:space="preserve"> for eac</w:t>
      </w:r>
      <w:r w:rsidR="00CE7DF1" w:rsidRPr="00E5792C">
        <w:rPr>
          <w:rFonts w:eastAsia="MS Mincho"/>
          <w:lang w:val="en-US"/>
        </w:rPr>
        <w:t xml:space="preserve">h study </w:t>
      </w:r>
      <w:r w:rsidR="00B72E6B" w:rsidRPr="00E5792C">
        <w:rPr>
          <w:rFonts w:eastAsia="MS Mincho"/>
          <w:lang w:val="en-US"/>
        </w:rPr>
        <w:t xml:space="preserve">is provided </w:t>
      </w:r>
      <w:bookmarkEnd w:id="12"/>
      <w:r w:rsidR="00F5501B" w:rsidRPr="00E5792C">
        <w:rPr>
          <w:rFonts w:eastAsia="MS Mincho"/>
          <w:lang w:val="en-US"/>
        </w:rPr>
        <w:t xml:space="preserve">in the </w:t>
      </w:r>
      <w:r w:rsidR="004366C4" w:rsidRPr="00E5792C">
        <w:rPr>
          <w:rFonts w:eastAsia="MS Mincho"/>
          <w:b/>
          <w:bCs/>
          <w:lang w:val="en-US"/>
        </w:rPr>
        <w:t>S</w:t>
      </w:r>
      <w:r w:rsidR="00F5501B" w:rsidRPr="00E5792C">
        <w:rPr>
          <w:rFonts w:eastAsia="MS Mincho"/>
          <w:b/>
          <w:bCs/>
          <w:lang w:val="en-US"/>
        </w:rPr>
        <w:t xml:space="preserve">upplementary </w:t>
      </w:r>
      <w:r w:rsidR="009E13AE" w:rsidRPr="00E5792C">
        <w:rPr>
          <w:rFonts w:eastAsia="MS Mincho"/>
          <w:b/>
          <w:bCs/>
          <w:lang w:val="en-US"/>
        </w:rPr>
        <w:t>File</w:t>
      </w:r>
      <w:r w:rsidR="006D7047" w:rsidRPr="00E5792C">
        <w:rPr>
          <w:rFonts w:eastAsia="MS Mincho"/>
          <w:lang w:val="en-US"/>
        </w:rPr>
        <w:t>.</w:t>
      </w:r>
    </w:p>
    <w:p w14:paraId="6792C9B0" w14:textId="24F5C17A" w:rsidR="00185178" w:rsidRPr="00E5792C" w:rsidRDefault="00185178" w:rsidP="00E5792C">
      <w:pPr>
        <w:autoSpaceDE w:val="0"/>
        <w:autoSpaceDN w:val="0"/>
        <w:adjustRightInd w:val="0"/>
        <w:spacing w:line="480" w:lineRule="auto"/>
        <w:jc w:val="both"/>
        <w:rPr>
          <w:rFonts w:eastAsia="MS Mincho"/>
          <w:lang w:val="en-US"/>
        </w:rPr>
      </w:pPr>
      <w:r w:rsidRPr="00E5792C">
        <w:rPr>
          <w:b/>
          <w:bCs/>
          <w:lang w:val="en-US"/>
        </w:rPr>
        <w:t xml:space="preserve">Presence of </w:t>
      </w:r>
      <w:r w:rsidR="0039300F" w:rsidRPr="00E5792C">
        <w:rPr>
          <w:b/>
          <w:bCs/>
          <w:lang w:val="en-US"/>
        </w:rPr>
        <w:t>LGE and the risk of the combined endpoint</w:t>
      </w:r>
      <w:r w:rsidRPr="00E5792C">
        <w:rPr>
          <w:b/>
          <w:bCs/>
          <w:lang w:val="en-US"/>
        </w:rPr>
        <w:t xml:space="preserve"> </w:t>
      </w:r>
    </w:p>
    <w:p w14:paraId="501ACDCB" w14:textId="2906008C" w:rsidR="00541242" w:rsidRPr="00E5792C" w:rsidRDefault="003D73CF" w:rsidP="00E5792C">
      <w:pPr>
        <w:autoSpaceDE w:val="0"/>
        <w:autoSpaceDN w:val="0"/>
        <w:adjustRightInd w:val="0"/>
        <w:spacing w:line="480" w:lineRule="auto"/>
        <w:jc w:val="both"/>
        <w:rPr>
          <w:bCs/>
          <w:lang w:val="en-US"/>
        </w:rPr>
      </w:pPr>
      <w:r w:rsidRPr="00E5792C">
        <w:rPr>
          <w:bCs/>
          <w:lang w:val="en-US"/>
        </w:rPr>
        <w:t xml:space="preserve">The association between </w:t>
      </w:r>
      <w:r w:rsidR="00E22ACC" w:rsidRPr="00E5792C">
        <w:rPr>
          <w:bCs/>
          <w:lang w:val="en-US"/>
        </w:rPr>
        <w:t xml:space="preserve">LGE presence </w:t>
      </w:r>
      <w:r w:rsidR="001A58A0" w:rsidRPr="00E5792C">
        <w:rPr>
          <w:bCs/>
          <w:lang w:val="en-US"/>
        </w:rPr>
        <w:t>and</w:t>
      </w:r>
      <w:r w:rsidRPr="00E5792C">
        <w:rPr>
          <w:bCs/>
          <w:lang w:val="en-US"/>
        </w:rPr>
        <w:t xml:space="preserve"> </w:t>
      </w:r>
      <w:r w:rsidR="001A58A0" w:rsidRPr="00E5792C">
        <w:rPr>
          <w:bCs/>
          <w:lang w:val="en-US"/>
        </w:rPr>
        <w:t xml:space="preserve">the development of </w:t>
      </w:r>
      <w:r w:rsidR="007E72BE" w:rsidRPr="00E5792C">
        <w:rPr>
          <w:bCs/>
          <w:lang w:val="en-US"/>
        </w:rPr>
        <w:t>the combined endpoint</w:t>
      </w:r>
      <w:r w:rsidR="001A58A0" w:rsidRPr="00E5792C">
        <w:rPr>
          <w:bCs/>
          <w:lang w:val="en-US"/>
        </w:rPr>
        <w:t xml:space="preserve"> </w:t>
      </w:r>
      <w:r w:rsidRPr="00E5792C">
        <w:rPr>
          <w:bCs/>
          <w:lang w:val="en-US"/>
        </w:rPr>
        <w:t xml:space="preserve">was assessed in </w:t>
      </w:r>
      <w:r w:rsidR="0073026D" w:rsidRPr="00E5792C">
        <w:rPr>
          <w:bCs/>
          <w:lang w:val="en-US"/>
        </w:rPr>
        <w:t>6</w:t>
      </w:r>
      <w:r w:rsidR="000C1EA7" w:rsidRPr="00E5792C">
        <w:rPr>
          <w:bCs/>
          <w:lang w:val="en-US"/>
        </w:rPr>
        <w:t xml:space="preserve"> </w:t>
      </w:r>
      <w:r w:rsidRPr="00E5792C">
        <w:rPr>
          <w:bCs/>
          <w:lang w:val="en-US"/>
        </w:rPr>
        <w:t>studies</w:t>
      </w:r>
      <w:r w:rsidR="00CF4DEA" w:rsidRPr="00E5792C">
        <w:rPr>
          <w:bCs/>
          <w:lang w:val="en-US"/>
        </w:rPr>
        <w:t>.</w:t>
      </w:r>
      <w:r w:rsidR="00745E6B" w:rsidRPr="00E5792C">
        <w:rPr>
          <w:vertAlign w:val="superscript"/>
          <w:lang w:val="en-US"/>
        </w:rPr>
        <w:t>1</w:t>
      </w:r>
      <w:r w:rsidR="00D55499" w:rsidRPr="00E5792C">
        <w:rPr>
          <w:vertAlign w:val="superscript"/>
          <w:lang w:val="en-US"/>
        </w:rPr>
        <w:t>2,</w:t>
      </w:r>
      <w:r w:rsidR="000C1EA7" w:rsidRPr="00E5792C">
        <w:rPr>
          <w:vertAlign w:val="superscript"/>
          <w:lang w:val="en-US"/>
        </w:rPr>
        <w:t>1</w:t>
      </w:r>
      <w:r w:rsidR="00D55499" w:rsidRPr="00E5792C">
        <w:rPr>
          <w:vertAlign w:val="superscript"/>
          <w:lang w:val="en-US"/>
        </w:rPr>
        <w:t>3</w:t>
      </w:r>
      <w:r w:rsidR="000C1EA7" w:rsidRPr="00E5792C">
        <w:rPr>
          <w:vertAlign w:val="superscript"/>
          <w:lang w:val="en-US"/>
        </w:rPr>
        <w:t>,</w:t>
      </w:r>
      <w:r w:rsidR="00745E6B" w:rsidRPr="00E5792C">
        <w:rPr>
          <w:vertAlign w:val="superscript"/>
          <w:lang w:val="en-US"/>
        </w:rPr>
        <w:t>1</w:t>
      </w:r>
      <w:r w:rsidR="00D55499" w:rsidRPr="00E5792C">
        <w:rPr>
          <w:vertAlign w:val="superscript"/>
          <w:lang w:val="en-US"/>
        </w:rPr>
        <w:t>6</w:t>
      </w:r>
      <w:r w:rsidR="00745E6B" w:rsidRPr="00E5792C">
        <w:rPr>
          <w:vertAlign w:val="superscript"/>
          <w:lang w:val="en-US"/>
        </w:rPr>
        <w:t>,1</w:t>
      </w:r>
      <w:r w:rsidR="00D55499" w:rsidRPr="00E5792C">
        <w:rPr>
          <w:vertAlign w:val="superscript"/>
          <w:lang w:val="en-US"/>
        </w:rPr>
        <w:t>9</w:t>
      </w:r>
      <w:r w:rsidR="00745E6B" w:rsidRPr="00E5792C">
        <w:rPr>
          <w:vertAlign w:val="superscript"/>
          <w:lang w:val="en-US"/>
        </w:rPr>
        <w:t>-2</w:t>
      </w:r>
      <w:r w:rsidR="00D55499" w:rsidRPr="00E5792C">
        <w:rPr>
          <w:vertAlign w:val="superscript"/>
          <w:lang w:val="en-US"/>
        </w:rPr>
        <w:t>1</w:t>
      </w:r>
      <w:r w:rsidRPr="00E5792C">
        <w:rPr>
          <w:bCs/>
          <w:lang w:val="en-US"/>
        </w:rPr>
        <w:t xml:space="preserve"> Adjustment for </w:t>
      </w:r>
      <w:r w:rsidR="00E22ACC" w:rsidRPr="00E5792C">
        <w:rPr>
          <w:bCs/>
          <w:lang w:val="en-US"/>
        </w:rPr>
        <w:t>potential confounders</w:t>
      </w:r>
      <w:r w:rsidRPr="00E5792C">
        <w:rPr>
          <w:bCs/>
          <w:lang w:val="en-US"/>
        </w:rPr>
        <w:t xml:space="preserve"> w</w:t>
      </w:r>
      <w:r w:rsidR="00E22ACC" w:rsidRPr="00E5792C">
        <w:rPr>
          <w:bCs/>
          <w:lang w:val="en-US"/>
        </w:rPr>
        <w:t>as</w:t>
      </w:r>
      <w:r w:rsidRPr="00E5792C">
        <w:rPr>
          <w:bCs/>
          <w:lang w:val="en-US"/>
        </w:rPr>
        <w:t xml:space="preserve"> </w:t>
      </w:r>
      <w:r w:rsidR="00DB2139" w:rsidRPr="00E5792C">
        <w:rPr>
          <w:bCs/>
          <w:lang w:val="en-US"/>
        </w:rPr>
        <w:t>used</w:t>
      </w:r>
      <w:r w:rsidRPr="00E5792C">
        <w:rPr>
          <w:bCs/>
          <w:lang w:val="en-US"/>
        </w:rPr>
        <w:t xml:space="preserve"> in </w:t>
      </w:r>
      <w:r w:rsidR="00FA3595" w:rsidRPr="00E5792C">
        <w:rPr>
          <w:bCs/>
          <w:lang w:val="en-US"/>
        </w:rPr>
        <w:t>4</w:t>
      </w:r>
      <w:r w:rsidR="006B249F" w:rsidRPr="00E5792C">
        <w:rPr>
          <w:bCs/>
          <w:vertAlign w:val="superscript"/>
          <w:lang w:val="en-US"/>
        </w:rPr>
        <w:t>12,13,19</w:t>
      </w:r>
      <w:r w:rsidR="00FA3595" w:rsidRPr="00E5792C">
        <w:rPr>
          <w:bCs/>
          <w:vertAlign w:val="superscript"/>
          <w:lang w:val="en-US"/>
        </w:rPr>
        <w:t xml:space="preserve">,21 </w:t>
      </w:r>
      <w:r w:rsidR="0073026D" w:rsidRPr="00E5792C">
        <w:rPr>
          <w:bCs/>
          <w:lang w:val="en-US"/>
        </w:rPr>
        <w:t>out of 6</w:t>
      </w:r>
      <w:r w:rsidR="00E22ACC" w:rsidRPr="00E5792C">
        <w:rPr>
          <w:bCs/>
          <w:lang w:val="en-US"/>
        </w:rPr>
        <w:t xml:space="preserve"> </w:t>
      </w:r>
      <w:r w:rsidRPr="00E5792C">
        <w:rPr>
          <w:bCs/>
          <w:lang w:val="en-US"/>
        </w:rPr>
        <w:t xml:space="preserve">studies. The pooled HR for </w:t>
      </w:r>
      <w:r w:rsidR="001A58A0" w:rsidRPr="00E5792C">
        <w:rPr>
          <w:bCs/>
          <w:noProof/>
          <w:lang w:val="en-US"/>
        </w:rPr>
        <w:t>LGE</w:t>
      </w:r>
      <w:r w:rsidR="00E22ACC" w:rsidRPr="00E5792C">
        <w:rPr>
          <w:bCs/>
          <w:noProof/>
          <w:lang w:val="en-US"/>
        </w:rPr>
        <w:t xml:space="preserve"> </w:t>
      </w:r>
      <w:r w:rsidRPr="00E5792C">
        <w:rPr>
          <w:bCs/>
          <w:lang w:val="en-US"/>
        </w:rPr>
        <w:t xml:space="preserve">was </w:t>
      </w:r>
      <w:bookmarkStart w:id="13" w:name="_Hlk532858170"/>
      <w:r w:rsidR="0073026D" w:rsidRPr="00E5792C">
        <w:rPr>
          <w:bCs/>
          <w:lang w:val="en-US"/>
        </w:rPr>
        <w:t>3.28</w:t>
      </w:r>
      <w:r w:rsidRPr="00E5792C">
        <w:rPr>
          <w:bCs/>
          <w:lang w:val="en-US"/>
        </w:rPr>
        <w:t xml:space="preserve"> (95% CI</w:t>
      </w:r>
      <w:r w:rsidR="0021671F" w:rsidRPr="00E5792C">
        <w:rPr>
          <w:bCs/>
          <w:lang w:val="en-US"/>
        </w:rPr>
        <w:t>s</w:t>
      </w:r>
      <w:r w:rsidR="00E22ACC" w:rsidRPr="00E5792C">
        <w:rPr>
          <w:bCs/>
          <w:lang w:val="en-US"/>
        </w:rPr>
        <w:t xml:space="preserve"> </w:t>
      </w:r>
      <w:r w:rsidR="0073026D" w:rsidRPr="00E5792C">
        <w:rPr>
          <w:bCs/>
          <w:lang w:val="en-US"/>
        </w:rPr>
        <w:t>1.</w:t>
      </w:r>
      <w:r w:rsidR="00D71891" w:rsidRPr="00E5792C">
        <w:rPr>
          <w:bCs/>
          <w:lang w:val="en-US"/>
        </w:rPr>
        <w:t>69</w:t>
      </w:r>
      <w:r w:rsidR="0073026D" w:rsidRPr="00E5792C">
        <w:rPr>
          <w:bCs/>
          <w:lang w:val="en-US"/>
        </w:rPr>
        <w:t>-</w:t>
      </w:r>
      <w:r w:rsidR="00D71891" w:rsidRPr="00E5792C">
        <w:rPr>
          <w:bCs/>
          <w:lang w:val="en-US"/>
        </w:rPr>
        <w:t>6</w:t>
      </w:r>
      <w:r w:rsidR="0073026D" w:rsidRPr="00E5792C">
        <w:rPr>
          <w:bCs/>
          <w:lang w:val="en-US"/>
        </w:rPr>
        <w:t>.</w:t>
      </w:r>
      <w:r w:rsidR="00D71891" w:rsidRPr="00E5792C">
        <w:rPr>
          <w:bCs/>
          <w:lang w:val="en-US"/>
        </w:rPr>
        <w:t>39</w:t>
      </w:r>
      <w:r w:rsidRPr="00E5792C">
        <w:rPr>
          <w:bCs/>
          <w:lang w:val="en-US"/>
        </w:rPr>
        <w:t>,</w:t>
      </w:r>
      <w:bookmarkEnd w:id="13"/>
      <w:r w:rsidR="00E22ACC" w:rsidRPr="00E5792C">
        <w:rPr>
          <w:bCs/>
          <w:lang w:val="en-US"/>
        </w:rPr>
        <w:t xml:space="preserve"> P</w:t>
      </w:r>
      <w:r w:rsidR="00D71891" w:rsidRPr="00E5792C">
        <w:rPr>
          <w:bCs/>
          <w:lang w:val="en-US"/>
        </w:rPr>
        <w:t>&lt;</w:t>
      </w:r>
      <w:r w:rsidR="00E22ACC" w:rsidRPr="00E5792C">
        <w:rPr>
          <w:bCs/>
          <w:lang w:val="en-US"/>
        </w:rPr>
        <w:t>0.0</w:t>
      </w:r>
      <w:r w:rsidR="00D71891" w:rsidRPr="00E5792C">
        <w:rPr>
          <w:bCs/>
          <w:lang w:val="en-US"/>
        </w:rPr>
        <w:t>01</w:t>
      </w:r>
      <w:r w:rsidRPr="00E5792C">
        <w:rPr>
          <w:bCs/>
          <w:lang w:val="en-US"/>
        </w:rPr>
        <w:t xml:space="preserve">) </w:t>
      </w:r>
      <w:r w:rsidR="007E72BE" w:rsidRPr="00E5792C">
        <w:rPr>
          <w:bCs/>
          <w:lang w:val="en-US"/>
        </w:rPr>
        <w:t>for the combined endpoint</w:t>
      </w:r>
      <w:r w:rsidRPr="00E5792C">
        <w:rPr>
          <w:bCs/>
          <w:lang w:val="en-US"/>
        </w:rPr>
        <w:t xml:space="preserve">. </w:t>
      </w:r>
      <w:r w:rsidR="00E22ACC" w:rsidRPr="00E5792C">
        <w:rPr>
          <w:bCs/>
          <w:lang w:val="en-US"/>
        </w:rPr>
        <w:t xml:space="preserve">After applying the </w:t>
      </w:r>
      <w:r w:rsidR="004024D3" w:rsidRPr="00E5792C">
        <w:rPr>
          <w:bCs/>
          <w:lang w:val="en-US"/>
        </w:rPr>
        <w:t>HK</w:t>
      </w:r>
      <w:r w:rsidR="00E22ACC" w:rsidRPr="00E5792C">
        <w:rPr>
          <w:bCs/>
          <w:lang w:val="en-US"/>
        </w:rPr>
        <w:t xml:space="preserve"> correction, this association </w:t>
      </w:r>
      <w:r w:rsidR="006D7047" w:rsidRPr="00E5792C">
        <w:rPr>
          <w:bCs/>
          <w:lang w:val="en-US"/>
        </w:rPr>
        <w:t>retained significance</w:t>
      </w:r>
      <w:r w:rsidR="00BC558F" w:rsidRPr="00E5792C">
        <w:rPr>
          <w:bCs/>
          <w:lang w:val="en-US"/>
        </w:rPr>
        <w:t xml:space="preserve"> </w:t>
      </w:r>
      <w:r w:rsidR="00E22ACC" w:rsidRPr="00E5792C">
        <w:rPr>
          <w:bCs/>
          <w:lang w:val="en-US"/>
        </w:rPr>
        <w:t>(95% CI</w:t>
      </w:r>
      <w:r w:rsidR="0021671F" w:rsidRPr="00E5792C">
        <w:rPr>
          <w:bCs/>
          <w:lang w:val="en-US"/>
        </w:rPr>
        <w:t>s</w:t>
      </w:r>
      <w:r w:rsidR="00E22ACC" w:rsidRPr="00E5792C">
        <w:rPr>
          <w:bCs/>
          <w:lang w:val="en-US"/>
        </w:rPr>
        <w:t xml:space="preserve"> 1.</w:t>
      </w:r>
      <w:r w:rsidR="00D71891" w:rsidRPr="00E5792C">
        <w:rPr>
          <w:bCs/>
          <w:lang w:val="en-US"/>
        </w:rPr>
        <w:t>33</w:t>
      </w:r>
      <w:r w:rsidR="00E22ACC" w:rsidRPr="00E5792C">
        <w:rPr>
          <w:bCs/>
          <w:lang w:val="en-US"/>
        </w:rPr>
        <w:t>-</w:t>
      </w:r>
      <w:r w:rsidR="00D71891" w:rsidRPr="00E5792C">
        <w:rPr>
          <w:bCs/>
          <w:lang w:val="en-US"/>
        </w:rPr>
        <w:t>8.11</w:t>
      </w:r>
      <w:r w:rsidR="00E22ACC" w:rsidRPr="00E5792C">
        <w:rPr>
          <w:bCs/>
          <w:lang w:val="en-US"/>
        </w:rPr>
        <w:t>, P=0.02)</w:t>
      </w:r>
      <w:r w:rsidR="002703C1" w:rsidRPr="00E5792C">
        <w:rPr>
          <w:bCs/>
          <w:lang w:val="en-US"/>
        </w:rPr>
        <w:t xml:space="preserve"> (</w:t>
      </w:r>
      <w:r w:rsidR="002703C1" w:rsidRPr="00E5792C">
        <w:rPr>
          <w:b/>
          <w:lang w:val="en-US"/>
        </w:rPr>
        <w:t xml:space="preserve">Figure </w:t>
      </w:r>
      <w:r w:rsidR="0041583E" w:rsidRPr="00E5792C">
        <w:rPr>
          <w:b/>
          <w:lang w:val="en-US"/>
        </w:rPr>
        <w:t>2</w:t>
      </w:r>
      <w:r w:rsidR="002703C1" w:rsidRPr="00E5792C">
        <w:rPr>
          <w:b/>
          <w:lang w:val="en-US"/>
        </w:rPr>
        <w:t>A</w:t>
      </w:r>
      <w:r w:rsidR="002703C1" w:rsidRPr="00E5792C">
        <w:rPr>
          <w:bCs/>
          <w:lang w:val="en-US"/>
        </w:rPr>
        <w:t>)</w:t>
      </w:r>
      <w:r w:rsidR="001A58A0" w:rsidRPr="00E5792C">
        <w:rPr>
          <w:bCs/>
          <w:lang w:val="en-US"/>
        </w:rPr>
        <w:t>.</w:t>
      </w:r>
      <w:r w:rsidR="00E22ACC" w:rsidRPr="00E5792C">
        <w:rPr>
          <w:bCs/>
          <w:lang w:val="en-US"/>
        </w:rPr>
        <w:t xml:space="preserve"> </w:t>
      </w:r>
      <w:r w:rsidR="00D71891" w:rsidRPr="00E5792C">
        <w:rPr>
          <w:bCs/>
          <w:lang w:val="en-US"/>
        </w:rPr>
        <w:t>Moderate</w:t>
      </w:r>
      <w:r w:rsidRPr="00E5792C">
        <w:rPr>
          <w:bCs/>
          <w:lang w:val="en-US"/>
        </w:rPr>
        <w:t xml:space="preserve"> heterogeneity </w:t>
      </w:r>
      <w:r w:rsidRPr="00E5792C">
        <w:rPr>
          <w:bCs/>
          <w:noProof/>
          <w:lang w:val="en-US"/>
        </w:rPr>
        <w:t>was observed</w:t>
      </w:r>
      <w:r w:rsidRPr="00E5792C">
        <w:rPr>
          <w:bCs/>
          <w:lang w:val="en-US"/>
        </w:rPr>
        <w:t xml:space="preserve"> across the studies (I</w:t>
      </w:r>
      <w:r w:rsidRPr="00E5792C">
        <w:rPr>
          <w:bCs/>
          <w:vertAlign w:val="superscript"/>
          <w:lang w:val="en-US"/>
        </w:rPr>
        <w:t>2</w:t>
      </w:r>
      <w:r w:rsidRPr="00E5792C">
        <w:rPr>
          <w:bCs/>
          <w:lang w:val="en-US"/>
        </w:rPr>
        <w:t>=</w:t>
      </w:r>
      <w:r w:rsidR="00D71891" w:rsidRPr="00E5792C">
        <w:rPr>
          <w:bCs/>
          <w:lang w:val="en-US"/>
        </w:rPr>
        <w:t>36</w:t>
      </w:r>
      <w:r w:rsidR="00E22ACC" w:rsidRPr="00E5792C">
        <w:rPr>
          <w:bCs/>
          <w:lang w:val="en-US"/>
        </w:rPr>
        <w:t>.</w:t>
      </w:r>
      <w:r w:rsidR="00D71891" w:rsidRPr="00E5792C">
        <w:rPr>
          <w:bCs/>
          <w:lang w:val="en-US"/>
        </w:rPr>
        <w:t>5</w:t>
      </w:r>
      <w:r w:rsidRPr="00E5792C">
        <w:rPr>
          <w:bCs/>
          <w:lang w:val="en-US"/>
        </w:rPr>
        <w:t xml:space="preserve">%, </w:t>
      </w:r>
      <w:r w:rsidR="00D71891" w:rsidRPr="00E5792C">
        <w:rPr>
          <w:bCs/>
          <w:lang w:val="en-US"/>
        </w:rPr>
        <w:t>P</w:t>
      </w:r>
      <w:r w:rsidR="00E22ACC" w:rsidRPr="00E5792C">
        <w:rPr>
          <w:bCs/>
          <w:lang w:val="en-US"/>
        </w:rPr>
        <w:t>=</w:t>
      </w:r>
      <w:r w:rsidRPr="00E5792C">
        <w:rPr>
          <w:bCs/>
          <w:lang w:val="en-US"/>
        </w:rPr>
        <w:t>0.</w:t>
      </w:r>
      <w:r w:rsidR="00D71891" w:rsidRPr="00E5792C">
        <w:rPr>
          <w:bCs/>
          <w:lang w:val="en-US"/>
        </w:rPr>
        <w:t>107</w:t>
      </w:r>
      <w:r w:rsidRPr="00E5792C">
        <w:rPr>
          <w:bCs/>
          <w:lang w:val="en-US"/>
        </w:rPr>
        <w:t xml:space="preserve">). </w:t>
      </w:r>
      <w:r w:rsidR="00BC558F" w:rsidRPr="00E5792C">
        <w:rPr>
          <w:bCs/>
          <w:lang w:val="en-US"/>
        </w:rPr>
        <w:t>When small (&lt;50</w:t>
      </w:r>
      <w:r w:rsidR="002531CF" w:rsidRPr="00E5792C">
        <w:rPr>
          <w:bCs/>
          <w:lang w:val="en-US"/>
        </w:rPr>
        <w:t xml:space="preserve"> </w:t>
      </w:r>
      <w:r w:rsidR="00BC558F" w:rsidRPr="00E5792C">
        <w:rPr>
          <w:bCs/>
          <w:lang w:val="en-US"/>
        </w:rPr>
        <w:t>participants)</w:t>
      </w:r>
      <w:r w:rsidR="00E82D14" w:rsidRPr="00E5792C">
        <w:rPr>
          <w:bCs/>
          <w:vertAlign w:val="superscript"/>
          <w:lang w:val="en-US"/>
        </w:rPr>
        <w:t>20,21</w:t>
      </w:r>
      <w:r w:rsidR="00BC558F" w:rsidRPr="00E5792C">
        <w:rPr>
          <w:bCs/>
          <w:lang w:val="en-US"/>
        </w:rPr>
        <w:t xml:space="preserve"> or </w:t>
      </w:r>
      <w:r w:rsidR="009D7F83" w:rsidRPr="00E5792C">
        <w:rPr>
          <w:bCs/>
          <w:lang w:val="en-US"/>
        </w:rPr>
        <w:t>lower</w:t>
      </w:r>
      <w:r w:rsidR="00BC558F" w:rsidRPr="00E5792C">
        <w:rPr>
          <w:bCs/>
          <w:lang w:val="en-US"/>
        </w:rPr>
        <w:t xml:space="preserve"> quality studies</w:t>
      </w:r>
      <w:r w:rsidR="00745E6B" w:rsidRPr="00E5792C">
        <w:rPr>
          <w:bCs/>
          <w:vertAlign w:val="superscript"/>
          <w:lang w:val="en-US"/>
        </w:rPr>
        <w:t>1</w:t>
      </w:r>
      <w:r w:rsidR="00D55499" w:rsidRPr="00E5792C">
        <w:rPr>
          <w:bCs/>
          <w:vertAlign w:val="superscript"/>
          <w:lang w:val="en-US"/>
        </w:rPr>
        <w:t>3</w:t>
      </w:r>
      <w:r w:rsidR="00F2521C" w:rsidRPr="00E5792C">
        <w:rPr>
          <w:bCs/>
          <w:vertAlign w:val="superscript"/>
          <w:lang w:val="en-US"/>
        </w:rPr>
        <w:t>,21</w:t>
      </w:r>
      <w:r w:rsidR="00BC558F" w:rsidRPr="00E5792C">
        <w:rPr>
          <w:bCs/>
          <w:lang w:val="en-US"/>
        </w:rPr>
        <w:t xml:space="preserve"> were excluded, presence of LGE at baseline </w:t>
      </w:r>
      <w:r w:rsidR="00BC558F" w:rsidRPr="00E5792C">
        <w:rPr>
          <w:bCs/>
          <w:lang w:val="en-US"/>
        </w:rPr>
        <w:lastRenderedPageBreak/>
        <w:t>CMR scan was still related to</w:t>
      </w:r>
      <w:r w:rsidR="00227CB5" w:rsidRPr="00E5792C">
        <w:rPr>
          <w:bCs/>
          <w:lang w:val="en-US"/>
        </w:rPr>
        <w:t xml:space="preserve"> the combined endpoint </w:t>
      </w:r>
      <w:r w:rsidR="00BC558F" w:rsidRPr="00E5792C">
        <w:rPr>
          <w:bCs/>
          <w:lang w:val="en-US"/>
        </w:rPr>
        <w:t>(</w:t>
      </w:r>
      <w:r w:rsidR="002531CF" w:rsidRPr="00E5792C">
        <w:rPr>
          <w:bCs/>
          <w:lang w:val="en-US"/>
        </w:rPr>
        <w:t>pooled HR=</w:t>
      </w:r>
      <w:r w:rsidR="00D83E00" w:rsidRPr="00E5792C">
        <w:rPr>
          <w:bCs/>
          <w:lang w:val="en-US"/>
        </w:rPr>
        <w:t>2.19</w:t>
      </w:r>
      <w:r w:rsidR="00BC558F" w:rsidRPr="00E5792C">
        <w:rPr>
          <w:bCs/>
          <w:lang w:val="en-US"/>
        </w:rPr>
        <w:t>, 95% CI</w:t>
      </w:r>
      <w:r w:rsidR="0021671F" w:rsidRPr="00E5792C">
        <w:rPr>
          <w:bCs/>
          <w:lang w:val="en-US"/>
        </w:rPr>
        <w:t>s</w:t>
      </w:r>
      <w:r w:rsidR="002531CF" w:rsidRPr="00E5792C">
        <w:rPr>
          <w:bCs/>
          <w:lang w:val="en-US"/>
        </w:rPr>
        <w:t xml:space="preserve"> 1.</w:t>
      </w:r>
      <w:r w:rsidR="00D83E00" w:rsidRPr="00E5792C">
        <w:rPr>
          <w:bCs/>
          <w:lang w:val="en-US"/>
        </w:rPr>
        <w:t>4</w:t>
      </w:r>
      <w:r w:rsidR="002531CF" w:rsidRPr="00E5792C">
        <w:rPr>
          <w:bCs/>
          <w:lang w:val="en-US"/>
        </w:rPr>
        <w:t>7-</w:t>
      </w:r>
      <w:r w:rsidR="00D83E00" w:rsidRPr="00E5792C">
        <w:rPr>
          <w:bCs/>
          <w:lang w:val="en-US"/>
        </w:rPr>
        <w:t>3.25</w:t>
      </w:r>
      <w:r w:rsidR="00BC558F" w:rsidRPr="00E5792C">
        <w:rPr>
          <w:bCs/>
          <w:lang w:val="en-US"/>
        </w:rPr>
        <w:t>, P</w:t>
      </w:r>
      <w:r w:rsidR="00D83E00" w:rsidRPr="00E5792C">
        <w:rPr>
          <w:bCs/>
          <w:lang w:val="en-US"/>
        </w:rPr>
        <w:t>&lt;</w:t>
      </w:r>
      <w:r w:rsidR="00BC558F" w:rsidRPr="00E5792C">
        <w:rPr>
          <w:bCs/>
          <w:lang w:val="en-US"/>
        </w:rPr>
        <w:t>0.</w:t>
      </w:r>
      <w:r w:rsidR="00D83E00" w:rsidRPr="00E5792C">
        <w:rPr>
          <w:bCs/>
          <w:lang w:val="en-US"/>
        </w:rPr>
        <w:t>0</w:t>
      </w:r>
      <w:r w:rsidR="00BC558F" w:rsidRPr="00E5792C">
        <w:rPr>
          <w:bCs/>
          <w:lang w:val="en-US"/>
        </w:rPr>
        <w:t>0</w:t>
      </w:r>
      <w:r w:rsidR="002531CF" w:rsidRPr="00E5792C">
        <w:rPr>
          <w:bCs/>
          <w:lang w:val="en-US"/>
        </w:rPr>
        <w:t>1</w:t>
      </w:r>
      <w:r w:rsidR="00BC558F" w:rsidRPr="00E5792C">
        <w:rPr>
          <w:bCs/>
          <w:lang w:val="en-US"/>
        </w:rPr>
        <w:t xml:space="preserve"> and </w:t>
      </w:r>
      <w:r w:rsidR="002531CF" w:rsidRPr="00E5792C">
        <w:rPr>
          <w:bCs/>
          <w:lang w:val="en-US"/>
        </w:rPr>
        <w:t>pooled HR=</w:t>
      </w:r>
      <w:r w:rsidR="00CA1825" w:rsidRPr="00E5792C">
        <w:rPr>
          <w:bCs/>
          <w:lang w:val="en-US"/>
        </w:rPr>
        <w:t>2.10</w:t>
      </w:r>
      <w:r w:rsidR="00BC558F" w:rsidRPr="00E5792C">
        <w:rPr>
          <w:bCs/>
          <w:lang w:val="en-US"/>
        </w:rPr>
        <w:t>, 95% CI</w:t>
      </w:r>
      <w:r w:rsidR="0021671F" w:rsidRPr="00E5792C">
        <w:rPr>
          <w:bCs/>
          <w:lang w:val="en-US"/>
        </w:rPr>
        <w:t>s</w:t>
      </w:r>
      <w:r w:rsidR="00BC558F" w:rsidRPr="00E5792C">
        <w:rPr>
          <w:bCs/>
          <w:lang w:val="en-US"/>
        </w:rPr>
        <w:t xml:space="preserve"> </w:t>
      </w:r>
      <w:r w:rsidR="00CA1825" w:rsidRPr="00E5792C">
        <w:rPr>
          <w:bCs/>
          <w:lang w:val="en-US"/>
        </w:rPr>
        <w:t>1.3</w:t>
      </w:r>
      <w:r w:rsidR="00AA444A" w:rsidRPr="00E5792C">
        <w:rPr>
          <w:bCs/>
          <w:lang w:val="en-US"/>
        </w:rPr>
        <w:t>6</w:t>
      </w:r>
      <w:r w:rsidR="00CA1825" w:rsidRPr="00E5792C">
        <w:rPr>
          <w:bCs/>
          <w:lang w:val="en-US"/>
        </w:rPr>
        <w:t>-3.24</w:t>
      </w:r>
      <w:r w:rsidR="00BC558F" w:rsidRPr="00E5792C">
        <w:rPr>
          <w:bCs/>
          <w:lang w:val="en-US"/>
        </w:rPr>
        <w:t>, P=0.0</w:t>
      </w:r>
      <w:r w:rsidR="00D71891" w:rsidRPr="00E5792C">
        <w:rPr>
          <w:bCs/>
          <w:lang w:val="en-US"/>
        </w:rPr>
        <w:t>01</w:t>
      </w:r>
      <w:r w:rsidR="00BC558F" w:rsidRPr="00E5792C">
        <w:rPr>
          <w:bCs/>
          <w:lang w:val="en-US"/>
        </w:rPr>
        <w:t>, respectively)</w:t>
      </w:r>
      <w:r w:rsidR="00026E13" w:rsidRPr="00E5792C">
        <w:rPr>
          <w:bCs/>
          <w:lang w:val="en-US"/>
        </w:rPr>
        <w:t>(</w:t>
      </w:r>
      <w:r w:rsidR="0071721D" w:rsidRPr="00E5792C">
        <w:rPr>
          <w:b/>
          <w:lang w:val="en-US"/>
        </w:rPr>
        <w:t>S</w:t>
      </w:r>
      <w:r w:rsidR="00026E13" w:rsidRPr="00E5792C">
        <w:rPr>
          <w:b/>
          <w:lang w:val="en-US"/>
        </w:rPr>
        <w:t>upplementary Table 5S</w:t>
      </w:r>
      <w:r w:rsidR="00026E13" w:rsidRPr="00E5792C">
        <w:rPr>
          <w:bCs/>
          <w:lang w:val="en-US"/>
        </w:rPr>
        <w:t>)</w:t>
      </w:r>
      <w:r w:rsidR="00DB2139" w:rsidRPr="00E5792C">
        <w:rPr>
          <w:bCs/>
          <w:lang w:val="en-US"/>
        </w:rPr>
        <w:t xml:space="preserve">. Accordingly, when the </w:t>
      </w:r>
      <w:r w:rsidR="00E53F0B" w:rsidRPr="00E5792C">
        <w:rPr>
          <w:bCs/>
          <w:lang w:val="en-US"/>
        </w:rPr>
        <w:t xml:space="preserve">studies </w:t>
      </w:r>
      <w:r w:rsidR="00DB2139" w:rsidRPr="00E5792C">
        <w:rPr>
          <w:bCs/>
          <w:lang w:val="en-US"/>
        </w:rPr>
        <w:t xml:space="preserve">from </w:t>
      </w:r>
      <w:r w:rsidR="00F0026C" w:rsidRPr="00E5792C">
        <w:rPr>
          <w:rFonts w:ascii="Times" w:hAnsi="Times"/>
          <w:lang w:val="en-US"/>
        </w:rPr>
        <w:t>Gräni</w:t>
      </w:r>
      <w:r w:rsidR="003E1DC1" w:rsidRPr="00E5792C">
        <w:rPr>
          <w:bCs/>
          <w:lang w:val="en-US"/>
        </w:rPr>
        <w:t xml:space="preserve"> </w:t>
      </w:r>
      <w:r w:rsidR="003E1DC1" w:rsidRPr="00E5792C">
        <w:rPr>
          <w:bCs/>
          <w:i/>
          <w:iCs/>
          <w:lang w:val="en-US"/>
        </w:rPr>
        <w:t>et al.</w:t>
      </w:r>
      <w:r w:rsidR="000F347B" w:rsidRPr="00E5792C">
        <w:rPr>
          <w:bCs/>
          <w:i/>
          <w:iCs/>
          <w:vertAlign w:val="superscript"/>
          <w:lang w:val="en-US"/>
        </w:rPr>
        <w:t>19</w:t>
      </w:r>
      <w:r w:rsidR="00F85A89" w:rsidRPr="00E5792C">
        <w:rPr>
          <w:bCs/>
          <w:lang w:val="en-US"/>
        </w:rPr>
        <w:t xml:space="preserve"> </w:t>
      </w:r>
      <w:r w:rsidR="00D83E00" w:rsidRPr="00E5792C">
        <w:rPr>
          <w:bCs/>
          <w:lang w:val="en-US"/>
        </w:rPr>
        <w:t>and</w:t>
      </w:r>
      <w:r w:rsidR="00DB2139" w:rsidRPr="00E5792C">
        <w:rPr>
          <w:bCs/>
          <w:lang w:val="en-US"/>
        </w:rPr>
        <w:t xml:space="preserve"> </w:t>
      </w:r>
      <w:r w:rsidR="003E1DC1" w:rsidRPr="00E5792C">
        <w:rPr>
          <w:bCs/>
          <w:lang w:val="en-US"/>
        </w:rPr>
        <w:t xml:space="preserve">Schumm </w:t>
      </w:r>
      <w:r w:rsidR="003E1DC1" w:rsidRPr="00E5792C">
        <w:rPr>
          <w:bCs/>
          <w:i/>
          <w:iCs/>
          <w:lang w:val="en-US"/>
        </w:rPr>
        <w:t>et al.</w:t>
      </w:r>
      <w:r w:rsidR="000F347B" w:rsidRPr="00E5792C">
        <w:rPr>
          <w:bCs/>
          <w:i/>
          <w:iCs/>
          <w:vertAlign w:val="superscript"/>
          <w:lang w:val="en-US"/>
        </w:rPr>
        <w:t>13</w:t>
      </w:r>
      <w:r w:rsidR="003E1DC1" w:rsidRPr="00E5792C" w:rsidDel="003E1DC1">
        <w:rPr>
          <w:bCs/>
          <w:lang w:val="en-US"/>
        </w:rPr>
        <w:t xml:space="preserve"> </w:t>
      </w:r>
      <w:r w:rsidR="00E53F0B" w:rsidRPr="00E5792C">
        <w:rPr>
          <w:bCs/>
          <w:lang w:val="en-US"/>
        </w:rPr>
        <w:t xml:space="preserve">were </w:t>
      </w:r>
      <w:r w:rsidR="002707CE" w:rsidRPr="00E5792C">
        <w:rPr>
          <w:bCs/>
          <w:lang w:val="en-US"/>
        </w:rPr>
        <w:t>excluded</w:t>
      </w:r>
      <w:r w:rsidR="00DB2139" w:rsidRPr="00E5792C">
        <w:rPr>
          <w:bCs/>
          <w:lang w:val="en-US"/>
        </w:rPr>
        <w:t>, the pooled result of the meta-analysis was not attenuated (pooled HR=</w:t>
      </w:r>
      <w:r w:rsidR="00D83E00" w:rsidRPr="00E5792C">
        <w:rPr>
          <w:bCs/>
          <w:lang w:val="en-US"/>
        </w:rPr>
        <w:t>8.13</w:t>
      </w:r>
      <w:r w:rsidR="00DB2139" w:rsidRPr="00E5792C">
        <w:rPr>
          <w:bCs/>
          <w:lang w:val="en-US"/>
        </w:rPr>
        <w:t>, 95% CI</w:t>
      </w:r>
      <w:r w:rsidR="0021671F" w:rsidRPr="00E5792C">
        <w:rPr>
          <w:bCs/>
          <w:lang w:val="en-US"/>
        </w:rPr>
        <w:t>s</w:t>
      </w:r>
      <w:r w:rsidR="00DB2139" w:rsidRPr="00E5792C">
        <w:rPr>
          <w:bCs/>
          <w:lang w:val="en-US"/>
        </w:rPr>
        <w:t xml:space="preserve"> </w:t>
      </w:r>
      <w:r w:rsidR="00AA444A" w:rsidRPr="00E5792C">
        <w:rPr>
          <w:bCs/>
          <w:lang w:val="en-US"/>
        </w:rPr>
        <w:t>2.87</w:t>
      </w:r>
      <w:r w:rsidR="00D83E00" w:rsidRPr="00E5792C">
        <w:rPr>
          <w:bCs/>
          <w:lang w:val="en-US"/>
        </w:rPr>
        <w:t>-</w:t>
      </w:r>
      <w:r w:rsidR="00AA444A" w:rsidRPr="00E5792C">
        <w:rPr>
          <w:bCs/>
          <w:lang w:val="en-US"/>
        </w:rPr>
        <w:t>23</w:t>
      </w:r>
      <w:r w:rsidR="00D83E00" w:rsidRPr="00E5792C">
        <w:rPr>
          <w:bCs/>
          <w:lang w:val="en-US"/>
        </w:rPr>
        <w:t>.00</w:t>
      </w:r>
      <w:r w:rsidR="00DB2139" w:rsidRPr="00E5792C">
        <w:rPr>
          <w:bCs/>
          <w:lang w:val="en-US"/>
        </w:rPr>
        <w:t>)</w:t>
      </w:r>
      <w:r w:rsidR="00F8753D" w:rsidRPr="00E5792C">
        <w:rPr>
          <w:bCs/>
          <w:lang w:val="en-US"/>
        </w:rPr>
        <w:t>.</w:t>
      </w:r>
    </w:p>
    <w:p w14:paraId="3D1CEE1B" w14:textId="030C31D4" w:rsidR="00415268" w:rsidRPr="00E5792C" w:rsidRDefault="00415268" w:rsidP="00E5792C">
      <w:pPr>
        <w:autoSpaceDE w:val="0"/>
        <w:autoSpaceDN w:val="0"/>
        <w:adjustRightInd w:val="0"/>
        <w:spacing w:line="480" w:lineRule="auto"/>
        <w:jc w:val="both"/>
        <w:rPr>
          <w:b/>
          <w:bCs/>
          <w:lang w:val="en-US"/>
        </w:rPr>
      </w:pPr>
      <w:r w:rsidRPr="00E5792C">
        <w:rPr>
          <w:b/>
          <w:bCs/>
          <w:lang w:val="en-US"/>
        </w:rPr>
        <w:t xml:space="preserve">Extent of </w:t>
      </w:r>
      <w:r w:rsidR="00033388" w:rsidRPr="00E5792C">
        <w:rPr>
          <w:b/>
          <w:bCs/>
          <w:lang w:val="en-US"/>
        </w:rPr>
        <w:t xml:space="preserve">LGE </w:t>
      </w:r>
      <w:r w:rsidR="0039300F" w:rsidRPr="00E5792C">
        <w:rPr>
          <w:b/>
          <w:bCs/>
          <w:lang w:val="en-US"/>
        </w:rPr>
        <w:t>and the risk of the combined endpoint</w:t>
      </w:r>
    </w:p>
    <w:p w14:paraId="2D3CA513" w14:textId="016CD5D9" w:rsidR="0031300C" w:rsidRPr="00E5792C" w:rsidRDefault="00036D57" w:rsidP="00E5792C">
      <w:pPr>
        <w:autoSpaceDE w:val="0"/>
        <w:autoSpaceDN w:val="0"/>
        <w:adjustRightInd w:val="0"/>
        <w:spacing w:line="480" w:lineRule="auto"/>
        <w:jc w:val="both"/>
        <w:rPr>
          <w:bCs/>
          <w:lang w:val="en-US"/>
        </w:rPr>
      </w:pPr>
      <w:r w:rsidRPr="00E5792C">
        <w:rPr>
          <w:bCs/>
          <w:lang w:val="en-US"/>
        </w:rPr>
        <w:t>Five</w:t>
      </w:r>
      <w:r w:rsidR="00820039" w:rsidRPr="00E5792C">
        <w:rPr>
          <w:bCs/>
          <w:lang w:val="en-US"/>
        </w:rPr>
        <w:t xml:space="preserve"> </w:t>
      </w:r>
      <w:r w:rsidR="00FB5DA4" w:rsidRPr="00E5792C">
        <w:rPr>
          <w:bCs/>
          <w:lang w:val="en-US"/>
        </w:rPr>
        <w:t>studies</w:t>
      </w:r>
      <w:r w:rsidR="00745E6B" w:rsidRPr="00E5792C">
        <w:rPr>
          <w:bCs/>
          <w:vertAlign w:val="superscript"/>
          <w:lang w:val="en-US"/>
        </w:rPr>
        <w:t>1</w:t>
      </w:r>
      <w:r w:rsidR="00D55499" w:rsidRPr="00E5792C">
        <w:rPr>
          <w:bCs/>
          <w:vertAlign w:val="superscript"/>
          <w:lang w:val="en-US"/>
        </w:rPr>
        <w:t>4</w:t>
      </w:r>
      <w:r w:rsidR="00745E6B" w:rsidRPr="00E5792C">
        <w:rPr>
          <w:bCs/>
          <w:vertAlign w:val="superscript"/>
          <w:lang w:val="en-US"/>
        </w:rPr>
        <w:t>-1</w:t>
      </w:r>
      <w:r w:rsidR="00D55499" w:rsidRPr="00E5792C">
        <w:rPr>
          <w:bCs/>
          <w:vertAlign w:val="superscript"/>
          <w:lang w:val="en-US"/>
        </w:rPr>
        <w:t>6</w:t>
      </w:r>
      <w:r w:rsidR="00745E6B" w:rsidRPr="00E5792C">
        <w:rPr>
          <w:bCs/>
          <w:vertAlign w:val="superscript"/>
          <w:lang w:val="en-US"/>
        </w:rPr>
        <w:t>,1</w:t>
      </w:r>
      <w:r w:rsidR="00D55499" w:rsidRPr="00E5792C">
        <w:rPr>
          <w:bCs/>
          <w:vertAlign w:val="superscript"/>
          <w:lang w:val="en-US"/>
        </w:rPr>
        <w:t>9</w:t>
      </w:r>
      <w:r w:rsidR="00745E6B" w:rsidRPr="00E5792C">
        <w:rPr>
          <w:bCs/>
          <w:vertAlign w:val="superscript"/>
          <w:lang w:val="en-US"/>
        </w:rPr>
        <w:t>,2</w:t>
      </w:r>
      <w:r w:rsidR="00D55499" w:rsidRPr="00E5792C">
        <w:rPr>
          <w:bCs/>
          <w:vertAlign w:val="superscript"/>
          <w:lang w:val="en-US"/>
        </w:rPr>
        <w:t>2</w:t>
      </w:r>
      <w:r w:rsidR="00FB5DA4" w:rsidRPr="00E5792C">
        <w:rPr>
          <w:bCs/>
          <w:lang w:val="en-US"/>
        </w:rPr>
        <w:t xml:space="preserve"> provided information on the incidence of </w:t>
      </w:r>
      <w:r w:rsidR="007E72BE" w:rsidRPr="00E5792C">
        <w:rPr>
          <w:bCs/>
          <w:lang w:val="en-US"/>
        </w:rPr>
        <w:t xml:space="preserve">the </w:t>
      </w:r>
      <w:r w:rsidR="00F06F2C" w:rsidRPr="00E5792C">
        <w:rPr>
          <w:bCs/>
          <w:lang w:val="en-US"/>
        </w:rPr>
        <w:t>combined endpoint</w:t>
      </w:r>
      <w:r w:rsidR="00FB5DA4" w:rsidRPr="00E5792C">
        <w:rPr>
          <w:bCs/>
          <w:lang w:val="en-US"/>
        </w:rPr>
        <w:t xml:space="preserve"> </w:t>
      </w:r>
      <w:r w:rsidR="007E72BE" w:rsidRPr="00E5792C">
        <w:rPr>
          <w:bCs/>
          <w:lang w:val="en-US"/>
        </w:rPr>
        <w:t>and</w:t>
      </w:r>
      <w:r w:rsidRPr="00E5792C">
        <w:rPr>
          <w:bCs/>
          <w:lang w:val="en-US"/>
        </w:rPr>
        <w:t xml:space="preserve"> LGE</w:t>
      </w:r>
      <w:r w:rsidR="007E72BE" w:rsidRPr="00E5792C">
        <w:rPr>
          <w:bCs/>
          <w:lang w:val="en-US"/>
        </w:rPr>
        <w:t xml:space="preserve"> extent</w:t>
      </w:r>
      <w:r w:rsidRPr="00E5792C">
        <w:rPr>
          <w:bCs/>
          <w:lang w:val="en-US"/>
        </w:rPr>
        <w:t xml:space="preserve"> at baseline CMR. Two studies</w:t>
      </w:r>
      <w:r w:rsidR="00C235A4" w:rsidRPr="00E5792C">
        <w:rPr>
          <w:bCs/>
          <w:lang w:val="en-US"/>
        </w:rPr>
        <w:t xml:space="preserve"> </w:t>
      </w:r>
      <w:r w:rsidRPr="00E5792C">
        <w:rPr>
          <w:bCs/>
          <w:lang w:val="en-US"/>
        </w:rPr>
        <w:t xml:space="preserve">compared patients with </w:t>
      </w:r>
      <w:r w:rsidR="008C1834" w:rsidRPr="00E5792C">
        <w:rPr>
          <w:bCs/>
          <w:lang w:val="en-US"/>
        </w:rPr>
        <w:t>&gt;</w:t>
      </w:r>
      <w:r w:rsidRPr="00E5792C">
        <w:rPr>
          <w:bCs/>
          <w:lang w:val="en-US"/>
        </w:rPr>
        <w:t xml:space="preserve">2 LGE segments to subjects with LGE </w:t>
      </w:r>
      <w:r w:rsidR="00437F22" w:rsidRPr="00E5792C">
        <w:rPr>
          <w:bCs/>
          <w:lang w:val="en-US"/>
        </w:rPr>
        <w:t>≤</w:t>
      </w:r>
      <w:r w:rsidRPr="00E5792C">
        <w:rPr>
          <w:bCs/>
          <w:lang w:val="en-US"/>
        </w:rPr>
        <w:t>2 myocardial segments</w:t>
      </w:r>
      <w:r w:rsidR="00CF4DEA" w:rsidRPr="00E5792C">
        <w:rPr>
          <w:bCs/>
          <w:lang w:val="en-US"/>
        </w:rPr>
        <w:t>.</w:t>
      </w:r>
      <w:r w:rsidR="002556C1" w:rsidRPr="00E5792C">
        <w:rPr>
          <w:bCs/>
          <w:vertAlign w:val="superscript"/>
          <w:lang w:val="en-US"/>
        </w:rPr>
        <w:t>1</w:t>
      </w:r>
      <w:r w:rsidR="00D55499" w:rsidRPr="00E5792C">
        <w:rPr>
          <w:bCs/>
          <w:vertAlign w:val="superscript"/>
          <w:lang w:val="en-US"/>
        </w:rPr>
        <w:t>5</w:t>
      </w:r>
      <w:r w:rsidR="002556C1" w:rsidRPr="00E5792C">
        <w:rPr>
          <w:bCs/>
          <w:vertAlign w:val="superscript"/>
          <w:lang w:val="en-US"/>
        </w:rPr>
        <w:t>,1</w:t>
      </w:r>
      <w:r w:rsidR="00D55499" w:rsidRPr="00E5792C">
        <w:rPr>
          <w:bCs/>
          <w:vertAlign w:val="superscript"/>
          <w:lang w:val="en-US"/>
        </w:rPr>
        <w:t>6</w:t>
      </w:r>
      <w:r w:rsidR="00437F22" w:rsidRPr="00E5792C">
        <w:rPr>
          <w:bCs/>
          <w:lang w:val="en-US"/>
        </w:rPr>
        <w:t xml:space="preserve"> One</w:t>
      </w:r>
      <w:r w:rsidRPr="00E5792C">
        <w:rPr>
          <w:bCs/>
          <w:lang w:val="en-US"/>
        </w:rPr>
        <w:t xml:space="preserve"> study used a </w:t>
      </w:r>
      <w:r w:rsidR="00437F22" w:rsidRPr="00E5792C">
        <w:rPr>
          <w:bCs/>
          <w:lang w:val="en-US"/>
        </w:rPr>
        <w:t>semi-</w:t>
      </w:r>
      <w:r w:rsidRPr="00E5792C">
        <w:rPr>
          <w:bCs/>
          <w:lang w:val="en-US"/>
        </w:rPr>
        <w:t xml:space="preserve">quantitative </w:t>
      </w:r>
      <w:r w:rsidR="00437F22" w:rsidRPr="00E5792C">
        <w:rPr>
          <w:bCs/>
          <w:lang w:val="en-US"/>
        </w:rPr>
        <w:t>approach based on the</w:t>
      </w:r>
      <w:r w:rsidR="00C95ED6" w:rsidRPr="00E5792C">
        <w:rPr>
          <w:bCs/>
          <w:lang w:val="en-US"/>
        </w:rPr>
        <w:t xml:space="preserve"> number of positive LGE segments according to</w:t>
      </w:r>
      <w:r w:rsidR="00437F22" w:rsidRPr="00E5792C">
        <w:rPr>
          <w:bCs/>
          <w:lang w:val="en-US"/>
        </w:rPr>
        <w:t xml:space="preserve"> </w:t>
      </w:r>
      <w:r w:rsidR="009E13AE" w:rsidRPr="00E5792C">
        <w:rPr>
          <w:bCs/>
          <w:lang w:val="en-US"/>
        </w:rPr>
        <w:t xml:space="preserve">a </w:t>
      </w:r>
      <w:r w:rsidRPr="00E5792C">
        <w:rPr>
          <w:bCs/>
          <w:lang w:val="en-US"/>
        </w:rPr>
        <w:t xml:space="preserve">17-segment </w:t>
      </w:r>
      <w:r w:rsidR="00C95ED6" w:rsidRPr="00E5792C">
        <w:rPr>
          <w:bCs/>
          <w:lang w:val="en-US"/>
        </w:rPr>
        <w:t>AHA model</w:t>
      </w:r>
      <w:r w:rsidR="00CF4DEA" w:rsidRPr="00E5792C">
        <w:rPr>
          <w:bCs/>
          <w:lang w:val="en-US"/>
        </w:rPr>
        <w:t>;</w:t>
      </w:r>
      <w:r w:rsidR="002556C1" w:rsidRPr="00E5792C">
        <w:rPr>
          <w:bCs/>
          <w:vertAlign w:val="superscript"/>
          <w:lang w:val="en-US"/>
        </w:rPr>
        <w:t>2</w:t>
      </w:r>
      <w:r w:rsidR="00D55499" w:rsidRPr="00E5792C">
        <w:rPr>
          <w:bCs/>
          <w:vertAlign w:val="superscript"/>
          <w:lang w:val="en-US"/>
        </w:rPr>
        <w:t>2</w:t>
      </w:r>
      <w:r w:rsidR="00033388" w:rsidRPr="00E5792C">
        <w:rPr>
          <w:bCs/>
          <w:lang w:val="en-US"/>
        </w:rPr>
        <w:t xml:space="preserve"> </w:t>
      </w:r>
      <w:r w:rsidRPr="00E5792C">
        <w:rPr>
          <w:bCs/>
          <w:lang w:val="en-US"/>
        </w:rPr>
        <w:t xml:space="preserve">two assessed LGE </w:t>
      </w:r>
      <w:r w:rsidR="00C95ED6" w:rsidRPr="00E5792C">
        <w:rPr>
          <w:bCs/>
          <w:lang w:val="en-US"/>
        </w:rPr>
        <w:t xml:space="preserve">extent </w:t>
      </w:r>
      <w:r w:rsidRPr="00E5792C">
        <w:rPr>
          <w:bCs/>
          <w:lang w:val="en-US"/>
        </w:rPr>
        <w:t xml:space="preserve">as </w:t>
      </w:r>
      <w:r w:rsidR="00861030" w:rsidRPr="00E5792C">
        <w:rPr>
          <w:bCs/>
          <w:lang w:val="en-US"/>
        </w:rPr>
        <w:t xml:space="preserve">a </w:t>
      </w:r>
      <w:r w:rsidRPr="00E5792C">
        <w:rPr>
          <w:bCs/>
          <w:lang w:val="en-US"/>
        </w:rPr>
        <w:t xml:space="preserve">percentage of </w:t>
      </w:r>
      <w:r w:rsidR="005B6765" w:rsidRPr="00E5792C">
        <w:rPr>
          <w:bCs/>
          <w:lang w:val="en-US"/>
        </w:rPr>
        <w:t>LV</w:t>
      </w:r>
      <w:r w:rsidRPr="00E5792C">
        <w:rPr>
          <w:bCs/>
          <w:lang w:val="en-US"/>
        </w:rPr>
        <w:t xml:space="preserve"> mass</w:t>
      </w:r>
      <w:r w:rsidR="00CF4DEA" w:rsidRPr="00E5792C">
        <w:rPr>
          <w:bCs/>
          <w:lang w:val="en-US"/>
        </w:rPr>
        <w:t>;</w:t>
      </w:r>
      <w:r w:rsidR="002556C1" w:rsidRPr="00E5792C">
        <w:rPr>
          <w:bCs/>
          <w:vertAlign w:val="superscript"/>
          <w:lang w:val="en-US"/>
        </w:rPr>
        <w:t>1</w:t>
      </w:r>
      <w:r w:rsidR="00D55499" w:rsidRPr="00E5792C">
        <w:rPr>
          <w:bCs/>
          <w:vertAlign w:val="superscript"/>
          <w:lang w:val="en-US"/>
        </w:rPr>
        <w:t>5</w:t>
      </w:r>
      <w:r w:rsidR="002556C1" w:rsidRPr="00E5792C">
        <w:rPr>
          <w:bCs/>
          <w:vertAlign w:val="superscript"/>
          <w:lang w:val="en-US"/>
        </w:rPr>
        <w:t>,1</w:t>
      </w:r>
      <w:r w:rsidR="00D55499" w:rsidRPr="00E5792C">
        <w:rPr>
          <w:bCs/>
          <w:vertAlign w:val="superscript"/>
          <w:lang w:val="en-US"/>
        </w:rPr>
        <w:t>9</w:t>
      </w:r>
      <w:r w:rsidR="002556C1" w:rsidRPr="00E5792C">
        <w:rPr>
          <w:bCs/>
          <w:lang w:val="en-US"/>
        </w:rPr>
        <w:t xml:space="preserve"> and one </w:t>
      </w:r>
      <w:r w:rsidR="00C95ED6" w:rsidRPr="00E5792C">
        <w:rPr>
          <w:bCs/>
          <w:lang w:val="en-US"/>
        </w:rPr>
        <w:t>as absolute</w:t>
      </w:r>
      <w:r w:rsidR="002556C1" w:rsidRPr="00E5792C">
        <w:rPr>
          <w:bCs/>
          <w:lang w:val="en-US"/>
        </w:rPr>
        <w:t xml:space="preserve"> </w:t>
      </w:r>
      <w:r w:rsidR="00243A01" w:rsidRPr="00E5792C">
        <w:rPr>
          <w:bCs/>
          <w:lang w:val="en-US"/>
        </w:rPr>
        <w:t>LGE</w:t>
      </w:r>
      <w:r w:rsidR="007E72BE" w:rsidRPr="00E5792C">
        <w:rPr>
          <w:bCs/>
          <w:lang w:val="en-US"/>
        </w:rPr>
        <w:t xml:space="preserve"> </w:t>
      </w:r>
      <w:r w:rsidR="005B6765" w:rsidRPr="00E5792C">
        <w:rPr>
          <w:bCs/>
          <w:lang w:val="en-US"/>
        </w:rPr>
        <w:t xml:space="preserve">in </w:t>
      </w:r>
      <w:r w:rsidR="002556C1" w:rsidRPr="00E5792C">
        <w:rPr>
          <w:bCs/>
          <w:lang w:val="en-US"/>
        </w:rPr>
        <w:t>grams</w:t>
      </w:r>
      <w:r w:rsidR="0007599E" w:rsidRPr="00E5792C">
        <w:rPr>
          <w:bCs/>
          <w:vertAlign w:val="superscript"/>
          <w:lang w:val="en-US"/>
        </w:rPr>
        <w:t>14</w:t>
      </w:r>
      <w:r w:rsidR="00CF4DEA" w:rsidRPr="00E5792C">
        <w:rPr>
          <w:bCs/>
          <w:lang w:val="en-US"/>
        </w:rPr>
        <w:t>.</w:t>
      </w:r>
      <w:r w:rsidR="0007599E" w:rsidRPr="00E5792C">
        <w:rPr>
          <w:bCs/>
          <w:lang w:val="en-US"/>
        </w:rPr>
        <w:t xml:space="preserve"> </w:t>
      </w:r>
      <w:r w:rsidR="00DA1793" w:rsidRPr="00E5792C">
        <w:rPr>
          <w:bCs/>
          <w:lang w:val="en-US"/>
        </w:rPr>
        <w:t xml:space="preserve">The pooled HR </w:t>
      </w:r>
      <w:r w:rsidR="00227CB5" w:rsidRPr="00E5792C">
        <w:rPr>
          <w:bCs/>
          <w:lang w:val="en-US"/>
        </w:rPr>
        <w:t xml:space="preserve">of LGE extent </w:t>
      </w:r>
      <w:r w:rsidR="00657218" w:rsidRPr="00E5792C">
        <w:rPr>
          <w:bCs/>
          <w:lang w:val="en-US"/>
        </w:rPr>
        <w:t>for</w:t>
      </w:r>
      <w:r w:rsidR="00DA1793" w:rsidRPr="00E5792C">
        <w:rPr>
          <w:bCs/>
          <w:lang w:val="en-US"/>
        </w:rPr>
        <w:t xml:space="preserve"> </w:t>
      </w:r>
      <w:r w:rsidR="00227CB5" w:rsidRPr="00E5792C">
        <w:rPr>
          <w:bCs/>
          <w:lang w:val="en-US"/>
        </w:rPr>
        <w:t>the combined endpoint</w:t>
      </w:r>
      <w:r w:rsidR="00DA1793" w:rsidRPr="00E5792C">
        <w:rPr>
          <w:bCs/>
          <w:lang w:val="en-US"/>
        </w:rPr>
        <w:t xml:space="preserve"> was </w:t>
      </w:r>
      <w:r w:rsidR="00AC6FC2" w:rsidRPr="00E5792C">
        <w:rPr>
          <w:bCs/>
          <w:lang w:val="en-US"/>
        </w:rPr>
        <w:t>1.</w:t>
      </w:r>
      <w:r w:rsidR="0031300C" w:rsidRPr="00E5792C">
        <w:rPr>
          <w:bCs/>
          <w:lang w:val="en-US"/>
        </w:rPr>
        <w:t>96</w:t>
      </w:r>
      <w:r w:rsidR="00AC6FC2" w:rsidRPr="00E5792C">
        <w:rPr>
          <w:bCs/>
          <w:lang w:val="en-US"/>
        </w:rPr>
        <w:t xml:space="preserve"> (95% CIs 1.0</w:t>
      </w:r>
      <w:r w:rsidR="0031300C" w:rsidRPr="00E5792C">
        <w:rPr>
          <w:bCs/>
          <w:lang w:val="en-US"/>
        </w:rPr>
        <w:t>8</w:t>
      </w:r>
      <w:r w:rsidR="00AC6FC2" w:rsidRPr="00E5792C">
        <w:rPr>
          <w:bCs/>
          <w:lang w:val="en-US"/>
        </w:rPr>
        <w:t>-</w:t>
      </w:r>
      <w:r w:rsidR="0031300C" w:rsidRPr="00E5792C">
        <w:rPr>
          <w:bCs/>
          <w:lang w:val="en-US"/>
        </w:rPr>
        <w:t>3.56</w:t>
      </w:r>
      <w:r w:rsidR="00DA1793" w:rsidRPr="00E5792C">
        <w:rPr>
          <w:bCs/>
          <w:lang w:val="en-US"/>
        </w:rPr>
        <w:t xml:space="preserve">, </w:t>
      </w:r>
      <w:r w:rsidR="0031300C" w:rsidRPr="00E5792C">
        <w:rPr>
          <w:bCs/>
          <w:lang w:val="en-US"/>
        </w:rPr>
        <w:t>P=0.027</w:t>
      </w:r>
      <w:r w:rsidR="00DA1793" w:rsidRPr="00E5792C">
        <w:rPr>
          <w:bCs/>
          <w:lang w:val="en-US"/>
        </w:rPr>
        <w:t xml:space="preserve">). </w:t>
      </w:r>
      <w:r w:rsidR="0066455A" w:rsidRPr="00E5792C">
        <w:rPr>
          <w:bCs/>
          <w:lang w:val="en-US"/>
        </w:rPr>
        <w:t xml:space="preserve">The more conservative meta-analysis after the HK correction confirmed a trend </w:t>
      </w:r>
      <w:r w:rsidR="002A34F0" w:rsidRPr="00E5792C">
        <w:rPr>
          <w:bCs/>
          <w:lang w:val="en-US"/>
        </w:rPr>
        <w:t xml:space="preserve">towards </w:t>
      </w:r>
      <w:r w:rsidR="0066455A" w:rsidRPr="00E5792C">
        <w:rPr>
          <w:bCs/>
          <w:lang w:val="en-US"/>
        </w:rPr>
        <w:t xml:space="preserve">increased risk for </w:t>
      </w:r>
      <w:r w:rsidR="003450F8" w:rsidRPr="00E5792C">
        <w:rPr>
          <w:bCs/>
          <w:lang w:val="en-US"/>
        </w:rPr>
        <w:t xml:space="preserve">the combined endpoint </w:t>
      </w:r>
      <w:r w:rsidR="0066455A" w:rsidRPr="00E5792C">
        <w:rPr>
          <w:bCs/>
          <w:lang w:val="en-US"/>
        </w:rPr>
        <w:t>(pooled HR=1.96, 95% CIs 0.843-4.57)</w:t>
      </w:r>
      <w:r w:rsidR="002703C1" w:rsidRPr="00E5792C">
        <w:rPr>
          <w:bCs/>
          <w:lang w:val="en-US"/>
        </w:rPr>
        <w:t xml:space="preserve"> (</w:t>
      </w:r>
      <w:r w:rsidR="002703C1" w:rsidRPr="00E5792C">
        <w:rPr>
          <w:b/>
          <w:lang w:val="en-US"/>
        </w:rPr>
        <w:t xml:space="preserve">Figure </w:t>
      </w:r>
      <w:r w:rsidR="0041583E" w:rsidRPr="00E5792C">
        <w:rPr>
          <w:b/>
          <w:lang w:val="en-US"/>
        </w:rPr>
        <w:t>2</w:t>
      </w:r>
      <w:r w:rsidR="002703C1" w:rsidRPr="00E5792C">
        <w:rPr>
          <w:b/>
          <w:lang w:val="en-US"/>
        </w:rPr>
        <w:t>B</w:t>
      </w:r>
      <w:r w:rsidR="002703C1" w:rsidRPr="00E5792C">
        <w:rPr>
          <w:bCs/>
          <w:lang w:val="en-US"/>
        </w:rPr>
        <w:t>)</w:t>
      </w:r>
      <w:r w:rsidR="0066455A" w:rsidRPr="00E5792C">
        <w:rPr>
          <w:bCs/>
          <w:lang w:val="en-US"/>
        </w:rPr>
        <w:t xml:space="preserve">. </w:t>
      </w:r>
      <w:r w:rsidR="00DA1793" w:rsidRPr="00E5792C">
        <w:rPr>
          <w:bCs/>
          <w:lang w:val="en-US"/>
        </w:rPr>
        <w:t xml:space="preserve">Moderate to significant heterogeneity </w:t>
      </w:r>
      <w:r w:rsidR="00DA1793" w:rsidRPr="00E5792C">
        <w:rPr>
          <w:bCs/>
          <w:noProof/>
          <w:lang w:val="en-US"/>
        </w:rPr>
        <w:t>was observed</w:t>
      </w:r>
      <w:r w:rsidR="00DA1793" w:rsidRPr="00E5792C">
        <w:rPr>
          <w:bCs/>
          <w:lang w:val="en-US"/>
        </w:rPr>
        <w:t xml:space="preserve"> across the studies (I</w:t>
      </w:r>
      <w:r w:rsidR="00DA1793" w:rsidRPr="00E5792C">
        <w:rPr>
          <w:bCs/>
          <w:vertAlign w:val="superscript"/>
          <w:lang w:val="en-US"/>
        </w:rPr>
        <w:t>2</w:t>
      </w:r>
      <w:r w:rsidR="00DA1793" w:rsidRPr="00E5792C">
        <w:rPr>
          <w:bCs/>
          <w:lang w:val="en-US"/>
        </w:rPr>
        <w:t>=</w:t>
      </w:r>
      <w:r w:rsidR="0031300C" w:rsidRPr="00E5792C">
        <w:rPr>
          <w:bCs/>
          <w:lang w:val="en-US"/>
        </w:rPr>
        <w:t>75</w:t>
      </w:r>
      <w:r w:rsidR="00DA1793" w:rsidRPr="00E5792C">
        <w:rPr>
          <w:bCs/>
          <w:lang w:val="en-US"/>
        </w:rPr>
        <w:t xml:space="preserve">.6%, </w:t>
      </w:r>
      <w:r w:rsidR="0028448C" w:rsidRPr="00E5792C">
        <w:rPr>
          <w:bCs/>
          <w:lang w:val="en-US"/>
        </w:rPr>
        <w:t>P</w:t>
      </w:r>
      <w:r w:rsidR="0031300C" w:rsidRPr="00E5792C">
        <w:rPr>
          <w:bCs/>
          <w:lang w:val="en-US"/>
        </w:rPr>
        <w:t>=</w:t>
      </w:r>
      <w:r w:rsidR="00DA1793" w:rsidRPr="00E5792C">
        <w:rPr>
          <w:bCs/>
          <w:lang w:val="en-US"/>
        </w:rPr>
        <w:t xml:space="preserve">0.1). </w:t>
      </w:r>
      <w:r w:rsidR="0090198F" w:rsidRPr="00E5792C">
        <w:rPr>
          <w:bCs/>
          <w:lang w:val="en-US"/>
        </w:rPr>
        <w:t xml:space="preserve">In sensitivity analyses, the exclusion of studies with sample size </w:t>
      </w:r>
      <w:r w:rsidR="00056004" w:rsidRPr="00E5792C">
        <w:rPr>
          <w:bCs/>
          <w:lang w:val="en-US"/>
        </w:rPr>
        <w:t>&lt;</w:t>
      </w:r>
      <w:r w:rsidR="0090198F" w:rsidRPr="00E5792C">
        <w:rPr>
          <w:bCs/>
          <w:lang w:val="en-US"/>
        </w:rPr>
        <w:t>50</w:t>
      </w:r>
      <w:r w:rsidR="008763C0" w:rsidRPr="00E5792C">
        <w:rPr>
          <w:bCs/>
          <w:lang w:val="en-US"/>
        </w:rPr>
        <w:t>,</w:t>
      </w:r>
      <w:r w:rsidR="00CF4DEA" w:rsidRPr="00E5792C">
        <w:rPr>
          <w:bCs/>
          <w:vertAlign w:val="superscript"/>
          <w:lang w:val="en-US"/>
        </w:rPr>
        <w:t>2</w:t>
      </w:r>
      <w:r w:rsidR="00D55499" w:rsidRPr="00E5792C">
        <w:rPr>
          <w:bCs/>
          <w:vertAlign w:val="superscript"/>
          <w:lang w:val="en-US"/>
        </w:rPr>
        <w:t>2</w:t>
      </w:r>
      <w:r w:rsidR="0090198F" w:rsidRPr="00E5792C">
        <w:rPr>
          <w:bCs/>
          <w:lang w:val="en-US"/>
        </w:rPr>
        <w:t xml:space="preserve"> did not change the pooled risk estimate (pooled HR=1.68, 95% CIs 1.114-2.52). Nevertheless, this association </w:t>
      </w:r>
      <w:r w:rsidR="0090198F" w:rsidRPr="00E5792C">
        <w:rPr>
          <w:bCs/>
          <w:noProof/>
          <w:lang w:val="en-US"/>
        </w:rPr>
        <w:t>was attenuated when studies of lower quality</w:t>
      </w:r>
      <w:r w:rsidR="00C235A4" w:rsidRPr="00E5792C">
        <w:rPr>
          <w:rFonts w:eastAsia="MS Mincho"/>
          <w:vertAlign w:val="superscript"/>
          <w:lang w:val="en-US"/>
        </w:rPr>
        <w:t>2</w:t>
      </w:r>
      <w:r w:rsidR="00E82D14" w:rsidRPr="00E5792C">
        <w:rPr>
          <w:rFonts w:eastAsia="MS Mincho"/>
          <w:vertAlign w:val="superscript"/>
          <w:lang w:val="en-US"/>
        </w:rPr>
        <w:t>2</w:t>
      </w:r>
      <w:r w:rsidR="00DB128D" w:rsidRPr="00E5792C">
        <w:rPr>
          <w:bCs/>
          <w:noProof/>
          <w:lang w:val="en-US"/>
        </w:rPr>
        <w:t xml:space="preserve"> or </w:t>
      </w:r>
      <w:r w:rsidR="00990314" w:rsidRPr="00E5792C">
        <w:rPr>
          <w:bCs/>
          <w:noProof/>
          <w:lang w:val="en-US"/>
        </w:rPr>
        <w:t>less likely diagnosis of AM</w:t>
      </w:r>
      <w:r w:rsidR="00C235A4" w:rsidRPr="00E5792C">
        <w:rPr>
          <w:bCs/>
          <w:noProof/>
          <w:vertAlign w:val="superscript"/>
          <w:lang w:val="en-US"/>
        </w:rPr>
        <w:t>1</w:t>
      </w:r>
      <w:r w:rsidR="00E82D14" w:rsidRPr="00E5792C">
        <w:rPr>
          <w:bCs/>
          <w:noProof/>
          <w:vertAlign w:val="superscript"/>
          <w:lang w:val="en-US"/>
        </w:rPr>
        <w:t>9</w:t>
      </w:r>
      <w:r w:rsidR="00DB128D" w:rsidRPr="00E5792C">
        <w:rPr>
          <w:bCs/>
          <w:noProof/>
          <w:lang w:val="en-US"/>
        </w:rPr>
        <w:t xml:space="preserve"> were</w:t>
      </w:r>
      <w:r w:rsidR="00A948C3" w:rsidRPr="00E5792C">
        <w:rPr>
          <w:bCs/>
          <w:noProof/>
          <w:lang w:val="en-US"/>
        </w:rPr>
        <w:t xml:space="preserve"> not</w:t>
      </w:r>
      <w:r w:rsidR="00DB128D" w:rsidRPr="00E5792C">
        <w:rPr>
          <w:bCs/>
          <w:noProof/>
          <w:lang w:val="en-US"/>
        </w:rPr>
        <w:t xml:space="preserve"> considered (</w:t>
      </w:r>
      <w:r w:rsidR="00DB128D" w:rsidRPr="00E5792C">
        <w:rPr>
          <w:bCs/>
          <w:lang w:val="en-US"/>
        </w:rPr>
        <w:t>pooled HR=1.66, 95% CI</w:t>
      </w:r>
      <w:r w:rsidR="0021671F" w:rsidRPr="00E5792C">
        <w:rPr>
          <w:bCs/>
          <w:lang w:val="en-US"/>
        </w:rPr>
        <w:t>s</w:t>
      </w:r>
      <w:r w:rsidR="00DB128D" w:rsidRPr="00E5792C">
        <w:rPr>
          <w:bCs/>
          <w:lang w:val="en-US"/>
        </w:rPr>
        <w:t xml:space="preserve"> </w:t>
      </w:r>
      <w:r w:rsidR="00DB128D" w:rsidRPr="00E5792C">
        <w:rPr>
          <w:bCs/>
          <w:noProof/>
          <w:lang w:val="en-US"/>
        </w:rPr>
        <w:t>0.896-3.09)</w:t>
      </w:r>
      <w:r w:rsidR="00D55499" w:rsidRPr="00E5792C">
        <w:rPr>
          <w:bCs/>
          <w:noProof/>
          <w:lang w:val="en-US"/>
        </w:rPr>
        <w:t xml:space="preserve"> </w:t>
      </w:r>
      <w:r w:rsidR="00F6494C" w:rsidRPr="00E5792C">
        <w:rPr>
          <w:bCs/>
          <w:noProof/>
          <w:lang w:val="en-US"/>
        </w:rPr>
        <w:t>(</w:t>
      </w:r>
      <w:r w:rsidR="00D55499" w:rsidRPr="00E5792C">
        <w:rPr>
          <w:b/>
          <w:noProof/>
          <w:lang w:val="en-US"/>
        </w:rPr>
        <w:t>S</w:t>
      </w:r>
      <w:r w:rsidR="00F6494C" w:rsidRPr="00E5792C">
        <w:rPr>
          <w:b/>
          <w:noProof/>
          <w:lang w:val="en-US"/>
        </w:rPr>
        <w:t>upplementary Table 5S</w:t>
      </w:r>
      <w:r w:rsidR="00F6494C" w:rsidRPr="00E5792C">
        <w:rPr>
          <w:bCs/>
          <w:noProof/>
          <w:lang w:val="en-US"/>
        </w:rPr>
        <w:t>)</w:t>
      </w:r>
      <w:r w:rsidR="00DB128D" w:rsidRPr="00E5792C">
        <w:rPr>
          <w:bCs/>
          <w:noProof/>
          <w:lang w:val="en-US"/>
        </w:rPr>
        <w:t>.</w:t>
      </w:r>
    </w:p>
    <w:p w14:paraId="0D702989" w14:textId="05E03C17" w:rsidR="00415268" w:rsidRPr="00E5792C" w:rsidRDefault="002A34F0" w:rsidP="00E5792C">
      <w:pPr>
        <w:autoSpaceDE w:val="0"/>
        <w:autoSpaceDN w:val="0"/>
        <w:adjustRightInd w:val="0"/>
        <w:spacing w:line="480" w:lineRule="auto"/>
        <w:jc w:val="both"/>
        <w:rPr>
          <w:b/>
          <w:bCs/>
          <w:lang w:val="en-US"/>
        </w:rPr>
      </w:pPr>
      <w:r w:rsidRPr="00E5792C">
        <w:rPr>
          <w:b/>
          <w:bCs/>
          <w:lang w:val="en-US"/>
        </w:rPr>
        <w:t xml:space="preserve">Location </w:t>
      </w:r>
      <w:r w:rsidR="00415268" w:rsidRPr="00E5792C">
        <w:rPr>
          <w:b/>
          <w:bCs/>
          <w:lang w:val="en-US"/>
        </w:rPr>
        <w:t xml:space="preserve">of </w:t>
      </w:r>
      <w:r w:rsidRPr="00E5792C">
        <w:rPr>
          <w:b/>
          <w:bCs/>
          <w:lang w:val="en-US"/>
        </w:rPr>
        <w:t>LGE</w:t>
      </w:r>
      <w:r w:rsidR="00415268" w:rsidRPr="00E5792C">
        <w:rPr>
          <w:b/>
          <w:bCs/>
          <w:lang w:val="en-US"/>
        </w:rPr>
        <w:t xml:space="preserve"> </w:t>
      </w:r>
      <w:r w:rsidRPr="00E5792C">
        <w:rPr>
          <w:b/>
          <w:bCs/>
          <w:lang w:val="en-US"/>
        </w:rPr>
        <w:t xml:space="preserve">and risk of </w:t>
      </w:r>
      <w:r w:rsidR="0039300F" w:rsidRPr="00E5792C">
        <w:rPr>
          <w:b/>
          <w:bCs/>
          <w:lang w:val="en-US"/>
        </w:rPr>
        <w:t>the combined endpoint</w:t>
      </w:r>
    </w:p>
    <w:p w14:paraId="02F46123" w14:textId="404DD37A" w:rsidR="00E11B31" w:rsidRPr="00E5792C" w:rsidRDefault="007B4C20" w:rsidP="00E5792C">
      <w:pPr>
        <w:autoSpaceDE w:val="0"/>
        <w:autoSpaceDN w:val="0"/>
        <w:adjustRightInd w:val="0"/>
        <w:spacing w:line="480" w:lineRule="auto"/>
        <w:jc w:val="both"/>
        <w:rPr>
          <w:bCs/>
          <w:color w:val="000000" w:themeColor="text1"/>
          <w:lang w:val="en-US"/>
        </w:rPr>
      </w:pPr>
      <w:r w:rsidRPr="00E5792C">
        <w:rPr>
          <w:bCs/>
          <w:lang w:val="en-US"/>
        </w:rPr>
        <w:t xml:space="preserve">The relationship between </w:t>
      </w:r>
      <w:r w:rsidR="007E72BE" w:rsidRPr="00E5792C">
        <w:rPr>
          <w:bCs/>
          <w:lang w:val="en-US"/>
        </w:rPr>
        <w:t>the</w:t>
      </w:r>
      <w:r w:rsidR="008A7E74" w:rsidRPr="00E5792C">
        <w:rPr>
          <w:bCs/>
          <w:lang w:val="en-US"/>
        </w:rPr>
        <w:t xml:space="preserve"> </w:t>
      </w:r>
      <w:r w:rsidR="00F06F2C" w:rsidRPr="00E5792C">
        <w:rPr>
          <w:bCs/>
          <w:lang w:val="en-US"/>
        </w:rPr>
        <w:t>combined endpoint</w:t>
      </w:r>
      <w:r w:rsidR="008A7E74" w:rsidRPr="00E5792C">
        <w:rPr>
          <w:bCs/>
          <w:lang w:val="en-US"/>
        </w:rPr>
        <w:t xml:space="preserve"> </w:t>
      </w:r>
      <w:r w:rsidRPr="00E5792C">
        <w:rPr>
          <w:bCs/>
          <w:lang w:val="en-US"/>
        </w:rPr>
        <w:t xml:space="preserve">and </w:t>
      </w:r>
      <w:r w:rsidR="00B918F2" w:rsidRPr="00E5792C">
        <w:rPr>
          <w:bCs/>
          <w:lang w:val="en-US"/>
        </w:rPr>
        <w:t xml:space="preserve">LGE </w:t>
      </w:r>
      <w:r w:rsidR="00056004" w:rsidRPr="00E5792C">
        <w:rPr>
          <w:bCs/>
          <w:lang w:val="en-US"/>
        </w:rPr>
        <w:t xml:space="preserve">location </w:t>
      </w:r>
      <w:r w:rsidR="00B918F2" w:rsidRPr="00E5792C">
        <w:rPr>
          <w:bCs/>
          <w:lang w:val="en-US"/>
        </w:rPr>
        <w:t>was reported in 5 studies</w:t>
      </w:r>
      <w:r w:rsidR="00CF4DEA" w:rsidRPr="00E5792C">
        <w:rPr>
          <w:bCs/>
          <w:lang w:val="en-US"/>
        </w:rPr>
        <w:t>.</w:t>
      </w:r>
      <w:r w:rsidR="00745E6B" w:rsidRPr="00E5792C">
        <w:rPr>
          <w:vertAlign w:val="superscript"/>
          <w:lang w:val="en-US"/>
        </w:rPr>
        <w:t>1</w:t>
      </w:r>
      <w:r w:rsidR="00D55499" w:rsidRPr="00E5792C">
        <w:rPr>
          <w:vertAlign w:val="superscript"/>
          <w:lang w:val="en-US"/>
        </w:rPr>
        <w:t>5</w:t>
      </w:r>
      <w:r w:rsidR="00745E6B" w:rsidRPr="00E5792C">
        <w:rPr>
          <w:vertAlign w:val="superscript"/>
          <w:lang w:val="en-US"/>
        </w:rPr>
        <w:t>-1</w:t>
      </w:r>
      <w:r w:rsidR="00D55499" w:rsidRPr="00E5792C">
        <w:rPr>
          <w:vertAlign w:val="superscript"/>
          <w:lang w:val="en-US"/>
        </w:rPr>
        <w:t>7</w:t>
      </w:r>
      <w:r w:rsidR="00745E6B" w:rsidRPr="00E5792C">
        <w:rPr>
          <w:vertAlign w:val="superscript"/>
          <w:lang w:val="en-US"/>
        </w:rPr>
        <w:t>,1</w:t>
      </w:r>
      <w:r w:rsidR="00D55499" w:rsidRPr="00E5792C">
        <w:rPr>
          <w:vertAlign w:val="superscript"/>
          <w:lang w:val="en-US"/>
        </w:rPr>
        <w:t>9</w:t>
      </w:r>
      <w:r w:rsidR="00745E6B" w:rsidRPr="00E5792C">
        <w:rPr>
          <w:vertAlign w:val="superscript"/>
          <w:lang w:val="en-US"/>
        </w:rPr>
        <w:t>,2</w:t>
      </w:r>
      <w:r w:rsidR="00D55499" w:rsidRPr="00E5792C">
        <w:rPr>
          <w:vertAlign w:val="superscript"/>
          <w:lang w:val="en-US"/>
        </w:rPr>
        <w:t>3</w:t>
      </w:r>
      <w:r w:rsidR="008A7E74" w:rsidRPr="00E5792C">
        <w:rPr>
          <w:bCs/>
          <w:lang w:val="en-US"/>
        </w:rPr>
        <w:t xml:space="preserve"> </w:t>
      </w:r>
      <w:r w:rsidR="00E11B31" w:rsidRPr="00E5792C">
        <w:rPr>
          <w:b/>
          <w:lang w:val="en-US"/>
        </w:rPr>
        <w:t>T</w:t>
      </w:r>
      <w:r w:rsidR="00B918F2" w:rsidRPr="00E5792C">
        <w:rPr>
          <w:b/>
          <w:lang w:val="en-US"/>
        </w:rPr>
        <w:t>able 1</w:t>
      </w:r>
      <w:r w:rsidR="00B918F2" w:rsidRPr="00E5792C">
        <w:rPr>
          <w:bCs/>
          <w:lang w:val="en-US"/>
        </w:rPr>
        <w:t xml:space="preserve"> displays </w:t>
      </w:r>
      <w:r w:rsidR="002A2FC2" w:rsidRPr="00E5792C">
        <w:rPr>
          <w:bCs/>
          <w:lang w:val="en-US"/>
        </w:rPr>
        <w:t>the</w:t>
      </w:r>
      <w:r w:rsidR="00B918F2" w:rsidRPr="00E5792C">
        <w:rPr>
          <w:bCs/>
          <w:lang w:val="en-US"/>
        </w:rPr>
        <w:t xml:space="preserve"> demographic and clinical characteristics of </w:t>
      </w:r>
      <w:r w:rsidR="007E72BE" w:rsidRPr="00E5792C">
        <w:rPr>
          <w:bCs/>
          <w:lang w:val="en-US"/>
        </w:rPr>
        <w:t xml:space="preserve">the </w:t>
      </w:r>
      <w:r w:rsidR="00B918F2" w:rsidRPr="00E5792C">
        <w:rPr>
          <w:bCs/>
          <w:lang w:val="en-US"/>
        </w:rPr>
        <w:t>participants</w:t>
      </w:r>
      <w:r w:rsidR="00FB5DA4" w:rsidRPr="00E5792C">
        <w:rPr>
          <w:bCs/>
          <w:lang w:val="en-US"/>
        </w:rPr>
        <w:t>.</w:t>
      </w:r>
      <w:r w:rsidR="00B918F2" w:rsidRPr="00E5792C">
        <w:rPr>
          <w:bCs/>
          <w:lang w:val="en-US"/>
        </w:rPr>
        <w:t xml:space="preserve"> </w:t>
      </w:r>
      <w:r w:rsidR="00CC2605" w:rsidRPr="00E5792C">
        <w:rPr>
          <w:bCs/>
          <w:lang w:val="en-US"/>
        </w:rPr>
        <w:t>AS location</w:t>
      </w:r>
      <w:r w:rsidR="00B918F2" w:rsidRPr="00E5792C">
        <w:rPr>
          <w:bCs/>
          <w:lang w:val="en-US"/>
        </w:rPr>
        <w:t xml:space="preserve"> of LGE </w:t>
      </w:r>
      <w:r w:rsidRPr="00E5792C">
        <w:rPr>
          <w:bCs/>
          <w:lang w:val="en-US"/>
        </w:rPr>
        <w:t xml:space="preserve">was associated with </w:t>
      </w:r>
      <w:r w:rsidR="00B918F2" w:rsidRPr="00E5792C">
        <w:rPr>
          <w:bCs/>
          <w:lang w:val="en-US"/>
        </w:rPr>
        <w:t>a 2</w:t>
      </w:r>
      <w:r w:rsidR="00D9621E" w:rsidRPr="00E5792C">
        <w:rPr>
          <w:bCs/>
          <w:lang w:val="en-US"/>
        </w:rPr>
        <w:t>.6</w:t>
      </w:r>
      <w:r w:rsidR="00B918F2" w:rsidRPr="00E5792C">
        <w:rPr>
          <w:bCs/>
          <w:lang w:val="en-US"/>
        </w:rPr>
        <w:t>-fold</w:t>
      </w:r>
      <w:r w:rsidRPr="00E5792C">
        <w:rPr>
          <w:bCs/>
          <w:lang w:val="en-US"/>
        </w:rPr>
        <w:t xml:space="preserve"> </w:t>
      </w:r>
      <w:r w:rsidR="00FB5DA4" w:rsidRPr="00E5792C">
        <w:rPr>
          <w:bCs/>
          <w:lang w:val="en-US"/>
        </w:rPr>
        <w:t xml:space="preserve">increased risk </w:t>
      </w:r>
      <w:r w:rsidRPr="00E5792C">
        <w:rPr>
          <w:bCs/>
          <w:lang w:val="en-US"/>
        </w:rPr>
        <w:t>of</w:t>
      </w:r>
      <w:r w:rsidR="00FB5DA4" w:rsidRPr="00E5792C">
        <w:rPr>
          <w:bCs/>
          <w:lang w:val="en-US"/>
        </w:rPr>
        <w:t xml:space="preserve"> </w:t>
      </w:r>
      <w:r w:rsidR="007E72BE" w:rsidRPr="00E5792C">
        <w:rPr>
          <w:bCs/>
          <w:lang w:val="en-US"/>
        </w:rPr>
        <w:t xml:space="preserve">the </w:t>
      </w:r>
      <w:r w:rsidR="00BC1BAD" w:rsidRPr="00E5792C">
        <w:rPr>
          <w:bCs/>
          <w:lang w:val="en-US"/>
        </w:rPr>
        <w:t>c</w:t>
      </w:r>
      <w:r w:rsidR="00F06F2C" w:rsidRPr="00E5792C">
        <w:rPr>
          <w:bCs/>
          <w:lang w:val="en-US"/>
        </w:rPr>
        <w:t>ombined endpoint</w:t>
      </w:r>
      <w:r w:rsidR="00FB5DA4" w:rsidRPr="00E5792C">
        <w:rPr>
          <w:bCs/>
          <w:lang w:val="en-US"/>
        </w:rPr>
        <w:t xml:space="preserve"> </w:t>
      </w:r>
      <w:r w:rsidR="00D53D5D" w:rsidRPr="00E5792C">
        <w:rPr>
          <w:bCs/>
          <w:lang w:val="en-US"/>
        </w:rPr>
        <w:t>(</w:t>
      </w:r>
      <w:r w:rsidR="00B918F2" w:rsidRPr="00E5792C">
        <w:rPr>
          <w:bCs/>
          <w:lang w:val="en-US"/>
        </w:rPr>
        <w:t xml:space="preserve">pooled </w:t>
      </w:r>
      <w:r w:rsidR="00D53D5D" w:rsidRPr="00E5792C">
        <w:rPr>
          <w:bCs/>
          <w:lang w:val="en-US"/>
        </w:rPr>
        <w:t>HR=</w:t>
      </w:r>
      <w:r w:rsidR="00B918F2" w:rsidRPr="00E5792C">
        <w:rPr>
          <w:bCs/>
          <w:lang w:val="en-US"/>
        </w:rPr>
        <w:t>2.</w:t>
      </w:r>
      <w:r w:rsidR="00D9621E" w:rsidRPr="00E5792C">
        <w:rPr>
          <w:bCs/>
          <w:lang w:val="en-US"/>
        </w:rPr>
        <w:t>58</w:t>
      </w:r>
      <w:r w:rsidR="00D53D5D" w:rsidRPr="00E5792C">
        <w:rPr>
          <w:bCs/>
          <w:lang w:val="en-US"/>
        </w:rPr>
        <w:t>, 95% CI</w:t>
      </w:r>
      <w:r w:rsidR="0021671F" w:rsidRPr="00E5792C">
        <w:rPr>
          <w:bCs/>
          <w:lang w:val="en-US"/>
        </w:rPr>
        <w:t>s</w:t>
      </w:r>
      <w:r w:rsidR="00B918F2" w:rsidRPr="00E5792C">
        <w:rPr>
          <w:bCs/>
          <w:lang w:val="en-US"/>
        </w:rPr>
        <w:t xml:space="preserve"> </w:t>
      </w:r>
      <w:r w:rsidR="00D9621E" w:rsidRPr="00E5792C">
        <w:rPr>
          <w:bCs/>
          <w:lang w:val="en-US"/>
        </w:rPr>
        <w:t>1.87-3.55</w:t>
      </w:r>
      <w:r w:rsidR="00B918F2" w:rsidRPr="00E5792C">
        <w:rPr>
          <w:bCs/>
          <w:lang w:val="en-US"/>
        </w:rPr>
        <w:t>, P</w:t>
      </w:r>
      <w:r w:rsidR="002B0749" w:rsidRPr="00E5792C">
        <w:rPr>
          <w:bCs/>
          <w:lang w:val="en-US"/>
        </w:rPr>
        <w:t>&lt;</w:t>
      </w:r>
      <w:r w:rsidR="00B918F2" w:rsidRPr="00E5792C">
        <w:rPr>
          <w:bCs/>
          <w:lang w:val="en-US"/>
        </w:rPr>
        <w:t>0.0</w:t>
      </w:r>
      <w:r w:rsidR="002B0749" w:rsidRPr="00E5792C">
        <w:rPr>
          <w:bCs/>
          <w:lang w:val="en-US"/>
        </w:rPr>
        <w:t>01</w:t>
      </w:r>
      <w:r w:rsidR="00B918F2" w:rsidRPr="00E5792C">
        <w:rPr>
          <w:bCs/>
          <w:lang w:val="en-US"/>
        </w:rPr>
        <w:t xml:space="preserve"> </w:t>
      </w:r>
      <w:r w:rsidR="00275388" w:rsidRPr="00E5792C">
        <w:rPr>
          <w:bCs/>
          <w:lang w:val="en-US"/>
        </w:rPr>
        <w:t xml:space="preserve">for the reference analysis). </w:t>
      </w:r>
      <w:r w:rsidR="00B918F2" w:rsidRPr="00E5792C">
        <w:rPr>
          <w:bCs/>
          <w:lang w:val="en-US"/>
        </w:rPr>
        <w:t xml:space="preserve">The </w:t>
      </w:r>
      <w:r w:rsidR="00F8753D" w:rsidRPr="00E5792C">
        <w:rPr>
          <w:bCs/>
          <w:lang w:val="en-US"/>
        </w:rPr>
        <w:t>HK</w:t>
      </w:r>
      <w:r w:rsidR="00275388" w:rsidRPr="00E5792C">
        <w:rPr>
          <w:bCs/>
          <w:lang w:val="en-US"/>
        </w:rPr>
        <w:t xml:space="preserve"> </w:t>
      </w:r>
      <w:r w:rsidR="002E0202" w:rsidRPr="00E5792C">
        <w:rPr>
          <w:bCs/>
          <w:lang w:val="en-US"/>
        </w:rPr>
        <w:t>m</w:t>
      </w:r>
      <w:r w:rsidR="00275388" w:rsidRPr="00E5792C">
        <w:rPr>
          <w:bCs/>
          <w:lang w:val="en-US"/>
        </w:rPr>
        <w:t xml:space="preserve">ethod </w:t>
      </w:r>
      <w:r w:rsidR="00B918F2" w:rsidRPr="00E5792C">
        <w:rPr>
          <w:bCs/>
          <w:lang w:val="en-US"/>
        </w:rPr>
        <w:t>showed a similar</w:t>
      </w:r>
      <w:r w:rsidR="00FE4F87" w:rsidRPr="00E5792C">
        <w:rPr>
          <w:bCs/>
          <w:lang w:val="en-US"/>
        </w:rPr>
        <w:t xml:space="preserve"> </w:t>
      </w:r>
      <w:r w:rsidR="00B918F2" w:rsidRPr="00E5792C">
        <w:rPr>
          <w:bCs/>
          <w:lang w:val="en-US"/>
        </w:rPr>
        <w:t>trend (</w:t>
      </w:r>
      <w:r w:rsidR="00AB3AEB" w:rsidRPr="00E5792C">
        <w:rPr>
          <w:bCs/>
          <w:lang w:val="en-US"/>
        </w:rPr>
        <w:t>pooled HR=2.</w:t>
      </w:r>
      <w:r w:rsidR="00D9621E" w:rsidRPr="00E5792C">
        <w:rPr>
          <w:bCs/>
          <w:lang w:val="en-US"/>
        </w:rPr>
        <w:t>58</w:t>
      </w:r>
      <w:r w:rsidR="00AB3AEB" w:rsidRPr="00E5792C">
        <w:rPr>
          <w:bCs/>
          <w:lang w:val="en-US"/>
        </w:rPr>
        <w:t xml:space="preserve">, </w:t>
      </w:r>
      <w:r w:rsidR="00B918F2" w:rsidRPr="00E5792C">
        <w:rPr>
          <w:bCs/>
          <w:lang w:val="en-US"/>
        </w:rPr>
        <w:t>95% CI</w:t>
      </w:r>
      <w:r w:rsidR="0021671F" w:rsidRPr="00E5792C">
        <w:rPr>
          <w:bCs/>
          <w:lang w:val="en-US"/>
        </w:rPr>
        <w:t>s</w:t>
      </w:r>
      <w:r w:rsidR="00B918F2" w:rsidRPr="00E5792C">
        <w:rPr>
          <w:bCs/>
          <w:lang w:val="en-US"/>
        </w:rPr>
        <w:t xml:space="preserve"> </w:t>
      </w:r>
      <w:r w:rsidR="002B0749" w:rsidRPr="00E5792C">
        <w:rPr>
          <w:bCs/>
          <w:lang w:val="en-US"/>
        </w:rPr>
        <w:t>1.</w:t>
      </w:r>
      <w:r w:rsidR="00D9621E" w:rsidRPr="00E5792C">
        <w:rPr>
          <w:bCs/>
          <w:lang w:val="en-US"/>
        </w:rPr>
        <w:t>64</w:t>
      </w:r>
      <w:r w:rsidR="00B918F2" w:rsidRPr="00E5792C">
        <w:rPr>
          <w:bCs/>
          <w:lang w:val="en-US"/>
        </w:rPr>
        <w:t>-</w:t>
      </w:r>
      <w:r w:rsidR="00D9621E" w:rsidRPr="00E5792C">
        <w:rPr>
          <w:bCs/>
          <w:lang w:val="en-US"/>
        </w:rPr>
        <w:t>4</w:t>
      </w:r>
      <w:r w:rsidR="002B0749" w:rsidRPr="00E5792C">
        <w:rPr>
          <w:bCs/>
          <w:lang w:val="en-US"/>
        </w:rPr>
        <w:t>.</w:t>
      </w:r>
      <w:r w:rsidR="00D9621E" w:rsidRPr="00E5792C">
        <w:rPr>
          <w:bCs/>
          <w:lang w:val="en-US"/>
        </w:rPr>
        <w:t>0</w:t>
      </w:r>
      <w:r w:rsidR="002B0749" w:rsidRPr="00E5792C">
        <w:rPr>
          <w:bCs/>
          <w:lang w:val="en-US"/>
        </w:rPr>
        <w:t>6</w:t>
      </w:r>
      <w:r w:rsidR="00B918F2" w:rsidRPr="00E5792C">
        <w:rPr>
          <w:bCs/>
          <w:lang w:val="en-US"/>
        </w:rPr>
        <w:t>, P=0.</w:t>
      </w:r>
      <w:r w:rsidR="002B0749" w:rsidRPr="00E5792C">
        <w:rPr>
          <w:bCs/>
          <w:lang w:val="en-US"/>
        </w:rPr>
        <w:t>0</w:t>
      </w:r>
      <w:r w:rsidR="00D9621E" w:rsidRPr="00E5792C">
        <w:rPr>
          <w:bCs/>
          <w:lang w:val="en-US"/>
        </w:rPr>
        <w:t>04</w:t>
      </w:r>
      <w:r w:rsidR="00B918F2" w:rsidRPr="00E5792C">
        <w:rPr>
          <w:bCs/>
          <w:lang w:val="en-US"/>
        </w:rPr>
        <w:t>)</w:t>
      </w:r>
      <w:r w:rsidR="002703C1" w:rsidRPr="00E5792C">
        <w:rPr>
          <w:bCs/>
          <w:lang w:val="en-US"/>
        </w:rPr>
        <w:t xml:space="preserve"> (</w:t>
      </w:r>
      <w:r w:rsidR="002703C1" w:rsidRPr="00E5792C">
        <w:rPr>
          <w:b/>
          <w:lang w:val="en-US"/>
        </w:rPr>
        <w:t xml:space="preserve">Figure </w:t>
      </w:r>
      <w:r w:rsidR="0041583E" w:rsidRPr="00E5792C">
        <w:rPr>
          <w:b/>
          <w:lang w:val="en-US"/>
        </w:rPr>
        <w:t>2</w:t>
      </w:r>
      <w:r w:rsidR="002703C1" w:rsidRPr="00E5792C">
        <w:rPr>
          <w:b/>
          <w:lang w:val="en-US"/>
        </w:rPr>
        <w:t>C</w:t>
      </w:r>
      <w:r w:rsidR="002703C1" w:rsidRPr="00E5792C">
        <w:rPr>
          <w:bCs/>
          <w:lang w:val="en-US"/>
        </w:rPr>
        <w:t>)</w:t>
      </w:r>
      <w:r w:rsidR="00275388" w:rsidRPr="00E5792C">
        <w:rPr>
          <w:bCs/>
          <w:lang w:val="en-US"/>
        </w:rPr>
        <w:t>.</w:t>
      </w:r>
      <w:r w:rsidR="00FE4F87" w:rsidRPr="00E5792C">
        <w:rPr>
          <w:bCs/>
          <w:lang w:val="en-US"/>
        </w:rPr>
        <w:t xml:space="preserve"> </w:t>
      </w:r>
      <w:r w:rsidR="002B0749" w:rsidRPr="00E5792C">
        <w:rPr>
          <w:bCs/>
          <w:lang w:val="en-US"/>
        </w:rPr>
        <w:t>No significant</w:t>
      </w:r>
      <w:r w:rsidR="00B918F2" w:rsidRPr="00E5792C">
        <w:rPr>
          <w:bCs/>
          <w:lang w:val="en-US"/>
        </w:rPr>
        <w:t xml:space="preserve"> heterogeneity was observed across the </w:t>
      </w:r>
      <w:r w:rsidR="00B918F2" w:rsidRPr="00E5792C">
        <w:rPr>
          <w:bCs/>
          <w:noProof/>
          <w:lang w:val="en-US"/>
        </w:rPr>
        <w:t>5</w:t>
      </w:r>
      <w:r w:rsidR="00B918F2" w:rsidRPr="00E5792C">
        <w:rPr>
          <w:bCs/>
          <w:lang w:val="en-US"/>
        </w:rPr>
        <w:t xml:space="preserve"> </w:t>
      </w:r>
      <w:r w:rsidR="00B918F2" w:rsidRPr="00E5792C">
        <w:rPr>
          <w:bCs/>
          <w:color w:val="000000" w:themeColor="text1"/>
          <w:lang w:val="en-US"/>
        </w:rPr>
        <w:t xml:space="preserve">studies of LGE </w:t>
      </w:r>
      <w:r w:rsidR="00EE0574" w:rsidRPr="00E5792C">
        <w:rPr>
          <w:bCs/>
          <w:color w:val="000000" w:themeColor="text1"/>
          <w:lang w:val="en-US"/>
        </w:rPr>
        <w:t>localization</w:t>
      </w:r>
      <w:r w:rsidR="00B918F2" w:rsidRPr="00E5792C">
        <w:rPr>
          <w:bCs/>
          <w:color w:val="000000" w:themeColor="text1"/>
          <w:lang w:val="en-US"/>
        </w:rPr>
        <w:t xml:space="preserve"> (I</w:t>
      </w:r>
      <w:r w:rsidR="00B918F2" w:rsidRPr="00E5792C">
        <w:rPr>
          <w:bCs/>
          <w:color w:val="000000" w:themeColor="text1"/>
          <w:vertAlign w:val="superscript"/>
          <w:lang w:val="en-US"/>
        </w:rPr>
        <w:t>2</w:t>
      </w:r>
      <w:r w:rsidR="00B918F2" w:rsidRPr="00E5792C">
        <w:rPr>
          <w:bCs/>
          <w:color w:val="000000" w:themeColor="text1"/>
          <w:lang w:val="en-US"/>
        </w:rPr>
        <w:t>=</w:t>
      </w:r>
      <w:r w:rsidR="002B0749" w:rsidRPr="00E5792C">
        <w:rPr>
          <w:bCs/>
          <w:color w:val="000000" w:themeColor="text1"/>
          <w:lang w:val="en-US"/>
        </w:rPr>
        <w:t>0</w:t>
      </w:r>
      <w:r w:rsidR="00B918F2" w:rsidRPr="00E5792C">
        <w:rPr>
          <w:bCs/>
          <w:color w:val="000000" w:themeColor="text1"/>
          <w:lang w:val="en-US"/>
        </w:rPr>
        <w:t>%, P</w:t>
      </w:r>
      <w:r w:rsidR="002B0749" w:rsidRPr="00E5792C">
        <w:rPr>
          <w:bCs/>
          <w:color w:val="000000" w:themeColor="text1"/>
          <w:lang w:val="en-US"/>
        </w:rPr>
        <w:t>=</w:t>
      </w:r>
      <w:r w:rsidR="00B918F2" w:rsidRPr="00E5792C">
        <w:rPr>
          <w:bCs/>
          <w:color w:val="000000" w:themeColor="text1"/>
          <w:lang w:val="en-US"/>
        </w:rPr>
        <w:t>0.</w:t>
      </w:r>
      <w:r w:rsidR="00D9621E" w:rsidRPr="00E5792C">
        <w:rPr>
          <w:bCs/>
          <w:color w:val="000000" w:themeColor="text1"/>
          <w:lang w:val="en-US"/>
        </w:rPr>
        <w:t>535</w:t>
      </w:r>
      <w:r w:rsidR="00B918F2" w:rsidRPr="00E5792C">
        <w:rPr>
          <w:bCs/>
          <w:color w:val="000000" w:themeColor="text1"/>
          <w:lang w:val="en-US"/>
        </w:rPr>
        <w:t>).</w:t>
      </w:r>
      <w:r w:rsidR="007E72BE" w:rsidRPr="00E5792C">
        <w:rPr>
          <w:bCs/>
          <w:color w:val="000000" w:themeColor="text1"/>
          <w:lang w:val="en-US"/>
        </w:rPr>
        <w:t xml:space="preserve"> </w:t>
      </w:r>
      <w:r w:rsidR="000F347B" w:rsidRPr="00E5792C">
        <w:rPr>
          <w:bCs/>
          <w:color w:val="000000" w:themeColor="text1"/>
          <w:lang w:val="en-US"/>
        </w:rPr>
        <w:t xml:space="preserve">All studies in this analysis had more than 50 participants. </w:t>
      </w:r>
      <w:r w:rsidR="007E72BE" w:rsidRPr="00E5792C">
        <w:rPr>
          <w:bCs/>
          <w:color w:val="000000" w:themeColor="text1"/>
          <w:lang w:val="en-US"/>
        </w:rPr>
        <w:t>W</w:t>
      </w:r>
      <w:r w:rsidR="00C61630" w:rsidRPr="00E5792C">
        <w:rPr>
          <w:bCs/>
          <w:color w:val="000000" w:themeColor="text1"/>
          <w:lang w:val="en-US"/>
        </w:rPr>
        <w:t xml:space="preserve">hen studies </w:t>
      </w:r>
      <w:r w:rsidR="004B0ECF" w:rsidRPr="00E5792C">
        <w:rPr>
          <w:bCs/>
          <w:color w:val="000000" w:themeColor="text1"/>
          <w:lang w:val="en-US"/>
        </w:rPr>
        <w:t>of lower quality</w:t>
      </w:r>
      <w:r w:rsidR="000F5295" w:rsidRPr="00E5792C">
        <w:rPr>
          <w:bCs/>
          <w:color w:val="000000" w:themeColor="text1"/>
          <w:vertAlign w:val="superscript"/>
          <w:lang w:val="en-US"/>
        </w:rPr>
        <w:t>23</w:t>
      </w:r>
      <w:r w:rsidR="00E82927" w:rsidRPr="00E5792C">
        <w:rPr>
          <w:bCs/>
          <w:color w:val="000000" w:themeColor="text1"/>
          <w:lang w:val="en-US"/>
        </w:rPr>
        <w:t xml:space="preserve"> or uncertain diagnosis of AM</w:t>
      </w:r>
      <w:r w:rsidR="00D55499" w:rsidRPr="00E5792C">
        <w:rPr>
          <w:bCs/>
          <w:color w:val="000000" w:themeColor="text1"/>
          <w:vertAlign w:val="superscript"/>
          <w:lang w:val="en-US"/>
        </w:rPr>
        <w:t>19</w:t>
      </w:r>
      <w:r w:rsidR="004B0ECF" w:rsidRPr="00E5792C">
        <w:rPr>
          <w:bCs/>
          <w:color w:val="000000" w:themeColor="text1"/>
          <w:lang w:val="en-US"/>
        </w:rPr>
        <w:t xml:space="preserve"> </w:t>
      </w:r>
      <w:r w:rsidR="00C61630" w:rsidRPr="00E5792C">
        <w:rPr>
          <w:bCs/>
          <w:noProof/>
          <w:color w:val="000000" w:themeColor="text1"/>
          <w:lang w:val="en-US"/>
        </w:rPr>
        <w:t>were removed</w:t>
      </w:r>
      <w:r w:rsidR="00C61630" w:rsidRPr="00E5792C">
        <w:rPr>
          <w:bCs/>
          <w:color w:val="000000" w:themeColor="text1"/>
          <w:lang w:val="en-US"/>
        </w:rPr>
        <w:t xml:space="preserve">, </w:t>
      </w:r>
      <w:r w:rsidR="007E72BE" w:rsidRPr="00E5792C">
        <w:rPr>
          <w:bCs/>
          <w:color w:val="000000" w:themeColor="text1"/>
          <w:lang w:val="en-US"/>
        </w:rPr>
        <w:t>AS location of</w:t>
      </w:r>
      <w:r w:rsidR="004B0ECF" w:rsidRPr="00E5792C">
        <w:rPr>
          <w:bCs/>
          <w:color w:val="000000" w:themeColor="text1"/>
          <w:lang w:val="en-US"/>
        </w:rPr>
        <w:t xml:space="preserve"> LGE </w:t>
      </w:r>
      <w:r w:rsidR="008C780E" w:rsidRPr="00E5792C">
        <w:rPr>
          <w:bCs/>
          <w:color w:val="000000" w:themeColor="text1"/>
          <w:lang w:val="en-US"/>
        </w:rPr>
        <w:t xml:space="preserve">still </w:t>
      </w:r>
      <w:r w:rsidR="004B0ECF" w:rsidRPr="00E5792C">
        <w:rPr>
          <w:bCs/>
          <w:color w:val="000000" w:themeColor="text1"/>
          <w:lang w:val="en-US"/>
        </w:rPr>
        <w:t>confer</w:t>
      </w:r>
      <w:r w:rsidR="0005171F" w:rsidRPr="00E5792C">
        <w:rPr>
          <w:bCs/>
          <w:color w:val="000000" w:themeColor="text1"/>
          <w:lang w:val="en-US"/>
        </w:rPr>
        <w:t>red</w:t>
      </w:r>
      <w:r w:rsidR="004B0ECF" w:rsidRPr="00E5792C">
        <w:rPr>
          <w:bCs/>
          <w:color w:val="000000" w:themeColor="text1"/>
          <w:lang w:val="en-US"/>
        </w:rPr>
        <w:t xml:space="preserve"> increased risk </w:t>
      </w:r>
      <w:r w:rsidR="0005171F" w:rsidRPr="00E5792C">
        <w:rPr>
          <w:bCs/>
          <w:color w:val="000000" w:themeColor="text1"/>
          <w:lang w:val="en-US"/>
        </w:rPr>
        <w:t xml:space="preserve">for </w:t>
      </w:r>
      <w:r w:rsidR="007E72BE" w:rsidRPr="00E5792C">
        <w:rPr>
          <w:bCs/>
          <w:color w:val="000000" w:themeColor="text1"/>
          <w:lang w:val="en-US"/>
        </w:rPr>
        <w:t xml:space="preserve">the combined </w:t>
      </w:r>
      <w:r w:rsidR="00AC7E1A" w:rsidRPr="00E5792C">
        <w:rPr>
          <w:bCs/>
          <w:color w:val="000000" w:themeColor="text1"/>
          <w:lang w:val="en-US"/>
        </w:rPr>
        <w:t>endpoint</w:t>
      </w:r>
      <w:r w:rsidR="0005171F" w:rsidRPr="00E5792C">
        <w:rPr>
          <w:bCs/>
          <w:color w:val="000000" w:themeColor="text1"/>
          <w:lang w:val="en-US"/>
        </w:rPr>
        <w:t xml:space="preserve"> </w:t>
      </w:r>
      <w:r w:rsidR="00C61630" w:rsidRPr="00E5792C">
        <w:rPr>
          <w:bCs/>
          <w:color w:val="000000" w:themeColor="text1"/>
          <w:lang w:val="en-US"/>
        </w:rPr>
        <w:t>(</w:t>
      </w:r>
      <w:r w:rsidR="0005171F" w:rsidRPr="00E5792C">
        <w:rPr>
          <w:bCs/>
          <w:color w:val="000000" w:themeColor="text1"/>
          <w:lang w:val="en-US"/>
        </w:rPr>
        <w:t xml:space="preserve">pooled </w:t>
      </w:r>
      <w:r w:rsidR="00C61630" w:rsidRPr="00E5792C">
        <w:rPr>
          <w:bCs/>
          <w:color w:val="000000" w:themeColor="text1"/>
          <w:lang w:val="en-US"/>
        </w:rPr>
        <w:t>HR=</w:t>
      </w:r>
      <w:r w:rsidR="008C780E" w:rsidRPr="00E5792C">
        <w:rPr>
          <w:bCs/>
          <w:color w:val="000000" w:themeColor="text1"/>
          <w:lang w:val="en-US"/>
        </w:rPr>
        <w:t>2.17</w:t>
      </w:r>
      <w:r w:rsidR="00C61630" w:rsidRPr="00E5792C">
        <w:rPr>
          <w:bCs/>
          <w:color w:val="000000" w:themeColor="text1"/>
          <w:lang w:val="en-US"/>
        </w:rPr>
        <w:t>, 95% CI</w:t>
      </w:r>
      <w:r w:rsidR="0021671F" w:rsidRPr="00E5792C">
        <w:rPr>
          <w:bCs/>
          <w:color w:val="000000" w:themeColor="text1"/>
          <w:lang w:val="en-US"/>
        </w:rPr>
        <w:t xml:space="preserve">s </w:t>
      </w:r>
      <w:r w:rsidR="008C780E" w:rsidRPr="00E5792C">
        <w:rPr>
          <w:bCs/>
          <w:color w:val="000000" w:themeColor="text1"/>
          <w:lang w:val="en-US"/>
        </w:rPr>
        <w:lastRenderedPageBreak/>
        <w:t>1.14</w:t>
      </w:r>
      <w:r w:rsidR="0005171F" w:rsidRPr="00E5792C">
        <w:rPr>
          <w:bCs/>
          <w:color w:val="000000" w:themeColor="text1"/>
          <w:lang w:val="en-US"/>
        </w:rPr>
        <w:t>-</w:t>
      </w:r>
      <w:r w:rsidR="00FE3272" w:rsidRPr="00E5792C">
        <w:rPr>
          <w:bCs/>
          <w:color w:val="000000" w:themeColor="text1"/>
          <w:lang w:val="en-US"/>
        </w:rPr>
        <w:t>4.12, P=0.018</w:t>
      </w:r>
      <w:r w:rsidR="00C61630" w:rsidRPr="00E5792C">
        <w:rPr>
          <w:bCs/>
          <w:color w:val="000000" w:themeColor="text1"/>
          <w:lang w:val="en-US"/>
        </w:rPr>
        <w:t>).</w:t>
      </w:r>
      <w:r w:rsidR="00AC7E1A" w:rsidRPr="00E5792C">
        <w:rPr>
          <w:bCs/>
          <w:color w:val="000000" w:themeColor="text1"/>
          <w:lang w:val="en-US"/>
        </w:rPr>
        <w:t xml:space="preserve"> </w:t>
      </w:r>
      <w:r w:rsidR="00A17354" w:rsidRPr="00E5792C">
        <w:rPr>
          <w:bCs/>
          <w:color w:val="000000" w:themeColor="text1"/>
          <w:lang w:val="en-US"/>
        </w:rPr>
        <w:t xml:space="preserve">Inferolateral </w:t>
      </w:r>
      <w:r w:rsidR="00AC7E1A" w:rsidRPr="00E5792C">
        <w:rPr>
          <w:bCs/>
          <w:color w:val="000000" w:themeColor="text1"/>
          <w:lang w:val="en-US"/>
        </w:rPr>
        <w:t>location of LGE t</w:t>
      </w:r>
      <w:r w:rsidR="00EB548D" w:rsidRPr="00E5792C">
        <w:rPr>
          <w:bCs/>
          <w:color w:val="000000" w:themeColor="text1"/>
          <w:lang w:val="en-US"/>
        </w:rPr>
        <w:t>r</w:t>
      </w:r>
      <w:r w:rsidR="00AC7E1A" w:rsidRPr="00E5792C">
        <w:rPr>
          <w:bCs/>
          <w:color w:val="000000" w:themeColor="text1"/>
          <w:lang w:val="en-US"/>
        </w:rPr>
        <w:t>ended to</w:t>
      </w:r>
      <w:r w:rsidR="00EB548D" w:rsidRPr="00E5792C">
        <w:rPr>
          <w:bCs/>
          <w:color w:val="000000" w:themeColor="text1"/>
          <w:lang w:val="en-US"/>
        </w:rPr>
        <w:t>wards a</w:t>
      </w:r>
      <w:r w:rsidR="00370615" w:rsidRPr="00E5792C">
        <w:rPr>
          <w:bCs/>
          <w:color w:val="000000" w:themeColor="text1"/>
          <w:lang w:val="en-US"/>
        </w:rPr>
        <w:t xml:space="preserve"> decreased</w:t>
      </w:r>
      <w:r w:rsidR="00AC7E1A" w:rsidRPr="00E5792C">
        <w:rPr>
          <w:bCs/>
          <w:color w:val="000000" w:themeColor="text1"/>
          <w:lang w:val="en-US"/>
        </w:rPr>
        <w:t xml:space="preserve"> </w:t>
      </w:r>
      <w:r w:rsidR="00370615" w:rsidRPr="00E5792C">
        <w:rPr>
          <w:bCs/>
          <w:color w:val="000000" w:themeColor="text1"/>
          <w:lang w:val="en-US"/>
        </w:rPr>
        <w:t xml:space="preserve">incidence of MACE </w:t>
      </w:r>
      <w:r w:rsidR="00EB548D" w:rsidRPr="00E5792C">
        <w:rPr>
          <w:bCs/>
          <w:color w:val="000000" w:themeColor="text1"/>
          <w:lang w:val="en-US"/>
        </w:rPr>
        <w:t>versus</w:t>
      </w:r>
      <w:r w:rsidR="00AC7E1A" w:rsidRPr="00E5792C">
        <w:rPr>
          <w:bCs/>
          <w:color w:val="000000" w:themeColor="text1"/>
          <w:lang w:val="en-US"/>
        </w:rPr>
        <w:t xml:space="preserve"> non-IL distribution (HR=0.5</w:t>
      </w:r>
      <w:r w:rsidR="00FA4159" w:rsidRPr="00E5792C">
        <w:rPr>
          <w:bCs/>
          <w:color w:val="000000" w:themeColor="text1"/>
          <w:lang w:val="en-US"/>
        </w:rPr>
        <w:t>0</w:t>
      </w:r>
      <w:r w:rsidR="00AC7E1A" w:rsidRPr="00E5792C">
        <w:rPr>
          <w:bCs/>
          <w:color w:val="000000" w:themeColor="text1"/>
          <w:lang w:val="en-US"/>
        </w:rPr>
        <w:t>, 95% CI</w:t>
      </w:r>
      <w:r w:rsidR="00CF4DEA" w:rsidRPr="00E5792C">
        <w:rPr>
          <w:bCs/>
          <w:color w:val="000000" w:themeColor="text1"/>
          <w:lang w:val="en-US"/>
        </w:rPr>
        <w:t>s</w:t>
      </w:r>
      <w:r w:rsidR="00AC7E1A" w:rsidRPr="00E5792C">
        <w:rPr>
          <w:bCs/>
          <w:color w:val="000000" w:themeColor="text1"/>
          <w:lang w:val="en-US"/>
        </w:rPr>
        <w:t xml:space="preserve"> 0.</w:t>
      </w:r>
      <w:r w:rsidR="00FE3272" w:rsidRPr="00E5792C">
        <w:rPr>
          <w:bCs/>
          <w:color w:val="000000" w:themeColor="text1"/>
          <w:lang w:val="en-US"/>
        </w:rPr>
        <w:t>21</w:t>
      </w:r>
      <w:r w:rsidR="00AC7E1A" w:rsidRPr="00E5792C">
        <w:rPr>
          <w:bCs/>
          <w:color w:val="000000" w:themeColor="text1"/>
          <w:lang w:val="en-US"/>
        </w:rPr>
        <w:t>-1.</w:t>
      </w:r>
      <w:r w:rsidR="00FE3272" w:rsidRPr="00E5792C">
        <w:rPr>
          <w:bCs/>
          <w:color w:val="000000" w:themeColor="text1"/>
          <w:lang w:val="en-US"/>
        </w:rPr>
        <w:t>20</w:t>
      </w:r>
      <w:r w:rsidR="00370615" w:rsidRPr="00E5792C">
        <w:rPr>
          <w:bCs/>
          <w:color w:val="000000" w:themeColor="text1"/>
          <w:lang w:val="en-US"/>
        </w:rPr>
        <w:t>, P=0.1</w:t>
      </w:r>
      <w:r w:rsidR="00FE3272" w:rsidRPr="00E5792C">
        <w:rPr>
          <w:bCs/>
          <w:color w:val="000000" w:themeColor="text1"/>
          <w:lang w:val="en-US"/>
        </w:rPr>
        <w:t>22</w:t>
      </w:r>
      <w:r w:rsidR="00792400" w:rsidRPr="00E5792C">
        <w:rPr>
          <w:bCs/>
          <w:color w:val="000000" w:themeColor="text1"/>
          <w:lang w:val="en-US"/>
        </w:rPr>
        <w:t>, I</w:t>
      </w:r>
      <w:r w:rsidR="00792400" w:rsidRPr="00E5792C">
        <w:rPr>
          <w:bCs/>
          <w:color w:val="000000" w:themeColor="text1"/>
          <w:vertAlign w:val="superscript"/>
          <w:lang w:val="en-US"/>
        </w:rPr>
        <w:t>2</w:t>
      </w:r>
      <w:r w:rsidR="00792400" w:rsidRPr="00E5792C">
        <w:rPr>
          <w:bCs/>
          <w:color w:val="000000" w:themeColor="text1"/>
          <w:lang w:val="en-US"/>
        </w:rPr>
        <w:t>=</w:t>
      </w:r>
      <w:r w:rsidR="00FE3272" w:rsidRPr="00E5792C">
        <w:rPr>
          <w:bCs/>
          <w:color w:val="000000" w:themeColor="text1"/>
          <w:lang w:val="en-US"/>
        </w:rPr>
        <w:t>69.2</w:t>
      </w:r>
      <w:r w:rsidR="00792400" w:rsidRPr="00E5792C">
        <w:rPr>
          <w:bCs/>
          <w:color w:val="000000" w:themeColor="text1"/>
          <w:lang w:val="en-US"/>
        </w:rPr>
        <w:t>%, P=0.00</w:t>
      </w:r>
      <w:r w:rsidR="00480B34" w:rsidRPr="00E5792C">
        <w:rPr>
          <w:bCs/>
          <w:color w:val="000000" w:themeColor="text1"/>
          <w:lang w:val="en-US"/>
        </w:rPr>
        <w:t>2</w:t>
      </w:r>
      <w:r w:rsidR="00AC7E1A" w:rsidRPr="00E5792C">
        <w:rPr>
          <w:bCs/>
          <w:color w:val="000000" w:themeColor="text1"/>
          <w:lang w:val="en-US"/>
        </w:rPr>
        <w:t>)</w:t>
      </w:r>
      <w:r w:rsidR="00CF4DEA" w:rsidRPr="00E5792C">
        <w:rPr>
          <w:bCs/>
          <w:color w:val="000000" w:themeColor="text1"/>
          <w:lang w:val="en-US"/>
        </w:rPr>
        <w:t xml:space="preserve"> </w:t>
      </w:r>
      <w:r w:rsidR="00EB548D" w:rsidRPr="00E5792C">
        <w:rPr>
          <w:bCs/>
          <w:color w:val="000000" w:themeColor="text1"/>
          <w:lang w:val="en-US"/>
        </w:rPr>
        <w:t xml:space="preserve">but </w:t>
      </w:r>
      <w:r w:rsidR="00370615" w:rsidRPr="00E5792C">
        <w:rPr>
          <w:bCs/>
          <w:color w:val="000000" w:themeColor="text1"/>
          <w:lang w:val="en-US"/>
        </w:rPr>
        <w:t xml:space="preserve">this </w:t>
      </w:r>
      <w:r w:rsidR="00C82260" w:rsidRPr="00E5792C">
        <w:rPr>
          <w:bCs/>
          <w:color w:val="000000" w:themeColor="text1"/>
          <w:lang w:val="en-US"/>
        </w:rPr>
        <w:t>non-significant trend</w:t>
      </w:r>
      <w:r w:rsidR="00370615" w:rsidRPr="00E5792C">
        <w:rPr>
          <w:bCs/>
          <w:color w:val="000000" w:themeColor="text1"/>
          <w:lang w:val="en-US"/>
        </w:rPr>
        <w:t xml:space="preserve"> was </w:t>
      </w:r>
      <w:r w:rsidR="00C82260" w:rsidRPr="00E5792C">
        <w:rPr>
          <w:bCs/>
          <w:color w:val="000000" w:themeColor="text1"/>
          <w:lang w:val="en-US"/>
        </w:rPr>
        <w:t xml:space="preserve">even </w:t>
      </w:r>
      <w:r w:rsidR="00370615" w:rsidRPr="00E5792C">
        <w:rPr>
          <w:bCs/>
          <w:color w:val="000000" w:themeColor="text1"/>
          <w:lang w:val="en-US"/>
        </w:rPr>
        <w:t>further attenuated after the HK correction (HR=0.5</w:t>
      </w:r>
      <w:r w:rsidR="00FA4159" w:rsidRPr="00E5792C">
        <w:rPr>
          <w:bCs/>
          <w:color w:val="000000" w:themeColor="text1"/>
          <w:lang w:val="en-US"/>
        </w:rPr>
        <w:t>0</w:t>
      </w:r>
      <w:r w:rsidR="00370615" w:rsidRPr="00E5792C">
        <w:rPr>
          <w:bCs/>
          <w:color w:val="000000" w:themeColor="text1"/>
          <w:lang w:val="en-US"/>
        </w:rPr>
        <w:t>, 95% CI</w:t>
      </w:r>
      <w:r w:rsidR="00CF4DEA" w:rsidRPr="00E5792C">
        <w:rPr>
          <w:bCs/>
          <w:color w:val="000000" w:themeColor="text1"/>
          <w:lang w:val="en-US"/>
        </w:rPr>
        <w:t>s</w:t>
      </w:r>
      <w:r w:rsidR="00370615" w:rsidRPr="00E5792C">
        <w:rPr>
          <w:bCs/>
          <w:color w:val="000000" w:themeColor="text1"/>
          <w:lang w:val="en-US"/>
        </w:rPr>
        <w:t xml:space="preserve"> </w:t>
      </w:r>
      <w:r w:rsidR="00792400" w:rsidRPr="00E5792C">
        <w:rPr>
          <w:bCs/>
          <w:color w:val="000000" w:themeColor="text1"/>
          <w:lang w:val="en-US"/>
        </w:rPr>
        <w:t>0.</w:t>
      </w:r>
      <w:r w:rsidR="00480B34" w:rsidRPr="00E5792C">
        <w:rPr>
          <w:bCs/>
          <w:color w:val="000000" w:themeColor="text1"/>
          <w:lang w:val="en-US"/>
        </w:rPr>
        <w:t>1</w:t>
      </w:r>
      <w:r w:rsidR="00FE3272" w:rsidRPr="00E5792C">
        <w:rPr>
          <w:bCs/>
          <w:color w:val="000000" w:themeColor="text1"/>
          <w:lang w:val="en-US"/>
        </w:rPr>
        <w:t>5</w:t>
      </w:r>
      <w:r w:rsidR="00792400" w:rsidRPr="00E5792C">
        <w:rPr>
          <w:bCs/>
          <w:color w:val="000000" w:themeColor="text1"/>
          <w:lang w:val="en-US"/>
        </w:rPr>
        <w:t>-1.</w:t>
      </w:r>
      <w:r w:rsidR="00FE3272" w:rsidRPr="00E5792C">
        <w:rPr>
          <w:bCs/>
          <w:color w:val="000000" w:themeColor="text1"/>
          <w:lang w:val="en-US"/>
        </w:rPr>
        <w:t>7</w:t>
      </w:r>
      <w:r w:rsidR="00480B34" w:rsidRPr="00E5792C">
        <w:rPr>
          <w:bCs/>
          <w:color w:val="000000" w:themeColor="text1"/>
          <w:lang w:val="en-US"/>
        </w:rPr>
        <w:t>3</w:t>
      </w:r>
      <w:r w:rsidR="00370615" w:rsidRPr="00E5792C">
        <w:rPr>
          <w:bCs/>
          <w:color w:val="000000" w:themeColor="text1"/>
          <w:lang w:val="en-US"/>
        </w:rPr>
        <w:t>, P=0.</w:t>
      </w:r>
      <w:r w:rsidR="00480B34" w:rsidRPr="00E5792C">
        <w:rPr>
          <w:bCs/>
          <w:color w:val="000000" w:themeColor="text1"/>
          <w:lang w:val="en-US"/>
        </w:rPr>
        <w:t>1</w:t>
      </w:r>
      <w:r w:rsidR="00FE3272" w:rsidRPr="00E5792C">
        <w:rPr>
          <w:bCs/>
          <w:color w:val="000000" w:themeColor="text1"/>
          <w:lang w:val="en-US"/>
        </w:rPr>
        <w:t>97</w:t>
      </w:r>
      <w:r w:rsidR="00370615" w:rsidRPr="00E5792C">
        <w:rPr>
          <w:bCs/>
          <w:color w:val="000000" w:themeColor="text1"/>
          <w:lang w:val="en-US"/>
        </w:rPr>
        <w:t>)</w:t>
      </w:r>
      <w:r w:rsidR="00FE3272" w:rsidRPr="00E5792C">
        <w:rPr>
          <w:bCs/>
          <w:color w:val="000000" w:themeColor="text1"/>
          <w:lang w:val="en-US"/>
        </w:rPr>
        <w:t>(</w:t>
      </w:r>
      <w:r w:rsidR="00FE3272" w:rsidRPr="00E5792C">
        <w:rPr>
          <w:b/>
          <w:color w:val="000000" w:themeColor="text1"/>
          <w:lang w:val="en-US"/>
        </w:rPr>
        <w:t>Figure 1S</w:t>
      </w:r>
      <w:r w:rsidR="00FE3272" w:rsidRPr="00E5792C">
        <w:rPr>
          <w:bCs/>
          <w:color w:val="000000" w:themeColor="text1"/>
          <w:lang w:val="en-US"/>
        </w:rPr>
        <w:t>)</w:t>
      </w:r>
      <w:r w:rsidR="00370615" w:rsidRPr="00E5792C">
        <w:rPr>
          <w:bCs/>
          <w:color w:val="000000" w:themeColor="text1"/>
          <w:lang w:val="en-US"/>
        </w:rPr>
        <w:t>.</w:t>
      </w:r>
    </w:p>
    <w:p w14:paraId="40FAD850" w14:textId="7903413C" w:rsidR="00346950" w:rsidRPr="00E5792C" w:rsidRDefault="00346950" w:rsidP="00E5792C">
      <w:pPr>
        <w:spacing w:line="480" w:lineRule="auto"/>
        <w:rPr>
          <w:b/>
          <w:color w:val="000000" w:themeColor="text1"/>
          <w:lang w:val="en-US"/>
        </w:rPr>
      </w:pPr>
      <w:r w:rsidRPr="00E5792C">
        <w:rPr>
          <w:b/>
          <w:lang w:val="en-US"/>
        </w:rPr>
        <w:t>Meta-regression analysis</w:t>
      </w:r>
    </w:p>
    <w:p w14:paraId="72495771" w14:textId="0A5621A3" w:rsidR="00EC0844" w:rsidRPr="00E5792C" w:rsidRDefault="006710CF" w:rsidP="00E5792C">
      <w:pPr>
        <w:autoSpaceDE w:val="0"/>
        <w:autoSpaceDN w:val="0"/>
        <w:adjustRightInd w:val="0"/>
        <w:spacing w:line="480" w:lineRule="auto"/>
        <w:jc w:val="both"/>
        <w:rPr>
          <w:lang w:val="en-US"/>
        </w:rPr>
      </w:pPr>
      <w:bookmarkStart w:id="14" w:name="_Hlk532859136"/>
      <w:r w:rsidRPr="00E5792C">
        <w:rPr>
          <w:bCs/>
          <w:lang w:val="en-US"/>
        </w:rPr>
        <w:t xml:space="preserve">In view of the </w:t>
      </w:r>
      <w:r w:rsidR="00480B34" w:rsidRPr="00E5792C">
        <w:rPr>
          <w:bCs/>
          <w:lang w:val="en-US"/>
        </w:rPr>
        <w:t xml:space="preserve">moderate to </w:t>
      </w:r>
      <w:r w:rsidRPr="00E5792C">
        <w:rPr>
          <w:bCs/>
          <w:lang w:val="en-US"/>
        </w:rPr>
        <w:t>significant heteroge</w:t>
      </w:r>
      <w:r w:rsidR="00D5324F" w:rsidRPr="00E5792C">
        <w:rPr>
          <w:bCs/>
          <w:lang w:val="en-US"/>
        </w:rPr>
        <w:t>neity</w:t>
      </w:r>
      <w:r w:rsidRPr="00E5792C">
        <w:rPr>
          <w:bCs/>
          <w:lang w:val="en-US"/>
        </w:rPr>
        <w:t xml:space="preserve"> in </w:t>
      </w:r>
      <w:r w:rsidR="00274EE5" w:rsidRPr="00E5792C">
        <w:rPr>
          <w:bCs/>
          <w:lang w:val="en-US"/>
        </w:rPr>
        <w:t>two</w:t>
      </w:r>
      <w:r w:rsidRPr="00E5792C">
        <w:rPr>
          <w:bCs/>
          <w:lang w:val="en-US"/>
        </w:rPr>
        <w:t xml:space="preserve"> main analyses (</w:t>
      </w:r>
      <w:r w:rsidRPr="00E5792C">
        <w:rPr>
          <w:bCs/>
          <w:i/>
          <w:iCs/>
          <w:lang w:val="en-US"/>
        </w:rPr>
        <w:t>i.e.</w:t>
      </w:r>
      <w:r w:rsidR="00F464F7" w:rsidRPr="00E5792C">
        <w:rPr>
          <w:bCs/>
          <w:lang w:val="en-US"/>
        </w:rPr>
        <w:t>,</w:t>
      </w:r>
      <w:r w:rsidRPr="00E5792C">
        <w:rPr>
          <w:bCs/>
          <w:lang w:val="en-US"/>
        </w:rPr>
        <w:t xml:space="preserve"> presence, </w:t>
      </w:r>
      <w:r w:rsidR="00274EE5" w:rsidRPr="00E5792C">
        <w:rPr>
          <w:bCs/>
          <w:lang w:val="en-US"/>
        </w:rPr>
        <w:t xml:space="preserve">and </w:t>
      </w:r>
      <w:r w:rsidR="00F464F7" w:rsidRPr="00E5792C">
        <w:rPr>
          <w:bCs/>
          <w:lang w:val="en-US"/>
        </w:rPr>
        <w:t>extent</w:t>
      </w:r>
      <w:r w:rsidRPr="00E5792C">
        <w:rPr>
          <w:bCs/>
          <w:lang w:val="en-US"/>
        </w:rPr>
        <w:t xml:space="preserve"> of LGE), w</w:t>
      </w:r>
      <w:r w:rsidR="00492E3E" w:rsidRPr="00E5792C">
        <w:rPr>
          <w:bCs/>
          <w:lang w:val="en-US"/>
        </w:rPr>
        <w:t xml:space="preserve">e performed meta-regression analyses on the association of </w:t>
      </w:r>
      <w:r w:rsidRPr="00E5792C">
        <w:rPr>
          <w:bCs/>
          <w:lang w:val="en-US"/>
        </w:rPr>
        <w:t>LGE pattern</w:t>
      </w:r>
      <w:r w:rsidR="00492E3E" w:rsidRPr="00E5792C">
        <w:rPr>
          <w:bCs/>
          <w:lang w:val="en-US"/>
        </w:rPr>
        <w:t xml:space="preserve"> with</w:t>
      </w:r>
      <w:r w:rsidRPr="00E5792C">
        <w:rPr>
          <w:bCs/>
          <w:lang w:val="en-US"/>
        </w:rPr>
        <w:t xml:space="preserve"> </w:t>
      </w:r>
      <w:r w:rsidR="00066DF5" w:rsidRPr="00E5792C">
        <w:rPr>
          <w:bCs/>
          <w:lang w:val="en-US"/>
        </w:rPr>
        <w:t>the primary endpoint</w:t>
      </w:r>
      <w:r w:rsidR="00492E3E" w:rsidRPr="00E5792C">
        <w:rPr>
          <w:bCs/>
          <w:lang w:val="en-US"/>
        </w:rPr>
        <w:t>.</w:t>
      </w:r>
      <w:r w:rsidR="004164D1" w:rsidRPr="00E5792C">
        <w:rPr>
          <w:bCs/>
          <w:lang w:val="en-US"/>
        </w:rPr>
        <w:t xml:space="preserve"> We also applied meta-regression analyses for LGE location on an exploratory basis. </w:t>
      </w:r>
      <w:r w:rsidR="007E531D" w:rsidRPr="00E5792C">
        <w:rPr>
          <w:bCs/>
          <w:lang w:val="en-US"/>
        </w:rPr>
        <w:t xml:space="preserve">Among </w:t>
      </w:r>
      <w:r w:rsidR="00A3466D" w:rsidRPr="00E5792C">
        <w:rPr>
          <w:bCs/>
          <w:lang w:val="en-US"/>
        </w:rPr>
        <w:t>age</w:t>
      </w:r>
      <w:r w:rsidR="00A3466D" w:rsidRPr="00E5792C">
        <w:rPr>
          <w:bCs/>
          <w:noProof/>
          <w:lang w:val="en-US"/>
        </w:rPr>
        <w:t xml:space="preserve">, </w:t>
      </w:r>
      <w:r w:rsidR="00346950" w:rsidRPr="00E5792C">
        <w:rPr>
          <w:bCs/>
          <w:noProof/>
          <w:lang w:val="en-US"/>
        </w:rPr>
        <w:t>prevalence</w:t>
      </w:r>
      <w:r w:rsidR="00346950" w:rsidRPr="00E5792C">
        <w:rPr>
          <w:bCs/>
          <w:lang w:val="en-US"/>
        </w:rPr>
        <w:t xml:space="preserve"> of </w:t>
      </w:r>
      <w:r w:rsidRPr="00E5792C">
        <w:rPr>
          <w:bCs/>
          <w:lang w:val="en-US"/>
        </w:rPr>
        <w:t>male</w:t>
      </w:r>
      <w:r w:rsidR="00346950" w:rsidRPr="00E5792C">
        <w:rPr>
          <w:bCs/>
          <w:lang w:val="en-US"/>
        </w:rPr>
        <w:t xml:space="preserve"> </w:t>
      </w:r>
      <w:r w:rsidR="00066DF5" w:rsidRPr="00E5792C">
        <w:rPr>
          <w:bCs/>
          <w:lang w:val="en-US"/>
        </w:rPr>
        <w:t>gender</w:t>
      </w:r>
      <w:r w:rsidR="007E531D" w:rsidRPr="00E5792C">
        <w:rPr>
          <w:bCs/>
          <w:lang w:val="en-US"/>
        </w:rPr>
        <w:t>,</w:t>
      </w:r>
      <w:r w:rsidR="00F904DF" w:rsidRPr="00E5792C">
        <w:rPr>
          <w:bCs/>
          <w:lang w:val="en-US"/>
        </w:rPr>
        <w:t xml:space="preserve"> </w:t>
      </w:r>
      <w:r w:rsidR="00B02DC3" w:rsidRPr="00E5792C">
        <w:rPr>
          <w:bCs/>
          <w:lang w:val="en-US"/>
        </w:rPr>
        <w:t xml:space="preserve">traditional </w:t>
      </w:r>
      <w:r w:rsidR="00066DF5" w:rsidRPr="00E5792C">
        <w:rPr>
          <w:bCs/>
          <w:lang w:val="en-US"/>
        </w:rPr>
        <w:t xml:space="preserve">cardiovascular </w:t>
      </w:r>
      <w:r w:rsidR="00B02DC3" w:rsidRPr="00E5792C">
        <w:rPr>
          <w:bCs/>
          <w:lang w:val="en-US"/>
        </w:rPr>
        <w:t>risk factors</w:t>
      </w:r>
      <w:r w:rsidR="00F464F7" w:rsidRPr="00E5792C">
        <w:rPr>
          <w:bCs/>
          <w:lang w:val="en-US"/>
        </w:rPr>
        <w:t>,</w:t>
      </w:r>
      <w:r w:rsidR="00B02DC3" w:rsidRPr="00E5792C">
        <w:rPr>
          <w:bCs/>
          <w:lang w:val="en-US"/>
        </w:rPr>
        <w:t xml:space="preserve"> </w:t>
      </w:r>
      <w:r w:rsidR="00346950" w:rsidRPr="00E5792C">
        <w:rPr>
          <w:bCs/>
          <w:lang w:val="en-US"/>
        </w:rPr>
        <w:t xml:space="preserve">and </w:t>
      </w:r>
      <w:r w:rsidRPr="00E5792C">
        <w:rPr>
          <w:bCs/>
          <w:lang w:val="en-US"/>
        </w:rPr>
        <w:t>symptoms at presentation</w:t>
      </w:r>
      <w:r w:rsidR="007E531D" w:rsidRPr="00E5792C">
        <w:rPr>
          <w:bCs/>
          <w:lang w:val="en-US"/>
        </w:rPr>
        <w:t xml:space="preserve">, </w:t>
      </w:r>
      <w:r w:rsidR="00AC29C3" w:rsidRPr="00E5792C">
        <w:rPr>
          <w:bCs/>
          <w:lang w:val="en-US"/>
        </w:rPr>
        <w:t>we did not find variables that</w:t>
      </w:r>
      <w:r w:rsidR="00227CB5" w:rsidRPr="00E5792C">
        <w:rPr>
          <w:bCs/>
          <w:lang w:val="en-US"/>
        </w:rPr>
        <w:t xml:space="preserve"> affected </w:t>
      </w:r>
      <w:r w:rsidR="00346950" w:rsidRPr="00E5792C">
        <w:rPr>
          <w:bCs/>
          <w:lang w:val="en-US"/>
        </w:rPr>
        <w:t xml:space="preserve">the magnitude of the </w:t>
      </w:r>
      <w:r w:rsidR="00227CB5" w:rsidRPr="00E5792C">
        <w:rPr>
          <w:bCs/>
          <w:lang w:val="en-US"/>
        </w:rPr>
        <w:t xml:space="preserve">association between </w:t>
      </w:r>
      <w:r w:rsidRPr="00E5792C">
        <w:rPr>
          <w:bCs/>
          <w:lang w:val="en-US"/>
        </w:rPr>
        <w:t xml:space="preserve">LGE </w:t>
      </w:r>
      <w:r w:rsidR="00AC29C3" w:rsidRPr="00E5792C">
        <w:rPr>
          <w:bCs/>
          <w:lang w:val="en-US"/>
        </w:rPr>
        <w:t>presence</w:t>
      </w:r>
      <w:r w:rsidR="004164D1" w:rsidRPr="00E5792C">
        <w:rPr>
          <w:bCs/>
          <w:lang w:val="en-US"/>
        </w:rPr>
        <w:t>, location</w:t>
      </w:r>
      <w:r w:rsidR="00AC29C3" w:rsidRPr="00E5792C">
        <w:rPr>
          <w:bCs/>
          <w:lang w:val="en-US"/>
        </w:rPr>
        <w:t xml:space="preserve"> </w:t>
      </w:r>
      <w:r w:rsidR="004164D1" w:rsidRPr="00E5792C">
        <w:rPr>
          <w:bCs/>
          <w:lang w:val="en-US"/>
        </w:rPr>
        <w:t>or</w:t>
      </w:r>
      <w:r w:rsidR="00AC29C3" w:rsidRPr="00E5792C">
        <w:rPr>
          <w:bCs/>
          <w:lang w:val="en-US"/>
        </w:rPr>
        <w:t xml:space="preserve"> extent </w:t>
      </w:r>
      <w:r w:rsidR="0096522D" w:rsidRPr="00E5792C">
        <w:rPr>
          <w:bCs/>
          <w:lang w:val="en-US"/>
        </w:rPr>
        <w:t xml:space="preserve">and </w:t>
      </w:r>
      <w:bookmarkEnd w:id="14"/>
      <w:r w:rsidR="00066DF5" w:rsidRPr="00E5792C">
        <w:rPr>
          <w:bCs/>
          <w:lang w:val="en-US"/>
        </w:rPr>
        <w:t xml:space="preserve">the </w:t>
      </w:r>
      <w:r w:rsidR="00227CB5" w:rsidRPr="00E5792C">
        <w:rPr>
          <w:bCs/>
          <w:lang w:val="en-US"/>
        </w:rPr>
        <w:t>combined endpoint</w:t>
      </w:r>
      <w:r w:rsidR="000F5295" w:rsidRPr="00E5792C">
        <w:rPr>
          <w:bCs/>
          <w:lang w:val="en-US"/>
        </w:rPr>
        <w:t>.</w:t>
      </w:r>
      <w:r w:rsidR="00AC29C3" w:rsidRPr="00E5792C">
        <w:rPr>
          <w:bCs/>
          <w:noProof/>
          <w:lang w:val="en-US"/>
        </w:rPr>
        <w:t xml:space="preserve"> </w:t>
      </w:r>
      <w:r w:rsidR="00E5792C">
        <w:rPr>
          <w:bCs/>
          <w:noProof/>
          <w:lang w:val="en-US"/>
        </w:rPr>
        <w:t>Accordingly, E</w:t>
      </w:r>
      <w:r w:rsidRPr="00E5792C">
        <w:rPr>
          <w:bCs/>
          <w:noProof/>
          <w:lang w:val="en-US"/>
        </w:rPr>
        <w:t>CG abnormalities, pericardial effusion, LV</w:t>
      </w:r>
      <w:r w:rsidR="00066DF5" w:rsidRPr="00E5792C">
        <w:rPr>
          <w:bCs/>
          <w:noProof/>
          <w:lang w:val="en-US"/>
        </w:rPr>
        <w:t xml:space="preserve"> ejection-fraction</w:t>
      </w:r>
      <w:r w:rsidRPr="00E5792C">
        <w:rPr>
          <w:bCs/>
          <w:noProof/>
          <w:lang w:val="en-US"/>
        </w:rPr>
        <w:t xml:space="preserve"> or LV</w:t>
      </w:r>
      <w:r w:rsidR="00066DF5" w:rsidRPr="00E5792C">
        <w:rPr>
          <w:bCs/>
          <w:noProof/>
          <w:lang w:val="en-US"/>
        </w:rPr>
        <w:t xml:space="preserve"> end-diastolic volume</w:t>
      </w:r>
      <w:r w:rsidRPr="00E5792C">
        <w:rPr>
          <w:bCs/>
          <w:noProof/>
          <w:lang w:val="en-US"/>
        </w:rPr>
        <w:t xml:space="preserve">, </w:t>
      </w:r>
      <w:r w:rsidR="00F06F2C" w:rsidRPr="00E5792C">
        <w:rPr>
          <w:bCs/>
          <w:noProof/>
          <w:lang w:val="en-US"/>
        </w:rPr>
        <w:t>sustained</w:t>
      </w:r>
      <w:r w:rsidR="00E160B0" w:rsidRPr="00E5792C">
        <w:rPr>
          <w:bCs/>
          <w:noProof/>
          <w:lang w:val="en-US"/>
        </w:rPr>
        <w:t xml:space="preserve"> </w:t>
      </w:r>
      <w:r w:rsidR="008A1F4F" w:rsidRPr="00E5792C">
        <w:rPr>
          <w:bCs/>
          <w:noProof/>
          <w:lang w:val="en-US"/>
        </w:rPr>
        <w:t>VT</w:t>
      </w:r>
      <w:r w:rsidR="00F464F7" w:rsidRPr="00E5792C">
        <w:rPr>
          <w:bCs/>
          <w:noProof/>
          <w:lang w:val="en-US"/>
        </w:rPr>
        <w:t>,</w:t>
      </w:r>
      <w:r w:rsidR="00066DF5" w:rsidRPr="00E5792C">
        <w:rPr>
          <w:bCs/>
          <w:noProof/>
          <w:lang w:val="en-US"/>
        </w:rPr>
        <w:t xml:space="preserve"> </w:t>
      </w:r>
      <w:r w:rsidR="001C25E7" w:rsidRPr="00E5792C">
        <w:rPr>
          <w:bCs/>
          <w:noProof/>
          <w:lang w:val="en-US"/>
        </w:rPr>
        <w:t xml:space="preserve">and troponin levels </w:t>
      </w:r>
      <w:r w:rsidR="00EC0844" w:rsidRPr="00E5792C">
        <w:rPr>
          <w:lang w:val="en-US"/>
        </w:rPr>
        <w:t xml:space="preserve">did not modify the association </w:t>
      </w:r>
      <w:r w:rsidR="00252D2E" w:rsidRPr="00E5792C">
        <w:rPr>
          <w:lang w:val="en-US"/>
        </w:rPr>
        <w:t>between</w:t>
      </w:r>
      <w:r w:rsidR="00227CB5" w:rsidRPr="00E5792C">
        <w:rPr>
          <w:lang w:val="en-US"/>
        </w:rPr>
        <w:t xml:space="preserve"> </w:t>
      </w:r>
      <w:r w:rsidR="001C25E7" w:rsidRPr="00E5792C">
        <w:rPr>
          <w:lang w:val="en-US"/>
        </w:rPr>
        <w:t xml:space="preserve">LGE </w:t>
      </w:r>
      <w:r w:rsidR="004164D1" w:rsidRPr="00E5792C">
        <w:rPr>
          <w:lang w:val="en-US"/>
        </w:rPr>
        <w:t>features</w:t>
      </w:r>
      <w:r w:rsidR="00AC29C3" w:rsidRPr="00E5792C">
        <w:rPr>
          <w:lang w:val="en-US"/>
        </w:rPr>
        <w:t xml:space="preserve"> </w:t>
      </w:r>
      <w:r w:rsidR="00252D2E" w:rsidRPr="00E5792C">
        <w:rPr>
          <w:lang w:val="en-US"/>
        </w:rPr>
        <w:t>and</w:t>
      </w:r>
      <w:r w:rsidR="00EC0844" w:rsidRPr="00E5792C">
        <w:rPr>
          <w:lang w:val="en-US"/>
        </w:rPr>
        <w:t xml:space="preserve"> </w:t>
      </w:r>
      <w:r w:rsidR="00066DF5" w:rsidRPr="00E5792C">
        <w:rPr>
          <w:lang w:val="en-US"/>
        </w:rPr>
        <w:t xml:space="preserve">the </w:t>
      </w:r>
      <w:r w:rsidR="00BC1BAD" w:rsidRPr="00E5792C">
        <w:rPr>
          <w:lang w:val="en-US"/>
        </w:rPr>
        <w:t>c</w:t>
      </w:r>
      <w:r w:rsidR="00F06F2C" w:rsidRPr="00E5792C">
        <w:rPr>
          <w:lang w:val="en-US"/>
        </w:rPr>
        <w:t>ombined endpoint</w:t>
      </w:r>
      <w:r w:rsidR="00066DF5" w:rsidRPr="00E5792C">
        <w:rPr>
          <w:lang w:val="en-US"/>
        </w:rPr>
        <w:t xml:space="preserve"> </w:t>
      </w:r>
      <w:r w:rsidR="004E760D" w:rsidRPr="00E5792C">
        <w:rPr>
          <w:lang w:val="en-US"/>
        </w:rPr>
        <w:t>occurrence</w:t>
      </w:r>
      <w:r w:rsidR="00EC0844" w:rsidRPr="00E5792C">
        <w:rPr>
          <w:lang w:val="en-US"/>
        </w:rPr>
        <w:t xml:space="preserve"> (</w:t>
      </w:r>
      <w:r w:rsidR="001C25E7" w:rsidRPr="00E5792C">
        <w:rPr>
          <w:lang w:val="en-US"/>
        </w:rPr>
        <w:t>P</w:t>
      </w:r>
      <w:r w:rsidR="00EC0844" w:rsidRPr="00E5792C">
        <w:rPr>
          <w:lang w:val="en-US"/>
        </w:rPr>
        <w:t xml:space="preserve">&gt;0.1 for </w:t>
      </w:r>
      <w:r w:rsidR="001C25E7" w:rsidRPr="00E5792C">
        <w:rPr>
          <w:lang w:val="en-US"/>
        </w:rPr>
        <w:t>all</w:t>
      </w:r>
      <w:r w:rsidR="00EC0844" w:rsidRPr="00E5792C">
        <w:rPr>
          <w:lang w:val="en-US"/>
        </w:rPr>
        <w:t xml:space="preserve">). </w:t>
      </w:r>
      <w:r w:rsidR="001C25E7" w:rsidRPr="00E5792C">
        <w:rPr>
          <w:lang w:val="en-US"/>
        </w:rPr>
        <w:t xml:space="preserve">Importantly, </w:t>
      </w:r>
      <w:r w:rsidR="007912B9" w:rsidRPr="00E5792C">
        <w:rPr>
          <w:lang w:val="en-US"/>
        </w:rPr>
        <w:t xml:space="preserve">the association of </w:t>
      </w:r>
      <w:r w:rsidR="00066DF5" w:rsidRPr="00E5792C">
        <w:rPr>
          <w:lang w:val="en-US"/>
        </w:rPr>
        <w:t>AS location of</w:t>
      </w:r>
      <w:r w:rsidR="007912B9" w:rsidRPr="00E5792C">
        <w:rPr>
          <w:lang w:val="en-US"/>
        </w:rPr>
        <w:t xml:space="preserve"> LGE with increased risk of </w:t>
      </w:r>
      <w:r w:rsidR="00066DF5" w:rsidRPr="00E5792C">
        <w:rPr>
          <w:lang w:val="en-US"/>
        </w:rPr>
        <w:t>the primary endpoint</w:t>
      </w:r>
      <w:r w:rsidR="007912B9" w:rsidRPr="00E5792C">
        <w:rPr>
          <w:lang w:val="en-US"/>
        </w:rPr>
        <w:t xml:space="preserve"> was </w:t>
      </w:r>
      <w:r w:rsidR="00066DF5" w:rsidRPr="00E5792C">
        <w:rPr>
          <w:lang w:val="en-US"/>
        </w:rPr>
        <w:t>not influenced by</w:t>
      </w:r>
      <w:r w:rsidR="007912B9" w:rsidRPr="00E5792C">
        <w:rPr>
          <w:lang w:val="en-US"/>
        </w:rPr>
        <w:t xml:space="preserve"> the</w:t>
      </w:r>
      <w:r w:rsidR="00066DF5" w:rsidRPr="00E5792C">
        <w:rPr>
          <w:lang w:val="en-US"/>
        </w:rPr>
        <w:t xml:space="preserve"> LGE</w:t>
      </w:r>
      <w:r w:rsidR="007912B9" w:rsidRPr="00E5792C">
        <w:rPr>
          <w:lang w:val="en-US"/>
        </w:rPr>
        <w:t xml:space="preserve"> extent (P=</w:t>
      </w:r>
      <w:r w:rsidR="00B02DC3" w:rsidRPr="00E5792C">
        <w:rPr>
          <w:lang w:val="en-US"/>
        </w:rPr>
        <w:t>0.</w:t>
      </w:r>
      <w:r w:rsidR="00AC29C3" w:rsidRPr="00E5792C">
        <w:rPr>
          <w:lang w:val="en-US"/>
        </w:rPr>
        <w:t>352</w:t>
      </w:r>
      <w:r w:rsidR="007912B9" w:rsidRPr="00E5792C">
        <w:rPr>
          <w:lang w:val="en-US"/>
        </w:rPr>
        <w:t>).</w:t>
      </w:r>
    </w:p>
    <w:p w14:paraId="1B8F8206" w14:textId="77777777" w:rsidR="009C786F" w:rsidRPr="00E5792C" w:rsidRDefault="009C786F" w:rsidP="00E5792C">
      <w:pPr>
        <w:spacing w:after="160" w:line="259" w:lineRule="auto"/>
        <w:rPr>
          <w:b/>
          <w:lang w:val="en-US"/>
        </w:rPr>
      </w:pPr>
      <w:r w:rsidRPr="00E5792C">
        <w:rPr>
          <w:b/>
          <w:lang w:val="en-US"/>
        </w:rPr>
        <w:br w:type="page"/>
      </w:r>
    </w:p>
    <w:p w14:paraId="2D5832C8" w14:textId="3EC1DE89" w:rsidR="00346950" w:rsidRPr="00E5792C" w:rsidRDefault="00346950" w:rsidP="00E5792C">
      <w:pPr>
        <w:autoSpaceDE w:val="0"/>
        <w:autoSpaceDN w:val="0"/>
        <w:adjustRightInd w:val="0"/>
        <w:spacing w:line="480" w:lineRule="auto"/>
        <w:jc w:val="both"/>
        <w:rPr>
          <w:b/>
          <w:lang w:val="en-US"/>
        </w:rPr>
      </w:pPr>
      <w:r w:rsidRPr="00E5792C">
        <w:rPr>
          <w:b/>
          <w:lang w:val="en-US"/>
        </w:rPr>
        <w:lastRenderedPageBreak/>
        <w:t>Publication bias</w:t>
      </w:r>
      <w:r w:rsidR="00EB77F0" w:rsidRPr="00E5792C">
        <w:rPr>
          <w:b/>
          <w:lang w:val="en-US"/>
        </w:rPr>
        <w:t xml:space="preserve"> and grading of evidence</w:t>
      </w:r>
    </w:p>
    <w:p w14:paraId="2BA0F53B" w14:textId="4A2742AF" w:rsidR="00346950" w:rsidRPr="00E5792C" w:rsidRDefault="00346950" w:rsidP="00E5792C">
      <w:pPr>
        <w:autoSpaceDE w:val="0"/>
        <w:autoSpaceDN w:val="0"/>
        <w:adjustRightInd w:val="0"/>
        <w:spacing w:line="480" w:lineRule="auto"/>
        <w:jc w:val="both"/>
        <w:rPr>
          <w:bCs/>
          <w:lang w:val="en-US"/>
        </w:rPr>
      </w:pPr>
      <w:r w:rsidRPr="00E5792C">
        <w:rPr>
          <w:bCs/>
          <w:lang w:val="en-US"/>
        </w:rPr>
        <w:t xml:space="preserve">The funnel plot for the association between </w:t>
      </w:r>
      <w:r w:rsidR="00494D1D" w:rsidRPr="00E5792C">
        <w:rPr>
          <w:bCs/>
          <w:lang w:val="en-US"/>
        </w:rPr>
        <w:t>LGE presence</w:t>
      </w:r>
      <w:r w:rsidRPr="00E5792C">
        <w:rPr>
          <w:bCs/>
          <w:lang w:val="en-US"/>
        </w:rPr>
        <w:t xml:space="preserve"> and </w:t>
      </w:r>
      <w:r w:rsidR="00066DF5" w:rsidRPr="00E5792C">
        <w:rPr>
          <w:bCs/>
          <w:lang w:val="en-US"/>
        </w:rPr>
        <w:t>the primary endpoint</w:t>
      </w:r>
      <w:r w:rsidRPr="00E5792C">
        <w:rPr>
          <w:bCs/>
          <w:lang w:val="en-US"/>
        </w:rPr>
        <w:t xml:space="preserve"> was asymmetrical at its </w:t>
      </w:r>
      <w:r w:rsidR="008A1F4F" w:rsidRPr="00E5792C">
        <w:rPr>
          <w:bCs/>
          <w:lang w:val="en-US"/>
        </w:rPr>
        <w:t xml:space="preserve">bottom </w:t>
      </w:r>
      <w:r w:rsidRPr="00E5792C">
        <w:rPr>
          <w:bCs/>
          <w:lang w:val="en-US"/>
        </w:rPr>
        <w:t>left</w:t>
      </w:r>
      <w:r w:rsidR="00494D1D" w:rsidRPr="00E5792C">
        <w:rPr>
          <w:bCs/>
          <w:lang w:val="en-US"/>
        </w:rPr>
        <w:t xml:space="preserve">, suggesting </w:t>
      </w:r>
      <w:r w:rsidRPr="00E5792C">
        <w:rPr>
          <w:bCs/>
          <w:lang w:val="en-US"/>
        </w:rPr>
        <w:t xml:space="preserve">either </w:t>
      </w:r>
      <w:r w:rsidR="00494D1D" w:rsidRPr="00E5792C">
        <w:rPr>
          <w:bCs/>
          <w:lang w:val="en-US"/>
        </w:rPr>
        <w:t>possible</w:t>
      </w:r>
      <w:r w:rsidRPr="00E5792C">
        <w:rPr>
          <w:bCs/>
          <w:lang w:val="en-US"/>
        </w:rPr>
        <w:t xml:space="preserve"> publication bias or a true </w:t>
      </w:r>
      <w:r w:rsidR="008A1F4F" w:rsidRPr="00E5792C">
        <w:rPr>
          <w:bCs/>
          <w:lang w:val="en-US"/>
        </w:rPr>
        <w:t xml:space="preserve">non-existence </w:t>
      </w:r>
      <w:r w:rsidRPr="00E5792C">
        <w:rPr>
          <w:bCs/>
          <w:lang w:val="en-US"/>
        </w:rPr>
        <w:t>of negative studies (</w:t>
      </w:r>
      <w:r w:rsidRPr="00E5792C">
        <w:rPr>
          <w:b/>
          <w:lang w:val="en-US"/>
        </w:rPr>
        <w:t xml:space="preserve">Figure </w:t>
      </w:r>
      <w:r w:rsidR="00BA1723" w:rsidRPr="00E5792C">
        <w:rPr>
          <w:b/>
          <w:lang w:val="en-US"/>
        </w:rPr>
        <w:t>3</w:t>
      </w:r>
      <w:r w:rsidR="000205BC" w:rsidRPr="00E5792C">
        <w:rPr>
          <w:b/>
          <w:lang w:val="en-US"/>
        </w:rPr>
        <w:t>A</w:t>
      </w:r>
      <w:r w:rsidRPr="00E5792C">
        <w:rPr>
          <w:bCs/>
          <w:lang w:val="en-US"/>
        </w:rPr>
        <w:t xml:space="preserve">). </w:t>
      </w:r>
      <w:r w:rsidR="00583F44" w:rsidRPr="00E5792C">
        <w:rPr>
          <w:bCs/>
          <w:lang w:val="en-US"/>
        </w:rPr>
        <w:t>R</w:t>
      </w:r>
      <w:r w:rsidRPr="00E5792C">
        <w:rPr>
          <w:bCs/>
          <w:lang w:val="en-US"/>
        </w:rPr>
        <w:t>egression tests for funnel plot asymmetry</w:t>
      </w:r>
      <w:r w:rsidR="0007599E" w:rsidRPr="00E5792C">
        <w:rPr>
          <w:bCs/>
          <w:lang w:val="en-US"/>
        </w:rPr>
        <w:t xml:space="preserve"> </w:t>
      </w:r>
      <w:r w:rsidR="006011D9" w:rsidRPr="00E5792C">
        <w:rPr>
          <w:bCs/>
          <w:lang w:val="en-US"/>
        </w:rPr>
        <w:t xml:space="preserve">only </w:t>
      </w:r>
      <w:r w:rsidR="00583F44" w:rsidRPr="00E5792C">
        <w:rPr>
          <w:bCs/>
          <w:lang w:val="en-US"/>
        </w:rPr>
        <w:t xml:space="preserve">partially supported </w:t>
      </w:r>
      <w:r w:rsidR="007605AC" w:rsidRPr="00E5792C">
        <w:rPr>
          <w:bCs/>
          <w:lang w:val="en-US"/>
        </w:rPr>
        <w:t>a</w:t>
      </w:r>
      <w:r w:rsidRPr="00E5792C">
        <w:rPr>
          <w:bCs/>
          <w:lang w:val="en-US"/>
        </w:rPr>
        <w:t xml:space="preserve"> small-study effect</w:t>
      </w:r>
      <w:r w:rsidR="005679FE" w:rsidRPr="00E5792C">
        <w:rPr>
          <w:bCs/>
          <w:lang w:val="en-US"/>
        </w:rPr>
        <w:t xml:space="preserve"> </w:t>
      </w:r>
      <w:r w:rsidRPr="00E5792C">
        <w:rPr>
          <w:bCs/>
          <w:lang w:val="en-US"/>
        </w:rPr>
        <w:t xml:space="preserve">(Egger's test: </w:t>
      </w:r>
      <w:r w:rsidR="00BB6FE0" w:rsidRPr="00E5792C">
        <w:rPr>
          <w:bCs/>
          <w:lang w:val="en-US"/>
        </w:rPr>
        <w:t>P</w:t>
      </w:r>
      <w:r w:rsidR="00F02E40" w:rsidRPr="00E5792C">
        <w:rPr>
          <w:bCs/>
          <w:lang w:val="en-US"/>
        </w:rPr>
        <w:t>=0.</w:t>
      </w:r>
      <w:r w:rsidR="00583F44" w:rsidRPr="00E5792C">
        <w:rPr>
          <w:bCs/>
          <w:lang w:val="en-US"/>
        </w:rPr>
        <w:t>025</w:t>
      </w:r>
      <w:r w:rsidRPr="00E5792C">
        <w:rPr>
          <w:bCs/>
          <w:lang w:val="en-US"/>
        </w:rPr>
        <w:t xml:space="preserve"> and Begg</w:t>
      </w:r>
      <w:r w:rsidR="004E760D" w:rsidRPr="00E5792C">
        <w:rPr>
          <w:bCs/>
          <w:lang w:val="en-US"/>
        </w:rPr>
        <w:t xml:space="preserve"> and </w:t>
      </w:r>
      <w:r w:rsidRPr="00E5792C">
        <w:rPr>
          <w:bCs/>
          <w:lang w:val="en-US"/>
        </w:rPr>
        <w:t>Maz</w:t>
      </w:r>
      <w:r w:rsidR="00E144B7" w:rsidRPr="00E5792C">
        <w:rPr>
          <w:bCs/>
          <w:lang w:val="en-US"/>
        </w:rPr>
        <w:t>umd</w:t>
      </w:r>
      <w:r w:rsidRPr="00E5792C">
        <w:rPr>
          <w:bCs/>
          <w:lang w:val="en-US"/>
        </w:rPr>
        <w:t xml:space="preserve">ar test: </w:t>
      </w:r>
      <w:r w:rsidR="00BB6FE0" w:rsidRPr="00E5792C">
        <w:rPr>
          <w:bCs/>
          <w:lang w:val="en-US"/>
        </w:rPr>
        <w:t>P</w:t>
      </w:r>
      <w:r w:rsidR="00C46B77" w:rsidRPr="00E5792C">
        <w:rPr>
          <w:bCs/>
          <w:lang w:val="en-US"/>
        </w:rPr>
        <w:t>=</w:t>
      </w:r>
      <w:r w:rsidR="00F02E40" w:rsidRPr="00E5792C">
        <w:rPr>
          <w:bCs/>
          <w:lang w:val="en-US"/>
        </w:rPr>
        <w:t>0.</w:t>
      </w:r>
      <w:r w:rsidR="00583F44" w:rsidRPr="00E5792C">
        <w:rPr>
          <w:bCs/>
          <w:lang w:val="en-US"/>
        </w:rPr>
        <w:t>260</w:t>
      </w:r>
      <w:r w:rsidR="005679FE" w:rsidRPr="00E5792C">
        <w:rPr>
          <w:bCs/>
          <w:lang w:val="en-US"/>
        </w:rPr>
        <w:t xml:space="preserve">). </w:t>
      </w:r>
      <w:r w:rsidR="00583F44" w:rsidRPr="00E5792C">
        <w:rPr>
          <w:bCs/>
          <w:lang w:val="en-US"/>
        </w:rPr>
        <w:t>A</w:t>
      </w:r>
      <w:r w:rsidR="00494D1D" w:rsidRPr="00E5792C">
        <w:rPr>
          <w:bCs/>
          <w:noProof/>
          <w:lang w:val="en-US"/>
        </w:rPr>
        <w:t>symmetry</w:t>
      </w:r>
      <w:r w:rsidR="00494D1D" w:rsidRPr="00E5792C">
        <w:rPr>
          <w:bCs/>
          <w:lang w:val="en-US"/>
        </w:rPr>
        <w:t xml:space="preserve"> was </w:t>
      </w:r>
      <w:r w:rsidR="00583F44" w:rsidRPr="00E5792C">
        <w:rPr>
          <w:bCs/>
          <w:lang w:val="en-US"/>
        </w:rPr>
        <w:t>also</w:t>
      </w:r>
      <w:r w:rsidR="00494D1D" w:rsidRPr="00E5792C">
        <w:rPr>
          <w:bCs/>
          <w:lang w:val="en-US"/>
        </w:rPr>
        <w:t xml:space="preserve"> </w:t>
      </w:r>
      <w:r w:rsidR="00066DF5" w:rsidRPr="00E5792C">
        <w:rPr>
          <w:bCs/>
          <w:lang w:val="en-US"/>
        </w:rPr>
        <w:t>evident</w:t>
      </w:r>
      <w:r w:rsidR="00494D1D" w:rsidRPr="00E5792C">
        <w:rPr>
          <w:bCs/>
          <w:lang w:val="en-US"/>
        </w:rPr>
        <w:t xml:space="preserve"> in funnel plots for LGE exten</w:t>
      </w:r>
      <w:r w:rsidR="00066DF5" w:rsidRPr="00E5792C">
        <w:rPr>
          <w:bCs/>
          <w:lang w:val="en-US"/>
        </w:rPr>
        <w:t>t</w:t>
      </w:r>
      <w:r w:rsidR="00494D1D" w:rsidRPr="00E5792C">
        <w:rPr>
          <w:bCs/>
          <w:lang w:val="en-US"/>
        </w:rPr>
        <w:t xml:space="preserve"> (</w:t>
      </w:r>
      <w:r w:rsidR="00494D1D" w:rsidRPr="00E5792C">
        <w:rPr>
          <w:b/>
          <w:lang w:val="en-US"/>
        </w:rPr>
        <w:t xml:space="preserve">Figure </w:t>
      </w:r>
      <w:r w:rsidR="00BA1723" w:rsidRPr="00E5792C">
        <w:rPr>
          <w:b/>
          <w:lang w:val="en-US"/>
        </w:rPr>
        <w:t>3</w:t>
      </w:r>
      <w:r w:rsidR="00536D7C" w:rsidRPr="00E5792C">
        <w:rPr>
          <w:b/>
          <w:lang w:val="en-US"/>
        </w:rPr>
        <w:t>B</w:t>
      </w:r>
      <w:r w:rsidR="00494D1D" w:rsidRPr="00E5792C">
        <w:rPr>
          <w:bCs/>
          <w:lang w:val="en-US"/>
        </w:rPr>
        <w:t xml:space="preserve">) </w:t>
      </w:r>
      <w:r w:rsidR="008C780E" w:rsidRPr="00E5792C">
        <w:rPr>
          <w:bCs/>
          <w:lang w:val="en-US"/>
        </w:rPr>
        <w:t>but not for</w:t>
      </w:r>
      <w:r w:rsidR="00494D1D" w:rsidRPr="00E5792C">
        <w:rPr>
          <w:bCs/>
          <w:lang w:val="en-US"/>
        </w:rPr>
        <w:t xml:space="preserve"> </w:t>
      </w:r>
      <w:r w:rsidR="007605AC" w:rsidRPr="00E5792C">
        <w:rPr>
          <w:bCs/>
          <w:lang w:val="en-US"/>
        </w:rPr>
        <w:t xml:space="preserve">localization </w:t>
      </w:r>
      <w:r w:rsidR="00066DF5" w:rsidRPr="00E5792C">
        <w:rPr>
          <w:bCs/>
          <w:lang w:val="en-US"/>
        </w:rPr>
        <w:t>(AS versus non-AS)</w:t>
      </w:r>
      <w:r w:rsidR="00494D1D" w:rsidRPr="00E5792C">
        <w:rPr>
          <w:bCs/>
          <w:lang w:val="en-US"/>
        </w:rPr>
        <w:t xml:space="preserve"> (</w:t>
      </w:r>
      <w:r w:rsidR="00494D1D" w:rsidRPr="00E5792C">
        <w:rPr>
          <w:b/>
          <w:lang w:val="en-US"/>
        </w:rPr>
        <w:t xml:space="preserve">Figure </w:t>
      </w:r>
      <w:r w:rsidR="00BA1723" w:rsidRPr="00E5792C">
        <w:rPr>
          <w:b/>
          <w:lang w:val="en-US"/>
        </w:rPr>
        <w:t>3</w:t>
      </w:r>
      <w:r w:rsidR="00494D1D" w:rsidRPr="00E5792C">
        <w:rPr>
          <w:b/>
          <w:lang w:val="en-US"/>
        </w:rPr>
        <w:t>C</w:t>
      </w:r>
      <w:r w:rsidR="00494D1D" w:rsidRPr="00E5792C">
        <w:rPr>
          <w:bCs/>
          <w:lang w:val="en-US"/>
        </w:rPr>
        <w:t>). Whil</w:t>
      </w:r>
      <w:r w:rsidR="00066DF5" w:rsidRPr="00E5792C">
        <w:rPr>
          <w:bCs/>
          <w:lang w:val="en-US"/>
        </w:rPr>
        <w:t>e</w:t>
      </w:r>
      <w:r w:rsidR="00494D1D" w:rsidRPr="00E5792C">
        <w:rPr>
          <w:bCs/>
          <w:lang w:val="en-US"/>
        </w:rPr>
        <w:t xml:space="preserve"> publication bias cannot </w:t>
      </w:r>
      <w:r w:rsidR="00494D1D" w:rsidRPr="00E5792C">
        <w:rPr>
          <w:bCs/>
          <w:noProof/>
          <w:lang w:val="en-US"/>
        </w:rPr>
        <w:t>be excluded</w:t>
      </w:r>
      <w:r w:rsidR="00494D1D" w:rsidRPr="00E5792C">
        <w:rPr>
          <w:bCs/>
          <w:lang w:val="en-US"/>
        </w:rPr>
        <w:t xml:space="preserve"> for these variables, regression diagnostic tests </w:t>
      </w:r>
      <w:r w:rsidR="00BB6FE0" w:rsidRPr="00E5792C">
        <w:rPr>
          <w:bCs/>
          <w:lang w:val="en-US"/>
        </w:rPr>
        <w:t xml:space="preserve">showed </w:t>
      </w:r>
      <w:r w:rsidR="007605AC" w:rsidRPr="00E5792C">
        <w:rPr>
          <w:bCs/>
          <w:lang w:val="en-US"/>
        </w:rPr>
        <w:t xml:space="preserve">a </w:t>
      </w:r>
      <w:r w:rsidR="00BB6FE0" w:rsidRPr="00E5792C">
        <w:rPr>
          <w:bCs/>
          <w:lang w:val="en-US"/>
        </w:rPr>
        <w:t xml:space="preserve">non-significant </w:t>
      </w:r>
      <w:r w:rsidR="00066DF5" w:rsidRPr="00E5792C">
        <w:rPr>
          <w:bCs/>
          <w:lang w:val="en-US"/>
        </w:rPr>
        <w:t>effect</w:t>
      </w:r>
      <w:r w:rsidR="00BB6FE0" w:rsidRPr="00E5792C">
        <w:rPr>
          <w:bCs/>
          <w:lang w:val="en-US"/>
        </w:rPr>
        <w:t xml:space="preserve"> (Egger's test: P=0.</w:t>
      </w:r>
      <w:r w:rsidR="009004B7" w:rsidRPr="00E5792C">
        <w:rPr>
          <w:bCs/>
          <w:lang w:val="en-US"/>
        </w:rPr>
        <w:t>221</w:t>
      </w:r>
      <w:r w:rsidR="00BB6FE0" w:rsidRPr="00E5792C">
        <w:rPr>
          <w:bCs/>
          <w:lang w:val="en-US"/>
        </w:rPr>
        <w:t xml:space="preserve"> and P=</w:t>
      </w:r>
      <w:r w:rsidR="009004B7" w:rsidRPr="00E5792C">
        <w:rPr>
          <w:bCs/>
          <w:lang w:val="en-US"/>
        </w:rPr>
        <w:t>0.</w:t>
      </w:r>
      <w:r w:rsidR="008C780E" w:rsidRPr="00E5792C">
        <w:rPr>
          <w:bCs/>
          <w:lang w:val="en-US"/>
        </w:rPr>
        <w:t>957</w:t>
      </w:r>
      <w:r w:rsidR="00BB6FE0" w:rsidRPr="00E5792C">
        <w:rPr>
          <w:bCs/>
          <w:lang w:val="en-US"/>
        </w:rPr>
        <w:t>; Begg</w:t>
      </w:r>
      <w:r w:rsidR="00F464F7" w:rsidRPr="00E5792C">
        <w:rPr>
          <w:bCs/>
          <w:lang w:val="en-US"/>
        </w:rPr>
        <w:t xml:space="preserve"> and </w:t>
      </w:r>
      <w:r w:rsidR="00BB6FE0" w:rsidRPr="00E5792C">
        <w:rPr>
          <w:bCs/>
          <w:lang w:val="en-US"/>
        </w:rPr>
        <w:t>Maz</w:t>
      </w:r>
      <w:r w:rsidR="00F464F7" w:rsidRPr="00E5792C">
        <w:rPr>
          <w:bCs/>
          <w:lang w:val="en-US"/>
        </w:rPr>
        <w:t>umd</w:t>
      </w:r>
      <w:r w:rsidR="00BB6FE0" w:rsidRPr="00E5792C">
        <w:rPr>
          <w:bCs/>
          <w:lang w:val="en-US"/>
        </w:rPr>
        <w:t>ar test: P=0.</w:t>
      </w:r>
      <w:r w:rsidR="009004B7" w:rsidRPr="00E5792C">
        <w:rPr>
          <w:bCs/>
          <w:lang w:val="en-US"/>
        </w:rPr>
        <w:t>264</w:t>
      </w:r>
      <w:r w:rsidR="00BB6FE0" w:rsidRPr="00E5792C">
        <w:rPr>
          <w:bCs/>
          <w:lang w:val="en-US"/>
        </w:rPr>
        <w:t xml:space="preserve"> and P=</w:t>
      </w:r>
      <w:r w:rsidR="009004B7" w:rsidRPr="00E5792C">
        <w:rPr>
          <w:bCs/>
          <w:lang w:val="en-US"/>
        </w:rPr>
        <w:t>0.</w:t>
      </w:r>
      <w:r w:rsidR="008C780E" w:rsidRPr="00E5792C">
        <w:rPr>
          <w:bCs/>
          <w:lang w:val="en-US"/>
        </w:rPr>
        <w:t>806</w:t>
      </w:r>
      <w:r w:rsidR="00BB6FE0" w:rsidRPr="00E5792C">
        <w:rPr>
          <w:bCs/>
          <w:lang w:val="en-US"/>
        </w:rPr>
        <w:t xml:space="preserve"> for LGE </w:t>
      </w:r>
      <w:r w:rsidR="00133A62" w:rsidRPr="00E5792C">
        <w:rPr>
          <w:bCs/>
          <w:lang w:val="en-US"/>
        </w:rPr>
        <w:t xml:space="preserve">extent </w:t>
      </w:r>
      <w:r w:rsidR="00BB6FE0" w:rsidRPr="00E5792C">
        <w:rPr>
          <w:bCs/>
          <w:lang w:val="en-US"/>
        </w:rPr>
        <w:t>and distribution, respectively).</w:t>
      </w:r>
    </w:p>
    <w:p w14:paraId="1EF2C6D3" w14:textId="1CDE11C8" w:rsidR="00EB77F0" w:rsidRPr="00E5792C" w:rsidRDefault="00AB0609" w:rsidP="00E5792C">
      <w:pPr>
        <w:autoSpaceDE w:val="0"/>
        <w:autoSpaceDN w:val="0"/>
        <w:adjustRightInd w:val="0"/>
        <w:spacing w:line="480" w:lineRule="auto"/>
        <w:jc w:val="both"/>
        <w:rPr>
          <w:bCs/>
          <w:lang w:val="en-US"/>
        </w:rPr>
      </w:pPr>
      <w:r w:rsidRPr="00E5792C">
        <w:rPr>
          <w:bCs/>
          <w:lang w:val="en-US"/>
        </w:rPr>
        <w:t>According to the GRADE syste</w:t>
      </w:r>
      <w:r w:rsidR="00F72CDF" w:rsidRPr="00E5792C">
        <w:rPr>
          <w:bCs/>
          <w:lang w:val="en-US"/>
        </w:rPr>
        <w:t>m</w:t>
      </w:r>
      <w:r w:rsidRPr="00E5792C">
        <w:rPr>
          <w:bCs/>
          <w:lang w:val="en-US"/>
        </w:rPr>
        <w:t>,</w:t>
      </w:r>
      <w:r w:rsidR="00F72CDF" w:rsidRPr="00E5792C">
        <w:rPr>
          <w:bCs/>
          <w:vertAlign w:val="superscript"/>
          <w:lang w:val="en-US"/>
        </w:rPr>
        <w:t>28</w:t>
      </w:r>
      <w:r w:rsidRPr="00E5792C">
        <w:rPr>
          <w:bCs/>
          <w:lang w:val="en-US"/>
        </w:rPr>
        <w:t xml:space="preserve"> the level of certainty for the association between LGE presence </w:t>
      </w:r>
      <w:r w:rsidR="00417BFE" w:rsidRPr="00E5792C">
        <w:rPr>
          <w:bCs/>
          <w:lang w:val="en-US"/>
        </w:rPr>
        <w:t>and location with t</w:t>
      </w:r>
      <w:r w:rsidRPr="00E5792C">
        <w:rPr>
          <w:bCs/>
          <w:lang w:val="en-US"/>
        </w:rPr>
        <w:t xml:space="preserve">he risk of MACE was moderate; </w:t>
      </w:r>
      <w:r w:rsidR="009308EF" w:rsidRPr="00E5792C">
        <w:rPr>
          <w:bCs/>
          <w:lang w:val="en-US"/>
        </w:rPr>
        <w:t xml:space="preserve">a </w:t>
      </w:r>
      <w:r w:rsidR="00417BFE" w:rsidRPr="00E5792C">
        <w:rPr>
          <w:bCs/>
          <w:lang w:val="en-US"/>
        </w:rPr>
        <w:t>low</w:t>
      </w:r>
      <w:r w:rsidRPr="00E5792C">
        <w:rPr>
          <w:bCs/>
          <w:lang w:val="en-US"/>
        </w:rPr>
        <w:t xml:space="preserve"> level of certainty was adjudicated</w:t>
      </w:r>
      <w:r w:rsidR="00417BFE" w:rsidRPr="00E5792C">
        <w:rPr>
          <w:bCs/>
          <w:lang w:val="en-US"/>
        </w:rPr>
        <w:t xml:space="preserve"> </w:t>
      </w:r>
      <w:r w:rsidRPr="00E5792C">
        <w:rPr>
          <w:bCs/>
          <w:lang w:val="en-US"/>
        </w:rPr>
        <w:t xml:space="preserve">for the </w:t>
      </w:r>
      <w:r w:rsidR="002C395A" w:rsidRPr="00E5792C">
        <w:rPr>
          <w:bCs/>
          <w:lang w:val="en-US"/>
        </w:rPr>
        <w:t>association</w:t>
      </w:r>
      <w:r w:rsidRPr="00E5792C">
        <w:rPr>
          <w:bCs/>
          <w:lang w:val="en-US"/>
        </w:rPr>
        <w:t xml:space="preserve"> between LGE extent with the combined endpoint </w:t>
      </w:r>
      <w:r w:rsidR="00643522" w:rsidRPr="00E5792C">
        <w:rPr>
          <w:bCs/>
          <w:lang w:val="en-US"/>
        </w:rPr>
        <w:t>(</w:t>
      </w:r>
      <w:r w:rsidR="00643522" w:rsidRPr="00E5792C">
        <w:rPr>
          <w:b/>
          <w:lang w:val="en-US"/>
        </w:rPr>
        <w:t xml:space="preserve">Supplementary Table </w:t>
      </w:r>
      <w:r w:rsidR="00026E13" w:rsidRPr="00E5792C">
        <w:rPr>
          <w:b/>
          <w:lang w:val="en-US"/>
        </w:rPr>
        <w:t>6S</w:t>
      </w:r>
      <w:r w:rsidR="00643522" w:rsidRPr="00E5792C">
        <w:rPr>
          <w:bCs/>
          <w:lang w:val="en-US"/>
        </w:rPr>
        <w:t>)</w:t>
      </w:r>
      <w:r w:rsidR="006F59C5" w:rsidRPr="00E5792C">
        <w:rPr>
          <w:bCs/>
          <w:lang w:val="en-US"/>
        </w:rPr>
        <w:t>.</w:t>
      </w:r>
    </w:p>
    <w:p w14:paraId="5F735354" w14:textId="77777777" w:rsidR="00713468" w:rsidRPr="00E5792C" w:rsidRDefault="00713468" w:rsidP="00E5792C">
      <w:pPr>
        <w:spacing w:line="480" w:lineRule="auto"/>
        <w:jc w:val="both"/>
        <w:rPr>
          <w:lang w:val="en-US"/>
        </w:rPr>
      </w:pPr>
    </w:p>
    <w:p w14:paraId="4602D3AC" w14:textId="0BE4B152" w:rsidR="009D28EE" w:rsidRPr="00E5792C" w:rsidRDefault="00C16D93" w:rsidP="00E5792C">
      <w:pPr>
        <w:spacing w:line="480" w:lineRule="auto"/>
        <w:jc w:val="both"/>
        <w:rPr>
          <w:rFonts w:ascii="Times" w:hAnsi="Times"/>
          <w:b/>
          <w:lang w:val="en-US"/>
        </w:rPr>
      </w:pPr>
      <w:r w:rsidRPr="00E5792C">
        <w:rPr>
          <w:rFonts w:ascii="Times" w:hAnsi="Times"/>
          <w:b/>
          <w:lang w:val="en-US"/>
        </w:rPr>
        <w:t>DISCUSSION</w:t>
      </w:r>
    </w:p>
    <w:p w14:paraId="1CF957B5" w14:textId="31407FF9" w:rsidR="002A609C" w:rsidRPr="00E5792C" w:rsidRDefault="0079378B" w:rsidP="00E5792C">
      <w:pPr>
        <w:pStyle w:val="NormalWeb"/>
        <w:spacing w:before="0" w:beforeAutospacing="0" w:after="0" w:afterAutospacing="0" w:line="480" w:lineRule="auto"/>
        <w:jc w:val="both"/>
        <w:rPr>
          <w:rFonts w:ascii="Times" w:eastAsiaTheme="minorHAnsi" w:hAnsi="Times"/>
          <w:noProof/>
          <w:lang w:val="en-US" w:eastAsia="en-US"/>
        </w:rPr>
      </w:pPr>
      <w:r w:rsidRPr="00E5792C">
        <w:rPr>
          <w:rFonts w:ascii="Times" w:hAnsi="Times"/>
          <w:lang w:val="en-US"/>
        </w:rPr>
        <w:t>In this meta-analysis, w</w:t>
      </w:r>
      <w:r w:rsidR="00586DFE" w:rsidRPr="00E5792C">
        <w:rPr>
          <w:rFonts w:ascii="Times" w:hAnsi="Times"/>
          <w:lang w:val="en-US"/>
        </w:rPr>
        <w:t>e</w:t>
      </w:r>
      <w:r w:rsidR="00D41462" w:rsidRPr="00E5792C">
        <w:rPr>
          <w:rFonts w:ascii="Times" w:hAnsi="Times"/>
          <w:lang w:val="en-US"/>
        </w:rPr>
        <w:t xml:space="preserve"> provide for the first time</w:t>
      </w:r>
      <w:r w:rsidR="008410C2" w:rsidRPr="00E5792C">
        <w:rPr>
          <w:rFonts w:ascii="Times" w:hAnsi="Times"/>
          <w:lang w:val="en-US"/>
        </w:rPr>
        <w:t>,</w:t>
      </w:r>
      <w:r w:rsidR="00586DFE" w:rsidRPr="00E5792C">
        <w:rPr>
          <w:rFonts w:ascii="Times" w:hAnsi="Times"/>
          <w:lang w:val="en-US"/>
        </w:rPr>
        <w:t xml:space="preserve"> pooled </w:t>
      </w:r>
      <w:r w:rsidR="0024031E" w:rsidRPr="00E5792C">
        <w:rPr>
          <w:rFonts w:ascii="Times" w:hAnsi="Times"/>
          <w:lang w:val="en-US"/>
        </w:rPr>
        <w:t xml:space="preserve">adjusted </w:t>
      </w:r>
      <w:r w:rsidR="00586DFE" w:rsidRPr="00E5792C">
        <w:rPr>
          <w:rFonts w:ascii="Times" w:hAnsi="Times"/>
          <w:lang w:val="en-US"/>
        </w:rPr>
        <w:t>CMR</w:t>
      </w:r>
      <w:r w:rsidR="00066DF5" w:rsidRPr="00E5792C">
        <w:rPr>
          <w:rFonts w:ascii="Times" w:hAnsi="Times"/>
          <w:lang w:val="en-US"/>
        </w:rPr>
        <w:t>-derived</w:t>
      </w:r>
      <w:r w:rsidR="00586DFE" w:rsidRPr="00E5792C">
        <w:rPr>
          <w:rFonts w:ascii="Times" w:hAnsi="Times"/>
          <w:lang w:val="en-US"/>
        </w:rPr>
        <w:t xml:space="preserve"> </w:t>
      </w:r>
      <w:r w:rsidR="00D41462" w:rsidRPr="00E5792C">
        <w:rPr>
          <w:rFonts w:ascii="Times" w:hAnsi="Times"/>
          <w:lang w:val="en-US"/>
        </w:rPr>
        <w:t xml:space="preserve">estimates from 2,328 patients with </w:t>
      </w:r>
      <w:r w:rsidR="00907229" w:rsidRPr="00E5792C">
        <w:rPr>
          <w:rFonts w:ascii="Times" w:hAnsi="Times"/>
          <w:lang w:val="en-US"/>
        </w:rPr>
        <w:t>AM</w:t>
      </w:r>
      <w:r w:rsidR="00D41462" w:rsidRPr="00E5792C">
        <w:rPr>
          <w:rFonts w:ascii="Times" w:hAnsi="Times"/>
          <w:lang w:val="en-US"/>
        </w:rPr>
        <w:t xml:space="preserve"> showing </w:t>
      </w:r>
      <w:r w:rsidR="00CE6EAE" w:rsidRPr="00E5792C">
        <w:rPr>
          <w:rFonts w:ascii="Times" w:hAnsi="Times"/>
          <w:lang w:val="en-US"/>
        </w:rPr>
        <w:t>that LGE presence</w:t>
      </w:r>
      <w:r w:rsidR="00B20D36" w:rsidRPr="00E5792C">
        <w:rPr>
          <w:rFonts w:ascii="Times" w:hAnsi="Times"/>
          <w:lang w:val="en-US"/>
        </w:rPr>
        <w:t xml:space="preserve"> </w:t>
      </w:r>
      <w:r w:rsidR="0055134B" w:rsidRPr="00E5792C">
        <w:rPr>
          <w:rFonts w:ascii="Times" w:hAnsi="Times"/>
          <w:lang w:val="en-US"/>
        </w:rPr>
        <w:t xml:space="preserve">and anteroseptal location </w:t>
      </w:r>
      <w:r w:rsidR="004164D1" w:rsidRPr="00E5792C">
        <w:rPr>
          <w:rFonts w:ascii="Times" w:hAnsi="Times"/>
          <w:lang w:val="en-US"/>
        </w:rPr>
        <w:t xml:space="preserve">are </w:t>
      </w:r>
      <w:r w:rsidR="0093355F" w:rsidRPr="00E5792C">
        <w:rPr>
          <w:rFonts w:ascii="Times" w:hAnsi="Times"/>
          <w:lang w:val="en-US"/>
        </w:rPr>
        <w:t xml:space="preserve">associated with </w:t>
      </w:r>
      <w:r w:rsidR="0055134B" w:rsidRPr="00E5792C">
        <w:rPr>
          <w:rFonts w:ascii="Times" w:hAnsi="Times"/>
          <w:lang w:val="en-US"/>
        </w:rPr>
        <w:t xml:space="preserve">a significantly increased risk </w:t>
      </w:r>
      <w:r w:rsidR="00D41462" w:rsidRPr="00E5792C">
        <w:rPr>
          <w:rFonts w:ascii="Times" w:hAnsi="Times"/>
          <w:lang w:val="en-US"/>
        </w:rPr>
        <w:t xml:space="preserve">of </w:t>
      </w:r>
      <w:r w:rsidR="0055134B" w:rsidRPr="00E5792C">
        <w:rPr>
          <w:rFonts w:ascii="Times" w:hAnsi="Times"/>
          <w:lang w:val="en-US"/>
        </w:rPr>
        <w:t xml:space="preserve">an </w:t>
      </w:r>
      <w:r w:rsidR="00D41462" w:rsidRPr="00E5792C">
        <w:rPr>
          <w:rFonts w:ascii="Times" w:hAnsi="Times"/>
          <w:lang w:val="en-US"/>
        </w:rPr>
        <w:t xml:space="preserve">adverse </w:t>
      </w:r>
      <w:r w:rsidR="0093355F" w:rsidRPr="00E5792C">
        <w:rPr>
          <w:rFonts w:ascii="Times" w:hAnsi="Times"/>
          <w:lang w:val="en-US"/>
        </w:rPr>
        <w:t>clinical outcome</w:t>
      </w:r>
      <w:r w:rsidR="00D41462" w:rsidRPr="00E5792C">
        <w:rPr>
          <w:rFonts w:ascii="Times" w:hAnsi="Times"/>
          <w:lang w:val="en-US"/>
        </w:rPr>
        <w:t>.</w:t>
      </w:r>
      <w:r w:rsidR="001815E8" w:rsidRPr="00E5792C">
        <w:rPr>
          <w:rFonts w:ascii="Times" w:hAnsi="Times"/>
          <w:lang w:val="en-US"/>
        </w:rPr>
        <w:t xml:space="preserve"> </w:t>
      </w:r>
      <w:r w:rsidR="00FA7A7C" w:rsidRPr="00E5792C">
        <w:rPr>
          <w:rFonts w:ascii="Times" w:hAnsi="Times"/>
          <w:lang w:val="en-US"/>
        </w:rPr>
        <w:t xml:space="preserve">Overall, </w:t>
      </w:r>
      <w:r w:rsidR="00066DF5" w:rsidRPr="00E5792C">
        <w:rPr>
          <w:rFonts w:ascii="Times" w:hAnsi="Times"/>
          <w:lang w:val="en-US"/>
        </w:rPr>
        <w:t>AM patients with LGE</w:t>
      </w:r>
      <w:r w:rsidR="00397075" w:rsidRPr="00E5792C">
        <w:rPr>
          <w:rFonts w:ascii="Times" w:hAnsi="Times"/>
          <w:lang w:val="en-US"/>
        </w:rPr>
        <w:t xml:space="preserve"> </w:t>
      </w:r>
      <w:r w:rsidR="00066DF5" w:rsidRPr="00E5792C">
        <w:rPr>
          <w:rFonts w:ascii="Times" w:hAnsi="Times"/>
          <w:lang w:val="en-US"/>
        </w:rPr>
        <w:t>at the CMR conducted early after clinical presentation (within 2 weeks from symptom</w:t>
      </w:r>
      <w:r w:rsidR="00FF58D9" w:rsidRPr="00E5792C">
        <w:rPr>
          <w:rFonts w:ascii="Times" w:hAnsi="Times"/>
          <w:lang w:val="en-US"/>
        </w:rPr>
        <w:t xml:space="preserve"> </w:t>
      </w:r>
      <w:r w:rsidR="00066DF5" w:rsidRPr="00E5792C">
        <w:rPr>
          <w:rFonts w:ascii="Times" w:hAnsi="Times"/>
          <w:lang w:val="en-US"/>
        </w:rPr>
        <w:t xml:space="preserve">onset) had a </w:t>
      </w:r>
      <w:r w:rsidR="00397075" w:rsidRPr="00E5792C">
        <w:rPr>
          <w:rFonts w:ascii="Times" w:hAnsi="Times"/>
          <w:lang w:val="en-US"/>
        </w:rPr>
        <w:t>3</w:t>
      </w:r>
      <w:r w:rsidR="00066DF5" w:rsidRPr="00E5792C">
        <w:rPr>
          <w:rFonts w:ascii="Times" w:hAnsi="Times"/>
          <w:lang w:val="en-US"/>
        </w:rPr>
        <w:t>-fold increased risk of dying or developing MACE</w:t>
      </w:r>
      <w:r w:rsidR="00683A7D" w:rsidRPr="00E5792C">
        <w:rPr>
          <w:rFonts w:ascii="Times" w:hAnsi="Times"/>
          <w:lang w:val="en-US"/>
        </w:rPr>
        <w:t xml:space="preserve"> during a mean 2-year</w:t>
      </w:r>
      <w:r w:rsidR="00FF58D9" w:rsidRPr="00E5792C">
        <w:rPr>
          <w:rFonts w:ascii="Times" w:hAnsi="Times"/>
          <w:lang w:val="en-US"/>
        </w:rPr>
        <w:t>s follow-up</w:t>
      </w:r>
      <w:r w:rsidR="00066DF5" w:rsidRPr="00E5792C">
        <w:rPr>
          <w:rFonts w:ascii="Times" w:hAnsi="Times"/>
          <w:lang w:val="en-US"/>
        </w:rPr>
        <w:t xml:space="preserve"> as compared to </w:t>
      </w:r>
      <w:r w:rsidR="001815E8" w:rsidRPr="00E5792C">
        <w:rPr>
          <w:rFonts w:ascii="Times" w:hAnsi="Times"/>
          <w:lang w:val="en-US"/>
        </w:rPr>
        <w:t>the</w:t>
      </w:r>
      <w:r w:rsidR="006C0149" w:rsidRPr="00E5792C">
        <w:rPr>
          <w:rFonts w:ascii="Times" w:hAnsi="Times"/>
          <w:lang w:val="en-US"/>
        </w:rPr>
        <w:t>ir</w:t>
      </w:r>
      <w:r w:rsidR="001815E8" w:rsidRPr="00E5792C">
        <w:rPr>
          <w:rFonts w:ascii="Times" w:hAnsi="Times"/>
          <w:lang w:val="en-US"/>
        </w:rPr>
        <w:t xml:space="preserve"> counterpart</w:t>
      </w:r>
      <w:r w:rsidR="006C0149" w:rsidRPr="00E5792C">
        <w:rPr>
          <w:rFonts w:ascii="Times" w:hAnsi="Times"/>
          <w:lang w:val="en-US"/>
        </w:rPr>
        <w:t>s</w:t>
      </w:r>
      <w:r w:rsidR="00066DF5" w:rsidRPr="00E5792C">
        <w:rPr>
          <w:rFonts w:ascii="Times" w:hAnsi="Times"/>
          <w:lang w:val="en-US"/>
        </w:rPr>
        <w:t xml:space="preserve"> without LGE</w:t>
      </w:r>
      <w:r w:rsidR="00066DF5" w:rsidRPr="00E5792C">
        <w:rPr>
          <w:rFonts w:ascii="Times" w:eastAsiaTheme="minorHAnsi" w:hAnsi="Times"/>
          <w:noProof/>
          <w:lang w:val="en-US" w:eastAsia="en-US"/>
        </w:rPr>
        <w:t xml:space="preserve">. </w:t>
      </w:r>
      <w:r w:rsidR="0089431C" w:rsidRPr="00E5792C">
        <w:rPr>
          <w:rFonts w:ascii="Times" w:eastAsiaTheme="minorHAnsi" w:hAnsi="Times"/>
          <w:noProof/>
          <w:lang w:val="en-US" w:eastAsia="en-US"/>
        </w:rPr>
        <w:t xml:space="preserve">Patients with AM and high </w:t>
      </w:r>
      <w:r w:rsidR="00BF7820" w:rsidRPr="00E5792C">
        <w:rPr>
          <w:rFonts w:ascii="Times" w:eastAsiaTheme="minorHAnsi" w:hAnsi="Times"/>
          <w:noProof/>
          <w:lang w:val="en-US" w:eastAsia="en-US"/>
        </w:rPr>
        <w:t xml:space="preserve">LGE </w:t>
      </w:r>
      <w:r w:rsidR="00907229" w:rsidRPr="00E5792C">
        <w:rPr>
          <w:rFonts w:ascii="Times" w:eastAsiaTheme="minorHAnsi" w:hAnsi="Times"/>
          <w:noProof/>
          <w:lang w:val="en-US" w:eastAsia="en-US"/>
        </w:rPr>
        <w:t xml:space="preserve">burden </w:t>
      </w:r>
      <w:r w:rsidR="00A83B85" w:rsidRPr="00E5792C">
        <w:rPr>
          <w:rFonts w:ascii="Times" w:eastAsiaTheme="minorHAnsi" w:hAnsi="Times"/>
          <w:noProof/>
          <w:lang w:val="en-US" w:eastAsia="en-US"/>
        </w:rPr>
        <w:t xml:space="preserve">trended towards having </w:t>
      </w:r>
      <w:r w:rsidR="001A7307" w:rsidRPr="00E5792C">
        <w:rPr>
          <w:rFonts w:ascii="Times" w:eastAsiaTheme="minorHAnsi" w:hAnsi="Times"/>
          <w:noProof/>
          <w:lang w:val="en-US" w:eastAsia="en-US"/>
        </w:rPr>
        <w:t xml:space="preserve">a higher likelihood </w:t>
      </w:r>
      <w:r w:rsidR="00BB46EE" w:rsidRPr="00E5792C">
        <w:rPr>
          <w:rFonts w:ascii="Times" w:eastAsiaTheme="minorHAnsi" w:hAnsi="Times"/>
          <w:noProof/>
          <w:lang w:val="en-US" w:eastAsia="en-US"/>
        </w:rPr>
        <w:t>of</w:t>
      </w:r>
      <w:r w:rsidR="001A7307" w:rsidRPr="00E5792C">
        <w:rPr>
          <w:rFonts w:ascii="Times" w:eastAsiaTheme="minorHAnsi" w:hAnsi="Times"/>
          <w:noProof/>
          <w:lang w:val="en-US" w:eastAsia="en-US"/>
        </w:rPr>
        <w:t xml:space="preserve"> </w:t>
      </w:r>
      <w:r w:rsidR="004F590A" w:rsidRPr="00E5792C">
        <w:rPr>
          <w:rFonts w:ascii="Times" w:eastAsiaTheme="minorHAnsi" w:hAnsi="Times"/>
          <w:noProof/>
          <w:lang w:val="en-US" w:eastAsia="en-US"/>
        </w:rPr>
        <w:t>experienc</w:t>
      </w:r>
      <w:r w:rsidR="00BB46EE" w:rsidRPr="00E5792C">
        <w:rPr>
          <w:rFonts w:ascii="Times" w:eastAsiaTheme="minorHAnsi" w:hAnsi="Times"/>
          <w:noProof/>
          <w:lang w:val="en-US" w:eastAsia="en-US"/>
        </w:rPr>
        <w:t>ing</w:t>
      </w:r>
      <w:r w:rsidR="004F590A" w:rsidRPr="00E5792C">
        <w:rPr>
          <w:rFonts w:ascii="Times" w:eastAsiaTheme="minorHAnsi" w:hAnsi="Times"/>
          <w:noProof/>
          <w:lang w:val="en-US" w:eastAsia="en-US"/>
        </w:rPr>
        <w:t xml:space="preserve"> the combined endpoint </w:t>
      </w:r>
      <w:r w:rsidR="00BB46EE" w:rsidRPr="00E5792C">
        <w:rPr>
          <w:rFonts w:ascii="Times" w:eastAsiaTheme="minorHAnsi" w:hAnsi="Times"/>
          <w:noProof/>
          <w:lang w:val="en-US" w:eastAsia="en-US"/>
        </w:rPr>
        <w:t>as compared</w:t>
      </w:r>
      <w:r w:rsidR="001A7307" w:rsidRPr="00E5792C">
        <w:rPr>
          <w:rFonts w:ascii="Times" w:eastAsiaTheme="minorHAnsi" w:hAnsi="Times"/>
          <w:noProof/>
          <w:lang w:val="en-US" w:eastAsia="en-US"/>
        </w:rPr>
        <w:t xml:space="preserve"> </w:t>
      </w:r>
      <w:r w:rsidR="00280722" w:rsidRPr="00E5792C">
        <w:rPr>
          <w:rFonts w:ascii="Times" w:eastAsiaTheme="minorHAnsi" w:hAnsi="Times"/>
          <w:noProof/>
          <w:lang w:val="en-US" w:eastAsia="en-US"/>
        </w:rPr>
        <w:t xml:space="preserve">to </w:t>
      </w:r>
      <w:r w:rsidR="001A7307" w:rsidRPr="00E5792C">
        <w:rPr>
          <w:rFonts w:ascii="Times" w:eastAsiaTheme="minorHAnsi" w:hAnsi="Times"/>
          <w:noProof/>
          <w:lang w:val="en-US" w:eastAsia="en-US"/>
        </w:rPr>
        <w:t xml:space="preserve">those with </w:t>
      </w:r>
      <w:r w:rsidR="00280722" w:rsidRPr="00E5792C">
        <w:rPr>
          <w:rFonts w:ascii="Times" w:eastAsiaTheme="minorHAnsi" w:hAnsi="Times"/>
          <w:noProof/>
          <w:lang w:val="en-US" w:eastAsia="en-US"/>
        </w:rPr>
        <w:t xml:space="preserve">no or </w:t>
      </w:r>
      <w:r w:rsidR="001A7307" w:rsidRPr="00E5792C">
        <w:rPr>
          <w:rFonts w:ascii="Times" w:eastAsiaTheme="minorHAnsi" w:hAnsi="Times"/>
          <w:noProof/>
          <w:lang w:val="en-US" w:eastAsia="en-US"/>
        </w:rPr>
        <w:t>low LGE burden.</w:t>
      </w:r>
      <w:r w:rsidR="004B139F" w:rsidRPr="00E5792C">
        <w:rPr>
          <w:rFonts w:ascii="Times" w:eastAsiaTheme="minorHAnsi" w:hAnsi="Times"/>
          <w:noProof/>
          <w:lang w:val="en-US" w:eastAsia="en-US"/>
        </w:rPr>
        <w:t xml:space="preserve"> </w:t>
      </w:r>
      <w:r w:rsidR="001A7307" w:rsidRPr="00E5792C">
        <w:rPr>
          <w:rFonts w:ascii="Times" w:eastAsiaTheme="minorHAnsi" w:hAnsi="Times"/>
          <w:noProof/>
          <w:lang w:val="en-US" w:eastAsia="en-US"/>
        </w:rPr>
        <w:t>Overall, t</w:t>
      </w:r>
      <w:r w:rsidR="004B139F" w:rsidRPr="00E5792C">
        <w:rPr>
          <w:rFonts w:ascii="Times" w:eastAsiaTheme="minorHAnsi" w:hAnsi="Times"/>
          <w:noProof/>
          <w:lang w:val="en-US" w:eastAsia="en-US"/>
        </w:rPr>
        <w:t>hese results were shown to be consistent in a number of sensitivi</w:t>
      </w:r>
      <w:r w:rsidR="00C53680" w:rsidRPr="00E5792C">
        <w:rPr>
          <w:rFonts w:ascii="Times" w:eastAsiaTheme="minorHAnsi" w:hAnsi="Times"/>
          <w:noProof/>
          <w:lang w:val="en-US" w:eastAsia="en-US"/>
        </w:rPr>
        <w:t>t</w:t>
      </w:r>
      <w:r w:rsidR="004B139F" w:rsidRPr="00E5792C">
        <w:rPr>
          <w:rFonts w:ascii="Times" w:eastAsiaTheme="minorHAnsi" w:hAnsi="Times"/>
          <w:noProof/>
          <w:lang w:val="en-US" w:eastAsia="en-US"/>
        </w:rPr>
        <w:t xml:space="preserve">y analyses and were not affected by baseline patient characteristics </w:t>
      </w:r>
      <w:r w:rsidR="00907229" w:rsidRPr="00E5792C">
        <w:rPr>
          <w:rFonts w:ascii="Times" w:eastAsiaTheme="minorHAnsi" w:hAnsi="Times"/>
          <w:noProof/>
          <w:lang w:val="en-US" w:eastAsia="en-US"/>
        </w:rPr>
        <w:t>including</w:t>
      </w:r>
      <w:r w:rsidR="004B139F" w:rsidRPr="00E5792C">
        <w:rPr>
          <w:rFonts w:ascii="Times" w:eastAsiaTheme="minorHAnsi" w:hAnsi="Times"/>
          <w:noProof/>
          <w:lang w:val="en-US" w:eastAsia="en-US"/>
        </w:rPr>
        <w:t xml:space="preserve"> age, cardiovascular risk factors, troponin</w:t>
      </w:r>
      <w:r w:rsidR="00907229" w:rsidRPr="00E5792C">
        <w:rPr>
          <w:rFonts w:ascii="Times" w:eastAsiaTheme="minorHAnsi" w:hAnsi="Times"/>
          <w:noProof/>
          <w:lang w:val="en-US" w:eastAsia="en-US"/>
        </w:rPr>
        <w:t xml:space="preserve"> level</w:t>
      </w:r>
      <w:r w:rsidR="00C53680" w:rsidRPr="00E5792C">
        <w:rPr>
          <w:rFonts w:ascii="Times" w:eastAsiaTheme="minorHAnsi" w:hAnsi="Times"/>
          <w:noProof/>
          <w:lang w:val="en-US" w:eastAsia="en-US"/>
        </w:rPr>
        <w:t>,</w:t>
      </w:r>
      <w:r w:rsidR="007B24A9" w:rsidRPr="00E5792C">
        <w:rPr>
          <w:rFonts w:ascii="Times" w:eastAsiaTheme="minorHAnsi" w:hAnsi="Times"/>
          <w:noProof/>
          <w:lang w:val="en-US" w:eastAsia="en-US"/>
        </w:rPr>
        <w:t xml:space="preserve"> and</w:t>
      </w:r>
      <w:r w:rsidR="004B139F" w:rsidRPr="00E5792C">
        <w:rPr>
          <w:rFonts w:ascii="Times" w:eastAsiaTheme="minorHAnsi" w:hAnsi="Times"/>
          <w:noProof/>
          <w:lang w:val="en-US" w:eastAsia="en-US"/>
        </w:rPr>
        <w:t xml:space="preserve"> LV </w:t>
      </w:r>
      <w:r w:rsidR="008410C2" w:rsidRPr="00E5792C">
        <w:rPr>
          <w:rFonts w:ascii="Times" w:eastAsiaTheme="minorHAnsi" w:hAnsi="Times"/>
          <w:noProof/>
          <w:lang w:val="en-US" w:eastAsia="en-US"/>
        </w:rPr>
        <w:t>function</w:t>
      </w:r>
      <w:r w:rsidR="007B24A9" w:rsidRPr="00E5792C">
        <w:rPr>
          <w:rFonts w:ascii="Times" w:eastAsiaTheme="minorHAnsi" w:hAnsi="Times"/>
          <w:noProof/>
          <w:lang w:val="en-US" w:eastAsia="en-US"/>
        </w:rPr>
        <w:t>.</w:t>
      </w:r>
    </w:p>
    <w:p w14:paraId="3EC27C9F" w14:textId="72D7C0C9" w:rsidR="001840B4" w:rsidRPr="00E5792C" w:rsidRDefault="001840B4" w:rsidP="00E5792C">
      <w:pPr>
        <w:pStyle w:val="NormalWeb"/>
        <w:spacing w:before="0" w:beforeAutospacing="0" w:after="0" w:afterAutospacing="0" w:line="480" w:lineRule="auto"/>
        <w:jc w:val="both"/>
        <w:rPr>
          <w:rFonts w:ascii="Times" w:eastAsiaTheme="minorHAnsi" w:hAnsi="Times"/>
          <w:noProof/>
          <w:lang w:val="en-US" w:eastAsia="en-US"/>
        </w:rPr>
      </w:pPr>
    </w:p>
    <w:p w14:paraId="5A0BDC26" w14:textId="77777777" w:rsidR="001840B4" w:rsidRPr="00E5792C" w:rsidRDefault="001840B4" w:rsidP="00E5792C">
      <w:pPr>
        <w:pStyle w:val="NormalWeb"/>
        <w:spacing w:before="0" w:beforeAutospacing="0" w:after="0" w:afterAutospacing="0" w:line="480" w:lineRule="auto"/>
        <w:jc w:val="both"/>
        <w:rPr>
          <w:rFonts w:ascii="Times" w:eastAsiaTheme="minorHAnsi" w:hAnsi="Times"/>
          <w:noProof/>
          <w:lang w:val="en-US" w:eastAsia="en-US"/>
        </w:rPr>
      </w:pPr>
    </w:p>
    <w:p w14:paraId="392D0D02" w14:textId="5FC73C5D" w:rsidR="001B6D1E" w:rsidRPr="00E5792C" w:rsidRDefault="001B6D1E" w:rsidP="00E5792C">
      <w:pPr>
        <w:pStyle w:val="NormalWeb"/>
        <w:spacing w:before="0" w:beforeAutospacing="0" w:after="0" w:afterAutospacing="0" w:line="480" w:lineRule="auto"/>
        <w:jc w:val="both"/>
        <w:rPr>
          <w:rFonts w:ascii="Times" w:hAnsi="Times"/>
          <w:b/>
          <w:lang w:val="en-US"/>
        </w:rPr>
      </w:pPr>
      <w:r w:rsidRPr="00E5792C">
        <w:rPr>
          <w:rFonts w:ascii="Times" w:hAnsi="Times"/>
          <w:b/>
          <w:lang w:val="en-US"/>
        </w:rPr>
        <w:lastRenderedPageBreak/>
        <w:t xml:space="preserve">LGE </w:t>
      </w:r>
      <w:r w:rsidR="00F60764" w:rsidRPr="00E5792C">
        <w:rPr>
          <w:rFonts w:ascii="Times" w:hAnsi="Times"/>
          <w:b/>
          <w:lang w:val="en-US"/>
        </w:rPr>
        <w:t xml:space="preserve">presence </w:t>
      </w:r>
      <w:r w:rsidR="00C76B38" w:rsidRPr="00E5792C">
        <w:rPr>
          <w:rFonts w:ascii="Times" w:hAnsi="Times"/>
          <w:b/>
          <w:lang w:val="en-US"/>
        </w:rPr>
        <w:t>and</w:t>
      </w:r>
      <w:r w:rsidRPr="00E5792C">
        <w:rPr>
          <w:rFonts w:ascii="Times" w:hAnsi="Times"/>
          <w:b/>
          <w:lang w:val="en-US"/>
        </w:rPr>
        <w:t xml:space="preserve"> outcome</w:t>
      </w:r>
      <w:r w:rsidR="00C76B38" w:rsidRPr="00E5792C">
        <w:rPr>
          <w:rFonts w:ascii="Times" w:hAnsi="Times"/>
          <w:b/>
          <w:lang w:val="en-US"/>
        </w:rPr>
        <w:t>s</w:t>
      </w:r>
    </w:p>
    <w:p w14:paraId="02447DEA" w14:textId="4DE2DC76" w:rsidR="008E7EF2" w:rsidRPr="00E5792C" w:rsidRDefault="008138DC" w:rsidP="00E5792C">
      <w:pPr>
        <w:pStyle w:val="NormalWeb"/>
        <w:spacing w:before="0" w:beforeAutospacing="0" w:after="0" w:afterAutospacing="0" w:line="480" w:lineRule="auto"/>
        <w:jc w:val="both"/>
        <w:rPr>
          <w:rFonts w:ascii="Times" w:hAnsi="Times"/>
          <w:lang w:val="en-US"/>
        </w:rPr>
      </w:pPr>
      <w:r w:rsidRPr="00E5792C">
        <w:rPr>
          <w:rFonts w:ascii="Times" w:hAnsi="Times"/>
          <w:lang w:val="en-US"/>
        </w:rPr>
        <w:t>The</w:t>
      </w:r>
      <w:r w:rsidR="00296FEA" w:rsidRPr="00E5792C">
        <w:rPr>
          <w:rFonts w:ascii="Times" w:hAnsi="Times"/>
          <w:lang w:val="en-US"/>
        </w:rPr>
        <w:t xml:space="preserve"> clinical trajectory of patients with AM and LGE at </w:t>
      </w:r>
      <w:r w:rsidR="00907229" w:rsidRPr="00E5792C">
        <w:rPr>
          <w:rFonts w:ascii="Times" w:hAnsi="Times"/>
          <w:lang w:val="en-US"/>
        </w:rPr>
        <w:t xml:space="preserve">the </w:t>
      </w:r>
      <w:r w:rsidR="00296FEA" w:rsidRPr="00E5792C">
        <w:rPr>
          <w:rFonts w:ascii="Times" w:hAnsi="Times"/>
          <w:lang w:val="en-US"/>
        </w:rPr>
        <w:t>baseline</w:t>
      </w:r>
      <w:r w:rsidR="00907229" w:rsidRPr="00E5792C">
        <w:rPr>
          <w:rFonts w:ascii="Times" w:hAnsi="Times"/>
          <w:lang w:val="en-US"/>
        </w:rPr>
        <w:t xml:space="preserve"> CMR</w:t>
      </w:r>
      <w:r w:rsidR="00296FEA" w:rsidRPr="00E5792C">
        <w:rPr>
          <w:rFonts w:ascii="Times" w:hAnsi="Times"/>
          <w:lang w:val="en-US"/>
        </w:rPr>
        <w:t xml:space="preserve"> was more often complicated by </w:t>
      </w:r>
      <w:r w:rsidR="00602613" w:rsidRPr="00E5792C">
        <w:rPr>
          <w:rFonts w:ascii="Times" w:hAnsi="Times"/>
          <w:lang w:val="en-US"/>
        </w:rPr>
        <w:t xml:space="preserve">the </w:t>
      </w:r>
      <w:r w:rsidR="00833487" w:rsidRPr="00E5792C">
        <w:rPr>
          <w:rFonts w:ascii="Times" w:hAnsi="Times"/>
          <w:lang w:val="en-US"/>
        </w:rPr>
        <w:t>c</w:t>
      </w:r>
      <w:r w:rsidR="00F06F2C" w:rsidRPr="00E5792C">
        <w:rPr>
          <w:rFonts w:ascii="Times" w:hAnsi="Times"/>
          <w:lang w:val="en-US"/>
        </w:rPr>
        <w:t>ombined endpoint</w:t>
      </w:r>
      <w:r w:rsidR="00296FEA" w:rsidRPr="00E5792C">
        <w:rPr>
          <w:rFonts w:ascii="Times" w:hAnsi="Times"/>
          <w:lang w:val="en-US"/>
        </w:rPr>
        <w:t xml:space="preserve"> </w:t>
      </w:r>
      <w:r w:rsidRPr="00E5792C">
        <w:rPr>
          <w:rFonts w:ascii="Times" w:hAnsi="Times"/>
          <w:lang w:val="en-US"/>
        </w:rPr>
        <w:t>when compared with patients with a</w:t>
      </w:r>
      <w:r w:rsidR="00A83B85" w:rsidRPr="00E5792C">
        <w:rPr>
          <w:rFonts w:ascii="Times" w:hAnsi="Times"/>
          <w:lang w:val="en-US"/>
        </w:rPr>
        <w:t xml:space="preserve"> </w:t>
      </w:r>
      <w:r w:rsidR="00296FEA" w:rsidRPr="00E5792C">
        <w:rPr>
          <w:rFonts w:ascii="Times" w:hAnsi="Times"/>
          <w:lang w:val="en-US"/>
        </w:rPr>
        <w:t>normal CMR scan. This</w:t>
      </w:r>
      <w:r w:rsidR="00F60764" w:rsidRPr="00E5792C">
        <w:rPr>
          <w:rFonts w:ascii="Times" w:hAnsi="Times"/>
          <w:lang w:val="en-US"/>
        </w:rPr>
        <w:t xml:space="preserve"> finding</w:t>
      </w:r>
      <w:r w:rsidR="00296FEA" w:rsidRPr="00E5792C">
        <w:rPr>
          <w:rFonts w:ascii="Times" w:hAnsi="Times"/>
          <w:lang w:val="en-US"/>
        </w:rPr>
        <w:t xml:space="preserve"> is</w:t>
      </w:r>
      <w:r w:rsidR="00F60764" w:rsidRPr="00E5792C">
        <w:rPr>
          <w:rFonts w:ascii="Times" w:hAnsi="Times"/>
          <w:lang w:val="en-US"/>
        </w:rPr>
        <w:t xml:space="preserve"> in accord with </w:t>
      </w:r>
      <w:r w:rsidR="008E7EF2" w:rsidRPr="00E5792C">
        <w:rPr>
          <w:rFonts w:ascii="Times" w:hAnsi="Times"/>
          <w:lang w:val="en-US"/>
        </w:rPr>
        <w:t>four</w:t>
      </w:r>
      <w:r w:rsidR="00772D56" w:rsidRPr="00E5792C">
        <w:rPr>
          <w:rFonts w:ascii="Times" w:hAnsi="Times"/>
          <w:lang w:val="en-US"/>
        </w:rPr>
        <w:t xml:space="preserve"> </w:t>
      </w:r>
      <w:r w:rsidR="00F60764" w:rsidRPr="00E5792C">
        <w:rPr>
          <w:rFonts w:ascii="Times" w:hAnsi="Times"/>
          <w:lang w:val="en-US"/>
        </w:rPr>
        <w:t xml:space="preserve">out of </w:t>
      </w:r>
      <w:r w:rsidR="00A70E79" w:rsidRPr="00E5792C">
        <w:rPr>
          <w:rFonts w:ascii="Times" w:hAnsi="Times"/>
          <w:lang w:val="en-US"/>
        </w:rPr>
        <w:t>six</w:t>
      </w:r>
      <w:r w:rsidR="00772D56" w:rsidRPr="00E5792C">
        <w:rPr>
          <w:rFonts w:ascii="Times" w:hAnsi="Times"/>
          <w:lang w:val="en-US"/>
        </w:rPr>
        <w:t xml:space="preserve"> </w:t>
      </w:r>
      <w:r w:rsidR="00602613" w:rsidRPr="00E5792C">
        <w:rPr>
          <w:rFonts w:ascii="Times" w:hAnsi="Times"/>
          <w:lang w:val="en-US"/>
        </w:rPr>
        <w:t>original</w:t>
      </w:r>
      <w:r w:rsidR="003918A8" w:rsidRPr="00E5792C">
        <w:rPr>
          <w:rFonts w:ascii="Times" w:hAnsi="Times"/>
          <w:lang w:val="en-US"/>
        </w:rPr>
        <w:t xml:space="preserve"> </w:t>
      </w:r>
      <w:r w:rsidR="00F60764" w:rsidRPr="00E5792C">
        <w:rPr>
          <w:rFonts w:ascii="Times" w:hAnsi="Times"/>
          <w:lang w:val="en-US"/>
        </w:rPr>
        <w:t xml:space="preserve">studies. </w:t>
      </w:r>
      <w:r w:rsidR="00296FEA" w:rsidRPr="00E5792C">
        <w:rPr>
          <w:rFonts w:ascii="Times" w:hAnsi="Times"/>
          <w:lang w:val="en-US"/>
        </w:rPr>
        <w:t>Of note, o</w:t>
      </w:r>
      <w:r w:rsidR="006C3D6A" w:rsidRPr="00E5792C">
        <w:rPr>
          <w:rFonts w:ascii="Times" w:hAnsi="Times"/>
          <w:lang w:val="en-US"/>
        </w:rPr>
        <w:t>ne study</w:t>
      </w:r>
      <w:r w:rsidR="00D55499" w:rsidRPr="00E5792C">
        <w:rPr>
          <w:rFonts w:ascii="Times" w:hAnsi="Times"/>
          <w:vertAlign w:val="superscript"/>
          <w:lang w:val="en-US"/>
        </w:rPr>
        <w:t>20</w:t>
      </w:r>
      <w:r w:rsidR="00296FEA" w:rsidRPr="00E5792C">
        <w:rPr>
          <w:rFonts w:ascii="Times" w:hAnsi="Times"/>
          <w:lang w:val="en-US"/>
        </w:rPr>
        <w:t xml:space="preserve"> with discrepant results</w:t>
      </w:r>
      <w:r w:rsidR="006C3D6A" w:rsidRPr="00E5792C">
        <w:rPr>
          <w:rFonts w:ascii="Times" w:hAnsi="Times"/>
          <w:lang w:val="en-US"/>
        </w:rPr>
        <w:t xml:space="preserve"> </w:t>
      </w:r>
      <w:r w:rsidR="00296FEA" w:rsidRPr="00E5792C">
        <w:rPr>
          <w:rFonts w:ascii="Times" w:hAnsi="Times"/>
          <w:lang w:val="en-US"/>
        </w:rPr>
        <w:t>was adjudicated</w:t>
      </w:r>
      <w:r w:rsidR="006C3D6A" w:rsidRPr="00E5792C">
        <w:rPr>
          <w:rFonts w:ascii="Times" w:hAnsi="Times"/>
          <w:lang w:val="en-US"/>
        </w:rPr>
        <w:t xml:space="preserve"> </w:t>
      </w:r>
      <w:r w:rsidR="008E7EF2" w:rsidRPr="00E5792C">
        <w:rPr>
          <w:rFonts w:ascii="Times" w:hAnsi="Times"/>
          <w:lang w:val="en-US"/>
        </w:rPr>
        <w:t>as of</w:t>
      </w:r>
      <w:r w:rsidR="006C3D6A" w:rsidRPr="00E5792C">
        <w:rPr>
          <w:rFonts w:ascii="Times" w:hAnsi="Times"/>
          <w:lang w:val="en-US"/>
        </w:rPr>
        <w:t xml:space="preserve"> lower quality </w:t>
      </w:r>
      <w:r w:rsidR="008E7EF2" w:rsidRPr="00E5792C">
        <w:rPr>
          <w:rFonts w:ascii="Times" w:hAnsi="Times"/>
          <w:lang w:val="en-US"/>
        </w:rPr>
        <w:t>by the</w:t>
      </w:r>
      <w:r w:rsidR="006C3D6A" w:rsidRPr="00E5792C">
        <w:rPr>
          <w:rFonts w:ascii="Times" w:hAnsi="Times"/>
          <w:lang w:val="en-US"/>
        </w:rPr>
        <w:t xml:space="preserve"> NOS scale </w:t>
      </w:r>
      <w:r w:rsidR="0063362D" w:rsidRPr="00E5792C">
        <w:rPr>
          <w:rFonts w:ascii="Times" w:hAnsi="Times"/>
          <w:lang w:val="en-US"/>
        </w:rPr>
        <w:t>due to</w:t>
      </w:r>
      <w:r w:rsidR="008E7EF2" w:rsidRPr="00E5792C">
        <w:rPr>
          <w:rFonts w:ascii="Times" w:hAnsi="Times"/>
          <w:lang w:val="en-US"/>
        </w:rPr>
        <w:t xml:space="preserve"> </w:t>
      </w:r>
      <w:r w:rsidR="006C3D6A" w:rsidRPr="00E5792C">
        <w:rPr>
          <w:rFonts w:ascii="Times" w:hAnsi="Times"/>
          <w:lang w:val="en-US"/>
        </w:rPr>
        <w:t>the small number of patients enrolled (</w:t>
      </w:r>
      <w:r w:rsidR="00A83B85" w:rsidRPr="00E5792C">
        <w:rPr>
          <w:rFonts w:ascii="Times" w:hAnsi="Times"/>
          <w:lang w:val="en-US"/>
        </w:rPr>
        <w:t>&lt;</w:t>
      </w:r>
      <w:r w:rsidR="006C3D6A" w:rsidRPr="00E5792C">
        <w:rPr>
          <w:rFonts w:ascii="Times" w:hAnsi="Times"/>
          <w:lang w:val="en-US"/>
        </w:rPr>
        <w:t xml:space="preserve">50) and the </w:t>
      </w:r>
      <w:r w:rsidR="00907229" w:rsidRPr="00E5792C">
        <w:rPr>
          <w:rFonts w:ascii="Times" w:hAnsi="Times"/>
          <w:lang w:val="en-US"/>
        </w:rPr>
        <w:t xml:space="preserve">very </w:t>
      </w:r>
      <w:r w:rsidR="006C3D6A" w:rsidRPr="00E5792C">
        <w:rPr>
          <w:rFonts w:ascii="Times" w:hAnsi="Times"/>
          <w:lang w:val="en-US"/>
        </w:rPr>
        <w:t xml:space="preserve">short </w:t>
      </w:r>
      <w:r w:rsidR="00907229" w:rsidRPr="00E5792C">
        <w:rPr>
          <w:rFonts w:ascii="Times" w:hAnsi="Times"/>
          <w:lang w:val="en-US"/>
        </w:rPr>
        <w:t>follow-up</w:t>
      </w:r>
      <w:r w:rsidR="006C3D6A" w:rsidRPr="00E5792C">
        <w:rPr>
          <w:rFonts w:ascii="Times" w:hAnsi="Times"/>
          <w:lang w:val="en-US"/>
        </w:rPr>
        <w:t>.</w:t>
      </w:r>
    </w:p>
    <w:p w14:paraId="571F6BB8" w14:textId="4B69CB7B" w:rsidR="009402E5" w:rsidRPr="00E5792C" w:rsidRDefault="006B6473" w:rsidP="00E5792C">
      <w:pPr>
        <w:pStyle w:val="NormalWeb"/>
        <w:spacing w:before="0" w:beforeAutospacing="0" w:after="0" w:afterAutospacing="0" w:line="480" w:lineRule="auto"/>
        <w:jc w:val="both"/>
        <w:rPr>
          <w:rFonts w:ascii="Times" w:hAnsi="Times"/>
          <w:vertAlign w:val="superscript"/>
          <w:lang w:val="en-US"/>
        </w:rPr>
      </w:pPr>
      <w:r w:rsidRPr="00E5792C">
        <w:rPr>
          <w:rFonts w:ascii="Times" w:hAnsi="Times"/>
          <w:lang w:val="en-US"/>
        </w:rPr>
        <w:t>Several</w:t>
      </w:r>
      <w:r w:rsidR="00C71062" w:rsidRPr="00E5792C">
        <w:rPr>
          <w:rFonts w:ascii="Times" w:hAnsi="Times"/>
          <w:lang w:val="en-US"/>
        </w:rPr>
        <w:t xml:space="preserve"> different mechanisms may underlie the deleterious impact of LGE</w:t>
      </w:r>
      <w:r w:rsidR="00907229" w:rsidRPr="00E5792C">
        <w:rPr>
          <w:rFonts w:ascii="Times" w:hAnsi="Times"/>
          <w:lang w:val="en-US"/>
        </w:rPr>
        <w:t xml:space="preserve">. First, </w:t>
      </w:r>
      <w:r w:rsidR="00C512E6" w:rsidRPr="00E5792C">
        <w:rPr>
          <w:rFonts w:ascii="Times" w:hAnsi="Times"/>
          <w:lang w:val="en-US"/>
        </w:rPr>
        <w:t>LGE</w:t>
      </w:r>
      <w:r w:rsidR="00907229" w:rsidRPr="00E5792C">
        <w:rPr>
          <w:rFonts w:ascii="Times" w:hAnsi="Times"/>
          <w:lang w:val="en-US"/>
        </w:rPr>
        <w:t xml:space="preserve"> </w:t>
      </w:r>
      <w:r w:rsidR="00C71062" w:rsidRPr="00E5792C">
        <w:rPr>
          <w:rFonts w:ascii="Times" w:hAnsi="Times"/>
          <w:lang w:val="en-US"/>
        </w:rPr>
        <w:t xml:space="preserve">signifies edema and fibrosis, and may </w:t>
      </w:r>
      <w:r w:rsidR="00907229" w:rsidRPr="00E5792C">
        <w:rPr>
          <w:rFonts w:ascii="Times" w:hAnsi="Times"/>
          <w:lang w:val="en-US"/>
        </w:rPr>
        <w:t>play</w:t>
      </w:r>
      <w:r w:rsidR="00C71062" w:rsidRPr="00E5792C">
        <w:rPr>
          <w:rFonts w:ascii="Times" w:hAnsi="Times"/>
          <w:lang w:val="en-US"/>
        </w:rPr>
        <w:t xml:space="preserve"> a</w:t>
      </w:r>
      <w:r w:rsidR="00C512E6" w:rsidRPr="00E5792C">
        <w:rPr>
          <w:rFonts w:ascii="Times" w:hAnsi="Times"/>
          <w:lang w:val="en-US"/>
        </w:rPr>
        <w:t xml:space="preserve"> key role </w:t>
      </w:r>
      <w:r w:rsidR="003E3E11" w:rsidRPr="00E5792C">
        <w:rPr>
          <w:rFonts w:ascii="Times" w:hAnsi="Times"/>
          <w:lang w:val="en-US"/>
        </w:rPr>
        <w:t>in the genesis of ventricular arrhythmias</w:t>
      </w:r>
      <w:r w:rsidR="00C512E6" w:rsidRPr="00E5792C">
        <w:rPr>
          <w:rFonts w:ascii="Times" w:hAnsi="Times"/>
          <w:lang w:val="en-US"/>
        </w:rPr>
        <w:t xml:space="preserve"> </w:t>
      </w:r>
      <w:r w:rsidR="003E3E11" w:rsidRPr="00E5792C">
        <w:rPr>
          <w:rFonts w:ascii="Times" w:hAnsi="Times"/>
          <w:lang w:val="en-US"/>
        </w:rPr>
        <w:t xml:space="preserve">by favoring </w:t>
      </w:r>
      <w:r w:rsidR="00C512E6" w:rsidRPr="00E5792C">
        <w:rPr>
          <w:rFonts w:ascii="Times" w:hAnsi="Times"/>
          <w:lang w:val="en-US"/>
        </w:rPr>
        <w:t>re-entrant</w:t>
      </w:r>
      <w:r w:rsidR="003E3E11" w:rsidRPr="00E5792C">
        <w:rPr>
          <w:rFonts w:ascii="Times" w:hAnsi="Times"/>
          <w:lang w:val="en-US"/>
        </w:rPr>
        <w:t xml:space="preserve"> circuits</w:t>
      </w:r>
      <w:r w:rsidR="0021671F" w:rsidRPr="00E5792C">
        <w:rPr>
          <w:rFonts w:ascii="Times" w:hAnsi="Times"/>
          <w:lang w:val="en-US"/>
        </w:rPr>
        <w:t>.</w:t>
      </w:r>
      <w:r w:rsidR="00D55499" w:rsidRPr="00E5792C">
        <w:rPr>
          <w:rFonts w:ascii="Times" w:hAnsi="Times"/>
          <w:vertAlign w:val="superscript"/>
          <w:lang w:val="en-US"/>
        </w:rPr>
        <w:t>10</w:t>
      </w:r>
      <w:r w:rsidR="00C902F7" w:rsidRPr="00E5792C">
        <w:rPr>
          <w:rFonts w:ascii="Times" w:hAnsi="Times"/>
          <w:lang w:val="en-US"/>
        </w:rPr>
        <w:t xml:space="preserve"> Second, AM patients with</w:t>
      </w:r>
      <w:r w:rsidR="002F3CC5" w:rsidRPr="00E5792C">
        <w:rPr>
          <w:rFonts w:ascii="Times" w:hAnsi="Times"/>
          <w:lang w:val="en-US"/>
        </w:rPr>
        <w:t xml:space="preserve"> LGE </w:t>
      </w:r>
      <w:r w:rsidR="001E4BAD" w:rsidRPr="00E5792C">
        <w:rPr>
          <w:rFonts w:ascii="Times" w:hAnsi="Times"/>
          <w:lang w:val="en-US"/>
        </w:rPr>
        <w:t xml:space="preserve">are more likely to have </w:t>
      </w:r>
      <w:r w:rsidR="00EA127D" w:rsidRPr="00E5792C">
        <w:rPr>
          <w:rFonts w:ascii="Times" w:hAnsi="Times"/>
          <w:lang w:val="en-US"/>
        </w:rPr>
        <w:t>had a more extensive myocardial damage as compared to AM patients without LGE</w:t>
      </w:r>
      <w:r w:rsidR="00554731" w:rsidRPr="00E5792C">
        <w:rPr>
          <w:rFonts w:ascii="Times" w:hAnsi="Times"/>
          <w:lang w:val="en-US"/>
        </w:rPr>
        <w:t>,</w:t>
      </w:r>
      <w:r w:rsidR="00EA127D" w:rsidRPr="00E5792C">
        <w:rPr>
          <w:rFonts w:ascii="Times" w:hAnsi="Times"/>
          <w:lang w:val="en-US"/>
        </w:rPr>
        <w:t xml:space="preserve"> </w:t>
      </w:r>
      <w:r w:rsidR="002D7967" w:rsidRPr="00E5792C">
        <w:rPr>
          <w:rFonts w:ascii="Times" w:hAnsi="Times"/>
          <w:lang w:val="en-US"/>
        </w:rPr>
        <w:t xml:space="preserve">promoting progressive LV remodeling and dysfunction eventually </w:t>
      </w:r>
      <w:r w:rsidR="00DD2E47" w:rsidRPr="00E5792C">
        <w:rPr>
          <w:rFonts w:ascii="Times" w:hAnsi="Times"/>
          <w:lang w:val="en-US"/>
        </w:rPr>
        <w:t xml:space="preserve">culminating </w:t>
      </w:r>
      <w:r w:rsidR="008410C2" w:rsidRPr="00E5792C">
        <w:rPr>
          <w:rFonts w:ascii="Times" w:hAnsi="Times"/>
          <w:lang w:val="en-US"/>
        </w:rPr>
        <w:t xml:space="preserve">in </w:t>
      </w:r>
      <w:r w:rsidR="00131F7C" w:rsidRPr="00E5792C">
        <w:rPr>
          <w:rFonts w:ascii="Times" w:hAnsi="Times"/>
          <w:lang w:val="en-US"/>
        </w:rPr>
        <w:t>HF</w:t>
      </w:r>
      <w:r w:rsidR="0021671F" w:rsidRPr="00E5792C">
        <w:rPr>
          <w:rFonts w:ascii="Times" w:hAnsi="Times"/>
          <w:lang w:val="en-US"/>
        </w:rPr>
        <w:t>.</w:t>
      </w:r>
      <w:r w:rsidR="000F5295" w:rsidRPr="00E5792C">
        <w:rPr>
          <w:rFonts w:ascii="Times" w:hAnsi="Times"/>
          <w:vertAlign w:val="superscript"/>
          <w:lang w:val="en-US"/>
        </w:rPr>
        <w:t>38</w:t>
      </w:r>
    </w:p>
    <w:p w14:paraId="366DCB40" w14:textId="4A4EA6E4" w:rsidR="002533AD" w:rsidRPr="00E5792C" w:rsidRDefault="00E144B7" w:rsidP="00E5792C">
      <w:pPr>
        <w:pStyle w:val="NormalWeb"/>
        <w:spacing w:before="0" w:beforeAutospacing="0" w:after="0" w:afterAutospacing="0" w:line="480" w:lineRule="auto"/>
        <w:jc w:val="both"/>
        <w:rPr>
          <w:rFonts w:ascii="Times" w:hAnsi="Times"/>
          <w:lang w:val="en-US"/>
        </w:rPr>
      </w:pPr>
      <w:r w:rsidRPr="00E5792C">
        <w:rPr>
          <w:rFonts w:ascii="Times" w:hAnsi="Times"/>
          <w:lang w:val="en-US"/>
        </w:rPr>
        <w:t xml:space="preserve">To our knowledge, only one previous meta-analysis has attempted to address the prognostic significance of LGE in AM. </w:t>
      </w:r>
      <w:r w:rsidR="003A0D46" w:rsidRPr="00E5792C">
        <w:rPr>
          <w:rFonts w:ascii="Times" w:hAnsi="Times"/>
          <w:lang w:val="en-US"/>
        </w:rPr>
        <w:t>Y</w:t>
      </w:r>
      <w:r w:rsidRPr="00E5792C">
        <w:rPr>
          <w:rFonts w:ascii="Times" w:hAnsi="Times"/>
          <w:lang w:val="en-US"/>
        </w:rPr>
        <w:t xml:space="preserve">ang </w:t>
      </w:r>
      <w:r w:rsidRPr="00E5792C">
        <w:rPr>
          <w:rFonts w:ascii="Times" w:hAnsi="Times"/>
          <w:i/>
          <w:iCs/>
          <w:lang w:val="en-US"/>
        </w:rPr>
        <w:t>et al</w:t>
      </w:r>
      <w:r w:rsidRPr="00E5792C">
        <w:rPr>
          <w:rFonts w:ascii="Times" w:hAnsi="Times"/>
          <w:lang w:val="en-US"/>
        </w:rPr>
        <w:t xml:space="preserve"> similarly found that LGE was an important predictor of outcome.</w:t>
      </w:r>
      <w:r w:rsidR="000F5295" w:rsidRPr="00E5792C">
        <w:rPr>
          <w:rFonts w:ascii="Times" w:hAnsi="Times"/>
          <w:vertAlign w:val="superscript"/>
          <w:lang w:val="en-US"/>
        </w:rPr>
        <w:t>39</w:t>
      </w:r>
      <w:r w:rsidRPr="00E5792C">
        <w:rPr>
          <w:rFonts w:ascii="Times" w:hAnsi="Times"/>
          <w:lang w:val="en-US"/>
        </w:rPr>
        <w:t xml:space="preserve"> However, their search strategy only identified 8 out of 1</w:t>
      </w:r>
      <w:r w:rsidR="00CB5109" w:rsidRPr="00E5792C">
        <w:rPr>
          <w:rFonts w:ascii="Times" w:hAnsi="Times"/>
          <w:lang w:val="en-US"/>
        </w:rPr>
        <w:t>,</w:t>
      </w:r>
      <w:r w:rsidRPr="00E5792C">
        <w:rPr>
          <w:rFonts w:ascii="Times" w:hAnsi="Times"/>
          <w:lang w:val="en-US"/>
        </w:rPr>
        <w:t>021 studies including 1,319 patients versus 11 studies out of 2,422 in the present study which included 2</w:t>
      </w:r>
      <w:r w:rsidR="00CB5109" w:rsidRPr="00E5792C">
        <w:rPr>
          <w:rFonts w:ascii="Times" w:hAnsi="Times"/>
          <w:lang w:val="en-US"/>
        </w:rPr>
        <w:t>,</w:t>
      </w:r>
      <w:r w:rsidRPr="00E5792C">
        <w:rPr>
          <w:rFonts w:ascii="Times" w:hAnsi="Times"/>
          <w:lang w:val="en-US"/>
        </w:rPr>
        <w:t xml:space="preserve">328 patients. In addition, where possible, we used pooled adjusted hazard ratios derived from Cox regression techniques that are more appropriate for looking at data that is subject to censoring, while simultaneously also accounting for potential confounders. Furthermore, we used the HK correction to ensure a more robust estimate of confidence intervals given the relatively small number of included papers. Finally, our meta-analysis also addresses the potential importance of LGE amount and location, topics not addressed by </w:t>
      </w:r>
      <w:r w:rsidR="000F5295" w:rsidRPr="00E5792C">
        <w:rPr>
          <w:rFonts w:ascii="Times" w:hAnsi="Times"/>
          <w:lang w:val="en-US"/>
        </w:rPr>
        <w:t>Y</w:t>
      </w:r>
      <w:r w:rsidRPr="00E5792C">
        <w:rPr>
          <w:rFonts w:ascii="Times" w:hAnsi="Times"/>
          <w:lang w:val="en-US"/>
        </w:rPr>
        <w:t xml:space="preserve">ang </w:t>
      </w:r>
      <w:r w:rsidRPr="00E5792C">
        <w:rPr>
          <w:rFonts w:ascii="Times" w:hAnsi="Times"/>
          <w:i/>
          <w:iCs/>
          <w:lang w:val="en-US"/>
        </w:rPr>
        <w:t>et al</w:t>
      </w:r>
      <w:r w:rsidRPr="00E5792C">
        <w:rPr>
          <w:rFonts w:ascii="Times" w:hAnsi="Times"/>
          <w:lang w:val="en-US"/>
        </w:rPr>
        <w:t>.</w:t>
      </w:r>
    </w:p>
    <w:p w14:paraId="13BD492A" w14:textId="74AD6FEF" w:rsidR="006B18B3" w:rsidRPr="00E5792C" w:rsidRDefault="006B18B3" w:rsidP="00E5792C">
      <w:pPr>
        <w:pStyle w:val="NormalWeb"/>
        <w:spacing w:before="0" w:beforeAutospacing="0" w:after="0" w:afterAutospacing="0" w:line="480" w:lineRule="auto"/>
        <w:jc w:val="both"/>
        <w:rPr>
          <w:rFonts w:ascii="Times" w:eastAsiaTheme="minorHAnsi" w:hAnsi="Times"/>
          <w:b/>
          <w:noProof/>
          <w:lang w:val="en-US" w:eastAsia="en-US"/>
        </w:rPr>
      </w:pPr>
      <w:r w:rsidRPr="00E5792C">
        <w:rPr>
          <w:rFonts w:ascii="Times" w:eastAsiaTheme="minorHAnsi" w:hAnsi="Times"/>
          <w:b/>
          <w:noProof/>
          <w:lang w:val="en-US" w:eastAsia="en-US"/>
        </w:rPr>
        <w:t xml:space="preserve">LGE </w:t>
      </w:r>
      <w:r w:rsidR="00C71062" w:rsidRPr="00E5792C">
        <w:rPr>
          <w:rFonts w:ascii="Times" w:eastAsiaTheme="minorHAnsi" w:hAnsi="Times"/>
          <w:b/>
          <w:noProof/>
          <w:lang w:val="en-US" w:eastAsia="en-US"/>
        </w:rPr>
        <w:t xml:space="preserve">extent </w:t>
      </w:r>
      <w:r w:rsidR="00337D12" w:rsidRPr="00E5792C">
        <w:rPr>
          <w:rFonts w:ascii="Times" w:eastAsiaTheme="minorHAnsi" w:hAnsi="Times"/>
          <w:b/>
          <w:noProof/>
          <w:lang w:val="en-US" w:eastAsia="en-US"/>
        </w:rPr>
        <w:t xml:space="preserve">and </w:t>
      </w:r>
      <w:r w:rsidRPr="00E5792C">
        <w:rPr>
          <w:rFonts w:ascii="Times" w:eastAsiaTheme="minorHAnsi" w:hAnsi="Times"/>
          <w:b/>
          <w:noProof/>
          <w:lang w:val="en-US" w:eastAsia="en-US"/>
        </w:rPr>
        <w:t>outcome</w:t>
      </w:r>
      <w:r w:rsidR="00C76B38" w:rsidRPr="00E5792C">
        <w:rPr>
          <w:rFonts w:ascii="Times" w:eastAsiaTheme="minorHAnsi" w:hAnsi="Times"/>
          <w:b/>
          <w:noProof/>
          <w:lang w:val="en-US" w:eastAsia="en-US"/>
        </w:rPr>
        <w:t>s</w:t>
      </w:r>
    </w:p>
    <w:p w14:paraId="110829D6" w14:textId="4BF196FA" w:rsidR="00D77A68" w:rsidRPr="00E5792C" w:rsidRDefault="00F1774E" w:rsidP="00E5792C">
      <w:pPr>
        <w:pStyle w:val="NormalWeb"/>
        <w:spacing w:before="0" w:beforeAutospacing="0" w:after="0" w:afterAutospacing="0" w:line="480" w:lineRule="auto"/>
        <w:jc w:val="both"/>
        <w:rPr>
          <w:bCs/>
          <w:lang w:val="en-US"/>
        </w:rPr>
      </w:pPr>
      <w:r w:rsidRPr="00E5792C">
        <w:rPr>
          <w:rFonts w:ascii="Times" w:eastAsiaTheme="minorHAnsi" w:hAnsi="Times"/>
          <w:noProof/>
          <w:lang w:val="en-US" w:eastAsia="en-US"/>
        </w:rPr>
        <w:t xml:space="preserve">The risk of </w:t>
      </w:r>
      <w:r w:rsidR="006A16F0" w:rsidRPr="00E5792C">
        <w:rPr>
          <w:rFonts w:ascii="Times" w:eastAsiaTheme="minorHAnsi" w:hAnsi="Times"/>
          <w:noProof/>
          <w:lang w:val="en-US" w:eastAsia="en-US"/>
        </w:rPr>
        <w:t>experiencing the c</w:t>
      </w:r>
      <w:r w:rsidR="00F06F2C" w:rsidRPr="00E5792C">
        <w:rPr>
          <w:rFonts w:ascii="Times" w:eastAsiaTheme="minorHAnsi" w:hAnsi="Times"/>
          <w:noProof/>
          <w:lang w:val="en-US" w:eastAsia="en-US"/>
        </w:rPr>
        <w:t>ombined endpoint</w:t>
      </w:r>
      <w:r w:rsidRPr="00E5792C">
        <w:rPr>
          <w:rFonts w:ascii="Times" w:eastAsiaTheme="minorHAnsi" w:hAnsi="Times"/>
          <w:noProof/>
          <w:lang w:val="en-US" w:eastAsia="en-US"/>
        </w:rPr>
        <w:t xml:space="preserve"> was doubled in patients with </w:t>
      </w:r>
      <w:r w:rsidR="00C76B38" w:rsidRPr="00E5792C">
        <w:rPr>
          <w:rFonts w:ascii="Times" w:eastAsiaTheme="minorHAnsi" w:hAnsi="Times"/>
          <w:noProof/>
          <w:lang w:val="en-US" w:eastAsia="en-US"/>
        </w:rPr>
        <w:t xml:space="preserve">more extensive </w:t>
      </w:r>
      <w:r w:rsidRPr="00E5792C">
        <w:rPr>
          <w:rFonts w:ascii="Times" w:eastAsiaTheme="minorHAnsi" w:hAnsi="Times"/>
          <w:noProof/>
          <w:lang w:val="en-US" w:eastAsia="en-US"/>
        </w:rPr>
        <w:t>LGE</w:t>
      </w:r>
      <w:r w:rsidR="00227CB5" w:rsidRPr="00E5792C">
        <w:rPr>
          <w:rFonts w:ascii="Times" w:eastAsiaTheme="minorHAnsi" w:hAnsi="Times"/>
          <w:noProof/>
          <w:lang w:val="en-US" w:eastAsia="en-US"/>
        </w:rPr>
        <w:t xml:space="preserve"> (</w:t>
      </w:r>
      <w:r w:rsidR="00227CB5" w:rsidRPr="00E5792C">
        <w:rPr>
          <w:rFonts w:ascii="Times" w:eastAsiaTheme="minorHAnsi" w:hAnsi="Times"/>
          <w:i/>
          <w:iCs/>
          <w:noProof/>
          <w:lang w:val="en-US" w:eastAsia="en-US"/>
        </w:rPr>
        <w:t>i.e.</w:t>
      </w:r>
      <w:r w:rsidR="00F40711" w:rsidRPr="00E5792C">
        <w:rPr>
          <w:rFonts w:ascii="Times" w:eastAsiaTheme="minorHAnsi" w:hAnsi="Times"/>
          <w:noProof/>
          <w:lang w:val="en-US" w:eastAsia="en-US"/>
        </w:rPr>
        <w:t>,</w:t>
      </w:r>
      <w:r w:rsidR="00227CB5" w:rsidRPr="00E5792C">
        <w:rPr>
          <w:rFonts w:ascii="Times" w:eastAsiaTheme="minorHAnsi" w:hAnsi="Times"/>
          <w:noProof/>
          <w:lang w:val="en-US" w:eastAsia="en-US"/>
        </w:rPr>
        <w:t xml:space="preserve"> </w:t>
      </w:r>
      <w:r w:rsidR="006A16F0" w:rsidRPr="00E5792C">
        <w:rPr>
          <w:rFonts w:ascii="Times" w:eastAsiaTheme="minorHAnsi" w:hAnsi="Times"/>
          <w:noProof/>
          <w:lang w:val="en-US" w:eastAsia="en-US"/>
        </w:rPr>
        <w:t>&gt;</w:t>
      </w:r>
      <w:r w:rsidR="00227CB5" w:rsidRPr="00E5792C">
        <w:rPr>
          <w:rFonts w:ascii="Times" w:eastAsiaTheme="minorHAnsi" w:hAnsi="Times"/>
          <w:noProof/>
          <w:lang w:val="en-US" w:eastAsia="en-US"/>
        </w:rPr>
        <w:t xml:space="preserve">2 </w:t>
      </w:r>
      <w:r w:rsidR="006A16F0" w:rsidRPr="00E5792C">
        <w:rPr>
          <w:rFonts w:ascii="Times" w:eastAsiaTheme="minorHAnsi" w:hAnsi="Times"/>
          <w:noProof/>
          <w:lang w:val="en-US" w:eastAsia="en-US"/>
        </w:rPr>
        <w:t>LV</w:t>
      </w:r>
      <w:r w:rsidR="00F40711" w:rsidRPr="00E5792C">
        <w:rPr>
          <w:rFonts w:ascii="Times" w:eastAsiaTheme="minorHAnsi" w:hAnsi="Times"/>
          <w:noProof/>
          <w:lang w:val="en-US" w:eastAsia="en-US"/>
        </w:rPr>
        <w:t xml:space="preserve"> </w:t>
      </w:r>
      <w:r w:rsidR="00227CB5" w:rsidRPr="00E5792C">
        <w:rPr>
          <w:rFonts w:ascii="Times" w:eastAsiaTheme="minorHAnsi" w:hAnsi="Times"/>
          <w:noProof/>
          <w:lang w:val="en-US" w:eastAsia="en-US"/>
        </w:rPr>
        <w:t>segments</w:t>
      </w:r>
      <w:r w:rsidR="00136BAD" w:rsidRPr="00E5792C">
        <w:rPr>
          <w:rFonts w:ascii="Times" w:eastAsiaTheme="minorHAnsi" w:hAnsi="Times"/>
          <w:noProof/>
          <w:lang w:val="en-US" w:eastAsia="en-US"/>
        </w:rPr>
        <w:t xml:space="preserve"> with LGE</w:t>
      </w:r>
      <w:r w:rsidR="00227CB5" w:rsidRPr="00E5792C">
        <w:rPr>
          <w:rFonts w:ascii="Times" w:eastAsiaTheme="minorHAnsi" w:hAnsi="Times"/>
          <w:noProof/>
          <w:lang w:val="en-US" w:eastAsia="en-US"/>
        </w:rPr>
        <w:t xml:space="preserve"> or </w:t>
      </w:r>
      <w:r w:rsidR="00A53AEB" w:rsidRPr="00E5792C">
        <w:rPr>
          <w:rFonts w:ascii="Times" w:eastAsiaTheme="minorHAnsi" w:hAnsi="Times"/>
          <w:noProof/>
          <w:lang w:val="en-US" w:eastAsia="en-US"/>
        </w:rPr>
        <w:t>LGE</w:t>
      </w:r>
      <w:r w:rsidR="00136BAD" w:rsidRPr="00E5792C">
        <w:rPr>
          <w:rFonts w:ascii="Times" w:eastAsiaTheme="minorHAnsi" w:hAnsi="Times"/>
          <w:noProof/>
          <w:lang w:val="en-US" w:eastAsia="en-US"/>
        </w:rPr>
        <w:t>&gt;</w:t>
      </w:r>
      <w:r w:rsidR="00227CB5" w:rsidRPr="00E5792C">
        <w:rPr>
          <w:rFonts w:ascii="Times" w:eastAsiaTheme="minorHAnsi" w:hAnsi="Times"/>
          <w:noProof/>
          <w:lang w:val="en-US" w:eastAsia="en-US"/>
        </w:rPr>
        <w:t xml:space="preserve">10% of </w:t>
      </w:r>
      <w:r w:rsidR="00136BAD" w:rsidRPr="00E5792C">
        <w:rPr>
          <w:rFonts w:ascii="Times" w:eastAsiaTheme="minorHAnsi" w:hAnsi="Times"/>
          <w:noProof/>
          <w:lang w:val="en-US" w:eastAsia="en-US"/>
        </w:rPr>
        <w:t xml:space="preserve">LV </w:t>
      </w:r>
      <w:r w:rsidR="00227CB5" w:rsidRPr="00E5792C">
        <w:rPr>
          <w:rFonts w:ascii="Times" w:eastAsiaTheme="minorHAnsi" w:hAnsi="Times"/>
          <w:noProof/>
          <w:lang w:val="en-US" w:eastAsia="en-US"/>
        </w:rPr>
        <w:t>mass</w:t>
      </w:r>
      <w:r w:rsidR="00946A7D" w:rsidRPr="00E5792C">
        <w:rPr>
          <w:rFonts w:ascii="Times" w:eastAsiaTheme="minorHAnsi" w:hAnsi="Times"/>
          <w:noProof/>
          <w:lang w:val="en-US" w:eastAsia="en-US"/>
        </w:rPr>
        <w:t xml:space="preserve"> or </w:t>
      </w:r>
      <w:r w:rsidR="00A53AEB" w:rsidRPr="00E5792C">
        <w:rPr>
          <w:rFonts w:ascii="Times" w:eastAsiaTheme="minorHAnsi" w:hAnsi="Times"/>
          <w:noProof/>
          <w:lang w:val="en-US" w:eastAsia="en-US"/>
        </w:rPr>
        <w:t>LGE</w:t>
      </w:r>
      <w:r w:rsidR="00136BAD" w:rsidRPr="00E5792C">
        <w:rPr>
          <w:rFonts w:ascii="Times" w:eastAsiaTheme="minorHAnsi" w:hAnsi="Times"/>
          <w:noProof/>
          <w:lang w:val="en-US" w:eastAsia="en-US"/>
        </w:rPr>
        <w:t>&gt;</w:t>
      </w:r>
      <w:r w:rsidR="00946A7D" w:rsidRPr="00E5792C">
        <w:rPr>
          <w:rFonts w:ascii="Times" w:eastAsiaTheme="minorHAnsi" w:hAnsi="Times"/>
          <w:noProof/>
          <w:lang w:val="en-US" w:eastAsia="en-US"/>
        </w:rPr>
        <w:t>17</w:t>
      </w:r>
      <w:r w:rsidR="00A53AEB" w:rsidRPr="00E5792C">
        <w:rPr>
          <w:rFonts w:ascii="Times" w:eastAsiaTheme="minorHAnsi" w:hAnsi="Times"/>
          <w:noProof/>
          <w:lang w:val="en-US" w:eastAsia="en-US"/>
        </w:rPr>
        <w:t xml:space="preserve"> grams</w:t>
      </w:r>
      <w:r w:rsidR="00227CB5" w:rsidRPr="00E5792C">
        <w:rPr>
          <w:rFonts w:ascii="Times" w:eastAsiaTheme="minorHAnsi" w:hAnsi="Times"/>
          <w:noProof/>
          <w:lang w:val="en-US" w:eastAsia="en-US"/>
        </w:rPr>
        <w:t>)</w:t>
      </w:r>
      <w:r w:rsidR="007C7163" w:rsidRPr="00E5792C">
        <w:rPr>
          <w:rFonts w:ascii="Times" w:eastAsiaTheme="minorHAnsi" w:hAnsi="Times"/>
          <w:noProof/>
          <w:lang w:val="en-US" w:eastAsia="en-US"/>
        </w:rPr>
        <w:t xml:space="preserve"> </w:t>
      </w:r>
      <w:r w:rsidR="00A53AEB" w:rsidRPr="00E5792C">
        <w:rPr>
          <w:rFonts w:ascii="Times" w:eastAsiaTheme="minorHAnsi" w:hAnsi="Times"/>
          <w:noProof/>
          <w:lang w:val="en-US" w:eastAsia="en-US"/>
        </w:rPr>
        <w:t xml:space="preserve">as </w:t>
      </w:r>
      <w:r w:rsidRPr="00E5792C">
        <w:rPr>
          <w:rFonts w:ascii="Times" w:eastAsiaTheme="minorHAnsi" w:hAnsi="Times"/>
          <w:noProof/>
          <w:lang w:val="en-US" w:eastAsia="en-US"/>
        </w:rPr>
        <w:t xml:space="preserve">compared to </w:t>
      </w:r>
      <w:r w:rsidR="00D41A4F" w:rsidRPr="00E5792C">
        <w:rPr>
          <w:rFonts w:ascii="Times" w:eastAsiaTheme="minorHAnsi" w:hAnsi="Times"/>
          <w:noProof/>
          <w:lang w:val="en-US" w:eastAsia="en-US"/>
        </w:rPr>
        <w:t>those with small</w:t>
      </w:r>
      <w:r w:rsidR="00A53AEB" w:rsidRPr="00E5792C">
        <w:rPr>
          <w:rFonts w:ascii="Times" w:eastAsiaTheme="minorHAnsi" w:hAnsi="Times"/>
          <w:noProof/>
          <w:lang w:val="en-US" w:eastAsia="en-US"/>
        </w:rPr>
        <w:t xml:space="preserve"> or</w:t>
      </w:r>
      <w:r w:rsidR="00D41A4F" w:rsidRPr="00E5792C">
        <w:rPr>
          <w:rFonts w:ascii="Times" w:eastAsiaTheme="minorHAnsi" w:hAnsi="Times"/>
          <w:noProof/>
          <w:lang w:val="en-US" w:eastAsia="en-US"/>
        </w:rPr>
        <w:t xml:space="preserve"> </w:t>
      </w:r>
      <w:r w:rsidR="008138DC" w:rsidRPr="00E5792C">
        <w:rPr>
          <w:rFonts w:ascii="Times" w:eastAsiaTheme="minorHAnsi" w:hAnsi="Times"/>
          <w:noProof/>
          <w:lang w:val="en-US" w:eastAsia="en-US"/>
        </w:rPr>
        <w:t xml:space="preserve">no </w:t>
      </w:r>
      <w:r w:rsidRPr="00E5792C">
        <w:rPr>
          <w:rFonts w:ascii="Times" w:eastAsiaTheme="minorHAnsi" w:hAnsi="Times"/>
          <w:noProof/>
          <w:lang w:val="en-US" w:eastAsia="en-US"/>
        </w:rPr>
        <w:t>LGE</w:t>
      </w:r>
      <w:r w:rsidR="00D41A4F" w:rsidRPr="00E5792C">
        <w:rPr>
          <w:rFonts w:ascii="Times" w:eastAsiaTheme="minorHAnsi" w:hAnsi="Times"/>
          <w:noProof/>
          <w:lang w:val="en-US" w:eastAsia="en-US"/>
        </w:rPr>
        <w:t xml:space="preserve"> burden</w:t>
      </w:r>
      <w:r w:rsidRPr="00E5792C">
        <w:rPr>
          <w:rFonts w:ascii="Times" w:eastAsiaTheme="minorHAnsi" w:hAnsi="Times"/>
          <w:noProof/>
          <w:lang w:val="en-US" w:eastAsia="en-US"/>
        </w:rPr>
        <w:t xml:space="preserve">. </w:t>
      </w:r>
      <w:r w:rsidR="009356E1" w:rsidRPr="00E5792C">
        <w:rPr>
          <w:rFonts w:ascii="Times" w:eastAsiaTheme="minorHAnsi" w:hAnsi="Times"/>
          <w:noProof/>
          <w:lang w:val="en-US" w:eastAsia="en-US"/>
        </w:rPr>
        <w:t>As expected</w:t>
      </w:r>
      <w:r w:rsidR="003542CD" w:rsidRPr="00E5792C">
        <w:rPr>
          <w:rFonts w:ascii="Times" w:hAnsi="Times"/>
          <w:lang w:val="en-US"/>
        </w:rPr>
        <w:t>, the two studies</w:t>
      </w:r>
      <w:r w:rsidR="00A871D9" w:rsidRPr="00E5792C">
        <w:rPr>
          <w:rFonts w:ascii="Times" w:hAnsi="Times"/>
          <w:vertAlign w:val="superscript"/>
          <w:lang w:val="en-US"/>
        </w:rPr>
        <w:t>1</w:t>
      </w:r>
      <w:r w:rsidR="000F5295" w:rsidRPr="00E5792C">
        <w:rPr>
          <w:rFonts w:ascii="Times" w:hAnsi="Times"/>
          <w:vertAlign w:val="superscript"/>
          <w:lang w:val="en-US"/>
        </w:rPr>
        <w:t>5</w:t>
      </w:r>
      <w:r w:rsidR="00A871D9" w:rsidRPr="00E5792C">
        <w:rPr>
          <w:rFonts w:ascii="Times" w:hAnsi="Times"/>
          <w:vertAlign w:val="superscript"/>
          <w:lang w:val="en-US"/>
        </w:rPr>
        <w:t>,1</w:t>
      </w:r>
      <w:r w:rsidR="000F5295" w:rsidRPr="00E5792C">
        <w:rPr>
          <w:rFonts w:ascii="Times" w:hAnsi="Times"/>
          <w:vertAlign w:val="superscript"/>
          <w:lang w:val="en-US"/>
        </w:rPr>
        <w:t>6</w:t>
      </w:r>
      <w:r w:rsidR="003542CD" w:rsidRPr="00E5792C">
        <w:rPr>
          <w:rFonts w:ascii="Times" w:hAnsi="Times"/>
          <w:lang w:val="en-US"/>
        </w:rPr>
        <w:t xml:space="preserve"> </w:t>
      </w:r>
      <w:r w:rsidR="008B2B4C" w:rsidRPr="00E5792C">
        <w:rPr>
          <w:rFonts w:ascii="Times" w:hAnsi="Times"/>
          <w:lang w:val="en-US"/>
        </w:rPr>
        <w:t>in which LGE presence was not associated with worse outcome</w:t>
      </w:r>
      <w:r w:rsidR="00946A7D" w:rsidRPr="00E5792C">
        <w:rPr>
          <w:rFonts w:ascii="Times" w:hAnsi="Times"/>
          <w:lang w:val="en-US"/>
        </w:rPr>
        <w:t xml:space="preserve"> did not show </w:t>
      </w:r>
      <w:r w:rsidR="00FB041F" w:rsidRPr="00E5792C">
        <w:rPr>
          <w:rFonts w:ascii="Times" w:hAnsi="Times"/>
          <w:lang w:val="en-US"/>
        </w:rPr>
        <w:t xml:space="preserve">association between LGE burden and </w:t>
      </w:r>
      <w:r w:rsidR="001C56D7" w:rsidRPr="00E5792C">
        <w:rPr>
          <w:rFonts w:ascii="Times" w:hAnsi="Times"/>
          <w:lang w:val="en-US"/>
        </w:rPr>
        <w:t xml:space="preserve">the combined </w:t>
      </w:r>
      <w:r w:rsidR="001C56D7" w:rsidRPr="00E5792C">
        <w:rPr>
          <w:rFonts w:ascii="Times" w:hAnsi="Times"/>
          <w:lang w:val="en-US"/>
        </w:rPr>
        <w:lastRenderedPageBreak/>
        <w:t>endpoint</w:t>
      </w:r>
      <w:r w:rsidR="00946A7D" w:rsidRPr="00E5792C">
        <w:rPr>
          <w:rFonts w:ascii="Times" w:hAnsi="Times"/>
          <w:lang w:val="en-US"/>
        </w:rPr>
        <w:t xml:space="preserve"> </w:t>
      </w:r>
      <w:r w:rsidR="009402E5" w:rsidRPr="00E5792C">
        <w:rPr>
          <w:rFonts w:ascii="Times" w:hAnsi="Times"/>
          <w:lang w:val="en-US"/>
        </w:rPr>
        <w:t>(</w:t>
      </w:r>
      <w:r w:rsidR="00510315" w:rsidRPr="00E5792C">
        <w:rPr>
          <w:rFonts w:ascii="Times" w:hAnsi="Times"/>
          <w:b/>
          <w:bCs/>
          <w:lang w:val="en-US"/>
        </w:rPr>
        <w:t>Table 1</w:t>
      </w:r>
      <w:r w:rsidR="009402E5" w:rsidRPr="00E5792C">
        <w:rPr>
          <w:rFonts w:ascii="Times" w:hAnsi="Times"/>
          <w:lang w:val="en-US"/>
        </w:rPr>
        <w:t xml:space="preserve">). </w:t>
      </w:r>
      <w:r w:rsidR="00AF36FC" w:rsidRPr="00E5792C">
        <w:rPr>
          <w:rFonts w:ascii="Times" w:hAnsi="Times"/>
          <w:lang w:val="en-US"/>
        </w:rPr>
        <w:t>However, the interpretation of this finding was h</w:t>
      </w:r>
      <w:r w:rsidR="00807124" w:rsidRPr="00E5792C">
        <w:rPr>
          <w:rFonts w:ascii="Times" w:hAnsi="Times"/>
          <w:lang w:val="en-US"/>
        </w:rPr>
        <w:t>indered</w:t>
      </w:r>
      <w:r w:rsidR="00AF36FC" w:rsidRPr="00E5792C">
        <w:rPr>
          <w:rFonts w:ascii="Times" w:hAnsi="Times"/>
          <w:lang w:val="en-US"/>
        </w:rPr>
        <w:t xml:space="preserve"> </w:t>
      </w:r>
      <w:r w:rsidR="00E94751" w:rsidRPr="00E5792C">
        <w:rPr>
          <w:rFonts w:ascii="Times" w:hAnsi="Times"/>
          <w:lang w:val="en-US"/>
        </w:rPr>
        <w:t>by</w:t>
      </w:r>
      <w:r w:rsidR="00831DDC" w:rsidRPr="00E5792C">
        <w:rPr>
          <w:rFonts w:ascii="Times" w:hAnsi="Times"/>
          <w:lang w:val="en-US"/>
        </w:rPr>
        <w:t xml:space="preserve"> 1) </w:t>
      </w:r>
      <w:r w:rsidR="00605817" w:rsidRPr="00E5792C">
        <w:rPr>
          <w:rFonts w:ascii="Times" w:hAnsi="Times"/>
          <w:lang w:val="en-US"/>
        </w:rPr>
        <w:t xml:space="preserve">the </w:t>
      </w:r>
      <w:r w:rsidR="00573AAE" w:rsidRPr="00E5792C">
        <w:rPr>
          <w:rFonts w:ascii="Times" w:hAnsi="Times"/>
          <w:lang w:val="en-US"/>
        </w:rPr>
        <w:t>heterogen</w:t>
      </w:r>
      <w:r w:rsidR="00605817" w:rsidRPr="00E5792C">
        <w:rPr>
          <w:rFonts w:ascii="Times" w:hAnsi="Times"/>
          <w:lang w:val="en-US"/>
        </w:rPr>
        <w:t xml:space="preserve">eity in </w:t>
      </w:r>
      <w:r w:rsidR="00C76B38" w:rsidRPr="00E5792C">
        <w:rPr>
          <w:rFonts w:ascii="Times" w:hAnsi="Times"/>
          <w:lang w:val="en-US"/>
        </w:rPr>
        <w:t xml:space="preserve">defining </w:t>
      </w:r>
      <w:r w:rsidR="00605817" w:rsidRPr="00E5792C">
        <w:rPr>
          <w:rFonts w:ascii="Times" w:hAnsi="Times"/>
          <w:lang w:val="en-US"/>
        </w:rPr>
        <w:t xml:space="preserve">the </w:t>
      </w:r>
      <w:r w:rsidR="00831DDC" w:rsidRPr="00E5792C">
        <w:rPr>
          <w:rFonts w:ascii="Times" w:hAnsi="Times"/>
          <w:lang w:val="en-US"/>
        </w:rPr>
        <w:t xml:space="preserve">LGE burden; </w:t>
      </w:r>
      <w:r w:rsidR="00DD6238" w:rsidRPr="00E5792C">
        <w:rPr>
          <w:rFonts w:ascii="Times" w:hAnsi="Times"/>
          <w:lang w:val="en-US"/>
        </w:rPr>
        <w:t xml:space="preserve">and </w:t>
      </w:r>
      <w:r w:rsidR="00831DDC" w:rsidRPr="00E5792C">
        <w:rPr>
          <w:rFonts w:ascii="Times" w:hAnsi="Times"/>
          <w:lang w:val="en-US"/>
        </w:rPr>
        <w:t xml:space="preserve">2) </w:t>
      </w:r>
      <w:r w:rsidR="00605817" w:rsidRPr="00E5792C">
        <w:rPr>
          <w:rFonts w:ascii="Times" w:hAnsi="Times"/>
          <w:lang w:val="en-US"/>
        </w:rPr>
        <w:t xml:space="preserve">the </w:t>
      </w:r>
      <w:r w:rsidR="00831DDC" w:rsidRPr="00E5792C">
        <w:rPr>
          <w:rFonts w:ascii="Times" w:hAnsi="Times"/>
          <w:lang w:val="en-US"/>
        </w:rPr>
        <w:t xml:space="preserve">diversity in </w:t>
      </w:r>
      <w:r w:rsidR="00605817" w:rsidRPr="00E5792C">
        <w:rPr>
          <w:rFonts w:ascii="Times" w:hAnsi="Times"/>
          <w:lang w:val="en-US"/>
        </w:rPr>
        <w:t xml:space="preserve">methodology applied for quantifying </w:t>
      </w:r>
      <w:r w:rsidR="00831DDC" w:rsidRPr="00E5792C">
        <w:rPr>
          <w:rFonts w:ascii="Times" w:hAnsi="Times"/>
          <w:lang w:val="en-US"/>
        </w:rPr>
        <w:t xml:space="preserve">LGE </w:t>
      </w:r>
      <w:r w:rsidR="00605817" w:rsidRPr="00E5792C">
        <w:rPr>
          <w:rFonts w:ascii="Times" w:hAnsi="Times"/>
          <w:lang w:val="en-US"/>
        </w:rPr>
        <w:t xml:space="preserve">including </w:t>
      </w:r>
      <w:r w:rsidR="00807124" w:rsidRPr="00E5792C">
        <w:rPr>
          <w:rFonts w:ascii="Times" w:hAnsi="Times"/>
          <w:lang w:val="en-US"/>
        </w:rPr>
        <w:t>different</w:t>
      </w:r>
      <w:r w:rsidR="00D05F8E" w:rsidRPr="00E5792C">
        <w:rPr>
          <w:rFonts w:ascii="Times" w:hAnsi="Times"/>
          <w:lang w:val="en-US"/>
        </w:rPr>
        <w:t xml:space="preserve"> post-processing </w:t>
      </w:r>
      <w:r w:rsidR="00233A75" w:rsidRPr="00E5792C">
        <w:rPr>
          <w:rFonts w:ascii="Times" w:hAnsi="Times"/>
          <w:lang w:val="en-US"/>
        </w:rPr>
        <w:t>algorithms</w:t>
      </w:r>
      <w:r w:rsidR="00D05F8E" w:rsidRPr="00E5792C">
        <w:rPr>
          <w:rFonts w:ascii="Times" w:hAnsi="Times"/>
          <w:lang w:val="en-US"/>
        </w:rPr>
        <w:t xml:space="preserve">. Moreover, </w:t>
      </w:r>
      <w:r w:rsidR="00063476" w:rsidRPr="00E5792C">
        <w:rPr>
          <w:rFonts w:ascii="Times" w:hAnsi="Times"/>
          <w:lang w:val="en-US"/>
        </w:rPr>
        <w:t>when the more restrictive</w:t>
      </w:r>
      <w:r w:rsidR="00D05F8E" w:rsidRPr="00E5792C">
        <w:rPr>
          <w:rFonts w:ascii="Times" w:hAnsi="Times"/>
          <w:lang w:val="en-US"/>
        </w:rPr>
        <w:t xml:space="preserve"> </w:t>
      </w:r>
      <w:r w:rsidR="004024D3" w:rsidRPr="00E5792C">
        <w:rPr>
          <w:bCs/>
          <w:lang w:val="en-US"/>
        </w:rPr>
        <w:t>HK</w:t>
      </w:r>
      <w:r w:rsidR="00AF36FC" w:rsidRPr="00E5792C">
        <w:rPr>
          <w:bCs/>
          <w:lang w:val="en-US"/>
        </w:rPr>
        <w:t xml:space="preserve"> correction</w:t>
      </w:r>
      <w:r w:rsidR="00063476" w:rsidRPr="00E5792C">
        <w:rPr>
          <w:bCs/>
          <w:lang w:val="en-US"/>
        </w:rPr>
        <w:t xml:space="preserve"> was applied</w:t>
      </w:r>
      <w:r w:rsidR="00807124" w:rsidRPr="00E5792C">
        <w:rPr>
          <w:bCs/>
          <w:lang w:val="en-US"/>
        </w:rPr>
        <w:t>,</w:t>
      </w:r>
      <w:r w:rsidR="00063476" w:rsidRPr="00E5792C">
        <w:rPr>
          <w:bCs/>
          <w:lang w:val="en-US"/>
        </w:rPr>
        <w:t xml:space="preserve"> t</w:t>
      </w:r>
      <w:r w:rsidR="00095970" w:rsidRPr="00E5792C">
        <w:rPr>
          <w:bCs/>
          <w:lang w:val="en-US"/>
        </w:rPr>
        <w:t xml:space="preserve">he LGE burden </w:t>
      </w:r>
      <w:r w:rsidR="00C76B38" w:rsidRPr="00E5792C">
        <w:rPr>
          <w:bCs/>
          <w:lang w:val="en-US"/>
        </w:rPr>
        <w:t xml:space="preserve">did not remain </w:t>
      </w:r>
      <w:r w:rsidR="00095970" w:rsidRPr="00E5792C">
        <w:rPr>
          <w:bCs/>
          <w:lang w:val="en-US"/>
        </w:rPr>
        <w:t xml:space="preserve">associated with the composite endpoint. </w:t>
      </w:r>
      <w:bookmarkStart w:id="15" w:name="_Hlk49630566"/>
      <w:r w:rsidR="00A54821" w:rsidRPr="00E5792C">
        <w:rPr>
          <w:bCs/>
          <w:lang w:val="en-US"/>
        </w:rPr>
        <w:t>Overall,</w:t>
      </w:r>
      <w:r w:rsidR="00095970" w:rsidRPr="00E5792C">
        <w:rPr>
          <w:bCs/>
          <w:lang w:val="en-US"/>
        </w:rPr>
        <w:t xml:space="preserve"> this findi</w:t>
      </w:r>
      <w:r w:rsidR="00902939" w:rsidRPr="00E5792C">
        <w:rPr>
          <w:bCs/>
          <w:lang w:val="en-US"/>
        </w:rPr>
        <w:t>ng indicate</w:t>
      </w:r>
      <w:r w:rsidR="00C76B38" w:rsidRPr="00E5792C">
        <w:rPr>
          <w:bCs/>
          <w:lang w:val="en-US"/>
        </w:rPr>
        <w:t>s</w:t>
      </w:r>
      <w:r w:rsidR="00902939" w:rsidRPr="00E5792C">
        <w:rPr>
          <w:bCs/>
          <w:lang w:val="en-US"/>
        </w:rPr>
        <w:t xml:space="preserve"> that there is </w:t>
      </w:r>
      <w:r w:rsidR="00233A75" w:rsidRPr="00E5792C">
        <w:rPr>
          <w:bCs/>
          <w:lang w:val="en-US"/>
        </w:rPr>
        <w:t xml:space="preserve">a trend towards </w:t>
      </w:r>
      <w:r w:rsidR="00902939" w:rsidRPr="00E5792C">
        <w:rPr>
          <w:bCs/>
          <w:lang w:val="en-US"/>
        </w:rPr>
        <w:t xml:space="preserve">LGE </w:t>
      </w:r>
      <w:r w:rsidR="00233A75" w:rsidRPr="00E5792C">
        <w:rPr>
          <w:bCs/>
          <w:lang w:val="en-US"/>
        </w:rPr>
        <w:t xml:space="preserve">extent being associated with </w:t>
      </w:r>
      <w:r w:rsidR="00902939" w:rsidRPr="00E5792C">
        <w:rPr>
          <w:bCs/>
          <w:lang w:val="en-US"/>
        </w:rPr>
        <w:t xml:space="preserve">clinical outcome but larger </w:t>
      </w:r>
      <w:r w:rsidR="003D7FE4" w:rsidRPr="00E5792C">
        <w:rPr>
          <w:bCs/>
          <w:lang w:val="en-US"/>
        </w:rPr>
        <w:t xml:space="preserve">studies using a </w:t>
      </w:r>
      <w:r w:rsidR="00C72BF6" w:rsidRPr="00E5792C">
        <w:rPr>
          <w:bCs/>
          <w:lang w:val="en-US"/>
        </w:rPr>
        <w:t xml:space="preserve">standardized </w:t>
      </w:r>
      <w:r w:rsidR="004B4DE6" w:rsidRPr="00E5792C">
        <w:rPr>
          <w:bCs/>
          <w:lang w:val="en-US"/>
        </w:rPr>
        <w:t xml:space="preserve">methodology for gauging LGE </w:t>
      </w:r>
      <w:r w:rsidR="003D7FE4" w:rsidRPr="00E5792C">
        <w:rPr>
          <w:bCs/>
          <w:lang w:val="en-US"/>
        </w:rPr>
        <w:t xml:space="preserve">are needed to </w:t>
      </w:r>
      <w:r w:rsidR="00D77A68" w:rsidRPr="00E5792C">
        <w:rPr>
          <w:bCs/>
          <w:lang w:val="en-US"/>
        </w:rPr>
        <w:t>confirm this.</w:t>
      </w:r>
      <w:bookmarkEnd w:id="15"/>
    </w:p>
    <w:p w14:paraId="3A90B777" w14:textId="45B65085" w:rsidR="00713468" w:rsidRPr="00E5792C" w:rsidRDefault="006B18B3" w:rsidP="00E5792C">
      <w:pPr>
        <w:spacing w:line="480" w:lineRule="auto"/>
        <w:rPr>
          <w:rFonts w:ascii="Times" w:eastAsiaTheme="minorHAnsi" w:hAnsi="Times"/>
          <w:b/>
          <w:noProof/>
          <w:lang w:val="en-US" w:eastAsia="en-US"/>
        </w:rPr>
      </w:pPr>
      <w:r w:rsidRPr="00E5792C">
        <w:rPr>
          <w:rFonts w:ascii="Times" w:eastAsiaTheme="minorHAnsi" w:hAnsi="Times"/>
          <w:b/>
          <w:noProof/>
          <w:lang w:val="en-US" w:eastAsia="en-US"/>
        </w:rPr>
        <w:t xml:space="preserve">LGE </w:t>
      </w:r>
      <w:r w:rsidR="0039300F" w:rsidRPr="00E5792C">
        <w:rPr>
          <w:rFonts w:ascii="Times" w:eastAsiaTheme="minorHAnsi" w:hAnsi="Times"/>
          <w:b/>
          <w:noProof/>
          <w:lang w:val="en-US" w:eastAsia="en-US"/>
        </w:rPr>
        <w:t>l</w:t>
      </w:r>
      <w:r w:rsidR="00337D12" w:rsidRPr="00E5792C">
        <w:rPr>
          <w:rFonts w:ascii="Times" w:eastAsiaTheme="minorHAnsi" w:hAnsi="Times"/>
          <w:b/>
          <w:noProof/>
          <w:lang w:val="en-US" w:eastAsia="en-US"/>
        </w:rPr>
        <w:t xml:space="preserve">ocation and </w:t>
      </w:r>
      <w:r w:rsidR="0039300F" w:rsidRPr="00E5792C">
        <w:rPr>
          <w:rFonts w:ascii="Times" w:eastAsiaTheme="minorHAnsi" w:hAnsi="Times"/>
          <w:b/>
          <w:noProof/>
          <w:lang w:val="en-US" w:eastAsia="en-US"/>
        </w:rPr>
        <w:t>o</w:t>
      </w:r>
      <w:r w:rsidR="00337D12" w:rsidRPr="00E5792C">
        <w:rPr>
          <w:rFonts w:ascii="Times" w:eastAsiaTheme="minorHAnsi" w:hAnsi="Times"/>
          <w:b/>
          <w:noProof/>
          <w:lang w:val="en-US" w:eastAsia="en-US"/>
        </w:rPr>
        <w:t>utcome</w:t>
      </w:r>
      <w:r w:rsidR="0039300F" w:rsidRPr="00E5792C">
        <w:rPr>
          <w:rFonts w:ascii="Times" w:eastAsiaTheme="minorHAnsi" w:hAnsi="Times"/>
          <w:b/>
          <w:noProof/>
          <w:lang w:val="en-US" w:eastAsia="en-US"/>
        </w:rPr>
        <w:t>s</w:t>
      </w:r>
    </w:p>
    <w:p w14:paraId="4B02519A" w14:textId="1E4D7E50" w:rsidR="006B18B3" w:rsidRPr="00E5792C" w:rsidRDefault="000B3B40" w:rsidP="00E5792C">
      <w:pPr>
        <w:spacing w:line="480" w:lineRule="auto"/>
        <w:jc w:val="both"/>
        <w:rPr>
          <w:rFonts w:ascii="Times" w:hAnsi="Times"/>
          <w:lang w:val="en-US"/>
        </w:rPr>
      </w:pPr>
      <w:r w:rsidRPr="00E5792C">
        <w:rPr>
          <w:rFonts w:ascii="Times" w:eastAsiaTheme="minorHAnsi" w:hAnsi="Times"/>
          <w:noProof/>
          <w:lang w:val="en-US" w:eastAsia="en-US"/>
        </w:rPr>
        <w:t>A</w:t>
      </w:r>
      <w:r w:rsidR="00115135" w:rsidRPr="00E5792C">
        <w:rPr>
          <w:rFonts w:ascii="Times" w:eastAsiaTheme="minorHAnsi" w:hAnsi="Times"/>
          <w:noProof/>
          <w:lang w:val="en-US" w:eastAsia="en-US"/>
        </w:rPr>
        <w:t>nteroseptal</w:t>
      </w:r>
      <w:r w:rsidR="006B18B3" w:rsidRPr="00E5792C">
        <w:rPr>
          <w:rFonts w:ascii="Times" w:eastAsiaTheme="minorHAnsi" w:hAnsi="Times"/>
          <w:noProof/>
          <w:lang w:val="en-US" w:eastAsia="en-US"/>
        </w:rPr>
        <w:t xml:space="preserve"> </w:t>
      </w:r>
      <w:r w:rsidR="00DE3A58" w:rsidRPr="00E5792C">
        <w:rPr>
          <w:rFonts w:ascii="Times" w:eastAsiaTheme="minorHAnsi" w:hAnsi="Times"/>
          <w:noProof/>
          <w:lang w:val="en-US" w:eastAsia="en-US"/>
        </w:rPr>
        <w:t>location</w:t>
      </w:r>
      <w:r w:rsidR="006B18B3" w:rsidRPr="00E5792C">
        <w:rPr>
          <w:rFonts w:ascii="Times" w:eastAsiaTheme="minorHAnsi" w:hAnsi="Times"/>
          <w:noProof/>
          <w:lang w:val="en-US" w:eastAsia="en-US"/>
        </w:rPr>
        <w:t xml:space="preserve"> of LGE </w:t>
      </w:r>
      <w:r w:rsidR="00A163E5" w:rsidRPr="00E5792C">
        <w:rPr>
          <w:rFonts w:ascii="Times" w:eastAsiaTheme="minorHAnsi" w:hAnsi="Times"/>
          <w:noProof/>
          <w:lang w:val="en-US" w:eastAsia="en-US"/>
        </w:rPr>
        <w:t>portended a</w:t>
      </w:r>
      <w:r w:rsidR="009402E5" w:rsidRPr="00E5792C">
        <w:rPr>
          <w:rFonts w:ascii="Times" w:eastAsiaTheme="minorHAnsi" w:hAnsi="Times"/>
          <w:noProof/>
          <w:lang w:val="en-US" w:eastAsia="en-US"/>
        </w:rPr>
        <w:t xml:space="preserve"> two-fold</w:t>
      </w:r>
      <w:r w:rsidR="006B18B3" w:rsidRPr="00E5792C">
        <w:rPr>
          <w:rFonts w:ascii="Times" w:eastAsiaTheme="minorHAnsi" w:hAnsi="Times"/>
          <w:noProof/>
          <w:lang w:val="en-US" w:eastAsia="en-US"/>
        </w:rPr>
        <w:t xml:space="preserve"> </w:t>
      </w:r>
      <w:r w:rsidR="00DE3A58" w:rsidRPr="00E5792C">
        <w:rPr>
          <w:rFonts w:ascii="Times" w:eastAsiaTheme="minorHAnsi" w:hAnsi="Times"/>
          <w:noProof/>
          <w:lang w:val="en-US" w:eastAsia="en-US"/>
        </w:rPr>
        <w:t>increased risk of dying or experiencing MACE</w:t>
      </w:r>
      <w:r w:rsidR="006B18B3" w:rsidRPr="00E5792C">
        <w:rPr>
          <w:rFonts w:ascii="Times" w:eastAsiaTheme="minorHAnsi" w:hAnsi="Times"/>
          <w:noProof/>
          <w:lang w:val="en-US" w:eastAsia="en-US"/>
        </w:rPr>
        <w:t xml:space="preserve"> </w:t>
      </w:r>
      <w:r w:rsidR="00DE3A58" w:rsidRPr="00E5792C">
        <w:rPr>
          <w:rFonts w:ascii="Times" w:eastAsiaTheme="minorHAnsi" w:hAnsi="Times"/>
          <w:noProof/>
          <w:lang w:val="en-US" w:eastAsia="en-US"/>
        </w:rPr>
        <w:t>as</w:t>
      </w:r>
      <w:r w:rsidR="006B18B3" w:rsidRPr="00E5792C">
        <w:rPr>
          <w:rFonts w:ascii="Times" w:eastAsiaTheme="minorHAnsi" w:hAnsi="Times"/>
          <w:noProof/>
          <w:lang w:val="en-US" w:eastAsia="en-US"/>
        </w:rPr>
        <w:t xml:space="preserve"> </w:t>
      </w:r>
      <w:r w:rsidR="00DE3A58" w:rsidRPr="00E5792C">
        <w:rPr>
          <w:rFonts w:ascii="Times" w:eastAsiaTheme="minorHAnsi" w:hAnsi="Times"/>
          <w:noProof/>
          <w:lang w:val="en-US" w:eastAsia="en-US"/>
        </w:rPr>
        <w:t>compared to</w:t>
      </w:r>
      <w:r w:rsidR="006B18B3" w:rsidRPr="00E5792C">
        <w:rPr>
          <w:rFonts w:ascii="Times" w:eastAsiaTheme="minorHAnsi" w:hAnsi="Times"/>
          <w:noProof/>
          <w:lang w:val="en-US" w:eastAsia="en-US"/>
        </w:rPr>
        <w:t xml:space="preserve"> </w:t>
      </w:r>
      <w:r w:rsidR="00264BCF" w:rsidRPr="00E5792C">
        <w:rPr>
          <w:rFonts w:ascii="Times" w:eastAsiaTheme="minorHAnsi" w:hAnsi="Times"/>
          <w:noProof/>
          <w:lang w:val="en-US" w:eastAsia="en-US"/>
        </w:rPr>
        <w:t>non-AS</w:t>
      </w:r>
      <w:r w:rsidR="006B18B3" w:rsidRPr="00E5792C">
        <w:rPr>
          <w:rFonts w:ascii="Times" w:eastAsiaTheme="minorHAnsi" w:hAnsi="Times"/>
          <w:noProof/>
          <w:lang w:val="en-US" w:eastAsia="en-US"/>
        </w:rPr>
        <w:t xml:space="preserve"> </w:t>
      </w:r>
      <w:r w:rsidR="00175192" w:rsidRPr="00E5792C">
        <w:rPr>
          <w:rFonts w:ascii="Times" w:eastAsiaTheme="minorHAnsi" w:hAnsi="Times"/>
          <w:noProof/>
          <w:lang w:val="en-US" w:eastAsia="en-US"/>
        </w:rPr>
        <w:t>LGE</w:t>
      </w:r>
      <w:r w:rsidR="006B18B3" w:rsidRPr="00E5792C">
        <w:rPr>
          <w:rFonts w:ascii="Times" w:eastAsiaTheme="minorHAnsi" w:hAnsi="Times"/>
          <w:noProof/>
          <w:lang w:val="en-US" w:eastAsia="en-US"/>
        </w:rPr>
        <w:t xml:space="preserve">. </w:t>
      </w:r>
      <w:r w:rsidR="00CB3249" w:rsidRPr="00E5792C">
        <w:rPr>
          <w:rFonts w:ascii="Times" w:eastAsiaTheme="minorHAnsi" w:hAnsi="Times"/>
          <w:noProof/>
          <w:lang w:val="en-US" w:eastAsia="en-US"/>
        </w:rPr>
        <w:t xml:space="preserve">Of note, </w:t>
      </w:r>
      <w:r w:rsidR="00264BCF" w:rsidRPr="00E5792C">
        <w:rPr>
          <w:rFonts w:ascii="Times" w:eastAsiaTheme="minorHAnsi" w:hAnsi="Times"/>
          <w:noProof/>
          <w:lang w:val="en-US" w:eastAsia="en-US"/>
        </w:rPr>
        <w:t>LGE extent was comparable</w:t>
      </w:r>
      <w:r w:rsidR="00CB3249" w:rsidRPr="00E5792C">
        <w:rPr>
          <w:rFonts w:ascii="Times" w:eastAsiaTheme="minorHAnsi" w:hAnsi="Times"/>
          <w:noProof/>
          <w:lang w:val="en-US" w:eastAsia="en-US"/>
        </w:rPr>
        <w:t xml:space="preserve"> </w:t>
      </w:r>
      <w:r w:rsidR="00090AD4" w:rsidRPr="00E5792C">
        <w:rPr>
          <w:rFonts w:ascii="Times" w:eastAsiaTheme="minorHAnsi" w:hAnsi="Times"/>
          <w:noProof/>
          <w:lang w:val="en-US" w:eastAsia="en-US"/>
        </w:rPr>
        <w:t xml:space="preserve">between AS and </w:t>
      </w:r>
      <w:r w:rsidR="00264BCF" w:rsidRPr="00E5792C">
        <w:rPr>
          <w:rFonts w:ascii="Times" w:eastAsiaTheme="minorHAnsi" w:hAnsi="Times"/>
          <w:noProof/>
          <w:lang w:val="en-US" w:eastAsia="en-US"/>
        </w:rPr>
        <w:t xml:space="preserve">non-AS </w:t>
      </w:r>
      <w:r w:rsidR="00090AD4" w:rsidRPr="00E5792C">
        <w:rPr>
          <w:rFonts w:ascii="Times" w:eastAsiaTheme="minorHAnsi" w:hAnsi="Times"/>
          <w:noProof/>
          <w:lang w:val="en-US" w:eastAsia="en-US"/>
        </w:rPr>
        <w:t xml:space="preserve">subgroups </w:t>
      </w:r>
      <w:r w:rsidR="00042A5B" w:rsidRPr="00E5792C">
        <w:rPr>
          <w:rFonts w:ascii="Times" w:eastAsiaTheme="minorHAnsi" w:hAnsi="Times"/>
          <w:noProof/>
          <w:lang w:val="en-US" w:eastAsia="en-US"/>
        </w:rPr>
        <w:t>support</w:t>
      </w:r>
      <w:r w:rsidR="00056667" w:rsidRPr="00E5792C">
        <w:rPr>
          <w:rFonts w:ascii="Times" w:eastAsiaTheme="minorHAnsi" w:hAnsi="Times"/>
          <w:noProof/>
          <w:lang w:val="en-US" w:eastAsia="en-US"/>
        </w:rPr>
        <w:t>i</w:t>
      </w:r>
      <w:r w:rsidR="00042A5B" w:rsidRPr="00E5792C">
        <w:rPr>
          <w:rFonts w:ascii="Times" w:eastAsiaTheme="minorHAnsi" w:hAnsi="Times"/>
          <w:noProof/>
          <w:lang w:val="en-US" w:eastAsia="en-US"/>
        </w:rPr>
        <w:t>ng the concept that LG</w:t>
      </w:r>
      <w:r w:rsidR="00510315" w:rsidRPr="00E5792C">
        <w:rPr>
          <w:rFonts w:ascii="Times" w:eastAsiaTheme="minorHAnsi" w:hAnsi="Times"/>
          <w:noProof/>
          <w:lang w:val="en-US" w:eastAsia="en-US"/>
        </w:rPr>
        <w:t>E</w:t>
      </w:r>
      <w:r w:rsidR="00042A5B" w:rsidRPr="00E5792C">
        <w:rPr>
          <w:rFonts w:ascii="Times" w:eastAsiaTheme="minorHAnsi" w:hAnsi="Times"/>
          <w:noProof/>
          <w:lang w:val="en-US" w:eastAsia="en-US"/>
        </w:rPr>
        <w:t xml:space="preserve"> </w:t>
      </w:r>
      <w:r w:rsidR="00264BCF" w:rsidRPr="00E5792C">
        <w:rPr>
          <w:rFonts w:ascii="Times" w:eastAsiaTheme="minorHAnsi" w:hAnsi="Times"/>
          <w:noProof/>
          <w:lang w:val="en-US" w:eastAsia="en-US"/>
        </w:rPr>
        <w:t xml:space="preserve">location </w:t>
      </w:r>
      <w:r w:rsidR="004E760D" w:rsidRPr="00E5792C">
        <w:rPr>
          <w:rFonts w:ascii="Times" w:eastAsiaTheme="minorHAnsi" w:hAnsi="Times"/>
          <w:noProof/>
          <w:lang w:val="en-US" w:eastAsia="en-US"/>
        </w:rPr>
        <w:t xml:space="preserve">may </w:t>
      </w:r>
      <w:r w:rsidR="00381E80" w:rsidRPr="00E5792C">
        <w:rPr>
          <w:rFonts w:ascii="Times" w:hAnsi="Times"/>
          <w:lang w:val="en-US"/>
        </w:rPr>
        <w:t>h</w:t>
      </w:r>
      <w:r w:rsidR="00264BCF" w:rsidRPr="00E5792C">
        <w:rPr>
          <w:rFonts w:ascii="Times" w:hAnsi="Times"/>
          <w:lang w:val="en-US"/>
        </w:rPr>
        <w:t>old</w:t>
      </w:r>
      <w:r w:rsidR="00381E80" w:rsidRPr="00E5792C">
        <w:rPr>
          <w:rFonts w:ascii="Times" w:hAnsi="Times"/>
          <w:lang w:val="en-US"/>
        </w:rPr>
        <w:t xml:space="preserve"> prognostic value</w:t>
      </w:r>
      <w:r w:rsidR="00264BCF" w:rsidRPr="00E5792C">
        <w:rPr>
          <w:rFonts w:ascii="Times" w:eastAsiaTheme="minorHAnsi" w:hAnsi="Times"/>
          <w:i/>
          <w:noProof/>
          <w:lang w:val="en-US" w:eastAsia="en-US"/>
        </w:rPr>
        <w:t xml:space="preserve"> per se</w:t>
      </w:r>
      <w:r w:rsidR="00381E80" w:rsidRPr="00E5792C">
        <w:rPr>
          <w:rFonts w:ascii="Times" w:hAnsi="Times"/>
          <w:lang w:val="en-US"/>
        </w:rPr>
        <w:t>.</w:t>
      </w:r>
      <w:r w:rsidR="00510315" w:rsidRPr="00E5792C">
        <w:rPr>
          <w:rFonts w:ascii="Times" w:hAnsi="Times"/>
          <w:lang w:val="en-US"/>
        </w:rPr>
        <w:t xml:space="preserve"> </w:t>
      </w:r>
      <w:r w:rsidR="007253EC" w:rsidRPr="00E5792C">
        <w:rPr>
          <w:rFonts w:ascii="Times" w:hAnsi="Times"/>
          <w:lang w:val="en-US"/>
        </w:rPr>
        <w:t>A previous study</w:t>
      </w:r>
      <w:r w:rsidR="009D7C6B" w:rsidRPr="00E5792C">
        <w:rPr>
          <w:rFonts w:ascii="Times" w:hAnsi="Times"/>
          <w:lang w:val="en-US"/>
        </w:rPr>
        <w:t xml:space="preserve"> </w:t>
      </w:r>
      <w:r w:rsidR="007253EC" w:rsidRPr="00E5792C">
        <w:rPr>
          <w:rFonts w:ascii="Times" w:hAnsi="Times"/>
          <w:lang w:val="en-US"/>
        </w:rPr>
        <w:t>found</w:t>
      </w:r>
      <w:r w:rsidR="00E76C9C" w:rsidRPr="00E5792C">
        <w:rPr>
          <w:rFonts w:ascii="Times" w:hAnsi="Times"/>
          <w:lang w:val="en-US"/>
        </w:rPr>
        <w:t xml:space="preserve"> </w:t>
      </w:r>
      <w:r w:rsidR="00E76C9C" w:rsidRPr="00E5792C">
        <w:rPr>
          <w:rFonts w:ascii="Times" w:eastAsiaTheme="minorHAnsi" w:hAnsi="Times"/>
          <w:noProof/>
          <w:lang w:val="en-US" w:eastAsia="en-US"/>
        </w:rPr>
        <w:t>higher troponin release, LV</w:t>
      </w:r>
      <w:r w:rsidR="00175192" w:rsidRPr="00E5792C">
        <w:rPr>
          <w:rFonts w:ascii="Times" w:eastAsiaTheme="minorHAnsi" w:hAnsi="Times"/>
          <w:noProof/>
          <w:lang w:val="en-US" w:eastAsia="en-US"/>
        </w:rPr>
        <w:t xml:space="preserve"> volumes</w:t>
      </w:r>
      <w:r w:rsidR="004024D3" w:rsidRPr="00E5792C">
        <w:rPr>
          <w:rFonts w:ascii="Times" w:eastAsiaTheme="minorHAnsi" w:hAnsi="Times"/>
          <w:noProof/>
          <w:lang w:val="en-US" w:eastAsia="en-US"/>
        </w:rPr>
        <w:t>,</w:t>
      </w:r>
      <w:r w:rsidR="00E76C9C" w:rsidRPr="00E5792C">
        <w:rPr>
          <w:rFonts w:ascii="Times" w:eastAsiaTheme="minorHAnsi" w:hAnsi="Times"/>
          <w:noProof/>
          <w:lang w:val="en-US" w:eastAsia="en-US"/>
        </w:rPr>
        <w:t xml:space="preserve"> and </w:t>
      </w:r>
      <w:r w:rsidR="00175192" w:rsidRPr="00E5792C">
        <w:rPr>
          <w:rFonts w:ascii="Times" w:eastAsiaTheme="minorHAnsi" w:hAnsi="Times"/>
          <w:noProof/>
          <w:lang w:val="en-US" w:eastAsia="en-US"/>
        </w:rPr>
        <w:t>greater</w:t>
      </w:r>
      <w:r w:rsidR="00911EE2" w:rsidRPr="00E5792C">
        <w:rPr>
          <w:rFonts w:ascii="Times" w:eastAsiaTheme="minorHAnsi" w:hAnsi="Times"/>
          <w:noProof/>
          <w:lang w:val="en-US" w:eastAsia="en-US"/>
        </w:rPr>
        <w:t xml:space="preserve"> </w:t>
      </w:r>
      <w:r w:rsidR="00E76C9C" w:rsidRPr="00E5792C">
        <w:rPr>
          <w:rFonts w:ascii="Times" w:eastAsiaTheme="minorHAnsi" w:hAnsi="Times"/>
          <w:noProof/>
          <w:lang w:val="en-US" w:eastAsia="en-US"/>
        </w:rPr>
        <w:t xml:space="preserve">LGE </w:t>
      </w:r>
      <w:r w:rsidR="00911EE2" w:rsidRPr="00E5792C">
        <w:rPr>
          <w:rFonts w:ascii="Times" w:eastAsiaTheme="minorHAnsi" w:hAnsi="Times"/>
          <w:noProof/>
          <w:lang w:val="en-US" w:eastAsia="en-US"/>
        </w:rPr>
        <w:t xml:space="preserve">extent </w:t>
      </w:r>
      <w:r w:rsidR="00E76C9C" w:rsidRPr="00E5792C">
        <w:rPr>
          <w:rFonts w:ascii="Times" w:eastAsiaTheme="minorHAnsi" w:hAnsi="Times"/>
          <w:noProof/>
          <w:lang w:val="en-US" w:eastAsia="en-US"/>
        </w:rPr>
        <w:t xml:space="preserve">in the AS </w:t>
      </w:r>
      <w:r w:rsidR="007253EC" w:rsidRPr="00E5792C">
        <w:rPr>
          <w:rFonts w:ascii="Times" w:eastAsiaTheme="minorHAnsi" w:hAnsi="Times"/>
          <w:noProof/>
          <w:lang w:val="en-US" w:eastAsia="en-US"/>
        </w:rPr>
        <w:t>as compared</w:t>
      </w:r>
      <w:r w:rsidR="00510315" w:rsidRPr="00E5792C">
        <w:rPr>
          <w:rFonts w:ascii="Times" w:eastAsiaTheme="minorHAnsi" w:hAnsi="Times"/>
          <w:noProof/>
          <w:lang w:val="en-US" w:eastAsia="en-US"/>
        </w:rPr>
        <w:t xml:space="preserve"> </w:t>
      </w:r>
      <w:r w:rsidR="00056667" w:rsidRPr="00E5792C">
        <w:rPr>
          <w:rFonts w:ascii="Times" w:eastAsiaTheme="minorHAnsi" w:hAnsi="Times"/>
          <w:noProof/>
          <w:lang w:val="en-US" w:eastAsia="en-US"/>
        </w:rPr>
        <w:t>to</w:t>
      </w:r>
      <w:r w:rsidR="00510315" w:rsidRPr="00E5792C">
        <w:rPr>
          <w:rFonts w:ascii="Times" w:eastAsiaTheme="minorHAnsi" w:hAnsi="Times"/>
          <w:noProof/>
          <w:lang w:val="en-US" w:eastAsia="en-US"/>
        </w:rPr>
        <w:t xml:space="preserve"> </w:t>
      </w:r>
      <w:r w:rsidR="00B524CA" w:rsidRPr="00E5792C">
        <w:rPr>
          <w:rFonts w:ascii="Times" w:eastAsiaTheme="minorHAnsi" w:hAnsi="Times"/>
          <w:noProof/>
          <w:lang w:val="en-US" w:eastAsia="en-US"/>
        </w:rPr>
        <w:t>non-AS</w:t>
      </w:r>
      <w:r w:rsidR="007253EC" w:rsidRPr="00E5792C">
        <w:rPr>
          <w:rFonts w:ascii="Times" w:eastAsiaTheme="minorHAnsi" w:hAnsi="Times"/>
          <w:noProof/>
          <w:lang w:val="en-US" w:eastAsia="en-US"/>
        </w:rPr>
        <w:t xml:space="preserve"> </w:t>
      </w:r>
      <w:r w:rsidR="00E76C9C" w:rsidRPr="00E5792C">
        <w:rPr>
          <w:rFonts w:ascii="Times" w:eastAsiaTheme="minorHAnsi" w:hAnsi="Times"/>
          <w:noProof/>
          <w:lang w:val="en-US" w:eastAsia="en-US"/>
        </w:rPr>
        <w:t xml:space="preserve">group. </w:t>
      </w:r>
      <w:r w:rsidR="007253EC" w:rsidRPr="00E5792C">
        <w:rPr>
          <w:rFonts w:ascii="Times" w:eastAsiaTheme="minorHAnsi" w:hAnsi="Times"/>
          <w:noProof/>
          <w:lang w:val="en-US" w:eastAsia="en-US"/>
        </w:rPr>
        <w:t>However</w:t>
      </w:r>
      <w:r w:rsidR="00E76C9C" w:rsidRPr="00E5792C">
        <w:rPr>
          <w:rFonts w:ascii="Times" w:eastAsiaTheme="minorHAnsi" w:hAnsi="Times"/>
          <w:noProof/>
          <w:lang w:val="en-US" w:eastAsia="en-US"/>
        </w:rPr>
        <w:t>,</w:t>
      </w:r>
      <w:r w:rsidR="00510315" w:rsidRPr="00E5792C">
        <w:rPr>
          <w:rFonts w:ascii="Times" w:eastAsiaTheme="minorHAnsi" w:hAnsi="Times"/>
          <w:noProof/>
          <w:lang w:val="en-US" w:eastAsia="en-US"/>
        </w:rPr>
        <w:t xml:space="preserve"> </w:t>
      </w:r>
      <w:r w:rsidR="00E76C9C" w:rsidRPr="00E5792C">
        <w:rPr>
          <w:rFonts w:ascii="Times" w:eastAsiaTheme="minorHAnsi" w:hAnsi="Times"/>
          <w:noProof/>
          <w:lang w:val="en-US" w:eastAsia="en-US"/>
        </w:rPr>
        <w:t>meta</w:t>
      </w:r>
      <w:r w:rsidR="004E760D" w:rsidRPr="00E5792C">
        <w:rPr>
          <w:rFonts w:ascii="Times" w:eastAsiaTheme="minorHAnsi" w:hAnsi="Times"/>
          <w:noProof/>
          <w:lang w:val="en-US" w:eastAsia="en-US"/>
        </w:rPr>
        <w:t>-</w:t>
      </w:r>
      <w:r w:rsidR="00E76C9C" w:rsidRPr="00E5792C">
        <w:rPr>
          <w:rFonts w:ascii="Times" w:eastAsiaTheme="minorHAnsi" w:hAnsi="Times"/>
          <w:noProof/>
          <w:lang w:val="en-US" w:eastAsia="en-US"/>
        </w:rPr>
        <w:t xml:space="preserve">regression </w:t>
      </w:r>
      <w:r w:rsidR="00B524CA" w:rsidRPr="00E5792C">
        <w:rPr>
          <w:rFonts w:ascii="Times" w:eastAsiaTheme="minorHAnsi" w:hAnsi="Times"/>
          <w:noProof/>
          <w:lang w:val="en-US" w:eastAsia="en-US"/>
        </w:rPr>
        <w:t>analys</w:t>
      </w:r>
      <w:r w:rsidR="004E6BE7" w:rsidRPr="00E5792C">
        <w:rPr>
          <w:rFonts w:ascii="Times" w:eastAsiaTheme="minorHAnsi" w:hAnsi="Times"/>
          <w:noProof/>
          <w:lang w:val="en-US" w:eastAsia="en-US"/>
        </w:rPr>
        <w:t>i</w:t>
      </w:r>
      <w:r w:rsidR="00B524CA" w:rsidRPr="00E5792C">
        <w:rPr>
          <w:rFonts w:ascii="Times" w:eastAsiaTheme="minorHAnsi" w:hAnsi="Times"/>
          <w:noProof/>
          <w:lang w:val="en-US" w:eastAsia="en-US"/>
        </w:rPr>
        <w:t xml:space="preserve">s </w:t>
      </w:r>
      <w:r w:rsidR="007253EC" w:rsidRPr="00E5792C">
        <w:rPr>
          <w:rFonts w:ascii="Times" w:eastAsiaTheme="minorHAnsi" w:hAnsi="Times"/>
          <w:noProof/>
          <w:lang w:val="en-US" w:eastAsia="en-US"/>
        </w:rPr>
        <w:t xml:space="preserve">in </w:t>
      </w:r>
      <w:r w:rsidR="00B524CA" w:rsidRPr="00E5792C">
        <w:rPr>
          <w:rFonts w:ascii="Times" w:eastAsiaTheme="minorHAnsi" w:hAnsi="Times"/>
          <w:noProof/>
          <w:lang w:val="en-US" w:eastAsia="en-US"/>
        </w:rPr>
        <w:t xml:space="preserve">our </w:t>
      </w:r>
      <w:r w:rsidR="008731D8" w:rsidRPr="00E5792C">
        <w:rPr>
          <w:rFonts w:ascii="Times" w:eastAsiaTheme="minorHAnsi" w:hAnsi="Times"/>
          <w:noProof/>
          <w:lang w:val="en-US" w:eastAsia="en-US"/>
        </w:rPr>
        <w:t>study</w:t>
      </w:r>
      <w:r w:rsidR="007253EC" w:rsidRPr="00E5792C">
        <w:rPr>
          <w:rFonts w:ascii="Times" w:eastAsiaTheme="minorHAnsi" w:hAnsi="Times"/>
          <w:noProof/>
          <w:lang w:val="en-US" w:eastAsia="en-US"/>
        </w:rPr>
        <w:t xml:space="preserve"> </w:t>
      </w:r>
      <w:r w:rsidR="00870105" w:rsidRPr="00E5792C">
        <w:rPr>
          <w:rFonts w:ascii="Times" w:eastAsiaTheme="minorHAnsi" w:hAnsi="Times"/>
          <w:noProof/>
          <w:lang w:val="en-US" w:eastAsia="en-US"/>
        </w:rPr>
        <w:t>showed a</w:t>
      </w:r>
      <w:r w:rsidR="00056667" w:rsidRPr="00E5792C">
        <w:rPr>
          <w:rFonts w:ascii="Times" w:eastAsiaTheme="minorHAnsi" w:hAnsi="Times"/>
          <w:noProof/>
          <w:lang w:val="en-US" w:eastAsia="en-US"/>
        </w:rPr>
        <w:t>n</w:t>
      </w:r>
      <w:r w:rsidR="00870105" w:rsidRPr="00E5792C">
        <w:rPr>
          <w:rFonts w:ascii="Times" w:eastAsiaTheme="minorHAnsi" w:hAnsi="Times"/>
          <w:noProof/>
          <w:lang w:val="en-US" w:eastAsia="en-US"/>
        </w:rPr>
        <w:t xml:space="preserve"> independent prognostic value of AS location of LGE in AM patients irrespective </w:t>
      </w:r>
      <w:r w:rsidR="00056667" w:rsidRPr="00E5792C">
        <w:rPr>
          <w:rFonts w:ascii="Times" w:eastAsiaTheme="minorHAnsi" w:hAnsi="Times"/>
          <w:noProof/>
          <w:lang w:val="en-US" w:eastAsia="en-US"/>
        </w:rPr>
        <w:t xml:space="preserve">of </w:t>
      </w:r>
      <w:r w:rsidR="00A97C10" w:rsidRPr="00E5792C">
        <w:rPr>
          <w:rFonts w:ascii="Times" w:eastAsiaTheme="minorHAnsi" w:hAnsi="Times"/>
          <w:noProof/>
          <w:lang w:val="en-US" w:eastAsia="en-US"/>
        </w:rPr>
        <w:t xml:space="preserve">LGE extent </w:t>
      </w:r>
      <w:r w:rsidR="004E6BE7" w:rsidRPr="00E5792C">
        <w:rPr>
          <w:rFonts w:ascii="Times" w:eastAsiaTheme="minorHAnsi" w:hAnsi="Times"/>
          <w:noProof/>
          <w:lang w:val="en-US" w:eastAsia="en-US"/>
        </w:rPr>
        <w:t xml:space="preserve">and </w:t>
      </w:r>
      <w:r w:rsidR="00510315" w:rsidRPr="00E5792C">
        <w:rPr>
          <w:rFonts w:ascii="Times" w:eastAsiaTheme="minorHAnsi" w:hAnsi="Times"/>
          <w:noProof/>
          <w:lang w:val="en-US" w:eastAsia="en-US"/>
        </w:rPr>
        <w:t xml:space="preserve">indices of </w:t>
      </w:r>
      <w:r w:rsidR="00A97C10" w:rsidRPr="00E5792C">
        <w:rPr>
          <w:rFonts w:ascii="Times" w:eastAsiaTheme="minorHAnsi" w:hAnsi="Times"/>
          <w:noProof/>
          <w:lang w:val="en-US" w:eastAsia="en-US"/>
        </w:rPr>
        <w:t>LV remodeling</w:t>
      </w:r>
      <w:r w:rsidR="00510315" w:rsidRPr="00E5792C">
        <w:rPr>
          <w:rFonts w:ascii="Times" w:eastAsiaTheme="minorHAnsi" w:hAnsi="Times"/>
          <w:noProof/>
          <w:lang w:val="en-US" w:eastAsia="en-US"/>
        </w:rPr>
        <w:t>, including LV</w:t>
      </w:r>
      <w:r w:rsidR="008731D8" w:rsidRPr="00E5792C">
        <w:rPr>
          <w:rFonts w:ascii="Times" w:eastAsiaTheme="minorHAnsi" w:hAnsi="Times"/>
          <w:noProof/>
          <w:lang w:val="en-US" w:eastAsia="en-US"/>
        </w:rPr>
        <w:t xml:space="preserve"> ejection-fraction</w:t>
      </w:r>
      <w:r w:rsidR="00510315" w:rsidRPr="00E5792C">
        <w:rPr>
          <w:rFonts w:ascii="Times" w:eastAsiaTheme="minorHAnsi" w:hAnsi="Times"/>
          <w:noProof/>
          <w:lang w:val="en-US" w:eastAsia="en-US"/>
        </w:rPr>
        <w:t xml:space="preserve"> and volumes. </w:t>
      </w:r>
      <w:r w:rsidR="00C72BF6" w:rsidRPr="00E5792C">
        <w:rPr>
          <w:rFonts w:ascii="Times" w:eastAsiaTheme="minorHAnsi" w:hAnsi="Times"/>
          <w:noProof/>
          <w:lang w:val="en-US" w:eastAsia="en-US"/>
        </w:rPr>
        <w:t xml:space="preserve">In contradistinction, an IL </w:t>
      </w:r>
      <w:r w:rsidR="0026777E" w:rsidRPr="00E5792C">
        <w:rPr>
          <w:rFonts w:ascii="Times" w:eastAsiaTheme="minorHAnsi" w:hAnsi="Times"/>
          <w:noProof/>
          <w:lang w:val="en-US" w:eastAsia="en-US"/>
        </w:rPr>
        <w:t xml:space="preserve">location trended towards a reduced incidence of the primary outcome. </w:t>
      </w:r>
      <w:bookmarkStart w:id="16" w:name="_Hlk49631203"/>
      <w:r w:rsidR="00661353" w:rsidRPr="00E5792C">
        <w:rPr>
          <w:rFonts w:ascii="Times" w:eastAsiaTheme="minorHAnsi" w:hAnsi="Times"/>
          <w:noProof/>
          <w:lang w:val="en-US" w:eastAsia="en-US"/>
        </w:rPr>
        <w:t xml:space="preserve">Previous </w:t>
      </w:r>
      <w:r w:rsidR="00D27797" w:rsidRPr="00E5792C">
        <w:rPr>
          <w:rFonts w:ascii="Times" w:eastAsiaTheme="minorHAnsi" w:hAnsi="Times"/>
          <w:noProof/>
          <w:lang w:val="en-US" w:eastAsia="en-US"/>
        </w:rPr>
        <w:t xml:space="preserve">studies </w:t>
      </w:r>
      <w:r w:rsidR="00C91910" w:rsidRPr="00E5792C">
        <w:rPr>
          <w:rFonts w:ascii="Times" w:eastAsiaTheme="minorHAnsi" w:hAnsi="Times"/>
          <w:noProof/>
          <w:lang w:val="en-US" w:eastAsia="en-US"/>
        </w:rPr>
        <w:t>in AM patients undergoi</w:t>
      </w:r>
      <w:r w:rsidR="00E2141C" w:rsidRPr="00E5792C">
        <w:rPr>
          <w:rFonts w:ascii="Times" w:eastAsiaTheme="minorHAnsi" w:hAnsi="Times"/>
          <w:noProof/>
          <w:lang w:val="en-US" w:eastAsia="en-US"/>
        </w:rPr>
        <w:t>ng LGE-CMR guided endocardial biops</w:t>
      </w:r>
      <w:r w:rsidR="008731D8" w:rsidRPr="00E5792C">
        <w:rPr>
          <w:rFonts w:ascii="Times" w:eastAsiaTheme="minorHAnsi" w:hAnsi="Times"/>
          <w:noProof/>
          <w:lang w:val="en-US" w:eastAsia="en-US"/>
        </w:rPr>
        <w:t>y</w:t>
      </w:r>
      <w:r w:rsidR="00E2141C" w:rsidRPr="00E5792C">
        <w:rPr>
          <w:rFonts w:ascii="Times" w:eastAsiaTheme="minorHAnsi" w:hAnsi="Times"/>
          <w:noProof/>
          <w:lang w:val="en-US" w:eastAsia="en-US"/>
        </w:rPr>
        <w:t xml:space="preserve"> </w:t>
      </w:r>
      <w:r w:rsidR="004757E8" w:rsidRPr="00E5792C">
        <w:rPr>
          <w:rFonts w:ascii="Times" w:eastAsiaTheme="minorHAnsi" w:hAnsi="Times"/>
          <w:noProof/>
          <w:lang w:val="en-US" w:eastAsia="en-US"/>
        </w:rPr>
        <w:t>indicate</w:t>
      </w:r>
      <w:r w:rsidR="00870105" w:rsidRPr="00E5792C">
        <w:rPr>
          <w:rFonts w:ascii="Times" w:eastAsiaTheme="minorHAnsi" w:hAnsi="Times"/>
          <w:noProof/>
          <w:lang w:val="en-US" w:eastAsia="en-US"/>
        </w:rPr>
        <w:t>d</w:t>
      </w:r>
      <w:r w:rsidR="004757E8" w:rsidRPr="00E5792C">
        <w:rPr>
          <w:rFonts w:ascii="Times" w:eastAsiaTheme="minorHAnsi" w:hAnsi="Times"/>
          <w:noProof/>
          <w:lang w:val="en-US" w:eastAsia="en-US"/>
        </w:rPr>
        <w:t xml:space="preserve"> that AS myocarditis patients are more likely to harbor human herpes virus </w:t>
      </w:r>
      <w:r w:rsidR="005E7C52" w:rsidRPr="00E5792C">
        <w:rPr>
          <w:rFonts w:ascii="Times" w:eastAsiaTheme="minorHAnsi" w:hAnsi="Times"/>
          <w:noProof/>
          <w:lang w:val="en-US" w:eastAsia="en-US"/>
        </w:rPr>
        <w:t>6 (</w:t>
      </w:r>
      <w:r w:rsidR="004E760D" w:rsidRPr="00E5792C">
        <w:rPr>
          <w:rFonts w:ascii="Times" w:eastAsiaTheme="minorHAnsi" w:hAnsi="Times"/>
          <w:noProof/>
          <w:lang w:val="en-US" w:eastAsia="en-US"/>
        </w:rPr>
        <w:t>HHV6</w:t>
      </w:r>
      <w:r w:rsidR="005E7C52" w:rsidRPr="00E5792C">
        <w:rPr>
          <w:rFonts w:ascii="Times" w:eastAsiaTheme="minorHAnsi" w:hAnsi="Times"/>
          <w:noProof/>
          <w:lang w:val="en-US" w:eastAsia="en-US"/>
        </w:rPr>
        <w:t xml:space="preserve">) </w:t>
      </w:r>
      <w:r w:rsidR="00D03A6D" w:rsidRPr="00E5792C">
        <w:rPr>
          <w:rFonts w:ascii="Times" w:eastAsiaTheme="minorHAnsi" w:hAnsi="Times"/>
          <w:noProof/>
          <w:lang w:val="en-US" w:eastAsia="en-US"/>
        </w:rPr>
        <w:t xml:space="preserve">and parvovirus B19 (PVB19) </w:t>
      </w:r>
      <w:r w:rsidR="00E2141C" w:rsidRPr="00E5792C">
        <w:rPr>
          <w:rFonts w:ascii="Times" w:eastAsiaTheme="minorHAnsi" w:hAnsi="Times"/>
          <w:noProof/>
          <w:lang w:val="en-US" w:eastAsia="en-US"/>
        </w:rPr>
        <w:t xml:space="preserve">co-infection </w:t>
      </w:r>
      <w:r w:rsidR="00D03A6D" w:rsidRPr="00E5792C">
        <w:rPr>
          <w:rFonts w:ascii="Times" w:eastAsiaTheme="minorHAnsi" w:hAnsi="Times"/>
          <w:noProof/>
          <w:lang w:val="en-US" w:eastAsia="en-US"/>
        </w:rPr>
        <w:t xml:space="preserve">than </w:t>
      </w:r>
      <w:r w:rsidR="00D27797" w:rsidRPr="00E5792C">
        <w:rPr>
          <w:rFonts w:ascii="Times" w:eastAsiaTheme="minorHAnsi" w:hAnsi="Times"/>
          <w:noProof/>
          <w:lang w:val="en-US" w:eastAsia="en-US"/>
        </w:rPr>
        <w:t>those with</w:t>
      </w:r>
      <w:r w:rsidR="005E7C52" w:rsidRPr="00E5792C">
        <w:rPr>
          <w:rFonts w:ascii="Times" w:eastAsiaTheme="minorHAnsi" w:hAnsi="Times"/>
          <w:noProof/>
          <w:lang w:val="en-US" w:eastAsia="en-US"/>
        </w:rPr>
        <w:t xml:space="preserve"> </w:t>
      </w:r>
      <w:r w:rsidR="00870105" w:rsidRPr="00E5792C">
        <w:rPr>
          <w:rFonts w:ascii="Times" w:eastAsiaTheme="minorHAnsi" w:hAnsi="Times"/>
          <w:noProof/>
          <w:lang w:val="en-US" w:eastAsia="en-US"/>
        </w:rPr>
        <w:t>non-AS</w:t>
      </w:r>
      <w:r w:rsidR="008C2B47" w:rsidRPr="00E5792C">
        <w:rPr>
          <w:rFonts w:ascii="Times" w:eastAsiaTheme="minorHAnsi" w:hAnsi="Times"/>
          <w:noProof/>
          <w:lang w:val="en-US" w:eastAsia="en-US"/>
        </w:rPr>
        <w:t xml:space="preserve"> involvement</w:t>
      </w:r>
      <w:r w:rsidR="00CA1286" w:rsidRPr="00E5792C">
        <w:rPr>
          <w:rFonts w:ascii="Times" w:eastAsiaTheme="minorHAnsi" w:hAnsi="Times"/>
          <w:noProof/>
          <w:lang w:val="en-US" w:eastAsia="en-US"/>
        </w:rPr>
        <w:t>.</w:t>
      </w:r>
      <w:r w:rsidR="00C71E53" w:rsidRPr="00E5792C">
        <w:rPr>
          <w:rFonts w:ascii="Times" w:eastAsiaTheme="minorHAnsi" w:hAnsi="Times"/>
          <w:noProof/>
          <w:vertAlign w:val="superscript"/>
          <w:lang w:val="en-US" w:eastAsia="en-US"/>
        </w:rPr>
        <w:t>40</w:t>
      </w:r>
      <w:r w:rsidR="00CA1286" w:rsidRPr="00E5792C">
        <w:rPr>
          <w:rFonts w:ascii="Times" w:eastAsiaTheme="minorHAnsi" w:hAnsi="Times"/>
          <w:noProof/>
          <w:lang w:val="en-US" w:eastAsia="en-US"/>
        </w:rPr>
        <w:t xml:space="preserve"> </w:t>
      </w:r>
      <w:r w:rsidR="002B5A26" w:rsidRPr="00E5792C">
        <w:rPr>
          <w:rFonts w:ascii="Times" w:eastAsiaTheme="minorHAnsi" w:hAnsi="Times"/>
          <w:noProof/>
          <w:lang w:val="en-US" w:eastAsia="en-US"/>
        </w:rPr>
        <w:t xml:space="preserve">The natural history of </w:t>
      </w:r>
      <w:r w:rsidR="002B5A26" w:rsidRPr="00E5792C">
        <w:rPr>
          <w:rFonts w:ascii="Times" w:hAnsi="Times"/>
          <w:lang w:val="en-US"/>
        </w:rPr>
        <w:t>H</w:t>
      </w:r>
      <w:r w:rsidR="008A64BD" w:rsidRPr="00E5792C">
        <w:rPr>
          <w:rFonts w:ascii="Times" w:hAnsi="Times"/>
          <w:lang w:val="en-US"/>
        </w:rPr>
        <w:t>H</w:t>
      </w:r>
      <w:r w:rsidR="004E760D" w:rsidRPr="00E5792C">
        <w:rPr>
          <w:rFonts w:ascii="Times" w:hAnsi="Times"/>
          <w:lang w:val="en-US"/>
        </w:rPr>
        <w:t>V</w:t>
      </w:r>
      <w:r w:rsidR="008A64BD" w:rsidRPr="00E5792C">
        <w:rPr>
          <w:rFonts w:ascii="Times" w:hAnsi="Times"/>
          <w:lang w:val="en-US"/>
        </w:rPr>
        <w:t>6</w:t>
      </w:r>
      <w:r w:rsidR="006B18B3" w:rsidRPr="00E5792C">
        <w:rPr>
          <w:rFonts w:ascii="Times" w:hAnsi="Times"/>
          <w:lang w:val="en-US"/>
        </w:rPr>
        <w:t xml:space="preserve"> </w:t>
      </w:r>
      <w:r w:rsidR="008A64BD" w:rsidRPr="00E5792C">
        <w:rPr>
          <w:rFonts w:ascii="Times" w:hAnsi="Times"/>
          <w:lang w:val="en-US"/>
        </w:rPr>
        <w:t xml:space="preserve">infection is featured by </w:t>
      </w:r>
      <w:r w:rsidR="00474F16" w:rsidRPr="00E5792C">
        <w:rPr>
          <w:rFonts w:ascii="Times" w:hAnsi="Times"/>
          <w:lang w:val="en-US"/>
        </w:rPr>
        <w:t xml:space="preserve">a long-lasting </w:t>
      </w:r>
      <w:r w:rsidR="006B18B3" w:rsidRPr="00E5792C">
        <w:rPr>
          <w:rFonts w:ascii="Times" w:hAnsi="Times"/>
          <w:lang w:val="en-US"/>
        </w:rPr>
        <w:t xml:space="preserve">latent </w:t>
      </w:r>
      <w:r w:rsidR="00A972FF" w:rsidRPr="00E5792C">
        <w:rPr>
          <w:rFonts w:ascii="Times" w:hAnsi="Times"/>
          <w:lang w:val="en-US"/>
        </w:rPr>
        <w:t xml:space="preserve">infection </w:t>
      </w:r>
      <w:r w:rsidR="006B18B3" w:rsidRPr="00E5792C">
        <w:rPr>
          <w:rFonts w:ascii="Times" w:hAnsi="Times"/>
          <w:lang w:val="en-US"/>
        </w:rPr>
        <w:t xml:space="preserve">after </w:t>
      </w:r>
      <w:r w:rsidR="00474F16" w:rsidRPr="00E5792C">
        <w:rPr>
          <w:rFonts w:ascii="Times" w:hAnsi="Times"/>
          <w:lang w:val="en-US"/>
        </w:rPr>
        <w:t xml:space="preserve">the first </w:t>
      </w:r>
      <w:r w:rsidR="00E94751" w:rsidRPr="00E5792C">
        <w:rPr>
          <w:rFonts w:ascii="Times" w:hAnsi="Times"/>
          <w:lang w:val="en-US"/>
        </w:rPr>
        <w:t>exposure</w:t>
      </w:r>
      <w:r w:rsidR="005C2F38" w:rsidRPr="00E5792C">
        <w:rPr>
          <w:rFonts w:ascii="Times" w:hAnsi="Times"/>
          <w:lang w:val="en-US"/>
        </w:rPr>
        <w:t xml:space="preserve"> </w:t>
      </w:r>
      <w:r w:rsidR="006B18B3" w:rsidRPr="00E5792C">
        <w:rPr>
          <w:rFonts w:ascii="Times" w:hAnsi="Times"/>
          <w:lang w:val="en-US"/>
        </w:rPr>
        <w:t>in early childhood</w:t>
      </w:r>
      <w:r w:rsidR="00403F88" w:rsidRPr="00E5792C">
        <w:rPr>
          <w:rFonts w:ascii="Times" w:hAnsi="Times"/>
          <w:lang w:val="en-US"/>
        </w:rPr>
        <w:t xml:space="preserve"> and may be associated with worse outcomes</w:t>
      </w:r>
      <w:r w:rsidR="004A7C02" w:rsidRPr="00E5792C">
        <w:rPr>
          <w:rFonts w:ascii="Times" w:hAnsi="Times"/>
          <w:lang w:val="en-US"/>
        </w:rPr>
        <w:t>, particularly as the cardiac conduction system resides in the septum</w:t>
      </w:r>
      <w:r w:rsidR="008C2B47" w:rsidRPr="00E5792C">
        <w:rPr>
          <w:rFonts w:ascii="Times" w:hAnsi="Times"/>
          <w:lang w:val="en-US"/>
        </w:rPr>
        <w:t>.</w:t>
      </w:r>
      <w:r w:rsidR="0007599E" w:rsidRPr="00E5792C">
        <w:rPr>
          <w:rFonts w:ascii="Times" w:hAnsi="Times"/>
          <w:vertAlign w:val="superscript"/>
          <w:lang w:val="en-US"/>
        </w:rPr>
        <w:t>4</w:t>
      </w:r>
      <w:r w:rsidR="00C71E53" w:rsidRPr="00E5792C">
        <w:rPr>
          <w:rFonts w:ascii="Times" w:hAnsi="Times"/>
          <w:vertAlign w:val="superscript"/>
          <w:lang w:val="en-US"/>
        </w:rPr>
        <w:t>1</w:t>
      </w:r>
      <w:bookmarkEnd w:id="16"/>
    </w:p>
    <w:p w14:paraId="53BC7385" w14:textId="297330F9" w:rsidR="00894F26" w:rsidRPr="00E5792C" w:rsidRDefault="006B18B3" w:rsidP="00E5792C">
      <w:pPr>
        <w:pStyle w:val="NormalWeb"/>
        <w:spacing w:before="0" w:beforeAutospacing="0" w:after="0" w:afterAutospacing="0" w:line="480" w:lineRule="auto"/>
        <w:jc w:val="both"/>
        <w:rPr>
          <w:rFonts w:ascii="Times" w:hAnsi="Times"/>
          <w:b/>
          <w:lang w:val="en-US"/>
        </w:rPr>
      </w:pPr>
      <w:r w:rsidRPr="00E5792C">
        <w:rPr>
          <w:rFonts w:ascii="Times" w:hAnsi="Times"/>
          <w:b/>
          <w:lang w:val="en-US"/>
        </w:rPr>
        <w:t>Clinical implications</w:t>
      </w:r>
    </w:p>
    <w:p w14:paraId="24003619" w14:textId="4A5CC738" w:rsidR="0086060D" w:rsidRPr="00E5792C" w:rsidRDefault="00CE25F2" w:rsidP="00E5792C">
      <w:pPr>
        <w:pStyle w:val="NormalWeb"/>
        <w:spacing w:before="0" w:beforeAutospacing="0" w:after="0" w:afterAutospacing="0" w:line="480" w:lineRule="auto"/>
        <w:jc w:val="both"/>
        <w:rPr>
          <w:rFonts w:ascii="Times" w:hAnsi="Times"/>
          <w:lang w:val="en-US"/>
        </w:rPr>
      </w:pPr>
      <w:r w:rsidRPr="00E5792C">
        <w:rPr>
          <w:rFonts w:ascii="Times" w:hAnsi="Times"/>
          <w:lang w:val="en-US"/>
        </w:rPr>
        <w:t>Contrary to the conventional knowledge of good long-term prognosis</w:t>
      </w:r>
      <w:r w:rsidR="00894F26" w:rsidRPr="00E5792C">
        <w:rPr>
          <w:rFonts w:ascii="Times" w:hAnsi="Times"/>
          <w:lang w:val="en-US"/>
        </w:rPr>
        <w:t xml:space="preserve"> in patients affected by </w:t>
      </w:r>
      <w:r w:rsidR="00D91B37" w:rsidRPr="00E5792C">
        <w:rPr>
          <w:rFonts w:ascii="Times" w:hAnsi="Times"/>
          <w:lang w:val="en-US"/>
        </w:rPr>
        <w:t>AM</w:t>
      </w:r>
      <w:r w:rsidR="00894F26" w:rsidRPr="00E5792C">
        <w:rPr>
          <w:rFonts w:ascii="Times" w:hAnsi="Times"/>
          <w:lang w:val="en-US"/>
        </w:rPr>
        <w:t>,</w:t>
      </w:r>
      <w:r w:rsidR="00870A0B" w:rsidRPr="00E5792C">
        <w:rPr>
          <w:rFonts w:ascii="Times" w:hAnsi="Times"/>
          <w:vertAlign w:val="superscript"/>
          <w:lang w:val="en-US"/>
        </w:rPr>
        <w:t>4</w:t>
      </w:r>
      <w:r w:rsidR="00C71E53" w:rsidRPr="00E5792C">
        <w:rPr>
          <w:rFonts w:ascii="Times" w:hAnsi="Times"/>
          <w:vertAlign w:val="superscript"/>
          <w:lang w:val="en-US"/>
        </w:rPr>
        <w:t>2</w:t>
      </w:r>
      <w:r w:rsidR="00894F26" w:rsidRPr="00E5792C">
        <w:rPr>
          <w:rFonts w:ascii="Times" w:hAnsi="Times"/>
          <w:lang w:val="en-US"/>
        </w:rPr>
        <w:t xml:space="preserve"> our </w:t>
      </w:r>
      <w:r w:rsidRPr="00E5792C">
        <w:rPr>
          <w:rFonts w:ascii="Times" w:hAnsi="Times"/>
          <w:lang w:val="en-US"/>
        </w:rPr>
        <w:t xml:space="preserve">systematic review revealed </w:t>
      </w:r>
      <w:r w:rsidR="00894F26" w:rsidRPr="00E5792C">
        <w:rPr>
          <w:rFonts w:ascii="Times" w:hAnsi="Times"/>
          <w:lang w:val="en-US"/>
        </w:rPr>
        <w:t xml:space="preserve">an </w:t>
      </w:r>
      <w:r w:rsidRPr="00E5792C">
        <w:rPr>
          <w:rFonts w:ascii="Times" w:hAnsi="Times"/>
          <w:lang w:val="en-US"/>
        </w:rPr>
        <w:t xml:space="preserve">overall </w:t>
      </w:r>
      <w:r w:rsidR="00894F26" w:rsidRPr="00E5792C">
        <w:rPr>
          <w:rFonts w:ascii="Times" w:hAnsi="Times"/>
          <w:lang w:val="en-US"/>
        </w:rPr>
        <w:t xml:space="preserve">incidence of mortality, </w:t>
      </w:r>
      <w:r w:rsidR="00EC6F76" w:rsidRPr="00E5792C">
        <w:rPr>
          <w:rFonts w:ascii="Times" w:hAnsi="Times"/>
          <w:lang w:val="en-US"/>
        </w:rPr>
        <w:t>life-</w:t>
      </w:r>
      <w:r w:rsidR="00744A0E" w:rsidRPr="00E5792C">
        <w:rPr>
          <w:rFonts w:ascii="Times" w:hAnsi="Times"/>
          <w:lang w:val="en-US"/>
        </w:rPr>
        <w:t xml:space="preserve">threatening </w:t>
      </w:r>
      <w:r w:rsidR="00894F26" w:rsidRPr="00E5792C">
        <w:rPr>
          <w:rFonts w:ascii="Times" w:hAnsi="Times"/>
          <w:lang w:val="en-US"/>
        </w:rPr>
        <w:t xml:space="preserve">ventricular arrhythmias, heart failure recurrence </w:t>
      </w:r>
      <w:r w:rsidR="00EC6F76" w:rsidRPr="00E5792C">
        <w:rPr>
          <w:rFonts w:ascii="Times" w:hAnsi="Times"/>
          <w:lang w:val="en-US"/>
        </w:rPr>
        <w:t xml:space="preserve">rate </w:t>
      </w:r>
      <w:r w:rsidR="00894F26" w:rsidRPr="00E5792C">
        <w:rPr>
          <w:rFonts w:ascii="Times" w:hAnsi="Times"/>
          <w:lang w:val="en-US"/>
        </w:rPr>
        <w:t xml:space="preserve">of </w:t>
      </w:r>
      <w:r w:rsidR="00EC6F76" w:rsidRPr="00E5792C">
        <w:rPr>
          <w:rFonts w:ascii="Times" w:hAnsi="Times"/>
          <w:lang w:val="en-US"/>
        </w:rPr>
        <w:t xml:space="preserve">the </w:t>
      </w:r>
      <w:r w:rsidR="00894F26" w:rsidRPr="00E5792C">
        <w:rPr>
          <w:rFonts w:ascii="Times" w:hAnsi="Times"/>
          <w:lang w:val="en-US"/>
        </w:rPr>
        <w:t>disease</w:t>
      </w:r>
      <w:r w:rsidRPr="00E5792C">
        <w:rPr>
          <w:rFonts w:ascii="Times" w:hAnsi="Times"/>
          <w:lang w:val="en-US"/>
        </w:rPr>
        <w:t xml:space="preserve"> equa</w:t>
      </w:r>
      <w:r w:rsidR="00EC6F76" w:rsidRPr="00E5792C">
        <w:rPr>
          <w:rFonts w:ascii="Times" w:hAnsi="Times"/>
          <w:lang w:val="en-US"/>
        </w:rPr>
        <w:t>ting</w:t>
      </w:r>
      <w:r w:rsidRPr="00E5792C">
        <w:rPr>
          <w:rFonts w:ascii="Times" w:hAnsi="Times"/>
          <w:lang w:val="en-US"/>
        </w:rPr>
        <w:t xml:space="preserve"> </w:t>
      </w:r>
      <w:r w:rsidR="00A051C1" w:rsidRPr="00E5792C">
        <w:rPr>
          <w:rFonts w:ascii="Times" w:hAnsi="Times"/>
          <w:lang w:val="en-US"/>
        </w:rPr>
        <w:t xml:space="preserve">to </w:t>
      </w:r>
      <w:r w:rsidR="00894F26" w:rsidRPr="00E5792C">
        <w:rPr>
          <w:rFonts w:ascii="Times" w:hAnsi="Times"/>
          <w:lang w:val="en-US"/>
        </w:rPr>
        <w:t xml:space="preserve">11.5% </w:t>
      </w:r>
      <w:r w:rsidR="00485F4D" w:rsidRPr="00E5792C">
        <w:rPr>
          <w:rFonts w:ascii="Times" w:hAnsi="Times"/>
          <w:lang w:val="en-US"/>
        </w:rPr>
        <w:t xml:space="preserve">over a </w:t>
      </w:r>
      <w:r w:rsidR="00C44F17" w:rsidRPr="00E5792C">
        <w:rPr>
          <w:rFonts w:ascii="Times" w:hAnsi="Times"/>
          <w:lang w:val="en-US"/>
        </w:rPr>
        <w:t>mean</w:t>
      </w:r>
      <w:r w:rsidRPr="00E5792C">
        <w:rPr>
          <w:rFonts w:ascii="Times" w:hAnsi="Times"/>
          <w:lang w:val="en-US"/>
        </w:rPr>
        <w:t xml:space="preserve"> follow</w:t>
      </w:r>
      <w:r w:rsidR="00C44F17" w:rsidRPr="00E5792C">
        <w:rPr>
          <w:rFonts w:ascii="Times" w:hAnsi="Times"/>
          <w:lang w:val="en-US"/>
        </w:rPr>
        <w:t xml:space="preserve"> </w:t>
      </w:r>
      <w:r w:rsidRPr="00E5792C">
        <w:rPr>
          <w:rFonts w:ascii="Times" w:hAnsi="Times"/>
          <w:lang w:val="en-US"/>
        </w:rPr>
        <w:t xml:space="preserve">up </w:t>
      </w:r>
      <w:r w:rsidR="00485F4D" w:rsidRPr="00E5792C">
        <w:rPr>
          <w:rFonts w:ascii="Times" w:hAnsi="Times"/>
          <w:lang w:val="en-US"/>
        </w:rPr>
        <w:t xml:space="preserve">of </w:t>
      </w:r>
      <w:r w:rsidR="00894F26" w:rsidRPr="00E5792C">
        <w:rPr>
          <w:rFonts w:ascii="Times" w:hAnsi="Times"/>
          <w:lang w:val="en-US"/>
        </w:rPr>
        <w:t xml:space="preserve">2 years. </w:t>
      </w:r>
      <w:bookmarkStart w:id="17" w:name="_Hlk49628716"/>
      <w:r w:rsidR="002E65BA" w:rsidRPr="00E5792C">
        <w:rPr>
          <w:rFonts w:ascii="Times" w:hAnsi="Times"/>
          <w:lang w:val="en-US"/>
        </w:rPr>
        <w:t xml:space="preserve">On the other hand, </w:t>
      </w:r>
      <w:r w:rsidR="00A71CA4" w:rsidRPr="00E5792C">
        <w:rPr>
          <w:rFonts w:ascii="Times" w:hAnsi="Times"/>
          <w:lang w:val="en-US"/>
        </w:rPr>
        <w:t xml:space="preserve">in contrast to </w:t>
      </w:r>
      <w:r w:rsidR="000F5295" w:rsidRPr="00E5792C">
        <w:rPr>
          <w:rFonts w:ascii="Times" w:hAnsi="Times"/>
          <w:lang w:val="en-US"/>
        </w:rPr>
        <w:t>Y</w:t>
      </w:r>
      <w:r w:rsidR="00A71CA4" w:rsidRPr="00E5792C">
        <w:rPr>
          <w:rFonts w:ascii="Times" w:hAnsi="Times"/>
          <w:lang w:val="en-US"/>
        </w:rPr>
        <w:t xml:space="preserve">ang </w:t>
      </w:r>
      <w:r w:rsidR="00A71CA4" w:rsidRPr="00E5792C">
        <w:rPr>
          <w:rFonts w:ascii="Times" w:hAnsi="Times"/>
          <w:i/>
          <w:iCs/>
          <w:lang w:val="en-US"/>
        </w:rPr>
        <w:t>et al</w:t>
      </w:r>
      <w:r w:rsidR="00A71CA4" w:rsidRPr="00E5792C">
        <w:rPr>
          <w:rFonts w:ascii="Times" w:hAnsi="Times"/>
          <w:lang w:val="en-US"/>
        </w:rPr>
        <w:t xml:space="preserve">, </w:t>
      </w:r>
      <w:r w:rsidR="00FD4FE6" w:rsidRPr="00E5792C">
        <w:rPr>
          <w:rFonts w:ascii="Times" w:hAnsi="Times"/>
          <w:lang w:val="en-US"/>
        </w:rPr>
        <w:t xml:space="preserve">who examined LVEF </w:t>
      </w:r>
      <w:r w:rsidR="00744A0E" w:rsidRPr="00E5792C">
        <w:rPr>
          <w:rFonts w:ascii="Times" w:hAnsi="Times"/>
          <w:lang w:val="en-US"/>
        </w:rPr>
        <w:t xml:space="preserve">as </w:t>
      </w:r>
      <w:r w:rsidR="00FD4FE6" w:rsidRPr="00E5792C">
        <w:rPr>
          <w:rFonts w:ascii="Times" w:hAnsi="Times"/>
          <w:lang w:val="en-US"/>
        </w:rPr>
        <w:t xml:space="preserve">a dichotomized covariate in exploratory subgroup analysis, </w:t>
      </w:r>
      <w:r w:rsidR="002E65BA" w:rsidRPr="00E5792C">
        <w:rPr>
          <w:rFonts w:ascii="Times" w:hAnsi="Times"/>
          <w:lang w:val="en-US"/>
        </w:rPr>
        <w:t>we found that impaired LV</w:t>
      </w:r>
      <w:r w:rsidR="004875A4" w:rsidRPr="00E5792C">
        <w:rPr>
          <w:rFonts w:ascii="Times" w:hAnsi="Times"/>
          <w:lang w:val="en-US"/>
        </w:rPr>
        <w:t>EF</w:t>
      </w:r>
      <w:r w:rsidR="002E65BA" w:rsidRPr="00E5792C">
        <w:rPr>
          <w:rFonts w:ascii="Times" w:hAnsi="Times"/>
          <w:lang w:val="en-US"/>
        </w:rPr>
        <w:t xml:space="preserve"> was not an independent predictor of </w:t>
      </w:r>
      <w:r w:rsidR="00700AF8" w:rsidRPr="00E5792C">
        <w:rPr>
          <w:rFonts w:ascii="Times" w:hAnsi="Times"/>
          <w:lang w:val="en-US"/>
        </w:rPr>
        <w:lastRenderedPageBreak/>
        <w:t xml:space="preserve">the </w:t>
      </w:r>
      <w:r w:rsidR="00B06FA3" w:rsidRPr="00E5792C">
        <w:rPr>
          <w:rFonts w:ascii="Times" w:hAnsi="Times"/>
          <w:lang w:val="en-US"/>
        </w:rPr>
        <w:t xml:space="preserve">combined </w:t>
      </w:r>
      <w:r w:rsidR="00700AF8" w:rsidRPr="00E5792C">
        <w:rPr>
          <w:rFonts w:ascii="Times" w:hAnsi="Times"/>
          <w:lang w:val="en-US"/>
        </w:rPr>
        <w:t>endpoi</w:t>
      </w:r>
      <w:r w:rsidR="005C2F38" w:rsidRPr="00E5792C">
        <w:rPr>
          <w:rFonts w:ascii="Times" w:hAnsi="Times"/>
          <w:lang w:val="en-US"/>
        </w:rPr>
        <w:t>n</w:t>
      </w:r>
      <w:r w:rsidR="00700AF8" w:rsidRPr="00E5792C">
        <w:rPr>
          <w:rFonts w:ascii="Times" w:hAnsi="Times"/>
          <w:lang w:val="en-US"/>
        </w:rPr>
        <w:t>t.</w:t>
      </w:r>
      <w:r w:rsidR="000F5295" w:rsidRPr="00E5792C">
        <w:rPr>
          <w:rFonts w:ascii="Times" w:hAnsi="Times"/>
          <w:vertAlign w:val="superscript"/>
          <w:lang w:val="en-US"/>
        </w:rPr>
        <w:t>39</w:t>
      </w:r>
      <w:r w:rsidR="00700AF8" w:rsidRPr="00E5792C">
        <w:rPr>
          <w:rFonts w:ascii="Times" w:hAnsi="Times"/>
          <w:lang w:val="en-US"/>
        </w:rPr>
        <w:t xml:space="preserve"> </w:t>
      </w:r>
      <w:bookmarkEnd w:id="17"/>
      <w:r w:rsidR="00700AF8" w:rsidRPr="00E5792C">
        <w:rPr>
          <w:rFonts w:ascii="Times" w:hAnsi="Times"/>
          <w:lang w:val="en-US"/>
        </w:rPr>
        <w:t>R</w:t>
      </w:r>
      <w:r w:rsidRPr="00E5792C">
        <w:rPr>
          <w:rFonts w:ascii="Times" w:hAnsi="Times"/>
          <w:lang w:val="en-US"/>
        </w:rPr>
        <w:t xml:space="preserve">isk stratification of AM patients </w:t>
      </w:r>
      <w:r w:rsidR="007F087B" w:rsidRPr="00E5792C">
        <w:rPr>
          <w:rFonts w:ascii="Times" w:hAnsi="Times"/>
          <w:lang w:val="en-US"/>
        </w:rPr>
        <w:t>is clinically challenging</w:t>
      </w:r>
      <w:r w:rsidR="00E94751" w:rsidRPr="00E5792C">
        <w:rPr>
          <w:rFonts w:ascii="Times" w:hAnsi="Times"/>
          <w:lang w:val="en-US"/>
        </w:rPr>
        <w:t>,</w:t>
      </w:r>
      <w:r w:rsidR="007F087B" w:rsidRPr="00E5792C">
        <w:rPr>
          <w:rFonts w:ascii="Times" w:hAnsi="Times"/>
          <w:lang w:val="en-US"/>
        </w:rPr>
        <w:t xml:space="preserve"> and no reliable tools </w:t>
      </w:r>
      <w:r w:rsidR="00731A85" w:rsidRPr="00E5792C">
        <w:rPr>
          <w:rFonts w:ascii="Times" w:hAnsi="Times"/>
          <w:lang w:val="en-US"/>
        </w:rPr>
        <w:t xml:space="preserve">are </w:t>
      </w:r>
      <w:r w:rsidR="007F087B" w:rsidRPr="00E5792C">
        <w:rPr>
          <w:rFonts w:ascii="Times" w:hAnsi="Times"/>
          <w:lang w:val="en-US"/>
        </w:rPr>
        <w:t xml:space="preserve">currently </w:t>
      </w:r>
      <w:r w:rsidR="00731A85" w:rsidRPr="00E5792C">
        <w:rPr>
          <w:rFonts w:ascii="Times" w:hAnsi="Times"/>
          <w:lang w:val="en-US"/>
        </w:rPr>
        <w:t>available</w:t>
      </w:r>
      <w:r w:rsidR="00B06935" w:rsidRPr="00E5792C">
        <w:rPr>
          <w:rFonts w:ascii="Times" w:hAnsi="Times"/>
          <w:lang w:val="en-US"/>
        </w:rPr>
        <w:t>.</w:t>
      </w:r>
      <w:r w:rsidR="00731A85" w:rsidRPr="00E5792C">
        <w:rPr>
          <w:rFonts w:ascii="Times" w:hAnsi="Times"/>
          <w:lang w:val="en-US"/>
        </w:rPr>
        <w:t xml:space="preserve"> </w:t>
      </w:r>
      <w:r w:rsidR="00A34E05" w:rsidRPr="00E5792C">
        <w:rPr>
          <w:rFonts w:ascii="Times" w:eastAsiaTheme="minorHAnsi" w:hAnsi="Times"/>
          <w:noProof/>
          <w:lang w:val="en-US" w:eastAsia="en-US"/>
        </w:rPr>
        <w:t xml:space="preserve">Based on our pooled </w:t>
      </w:r>
      <w:r w:rsidR="00AB262E" w:rsidRPr="00E5792C">
        <w:rPr>
          <w:rFonts w:ascii="Times" w:eastAsiaTheme="minorHAnsi" w:hAnsi="Times"/>
          <w:noProof/>
          <w:lang w:val="en-US" w:eastAsia="en-US"/>
        </w:rPr>
        <w:t>analysis</w:t>
      </w:r>
      <w:r w:rsidR="00A34E05" w:rsidRPr="00E5792C">
        <w:rPr>
          <w:rFonts w:ascii="Times" w:eastAsiaTheme="minorHAnsi" w:hAnsi="Times"/>
          <w:noProof/>
          <w:lang w:val="en-US" w:eastAsia="en-US"/>
        </w:rPr>
        <w:t xml:space="preserve">, </w:t>
      </w:r>
      <w:r w:rsidR="00AB262E" w:rsidRPr="00E5792C">
        <w:rPr>
          <w:rFonts w:ascii="Times" w:eastAsiaTheme="minorHAnsi" w:hAnsi="Times"/>
          <w:noProof/>
          <w:lang w:val="en-US" w:eastAsia="en-US"/>
        </w:rPr>
        <w:t>presence</w:t>
      </w:r>
      <w:r w:rsidR="006856CB" w:rsidRPr="00E5792C">
        <w:rPr>
          <w:rFonts w:ascii="Times" w:eastAsiaTheme="minorHAnsi" w:hAnsi="Times"/>
          <w:noProof/>
          <w:lang w:val="en-US" w:eastAsia="en-US"/>
        </w:rPr>
        <w:t xml:space="preserve"> </w:t>
      </w:r>
      <w:r w:rsidR="00E0494C" w:rsidRPr="00E5792C">
        <w:rPr>
          <w:rFonts w:ascii="Times" w:eastAsiaTheme="minorHAnsi" w:hAnsi="Times"/>
          <w:noProof/>
          <w:lang w:val="en-US" w:eastAsia="en-US"/>
        </w:rPr>
        <w:t xml:space="preserve">and AS location of LGE </w:t>
      </w:r>
      <w:r w:rsidR="00A051C1" w:rsidRPr="00E5792C">
        <w:rPr>
          <w:rFonts w:ascii="Times" w:eastAsiaTheme="minorHAnsi" w:hAnsi="Times"/>
          <w:noProof/>
          <w:lang w:val="en-US" w:eastAsia="en-US"/>
        </w:rPr>
        <w:t xml:space="preserve">conferred </w:t>
      </w:r>
      <w:r w:rsidR="006856CB" w:rsidRPr="00E5792C">
        <w:rPr>
          <w:rFonts w:ascii="Times" w:eastAsiaTheme="minorHAnsi" w:hAnsi="Times"/>
          <w:noProof/>
          <w:lang w:val="en-US" w:eastAsia="en-US"/>
        </w:rPr>
        <w:t xml:space="preserve">an independent </w:t>
      </w:r>
      <w:r w:rsidR="00D948C9" w:rsidRPr="00E5792C">
        <w:rPr>
          <w:rFonts w:ascii="Times" w:eastAsiaTheme="minorHAnsi" w:hAnsi="Times"/>
          <w:noProof/>
          <w:lang w:val="en-US" w:eastAsia="en-US"/>
        </w:rPr>
        <w:t>increased risk for</w:t>
      </w:r>
      <w:r w:rsidR="008C509F" w:rsidRPr="00E5792C">
        <w:rPr>
          <w:rFonts w:ascii="Times" w:eastAsiaTheme="minorHAnsi" w:hAnsi="Times"/>
          <w:noProof/>
          <w:lang w:val="en-US" w:eastAsia="en-US"/>
        </w:rPr>
        <w:t xml:space="preserve"> </w:t>
      </w:r>
      <w:r w:rsidR="006856CB" w:rsidRPr="00E5792C">
        <w:rPr>
          <w:rFonts w:ascii="Times" w:eastAsiaTheme="minorHAnsi" w:hAnsi="Times"/>
          <w:noProof/>
          <w:lang w:val="en-US" w:eastAsia="en-US"/>
        </w:rPr>
        <w:t>all</w:t>
      </w:r>
      <w:r w:rsidR="009A2E40" w:rsidRPr="00E5792C">
        <w:rPr>
          <w:rFonts w:ascii="Times" w:eastAsiaTheme="minorHAnsi" w:hAnsi="Times"/>
          <w:noProof/>
          <w:lang w:val="en-US" w:eastAsia="en-US"/>
        </w:rPr>
        <w:t xml:space="preserve"> cause of death and MACE</w:t>
      </w:r>
      <w:r w:rsidR="005F27B1" w:rsidRPr="00E5792C">
        <w:rPr>
          <w:rFonts w:ascii="Times" w:eastAsiaTheme="minorHAnsi" w:hAnsi="Times"/>
          <w:noProof/>
          <w:lang w:val="en-US" w:eastAsia="en-US"/>
        </w:rPr>
        <w:t xml:space="preserve">. However, confirmatory </w:t>
      </w:r>
      <w:r w:rsidR="00B13113" w:rsidRPr="00E5792C">
        <w:rPr>
          <w:rFonts w:ascii="Times" w:eastAsiaTheme="minorHAnsi" w:hAnsi="Times"/>
          <w:noProof/>
          <w:lang w:val="en-US" w:eastAsia="en-US"/>
        </w:rPr>
        <w:t xml:space="preserve">multicenter </w:t>
      </w:r>
      <w:r w:rsidR="005F27B1" w:rsidRPr="00E5792C">
        <w:rPr>
          <w:rFonts w:ascii="Times" w:eastAsiaTheme="minorHAnsi" w:hAnsi="Times"/>
          <w:noProof/>
          <w:lang w:val="en-US" w:eastAsia="en-US"/>
        </w:rPr>
        <w:t xml:space="preserve">studies are needed to </w:t>
      </w:r>
      <w:r w:rsidR="003440E4" w:rsidRPr="00E5792C">
        <w:rPr>
          <w:rFonts w:ascii="Times" w:eastAsiaTheme="minorHAnsi" w:hAnsi="Times"/>
          <w:noProof/>
          <w:lang w:val="en-US" w:eastAsia="en-US"/>
        </w:rPr>
        <w:t>investigate</w:t>
      </w:r>
      <w:r w:rsidR="00F10040" w:rsidRPr="00E5792C">
        <w:rPr>
          <w:rFonts w:ascii="Times" w:eastAsiaTheme="minorHAnsi" w:hAnsi="Times"/>
          <w:noProof/>
          <w:lang w:val="en-US" w:eastAsia="en-US"/>
        </w:rPr>
        <w:t xml:space="preserve"> whether high LGE burden and AS location LGE are independent predictors of clinical outcome and </w:t>
      </w:r>
      <w:r w:rsidR="000F3255" w:rsidRPr="00E5792C">
        <w:rPr>
          <w:rFonts w:ascii="Times" w:eastAsiaTheme="minorHAnsi" w:hAnsi="Times"/>
          <w:noProof/>
          <w:lang w:val="en-US" w:eastAsia="en-US"/>
        </w:rPr>
        <w:t xml:space="preserve">whether the adoption of these markers </w:t>
      </w:r>
      <w:r w:rsidR="00CF6686" w:rsidRPr="00E5792C">
        <w:rPr>
          <w:rFonts w:ascii="Times" w:eastAsiaTheme="minorHAnsi" w:hAnsi="Times"/>
          <w:noProof/>
          <w:lang w:val="en-US" w:eastAsia="en-US"/>
        </w:rPr>
        <w:t>improves</w:t>
      </w:r>
      <w:r w:rsidR="000F3255" w:rsidRPr="00E5792C">
        <w:rPr>
          <w:rFonts w:ascii="Times" w:eastAsiaTheme="minorHAnsi" w:hAnsi="Times"/>
          <w:noProof/>
          <w:lang w:val="en-US" w:eastAsia="en-US"/>
        </w:rPr>
        <w:t xml:space="preserve"> risk stratification beyond the current </w:t>
      </w:r>
      <w:r w:rsidR="00B22EBA" w:rsidRPr="00E5792C">
        <w:rPr>
          <w:rFonts w:ascii="Times" w:eastAsiaTheme="minorHAnsi" w:hAnsi="Times"/>
          <w:noProof/>
          <w:lang w:val="en-US" w:eastAsia="en-US"/>
        </w:rPr>
        <w:t>standard o</w:t>
      </w:r>
      <w:r w:rsidR="00E41310" w:rsidRPr="00E5792C">
        <w:rPr>
          <w:rFonts w:ascii="Times" w:eastAsiaTheme="minorHAnsi" w:hAnsi="Times"/>
          <w:noProof/>
          <w:lang w:val="en-US" w:eastAsia="en-US"/>
        </w:rPr>
        <w:t>f</w:t>
      </w:r>
      <w:r w:rsidR="00B22EBA" w:rsidRPr="00E5792C">
        <w:rPr>
          <w:rFonts w:ascii="Times" w:eastAsiaTheme="minorHAnsi" w:hAnsi="Times"/>
          <w:noProof/>
          <w:lang w:val="en-US" w:eastAsia="en-US"/>
        </w:rPr>
        <w:t xml:space="preserve"> care</w:t>
      </w:r>
      <w:r w:rsidR="00E41310" w:rsidRPr="00E5792C">
        <w:rPr>
          <w:rFonts w:ascii="Times" w:eastAsiaTheme="minorHAnsi" w:hAnsi="Times"/>
          <w:noProof/>
          <w:lang w:val="en-US" w:eastAsia="en-US"/>
        </w:rPr>
        <w:t xml:space="preserve"> in AM patients.</w:t>
      </w:r>
    </w:p>
    <w:p w14:paraId="467938DA" w14:textId="7DC65CF7" w:rsidR="00E75AEA" w:rsidRPr="00E5792C" w:rsidRDefault="00E75AEA" w:rsidP="00E5792C">
      <w:pPr>
        <w:spacing w:line="480" w:lineRule="auto"/>
        <w:rPr>
          <w:rFonts w:ascii="Times" w:hAnsi="Times"/>
          <w:b/>
          <w:noProof/>
          <w:lang w:val="en-US"/>
        </w:rPr>
      </w:pPr>
      <w:r w:rsidRPr="00E5792C">
        <w:rPr>
          <w:rFonts w:ascii="Times" w:eastAsiaTheme="minorHAnsi" w:hAnsi="Times"/>
          <w:b/>
          <w:noProof/>
          <w:lang w:val="en-US" w:eastAsia="en-US"/>
        </w:rPr>
        <w:t>Limitations</w:t>
      </w:r>
    </w:p>
    <w:p w14:paraId="6BC763A9" w14:textId="7563C3F2" w:rsidR="00CB518D" w:rsidRPr="00E5792C" w:rsidRDefault="00B13113" w:rsidP="00E5792C">
      <w:pPr>
        <w:pStyle w:val="NormalWeb"/>
        <w:spacing w:before="0" w:beforeAutospacing="0" w:after="0" w:afterAutospacing="0" w:line="480" w:lineRule="auto"/>
        <w:jc w:val="both"/>
        <w:rPr>
          <w:rFonts w:ascii="Times" w:eastAsiaTheme="minorHAnsi" w:hAnsi="Times"/>
          <w:b/>
          <w:noProof/>
          <w:lang w:val="en-US" w:eastAsia="en-US"/>
        </w:rPr>
      </w:pPr>
      <w:r w:rsidRPr="00E5792C">
        <w:rPr>
          <w:rFonts w:ascii="Times" w:eastAsiaTheme="minorHAnsi" w:hAnsi="Times"/>
          <w:noProof/>
          <w:lang w:val="en-US" w:eastAsia="en-US"/>
        </w:rPr>
        <w:t>Our</w:t>
      </w:r>
      <w:r w:rsidR="00100E87" w:rsidRPr="00E5792C">
        <w:rPr>
          <w:rFonts w:ascii="Times" w:eastAsiaTheme="minorHAnsi" w:hAnsi="Times"/>
          <w:noProof/>
          <w:lang w:val="en-US" w:eastAsia="en-US"/>
        </w:rPr>
        <w:t xml:space="preserve"> </w:t>
      </w:r>
      <w:r w:rsidR="009054EC" w:rsidRPr="00E5792C">
        <w:rPr>
          <w:rFonts w:ascii="Times" w:eastAsiaTheme="minorHAnsi" w:hAnsi="Times"/>
          <w:noProof/>
          <w:lang w:val="en-US" w:eastAsia="en-US"/>
        </w:rPr>
        <w:t>meta-analysis</w:t>
      </w:r>
      <w:r w:rsidRPr="00E5792C">
        <w:rPr>
          <w:rFonts w:ascii="Times" w:eastAsiaTheme="minorHAnsi" w:hAnsi="Times"/>
          <w:noProof/>
          <w:lang w:val="en-US" w:eastAsia="en-US"/>
        </w:rPr>
        <w:t xml:space="preserve"> has a number of limitations</w:t>
      </w:r>
      <w:r w:rsidR="009054EC" w:rsidRPr="00E5792C">
        <w:rPr>
          <w:rFonts w:ascii="Times" w:eastAsiaTheme="minorHAnsi" w:hAnsi="Times"/>
          <w:noProof/>
          <w:lang w:val="en-US" w:eastAsia="en-US"/>
        </w:rPr>
        <w:t>. First,</w:t>
      </w:r>
      <w:r w:rsidR="00100E87" w:rsidRPr="00E5792C">
        <w:rPr>
          <w:rFonts w:ascii="Times" w:eastAsiaTheme="minorHAnsi" w:hAnsi="Times"/>
          <w:noProof/>
          <w:lang w:val="en-US" w:eastAsia="en-US"/>
        </w:rPr>
        <w:t xml:space="preserve"> </w:t>
      </w:r>
      <w:r w:rsidR="00A051C1" w:rsidRPr="00E5792C">
        <w:rPr>
          <w:rFonts w:ascii="Times" w:eastAsiaTheme="minorHAnsi" w:hAnsi="Times"/>
          <w:noProof/>
          <w:lang w:val="en-US" w:eastAsia="en-US"/>
        </w:rPr>
        <w:t>EMB-</w:t>
      </w:r>
      <w:r w:rsidR="00100E87" w:rsidRPr="00E5792C">
        <w:rPr>
          <w:rFonts w:ascii="Times" w:eastAsiaTheme="minorHAnsi" w:hAnsi="Times"/>
          <w:noProof/>
          <w:lang w:val="en-US" w:eastAsia="en-US"/>
        </w:rPr>
        <w:t>based</w:t>
      </w:r>
      <w:r w:rsidR="00F650E6" w:rsidRPr="00E5792C">
        <w:rPr>
          <w:rFonts w:ascii="Times" w:eastAsiaTheme="minorHAnsi" w:hAnsi="Times"/>
          <w:noProof/>
          <w:lang w:val="en-US" w:eastAsia="en-US"/>
        </w:rPr>
        <w:t xml:space="preserve"> </w:t>
      </w:r>
      <w:r w:rsidR="009054EC" w:rsidRPr="00E5792C">
        <w:rPr>
          <w:rFonts w:ascii="Times" w:eastAsiaTheme="minorHAnsi" w:hAnsi="Times"/>
          <w:noProof/>
          <w:lang w:val="en-US" w:eastAsia="en-US"/>
        </w:rPr>
        <w:t xml:space="preserve">diagnosis of </w:t>
      </w:r>
      <w:r w:rsidR="009A2E40" w:rsidRPr="00E5792C">
        <w:rPr>
          <w:rFonts w:ascii="Times" w:eastAsiaTheme="minorHAnsi" w:hAnsi="Times"/>
          <w:noProof/>
          <w:lang w:val="en-US" w:eastAsia="en-US"/>
        </w:rPr>
        <w:t>AM</w:t>
      </w:r>
      <w:r w:rsidR="009054EC" w:rsidRPr="00E5792C">
        <w:rPr>
          <w:rFonts w:ascii="Times" w:eastAsiaTheme="minorHAnsi" w:hAnsi="Times"/>
          <w:noProof/>
          <w:lang w:val="en-US" w:eastAsia="en-US"/>
        </w:rPr>
        <w:t xml:space="preserve"> was obtained in</w:t>
      </w:r>
      <w:r w:rsidR="00056667" w:rsidRPr="00E5792C">
        <w:rPr>
          <w:rFonts w:ascii="Times" w:eastAsiaTheme="minorHAnsi" w:hAnsi="Times"/>
          <w:noProof/>
          <w:lang w:val="en-US" w:eastAsia="en-US"/>
        </w:rPr>
        <w:t xml:space="preserve"> </w:t>
      </w:r>
      <w:r w:rsidR="00A051C1" w:rsidRPr="00E5792C">
        <w:rPr>
          <w:rFonts w:ascii="Times" w:eastAsiaTheme="minorHAnsi" w:hAnsi="Times"/>
          <w:noProof/>
          <w:lang w:val="en-US" w:eastAsia="en-US"/>
        </w:rPr>
        <w:t xml:space="preserve">only </w:t>
      </w:r>
      <w:r w:rsidR="00056667" w:rsidRPr="00E5792C">
        <w:rPr>
          <w:rFonts w:ascii="Times" w:eastAsiaTheme="minorHAnsi" w:hAnsi="Times"/>
          <w:noProof/>
          <w:lang w:val="en-US" w:eastAsia="en-US"/>
        </w:rPr>
        <w:t>a</w:t>
      </w:r>
      <w:r w:rsidR="009054EC" w:rsidRPr="00E5792C">
        <w:rPr>
          <w:rFonts w:ascii="Times" w:eastAsiaTheme="minorHAnsi" w:hAnsi="Times"/>
          <w:noProof/>
          <w:lang w:val="en-US" w:eastAsia="en-US"/>
        </w:rPr>
        <w:t xml:space="preserve"> </w:t>
      </w:r>
      <w:r w:rsidR="00100E87" w:rsidRPr="00E5792C">
        <w:rPr>
          <w:rFonts w:ascii="Times" w:eastAsiaTheme="minorHAnsi" w:hAnsi="Times"/>
          <w:noProof/>
          <w:lang w:val="en-US" w:eastAsia="en-US"/>
        </w:rPr>
        <w:t>few patients of the total sample</w:t>
      </w:r>
      <w:r w:rsidR="00194F81" w:rsidRPr="00E5792C">
        <w:rPr>
          <w:rFonts w:ascii="Times" w:eastAsiaTheme="minorHAnsi" w:hAnsi="Times"/>
          <w:noProof/>
          <w:lang w:val="en-US" w:eastAsia="en-US"/>
        </w:rPr>
        <w:t xml:space="preserve">. </w:t>
      </w:r>
      <w:r w:rsidR="00100E87" w:rsidRPr="00E5792C">
        <w:rPr>
          <w:rFonts w:ascii="Times" w:eastAsiaTheme="minorHAnsi" w:hAnsi="Times"/>
          <w:noProof/>
          <w:lang w:val="en-US" w:eastAsia="en-US"/>
        </w:rPr>
        <w:t xml:space="preserve">Nevertheless, given </w:t>
      </w:r>
      <w:r w:rsidR="009054EC" w:rsidRPr="00E5792C">
        <w:rPr>
          <w:rFonts w:ascii="Times" w:eastAsiaTheme="minorHAnsi" w:hAnsi="Times"/>
          <w:noProof/>
          <w:lang w:val="en-US" w:eastAsia="en-US"/>
        </w:rPr>
        <w:t>the</w:t>
      </w:r>
      <w:r w:rsidR="005551B9" w:rsidRPr="00E5792C">
        <w:rPr>
          <w:rFonts w:ascii="Times" w:eastAsiaTheme="minorHAnsi" w:hAnsi="Times"/>
          <w:noProof/>
          <w:lang w:val="en-US" w:eastAsia="en-US"/>
        </w:rPr>
        <w:t xml:space="preserve"> </w:t>
      </w:r>
      <w:r w:rsidR="00194F81" w:rsidRPr="00E5792C">
        <w:rPr>
          <w:rFonts w:ascii="Times" w:eastAsiaTheme="minorHAnsi" w:hAnsi="Times"/>
          <w:noProof/>
          <w:lang w:val="en-US" w:eastAsia="en-US"/>
        </w:rPr>
        <w:t xml:space="preserve">good </w:t>
      </w:r>
      <w:r w:rsidR="009054EC" w:rsidRPr="00E5792C">
        <w:rPr>
          <w:rFonts w:ascii="Times" w:eastAsiaTheme="minorHAnsi" w:hAnsi="Times"/>
          <w:noProof/>
          <w:lang w:val="en-US" w:eastAsia="en-US"/>
        </w:rPr>
        <w:t xml:space="preserve">diagnostic </w:t>
      </w:r>
      <w:r w:rsidR="00194F81" w:rsidRPr="00E5792C">
        <w:rPr>
          <w:rFonts w:ascii="Times" w:eastAsiaTheme="minorHAnsi" w:hAnsi="Times"/>
          <w:noProof/>
          <w:lang w:val="en-US" w:eastAsia="en-US"/>
        </w:rPr>
        <w:t xml:space="preserve">yield of CMR in inflammatory cardiomyopathy and </w:t>
      </w:r>
      <w:r w:rsidR="006A078B" w:rsidRPr="00E5792C">
        <w:rPr>
          <w:rFonts w:ascii="Times" w:eastAsiaTheme="minorHAnsi" w:hAnsi="Times"/>
          <w:noProof/>
          <w:lang w:val="en-US" w:eastAsia="en-US"/>
        </w:rPr>
        <w:t xml:space="preserve">excellent agreement between </w:t>
      </w:r>
      <w:r w:rsidR="009054EC" w:rsidRPr="00E5792C">
        <w:rPr>
          <w:rFonts w:ascii="Times" w:eastAsiaTheme="minorHAnsi" w:hAnsi="Times"/>
          <w:noProof/>
          <w:lang w:val="en-US" w:eastAsia="en-US"/>
        </w:rPr>
        <w:t>CMR and EMB</w:t>
      </w:r>
      <w:r w:rsidR="002A0597" w:rsidRPr="00E5792C">
        <w:rPr>
          <w:rFonts w:ascii="Times" w:eastAsiaTheme="minorHAnsi" w:hAnsi="Times"/>
          <w:noProof/>
          <w:lang w:val="en-US" w:eastAsia="en-US"/>
        </w:rPr>
        <w:t xml:space="preserve"> </w:t>
      </w:r>
      <w:r w:rsidR="005551B9" w:rsidRPr="00E5792C">
        <w:rPr>
          <w:rFonts w:ascii="Times" w:eastAsiaTheme="minorHAnsi" w:hAnsi="Times"/>
          <w:noProof/>
          <w:lang w:val="en-US" w:eastAsia="en-US"/>
        </w:rPr>
        <w:t>in patients with suspected AM</w:t>
      </w:r>
      <w:r w:rsidR="00CF4DEA" w:rsidRPr="00E5792C">
        <w:rPr>
          <w:rFonts w:ascii="Times" w:eastAsiaTheme="minorHAnsi" w:hAnsi="Times"/>
          <w:noProof/>
          <w:lang w:val="en-US" w:eastAsia="en-US"/>
        </w:rPr>
        <w:t>,</w:t>
      </w:r>
      <w:r w:rsidR="00870A0B" w:rsidRPr="00E5792C">
        <w:rPr>
          <w:rFonts w:ascii="Times" w:eastAsiaTheme="minorHAnsi" w:hAnsi="Times"/>
          <w:noProof/>
          <w:vertAlign w:val="superscript"/>
          <w:lang w:val="en-US" w:eastAsia="en-US"/>
        </w:rPr>
        <w:t>4</w:t>
      </w:r>
      <w:r w:rsidR="00C71E53" w:rsidRPr="00E5792C">
        <w:rPr>
          <w:rFonts w:ascii="Times" w:eastAsiaTheme="minorHAnsi" w:hAnsi="Times"/>
          <w:noProof/>
          <w:vertAlign w:val="superscript"/>
          <w:lang w:val="en-US" w:eastAsia="en-US"/>
        </w:rPr>
        <w:t>3</w:t>
      </w:r>
      <w:r w:rsidR="00100E87" w:rsidRPr="00E5792C">
        <w:rPr>
          <w:rFonts w:ascii="Times" w:eastAsiaTheme="minorHAnsi" w:hAnsi="Times"/>
          <w:noProof/>
          <w:lang w:val="en-US" w:eastAsia="en-US"/>
        </w:rPr>
        <w:t xml:space="preserve"> we believe that the studies</w:t>
      </w:r>
      <w:r w:rsidR="008C443B" w:rsidRPr="00E5792C">
        <w:rPr>
          <w:rFonts w:ascii="Times" w:eastAsiaTheme="minorHAnsi" w:hAnsi="Times"/>
          <w:noProof/>
          <w:lang w:val="en-US" w:eastAsia="en-US"/>
        </w:rPr>
        <w:t xml:space="preserve"> </w:t>
      </w:r>
      <w:r w:rsidR="00046F31" w:rsidRPr="00E5792C">
        <w:rPr>
          <w:rFonts w:ascii="Times" w:eastAsiaTheme="minorHAnsi" w:hAnsi="Times"/>
          <w:noProof/>
          <w:lang w:val="en-US" w:eastAsia="en-US"/>
        </w:rPr>
        <w:t xml:space="preserve">included in </w:t>
      </w:r>
      <w:r w:rsidR="00BC5085" w:rsidRPr="00E5792C">
        <w:rPr>
          <w:rFonts w:ascii="Times" w:eastAsiaTheme="minorHAnsi" w:hAnsi="Times"/>
          <w:noProof/>
          <w:lang w:val="en-US" w:eastAsia="en-US"/>
        </w:rPr>
        <w:t xml:space="preserve">the </w:t>
      </w:r>
      <w:r w:rsidR="008C443B" w:rsidRPr="00E5792C">
        <w:rPr>
          <w:rFonts w:ascii="Times" w:eastAsiaTheme="minorHAnsi" w:hAnsi="Times"/>
          <w:noProof/>
          <w:lang w:val="en-US" w:eastAsia="en-US"/>
        </w:rPr>
        <w:t>meta</w:t>
      </w:r>
      <w:r w:rsidR="006F576F" w:rsidRPr="00E5792C">
        <w:rPr>
          <w:rFonts w:ascii="Times" w:eastAsiaTheme="minorHAnsi" w:hAnsi="Times"/>
          <w:noProof/>
          <w:lang w:val="en-US" w:eastAsia="en-US"/>
        </w:rPr>
        <w:t>-a</w:t>
      </w:r>
      <w:r w:rsidR="008C443B" w:rsidRPr="00E5792C">
        <w:rPr>
          <w:rFonts w:ascii="Times" w:eastAsiaTheme="minorHAnsi" w:hAnsi="Times"/>
          <w:noProof/>
          <w:lang w:val="en-US" w:eastAsia="en-US"/>
        </w:rPr>
        <w:t>nalysis</w:t>
      </w:r>
      <w:r w:rsidR="00100E87" w:rsidRPr="00E5792C">
        <w:rPr>
          <w:rFonts w:ascii="Times" w:eastAsiaTheme="minorHAnsi" w:hAnsi="Times"/>
          <w:noProof/>
          <w:lang w:val="en-US" w:eastAsia="en-US"/>
        </w:rPr>
        <w:t xml:space="preserve"> </w:t>
      </w:r>
      <w:r w:rsidR="00137FD5" w:rsidRPr="00E5792C">
        <w:rPr>
          <w:rFonts w:ascii="Times" w:eastAsiaTheme="minorHAnsi" w:hAnsi="Times"/>
          <w:noProof/>
          <w:lang w:val="en-US" w:eastAsia="en-US"/>
        </w:rPr>
        <w:t>correct</w:t>
      </w:r>
      <w:r w:rsidR="00BC5085" w:rsidRPr="00E5792C">
        <w:rPr>
          <w:rFonts w:ascii="Times" w:eastAsiaTheme="minorHAnsi" w:hAnsi="Times"/>
          <w:noProof/>
          <w:lang w:val="en-US" w:eastAsia="en-US"/>
        </w:rPr>
        <w:t>ly</w:t>
      </w:r>
      <w:r w:rsidR="00137FD5" w:rsidRPr="00E5792C">
        <w:rPr>
          <w:rFonts w:ascii="Times" w:eastAsiaTheme="minorHAnsi" w:hAnsi="Times"/>
          <w:noProof/>
          <w:lang w:val="en-US" w:eastAsia="en-US"/>
        </w:rPr>
        <w:t xml:space="preserve"> </w:t>
      </w:r>
      <w:r w:rsidR="00FD255C" w:rsidRPr="00E5792C">
        <w:rPr>
          <w:rFonts w:ascii="Times" w:eastAsiaTheme="minorHAnsi" w:hAnsi="Times"/>
          <w:noProof/>
          <w:lang w:val="en-US" w:eastAsia="en-US"/>
        </w:rPr>
        <w:t xml:space="preserve">included </w:t>
      </w:r>
      <w:r w:rsidR="00100E87" w:rsidRPr="00E5792C">
        <w:rPr>
          <w:rFonts w:ascii="Times" w:eastAsiaTheme="minorHAnsi" w:hAnsi="Times"/>
          <w:noProof/>
          <w:lang w:val="en-US" w:eastAsia="en-US"/>
        </w:rPr>
        <w:t>AM</w:t>
      </w:r>
      <w:r w:rsidR="00BC5085" w:rsidRPr="00E5792C">
        <w:rPr>
          <w:rFonts w:ascii="Times" w:eastAsiaTheme="minorHAnsi" w:hAnsi="Times"/>
          <w:noProof/>
          <w:lang w:val="en-US" w:eastAsia="en-US"/>
        </w:rPr>
        <w:t xml:space="preserve"> </w:t>
      </w:r>
      <w:r w:rsidR="00FD255C" w:rsidRPr="00E5792C">
        <w:rPr>
          <w:rFonts w:ascii="Times" w:eastAsiaTheme="minorHAnsi" w:hAnsi="Times"/>
          <w:noProof/>
          <w:lang w:val="en-US" w:eastAsia="en-US"/>
        </w:rPr>
        <w:t>patients</w:t>
      </w:r>
      <w:r w:rsidR="002A0597" w:rsidRPr="00E5792C">
        <w:rPr>
          <w:rFonts w:ascii="Times" w:eastAsiaTheme="minorHAnsi" w:hAnsi="Times"/>
          <w:noProof/>
          <w:lang w:val="en-US" w:eastAsia="en-US"/>
        </w:rPr>
        <w:t xml:space="preserve">. </w:t>
      </w:r>
      <w:r w:rsidR="00137FD5" w:rsidRPr="00E5792C">
        <w:rPr>
          <w:rFonts w:ascii="Times" w:eastAsiaTheme="minorHAnsi" w:hAnsi="Times"/>
          <w:noProof/>
          <w:lang w:val="en-US" w:eastAsia="en-US"/>
        </w:rPr>
        <w:t>Second</w:t>
      </w:r>
      <w:r w:rsidR="00100E87" w:rsidRPr="00E5792C">
        <w:rPr>
          <w:rFonts w:ascii="Times" w:eastAsiaTheme="minorHAnsi" w:hAnsi="Times"/>
          <w:noProof/>
          <w:lang w:val="en-US" w:eastAsia="en-US"/>
        </w:rPr>
        <w:t xml:space="preserve">, </w:t>
      </w:r>
      <w:r w:rsidR="00137FD5" w:rsidRPr="00E5792C">
        <w:rPr>
          <w:rFonts w:ascii="Times" w:eastAsiaTheme="minorHAnsi" w:hAnsi="Times"/>
          <w:noProof/>
          <w:lang w:val="en-US" w:eastAsia="en-US"/>
        </w:rPr>
        <w:t xml:space="preserve">we </w:t>
      </w:r>
      <w:r w:rsidR="009054EC" w:rsidRPr="00E5792C">
        <w:rPr>
          <w:rFonts w:ascii="Times" w:eastAsiaTheme="minorHAnsi" w:hAnsi="Times"/>
          <w:noProof/>
          <w:lang w:val="en-US" w:eastAsia="en-US"/>
        </w:rPr>
        <w:t xml:space="preserve">included only observational studies, which </w:t>
      </w:r>
      <w:r w:rsidR="009A2E40" w:rsidRPr="00E5792C">
        <w:rPr>
          <w:rFonts w:ascii="Times" w:eastAsiaTheme="minorHAnsi" w:hAnsi="Times"/>
          <w:noProof/>
          <w:lang w:val="en-US" w:eastAsia="en-US"/>
        </w:rPr>
        <w:t>have</w:t>
      </w:r>
      <w:r w:rsidR="009054EC" w:rsidRPr="00E5792C">
        <w:rPr>
          <w:rFonts w:ascii="Times" w:eastAsiaTheme="minorHAnsi" w:hAnsi="Times"/>
          <w:noProof/>
          <w:lang w:val="en-US" w:eastAsia="en-US"/>
        </w:rPr>
        <w:t xml:space="preserve"> an intrinsic risk for selection bias and can detect associations but not </w:t>
      </w:r>
      <w:r w:rsidR="00046F31" w:rsidRPr="00E5792C">
        <w:rPr>
          <w:rFonts w:ascii="Times" w:eastAsiaTheme="minorHAnsi" w:hAnsi="Times"/>
          <w:noProof/>
          <w:lang w:val="en-US" w:eastAsia="en-US"/>
        </w:rPr>
        <w:t xml:space="preserve">ascibe </w:t>
      </w:r>
      <w:r w:rsidR="009054EC" w:rsidRPr="00E5792C">
        <w:rPr>
          <w:rFonts w:ascii="Times" w:eastAsiaTheme="minorHAnsi" w:hAnsi="Times"/>
          <w:noProof/>
          <w:lang w:val="en-US" w:eastAsia="en-US"/>
        </w:rPr>
        <w:t xml:space="preserve">causality. </w:t>
      </w:r>
      <w:r w:rsidR="00137FD5" w:rsidRPr="00E5792C">
        <w:rPr>
          <w:rFonts w:ascii="Times" w:eastAsiaTheme="minorHAnsi" w:hAnsi="Times"/>
          <w:noProof/>
          <w:lang w:val="en-US" w:eastAsia="en-US"/>
        </w:rPr>
        <w:t>Third,</w:t>
      </w:r>
      <w:r w:rsidR="00BF0796" w:rsidRPr="00E5792C">
        <w:rPr>
          <w:rFonts w:ascii="Times" w:eastAsiaTheme="minorHAnsi" w:hAnsi="Times"/>
          <w:noProof/>
          <w:lang w:val="en-US" w:eastAsia="en-US"/>
        </w:rPr>
        <w:t xml:space="preserve"> </w:t>
      </w:r>
      <w:r w:rsidR="009054EC" w:rsidRPr="00E5792C">
        <w:rPr>
          <w:rFonts w:ascii="Times" w:eastAsiaTheme="minorHAnsi" w:hAnsi="Times"/>
          <w:noProof/>
          <w:lang w:val="en-US" w:eastAsia="en-US"/>
        </w:rPr>
        <w:t>the studies</w:t>
      </w:r>
      <w:r w:rsidR="00BF0796" w:rsidRPr="00E5792C">
        <w:rPr>
          <w:rFonts w:ascii="Times" w:eastAsiaTheme="minorHAnsi" w:hAnsi="Times"/>
          <w:noProof/>
          <w:lang w:val="en-US" w:eastAsia="en-US"/>
        </w:rPr>
        <w:t xml:space="preserve"> i</w:t>
      </w:r>
      <w:r w:rsidR="009054EC" w:rsidRPr="00E5792C">
        <w:rPr>
          <w:rFonts w:ascii="Times" w:eastAsiaTheme="minorHAnsi" w:hAnsi="Times"/>
          <w:noProof/>
          <w:lang w:val="en-US" w:eastAsia="en-US"/>
        </w:rPr>
        <w:t>ncluded in th</w:t>
      </w:r>
      <w:r w:rsidR="00903E21" w:rsidRPr="00E5792C">
        <w:rPr>
          <w:rFonts w:ascii="Times" w:eastAsiaTheme="minorHAnsi" w:hAnsi="Times"/>
          <w:noProof/>
          <w:lang w:val="en-US" w:eastAsia="en-US"/>
        </w:rPr>
        <w:t>e</w:t>
      </w:r>
      <w:r w:rsidR="009054EC" w:rsidRPr="00E5792C">
        <w:rPr>
          <w:rFonts w:ascii="Times" w:eastAsiaTheme="minorHAnsi" w:hAnsi="Times"/>
          <w:noProof/>
          <w:lang w:val="en-US" w:eastAsia="en-US"/>
        </w:rPr>
        <w:t xml:space="preserve"> meta-analysis </w:t>
      </w:r>
      <w:r w:rsidR="00137FD5" w:rsidRPr="00E5792C">
        <w:rPr>
          <w:rFonts w:ascii="Times" w:eastAsiaTheme="minorHAnsi" w:hAnsi="Times"/>
          <w:noProof/>
          <w:lang w:val="en-US" w:eastAsia="en-US"/>
        </w:rPr>
        <w:t>presented</w:t>
      </w:r>
      <w:r w:rsidR="002A0597" w:rsidRPr="00E5792C">
        <w:rPr>
          <w:rFonts w:ascii="Times" w:eastAsiaTheme="minorHAnsi" w:hAnsi="Times"/>
          <w:noProof/>
          <w:lang w:val="en-US" w:eastAsia="en-US"/>
        </w:rPr>
        <w:t xml:space="preserve"> </w:t>
      </w:r>
      <w:r w:rsidR="00137FD5" w:rsidRPr="00E5792C">
        <w:rPr>
          <w:rFonts w:ascii="Times" w:eastAsiaTheme="minorHAnsi" w:hAnsi="Times"/>
          <w:noProof/>
          <w:lang w:val="en-US" w:eastAsia="en-US"/>
        </w:rPr>
        <w:t>sign</w:t>
      </w:r>
      <w:r w:rsidR="009054EC" w:rsidRPr="00E5792C">
        <w:rPr>
          <w:rFonts w:ascii="Times" w:eastAsiaTheme="minorHAnsi" w:hAnsi="Times"/>
          <w:noProof/>
          <w:lang w:val="en-US" w:eastAsia="en-US"/>
        </w:rPr>
        <w:t xml:space="preserve">ificant heterogeneity </w:t>
      </w:r>
      <w:r w:rsidR="004D0C4A" w:rsidRPr="00E5792C">
        <w:rPr>
          <w:rFonts w:ascii="Times" w:eastAsiaTheme="minorHAnsi" w:hAnsi="Times"/>
          <w:noProof/>
          <w:lang w:val="en-US" w:eastAsia="en-US"/>
        </w:rPr>
        <w:t xml:space="preserve">with respect </w:t>
      </w:r>
      <w:r w:rsidR="00046F31" w:rsidRPr="00E5792C">
        <w:rPr>
          <w:rFonts w:ascii="Times" w:eastAsiaTheme="minorHAnsi" w:hAnsi="Times"/>
          <w:noProof/>
          <w:lang w:val="en-US" w:eastAsia="en-US"/>
        </w:rPr>
        <w:t xml:space="preserve">to the </w:t>
      </w:r>
      <w:r w:rsidR="00137FD5" w:rsidRPr="00E5792C">
        <w:rPr>
          <w:rFonts w:ascii="Times" w:eastAsiaTheme="minorHAnsi" w:hAnsi="Times"/>
          <w:noProof/>
          <w:lang w:val="en-US" w:eastAsia="en-US"/>
        </w:rPr>
        <w:t>patient</w:t>
      </w:r>
      <w:r w:rsidR="009054EC" w:rsidRPr="00E5792C">
        <w:rPr>
          <w:rFonts w:ascii="Times" w:eastAsiaTheme="minorHAnsi" w:hAnsi="Times"/>
          <w:noProof/>
          <w:lang w:val="en-US" w:eastAsia="en-US"/>
        </w:rPr>
        <w:t xml:space="preserve"> populations. </w:t>
      </w:r>
      <w:r w:rsidR="00137FD5" w:rsidRPr="00E5792C">
        <w:rPr>
          <w:rFonts w:ascii="Times" w:eastAsiaTheme="minorHAnsi" w:hAnsi="Times"/>
          <w:noProof/>
          <w:lang w:val="en-US" w:eastAsia="en-US"/>
        </w:rPr>
        <w:t>However, meta-regression analyses did not suggest sign</w:t>
      </w:r>
      <w:r w:rsidR="00E17A3C" w:rsidRPr="00E5792C">
        <w:rPr>
          <w:rFonts w:ascii="Times" w:eastAsiaTheme="minorHAnsi" w:hAnsi="Times"/>
          <w:noProof/>
          <w:lang w:val="en-US" w:eastAsia="en-US"/>
        </w:rPr>
        <w:t>i</w:t>
      </w:r>
      <w:r w:rsidR="00137FD5" w:rsidRPr="00E5792C">
        <w:rPr>
          <w:rFonts w:ascii="Times" w:eastAsiaTheme="minorHAnsi" w:hAnsi="Times"/>
          <w:noProof/>
          <w:lang w:val="en-US" w:eastAsia="en-US"/>
        </w:rPr>
        <w:t>ficant modification of our estimates by baseline characteristics, includin</w:t>
      </w:r>
      <w:r w:rsidR="00E17A3C" w:rsidRPr="00E5792C">
        <w:rPr>
          <w:rFonts w:ascii="Times" w:eastAsiaTheme="minorHAnsi" w:hAnsi="Times"/>
          <w:noProof/>
          <w:lang w:val="en-US" w:eastAsia="en-US"/>
        </w:rPr>
        <w:t>g</w:t>
      </w:r>
      <w:r w:rsidR="00137FD5" w:rsidRPr="00E5792C">
        <w:rPr>
          <w:rFonts w:ascii="Times" w:eastAsiaTheme="minorHAnsi" w:hAnsi="Times"/>
          <w:noProof/>
          <w:lang w:val="en-US" w:eastAsia="en-US"/>
        </w:rPr>
        <w:t xml:space="preserve"> age, gender, </w:t>
      </w:r>
      <w:r w:rsidR="00F6633F" w:rsidRPr="00E5792C">
        <w:rPr>
          <w:rFonts w:ascii="Times" w:eastAsiaTheme="minorHAnsi" w:hAnsi="Times"/>
          <w:noProof/>
          <w:lang w:val="en-US" w:eastAsia="en-US"/>
        </w:rPr>
        <w:t>cardiovascular</w:t>
      </w:r>
      <w:r w:rsidR="00137FD5" w:rsidRPr="00E5792C">
        <w:rPr>
          <w:rFonts w:ascii="Times" w:eastAsiaTheme="minorHAnsi" w:hAnsi="Times"/>
          <w:noProof/>
          <w:lang w:val="en-US" w:eastAsia="en-US"/>
        </w:rPr>
        <w:t xml:space="preserve"> risk factors, clinical </w:t>
      </w:r>
      <w:r w:rsidR="00F6633F" w:rsidRPr="00E5792C">
        <w:rPr>
          <w:rFonts w:ascii="Times" w:eastAsiaTheme="minorHAnsi" w:hAnsi="Times"/>
          <w:noProof/>
          <w:lang w:val="en-US" w:eastAsia="en-US"/>
        </w:rPr>
        <w:t>presentation</w:t>
      </w:r>
      <w:r w:rsidR="00137FD5" w:rsidRPr="00E5792C">
        <w:rPr>
          <w:rFonts w:ascii="Times" w:eastAsiaTheme="minorHAnsi" w:hAnsi="Times"/>
          <w:noProof/>
          <w:lang w:val="en-US" w:eastAsia="en-US"/>
        </w:rPr>
        <w:t xml:space="preserve"> </w:t>
      </w:r>
      <w:r w:rsidR="00F6633F" w:rsidRPr="00E5792C">
        <w:rPr>
          <w:rFonts w:ascii="Times" w:eastAsiaTheme="minorHAnsi" w:hAnsi="Times"/>
          <w:noProof/>
          <w:lang w:val="en-US" w:eastAsia="en-US"/>
        </w:rPr>
        <w:t xml:space="preserve">or </w:t>
      </w:r>
      <w:r w:rsidR="00137FD5" w:rsidRPr="00E5792C">
        <w:rPr>
          <w:rFonts w:ascii="Times" w:eastAsiaTheme="minorHAnsi" w:hAnsi="Times"/>
          <w:noProof/>
          <w:lang w:val="en-US" w:eastAsia="en-US"/>
        </w:rPr>
        <w:t>laboratory parameters</w:t>
      </w:r>
      <w:r w:rsidR="009054EC" w:rsidRPr="00E5792C">
        <w:rPr>
          <w:rFonts w:ascii="Times" w:eastAsiaTheme="minorHAnsi" w:hAnsi="Times"/>
          <w:noProof/>
          <w:lang w:val="en-US" w:eastAsia="en-US"/>
        </w:rPr>
        <w:t xml:space="preserve">. </w:t>
      </w:r>
      <w:bookmarkStart w:id="18" w:name="_Hlk49625576"/>
      <w:r w:rsidR="003F0E75" w:rsidRPr="00E5792C">
        <w:rPr>
          <w:rFonts w:ascii="Times" w:eastAsiaTheme="minorHAnsi" w:hAnsi="Times"/>
          <w:noProof/>
          <w:lang w:val="en-US" w:eastAsia="en-US"/>
        </w:rPr>
        <w:t>Fourth, i</w:t>
      </w:r>
      <w:r w:rsidR="003F0E75" w:rsidRPr="00E5792C">
        <w:rPr>
          <w:rFonts w:ascii="Times" w:hAnsi="Times"/>
          <w:lang w:val="en-US"/>
        </w:rPr>
        <w:t xml:space="preserve">t is important to bear in mind that the presence and the AS location of LGE were </w:t>
      </w:r>
      <w:r w:rsidR="003F0E75" w:rsidRPr="00E5792C">
        <w:rPr>
          <w:bCs/>
          <w:lang w:val="en-US"/>
        </w:rPr>
        <w:t xml:space="preserve">associated with the occurrence of the combined endpoint even after the </w:t>
      </w:r>
      <w:r w:rsidR="003F0E75" w:rsidRPr="00E5792C">
        <w:rPr>
          <w:rFonts w:ascii="Times" w:hAnsi="Times"/>
          <w:lang w:val="en-US"/>
        </w:rPr>
        <w:t xml:space="preserve">restrictive </w:t>
      </w:r>
      <w:r w:rsidR="003F0E75" w:rsidRPr="00E5792C">
        <w:rPr>
          <w:bCs/>
          <w:lang w:val="en-US"/>
        </w:rPr>
        <w:t xml:space="preserve">HK correction was applied. However, when sensitivity analysis was performed, although the findings remained significant, given the </w:t>
      </w:r>
      <w:r w:rsidR="006839F4" w:rsidRPr="00E5792C">
        <w:rPr>
          <w:bCs/>
          <w:lang w:val="en-US"/>
        </w:rPr>
        <w:t xml:space="preserve">residual </w:t>
      </w:r>
      <w:r w:rsidR="003F0E75" w:rsidRPr="00E5792C">
        <w:rPr>
          <w:bCs/>
          <w:lang w:val="en-US"/>
        </w:rPr>
        <w:t>small number of studies available, the HK-correction could not be validly applied on the resulting confidence intervals, risking the residual possibility of a type 1 error. This emphasizes the need for further prospective studies to evaluate the mechanisms and significance of LGE presence and location.</w:t>
      </w:r>
      <w:r w:rsidR="00FA493C" w:rsidRPr="00E5792C">
        <w:rPr>
          <w:bCs/>
          <w:lang w:val="en-US"/>
        </w:rPr>
        <w:t xml:space="preserve"> </w:t>
      </w:r>
      <w:r w:rsidR="005C2F38" w:rsidRPr="00E5792C">
        <w:rPr>
          <w:rFonts w:ascii="Times" w:eastAsiaTheme="minorHAnsi" w:hAnsi="Times"/>
          <w:noProof/>
          <w:lang w:val="en-US" w:eastAsia="en-US"/>
        </w:rPr>
        <w:t>Finally</w:t>
      </w:r>
      <w:r w:rsidR="002B56F1" w:rsidRPr="00E5792C">
        <w:rPr>
          <w:rFonts w:ascii="Times" w:eastAsiaTheme="minorHAnsi" w:hAnsi="Times"/>
          <w:noProof/>
          <w:lang w:val="en-US" w:eastAsia="en-US"/>
        </w:rPr>
        <w:t>,</w:t>
      </w:r>
      <w:r w:rsidR="00B61DF8" w:rsidRPr="00E5792C">
        <w:rPr>
          <w:rFonts w:ascii="Times" w:eastAsiaTheme="minorHAnsi" w:hAnsi="Times"/>
          <w:noProof/>
          <w:lang w:val="en-US" w:eastAsia="en-US"/>
        </w:rPr>
        <w:t xml:space="preserve"> </w:t>
      </w:r>
      <w:r w:rsidR="00082DD3" w:rsidRPr="00E5792C">
        <w:rPr>
          <w:rFonts w:ascii="Times" w:eastAsiaTheme="minorHAnsi" w:hAnsi="Times"/>
          <w:noProof/>
          <w:lang w:val="en-US" w:eastAsia="en-US"/>
        </w:rPr>
        <w:t>novel CMR markers such</w:t>
      </w:r>
      <w:r w:rsidR="00445F04" w:rsidRPr="00E5792C">
        <w:rPr>
          <w:rFonts w:ascii="Times" w:eastAsiaTheme="minorHAnsi" w:hAnsi="Times"/>
          <w:noProof/>
          <w:lang w:val="en-US" w:eastAsia="en-US"/>
        </w:rPr>
        <w:t xml:space="preserve"> </w:t>
      </w:r>
      <w:r w:rsidR="00082DD3" w:rsidRPr="00E5792C">
        <w:rPr>
          <w:rFonts w:ascii="Times" w:eastAsiaTheme="minorHAnsi" w:hAnsi="Times"/>
          <w:noProof/>
          <w:lang w:val="en-US" w:eastAsia="en-US"/>
        </w:rPr>
        <w:t xml:space="preserve">as </w:t>
      </w:r>
      <w:r w:rsidR="002B56F1" w:rsidRPr="00E5792C">
        <w:rPr>
          <w:rFonts w:ascii="Times" w:eastAsiaTheme="minorHAnsi" w:hAnsi="Times"/>
          <w:noProof/>
          <w:lang w:val="en-US" w:eastAsia="en-US"/>
        </w:rPr>
        <w:t>parametric</w:t>
      </w:r>
      <w:r w:rsidR="00B97748" w:rsidRPr="00E5792C">
        <w:rPr>
          <w:rFonts w:ascii="Times" w:eastAsiaTheme="minorHAnsi" w:hAnsi="Times"/>
          <w:noProof/>
          <w:lang w:val="en-US" w:eastAsia="en-US"/>
        </w:rPr>
        <w:t xml:space="preserve"> imag</w:t>
      </w:r>
      <w:r w:rsidR="002B56F1" w:rsidRPr="00E5792C">
        <w:rPr>
          <w:rFonts w:ascii="Times" w:eastAsiaTheme="minorHAnsi" w:hAnsi="Times"/>
          <w:noProof/>
          <w:lang w:val="en-US" w:eastAsia="en-US"/>
        </w:rPr>
        <w:t>ing</w:t>
      </w:r>
      <w:r w:rsidR="002C20A9" w:rsidRPr="00E5792C">
        <w:rPr>
          <w:rFonts w:ascii="Times" w:eastAsiaTheme="minorHAnsi" w:hAnsi="Times"/>
          <w:noProof/>
          <w:lang w:val="en-US" w:eastAsia="en-US"/>
        </w:rPr>
        <w:t xml:space="preserve"> and </w:t>
      </w:r>
      <w:r w:rsidR="00B61DF8" w:rsidRPr="00E5792C">
        <w:rPr>
          <w:rFonts w:ascii="Times" w:eastAsiaTheme="minorHAnsi" w:hAnsi="Times"/>
          <w:noProof/>
          <w:lang w:val="en-US" w:eastAsia="en-US"/>
        </w:rPr>
        <w:t xml:space="preserve">myocardial strain </w:t>
      </w:r>
      <w:r w:rsidR="00082DD3" w:rsidRPr="00E5792C">
        <w:rPr>
          <w:rFonts w:ascii="Times" w:eastAsiaTheme="minorHAnsi" w:hAnsi="Times"/>
          <w:noProof/>
          <w:lang w:val="en-US" w:eastAsia="en-US"/>
        </w:rPr>
        <w:t>were not adjudicated eligible for meta-analysis</w:t>
      </w:r>
      <w:r w:rsidR="00B61DF8" w:rsidRPr="00E5792C">
        <w:rPr>
          <w:rFonts w:ascii="Times" w:eastAsiaTheme="minorHAnsi" w:hAnsi="Times"/>
          <w:noProof/>
          <w:lang w:val="en-US" w:eastAsia="en-US"/>
        </w:rPr>
        <w:t xml:space="preserve"> </w:t>
      </w:r>
      <w:r w:rsidR="00B97748" w:rsidRPr="00E5792C">
        <w:rPr>
          <w:rFonts w:ascii="Times" w:eastAsiaTheme="minorHAnsi" w:hAnsi="Times"/>
          <w:noProof/>
          <w:lang w:val="en-US" w:eastAsia="en-US"/>
        </w:rPr>
        <w:t xml:space="preserve">in view of the scarcity </w:t>
      </w:r>
      <w:r w:rsidR="00B61DF8" w:rsidRPr="00E5792C">
        <w:rPr>
          <w:rFonts w:ascii="Times" w:eastAsiaTheme="minorHAnsi" w:hAnsi="Times"/>
          <w:noProof/>
          <w:lang w:val="en-US" w:eastAsia="en-US"/>
        </w:rPr>
        <w:t xml:space="preserve">of data </w:t>
      </w:r>
      <w:r w:rsidR="003F395B" w:rsidRPr="00E5792C">
        <w:rPr>
          <w:rFonts w:ascii="Times" w:eastAsiaTheme="minorHAnsi" w:hAnsi="Times"/>
          <w:noProof/>
          <w:lang w:val="en-US" w:eastAsia="en-US"/>
        </w:rPr>
        <w:t xml:space="preserve">available </w:t>
      </w:r>
      <w:r w:rsidR="00B61DF8" w:rsidRPr="00E5792C">
        <w:rPr>
          <w:rFonts w:ascii="Times" w:eastAsiaTheme="minorHAnsi" w:hAnsi="Times"/>
          <w:noProof/>
          <w:lang w:val="en-US" w:eastAsia="en-US"/>
        </w:rPr>
        <w:t>so far.</w:t>
      </w:r>
      <w:r w:rsidR="002C20A9" w:rsidRPr="00E5792C">
        <w:rPr>
          <w:rFonts w:ascii="Times" w:eastAsiaTheme="minorHAnsi" w:hAnsi="Times"/>
          <w:noProof/>
          <w:lang w:val="en-US" w:eastAsia="en-US"/>
        </w:rPr>
        <w:t xml:space="preserve"> </w:t>
      </w:r>
      <w:r w:rsidR="0086079C" w:rsidRPr="00E5792C">
        <w:rPr>
          <w:rFonts w:ascii="Times" w:eastAsiaTheme="minorHAnsi" w:hAnsi="Times"/>
          <w:noProof/>
          <w:lang w:val="en-US" w:eastAsia="en-US"/>
        </w:rPr>
        <w:t>Native</w:t>
      </w:r>
      <w:r w:rsidR="002C20A9" w:rsidRPr="00E5792C">
        <w:rPr>
          <w:rFonts w:ascii="Times" w:eastAsiaTheme="minorHAnsi" w:hAnsi="Times"/>
          <w:noProof/>
          <w:lang w:val="en-US" w:eastAsia="en-US"/>
        </w:rPr>
        <w:t xml:space="preserve"> T1 </w:t>
      </w:r>
      <w:r w:rsidR="0086079C" w:rsidRPr="00E5792C">
        <w:rPr>
          <w:rFonts w:ascii="Times" w:eastAsiaTheme="minorHAnsi" w:hAnsi="Times"/>
          <w:noProof/>
          <w:lang w:val="en-US" w:eastAsia="en-US"/>
        </w:rPr>
        <w:t xml:space="preserve">and extracellular volume mapping techniques are increasingly </w:t>
      </w:r>
      <w:r w:rsidR="00735111" w:rsidRPr="00E5792C">
        <w:rPr>
          <w:rFonts w:ascii="Times" w:eastAsiaTheme="minorHAnsi" w:hAnsi="Times"/>
          <w:noProof/>
          <w:lang w:val="en-US" w:eastAsia="en-US"/>
        </w:rPr>
        <w:t>being used for diagnosis and have been incorporated into the revised Lake Louise criteria.</w:t>
      </w:r>
      <w:r w:rsidR="000F5295" w:rsidRPr="00E5792C">
        <w:rPr>
          <w:rFonts w:ascii="Times" w:eastAsiaTheme="minorHAnsi" w:hAnsi="Times"/>
          <w:noProof/>
          <w:vertAlign w:val="superscript"/>
          <w:lang w:val="en-US" w:eastAsia="en-US"/>
        </w:rPr>
        <w:t>6</w:t>
      </w:r>
      <w:r w:rsidR="00735111" w:rsidRPr="00E5792C">
        <w:rPr>
          <w:rFonts w:ascii="Times" w:eastAsiaTheme="minorHAnsi" w:hAnsi="Times"/>
          <w:noProof/>
          <w:lang w:val="en-US" w:eastAsia="en-US"/>
        </w:rPr>
        <w:t xml:space="preserve"> </w:t>
      </w:r>
      <w:r w:rsidR="00B6720D" w:rsidRPr="00E5792C">
        <w:rPr>
          <w:rFonts w:ascii="Times" w:eastAsiaTheme="minorHAnsi" w:hAnsi="Times"/>
          <w:noProof/>
          <w:lang w:val="en-US" w:eastAsia="en-US"/>
        </w:rPr>
        <w:t xml:space="preserve">However, while there </w:t>
      </w:r>
      <w:r w:rsidR="00B6720D" w:rsidRPr="00E5792C">
        <w:rPr>
          <w:rFonts w:ascii="Times" w:eastAsiaTheme="minorHAnsi" w:hAnsi="Times"/>
          <w:noProof/>
          <w:lang w:val="en-US" w:eastAsia="en-US"/>
        </w:rPr>
        <w:lastRenderedPageBreak/>
        <w:t>is growing evidence for their diagnostic utility in AM</w:t>
      </w:r>
      <w:r w:rsidR="008E0F2B" w:rsidRPr="00E5792C">
        <w:rPr>
          <w:rFonts w:ascii="Times" w:eastAsiaTheme="minorHAnsi" w:hAnsi="Times"/>
          <w:noProof/>
          <w:lang w:val="en-US" w:eastAsia="en-US"/>
        </w:rPr>
        <w:t>,</w:t>
      </w:r>
      <w:r w:rsidR="000F5295" w:rsidRPr="00E5792C">
        <w:rPr>
          <w:rFonts w:ascii="Times" w:eastAsiaTheme="minorHAnsi" w:hAnsi="Times"/>
          <w:noProof/>
          <w:vertAlign w:val="superscript"/>
          <w:lang w:val="en-US" w:eastAsia="en-US"/>
        </w:rPr>
        <w:t>7</w:t>
      </w:r>
      <w:r w:rsidR="008E0F2B" w:rsidRPr="00E5792C">
        <w:rPr>
          <w:rFonts w:ascii="Times" w:eastAsiaTheme="minorHAnsi" w:hAnsi="Times"/>
          <w:noProof/>
          <w:lang w:val="en-US" w:eastAsia="en-US"/>
        </w:rPr>
        <w:t xml:space="preserve"> and for their prognostic significance in </w:t>
      </w:r>
      <w:r w:rsidR="00523662" w:rsidRPr="00E5792C">
        <w:rPr>
          <w:rFonts w:ascii="Times" w:eastAsiaTheme="minorHAnsi" w:hAnsi="Times"/>
          <w:noProof/>
          <w:lang w:val="en-US" w:eastAsia="en-US"/>
        </w:rPr>
        <w:t>many other</w:t>
      </w:r>
      <w:r w:rsidR="008E0F2B" w:rsidRPr="00E5792C">
        <w:rPr>
          <w:rFonts w:ascii="Times" w:eastAsiaTheme="minorHAnsi" w:hAnsi="Times"/>
          <w:noProof/>
          <w:lang w:val="en-US" w:eastAsia="en-US"/>
        </w:rPr>
        <w:t xml:space="preserve"> disease settings,</w:t>
      </w:r>
      <w:r w:rsidR="00870A0B" w:rsidRPr="00E5792C">
        <w:rPr>
          <w:rFonts w:ascii="Times" w:eastAsiaTheme="minorHAnsi" w:hAnsi="Times"/>
          <w:noProof/>
          <w:vertAlign w:val="superscript"/>
          <w:lang w:val="en-US" w:eastAsia="en-US"/>
        </w:rPr>
        <w:t>4</w:t>
      </w:r>
      <w:r w:rsidR="00C71E53" w:rsidRPr="00E5792C">
        <w:rPr>
          <w:rFonts w:ascii="Times" w:eastAsiaTheme="minorHAnsi" w:hAnsi="Times"/>
          <w:noProof/>
          <w:vertAlign w:val="superscript"/>
          <w:lang w:val="en-US" w:eastAsia="en-US"/>
        </w:rPr>
        <w:t>4,</w:t>
      </w:r>
      <w:r w:rsidR="00870A0B" w:rsidRPr="00E5792C">
        <w:rPr>
          <w:rFonts w:ascii="Times" w:eastAsiaTheme="minorHAnsi" w:hAnsi="Times"/>
          <w:noProof/>
          <w:vertAlign w:val="superscript"/>
          <w:lang w:val="en-US" w:eastAsia="en-US"/>
        </w:rPr>
        <w:t>4</w:t>
      </w:r>
      <w:r w:rsidR="00C71E53" w:rsidRPr="00E5792C">
        <w:rPr>
          <w:rFonts w:ascii="Times" w:eastAsiaTheme="minorHAnsi" w:hAnsi="Times"/>
          <w:noProof/>
          <w:vertAlign w:val="superscript"/>
          <w:lang w:val="en-US" w:eastAsia="en-US"/>
        </w:rPr>
        <w:t>5</w:t>
      </w:r>
      <w:r w:rsidR="008E0F2B" w:rsidRPr="00E5792C">
        <w:rPr>
          <w:rFonts w:ascii="Times" w:eastAsiaTheme="minorHAnsi" w:hAnsi="Times"/>
          <w:noProof/>
          <w:lang w:val="en-US" w:eastAsia="en-US"/>
        </w:rPr>
        <w:t xml:space="preserve"> the studies in our meta-analysis pre-dated their widespread use for this purpose. Further work is required to prospectively assess the prognostic utility of this nascent technology</w:t>
      </w:r>
      <w:r w:rsidR="00523662" w:rsidRPr="00E5792C">
        <w:rPr>
          <w:rFonts w:ascii="Times" w:eastAsiaTheme="minorHAnsi" w:hAnsi="Times"/>
          <w:noProof/>
          <w:lang w:val="en-US" w:eastAsia="en-US"/>
        </w:rPr>
        <w:t xml:space="preserve"> in patients with AM.</w:t>
      </w:r>
    </w:p>
    <w:bookmarkEnd w:id="18"/>
    <w:p w14:paraId="1E7CB82D" w14:textId="78935CE8" w:rsidR="002B56F1" w:rsidRPr="00E5792C" w:rsidRDefault="002B56F1" w:rsidP="00E5792C">
      <w:pPr>
        <w:pStyle w:val="NormalWeb"/>
        <w:spacing w:before="0" w:beforeAutospacing="0" w:after="0" w:afterAutospacing="0" w:line="480" w:lineRule="auto"/>
        <w:jc w:val="both"/>
        <w:rPr>
          <w:rFonts w:ascii="Times" w:eastAsiaTheme="minorHAnsi" w:hAnsi="Times"/>
          <w:b/>
          <w:noProof/>
          <w:lang w:val="en-US" w:eastAsia="en-US"/>
        </w:rPr>
      </w:pPr>
      <w:r w:rsidRPr="00E5792C">
        <w:rPr>
          <w:rFonts w:ascii="Times" w:eastAsiaTheme="minorHAnsi" w:hAnsi="Times"/>
          <w:b/>
          <w:noProof/>
          <w:lang w:val="en-US" w:eastAsia="en-US"/>
        </w:rPr>
        <w:t>Conclusion</w:t>
      </w:r>
    </w:p>
    <w:p w14:paraId="36367B9A" w14:textId="275A0E87" w:rsidR="002065A3" w:rsidRPr="00E5792C" w:rsidRDefault="009F0888" w:rsidP="00E5792C">
      <w:pPr>
        <w:spacing w:line="480" w:lineRule="auto"/>
        <w:jc w:val="both"/>
        <w:rPr>
          <w:rFonts w:ascii="Times" w:hAnsi="Times"/>
          <w:lang w:val="en-US"/>
        </w:rPr>
      </w:pPr>
      <w:bookmarkStart w:id="19" w:name="_Hlk49623705"/>
      <w:r w:rsidRPr="00E5792C">
        <w:rPr>
          <w:rFonts w:ascii="Times" w:hAnsi="Times"/>
          <w:lang w:val="en-US"/>
        </w:rPr>
        <w:t xml:space="preserve">The </w:t>
      </w:r>
      <w:r w:rsidR="00433345" w:rsidRPr="00E5792C">
        <w:rPr>
          <w:rFonts w:ascii="Times" w:hAnsi="Times"/>
          <w:lang w:val="en-US"/>
        </w:rPr>
        <w:t>presence</w:t>
      </w:r>
      <w:r w:rsidRPr="00E5792C">
        <w:rPr>
          <w:rFonts w:ascii="Times" w:hAnsi="Times"/>
          <w:lang w:val="en-US"/>
        </w:rPr>
        <w:t xml:space="preserve"> of LGE</w:t>
      </w:r>
      <w:r w:rsidR="00B22EBA" w:rsidRPr="00E5792C">
        <w:rPr>
          <w:rFonts w:ascii="Times" w:hAnsi="Times"/>
          <w:lang w:val="en-US"/>
        </w:rPr>
        <w:t xml:space="preserve"> </w:t>
      </w:r>
      <w:r w:rsidR="00D47523" w:rsidRPr="00E5792C">
        <w:rPr>
          <w:rFonts w:ascii="Times" w:hAnsi="Times"/>
          <w:lang w:val="en-US"/>
        </w:rPr>
        <w:t xml:space="preserve">and anteroseptal location </w:t>
      </w:r>
      <w:r w:rsidR="00632B4A" w:rsidRPr="00E5792C">
        <w:rPr>
          <w:rFonts w:ascii="Times" w:hAnsi="Times"/>
          <w:lang w:val="en-US"/>
        </w:rPr>
        <w:t xml:space="preserve">on baseline CMR </w:t>
      </w:r>
      <w:r w:rsidR="008B1E83" w:rsidRPr="00E5792C">
        <w:rPr>
          <w:rFonts w:ascii="Times" w:hAnsi="Times"/>
          <w:lang w:val="en-US"/>
        </w:rPr>
        <w:t xml:space="preserve">in AM </w:t>
      </w:r>
      <w:r w:rsidR="00172E84" w:rsidRPr="00E5792C">
        <w:rPr>
          <w:rFonts w:ascii="Times" w:hAnsi="Times"/>
          <w:lang w:val="en-US"/>
        </w:rPr>
        <w:t>are</w:t>
      </w:r>
      <w:r w:rsidR="00026F09" w:rsidRPr="00E5792C">
        <w:rPr>
          <w:rFonts w:ascii="Times" w:hAnsi="Times"/>
          <w:lang w:val="en-US"/>
        </w:rPr>
        <w:t xml:space="preserve"> important</w:t>
      </w:r>
      <w:r w:rsidR="00115135" w:rsidRPr="00E5792C">
        <w:rPr>
          <w:rFonts w:ascii="Times" w:hAnsi="Times"/>
          <w:lang w:val="en-US"/>
        </w:rPr>
        <w:t xml:space="preserve"> </w:t>
      </w:r>
      <w:r w:rsidR="005030D1" w:rsidRPr="00E5792C">
        <w:rPr>
          <w:rFonts w:ascii="Times" w:hAnsi="Times"/>
          <w:lang w:val="en-US"/>
        </w:rPr>
        <w:t xml:space="preserve">independent </w:t>
      </w:r>
      <w:r w:rsidR="00026F09" w:rsidRPr="00E5792C">
        <w:rPr>
          <w:rFonts w:ascii="Times" w:hAnsi="Times"/>
          <w:lang w:val="en-US"/>
        </w:rPr>
        <w:t>prognostic marker</w:t>
      </w:r>
      <w:r w:rsidR="00D47523" w:rsidRPr="00E5792C">
        <w:rPr>
          <w:rFonts w:ascii="Times" w:hAnsi="Times"/>
          <w:lang w:val="en-US"/>
        </w:rPr>
        <w:t>s</w:t>
      </w:r>
      <w:r w:rsidR="00026F09" w:rsidRPr="00E5792C">
        <w:rPr>
          <w:rFonts w:ascii="Times" w:hAnsi="Times"/>
          <w:lang w:val="en-US"/>
        </w:rPr>
        <w:t xml:space="preserve"> </w:t>
      </w:r>
      <w:r w:rsidR="00632B4A" w:rsidRPr="00E5792C">
        <w:rPr>
          <w:rFonts w:ascii="Times" w:hAnsi="Times"/>
          <w:lang w:val="en-US"/>
        </w:rPr>
        <w:t xml:space="preserve">that </w:t>
      </w:r>
      <w:r w:rsidR="00F52F4D" w:rsidRPr="00E5792C">
        <w:rPr>
          <w:rFonts w:ascii="Times" w:hAnsi="Times"/>
          <w:lang w:val="en-US"/>
        </w:rPr>
        <w:t>portend</w:t>
      </w:r>
      <w:r w:rsidR="00026F09" w:rsidRPr="00E5792C">
        <w:rPr>
          <w:rFonts w:ascii="Times" w:hAnsi="Times"/>
          <w:lang w:val="en-US"/>
        </w:rPr>
        <w:t xml:space="preserve"> </w:t>
      </w:r>
      <w:r w:rsidR="00172E84" w:rsidRPr="00E5792C">
        <w:rPr>
          <w:rFonts w:ascii="Times" w:hAnsi="Times"/>
          <w:lang w:val="en-US"/>
        </w:rPr>
        <w:t xml:space="preserve">an </w:t>
      </w:r>
      <w:r w:rsidR="00026F09" w:rsidRPr="00E5792C">
        <w:rPr>
          <w:rFonts w:ascii="Times" w:hAnsi="Times"/>
          <w:lang w:val="en-US"/>
        </w:rPr>
        <w:t>increased risk of major adverse cardiac events.</w:t>
      </w:r>
    </w:p>
    <w:bookmarkEnd w:id="19"/>
    <w:p w14:paraId="30A75DC1" w14:textId="34B52EAD" w:rsidR="0027740D" w:rsidRPr="00E5792C" w:rsidRDefault="0027740D" w:rsidP="00E5792C">
      <w:pPr>
        <w:spacing w:line="480" w:lineRule="auto"/>
        <w:jc w:val="both"/>
        <w:rPr>
          <w:rFonts w:ascii="Times" w:hAnsi="Times"/>
          <w:lang w:val="en-US"/>
        </w:rPr>
      </w:pPr>
    </w:p>
    <w:p w14:paraId="25CC8322" w14:textId="11AA7FD7" w:rsidR="0027740D" w:rsidRPr="00E5792C" w:rsidRDefault="0027740D" w:rsidP="00E5792C">
      <w:pPr>
        <w:spacing w:line="480" w:lineRule="auto"/>
        <w:jc w:val="both"/>
        <w:rPr>
          <w:rFonts w:ascii="Times" w:hAnsi="Times"/>
          <w:b/>
          <w:bCs/>
          <w:lang w:val="en-US"/>
        </w:rPr>
      </w:pPr>
      <w:r w:rsidRPr="00E5792C">
        <w:rPr>
          <w:rFonts w:ascii="Times" w:hAnsi="Times"/>
          <w:b/>
          <w:bCs/>
          <w:lang w:val="en-US"/>
        </w:rPr>
        <w:t xml:space="preserve">Acknowledgements: </w:t>
      </w:r>
      <w:r w:rsidR="00B12304" w:rsidRPr="00E5792C">
        <w:rPr>
          <w:rFonts w:ascii="Times" w:hAnsi="Times"/>
          <w:lang w:val="en-US"/>
        </w:rPr>
        <w:t>none.</w:t>
      </w:r>
    </w:p>
    <w:p w14:paraId="73B5C7BB" w14:textId="41046AE8" w:rsidR="0027740D" w:rsidRPr="00E5792C" w:rsidRDefault="0027740D" w:rsidP="00E5792C">
      <w:pPr>
        <w:pStyle w:val="NormalWeb"/>
        <w:spacing w:before="0" w:beforeAutospacing="0" w:after="0" w:afterAutospacing="0" w:line="480" w:lineRule="auto"/>
        <w:jc w:val="both"/>
        <w:rPr>
          <w:bCs/>
          <w:lang w:val="en-US"/>
        </w:rPr>
      </w:pPr>
      <w:r w:rsidRPr="00E5792C">
        <w:rPr>
          <w:b/>
          <w:lang w:val="en-US"/>
        </w:rPr>
        <w:t>Funding:</w:t>
      </w:r>
      <w:r w:rsidRPr="00E5792C">
        <w:rPr>
          <w:bCs/>
          <w:lang w:val="en-US"/>
        </w:rPr>
        <w:t xml:space="preserve"> </w:t>
      </w:r>
      <w:r w:rsidR="0049477D" w:rsidRPr="00E5792C">
        <w:rPr>
          <w:bCs/>
          <w:lang w:val="en-US"/>
        </w:rPr>
        <w:t>Dr Georgiopoulos was supported by a research fellowship from the European Association of Cardiovascular Imaging and a postdoctoral research grant from the Alexander S. Onassis Foundation.</w:t>
      </w:r>
    </w:p>
    <w:p w14:paraId="349F16F0" w14:textId="77777777" w:rsidR="00B12304" w:rsidRPr="00E5792C" w:rsidRDefault="00B12304" w:rsidP="00E5792C">
      <w:pPr>
        <w:spacing w:line="480" w:lineRule="auto"/>
        <w:jc w:val="both"/>
        <w:outlineLvl w:val="0"/>
        <w:rPr>
          <w:lang w:val="en-US"/>
        </w:rPr>
      </w:pPr>
      <w:r w:rsidRPr="00E5792C">
        <w:rPr>
          <w:b/>
          <w:lang w:val="en-US"/>
        </w:rPr>
        <w:t>Disclosures:</w:t>
      </w:r>
    </w:p>
    <w:p w14:paraId="563FCBBB" w14:textId="77777777" w:rsidR="00B12304" w:rsidRPr="00E5792C" w:rsidRDefault="00B12304" w:rsidP="00E5792C">
      <w:pPr>
        <w:spacing w:line="480" w:lineRule="auto"/>
        <w:jc w:val="both"/>
        <w:rPr>
          <w:bCs/>
          <w:lang w:val="en-US"/>
        </w:rPr>
      </w:pPr>
      <w:r w:rsidRPr="00E5792C">
        <w:rPr>
          <w:bCs/>
          <w:lang w:val="en-US"/>
        </w:rPr>
        <w:t>Georgios Georgiopoulos: none related.</w:t>
      </w:r>
    </w:p>
    <w:p w14:paraId="687796E7" w14:textId="77777777" w:rsidR="00B12304" w:rsidRPr="00E5792C" w:rsidRDefault="00B12304" w:rsidP="00E5792C">
      <w:pPr>
        <w:spacing w:line="480" w:lineRule="auto"/>
        <w:jc w:val="both"/>
        <w:rPr>
          <w:bCs/>
        </w:rPr>
      </w:pPr>
      <w:r w:rsidRPr="00E5792C">
        <w:rPr>
          <w:bCs/>
        </w:rPr>
        <w:t>Stefano Figliozzi: none related.</w:t>
      </w:r>
    </w:p>
    <w:p w14:paraId="4EE5112E" w14:textId="77777777" w:rsidR="00B12304" w:rsidRPr="00E5792C" w:rsidRDefault="00B12304" w:rsidP="00E5792C">
      <w:pPr>
        <w:spacing w:line="480" w:lineRule="auto"/>
        <w:jc w:val="both"/>
        <w:rPr>
          <w:bCs/>
        </w:rPr>
      </w:pPr>
      <w:r w:rsidRPr="00E5792C">
        <w:rPr>
          <w:bCs/>
        </w:rPr>
        <w:t>Francesca Sanguineti: none related</w:t>
      </w:r>
    </w:p>
    <w:p w14:paraId="44D0F5D1" w14:textId="77777777" w:rsidR="00B12304" w:rsidRPr="00E5792C" w:rsidRDefault="00B12304" w:rsidP="00E5792C">
      <w:pPr>
        <w:spacing w:line="480" w:lineRule="auto"/>
        <w:jc w:val="both"/>
        <w:rPr>
          <w:bCs/>
          <w:vertAlign w:val="superscript"/>
        </w:rPr>
      </w:pPr>
      <w:r w:rsidRPr="00E5792C">
        <w:rPr>
          <w:bCs/>
        </w:rPr>
        <w:t>Giovanni Donato Aquaro: none related.</w:t>
      </w:r>
    </w:p>
    <w:p w14:paraId="1F73202E" w14:textId="77777777" w:rsidR="00B12304" w:rsidRPr="00E5792C" w:rsidRDefault="00B12304" w:rsidP="00E5792C">
      <w:pPr>
        <w:spacing w:line="480" w:lineRule="auto"/>
        <w:jc w:val="both"/>
        <w:rPr>
          <w:bCs/>
          <w:vertAlign w:val="superscript"/>
        </w:rPr>
      </w:pPr>
      <w:r w:rsidRPr="00E5792C">
        <w:rPr>
          <w:bCs/>
        </w:rPr>
        <w:t>Gianluca di Bella: none related.</w:t>
      </w:r>
    </w:p>
    <w:p w14:paraId="1EA6429B" w14:textId="77777777" w:rsidR="00B12304" w:rsidRPr="00E5792C" w:rsidRDefault="00B12304" w:rsidP="00E5792C">
      <w:pPr>
        <w:spacing w:line="480" w:lineRule="auto"/>
        <w:jc w:val="both"/>
        <w:rPr>
          <w:bCs/>
          <w:vertAlign w:val="superscript"/>
          <w:lang w:val="en-US"/>
        </w:rPr>
      </w:pPr>
      <w:r w:rsidRPr="00E5792C">
        <w:rPr>
          <w:bCs/>
          <w:lang w:val="en-US"/>
        </w:rPr>
        <w:t>Kimon Stamatelopoulos: none related.</w:t>
      </w:r>
    </w:p>
    <w:p w14:paraId="6B55E921" w14:textId="77777777" w:rsidR="00B12304" w:rsidRPr="00E5792C" w:rsidRDefault="00B12304" w:rsidP="00E5792C">
      <w:pPr>
        <w:tabs>
          <w:tab w:val="left" w:pos="3072"/>
        </w:tabs>
        <w:spacing w:line="480" w:lineRule="auto"/>
        <w:jc w:val="both"/>
        <w:rPr>
          <w:bCs/>
          <w:vertAlign w:val="superscript"/>
          <w:lang w:val="en-US"/>
        </w:rPr>
      </w:pPr>
      <w:r w:rsidRPr="00E5792C">
        <w:rPr>
          <w:bCs/>
          <w:lang w:val="en-US"/>
        </w:rPr>
        <w:t>Amedeo Chiribiri: none related.</w:t>
      </w:r>
      <w:r w:rsidRPr="00E5792C">
        <w:rPr>
          <w:bCs/>
          <w:vertAlign w:val="superscript"/>
          <w:lang w:val="en-US"/>
        </w:rPr>
        <w:tab/>
      </w:r>
    </w:p>
    <w:p w14:paraId="59DD995D" w14:textId="77777777" w:rsidR="00B12304" w:rsidRPr="00E5792C" w:rsidRDefault="00B12304" w:rsidP="00E5792C">
      <w:pPr>
        <w:spacing w:line="480" w:lineRule="auto"/>
        <w:jc w:val="both"/>
        <w:rPr>
          <w:bCs/>
          <w:vertAlign w:val="superscript"/>
          <w:lang w:val="en-US"/>
        </w:rPr>
      </w:pPr>
      <w:r w:rsidRPr="00E5792C">
        <w:rPr>
          <w:bCs/>
          <w:lang w:val="en-US"/>
        </w:rPr>
        <w:t xml:space="preserve">Jerome Garot: none related. </w:t>
      </w:r>
    </w:p>
    <w:p w14:paraId="255160B9" w14:textId="77777777" w:rsidR="00B12304" w:rsidRPr="00E5792C" w:rsidRDefault="00B12304" w:rsidP="00E5792C">
      <w:pPr>
        <w:spacing w:line="480" w:lineRule="auto"/>
        <w:jc w:val="both"/>
        <w:rPr>
          <w:bCs/>
          <w:vertAlign w:val="superscript"/>
        </w:rPr>
      </w:pPr>
      <w:r w:rsidRPr="00E5792C">
        <w:rPr>
          <w:bCs/>
        </w:rPr>
        <w:t>Pier Giorgio Masci: none related.</w:t>
      </w:r>
    </w:p>
    <w:p w14:paraId="3DF86E2D" w14:textId="77777777" w:rsidR="00B12304" w:rsidRPr="00E5792C" w:rsidRDefault="00B12304" w:rsidP="00E5792C">
      <w:pPr>
        <w:spacing w:line="480" w:lineRule="auto"/>
        <w:jc w:val="both"/>
        <w:outlineLvl w:val="0"/>
        <w:rPr>
          <w:lang w:val="en-US"/>
        </w:rPr>
      </w:pPr>
      <w:r w:rsidRPr="00E5792C">
        <w:rPr>
          <w:bCs/>
          <w:lang w:val="en-US"/>
        </w:rPr>
        <w:t>Tevfik F Ismail: none related.</w:t>
      </w:r>
    </w:p>
    <w:p w14:paraId="1FE31C7F" w14:textId="38584038" w:rsidR="00DD0705" w:rsidRPr="00E5792C" w:rsidRDefault="00BC6141" w:rsidP="00E5792C">
      <w:pPr>
        <w:spacing w:line="480" w:lineRule="auto"/>
        <w:rPr>
          <w:rFonts w:ascii="Times" w:hAnsi="Times"/>
          <w:b/>
          <w:lang w:val="en-US"/>
        </w:rPr>
      </w:pPr>
      <w:r w:rsidRPr="00E5792C">
        <w:rPr>
          <w:rFonts w:ascii="Times" w:hAnsi="Times"/>
          <w:b/>
          <w:lang w:val="en-US"/>
        </w:rPr>
        <w:br w:type="page"/>
      </w:r>
      <w:r w:rsidR="00DD0705" w:rsidRPr="00E5792C">
        <w:rPr>
          <w:rFonts w:ascii="Times" w:hAnsi="Times"/>
          <w:b/>
          <w:lang w:val="en-US"/>
        </w:rPr>
        <w:lastRenderedPageBreak/>
        <w:t>References</w:t>
      </w:r>
    </w:p>
    <w:p w14:paraId="2CA48501" w14:textId="77777777" w:rsidR="00B16806" w:rsidRPr="00E5792C" w:rsidRDefault="00B16806" w:rsidP="00E5792C">
      <w:pPr>
        <w:rPr>
          <w:rFonts w:ascii="Times" w:hAnsi="Times"/>
          <w:b/>
          <w:lang w:val="en-US"/>
        </w:rPr>
      </w:pPr>
    </w:p>
    <w:p w14:paraId="66C8FA58" w14:textId="1093B45C" w:rsidR="00DD0705" w:rsidRPr="00E5792C" w:rsidRDefault="00DD0705" w:rsidP="00E5792C">
      <w:pPr>
        <w:spacing w:line="480" w:lineRule="auto"/>
        <w:jc w:val="both"/>
        <w:rPr>
          <w:rFonts w:ascii="Times" w:hAnsi="Times"/>
          <w:b/>
          <w:lang w:val="en-US"/>
        </w:rPr>
      </w:pPr>
      <w:r w:rsidRPr="00E5792C">
        <w:rPr>
          <w:rFonts w:ascii="Times" w:hAnsi="Times"/>
          <w:b/>
          <w:lang w:val="en-US"/>
        </w:rPr>
        <w:t xml:space="preserve">1. </w:t>
      </w:r>
      <w:r w:rsidRPr="00E5792C">
        <w:rPr>
          <w:rFonts w:ascii="Times" w:hAnsi="Times"/>
          <w:lang w:val="en-US"/>
        </w:rPr>
        <w:t xml:space="preserve">Richardson P, McKenna W, Bristow M, et al. Report of the 1995 World Health Organization/International Society and Federation of Cardiology Task Force on the Definition and Classification of cardiomyopathies. </w:t>
      </w:r>
      <w:r w:rsidRPr="00E5792C">
        <w:rPr>
          <w:rFonts w:ascii="Times" w:hAnsi="Times"/>
          <w:i/>
          <w:iCs/>
          <w:lang w:val="en-US"/>
        </w:rPr>
        <w:t>Circulation</w:t>
      </w:r>
      <w:r w:rsidR="002A23BA" w:rsidRPr="00E5792C">
        <w:rPr>
          <w:rFonts w:ascii="Times" w:hAnsi="Times"/>
          <w:i/>
          <w:iCs/>
          <w:lang w:val="en-US"/>
        </w:rPr>
        <w:t>.</w:t>
      </w:r>
      <w:r w:rsidRPr="00E5792C">
        <w:rPr>
          <w:rFonts w:ascii="Times" w:hAnsi="Times"/>
          <w:lang w:val="en-US"/>
        </w:rPr>
        <w:t xml:space="preserve"> 1996;93</w:t>
      </w:r>
      <w:r w:rsidR="009F6B6E" w:rsidRPr="00E5792C">
        <w:rPr>
          <w:rFonts w:ascii="Times" w:hAnsi="Times"/>
          <w:lang w:val="en-US"/>
        </w:rPr>
        <w:t>(5)</w:t>
      </w:r>
      <w:r w:rsidRPr="00E5792C">
        <w:rPr>
          <w:rFonts w:ascii="Times" w:hAnsi="Times"/>
          <w:lang w:val="en-US"/>
        </w:rPr>
        <w:t>:841–842.</w:t>
      </w:r>
    </w:p>
    <w:p w14:paraId="4738E360" w14:textId="3AA8DE51" w:rsidR="00DD0705" w:rsidRPr="00E5792C" w:rsidRDefault="00DD0705" w:rsidP="00E5792C">
      <w:pPr>
        <w:spacing w:line="480" w:lineRule="auto"/>
        <w:jc w:val="both"/>
        <w:rPr>
          <w:rFonts w:ascii="Times" w:hAnsi="Times"/>
          <w:b/>
        </w:rPr>
      </w:pPr>
      <w:r w:rsidRPr="00E5792C">
        <w:rPr>
          <w:rFonts w:ascii="Times" w:hAnsi="Times"/>
          <w:b/>
          <w:lang w:val="en-US"/>
        </w:rPr>
        <w:t xml:space="preserve">2. </w:t>
      </w:r>
      <w:r w:rsidR="00D629F9" w:rsidRPr="00E5792C">
        <w:rPr>
          <w:rFonts w:ascii="Times" w:hAnsi="Times"/>
          <w:lang w:val="en-US"/>
        </w:rPr>
        <w:t xml:space="preserve">Caforio AL, Pankuweit S, Arbustini E, et al. Current state of knowledge on aetiology, diagnosis, management, and therapy of myocarditis: a position statement of the European Society of Cardiology Working Group on Myocardial and Pericardial Diseases. </w:t>
      </w:r>
      <w:r w:rsidR="00D629F9" w:rsidRPr="00E5792C">
        <w:rPr>
          <w:rFonts w:ascii="Times" w:hAnsi="Times"/>
          <w:i/>
          <w:iCs/>
        </w:rPr>
        <w:t>Eur Heart J</w:t>
      </w:r>
      <w:r w:rsidR="002A23BA" w:rsidRPr="00E5792C">
        <w:rPr>
          <w:rFonts w:ascii="Times" w:hAnsi="Times"/>
          <w:i/>
          <w:iCs/>
        </w:rPr>
        <w:t>.</w:t>
      </w:r>
      <w:r w:rsidR="00D629F9" w:rsidRPr="00E5792C">
        <w:rPr>
          <w:rFonts w:ascii="Times" w:hAnsi="Times"/>
          <w:i/>
          <w:iCs/>
        </w:rPr>
        <w:t xml:space="preserve"> </w:t>
      </w:r>
      <w:r w:rsidR="00D629F9" w:rsidRPr="00E5792C">
        <w:rPr>
          <w:rFonts w:ascii="Times" w:hAnsi="Times"/>
        </w:rPr>
        <w:t>2013;34</w:t>
      </w:r>
      <w:r w:rsidR="009F6B6E" w:rsidRPr="00E5792C">
        <w:rPr>
          <w:rFonts w:ascii="Times" w:hAnsi="Times"/>
        </w:rPr>
        <w:t>(33)</w:t>
      </w:r>
      <w:r w:rsidR="00D629F9" w:rsidRPr="00E5792C">
        <w:rPr>
          <w:rFonts w:ascii="Times" w:hAnsi="Times"/>
        </w:rPr>
        <w:t>:2636–48,2648a–d.</w:t>
      </w:r>
    </w:p>
    <w:p w14:paraId="6C77B8CF" w14:textId="75C4DF18" w:rsidR="00DD0705" w:rsidRPr="00E5792C" w:rsidRDefault="00DD0705" w:rsidP="00E5792C">
      <w:pPr>
        <w:spacing w:line="480" w:lineRule="auto"/>
        <w:jc w:val="both"/>
        <w:rPr>
          <w:rFonts w:ascii="Times" w:hAnsi="Times"/>
          <w:lang w:val="en-US"/>
        </w:rPr>
      </w:pPr>
      <w:r w:rsidRPr="00E5792C">
        <w:rPr>
          <w:rFonts w:ascii="Times" w:hAnsi="Times"/>
          <w:b/>
        </w:rPr>
        <w:t xml:space="preserve">3. </w:t>
      </w:r>
      <w:r w:rsidR="00D629F9" w:rsidRPr="00E5792C">
        <w:rPr>
          <w:rFonts w:ascii="Times" w:hAnsi="Times"/>
        </w:rPr>
        <w:t xml:space="preserve">Caforio AL, Calabrese F, Angelini A, et al. </w:t>
      </w:r>
      <w:r w:rsidR="00D629F9" w:rsidRPr="00E5792C">
        <w:rPr>
          <w:rFonts w:ascii="Times" w:hAnsi="Times"/>
          <w:lang w:val="en-US"/>
        </w:rPr>
        <w:t xml:space="preserve">A prospective study of biopsy-proven myocarditis: prognostic relevance of clinical and aetiopathogenetic features at diagnosis. </w:t>
      </w:r>
      <w:r w:rsidR="00D629F9" w:rsidRPr="00E5792C">
        <w:rPr>
          <w:rFonts w:ascii="Times" w:hAnsi="Times"/>
          <w:i/>
          <w:iCs/>
          <w:lang w:val="en-US"/>
        </w:rPr>
        <w:t>Eur Heart J</w:t>
      </w:r>
      <w:r w:rsidR="002A23BA" w:rsidRPr="00E5792C">
        <w:rPr>
          <w:rFonts w:ascii="Times" w:hAnsi="Times"/>
          <w:i/>
          <w:iCs/>
          <w:lang w:val="en-US"/>
        </w:rPr>
        <w:t>.</w:t>
      </w:r>
      <w:r w:rsidR="00D629F9" w:rsidRPr="00E5792C">
        <w:rPr>
          <w:rFonts w:ascii="Times" w:hAnsi="Times"/>
          <w:lang w:val="en-US"/>
        </w:rPr>
        <w:t xml:space="preserve"> 2007;28</w:t>
      </w:r>
      <w:r w:rsidR="009F6B6E" w:rsidRPr="00E5792C">
        <w:rPr>
          <w:rFonts w:ascii="Times" w:hAnsi="Times"/>
          <w:lang w:val="en-US"/>
        </w:rPr>
        <w:t>(11)</w:t>
      </w:r>
      <w:r w:rsidR="00D629F9" w:rsidRPr="00E5792C">
        <w:rPr>
          <w:rFonts w:ascii="Times" w:hAnsi="Times"/>
          <w:lang w:val="en-US"/>
        </w:rPr>
        <w:t>:1326–1333.</w:t>
      </w:r>
    </w:p>
    <w:p w14:paraId="47F9BC5C" w14:textId="5C149203" w:rsidR="00DD0705" w:rsidRPr="00E5792C" w:rsidRDefault="00DD0705" w:rsidP="00E5792C">
      <w:pPr>
        <w:spacing w:line="480" w:lineRule="auto"/>
        <w:jc w:val="both"/>
        <w:rPr>
          <w:rFonts w:ascii="Times" w:hAnsi="Times"/>
          <w:b/>
          <w:lang w:val="en-US"/>
        </w:rPr>
      </w:pPr>
      <w:r w:rsidRPr="00E5792C">
        <w:rPr>
          <w:rFonts w:ascii="Times" w:hAnsi="Times"/>
          <w:b/>
          <w:lang w:val="en-US"/>
        </w:rPr>
        <w:t xml:space="preserve">4. </w:t>
      </w:r>
      <w:r w:rsidR="00D629F9" w:rsidRPr="00E5792C">
        <w:rPr>
          <w:rFonts w:ascii="Times" w:hAnsi="Times"/>
          <w:lang w:val="en-US"/>
        </w:rPr>
        <w:t xml:space="preserve">Felker GM, Hu W, Hare JW, Hruban RH, Baughman KL, Kasper EK. The spectrum of dilated cardiomyopathy. The Johns Hopkins experience </w:t>
      </w:r>
      <w:r w:rsidR="009F6B6E" w:rsidRPr="00E5792C">
        <w:rPr>
          <w:rFonts w:ascii="Times" w:hAnsi="Times"/>
          <w:lang w:val="en-US"/>
        </w:rPr>
        <w:t>with</w:t>
      </w:r>
      <w:r w:rsidR="00D629F9" w:rsidRPr="00E5792C">
        <w:rPr>
          <w:rFonts w:ascii="Times" w:hAnsi="Times"/>
          <w:lang w:val="en-US"/>
        </w:rPr>
        <w:t xml:space="preserve"> 1</w:t>
      </w:r>
      <w:r w:rsidR="009F6B6E" w:rsidRPr="00E5792C">
        <w:rPr>
          <w:rFonts w:ascii="Times" w:hAnsi="Times"/>
          <w:lang w:val="en-US"/>
        </w:rPr>
        <w:t>,</w:t>
      </w:r>
      <w:r w:rsidR="00D629F9" w:rsidRPr="00E5792C">
        <w:rPr>
          <w:rFonts w:ascii="Times" w:hAnsi="Times"/>
          <w:lang w:val="en-US"/>
        </w:rPr>
        <w:t xml:space="preserve">278 patients. </w:t>
      </w:r>
      <w:r w:rsidR="00D629F9" w:rsidRPr="00E5792C">
        <w:rPr>
          <w:rFonts w:ascii="Times" w:hAnsi="Times"/>
          <w:i/>
          <w:iCs/>
          <w:lang w:val="en-US"/>
        </w:rPr>
        <w:t>Medicine</w:t>
      </w:r>
      <w:r w:rsidR="002A23BA" w:rsidRPr="00E5792C">
        <w:rPr>
          <w:rFonts w:ascii="Times" w:hAnsi="Times"/>
          <w:i/>
          <w:iCs/>
          <w:lang w:val="en-US"/>
        </w:rPr>
        <w:t>.</w:t>
      </w:r>
      <w:r w:rsidR="00D629F9" w:rsidRPr="00E5792C">
        <w:rPr>
          <w:rFonts w:ascii="Times" w:hAnsi="Times"/>
          <w:i/>
          <w:iCs/>
          <w:lang w:val="en-US"/>
        </w:rPr>
        <w:t xml:space="preserve"> </w:t>
      </w:r>
      <w:r w:rsidR="00D629F9" w:rsidRPr="00E5792C">
        <w:rPr>
          <w:rFonts w:ascii="Times" w:hAnsi="Times"/>
          <w:lang w:val="en-US"/>
        </w:rPr>
        <w:t>1999;78</w:t>
      </w:r>
      <w:r w:rsidR="009F6B6E" w:rsidRPr="00E5792C">
        <w:rPr>
          <w:rFonts w:ascii="Times" w:hAnsi="Times"/>
          <w:lang w:val="en-US"/>
        </w:rPr>
        <w:t>(4)</w:t>
      </w:r>
      <w:r w:rsidR="00D629F9" w:rsidRPr="00E5792C">
        <w:rPr>
          <w:rFonts w:ascii="Times" w:hAnsi="Times"/>
          <w:lang w:val="en-US"/>
        </w:rPr>
        <w:t>:270–283.</w:t>
      </w:r>
    </w:p>
    <w:p w14:paraId="52BBE346" w14:textId="406B73C9" w:rsidR="00DD0705" w:rsidRPr="00E5792C" w:rsidRDefault="00DD0705" w:rsidP="00E5792C">
      <w:pPr>
        <w:spacing w:line="480" w:lineRule="auto"/>
        <w:jc w:val="both"/>
        <w:rPr>
          <w:rFonts w:ascii="Times" w:hAnsi="Times"/>
          <w:lang w:val="en-US"/>
        </w:rPr>
      </w:pPr>
      <w:r w:rsidRPr="00E5792C">
        <w:rPr>
          <w:rFonts w:ascii="Times" w:hAnsi="Times"/>
          <w:b/>
          <w:lang w:val="en-US"/>
        </w:rPr>
        <w:t xml:space="preserve">5. </w:t>
      </w:r>
      <w:r w:rsidR="00D629F9" w:rsidRPr="00E5792C">
        <w:rPr>
          <w:rFonts w:ascii="Times" w:hAnsi="Times"/>
          <w:lang w:val="en-US"/>
        </w:rPr>
        <w:t xml:space="preserve">Basso C, Calabrese F, Corrado D, Thiene G. Postmortem diagnosis of sudden cardiac death victims. </w:t>
      </w:r>
      <w:r w:rsidR="00D629F9" w:rsidRPr="00E5792C">
        <w:rPr>
          <w:rFonts w:ascii="Times" w:hAnsi="Times"/>
          <w:i/>
          <w:iCs/>
          <w:lang w:val="en-US"/>
        </w:rPr>
        <w:t>Cardiovasc Res</w:t>
      </w:r>
      <w:r w:rsidR="002A23BA" w:rsidRPr="00E5792C">
        <w:rPr>
          <w:rFonts w:ascii="Times" w:hAnsi="Times"/>
          <w:i/>
          <w:iCs/>
          <w:lang w:val="en-US"/>
        </w:rPr>
        <w:t>.</w:t>
      </w:r>
      <w:r w:rsidR="00D629F9" w:rsidRPr="00E5792C">
        <w:rPr>
          <w:rFonts w:ascii="Times" w:hAnsi="Times"/>
          <w:lang w:val="en-US"/>
        </w:rPr>
        <w:t xml:space="preserve"> 2001;50</w:t>
      </w:r>
      <w:r w:rsidR="009F6B6E" w:rsidRPr="00E5792C">
        <w:rPr>
          <w:rFonts w:ascii="Times" w:hAnsi="Times"/>
          <w:lang w:val="en-US"/>
        </w:rPr>
        <w:t>(2)</w:t>
      </w:r>
      <w:r w:rsidR="00D629F9" w:rsidRPr="00E5792C">
        <w:rPr>
          <w:rFonts w:ascii="Times" w:hAnsi="Times"/>
          <w:lang w:val="en-US"/>
        </w:rPr>
        <w:t>:290-300.</w:t>
      </w:r>
    </w:p>
    <w:p w14:paraId="0F1132BF" w14:textId="77777777" w:rsidR="00D954C2" w:rsidRPr="00E5792C" w:rsidRDefault="00D954C2" w:rsidP="00E5792C">
      <w:pPr>
        <w:spacing w:line="480" w:lineRule="auto"/>
        <w:jc w:val="both"/>
        <w:rPr>
          <w:rFonts w:ascii="Times" w:hAnsi="Times"/>
          <w:b/>
          <w:lang w:val="en-US"/>
        </w:rPr>
      </w:pPr>
      <w:r w:rsidRPr="00E5792C">
        <w:rPr>
          <w:rFonts w:ascii="Times" w:hAnsi="Times"/>
          <w:b/>
          <w:lang w:val="en-US"/>
        </w:rPr>
        <w:t xml:space="preserve">6. </w:t>
      </w:r>
      <w:r w:rsidRPr="00E5792C">
        <w:rPr>
          <w:rFonts w:ascii="Times" w:hAnsi="Times"/>
          <w:bCs/>
          <w:lang w:val="en-US"/>
        </w:rPr>
        <w:t xml:space="preserve">Ferreira VM, Schulz-Menger J, Holmvang G, et al. Cardiovascular Magnetic Resonance in Nonischemic Myocardial Inflammation: Expert Recommendations. </w:t>
      </w:r>
      <w:r w:rsidRPr="00E5792C">
        <w:rPr>
          <w:rFonts w:ascii="Times" w:hAnsi="Times"/>
          <w:bCs/>
          <w:i/>
          <w:iCs/>
          <w:lang w:val="en-US"/>
        </w:rPr>
        <w:t>J Am Coll Cardiol</w:t>
      </w:r>
      <w:r w:rsidRPr="00E5792C">
        <w:rPr>
          <w:rFonts w:ascii="Times" w:hAnsi="Times"/>
          <w:bCs/>
          <w:lang w:val="en-US"/>
        </w:rPr>
        <w:t>. 2018;72(24):3158-3176.</w:t>
      </w:r>
    </w:p>
    <w:p w14:paraId="21D48C00" w14:textId="77777777" w:rsidR="00D954C2" w:rsidRPr="00E5792C" w:rsidRDefault="00D954C2" w:rsidP="00E5792C">
      <w:pPr>
        <w:spacing w:line="480" w:lineRule="auto"/>
        <w:jc w:val="both"/>
        <w:rPr>
          <w:rFonts w:ascii="Times" w:hAnsi="Times"/>
          <w:b/>
          <w:lang w:val="en-US"/>
        </w:rPr>
      </w:pPr>
      <w:r w:rsidRPr="00E5792C">
        <w:rPr>
          <w:rFonts w:ascii="Times" w:hAnsi="Times"/>
          <w:b/>
          <w:lang w:val="en-US"/>
        </w:rPr>
        <w:t xml:space="preserve">7. </w:t>
      </w:r>
      <w:r w:rsidRPr="00E5792C">
        <w:rPr>
          <w:rFonts w:ascii="Times" w:hAnsi="Times"/>
          <w:bCs/>
          <w:lang w:val="en-US"/>
        </w:rPr>
        <w:t xml:space="preserve">Kotanidis CP, Bazmpani MA, Haidich AB, Karvounis C, Antoniades C, Karamitsos TD. Diagnostic Accuracy of Cardiovascular Magnetic Resonance in Acute Myocarditis: A Systematic Review and Meta-Analysis. </w:t>
      </w:r>
      <w:r w:rsidRPr="00E5792C">
        <w:rPr>
          <w:rFonts w:ascii="Times" w:hAnsi="Times"/>
          <w:bCs/>
          <w:i/>
          <w:iCs/>
          <w:lang w:val="en-US"/>
        </w:rPr>
        <w:t>JACC Cardiovasc Imaging</w:t>
      </w:r>
      <w:r w:rsidRPr="00E5792C">
        <w:rPr>
          <w:rFonts w:ascii="Times" w:hAnsi="Times"/>
          <w:bCs/>
          <w:lang w:val="en-US"/>
        </w:rPr>
        <w:t>. 2018;11(11):1583-1590.</w:t>
      </w:r>
      <w:r w:rsidRPr="00E5792C">
        <w:rPr>
          <w:rFonts w:ascii="Times" w:hAnsi="Times"/>
          <w:b/>
          <w:lang w:val="en-US"/>
        </w:rPr>
        <w:t xml:space="preserve"> </w:t>
      </w:r>
    </w:p>
    <w:p w14:paraId="0D0AC3B5" w14:textId="5418E42A" w:rsidR="00DD0705" w:rsidRPr="00E5792C" w:rsidRDefault="00D954C2" w:rsidP="00E5792C">
      <w:pPr>
        <w:spacing w:line="480" w:lineRule="auto"/>
        <w:jc w:val="both"/>
        <w:rPr>
          <w:rFonts w:ascii="Times" w:hAnsi="Times"/>
          <w:b/>
          <w:lang w:val="en-US"/>
        </w:rPr>
      </w:pPr>
      <w:r w:rsidRPr="00E5792C">
        <w:rPr>
          <w:rFonts w:ascii="Times" w:hAnsi="Times"/>
          <w:b/>
          <w:lang w:val="en-US"/>
        </w:rPr>
        <w:t>8</w:t>
      </w:r>
      <w:r w:rsidR="00DD0705" w:rsidRPr="00E5792C">
        <w:rPr>
          <w:rFonts w:ascii="Times" w:hAnsi="Times"/>
          <w:b/>
          <w:lang w:val="en-US"/>
        </w:rPr>
        <w:t xml:space="preserve">. </w:t>
      </w:r>
      <w:r w:rsidR="00D629F9" w:rsidRPr="00E5792C">
        <w:rPr>
          <w:rFonts w:ascii="Times" w:hAnsi="Times"/>
          <w:lang w:val="en-US"/>
        </w:rPr>
        <w:t xml:space="preserve">Friedrich MG, Sechtem U, Schulz-Menger J, et al. International Consensus Group on Cardiovascular Magnetic Resonance in Myocarditis. Cardiovascular magnetic resonance in myocarditis: A JACC White Paper. </w:t>
      </w:r>
      <w:r w:rsidR="00D629F9" w:rsidRPr="00E5792C">
        <w:rPr>
          <w:rFonts w:ascii="Times" w:hAnsi="Times"/>
          <w:i/>
          <w:iCs/>
          <w:lang w:val="en-US"/>
        </w:rPr>
        <w:t>J Am Coll Cardiol</w:t>
      </w:r>
      <w:r w:rsidR="002A23BA" w:rsidRPr="00E5792C">
        <w:rPr>
          <w:rFonts w:ascii="Times" w:hAnsi="Times"/>
          <w:i/>
          <w:iCs/>
          <w:lang w:val="en-US"/>
        </w:rPr>
        <w:t>.</w:t>
      </w:r>
      <w:r w:rsidR="00D629F9" w:rsidRPr="00E5792C">
        <w:rPr>
          <w:rFonts w:ascii="Times" w:hAnsi="Times"/>
          <w:lang w:val="en-US"/>
        </w:rPr>
        <w:t xml:space="preserve"> 2009;53</w:t>
      </w:r>
      <w:r w:rsidR="009F6B6E" w:rsidRPr="00E5792C">
        <w:rPr>
          <w:rFonts w:ascii="Times" w:hAnsi="Times"/>
          <w:lang w:val="en-US"/>
        </w:rPr>
        <w:t>(17)</w:t>
      </w:r>
      <w:r w:rsidR="00D629F9" w:rsidRPr="00E5792C">
        <w:rPr>
          <w:rFonts w:ascii="Times" w:hAnsi="Times"/>
          <w:lang w:val="en-US"/>
        </w:rPr>
        <w:t xml:space="preserve">:1475-87. </w:t>
      </w:r>
    </w:p>
    <w:p w14:paraId="7102B0F8" w14:textId="5CAAC18A" w:rsidR="00DD0705" w:rsidRPr="00E5792C" w:rsidRDefault="00D954C2" w:rsidP="00E5792C">
      <w:pPr>
        <w:spacing w:line="480" w:lineRule="auto"/>
        <w:jc w:val="both"/>
        <w:rPr>
          <w:rFonts w:ascii="Times" w:hAnsi="Times"/>
          <w:b/>
          <w:lang w:val="en-US"/>
        </w:rPr>
      </w:pPr>
      <w:r w:rsidRPr="00E5792C">
        <w:rPr>
          <w:rFonts w:ascii="Times" w:hAnsi="Times"/>
          <w:b/>
          <w:lang w:val="en-US"/>
        </w:rPr>
        <w:lastRenderedPageBreak/>
        <w:t>9</w:t>
      </w:r>
      <w:r w:rsidR="00DD0705" w:rsidRPr="00E5792C">
        <w:rPr>
          <w:rFonts w:ascii="Times" w:hAnsi="Times"/>
          <w:b/>
          <w:lang w:val="en-US"/>
        </w:rPr>
        <w:t xml:space="preserve">. </w:t>
      </w:r>
      <w:r w:rsidR="00D629F9" w:rsidRPr="00E5792C">
        <w:rPr>
          <w:rFonts w:ascii="Times" w:hAnsi="Times"/>
          <w:lang w:val="en-US"/>
        </w:rPr>
        <w:t xml:space="preserve">Mahrholdt H, Goedecke C, Wagner A, et al. Cardiovascular magnetic resonance assessment of human myocarditis: a comparison to histology and molecular pathology. </w:t>
      </w:r>
      <w:r w:rsidR="00D629F9" w:rsidRPr="00E5792C">
        <w:rPr>
          <w:rFonts w:ascii="Times" w:hAnsi="Times"/>
          <w:i/>
          <w:iCs/>
          <w:lang w:val="en-US"/>
        </w:rPr>
        <w:t>Circulation</w:t>
      </w:r>
      <w:r w:rsidR="002A23BA" w:rsidRPr="00E5792C">
        <w:rPr>
          <w:rFonts w:ascii="Times" w:hAnsi="Times"/>
          <w:i/>
          <w:iCs/>
          <w:lang w:val="en-US"/>
        </w:rPr>
        <w:t>.</w:t>
      </w:r>
      <w:r w:rsidR="00D629F9" w:rsidRPr="00E5792C">
        <w:rPr>
          <w:rFonts w:ascii="Times" w:hAnsi="Times"/>
          <w:lang w:val="en-US"/>
        </w:rPr>
        <w:t xml:space="preserve"> 2004;109</w:t>
      </w:r>
      <w:r w:rsidR="009F6B6E" w:rsidRPr="00E5792C">
        <w:rPr>
          <w:rFonts w:ascii="Times" w:hAnsi="Times"/>
          <w:lang w:val="en-US"/>
        </w:rPr>
        <w:t>(10)</w:t>
      </w:r>
      <w:r w:rsidR="00D629F9" w:rsidRPr="00E5792C">
        <w:rPr>
          <w:rFonts w:ascii="Times" w:hAnsi="Times"/>
          <w:lang w:val="en-US"/>
        </w:rPr>
        <w:t>:1250–8.</w:t>
      </w:r>
    </w:p>
    <w:p w14:paraId="3F736DAE" w14:textId="2F4CC8CB" w:rsidR="00D954C2" w:rsidRPr="00E5792C" w:rsidRDefault="00D954C2" w:rsidP="00E5792C">
      <w:pPr>
        <w:spacing w:line="480" w:lineRule="auto"/>
        <w:jc w:val="both"/>
        <w:rPr>
          <w:rFonts w:ascii="Times" w:hAnsi="Times"/>
          <w:bCs/>
          <w:lang w:val="en-US"/>
        </w:rPr>
      </w:pPr>
      <w:r w:rsidRPr="00E5792C">
        <w:rPr>
          <w:rFonts w:ascii="Times" w:hAnsi="Times"/>
          <w:b/>
          <w:lang w:val="en-US"/>
        </w:rPr>
        <w:t>10</w:t>
      </w:r>
      <w:r w:rsidR="00D629F9" w:rsidRPr="00E5792C">
        <w:rPr>
          <w:rFonts w:ascii="Times" w:hAnsi="Times"/>
          <w:b/>
          <w:lang w:val="en-US"/>
        </w:rPr>
        <w:t>.</w:t>
      </w:r>
      <w:r w:rsidR="00D629F9" w:rsidRPr="00E5792C">
        <w:rPr>
          <w:rFonts w:ascii="Times" w:hAnsi="Times"/>
          <w:bCs/>
          <w:lang w:val="en-US"/>
        </w:rPr>
        <w:t xml:space="preserve"> Gulati A, Jabbour A, Ismail TF et al. Association of fibrosis with mortality and sudden cardiac death in patients with nonischemic dilated cardiomyopathy.</w:t>
      </w:r>
      <w:r w:rsidR="00DD0705" w:rsidRPr="00E5792C">
        <w:rPr>
          <w:rFonts w:ascii="Times" w:hAnsi="Times"/>
          <w:bCs/>
          <w:lang w:val="en-US"/>
        </w:rPr>
        <w:t xml:space="preserve"> </w:t>
      </w:r>
      <w:r w:rsidR="00D629F9" w:rsidRPr="00E5792C">
        <w:rPr>
          <w:rFonts w:ascii="Times" w:hAnsi="Times"/>
          <w:bCs/>
          <w:i/>
          <w:iCs/>
          <w:lang w:val="en-US"/>
        </w:rPr>
        <w:t>JAMA</w:t>
      </w:r>
      <w:r w:rsidR="002A23BA" w:rsidRPr="00E5792C">
        <w:rPr>
          <w:rFonts w:ascii="Times" w:hAnsi="Times"/>
          <w:bCs/>
          <w:i/>
          <w:iCs/>
          <w:lang w:val="en-US"/>
        </w:rPr>
        <w:t>.</w:t>
      </w:r>
      <w:r w:rsidR="00D629F9" w:rsidRPr="00E5792C">
        <w:rPr>
          <w:rFonts w:ascii="Times" w:hAnsi="Times"/>
          <w:bCs/>
          <w:lang w:val="en-US"/>
        </w:rPr>
        <w:t xml:space="preserve"> 2013;309</w:t>
      </w:r>
      <w:r w:rsidR="009F6B6E" w:rsidRPr="00E5792C">
        <w:rPr>
          <w:rFonts w:ascii="Times" w:hAnsi="Times"/>
          <w:bCs/>
          <w:lang w:val="en-US"/>
        </w:rPr>
        <w:t>(9)</w:t>
      </w:r>
      <w:r w:rsidR="00D629F9" w:rsidRPr="00E5792C">
        <w:rPr>
          <w:rFonts w:ascii="Times" w:hAnsi="Times"/>
          <w:bCs/>
          <w:lang w:val="en-US"/>
        </w:rPr>
        <w:t>:896-908.</w:t>
      </w:r>
    </w:p>
    <w:p w14:paraId="75EE12D8" w14:textId="27F88B9A" w:rsidR="00EB7EF5" w:rsidRPr="00E5792C" w:rsidRDefault="00D954C2" w:rsidP="00E5792C">
      <w:pPr>
        <w:spacing w:line="480" w:lineRule="auto"/>
        <w:jc w:val="both"/>
        <w:rPr>
          <w:rFonts w:ascii="Times" w:hAnsi="Times"/>
          <w:bCs/>
          <w:lang w:val="en-US"/>
        </w:rPr>
      </w:pPr>
      <w:r w:rsidRPr="00E5792C">
        <w:rPr>
          <w:rFonts w:ascii="Times" w:hAnsi="Times"/>
          <w:b/>
          <w:lang w:val="en-US"/>
        </w:rPr>
        <w:t>11</w:t>
      </w:r>
      <w:r w:rsidR="00DD0705" w:rsidRPr="00E5792C">
        <w:rPr>
          <w:rFonts w:ascii="Times" w:hAnsi="Times"/>
          <w:b/>
          <w:lang w:val="en-US"/>
        </w:rPr>
        <w:t xml:space="preserve">. </w:t>
      </w:r>
      <w:r w:rsidR="00EB7EF5" w:rsidRPr="00E5792C">
        <w:rPr>
          <w:rFonts w:ascii="Times" w:hAnsi="Times"/>
          <w:bCs/>
          <w:lang w:val="en-US"/>
        </w:rPr>
        <w:t xml:space="preserve">Ismail TF, Jabbour A, Gulati A et al. Role of late gadolinium enhancement cardiovascular magnetic resonance in the risk stratification of hypertrophic cardiomyopathy. </w:t>
      </w:r>
      <w:r w:rsidR="00EB7EF5" w:rsidRPr="00E5792C">
        <w:rPr>
          <w:rFonts w:ascii="Times" w:hAnsi="Times"/>
          <w:bCs/>
          <w:i/>
          <w:iCs/>
          <w:lang w:val="en-US"/>
        </w:rPr>
        <w:t>Heart</w:t>
      </w:r>
      <w:r w:rsidR="002A23BA" w:rsidRPr="00E5792C">
        <w:rPr>
          <w:rFonts w:ascii="Times" w:hAnsi="Times"/>
          <w:bCs/>
          <w:i/>
          <w:iCs/>
          <w:lang w:val="en-US"/>
        </w:rPr>
        <w:t>.</w:t>
      </w:r>
      <w:r w:rsidR="00EB7EF5" w:rsidRPr="00E5792C">
        <w:rPr>
          <w:rFonts w:ascii="Times" w:hAnsi="Times"/>
          <w:bCs/>
          <w:lang w:val="en-US"/>
        </w:rPr>
        <w:t xml:space="preserve"> 2014;100</w:t>
      </w:r>
      <w:r w:rsidR="009F6B6E" w:rsidRPr="00E5792C">
        <w:rPr>
          <w:rFonts w:ascii="Times" w:hAnsi="Times"/>
          <w:bCs/>
          <w:lang w:val="en-US"/>
        </w:rPr>
        <w:t>(23)</w:t>
      </w:r>
      <w:r w:rsidR="00EB7EF5" w:rsidRPr="00E5792C">
        <w:rPr>
          <w:rFonts w:ascii="Times" w:hAnsi="Times"/>
          <w:bCs/>
          <w:lang w:val="en-US"/>
        </w:rPr>
        <w:t>:1851-8.</w:t>
      </w:r>
    </w:p>
    <w:p w14:paraId="5BADD900" w14:textId="0789894C" w:rsidR="00DD0705" w:rsidRPr="00E5792C" w:rsidRDefault="00DD0705" w:rsidP="00E5792C">
      <w:pPr>
        <w:spacing w:line="480" w:lineRule="auto"/>
        <w:jc w:val="both"/>
        <w:rPr>
          <w:rFonts w:ascii="Times" w:hAnsi="Times"/>
          <w:b/>
          <w:lang w:val="en-US"/>
        </w:rPr>
      </w:pPr>
      <w:r w:rsidRPr="00E5792C">
        <w:rPr>
          <w:rFonts w:ascii="Times" w:hAnsi="Times"/>
          <w:b/>
          <w:lang w:val="en-US"/>
        </w:rPr>
        <w:t>1</w:t>
      </w:r>
      <w:r w:rsidR="00D954C2" w:rsidRPr="00E5792C">
        <w:rPr>
          <w:rFonts w:ascii="Times" w:hAnsi="Times"/>
          <w:b/>
          <w:lang w:val="en-US"/>
        </w:rPr>
        <w:t>2</w:t>
      </w:r>
      <w:r w:rsidRPr="00E5792C">
        <w:rPr>
          <w:rFonts w:ascii="Times" w:hAnsi="Times"/>
          <w:b/>
          <w:lang w:val="en-US"/>
        </w:rPr>
        <w:t xml:space="preserve">. </w:t>
      </w:r>
      <w:r w:rsidRPr="00E5792C">
        <w:rPr>
          <w:rFonts w:ascii="Times" w:hAnsi="Times"/>
          <w:lang w:val="en-US"/>
        </w:rPr>
        <w:t xml:space="preserve">Grün S, Schumm J, Greulich S, et al. Long-term follow-up of biopsy-proven viral myocarditis: predictors of mortality and incomplete recovery. </w:t>
      </w:r>
      <w:r w:rsidRPr="00E5792C">
        <w:rPr>
          <w:rFonts w:ascii="Times" w:hAnsi="Times"/>
          <w:i/>
          <w:iCs/>
          <w:lang w:val="en-US"/>
        </w:rPr>
        <w:t>J Am Coll Cardiol</w:t>
      </w:r>
      <w:r w:rsidR="002A23BA" w:rsidRPr="00E5792C">
        <w:rPr>
          <w:rFonts w:ascii="Times" w:hAnsi="Times"/>
          <w:lang w:val="en-US"/>
        </w:rPr>
        <w:t>.</w:t>
      </w:r>
      <w:r w:rsidRPr="00E5792C">
        <w:rPr>
          <w:rFonts w:ascii="Times" w:hAnsi="Times"/>
          <w:lang w:val="en-US"/>
        </w:rPr>
        <w:t xml:space="preserve"> 2012;59</w:t>
      </w:r>
      <w:r w:rsidR="009F6B6E" w:rsidRPr="00E5792C">
        <w:rPr>
          <w:rFonts w:ascii="Times" w:hAnsi="Times"/>
          <w:lang w:val="en-US"/>
        </w:rPr>
        <w:t>(18)</w:t>
      </w:r>
      <w:r w:rsidRPr="00E5792C">
        <w:rPr>
          <w:rFonts w:ascii="Times" w:hAnsi="Times"/>
          <w:lang w:val="en-US"/>
        </w:rPr>
        <w:t>:1604–15.</w:t>
      </w:r>
    </w:p>
    <w:p w14:paraId="376ABD3A" w14:textId="64BDE79D" w:rsidR="00DD0705" w:rsidRPr="00E5792C" w:rsidRDefault="00DD0705" w:rsidP="00E5792C">
      <w:pPr>
        <w:spacing w:line="480" w:lineRule="auto"/>
        <w:jc w:val="both"/>
        <w:rPr>
          <w:rFonts w:ascii="Times" w:hAnsi="Times"/>
          <w:b/>
          <w:lang w:val="en-US"/>
        </w:rPr>
      </w:pPr>
      <w:r w:rsidRPr="00E5792C">
        <w:rPr>
          <w:rFonts w:ascii="Times" w:hAnsi="Times"/>
          <w:b/>
          <w:lang w:val="en-US"/>
        </w:rPr>
        <w:t>1</w:t>
      </w:r>
      <w:r w:rsidR="00D954C2" w:rsidRPr="00E5792C">
        <w:rPr>
          <w:rFonts w:ascii="Times" w:hAnsi="Times"/>
          <w:b/>
          <w:lang w:val="en-US"/>
        </w:rPr>
        <w:t>3</w:t>
      </w:r>
      <w:r w:rsidRPr="00E5792C">
        <w:rPr>
          <w:rFonts w:ascii="Times" w:hAnsi="Times"/>
          <w:b/>
          <w:lang w:val="en-US"/>
        </w:rPr>
        <w:t xml:space="preserve">. </w:t>
      </w:r>
      <w:r w:rsidRPr="00E5792C">
        <w:rPr>
          <w:rFonts w:ascii="Times" w:hAnsi="Times"/>
          <w:lang w:val="en-US"/>
        </w:rPr>
        <w:t xml:space="preserve">Schumm J, Greulich S, Wagner A, et al. Cardiovascular magnetic resonance risk stratification in patients with clinically suspected myocarditis. </w:t>
      </w:r>
      <w:r w:rsidRPr="00E5792C">
        <w:rPr>
          <w:rFonts w:ascii="Times" w:hAnsi="Times"/>
          <w:i/>
          <w:iCs/>
          <w:lang w:val="en-US"/>
        </w:rPr>
        <w:t>J Cardiovasc Magn Reson</w:t>
      </w:r>
      <w:r w:rsidR="002A23BA" w:rsidRPr="00E5792C">
        <w:rPr>
          <w:rFonts w:ascii="Times" w:hAnsi="Times"/>
          <w:lang w:val="en-US"/>
        </w:rPr>
        <w:t>.</w:t>
      </w:r>
      <w:r w:rsidRPr="00E5792C">
        <w:rPr>
          <w:rFonts w:ascii="Times" w:hAnsi="Times"/>
          <w:lang w:val="en-US"/>
        </w:rPr>
        <w:t xml:space="preserve"> 2014;16</w:t>
      </w:r>
      <w:r w:rsidR="009F6B6E" w:rsidRPr="00E5792C">
        <w:rPr>
          <w:rFonts w:ascii="Times" w:hAnsi="Times"/>
          <w:lang w:val="en-US"/>
        </w:rPr>
        <w:t>(1)</w:t>
      </w:r>
      <w:r w:rsidRPr="00E5792C">
        <w:rPr>
          <w:rFonts w:ascii="Times" w:hAnsi="Times"/>
          <w:lang w:val="en-US"/>
        </w:rPr>
        <w:t>:14.</w:t>
      </w:r>
    </w:p>
    <w:p w14:paraId="14EA26F3" w14:textId="76A070E2" w:rsidR="00DD0705" w:rsidRPr="00E5792C" w:rsidRDefault="00DD0705" w:rsidP="00E5792C">
      <w:pPr>
        <w:spacing w:line="480" w:lineRule="auto"/>
        <w:jc w:val="both"/>
        <w:rPr>
          <w:rFonts w:ascii="Times" w:hAnsi="Times"/>
        </w:rPr>
      </w:pPr>
      <w:r w:rsidRPr="00E5792C">
        <w:rPr>
          <w:rFonts w:ascii="Times" w:hAnsi="Times"/>
          <w:b/>
          <w:lang w:val="en-US"/>
        </w:rPr>
        <w:t>1</w:t>
      </w:r>
      <w:r w:rsidR="00D954C2" w:rsidRPr="00E5792C">
        <w:rPr>
          <w:rFonts w:ascii="Times" w:hAnsi="Times"/>
          <w:b/>
          <w:lang w:val="en-US"/>
        </w:rPr>
        <w:t>4</w:t>
      </w:r>
      <w:r w:rsidRPr="00E5792C">
        <w:rPr>
          <w:rFonts w:ascii="Times" w:hAnsi="Times"/>
          <w:b/>
          <w:lang w:val="en-US"/>
        </w:rPr>
        <w:t xml:space="preserve">. </w:t>
      </w:r>
      <w:r w:rsidRPr="00E5792C">
        <w:rPr>
          <w:rFonts w:ascii="Times" w:hAnsi="Times"/>
          <w:lang w:val="en-US"/>
        </w:rPr>
        <w:t xml:space="preserve">Chopra H, Arangalage D, Bouleti C, et al. Prognostic value of the infarct- and non-infarct like patterns and cardiovascular magnetic resonance parameters on long-term outcome of patients after acute myocarditis. </w:t>
      </w:r>
      <w:r w:rsidRPr="00E5792C">
        <w:rPr>
          <w:rFonts w:ascii="Times" w:hAnsi="Times"/>
          <w:i/>
          <w:iCs/>
        </w:rPr>
        <w:t>Int J Cardiol</w:t>
      </w:r>
      <w:r w:rsidR="002A23BA" w:rsidRPr="00E5792C">
        <w:rPr>
          <w:rFonts w:ascii="Times" w:hAnsi="Times"/>
        </w:rPr>
        <w:t>.</w:t>
      </w:r>
      <w:r w:rsidRPr="00E5792C">
        <w:rPr>
          <w:rFonts w:ascii="Times" w:hAnsi="Times"/>
        </w:rPr>
        <w:t xml:space="preserve"> 2016;212:63-9.</w:t>
      </w:r>
    </w:p>
    <w:p w14:paraId="75E4F9B0" w14:textId="2A701149" w:rsidR="00DD0705" w:rsidRPr="00E5792C" w:rsidRDefault="00DD0705" w:rsidP="00E5792C">
      <w:pPr>
        <w:spacing w:line="480" w:lineRule="auto"/>
        <w:jc w:val="both"/>
        <w:rPr>
          <w:rFonts w:ascii="Times" w:hAnsi="Times"/>
          <w:lang w:val="en-US"/>
        </w:rPr>
      </w:pPr>
      <w:r w:rsidRPr="00E5792C">
        <w:rPr>
          <w:rFonts w:ascii="Times" w:hAnsi="Times"/>
          <w:b/>
        </w:rPr>
        <w:t>1</w:t>
      </w:r>
      <w:r w:rsidR="00D954C2" w:rsidRPr="00E5792C">
        <w:rPr>
          <w:rFonts w:ascii="Times" w:hAnsi="Times"/>
          <w:b/>
        </w:rPr>
        <w:t>5</w:t>
      </w:r>
      <w:r w:rsidRPr="00E5792C">
        <w:rPr>
          <w:rFonts w:ascii="Times" w:hAnsi="Times"/>
          <w:b/>
        </w:rPr>
        <w:t xml:space="preserve">. </w:t>
      </w:r>
      <w:r w:rsidRPr="00E5792C">
        <w:rPr>
          <w:rFonts w:ascii="Times" w:hAnsi="Times"/>
        </w:rPr>
        <w:t xml:space="preserve">Sanguineti F, Garot P, Mana M, et al. </w:t>
      </w:r>
      <w:r w:rsidRPr="00E5792C">
        <w:rPr>
          <w:rFonts w:ascii="Times" w:hAnsi="Times"/>
          <w:lang w:val="en-US"/>
        </w:rPr>
        <w:t xml:space="preserve">Cardiovascular magnetic resonance predictors of clinical outcome in patients with suspected acute myocarditis. </w:t>
      </w:r>
      <w:r w:rsidRPr="00E5792C">
        <w:rPr>
          <w:rFonts w:ascii="Times" w:hAnsi="Times"/>
          <w:i/>
          <w:iCs/>
          <w:lang w:val="en-US"/>
        </w:rPr>
        <w:t>J Cardiovasc Magn Reson</w:t>
      </w:r>
      <w:r w:rsidR="002A23BA" w:rsidRPr="00E5792C">
        <w:rPr>
          <w:rFonts w:ascii="Times" w:hAnsi="Times"/>
          <w:lang w:val="en-US"/>
        </w:rPr>
        <w:t>.</w:t>
      </w:r>
      <w:r w:rsidRPr="00E5792C">
        <w:rPr>
          <w:rFonts w:ascii="Times" w:hAnsi="Times"/>
          <w:lang w:val="en-US"/>
        </w:rPr>
        <w:t xml:space="preserve"> 2015;17</w:t>
      </w:r>
      <w:r w:rsidR="009F6B6E" w:rsidRPr="00E5792C">
        <w:rPr>
          <w:rFonts w:ascii="Times" w:hAnsi="Times"/>
          <w:lang w:val="en-US"/>
        </w:rPr>
        <w:t>(1)</w:t>
      </w:r>
      <w:r w:rsidRPr="00E5792C">
        <w:rPr>
          <w:rFonts w:ascii="Times" w:hAnsi="Times"/>
          <w:lang w:val="en-US"/>
        </w:rPr>
        <w:t xml:space="preserve">:78. </w:t>
      </w:r>
    </w:p>
    <w:p w14:paraId="6C4BC4BA" w14:textId="27D2873F" w:rsidR="00DD0705" w:rsidRPr="00E5792C" w:rsidRDefault="00DD0705" w:rsidP="00E5792C">
      <w:pPr>
        <w:spacing w:line="480" w:lineRule="auto"/>
        <w:jc w:val="both"/>
        <w:rPr>
          <w:rFonts w:ascii="Times" w:hAnsi="Times"/>
          <w:lang w:val="en-US"/>
        </w:rPr>
      </w:pPr>
      <w:r w:rsidRPr="00E5792C">
        <w:rPr>
          <w:rFonts w:ascii="Times" w:hAnsi="Times"/>
          <w:b/>
        </w:rPr>
        <w:t>1</w:t>
      </w:r>
      <w:r w:rsidR="00D954C2" w:rsidRPr="00E5792C">
        <w:rPr>
          <w:rFonts w:ascii="Times" w:hAnsi="Times"/>
          <w:b/>
        </w:rPr>
        <w:t>6</w:t>
      </w:r>
      <w:r w:rsidRPr="00E5792C">
        <w:rPr>
          <w:rFonts w:ascii="Times" w:hAnsi="Times"/>
          <w:b/>
        </w:rPr>
        <w:t xml:space="preserve">. </w:t>
      </w:r>
      <w:r w:rsidRPr="00E5792C">
        <w:rPr>
          <w:rFonts w:ascii="Times" w:hAnsi="Times"/>
        </w:rPr>
        <w:t xml:space="preserve">Aquaro GD, Perfetti M, Camastra G, et al. </w:t>
      </w:r>
      <w:r w:rsidRPr="00E5792C">
        <w:rPr>
          <w:rFonts w:ascii="Times" w:hAnsi="Times"/>
          <w:lang w:val="en-US"/>
        </w:rPr>
        <w:t xml:space="preserve">Cardiac MR With Late Gadolinium Enhancement in Acute Myocarditis With Preserved Systolic Function: ITAMY Study. </w:t>
      </w:r>
      <w:r w:rsidRPr="00E5792C">
        <w:rPr>
          <w:rFonts w:ascii="Times" w:hAnsi="Times"/>
          <w:i/>
          <w:iCs/>
          <w:lang w:val="en-US"/>
        </w:rPr>
        <w:t>J Am Coll Cardiol</w:t>
      </w:r>
      <w:r w:rsidR="002A23BA" w:rsidRPr="00E5792C">
        <w:rPr>
          <w:rFonts w:ascii="Times" w:hAnsi="Times"/>
          <w:lang w:val="en-US"/>
        </w:rPr>
        <w:t>.</w:t>
      </w:r>
      <w:r w:rsidRPr="00E5792C">
        <w:rPr>
          <w:rFonts w:ascii="Times" w:hAnsi="Times"/>
          <w:lang w:val="en-US"/>
        </w:rPr>
        <w:t xml:space="preserve"> 2017;70</w:t>
      </w:r>
      <w:r w:rsidR="009F6B6E" w:rsidRPr="00E5792C">
        <w:rPr>
          <w:rFonts w:ascii="Times" w:hAnsi="Times"/>
          <w:lang w:val="en-US"/>
        </w:rPr>
        <w:t>(16)</w:t>
      </w:r>
      <w:r w:rsidRPr="00E5792C">
        <w:rPr>
          <w:rFonts w:ascii="Times" w:hAnsi="Times"/>
          <w:lang w:val="en-US"/>
        </w:rPr>
        <w:t>:1977-1987.</w:t>
      </w:r>
    </w:p>
    <w:p w14:paraId="31C71413" w14:textId="11F36A78" w:rsidR="00DD0705" w:rsidRPr="00E5792C" w:rsidRDefault="00DD0705" w:rsidP="00E5792C">
      <w:pPr>
        <w:spacing w:line="480" w:lineRule="auto"/>
        <w:jc w:val="both"/>
        <w:rPr>
          <w:rFonts w:ascii="Times" w:hAnsi="Times"/>
          <w:lang w:val="en-US"/>
        </w:rPr>
      </w:pPr>
      <w:r w:rsidRPr="00E5792C">
        <w:rPr>
          <w:rFonts w:ascii="Times" w:hAnsi="Times"/>
          <w:b/>
        </w:rPr>
        <w:t>1</w:t>
      </w:r>
      <w:r w:rsidR="00D954C2" w:rsidRPr="00E5792C">
        <w:rPr>
          <w:rFonts w:ascii="Times" w:hAnsi="Times"/>
          <w:b/>
        </w:rPr>
        <w:t>7</w:t>
      </w:r>
      <w:r w:rsidRPr="00E5792C">
        <w:rPr>
          <w:rFonts w:ascii="Times" w:hAnsi="Times"/>
          <w:b/>
        </w:rPr>
        <w:t xml:space="preserve">. </w:t>
      </w:r>
      <w:r w:rsidRPr="00E5792C">
        <w:rPr>
          <w:rFonts w:ascii="Times" w:hAnsi="Times"/>
        </w:rPr>
        <w:t xml:space="preserve">Imazio M, Angelico G, Andriani M, et al. </w:t>
      </w:r>
      <w:r w:rsidRPr="00E5792C">
        <w:rPr>
          <w:rFonts w:ascii="Times" w:hAnsi="Times"/>
          <w:lang w:val="en-US"/>
        </w:rPr>
        <w:t xml:space="preserve">Prevalence and Prognostic Impact of Septal Late Gadolinium Enhancement in Acute Myocarditis With or Without Preserved Left Ventricular Function. </w:t>
      </w:r>
      <w:r w:rsidRPr="00E5792C">
        <w:rPr>
          <w:rFonts w:ascii="Times" w:hAnsi="Times"/>
          <w:i/>
          <w:iCs/>
          <w:lang w:val="en-US"/>
        </w:rPr>
        <w:t>Am J Cardiol</w:t>
      </w:r>
      <w:r w:rsidR="002A23BA" w:rsidRPr="00E5792C">
        <w:rPr>
          <w:rFonts w:ascii="Times" w:hAnsi="Times"/>
          <w:lang w:val="en-US"/>
        </w:rPr>
        <w:t>.</w:t>
      </w:r>
      <w:r w:rsidRPr="00E5792C">
        <w:rPr>
          <w:rFonts w:ascii="Times" w:hAnsi="Times"/>
          <w:lang w:val="en-US"/>
        </w:rPr>
        <w:t xml:space="preserve"> 2018;122</w:t>
      </w:r>
      <w:r w:rsidR="009F6B6E" w:rsidRPr="00E5792C">
        <w:rPr>
          <w:rFonts w:ascii="Times" w:hAnsi="Times"/>
          <w:lang w:val="en-US"/>
        </w:rPr>
        <w:t>(11)</w:t>
      </w:r>
      <w:r w:rsidRPr="00E5792C">
        <w:rPr>
          <w:rFonts w:ascii="Times" w:hAnsi="Times"/>
          <w:lang w:val="en-US"/>
        </w:rPr>
        <w:t xml:space="preserve">:1955-1958. </w:t>
      </w:r>
    </w:p>
    <w:p w14:paraId="3D59E429" w14:textId="520E0704" w:rsidR="00DD0705" w:rsidRPr="00E5792C" w:rsidRDefault="00DD0705" w:rsidP="00E5792C">
      <w:pPr>
        <w:spacing w:line="480" w:lineRule="auto"/>
        <w:jc w:val="both"/>
        <w:rPr>
          <w:rFonts w:ascii="Times" w:hAnsi="Times"/>
          <w:lang w:val="en-US"/>
        </w:rPr>
      </w:pPr>
      <w:r w:rsidRPr="00E5792C">
        <w:rPr>
          <w:rFonts w:ascii="Times" w:hAnsi="Times"/>
          <w:b/>
          <w:lang w:val="en-US"/>
        </w:rPr>
        <w:t>1</w:t>
      </w:r>
      <w:r w:rsidR="00D954C2" w:rsidRPr="00E5792C">
        <w:rPr>
          <w:rFonts w:ascii="Times" w:hAnsi="Times"/>
          <w:b/>
          <w:lang w:val="en-US"/>
        </w:rPr>
        <w:t>8</w:t>
      </w:r>
      <w:r w:rsidRPr="00E5792C">
        <w:rPr>
          <w:rFonts w:ascii="Times" w:hAnsi="Times"/>
          <w:b/>
          <w:lang w:val="en-US"/>
        </w:rPr>
        <w:t xml:space="preserve">. </w:t>
      </w:r>
      <w:r w:rsidRPr="00E5792C">
        <w:rPr>
          <w:rFonts w:ascii="Times" w:hAnsi="Times"/>
          <w:lang w:val="en-US"/>
        </w:rPr>
        <w:t xml:space="preserve">Mahrholdt H, Greulich S. Prognosis in Myocarditis: Better Late Than (N)ever! </w:t>
      </w:r>
      <w:r w:rsidRPr="00E5792C">
        <w:rPr>
          <w:rFonts w:ascii="Times" w:hAnsi="Times"/>
          <w:i/>
          <w:iCs/>
          <w:lang w:val="en-US"/>
        </w:rPr>
        <w:t>J Am Coll Cardiol</w:t>
      </w:r>
      <w:r w:rsidR="002A23BA" w:rsidRPr="00E5792C">
        <w:rPr>
          <w:rFonts w:ascii="Times" w:hAnsi="Times"/>
          <w:lang w:val="en-US"/>
        </w:rPr>
        <w:t>.</w:t>
      </w:r>
      <w:r w:rsidRPr="00E5792C">
        <w:rPr>
          <w:rFonts w:ascii="Times" w:hAnsi="Times"/>
          <w:lang w:val="en-US"/>
        </w:rPr>
        <w:t xml:space="preserve"> 2017;70</w:t>
      </w:r>
      <w:r w:rsidR="009F6B6E" w:rsidRPr="00E5792C">
        <w:rPr>
          <w:rFonts w:ascii="Times" w:hAnsi="Times"/>
          <w:lang w:val="en-US"/>
        </w:rPr>
        <w:t>(16)</w:t>
      </w:r>
      <w:r w:rsidRPr="00E5792C">
        <w:rPr>
          <w:rFonts w:ascii="Times" w:hAnsi="Times"/>
          <w:lang w:val="en-US"/>
        </w:rPr>
        <w:t xml:space="preserve">:1988-1990. </w:t>
      </w:r>
    </w:p>
    <w:p w14:paraId="662CF92B" w14:textId="7C538F92" w:rsidR="00DD0705" w:rsidRPr="00E5792C" w:rsidRDefault="00DD0705" w:rsidP="00E5792C">
      <w:pPr>
        <w:spacing w:line="480" w:lineRule="auto"/>
        <w:jc w:val="both"/>
        <w:rPr>
          <w:rFonts w:ascii="Times" w:hAnsi="Times"/>
          <w:b/>
          <w:lang w:val="en-US"/>
        </w:rPr>
      </w:pPr>
      <w:r w:rsidRPr="00E5792C">
        <w:rPr>
          <w:rFonts w:ascii="Times" w:hAnsi="Times"/>
          <w:b/>
          <w:lang w:val="en-US"/>
        </w:rPr>
        <w:lastRenderedPageBreak/>
        <w:t>1</w:t>
      </w:r>
      <w:r w:rsidR="00D954C2" w:rsidRPr="00E5792C">
        <w:rPr>
          <w:rFonts w:ascii="Times" w:hAnsi="Times"/>
          <w:b/>
          <w:lang w:val="en-US"/>
        </w:rPr>
        <w:t>9</w:t>
      </w:r>
      <w:r w:rsidRPr="00E5792C">
        <w:rPr>
          <w:rFonts w:ascii="Times" w:hAnsi="Times"/>
          <w:b/>
          <w:lang w:val="en-US"/>
        </w:rPr>
        <w:t xml:space="preserve">. </w:t>
      </w:r>
      <w:r w:rsidRPr="00E5792C">
        <w:rPr>
          <w:rFonts w:ascii="Times" w:hAnsi="Times"/>
          <w:lang w:val="en-US"/>
        </w:rPr>
        <w:t xml:space="preserve">Gräni C, Eichhorn C, Bière L, et al. Prognostic Value of Cardiac Magnetic Resonance Tissue Characterization in Risk Stratifying Patients With Suspected Myocarditis. </w:t>
      </w:r>
      <w:r w:rsidR="009F6B6E" w:rsidRPr="00E5792C">
        <w:rPr>
          <w:rFonts w:ascii="Times" w:hAnsi="Times"/>
          <w:i/>
          <w:iCs/>
          <w:lang w:val="en-US"/>
        </w:rPr>
        <w:t>J Am Coll Cardiol</w:t>
      </w:r>
      <w:r w:rsidR="002A23BA" w:rsidRPr="00E5792C">
        <w:rPr>
          <w:rFonts w:ascii="Times" w:hAnsi="Times"/>
          <w:lang w:val="en-US"/>
        </w:rPr>
        <w:t>.</w:t>
      </w:r>
      <w:r w:rsidRPr="00E5792C">
        <w:rPr>
          <w:rFonts w:ascii="Times" w:hAnsi="Times"/>
          <w:lang w:val="en-US"/>
        </w:rPr>
        <w:t xml:space="preserve"> 2017;70</w:t>
      </w:r>
      <w:r w:rsidR="009F6B6E" w:rsidRPr="00E5792C">
        <w:rPr>
          <w:rFonts w:ascii="Times" w:hAnsi="Times"/>
          <w:lang w:val="en-US"/>
        </w:rPr>
        <w:t>(16)</w:t>
      </w:r>
      <w:r w:rsidRPr="00E5792C">
        <w:rPr>
          <w:rFonts w:ascii="Times" w:hAnsi="Times"/>
          <w:lang w:val="en-US"/>
        </w:rPr>
        <w:t>:1964-1976.</w:t>
      </w:r>
    </w:p>
    <w:p w14:paraId="665FCB06" w14:textId="73FE5337" w:rsidR="00DD0705" w:rsidRPr="00E5792C" w:rsidRDefault="00D954C2" w:rsidP="00E5792C">
      <w:pPr>
        <w:spacing w:line="480" w:lineRule="auto"/>
        <w:jc w:val="both"/>
        <w:rPr>
          <w:rFonts w:ascii="Times" w:hAnsi="Times"/>
          <w:lang w:val="en-US"/>
        </w:rPr>
      </w:pPr>
      <w:r w:rsidRPr="00E5792C">
        <w:rPr>
          <w:rFonts w:ascii="Times" w:hAnsi="Times"/>
          <w:b/>
          <w:lang w:val="en-US"/>
        </w:rPr>
        <w:t>20</w:t>
      </w:r>
      <w:r w:rsidR="00DD0705" w:rsidRPr="00E5792C">
        <w:rPr>
          <w:rFonts w:ascii="Times" w:hAnsi="Times"/>
          <w:b/>
          <w:lang w:val="en-US"/>
        </w:rPr>
        <w:t xml:space="preserve">. </w:t>
      </w:r>
      <w:r w:rsidR="00DD0705" w:rsidRPr="00E5792C">
        <w:rPr>
          <w:rFonts w:ascii="Times" w:hAnsi="Times"/>
          <w:lang w:val="en-US"/>
        </w:rPr>
        <w:t xml:space="preserve">Spieker M, Haberkorn S, Gastl M, et al. Abnormal T2 mapping cardiovascular magnetic resonance correlates with adverse clinical outcome in patients with suspected acute myocarditis. </w:t>
      </w:r>
      <w:r w:rsidR="00DD0705" w:rsidRPr="00E5792C">
        <w:rPr>
          <w:rFonts w:ascii="Times" w:hAnsi="Times"/>
          <w:i/>
          <w:iCs/>
          <w:lang w:val="en-US"/>
        </w:rPr>
        <w:t>J Cardiovasc Magn Reson</w:t>
      </w:r>
      <w:r w:rsidR="002A23BA" w:rsidRPr="00E5792C">
        <w:rPr>
          <w:rFonts w:ascii="Times" w:hAnsi="Times"/>
          <w:lang w:val="en-US"/>
        </w:rPr>
        <w:t>.</w:t>
      </w:r>
      <w:r w:rsidR="00DD0705" w:rsidRPr="00E5792C">
        <w:rPr>
          <w:rFonts w:ascii="Times" w:hAnsi="Times"/>
          <w:lang w:val="en-US"/>
        </w:rPr>
        <w:t xml:space="preserve"> 2017;19</w:t>
      </w:r>
      <w:r w:rsidR="009F6B6E" w:rsidRPr="00E5792C">
        <w:rPr>
          <w:rFonts w:ascii="Times" w:hAnsi="Times"/>
          <w:lang w:val="en-US"/>
        </w:rPr>
        <w:t>(1)</w:t>
      </w:r>
      <w:r w:rsidR="00DD0705" w:rsidRPr="00E5792C">
        <w:rPr>
          <w:rFonts w:ascii="Times" w:hAnsi="Times"/>
          <w:lang w:val="en-US"/>
        </w:rPr>
        <w:t>:38.</w:t>
      </w:r>
    </w:p>
    <w:p w14:paraId="03FC8E4F" w14:textId="5C1F562F" w:rsidR="00DD0705" w:rsidRPr="00E5792C" w:rsidRDefault="00DD0705" w:rsidP="00E5792C">
      <w:pPr>
        <w:spacing w:line="480" w:lineRule="auto"/>
        <w:jc w:val="both"/>
        <w:rPr>
          <w:rFonts w:ascii="Times" w:hAnsi="Times"/>
          <w:b/>
        </w:rPr>
      </w:pPr>
      <w:r w:rsidRPr="00E5792C">
        <w:rPr>
          <w:rFonts w:ascii="Times" w:hAnsi="Times"/>
          <w:b/>
          <w:lang w:val="en-US"/>
        </w:rPr>
        <w:t>2</w:t>
      </w:r>
      <w:r w:rsidR="00D954C2" w:rsidRPr="00E5792C">
        <w:rPr>
          <w:rFonts w:ascii="Times" w:hAnsi="Times"/>
          <w:b/>
          <w:lang w:val="en-US"/>
        </w:rPr>
        <w:t>1</w:t>
      </w:r>
      <w:r w:rsidRPr="00E5792C">
        <w:rPr>
          <w:rFonts w:ascii="Times" w:hAnsi="Times"/>
          <w:b/>
          <w:lang w:val="en-US"/>
        </w:rPr>
        <w:t xml:space="preserve">.  </w:t>
      </w:r>
      <w:r w:rsidRPr="00E5792C">
        <w:rPr>
          <w:rFonts w:ascii="Times" w:hAnsi="Times"/>
          <w:lang w:val="en-US"/>
        </w:rPr>
        <w:t xml:space="preserve">Lee </w:t>
      </w:r>
      <w:r w:rsidR="00E82D14" w:rsidRPr="00E5792C">
        <w:rPr>
          <w:rFonts w:ascii="Times" w:hAnsi="Times"/>
          <w:lang w:val="en-US"/>
        </w:rPr>
        <w:t>W</w:t>
      </w:r>
      <w:r w:rsidRPr="00E5792C">
        <w:rPr>
          <w:rFonts w:ascii="Times" w:hAnsi="Times"/>
          <w:lang w:val="en-US"/>
        </w:rPr>
        <w:t xml:space="preserve">J, Jeong YJ, Lee G, et al. Predictive Value of Cardiac Magnetic Resonance Imaging-Derived Myocardial Strain for Poor Outcomes in Patients with Acute Myocarditis. </w:t>
      </w:r>
      <w:r w:rsidRPr="00E5792C">
        <w:rPr>
          <w:rFonts w:ascii="Times" w:hAnsi="Times"/>
          <w:i/>
          <w:iCs/>
        </w:rPr>
        <w:t>Korean J Radiol</w:t>
      </w:r>
      <w:r w:rsidR="002A23BA" w:rsidRPr="00E5792C">
        <w:rPr>
          <w:rFonts w:ascii="Times" w:hAnsi="Times"/>
        </w:rPr>
        <w:t>.</w:t>
      </w:r>
      <w:r w:rsidRPr="00E5792C">
        <w:rPr>
          <w:rFonts w:ascii="Times" w:hAnsi="Times"/>
        </w:rPr>
        <w:t xml:space="preserve"> 2017;18</w:t>
      </w:r>
      <w:r w:rsidR="009F6B6E" w:rsidRPr="00E5792C">
        <w:rPr>
          <w:rFonts w:ascii="Times" w:hAnsi="Times"/>
        </w:rPr>
        <w:t>(4)</w:t>
      </w:r>
      <w:r w:rsidRPr="00E5792C">
        <w:rPr>
          <w:rFonts w:ascii="Times" w:hAnsi="Times"/>
        </w:rPr>
        <w:t>:643-654.</w:t>
      </w:r>
    </w:p>
    <w:p w14:paraId="0AEC1A1C" w14:textId="72ABBC2C" w:rsidR="00DD0705" w:rsidRPr="00E5792C" w:rsidRDefault="00DD0705" w:rsidP="00E5792C">
      <w:pPr>
        <w:spacing w:line="480" w:lineRule="auto"/>
        <w:jc w:val="both"/>
        <w:rPr>
          <w:rFonts w:ascii="Times" w:hAnsi="Times"/>
          <w:lang w:val="en-US"/>
        </w:rPr>
      </w:pPr>
      <w:r w:rsidRPr="00E5792C">
        <w:rPr>
          <w:rFonts w:ascii="Times" w:hAnsi="Times"/>
          <w:b/>
        </w:rPr>
        <w:t>2</w:t>
      </w:r>
      <w:r w:rsidR="00D954C2" w:rsidRPr="00E5792C">
        <w:rPr>
          <w:rFonts w:ascii="Times" w:hAnsi="Times"/>
          <w:b/>
        </w:rPr>
        <w:t>2</w:t>
      </w:r>
      <w:r w:rsidRPr="00E5792C">
        <w:rPr>
          <w:rFonts w:ascii="Times" w:hAnsi="Times"/>
          <w:b/>
        </w:rPr>
        <w:t xml:space="preserve">. </w:t>
      </w:r>
      <w:r w:rsidRPr="00E5792C">
        <w:rPr>
          <w:rFonts w:ascii="Times" w:hAnsi="Times"/>
        </w:rPr>
        <w:t xml:space="preserve">Barone-Rochette G, Augier C, Rodière M, et al. </w:t>
      </w:r>
      <w:r w:rsidRPr="00E5792C">
        <w:rPr>
          <w:rFonts w:ascii="Times" w:hAnsi="Times"/>
          <w:lang w:val="en-US"/>
        </w:rPr>
        <w:t xml:space="preserve">Potentially simple score of late gadolinium enhancement cardiac MR in acute myocarditis outcome. </w:t>
      </w:r>
      <w:r w:rsidRPr="00E5792C">
        <w:rPr>
          <w:rFonts w:ascii="Times" w:hAnsi="Times"/>
          <w:i/>
          <w:iCs/>
          <w:lang w:val="en-US"/>
        </w:rPr>
        <w:t>J Magn Reson Imaging</w:t>
      </w:r>
      <w:r w:rsidR="002A23BA" w:rsidRPr="00E5792C">
        <w:rPr>
          <w:rFonts w:ascii="Times" w:hAnsi="Times"/>
          <w:lang w:val="en-US"/>
        </w:rPr>
        <w:t>.</w:t>
      </w:r>
      <w:r w:rsidRPr="00E5792C">
        <w:rPr>
          <w:rFonts w:ascii="Times" w:hAnsi="Times"/>
          <w:lang w:val="en-US"/>
        </w:rPr>
        <w:t xml:space="preserve"> 2014;40</w:t>
      </w:r>
      <w:r w:rsidR="009F6B6E" w:rsidRPr="00E5792C">
        <w:rPr>
          <w:rFonts w:ascii="Times" w:hAnsi="Times"/>
          <w:lang w:val="en-US"/>
        </w:rPr>
        <w:t>(6)</w:t>
      </w:r>
      <w:r w:rsidRPr="00E5792C">
        <w:rPr>
          <w:rFonts w:ascii="Times" w:hAnsi="Times"/>
          <w:lang w:val="en-US"/>
        </w:rPr>
        <w:t xml:space="preserve">:1347-54. </w:t>
      </w:r>
    </w:p>
    <w:p w14:paraId="1EB25A7F" w14:textId="746A7A7C" w:rsidR="00DD0705" w:rsidRPr="00E5792C" w:rsidRDefault="00DD0705" w:rsidP="00E5792C">
      <w:pPr>
        <w:spacing w:line="480" w:lineRule="auto"/>
        <w:jc w:val="both"/>
        <w:rPr>
          <w:rFonts w:ascii="Times" w:hAnsi="Times"/>
          <w:lang w:val="en-US"/>
        </w:rPr>
      </w:pPr>
      <w:r w:rsidRPr="00E5792C">
        <w:rPr>
          <w:rFonts w:ascii="Times" w:hAnsi="Times"/>
          <w:b/>
        </w:rPr>
        <w:t>2</w:t>
      </w:r>
      <w:r w:rsidR="00D954C2" w:rsidRPr="00E5792C">
        <w:rPr>
          <w:rFonts w:ascii="Times" w:hAnsi="Times"/>
          <w:b/>
        </w:rPr>
        <w:t>3</w:t>
      </w:r>
      <w:r w:rsidRPr="00E5792C">
        <w:rPr>
          <w:rFonts w:ascii="Times" w:hAnsi="Times"/>
          <w:b/>
        </w:rPr>
        <w:t xml:space="preserve">. </w:t>
      </w:r>
      <w:r w:rsidRPr="00E5792C">
        <w:rPr>
          <w:rFonts w:ascii="Times" w:hAnsi="Times"/>
        </w:rPr>
        <w:t xml:space="preserve">Filippetti L, Mandry D, Venner C, et al. </w:t>
      </w:r>
      <w:r w:rsidRPr="00E5792C">
        <w:rPr>
          <w:rFonts w:ascii="Times" w:hAnsi="Times"/>
          <w:lang w:val="en-US"/>
        </w:rPr>
        <w:t xml:space="preserve">Long-Term Outcome of Patients With Low/Intermediate Risk Myocarditis Is Related to the Presence of Left Ventricular Remodeling in Addition to the MRI Pattern of Delayed Gadolinium Enhancement. </w:t>
      </w:r>
      <w:r w:rsidRPr="00E5792C">
        <w:rPr>
          <w:rFonts w:ascii="Times" w:hAnsi="Times"/>
          <w:bCs/>
          <w:i/>
          <w:iCs/>
          <w:noProof/>
          <w:lang w:val="en-US"/>
        </w:rPr>
        <w:t>J</w:t>
      </w:r>
      <w:r w:rsidR="009F6B6E" w:rsidRPr="00E5792C">
        <w:rPr>
          <w:rFonts w:ascii="Times" w:hAnsi="Times"/>
          <w:bCs/>
          <w:i/>
          <w:iCs/>
          <w:noProof/>
          <w:lang w:val="en-US"/>
        </w:rPr>
        <w:t>ACC Cardiovasc Imaging</w:t>
      </w:r>
      <w:r w:rsidR="002A23BA" w:rsidRPr="00E5792C">
        <w:rPr>
          <w:rFonts w:ascii="Times" w:hAnsi="Times"/>
          <w:bCs/>
          <w:noProof/>
          <w:lang w:val="en-US"/>
        </w:rPr>
        <w:t>.</w:t>
      </w:r>
      <w:r w:rsidRPr="00E5792C">
        <w:rPr>
          <w:rFonts w:ascii="Times" w:hAnsi="Times"/>
          <w:bCs/>
          <w:noProof/>
          <w:lang w:val="en-US"/>
        </w:rPr>
        <w:t xml:space="preserve"> </w:t>
      </w:r>
      <w:r w:rsidRPr="00E5792C">
        <w:rPr>
          <w:rFonts w:ascii="Times" w:hAnsi="Times"/>
          <w:lang w:val="en-US"/>
        </w:rPr>
        <w:t>2018;11</w:t>
      </w:r>
      <w:r w:rsidR="009F6B6E" w:rsidRPr="00E5792C">
        <w:rPr>
          <w:rFonts w:ascii="Times" w:hAnsi="Times"/>
          <w:lang w:val="en-US"/>
        </w:rPr>
        <w:t>(9)</w:t>
      </w:r>
      <w:r w:rsidRPr="00E5792C">
        <w:rPr>
          <w:rFonts w:ascii="Times" w:hAnsi="Times"/>
          <w:lang w:val="en-US"/>
        </w:rPr>
        <w:t>:1367-1369.</w:t>
      </w:r>
    </w:p>
    <w:p w14:paraId="3B468810" w14:textId="6546E410" w:rsidR="00DD0705" w:rsidRPr="00E5792C" w:rsidRDefault="00DD0705" w:rsidP="00E5792C">
      <w:pPr>
        <w:spacing w:line="480" w:lineRule="auto"/>
        <w:jc w:val="both"/>
        <w:rPr>
          <w:rFonts w:ascii="Times" w:hAnsi="Times"/>
          <w:lang w:val="en-US"/>
        </w:rPr>
      </w:pPr>
      <w:r w:rsidRPr="00E5792C">
        <w:rPr>
          <w:rFonts w:ascii="Times" w:hAnsi="Times"/>
          <w:b/>
          <w:lang w:val="en-US"/>
        </w:rPr>
        <w:t>2</w:t>
      </w:r>
      <w:r w:rsidR="00D954C2" w:rsidRPr="00E5792C">
        <w:rPr>
          <w:rFonts w:ascii="Times" w:hAnsi="Times"/>
          <w:b/>
          <w:lang w:val="en-US"/>
        </w:rPr>
        <w:t>4</w:t>
      </w:r>
      <w:r w:rsidRPr="00E5792C">
        <w:rPr>
          <w:rFonts w:ascii="Times" w:hAnsi="Times"/>
          <w:b/>
          <w:lang w:val="en-US"/>
        </w:rPr>
        <w:t xml:space="preserve">. </w:t>
      </w:r>
      <w:r w:rsidRPr="00E5792C">
        <w:rPr>
          <w:rFonts w:ascii="Times" w:hAnsi="Times"/>
          <w:lang w:val="en-US"/>
        </w:rPr>
        <w:t xml:space="preserve">Cerqueira MD, Weissman NJ, Dilsizian V, et al. Standardized myocardial segmentation and nomenclature for tomographic imaging of the heart. A statement for healthcare professionals from the Cardiac Imaging Committee of the Council on Clinical Cardiology of the American Heart Association. </w:t>
      </w:r>
      <w:r w:rsidRPr="00E5792C">
        <w:rPr>
          <w:rFonts w:ascii="Times" w:hAnsi="Times"/>
          <w:i/>
          <w:iCs/>
          <w:lang w:val="en-US"/>
        </w:rPr>
        <w:t>Circulation</w:t>
      </w:r>
      <w:r w:rsidR="002A23BA" w:rsidRPr="00E5792C">
        <w:rPr>
          <w:rFonts w:ascii="Times" w:hAnsi="Times"/>
          <w:lang w:val="en-US"/>
        </w:rPr>
        <w:t>.</w:t>
      </w:r>
      <w:r w:rsidRPr="00E5792C">
        <w:rPr>
          <w:rFonts w:ascii="Times" w:hAnsi="Times"/>
          <w:lang w:val="en-US"/>
        </w:rPr>
        <w:t xml:space="preserve"> 2002;</w:t>
      </w:r>
      <w:r w:rsidR="009F6B6E" w:rsidRPr="00E5792C">
        <w:rPr>
          <w:rFonts w:ascii="Times" w:hAnsi="Times"/>
          <w:lang w:val="en-US"/>
        </w:rPr>
        <w:t>18(1)</w:t>
      </w:r>
      <w:r w:rsidRPr="00E5792C">
        <w:rPr>
          <w:rFonts w:ascii="Times" w:hAnsi="Times"/>
          <w:lang w:val="en-US"/>
        </w:rPr>
        <w:t>:539-42</w:t>
      </w:r>
    </w:p>
    <w:p w14:paraId="1BDEA40F" w14:textId="7FE1AAB5" w:rsidR="00DD0705" w:rsidRPr="00E5792C" w:rsidRDefault="00DD0705" w:rsidP="00E5792C">
      <w:pPr>
        <w:spacing w:line="480" w:lineRule="auto"/>
        <w:jc w:val="both"/>
        <w:rPr>
          <w:rFonts w:ascii="Times" w:hAnsi="Times"/>
          <w:b/>
          <w:lang w:val="en-US"/>
        </w:rPr>
      </w:pPr>
      <w:r w:rsidRPr="00E5792C">
        <w:rPr>
          <w:rFonts w:ascii="Times" w:hAnsi="Times"/>
          <w:b/>
          <w:lang w:val="en-US"/>
        </w:rPr>
        <w:t>2</w:t>
      </w:r>
      <w:r w:rsidR="00D55499" w:rsidRPr="00E5792C">
        <w:rPr>
          <w:rFonts w:ascii="Times" w:hAnsi="Times"/>
          <w:b/>
          <w:lang w:val="en-US"/>
        </w:rPr>
        <w:t>5</w:t>
      </w:r>
      <w:r w:rsidRPr="00E5792C">
        <w:rPr>
          <w:rFonts w:ascii="Times" w:hAnsi="Times"/>
          <w:b/>
          <w:lang w:val="en-US"/>
        </w:rPr>
        <w:t xml:space="preserve">. </w:t>
      </w:r>
      <w:r w:rsidRPr="00E5792C">
        <w:rPr>
          <w:rFonts w:ascii="Times" w:hAnsi="Times"/>
          <w:lang w:val="en-US"/>
        </w:rPr>
        <w:t xml:space="preserve">Stroup DF, Berlin JA, Morton SC, et al. Meta-analysis of observational studies in epidemiology: a proposal for reporting. Meta-analysis Of Observational Studies in Epidemiology (MOOSE) group. </w:t>
      </w:r>
      <w:r w:rsidRPr="00E5792C">
        <w:rPr>
          <w:rFonts w:ascii="Times" w:hAnsi="Times"/>
          <w:i/>
          <w:iCs/>
          <w:lang w:val="en-US"/>
        </w:rPr>
        <w:t>JAMA</w:t>
      </w:r>
      <w:r w:rsidR="002A23BA" w:rsidRPr="00E5792C">
        <w:rPr>
          <w:rFonts w:ascii="Times" w:hAnsi="Times"/>
          <w:lang w:val="en-US"/>
        </w:rPr>
        <w:t>.</w:t>
      </w:r>
      <w:r w:rsidRPr="00E5792C">
        <w:rPr>
          <w:rFonts w:ascii="Times" w:hAnsi="Times"/>
          <w:lang w:val="en-US"/>
        </w:rPr>
        <w:t xml:space="preserve"> 2000;283</w:t>
      </w:r>
      <w:r w:rsidR="002A23BA" w:rsidRPr="00E5792C">
        <w:rPr>
          <w:rFonts w:ascii="Times" w:hAnsi="Times"/>
          <w:lang w:val="en-US"/>
        </w:rPr>
        <w:t>(15)</w:t>
      </w:r>
      <w:r w:rsidRPr="00E5792C">
        <w:rPr>
          <w:rFonts w:ascii="Times" w:hAnsi="Times"/>
          <w:lang w:val="en-US"/>
        </w:rPr>
        <w:t>:2008-12.</w:t>
      </w:r>
    </w:p>
    <w:p w14:paraId="4748898C" w14:textId="276C3E9D" w:rsidR="00DD0705" w:rsidRPr="00E5792C" w:rsidRDefault="00DD0705" w:rsidP="00E5792C">
      <w:pPr>
        <w:spacing w:line="480" w:lineRule="auto"/>
        <w:jc w:val="both"/>
        <w:rPr>
          <w:rFonts w:ascii="Times" w:hAnsi="Times"/>
          <w:b/>
          <w:lang w:val="en-US"/>
        </w:rPr>
      </w:pPr>
      <w:r w:rsidRPr="00E5792C">
        <w:rPr>
          <w:rFonts w:ascii="Times" w:hAnsi="Times"/>
          <w:b/>
          <w:lang w:val="en-US"/>
        </w:rPr>
        <w:t>2</w:t>
      </w:r>
      <w:r w:rsidR="00D55499" w:rsidRPr="00E5792C">
        <w:rPr>
          <w:rFonts w:ascii="Times" w:hAnsi="Times"/>
          <w:b/>
          <w:lang w:val="en-US"/>
        </w:rPr>
        <w:t>6</w:t>
      </w:r>
      <w:r w:rsidRPr="00E5792C">
        <w:rPr>
          <w:rFonts w:ascii="Times" w:hAnsi="Times"/>
          <w:b/>
          <w:lang w:val="en-US"/>
        </w:rPr>
        <w:t xml:space="preserve">. </w:t>
      </w:r>
      <w:r w:rsidRPr="00E5792C">
        <w:rPr>
          <w:rFonts w:ascii="Times" w:hAnsi="Times"/>
          <w:bCs/>
          <w:lang w:val="en-US"/>
        </w:rPr>
        <w:t xml:space="preserve">Stang A. Critical evaluation of the Newcastle-Ottawa scale for the assessment of the quality of nonrandomized studies in meta-analyses. </w:t>
      </w:r>
      <w:r w:rsidRPr="00E5792C">
        <w:rPr>
          <w:rFonts w:ascii="Times" w:hAnsi="Times"/>
          <w:bCs/>
          <w:i/>
          <w:iCs/>
          <w:lang w:val="en-US"/>
        </w:rPr>
        <w:t>Eur J Epidemiol</w:t>
      </w:r>
      <w:r w:rsidR="002A23BA" w:rsidRPr="00E5792C">
        <w:rPr>
          <w:rFonts w:ascii="Times" w:hAnsi="Times"/>
          <w:bCs/>
          <w:lang w:val="en-US"/>
        </w:rPr>
        <w:t>.</w:t>
      </w:r>
      <w:r w:rsidRPr="00E5792C">
        <w:rPr>
          <w:rFonts w:ascii="Times" w:hAnsi="Times"/>
          <w:bCs/>
          <w:lang w:val="en-US"/>
        </w:rPr>
        <w:t xml:space="preserve"> 2010;25</w:t>
      </w:r>
      <w:r w:rsidR="002A23BA" w:rsidRPr="00E5792C">
        <w:rPr>
          <w:rFonts w:ascii="Times" w:hAnsi="Times"/>
          <w:bCs/>
          <w:lang w:val="en-US"/>
        </w:rPr>
        <w:t>(9)</w:t>
      </w:r>
      <w:r w:rsidRPr="00E5792C">
        <w:rPr>
          <w:rFonts w:ascii="Times" w:hAnsi="Times"/>
          <w:bCs/>
          <w:lang w:val="en-US"/>
        </w:rPr>
        <w:t>:603-5.</w:t>
      </w:r>
      <w:r w:rsidRPr="00E5792C">
        <w:rPr>
          <w:rFonts w:ascii="Times" w:hAnsi="Times"/>
          <w:b/>
          <w:lang w:val="en-US"/>
        </w:rPr>
        <w:t xml:space="preserve"> </w:t>
      </w:r>
    </w:p>
    <w:p w14:paraId="4E05D969" w14:textId="77777777" w:rsidR="00F72CDF" w:rsidRPr="00E5792C" w:rsidRDefault="00F72CDF" w:rsidP="00E5792C">
      <w:pPr>
        <w:spacing w:line="480" w:lineRule="auto"/>
        <w:jc w:val="both"/>
        <w:rPr>
          <w:rFonts w:ascii="Times" w:hAnsi="Times"/>
          <w:b/>
          <w:lang w:val="en-US"/>
        </w:rPr>
      </w:pPr>
    </w:p>
    <w:p w14:paraId="6069CF93" w14:textId="77777777" w:rsidR="00F72CDF" w:rsidRPr="00E5792C" w:rsidRDefault="00F72CDF" w:rsidP="00E5792C">
      <w:pPr>
        <w:spacing w:line="480" w:lineRule="auto"/>
        <w:jc w:val="both"/>
        <w:rPr>
          <w:rFonts w:ascii="Times" w:hAnsi="Times"/>
          <w:b/>
          <w:lang w:val="en-US"/>
        </w:rPr>
      </w:pPr>
    </w:p>
    <w:p w14:paraId="07FA6B0F" w14:textId="28497559" w:rsidR="00F72CDF" w:rsidRPr="00E5792C" w:rsidRDefault="00F72CDF" w:rsidP="00E5792C">
      <w:pPr>
        <w:spacing w:line="480" w:lineRule="auto"/>
        <w:jc w:val="both"/>
        <w:rPr>
          <w:rFonts w:ascii="Times" w:hAnsi="Times"/>
          <w:bCs/>
          <w:lang w:val="en-US"/>
        </w:rPr>
      </w:pPr>
      <w:r w:rsidRPr="00E5792C">
        <w:rPr>
          <w:rFonts w:ascii="Times" w:hAnsi="Times"/>
          <w:b/>
          <w:lang w:val="en-US"/>
        </w:rPr>
        <w:lastRenderedPageBreak/>
        <w:t xml:space="preserve">27. </w:t>
      </w:r>
      <w:r w:rsidRPr="00E5792C">
        <w:rPr>
          <w:rFonts w:ascii="Times" w:hAnsi="Times"/>
          <w:bCs/>
          <w:lang w:val="en-US"/>
        </w:rPr>
        <w:t xml:space="preserve">Guyatt GH, Oxman AD, Vist GE, et al. GRADE: an emerging consensus on rating quality of evidence and strength of recommendations. </w:t>
      </w:r>
      <w:r w:rsidRPr="00E5792C">
        <w:rPr>
          <w:rFonts w:ascii="Times" w:hAnsi="Times"/>
          <w:bCs/>
          <w:i/>
          <w:iCs/>
          <w:lang w:val="en-US"/>
        </w:rPr>
        <w:t>BMJ.</w:t>
      </w:r>
      <w:r w:rsidRPr="00E5792C">
        <w:rPr>
          <w:rFonts w:ascii="Times" w:hAnsi="Times"/>
          <w:bCs/>
          <w:lang w:val="en-US"/>
        </w:rPr>
        <w:t xml:space="preserve"> 2008 Apr 26;336(7650):924-6. doi: 10.1136/bmj.39489.470347.AD. PMID: 18436948; PMCID: PMC2335261.</w:t>
      </w:r>
    </w:p>
    <w:p w14:paraId="3E4BDB0E" w14:textId="3805A656" w:rsidR="00F72CDF" w:rsidRPr="00E5792C" w:rsidRDefault="00F72CDF" w:rsidP="00E5792C">
      <w:pPr>
        <w:spacing w:line="480" w:lineRule="auto"/>
        <w:jc w:val="both"/>
        <w:rPr>
          <w:rFonts w:ascii="Times" w:hAnsi="Times"/>
          <w:bCs/>
          <w:lang w:val="en-US"/>
        </w:rPr>
      </w:pPr>
      <w:r w:rsidRPr="00E5792C">
        <w:rPr>
          <w:rFonts w:ascii="Times" w:hAnsi="Times"/>
          <w:b/>
          <w:lang w:val="en-US"/>
        </w:rPr>
        <w:t xml:space="preserve">28. </w:t>
      </w:r>
      <w:r w:rsidRPr="00E5792C">
        <w:rPr>
          <w:rFonts w:ascii="Times" w:hAnsi="Times"/>
          <w:bCs/>
          <w:lang w:val="en-US"/>
        </w:rPr>
        <w:t xml:space="preserve">Guyatt GH, Oxman AD, Kunz R, et al. GRADE guidelines 6. Rating the quality of evidence--imprecision. </w:t>
      </w:r>
      <w:r w:rsidRPr="00E5792C">
        <w:rPr>
          <w:rFonts w:ascii="Times" w:hAnsi="Times"/>
          <w:bCs/>
          <w:i/>
          <w:iCs/>
          <w:lang w:val="en-US"/>
        </w:rPr>
        <w:t>J Clin Epidemiol.</w:t>
      </w:r>
      <w:r w:rsidRPr="00E5792C">
        <w:rPr>
          <w:rFonts w:ascii="Times" w:hAnsi="Times"/>
          <w:bCs/>
          <w:lang w:val="en-US"/>
        </w:rPr>
        <w:t xml:space="preserve"> 2011;64(12):1283-93. doi: 10.1016/j.jclinepi.2011.01.012. Epub 2011 Aug 11. PMID: 21839614.</w:t>
      </w:r>
    </w:p>
    <w:p w14:paraId="4BCAF3DA" w14:textId="3DF647CA" w:rsidR="00F72CDF" w:rsidRPr="00E5792C" w:rsidRDefault="00F72CDF" w:rsidP="00E5792C">
      <w:pPr>
        <w:spacing w:line="480" w:lineRule="auto"/>
        <w:jc w:val="both"/>
        <w:rPr>
          <w:rFonts w:ascii="Times" w:hAnsi="Times"/>
          <w:bCs/>
          <w:lang w:val="en-US"/>
        </w:rPr>
      </w:pPr>
      <w:r w:rsidRPr="00E5792C">
        <w:rPr>
          <w:rFonts w:ascii="Times" w:hAnsi="Times"/>
          <w:b/>
          <w:lang w:val="en-US"/>
        </w:rPr>
        <w:t xml:space="preserve">29. </w:t>
      </w:r>
      <w:r w:rsidRPr="00E5792C">
        <w:rPr>
          <w:rFonts w:ascii="Times" w:hAnsi="Times"/>
          <w:bCs/>
          <w:lang w:val="en-US"/>
        </w:rPr>
        <w:t>Altman DG, Bland JM. How to obtain the confidence interval from a P value</w:t>
      </w:r>
      <w:r w:rsidR="007638C2" w:rsidRPr="00E5792C">
        <w:rPr>
          <w:rFonts w:ascii="Times" w:hAnsi="Times"/>
          <w:bCs/>
          <w:lang w:val="en-US"/>
        </w:rPr>
        <w:t>.</w:t>
      </w:r>
      <w:r w:rsidRPr="00E5792C">
        <w:rPr>
          <w:rFonts w:ascii="Times" w:hAnsi="Times"/>
          <w:bCs/>
          <w:lang w:val="en-US"/>
        </w:rPr>
        <w:t xml:space="preserve"> </w:t>
      </w:r>
      <w:r w:rsidRPr="00E5792C">
        <w:rPr>
          <w:rFonts w:ascii="Times" w:hAnsi="Times"/>
          <w:bCs/>
          <w:i/>
          <w:iCs/>
          <w:lang w:val="en-US"/>
        </w:rPr>
        <w:t>BMJ</w:t>
      </w:r>
      <w:r w:rsidR="007638C2" w:rsidRPr="00E5792C">
        <w:rPr>
          <w:rFonts w:ascii="Times" w:hAnsi="Times"/>
          <w:bCs/>
          <w:i/>
          <w:iCs/>
          <w:lang w:val="en-US"/>
        </w:rPr>
        <w:t>.</w:t>
      </w:r>
      <w:r w:rsidRPr="00E5792C">
        <w:rPr>
          <w:rFonts w:ascii="Times" w:hAnsi="Times"/>
          <w:bCs/>
          <w:lang w:val="en-US"/>
        </w:rPr>
        <w:t xml:space="preserve"> 2011; 343 :d2090.</w:t>
      </w:r>
    </w:p>
    <w:p w14:paraId="54EAC290" w14:textId="5D01515C" w:rsidR="00F72CDF" w:rsidRPr="00E5792C" w:rsidRDefault="00F72CDF" w:rsidP="00E5792C">
      <w:pPr>
        <w:spacing w:line="480" w:lineRule="auto"/>
        <w:jc w:val="both"/>
        <w:rPr>
          <w:rFonts w:ascii="Times" w:hAnsi="Times"/>
          <w:bCs/>
          <w:lang w:val="en-US"/>
        </w:rPr>
      </w:pPr>
      <w:r w:rsidRPr="00E5792C">
        <w:rPr>
          <w:rFonts w:ascii="Times" w:hAnsi="Times"/>
          <w:b/>
          <w:lang w:val="en-US"/>
        </w:rPr>
        <w:t xml:space="preserve">30. </w:t>
      </w:r>
      <w:r w:rsidR="007638C2" w:rsidRPr="00E5792C">
        <w:rPr>
          <w:rFonts w:ascii="Times" w:hAnsi="Times"/>
          <w:bCs/>
          <w:lang w:val="en-US"/>
        </w:rPr>
        <w:t xml:space="preserve">Tierney JF, Stewart LA, Ghersi D, Burdett S, Sydes MR. Practical methods for incorporating summary time-to-event data into meta-analysis. </w:t>
      </w:r>
      <w:r w:rsidR="007638C2" w:rsidRPr="00E5792C">
        <w:rPr>
          <w:rFonts w:ascii="Times" w:hAnsi="Times"/>
          <w:bCs/>
          <w:i/>
          <w:iCs/>
          <w:lang w:val="en-US"/>
        </w:rPr>
        <w:t>Trials.</w:t>
      </w:r>
      <w:r w:rsidR="007638C2" w:rsidRPr="00E5792C">
        <w:rPr>
          <w:rFonts w:ascii="Times" w:hAnsi="Times"/>
          <w:bCs/>
          <w:lang w:val="en-US"/>
        </w:rPr>
        <w:t xml:space="preserve"> 2007 Jun 7;8:16. doi: 10.1186/1745-6215-8-16. PMID: 17555582; PMCID: PMC1920534.</w:t>
      </w:r>
    </w:p>
    <w:p w14:paraId="169B3102" w14:textId="0F6AB16D" w:rsidR="00C074DF" w:rsidRPr="00E5792C" w:rsidRDefault="00C074DF" w:rsidP="00E5792C">
      <w:pPr>
        <w:spacing w:line="480" w:lineRule="auto"/>
        <w:jc w:val="both"/>
        <w:rPr>
          <w:rFonts w:ascii="Times" w:hAnsi="Times"/>
          <w:b/>
        </w:rPr>
      </w:pPr>
      <w:r w:rsidRPr="00E5792C">
        <w:rPr>
          <w:rFonts w:ascii="Times" w:hAnsi="Times"/>
          <w:b/>
          <w:lang w:val="en-US"/>
        </w:rPr>
        <w:t xml:space="preserve">31. </w:t>
      </w:r>
      <w:r w:rsidRPr="00E5792C">
        <w:rPr>
          <w:rFonts w:ascii="Times" w:hAnsi="Times"/>
          <w:bCs/>
          <w:lang w:val="en-US"/>
        </w:rPr>
        <w:t xml:space="preserve">Nurminen, M. To use or not to use the odds ratio in epidemiologic analyses?. </w:t>
      </w:r>
      <w:r w:rsidRPr="00E5792C">
        <w:rPr>
          <w:rFonts w:ascii="Times" w:hAnsi="Times"/>
          <w:bCs/>
          <w:i/>
          <w:iCs/>
        </w:rPr>
        <w:t>Eur J Epidemiol.</w:t>
      </w:r>
      <w:r w:rsidRPr="00E5792C">
        <w:rPr>
          <w:rFonts w:ascii="Times" w:hAnsi="Times"/>
          <w:bCs/>
        </w:rPr>
        <w:t xml:space="preserve"> 11, 365–371 (1995). </w:t>
      </w:r>
      <w:hyperlink r:id="rId11" w:history="1">
        <w:r w:rsidRPr="00E5792C">
          <w:rPr>
            <w:rStyle w:val="Hyperlink"/>
            <w:rFonts w:ascii="Times" w:hAnsi="Times"/>
            <w:bCs/>
          </w:rPr>
          <w:t>https://doi.org/10.1007/BF01721219</w:t>
        </w:r>
      </w:hyperlink>
      <w:r w:rsidRPr="00E5792C">
        <w:rPr>
          <w:rFonts w:ascii="Times" w:hAnsi="Times"/>
          <w:b/>
        </w:rPr>
        <w:t>.</w:t>
      </w:r>
    </w:p>
    <w:p w14:paraId="3C84DDFF" w14:textId="54CEA97A" w:rsidR="00F72CDF" w:rsidRPr="00E5792C" w:rsidRDefault="00C074DF" w:rsidP="00E5792C">
      <w:pPr>
        <w:spacing w:line="480" w:lineRule="auto"/>
        <w:jc w:val="both"/>
        <w:rPr>
          <w:rFonts w:ascii="Times" w:hAnsi="Times"/>
          <w:b/>
          <w:lang w:val="en-US"/>
        </w:rPr>
      </w:pPr>
      <w:r w:rsidRPr="00E5792C">
        <w:rPr>
          <w:rFonts w:ascii="Times" w:hAnsi="Times"/>
          <w:b/>
        </w:rPr>
        <w:t xml:space="preserve">32. </w:t>
      </w:r>
      <w:r w:rsidRPr="00E5792C">
        <w:rPr>
          <w:rFonts w:ascii="Times" w:hAnsi="Times"/>
          <w:bCs/>
        </w:rPr>
        <w:t xml:space="preserve">Figliozzi S, Masci PG, Ahmadi N, et al. </w:t>
      </w:r>
      <w:r w:rsidRPr="00E5792C">
        <w:rPr>
          <w:rFonts w:ascii="Times" w:hAnsi="Times"/>
          <w:bCs/>
          <w:lang w:val="en-US"/>
        </w:rPr>
        <w:t xml:space="preserve">Predictors of adverse prognosis in COVID-19: A systematic review and meta-analysis. </w:t>
      </w:r>
      <w:r w:rsidRPr="00E5792C">
        <w:rPr>
          <w:rFonts w:ascii="Times" w:hAnsi="Times"/>
          <w:bCs/>
          <w:i/>
          <w:iCs/>
          <w:lang w:val="en-US"/>
        </w:rPr>
        <w:t>Eur J Clin Invest</w:t>
      </w:r>
      <w:r w:rsidRPr="00E5792C">
        <w:rPr>
          <w:rFonts w:ascii="Times" w:hAnsi="Times"/>
          <w:bCs/>
          <w:lang w:val="en-US"/>
        </w:rPr>
        <w:t>. 2020 Jul 29:e13362. doi: 10.1111/eci.13362. Epub ahead of print. PMID: 32726868.</w:t>
      </w:r>
    </w:p>
    <w:p w14:paraId="6CC8905D" w14:textId="617485EA" w:rsidR="00BB043D" w:rsidRPr="00E5792C" w:rsidRDefault="000F5295" w:rsidP="00E5792C">
      <w:pPr>
        <w:spacing w:line="480" w:lineRule="auto"/>
        <w:jc w:val="both"/>
        <w:rPr>
          <w:rFonts w:ascii="Times" w:hAnsi="Times"/>
          <w:b/>
          <w:lang w:val="en-US"/>
        </w:rPr>
      </w:pPr>
      <w:r w:rsidRPr="00E5792C">
        <w:rPr>
          <w:rFonts w:ascii="Times" w:hAnsi="Times"/>
          <w:b/>
          <w:lang w:val="en-US"/>
        </w:rPr>
        <w:t>33</w:t>
      </w:r>
      <w:r w:rsidR="00DD0705" w:rsidRPr="00E5792C">
        <w:rPr>
          <w:rFonts w:ascii="Times" w:hAnsi="Times"/>
          <w:b/>
          <w:lang w:val="en-US"/>
        </w:rPr>
        <w:t xml:space="preserve">. </w:t>
      </w:r>
      <w:r w:rsidR="00BB043D" w:rsidRPr="00E5792C">
        <w:rPr>
          <w:rFonts w:ascii="Times" w:hAnsi="Times"/>
          <w:bCs/>
          <w:lang w:val="en-US"/>
        </w:rPr>
        <w:t xml:space="preserve">Riley RD, Higgins JP, Deeks JJ. Interpretation of random effects meta-analyses. </w:t>
      </w:r>
      <w:r w:rsidR="00BB043D" w:rsidRPr="00E5792C">
        <w:rPr>
          <w:rFonts w:ascii="Times" w:hAnsi="Times"/>
          <w:bCs/>
          <w:i/>
          <w:iCs/>
          <w:lang w:val="en-US"/>
        </w:rPr>
        <w:t>BMJ</w:t>
      </w:r>
      <w:r w:rsidR="002A23BA" w:rsidRPr="00E5792C">
        <w:rPr>
          <w:rFonts w:ascii="Times" w:hAnsi="Times"/>
          <w:bCs/>
          <w:lang w:val="en-US"/>
        </w:rPr>
        <w:t>.</w:t>
      </w:r>
      <w:r w:rsidR="00BB043D" w:rsidRPr="00E5792C">
        <w:rPr>
          <w:rFonts w:ascii="Times" w:hAnsi="Times"/>
          <w:bCs/>
          <w:lang w:val="en-US"/>
        </w:rPr>
        <w:t xml:space="preserve"> 2011;342:d549.</w:t>
      </w:r>
    </w:p>
    <w:p w14:paraId="702E03FF" w14:textId="29A6F05A" w:rsidR="00BB043D" w:rsidRPr="00E5792C" w:rsidRDefault="000F5295" w:rsidP="00E5792C">
      <w:pPr>
        <w:spacing w:line="480" w:lineRule="auto"/>
        <w:jc w:val="both"/>
        <w:rPr>
          <w:rFonts w:ascii="Times" w:eastAsia="MS Mincho" w:hAnsi="Times"/>
          <w:lang w:val="en-US"/>
        </w:rPr>
      </w:pPr>
      <w:r w:rsidRPr="00E5792C">
        <w:rPr>
          <w:rFonts w:ascii="Times" w:eastAsia="MS Mincho" w:hAnsi="Times"/>
          <w:b/>
          <w:bCs/>
          <w:lang w:val="en-US"/>
        </w:rPr>
        <w:t>34</w:t>
      </w:r>
      <w:r w:rsidR="00DD0705" w:rsidRPr="00E5792C">
        <w:rPr>
          <w:rFonts w:ascii="Times" w:eastAsia="MS Mincho" w:hAnsi="Times"/>
          <w:b/>
          <w:bCs/>
          <w:lang w:val="en-US"/>
        </w:rPr>
        <w:t xml:space="preserve">. </w:t>
      </w:r>
      <w:r w:rsidR="00BB043D" w:rsidRPr="00E5792C">
        <w:rPr>
          <w:rFonts w:ascii="Times" w:eastAsia="MS Mincho" w:hAnsi="Times"/>
          <w:lang w:val="en-US"/>
        </w:rPr>
        <w:t xml:space="preserve">Mehlum MH, Liestøl K, Kjeldsen SE, et al. Blood pressure variability and risk of cardiovascular events and death in patients with hypertension and different baseline risks. </w:t>
      </w:r>
      <w:r w:rsidR="00BB043D" w:rsidRPr="00E5792C">
        <w:rPr>
          <w:rFonts w:ascii="Times" w:eastAsia="MS Mincho" w:hAnsi="Times"/>
          <w:i/>
          <w:iCs/>
          <w:lang w:val="en-US"/>
        </w:rPr>
        <w:t>Eur Heart</w:t>
      </w:r>
      <w:r w:rsidR="00BB043D" w:rsidRPr="00E5792C">
        <w:rPr>
          <w:rFonts w:ascii="Times" w:eastAsia="MS Mincho" w:hAnsi="Times"/>
          <w:lang w:val="en-US"/>
        </w:rPr>
        <w:t xml:space="preserve"> </w:t>
      </w:r>
      <w:r w:rsidR="00BB043D" w:rsidRPr="00E5792C">
        <w:rPr>
          <w:rFonts w:ascii="Times" w:eastAsia="MS Mincho" w:hAnsi="Times"/>
          <w:i/>
          <w:iCs/>
          <w:lang w:val="en-US"/>
        </w:rPr>
        <w:t>J</w:t>
      </w:r>
      <w:r w:rsidR="002A23BA" w:rsidRPr="00E5792C">
        <w:rPr>
          <w:rFonts w:ascii="Times" w:eastAsia="MS Mincho" w:hAnsi="Times"/>
          <w:lang w:val="en-US"/>
        </w:rPr>
        <w:t>.</w:t>
      </w:r>
      <w:r w:rsidR="00BB043D" w:rsidRPr="00E5792C">
        <w:rPr>
          <w:rFonts w:ascii="Times" w:eastAsia="MS Mincho" w:hAnsi="Times"/>
          <w:lang w:val="en-US"/>
        </w:rPr>
        <w:t xml:space="preserve"> 2018;39</w:t>
      </w:r>
      <w:r w:rsidR="002A23BA" w:rsidRPr="00E5792C">
        <w:rPr>
          <w:rFonts w:ascii="Times" w:eastAsia="MS Mincho" w:hAnsi="Times"/>
          <w:lang w:val="en-US"/>
        </w:rPr>
        <w:t>(24)</w:t>
      </w:r>
      <w:r w:rsidR="00BB043D" w:rsidRPr="00E5792C">
        <w:rPr>
          <w:rFonts w:ascii="Times" w:eastAsia="MS Mincho" w:hAnsi="Times"/>
          <w:lang w:val="en-US"/>
        </w:rPr>
        <w:t>:2243-2251.</w:t>
      </w:r>
    </w:p>
    <w:p w14:paraId="40FB5217" w14:textId="2D3E0B68" w:rsidR="00BB043D" w:rsidRPr="00E5792C" w:rsidRDefault="000F5295" w:rsidP="00E5792C">
      <w:pPr>
        <w:spacing w:line="480" w:lineRule="auto"/>
        <w:jc w:val="both"/>
        <w:rPr>
          <w:rFonts w:ascii="Times" w:hAnsi="Times"/>
          <w:lang w:val="en-US"/>
        </w:rPr>
      </w:pPr>
      <w:r w:rsidRPr="00E5792C">
        <w:rPr>
          <w:rFonts w:ascii="Times" w:hAnsi="Times"/>
          <w:b/>
          <w:bCs/>
          <w:lang w:val="en-US"/>
        </w:rPr>
        <w:t>35</w:t>
      </w:r>
      <w:r w:rsidR="00DD0705" w:rsidRPr="00E5792C">
        <w:rPr>
          <w:rFonts w:ascii="Times" w:hAnsi="Times"/>
          <w:b/>
          <w:bCs/>
          <w:lang w:val="en-US"/>
        </w:rPr>
        <w:t xml:space="preserve">. </w:t>
      </w:r>
      <w:r w:rsidR="00BB043D" w:rsidRPr="00E5792C">
        <w:rPr>
          <w:rFonts w:ascii="Times" w:hAnsi="Times"/>
          <w:lang w:val="en-US"/>
        </w:rPr>
        <w:t xml:space="preserve">Chiriacò M, Pateras K, Virdis A, et al. Association between blood pressure variability, cardiovascular disease and mortality in type 2 diabetes: A systematic review and meta-analysis. </w:t>
      </w:r>
      <w:r w:rsidR="00BB043D" w:rsidRPr="00E5792C">
        <w:rPr>
          <w:rFonts w:ascii="Times" w:hAnsi="Times"/>
          <w:i/>
          <w:iCs/>
          <w:lang w:val="en-US"/>
        </w:rPr>
        <w:t>Diabetes Obes Metab</w:t>
      </w:r>
      <w:r w:rsidR="00BB043D" w:rsidRPr="00E5792C">
        <w:rPr>
          <w:rFonts w:ascii="Times" w:hAnsi="Times"/>
          <w:lang w:val="en-US"/>
        </w:rPr>
        <w:t>. 2019;21</w:t>
      </w:r>
      <w:r w:rsidR="002A23BA" w:rsidRPr="00E5792C">
        <w:rPr>
          <w:rFonts w:ascii="Times" w:hAnsi="Times"/>
          <w:lang w:val="en-US"/>
        </w:rPr>
        <w:t>(12)</w:t>
      </w:r>
      <w:r w:rsidR="00BB043D" w:rsidRPr="00E5792C">
        <w:rPr>
          <w:rFonts w:ascii="Times" w:hAnsi="Times"/>
          <w:lang w:val="en-US"/>
        </w:rPr>
        <w:t>:2587-2598.</w:t>
      </w:r>
    </w:p>
    <w:p w14:paraId="01CCE593" w14:textId="0DEB3F68" w:rsidR="000F5295" w:rsidRPr="00E5792C" w:rsidRDefault="000F5295" w:rsidP="00E5792C">
      <w:pPr>
        <w:spacing w:line="480" w:lineRule="auto"/>
        <w:jc w:val="both"/>
        <w:rPr>
          <w:rFonts w:eastAsia="MS Mincho"/>
          <w:lang w:val="en-US"/>
        </w:rPr>
      </w:pPr>
      <w:bookmarkStart w:id="20" w:name="_Hlk52708828"/>
      <w:r w:rsidRPr="00E5792C">
        <w:rPr>
          <w:rFonts w:ascii="Times" w:hAnsi="Times"/>
          <w:b/>
          <w:bCs/>
          <w:lang w:val="en-US"/>
        </w:rPr>
        <w:t xml:space="preserve">36. </w:t>
      </w:r>
      <w:bookmarkStart w:id="21" w:name="_Hlk52712859"/>
      <w:r w:rsidRPr="00E5792C">
        <w:rPr>
          <w:rFonts w:eastAsia="MS Mincho"/>
          <w:lang w:val="en-US"/>
        </w:rPr>
        <w:t>IntHout J, Ioannidis JP, Borm GF</w:t>
      </w:r>
      <w:bookmarkEnd w:id="21"/>
      <w:r w:rsidRPr="00E5792C">
        <w:rPr>
          <w:rFonts w:eastAsia="MS Mincho"/>
          <w:lang w:val="en-US"/>
        </w:rPr>
        <w:t xml:space="preserve">. The Hartung-Knapp-Sidik-Jonkman method for random effects meta-analysis is straightforward and considerably outperforms the standard DerSimonian-Laird </w:t>
      </w:r>
      <w:r w:rsidRPr="00E5792C">
        <w:rPr>
          <w:rFonts w:eastAsia="MS Mincho"/>
          <w:lang w:val="en-US"/>
        </w:rPr>
        <w:lastRenderedPageBreak/>
        <w:t xml:space="preserve">method. </w:t>
      </w:r>
      <w:r w:rsidRPr="00E5792C">
        <w:rPr>
          <w:rFonts w:eastAsia="MS Mincho"/>
          <w:i/>
          <w:iCs/>
          <w:lang w:val="en-US"/>
        </w:rPr>
        <w:t>BMC Med Res Methodol.</w:t>
      </w:r>
      <w:r w:rsidRPr="00E5792C">
        <w:rPr>
          <w:rFonts w:eastAsia="MS Mincho"/>
          <w:lang w:val="en-US"/>
        </w:rPr>
        <w:t xml:space="preserve"> 2014 Feb 18;14:25. doi: 10.1186/1471-2288-14-25. PMID: 24548571; PMCID: PMC4015721.</w:t>
      </w:r>
    </w:p>
    <w:bookmarkEnd w:id="20"/>
    <w:p w14:paraId="180030C5" w14:textId="5F0BA391" w:rsidR="000F5295" w:rsidRPr="00E5792C" w:rsidRDefault="000F5295" w:rsidP="00E5792C">
      <w:pPr>
        <w:spacing w:line="480" w:lineRule="auto"/>
        <w:jc w:val="both"/>
        <w:rPr>
          <w:rFonts w:ascii="Times" w:hAnsi="Times"/>
          <w:b/>
          <w:bCs/>
          <w:lang w:val="en-US"/>
        </w:rPr>
      </w:pPr>
      <w:r w:rsidRPr="00E5792C">
        <w:rPr>
          <w:rFonts w:eastAsia="MS Mincho"/>
          <w:b/>
          <w:bCs/>
          <w:lang w:val="en-US"/>
        </w:rPr>
        <w:t xml:space="preserve">37. </w:t>
      </w:r>
      <w:r w:rsidRPr="00E5792C">
        <w:rPr>
          <w:rFonts w:eastAsia="MS Mincho"/>
          <w:lang w:val="en-US"/>
        </w:rPr>
        <w:t xml:space="preserve">Pateras K, Nikolakopoulos S, Roes K. Data-generating models of dichotomous outcomes: Heterogeneity in simulation studies for a random-effects meta-analysis. </w:t>
      </w:r>
      <w:r w:rsidRPr="00E5792C">
        <w:rPr>
          <w:rFonts w:eastAsia="MS Mincho"/>
          <w:i/>
          <w:iCs/>
          <w:lang w:val="en-US"/>
        </w:rPr>
        <w:t>Stat Med</w:t>
      </w:r>
      <w:r w:rsidRPr="00E5792C">
        <w:rPr>
          <w:rFonts w:eastAsia="MS Mincho"/>
          <w:lang w:val="en-US"/>
        </w:rPr>
        <w:t>. 2018;37(7):1115-1124. doi: 10.1002/sim.7569. Epub 2017 Dec 11. PMID: 29230852.</w:t>
      </w:r>
    </w:p>
    <w:p w14:paraId="195EE7EB" w14:textId="57798404" w:rsidR="00BB043D" w:rsidRPr="00E5792C" w:rsidRDefault="000F5295" w:rsidP="00E5792C">
      <w:pPr>
        <w:spacing w:line="480" w:lineRule="auto"/>
        <w:jc w:val="both"/>
        <w:rPr>
          <w:rFonts w:ascii="Times" w:hAnsi="Times"/>
          <w:lang w:val="en-US"/>
        </w:rPr>
      </w:pPr>
      <w:r w:rsidRPr="00E5792C">
        <w:rPr>
          <w:rFonts w:ascii="Times" w:hAnsi="Times"/>
          <w:b/>
          <w:bCs/>
          <w:lang w:val="en-US"/>
        </w:rPr>
        <w:t>38</w:t>
      </w:r>
      <w:r w:rsidR="00DD0705" w:rsidRPr="00E5792C">
        <w:rPr>
          <w:rFonts w:ascii="Times" w:hAnsi="Times"/>
          <w:b/>
          <w:bCs/>
          <w:lang w:val="en-US"/>
        </w:rPr>
        <w:t>.</w:t>
      </w:r>
      <w:r w:rsidR="00DD0705" w:rsidRPr="00E5792C">
        <w:rPr>
          <w:rFonts w:ascii="Times" w:hAnsi="Times"/>
          <w:lang w:val="en-US"/>
        </w:rPr>
        <w:t xml:space="preserve"> </w:t>
      </w:r>
      <w:r w:rsidR="00BB043D" w:rsidRPr="00E5792C">
        <w:rPr>
          <w:rFonts w:ascii="Times" w:hAnsi="Times"/>
          <w:lang w:val="en-US"/>
        </w:rPr>
        <w:t xml:space="preserve"> Heusch G, Libby P, Gersh B, et al. Cardiovascular remodelling in coronary artery disease and heart failure. </w:t>
      </w:r>
      <w:r w:rsidR="00BB043D" w:rsidRPr="00E5792C">
        <w:rPr>
          <w:rFonts w:ascii="Times" w:hAnsi="Times"/>
          <w:i/>
          <w:iCs/>
          <w:lang w:val="en-US"/>
        </w:rPr>
        <w:t>Lancet</w:t>
      </w:r>
      <w:r w:rsidR="002A23BA" w:rsidRPr="00E5792C">
        <w:rPr>
          <w:rFonts w:ascii="Times" w:hAnsi="Times"/>
          <w:lang w:val="en-US"/>
        </w:rPr>
        <w:t>.</w:t>
      </w:r>
      <w:r w:rsidR="00BB043D" w:rsidRPr="00E5792C">
        <w:rPr>
          <w:rFonts w:ascii="Times" w:hAnsi="Times"/>
          <w:lang w:val="en-US"/>
        </w:rPr>
        <w:t xml:space="preserve"> 2014;383</w:t>
      </w:r>
      <w:r w:rsidR="002A23BA" w:rsidRPr="00E5792C">
        <w:rPr>
          <w:rFonts w:ascii="Times" w:hAnsi="Times"/>
          <w:lang w:val="en-US"/>
        </w:rPr>
        <w:t>(9932)</w:t>
      </w:r>
      <w:r w:rsidR="00BB043D" w:rsidRPr="00E5792C">
        <w:rPr>
          <w:rFonts w:ascii="Times" w:hAnsi="Times"/>
          <w:lang w:val="en-US"/>
        </w:rPr>
        <w:t>:1933-43.</w:t>
      </w:r>
    </w:p>
    <w:p w14:paraId="21D17B01" w14:textId="322ED52E" w:rsidR="00C71E53" w:rsidRPr="00E5792C" w:rsidRDefault="000F5295" w:rsidP="00E5792C">
      <w:pPr>
        <w:spacing w:line="480" w:lineRule="auto"/>
        <w:jc w:val="both"/>
        <w:rPr>
          <w:rFonts w:ascii="Times" w:hAnsi="Times"/>
        </w:rPr>
      </w:pPr>
      <w:r w:rsidRPr="00E5792C">
        <w:rPr>
          <w:rFonts w:ascii="Times" w:hAnsi="Times"/>
          <w:b/>
          <w:bCs/>
          <w:lang w:val="en-US"/>
        </w:rPr>
        <w:t>39</w:t>
      </w:r>
      <w:r w:rsidRPr="00E5792C">
        <w:rPr>
          <w:rFonts w:ascii="Times" w:hAnsi="Times"/>
          <w:lang w:val="en-US"/>
        </w:rPr>
        <w:t xml:space="preserve">. Yang F, Wang J, Li W, et al. The prognostic value of late gadolinium enhancement in myocarditis and clinically suspected myocarditis: systematic review and meta-analysis. </w:t>
      </w:r>
      <w:r w:rsidRPr="00E5792C">
        <w:rPr>
          <w:rFonts w:ascii="Times" w:hAnsi="Times"/>
          <w:i/>
          <w:iCs/>
        </w:rPr>
        <w:t>Eur Radiol</w:t>
      </w:r>
      <w:r w:rsidRPr="00E5792C">
        <w:rPr>
          <w:rFonts w:ascii="Times" w:hAnsi="Times"/>
        </w:rPr>
        <w:t>. 2020;30(5):2616-2626.</w:t>
      </w:r>
    </w:p>
    <w:p w14:paraId="49B517AF" w14:textId="0E3EEB26" w:rsidR="00C71E53" w:rsidRPr="00E5792C" w:rsidRDefault="00C71E53" w:rsidP="00E5792C">
      <w:pPr>
        <w:spacing w:line="480" w:lineRule="auto"/>
        <w:jc w:val="both"/>
        <w:rPr>
          <w:rFonts w:ascii="Times" w:hAnsi="Times"/>
          <w:lang w:val="en-US"/>
        </w:rPr>
      </w:pPr>
      <w:r w:rsidRPr="00E5792C">
        <w:rPr>
          <w:rFonts w:ascii="Times" w:hAnsi="Times"/>
          <w:b/>
          <w:bCs/>
        </w:rPr>
        <w:t>40.</w:t>
      </w:r>
      <w:r w:rsidRPr="00E5792C">
        <w:rPr>
          <w:rFonts w:ascii="Times" w:hAnsi="Times"/>
        </w:rPr>
        <w:t xml:space="preserve"> Mahrholdt H, Wagner A, Deluigi CC, et al. </w:t>
      </w:r>
      <w:r w:rsidRPr="00E5792C">
        <w:rPr>
          <w:rFonts w:ascii="Times" w:hAnsi="Times"/>
          <w:lang w:val="en-US"/>
        </w:rPr>
        <w:t xml:space="preserve">Presentation, patterns of myocardial damage, and clinical course of viral myocarditis. </w:t>
      </w:r>
      <w:r w:rsidRPr="00E5792C">
        <w:rPr>
          <w:rFonts w:ascii="Times" w:hAnsi="Times"/>
          <w:i/>
          <w:iCs/>
          <w:lang w:val="en-US"/>
        </w:rPr>
        <w:t>Circulation</w:t>
      </w:r>
      <w:r w:rsidRPr="00E5792C">
        <w:rPr>
          <w:rFonts w:ascii="Times" w:hAnsi="Times"/>
          <w:lang w:val="en-US"/>
        </w:rPr>
        <w:t>. 2006;114(15):1581-90. doi: 10.1161/CIRCULATIONAHA.105.606509. Epub 2006 Oct 2. PMID: 17015795.</w:t>
      </w:r>
    </w:p>
    <w:p w14:paraId="7D1EA3DA" w14:textId="0EFF1314" w:rsidR="006B287E" w:rsidRPr="00E5792C" w:rsidRDefault="003C1746" w:rsidP="00E5792C">
      <w:pPr>
        <w:spacing w:line="480" w:lineRule="auto"/>
        <w:jc w:val="both"/>
        <w:rPr>
          <w:rFonts w:ascii="Times" w:hAnsi="Times"/>
          <w:lang w:val="en-US"/>
        </w:rPr>
      </w:pPr>
      <w:r w:rsidRPr="00E5792C">
        <w:rPr>
          <w:rFonts w:ascii="Times" w:hAnsi="Times"/>
          <w:b/>
          <w:bCs/>
          <w:lang w:val="en-US"/>
        </w:rPr>
        <w:t>4</w:t>
      </w:r>
      <w:r w:rsidR="00C71E53" w:rsidRPr="00E5792C">
        <w:rPr>
          <w:rFonts w:ascii="Times" w:hAnsi="Times"/>
          <w:b/>
          <w:bCs/>
          <w:lang w:val="en-US"/>
        </w:rPr>
        <w:t>1</w:t>
      </w:r>
      <w:r w:rsidR="006B287E" w:rsidRPr="00E5792C">
        <w:rPr>
          <w:rFonts w:ascii="Times" w:hAnsi="Times"/>
          <w:lang w:val="en-US"/>
        </w:rPr>
        <w:t>. De Bolle L, Van Loon J, De Clercq E, Naesens L. Quantitative analysis of HHV6 cell tropism. J Med Virol 2005;75(1):76–85.</w:t>
      </w:r>
    </w:p>
    <w:p w14:paraId="635C2395" w14:textId="297B9343" w:rsidR="00BB043D" w:rsidRPr="00E5792C" w:rsidRDefault="00870A0B" w:rsidP="00E5792C">
      <w:pPr>
        <w:spacing w:line="480" w:lineRule="auto"/>
        <w:jc w:val="both"/>
        <w:rPr>
          <w:rFonts w:ascii="Times" w:hAnsi="Times"/>
          <w:lang w:val="en-US"/>
        </w:rPr>
      </w:pPr>
      <w:r w:rsidRPr="00E5792C">
        <w:rPr>
          <w:rFonts w:ascii="Times" w:hAnsi="Times"/>
          <w:b/>
          <w:noProof/>
          <w:lang w:val="en-US"/>
        </w:rPr>
        <w:t>4</w:t>
      </w:r>
      <w:r w:rsidR="00C71E53" w:rsidRPr="00E5792C">
        <w:rPr>
          <w:rFonts w:ascii="Times" w:hAnsi="Times"/>
          <w:b/>
          <w:noProof/>
          <w:lang w:val="en-US"/>
        </w:rPr>
        <w:t>2</w:t>
      </w:r>
      <w:r w:rsidR="00DD0705" w:rsidRPr="00E5792C">
        <w:rPr>
          <w:rFonts w:ascii="Times" w:hAnsi="Times"/>
          <w:b/>
          <w:noProof/>
          <w:lang w:val="en-US"/>
        </w:rPr>
        <w:t>.</w:t>
      </w:r>
      <w:r w:rsidR="00DD0705" w:rsidRPr="00E5792C">
        <w:rPr>
          <w:rFonts w:ascii="Times" w:hAnsi="Times"/>
          <w:bCs/>
          <w:noProof/>
          <w:lang w:val="en-US"/>
        </w:rPr>
        <w:t xml:space="preserve"> </w:t>
      </w:r>
      <w:r w:rsidR="00BB043D" w:rsidRPr="00E5792C">
        <w:rPr>
          <w:rFonts w:ascii="Times" w:hAnsi="Times"/>
          <w:lang w:val="en-US"/>
        </w:rPr>
        <w:t xml:space="preserve">McCarthy RE, Boehmer JP, Hruban RH, et al. Long-Term Outcome of Fulminant Myocarditis as Compared with Acute (Nonfulminant) Myocarditis. </w:t>
      </w:r>
      <w:r w:rsidR="00BB043D" w:rsidRPr="00E5792C">
        <w:rPr>
          <w:rFonts w:ascii="Times" w:hAnsi="Times"/>
          <w:i/>
          <w:iCs/>
          <w:lang w:val="en-US"/>
        </w:rPr>
        <w:t>N Engl J Med</w:t>
      </w:r>
      <w:r w:rsidR="002A23BA" w:rsidRPr="00E5792C">
        <w:rPr>
          <w:rFonts w:ascii="Times" w:hAnsi="Times"/>
          <w:lang w:val="en-US"/>
        </w:rPr>
        <w:t>.</w:t>
      </w:r>
      <w:r w:rsidR="00BB043D" w:rsidRPr="00E5792C">
        <w:rPr>
          <w:rFonts w:ascii="Times" w:hAnsi="Times"/>
          <w:lang w:val="en-US"/>
        </w:rPr>
        <w:t xml:space="preserve"> 2000 9;342</w:t>
      </w:r>
      <w:r w:rsidR="002A23BA" w:rsidRPr="00E5792C">
        <w:rPr>
          <w:rFonts w:ascii="Times" w:hAnsi="Times"/>
          <w:lang w:val="en-US"/>
        </w:rPr>
        <w:t>(10)</w:t>
      </w:r>
      <w:r w:rsidR="00BB043D" w:rsidRPr="00E5792C">
        <w:rPr>
          <w:rFonts w:ascii="Times" w:hAnsi="Times"/>
          <w:lang w:val="en-US"/>
        </w:rPr>
        <w:t>:690-5.</w:t>
      </w:r>
    </w:p>
    <w:p w14:paraId="748413AB" w14:textId="6E328373" w:rsidR="00BB043D" w:rsidRPr="00E5792C" w:rsidRDefault="00870A0B" w:rsidP="00E5792C">
      <w:pPr>
        <w:spacing w:line="480" w:lineRule="auto"/>
        <w:jc w:val="both"/>
        <w:rPr>
          <w:rFonts w:ascii="Times" w:hAnsi="Times"/>
          <w:bCs/>
          <w:noProof/>
          <w:lang w:val="en-US"/>
        </w:rPr>
      </w:pPr>
      <w:r w:rsidRPr="00E5792C">
        <w:rPr>
          <w:rFonts w:ascii="Times" w:hAnsi="Times"/>
          <w:b/>
          <w:noProof/>
          <w:lang w:val="en-US"/>
        </w:rPr>
        <w:t>4</w:t>
      </w:r>
      <w:r w:rsidR="00C71E53" w:rsidRPr="00E5792C">
        <w:rPr>
          <w:rFonts w:ascii="Times" w:hAnsi="Times"/>
          <w:b/>
          <w:noProof/>
          <w:lang w:val="en-US"/>
        </w:rPr>
        <w:t>3</w:t>
      </w:r>
      <w:r w:rsidR="00BB043D" w:rsidRPr="00E5792C">
        <w:rPr>
          <w:rFonts w:ascii="Times" w:hAnsi="Times"/>
          <w:b/>
          <w:noProof/>
          <w:lang w:val="en-US"/>
        </w:rPr>
        <w:t xml:space="preserve">. </w:t>
      </w:r>
      <w:r w:rsidR="00BB043D" w:rsidRPr="00E5792C">
        <w:rPr>
          <w:rFonts w:ascii="Times" w:hAnsi="Times"/>
          <w:bCs/>
          <w:noProof/>
          <w:lang w:val="en-US"/>
        </w:rPr>
        <w:t>Lurz P, Eitel I, Adam J, et al.</w:t>
      </w:r>
      <w:r w:rsidR="00BB043D" w:rsidRPr="00E5792C">
        <w:rPr>
          <w:rFonts w:ascii="Times" w:hAnsi="Times"/>
          <w:bCs/>
          <w:lang w:val="en-US"/>
        </w:rPr>
        <w:t xml:space="preserve"> </w:t>
      </w:r>
      <w:r w:rsidR="00BB043D" w:rsidRPr="00E5792C">
        <w:rPr>
          <w:rFonts w:ascii="Times" w:hAnsi="Times"/>
          <w:bCs/>
          <w:noProof/>
          <w:lang w:val="en-US"/>
        </w:rPr>
        <w:t xml:space="preserve">Diagnostic Performance of CMR Imaging Compared With EMB in Patients With Suspected Myocarditis. </w:t>
      </w:r>
      <w:r w:rsidR="009F6B6E" w:rsidRPr="00E5792C">
        <w:rPr>
          <w:rFonts w:ascii="Times" w:hAnsi="Times"/>
          <w:bCs/>
          <w:i/>
          <w:iCs/>
          <w:noProof/>
          <w:lang w:val="en-US"/>
        </w:rPr>
        <w:t>JACC Cardiovasc Imaging</w:t>
      </w:r>
      <w:r w:rsidR="002A23BA" w:rsidRPr="00E5792C">
        <w:rPr>
          <w:rFonts w:ascii="Times" w:hAnsi="Times"/>
          <w:bCs/>
          <w:noProof/>
          <w:lang w:val="en-US"/>
        </w:rPr>
        <w:t>.</w:t>
      </w:r>
      <w:r w:rsidR="00BB043D" w:rsidRPr="00E5792C">
        <w:rPr>
          <w:rFonts w:ascii="Times" w:hAnsi="Times"/>
          <w:bCs/>
          <w:noProof/>
          <w:lang w:val="en-US"/>
        </w:rPr>
        <w:t xml:space="preserve"> 2012;5</w:t>
      </w:r>
      <w:r w:rsidR="002A23BA" w:rsidRPr="00E5792C">
        <w:rPr>
          <w:rFonts w:ascii="Times" w:hAnsi="Times"/>
          <w:bCs/>
          <w:noProof/>
          <w:lang w:val="en-US"/>
        </w:rPr>
        <w:t>(5)</w:t>
      </w:r>
      <w:r w:rsidR="00BB043D" w:rsidRPr="00E5792C">
        <w:rPr>
          <w:rFonts w:ascii="Times" w:hAnsi="Times"/>
          <w:bCs/>
          <w:noProof/>
          <w:lang w:val="en-US"/>
        </w:rPr>
        <w:t>:513-24.</w:t>
      </w:r>
    </w:p>
    <w:p w14:paraId="015EF5FA" w14:textId="7FEA01A6" w:rsidR="003A0D46" w:rsidRPr="00E5792C" w:rsidRDefault="003A0D46" w:rsidP="00E5792C">
      <w:pPr>
        <w:spacing w:line="480" w:lineRule="auto"/>
        <w:jc w:val="both"/>
        <w:rPr>
          <w:rFonts w:ascii="Times" w:hAnsi="Times"/>
          <w:bCs/>
          <w:noProof/>
          <w:lang w:val="en-US"/>
        </w:rPr>
      </w:pPr>
      <w:r w:rsidRPr="00E5792C">
        <w:rPr>
          <w:rFonts w:ascii="Times" w:hAnsi="Times"/>
          <w:b/>
          <w:noProof/>
          <w:lang w:val="en-US"/>
        </w:rPr>
        <w:t>4</w:t>
      </w:r>
      <w:r w:rsidR="00C71E53" w:rsidRPr="00E5792C">
        <w:rPr>
          <w:rFonts w:ascii="Times" w:hAnsi="Times"/>
          <w:b/>
          <w:noProof/>
          <w:lang w:val="en-US"/>
        </w:rPr>
        <w:t>4</w:t>
      </w:r>
      <w:r w:rsidRPr="00E5792C">
        <w:rPr>
          <w:rFonts w:ascii="Times" w:hAnsi="Times"/>
          <w:bCs/>
          <w:noProof/>
          <w:lang w:val="en-US"/>
        </w:rPr>
        <w:t xml:space="preserve">. </w:t>
      </w:r>
      <w:r w:rsidR="00DC4441" w:rsidRPr="00E5792C">
        <w:rPr>
          <w:rFonts w:ascii="Times" w:hAnsi="Times"/>
          <w:bCs/>
          <w:noProof/>
          <w:lang w:val="en-US"/>
        </w:rPr>
        <w:t xml:space="preserve">Banypersad SM, Fontana M, Maestrini V, et al. T1 mapping and survival in systemic light-chain amyloidosis. </w:t>
      </w:r>
      <w:r w:rsidR="00DC4441" w:rsidRPr="00E5792C">
        <w:rPr>
          <w:rFonts w:ascii="Times" w:hAnsi="Times"/>
          <w:bCs/>
          <w:i/>
          <w:iCs/>
          <w:noProof/>
          <w:lang w:val="en-US"/>
        </w:rPr>
        <w:t>Eur Heart J</w:t>
      </w:r>
      <w:r w:rsidR="00DC4441" w:rsidRPr="00E5792C">
        <w:rPr>
          <w:rFonts w:ascii="Times" w:hAnsi="Times"/>
          <w:bCs/>
          <w:noProof/>
          <w:lang w:val="en-US"/>
        </w:rPr>
        <w:t>. 2015;36(4):244-251. doi:10.1093/eurheartj/ehu444</w:t>
      </w:r>
    </w:p>
    <w:p w14:paraId="330F1E8F" w14:textId="36BCD413" w:rsidR="003A0D46" w:rsidRPr="00E5792C" w:rsidRDefault="003A0D46" w:rsidP="00E5792C">
      <w:pPr>
        <w:spacing w:line="480" w:lineRule="auto"/>
        <w:jc w:val="both"/>
        <w:rPr>
          <w:rFonts w:ascii="Times" w:hAnsi="Times"/>
          <w:b/>
          <w:noProof/>
          <w:lang w:val="en-US"/>
        </w:rPr>
      </w:pPr>
      <w:r w:rsidRPr="00E5792C">
        <w:rPr>
          <w:rFonts w:ascii="Times" w:hAnsi="Times"/>
          <w:b/>
          <w:noProof/>
          <w:lang w:val="en-US"/>
        </w:rPr>
        <w:t>4</w:t>
      </w:r>
      <w:r w:rsidR="00C71E53" w:rsidRPr="00E5792C">
        <w:rPr>
          <w:rFonts w:ascii="Times" w:hAnsi="Times"/>
          <w:b/>
          <w:noProof/>
          <w:lang w:val="en-US"/>
        </w:rPr>
        <w:t>5</w:t>
      </w:r>
      <w:r w:rsidRPr="00E5792C">
        <w:rPr>
          <w:rFonts w:ascii="Times" w:hAnsi="Times"/>
          <w:bCs/>
          <w:noProof/>
          <w:lang w:val="en-US"/>
        </w:rPr>
        <w:t xml:space="preserve">. </w:t>
      </w:r>
      <w:r w:rsidR="00924DAC" w:rsidRPr="00E5792C">
        <w:rPr>
          <w:rFonts w:ascii="Times" w:hAnsi="Times"/>
          <w:bCs/>
          <w:noProof/>
          <w:lang w:val="en-US"/>
        </w:rPr>
        <w:t xml:space="preserve">Schelbert EB, Piehler KM, Zareba KM, et al. Myocardial Fibrosis Quantified by Extracellular Volume Is Associated With Subsequent Hospitalization for Heart Failure, Death, or Both Across the Spectrum of Ejection Fraction and Heart Failure Stage. </w:t>
      </w:r>
      <w:r w:rsidR="00924DAC" w:rsidRPr="00E5792C">
        <w:rPr>
          <w:rFonts w:ascii="Times" w:hAnsi="Times"/>
          <w:bCs/>
          <w:i/>
          <w:iCs/>
          <w:noProof/>
          <w:lang w:val="en-US"/>
        </w:rPr>
        <w:t>J Am Heart Assoc</w:t>
      </w:r>
      <w:r w:rsidR="00924DAC" w:rsidRPr="00E5792C">
        <w:rPr>
          <w:rFonts w:ascii="Times" w:hAnsi="Times"/>
          <w:bCs/>
          <w:noProof/>
          <w:lang w:val="en-US"/>
        </w:rPr>
        <w:t>. 2015;4(12):e002613. doi: 10.1161/JAHA.115.002613. PMID: 26683218; PMCID: PMC4845263.</w:t>
      </w:r>
    </w:p>
    <w:p w14:paraId="4DF51929" w14:textId="14A0E3BF" w:rsidR="00535E9B" w:rsidRPr="00E5792C" w:rsidRDefault="009C786F" w:rsidP="00E5792C">
      <w:pPr>
        <w:spacing w:line="480" w:lineRule="auto"/>
        <w:jc w:val="both"/>
        <w:rPr>
          <w:rFonts w:ascii="Times" w:hAnsi="Times"/>
          <w:bCs/>
          <w:lang w:val="en-US"/>
        </w:rPr>
      </w:pPr>
      <w:r w:rsidRPr="00E5792C">
        <w:rPr>
          <w:rFonts w:ascii="Times" w:hAnsi="Times"/>
          <w:b/>
          <w:lang w:val="en-US"/>
        </w:rPr>
        <w:br w:type="page"/>
      </w:r>
      <w:r w:rsidR="00620A83" w:rsidRPr="00E5792C">
        <w:rPr>
          <w:rFonts w:ascii="Times" w:hAnsi="Times"/>
          <w:b/>
          <w:lang w:val="en-US"/>
        </w:rPr>
        <w:lastRenderedPageBreak/>
        <w:t xml:space="preserve">Table 1. </w:t>
      </w:r>
      <w:r w:rsidR="00620A83" w:rsidRPr="00E5792C">
        <w:rPr>
          <w:rFonts w:ascii="Times" w:hAnsi="Times"/>
          <w:bCs/>
          <w:lang w:val="en-US"/>
        </w:rPr>
        <w:t>Main characteristics of the included studies</w:t>
      </w:r>
    </w:p>
    <w:tbl>
      <w:tblPr>
        <w:tblStyle w:val="TableGrid"/>
        <w:tblpPr w:leftFromText="141" w:rightFromText="141" w:vertAnchor="page" w:horzAnchor="margin" w:tblpXSpec="center" w:tblpY="2429"/>
        <w:tblW w:w="10884" w:type="dxa"/>
        <w:tblLayout w:type="fixed"/>
        <w:tblLook w:val="04A0" w:firstRow="1" w:lastRow="0" w:firstColumn="1" w:lastColumn="0" w:noHBand="0" w:noVBand="1"/>
      </w:tblPr>
      <w:tblGrid>
        <w:gridCol w:w="707"/>
        <w:gridCol w:w="710"/>
        <w:gridCol w:w="710"/>
        <w:gridCol w:w="838"/>
        <w:gridCol w:w="848"/>
        <w:gridCol w:w="710"/>
        <w:gridCol w:w="710"/>
        <w:gridCol w:w="788"/>
        <w:gridCol w:w="912"/>
        <w:gridCol w:w="711"/>
        <w:gridCol w:w="713"/>
        <w:gridCol w:w="809"/>
        <w:gridCol w:w="811"/>
        <w:gridCol w:w="907"/>
      </w:tblGrid>
      <w:tr w:rsidR="0033039E" w:rsidRPr="00E5792C" w14:paraId="37F71211" w14:textId="77777777" w:rsidTr="00924DAC">
        <w:trPr>
          <w:trHeight w:val="806"/>
        </w:trPr>
        <w:tc>
          <w:tcPr>
            <w:tcW w:w="707" w:type="dxa"/>
            <w:vAlign w:val="center"/>
          </w:tcPr>
          <w:p w14:paraId="180011B7" w14:textId="77777777" w:rsidR="0033039E" w:rsidRPr="00E5792C" w:rsidRDefault="0033039E" w:rsidP="00E5792C">
            <w:pPr>
              <w:jc w:val="center"/>
              <w:rPr>
                <w:rFonts w:ascii="Times" w:hAnsi="Times"/>
                <w:b/>
                <w:sz w:val="13"/>
                <w:szCs w:val="8"/>
                <w:lang w:val="en-US"/>
              </w:rPr>
            </w:pPr>
            <w:r w:rsidRPr="00E5792C">
              <w:rPr>
                <w:rFonts w:ascii="Times" w:hAnsi="Times"/>
                <w:b/>
                <w:sz w:val="13"/>
                <w:szCs w:val="8"/>
                <w:lang w:val="en-US"/>
              </w:rPr>
              <w:t>Author,</w:t>
            </w:r>
          </w:p>
          <w:p w14:paraId="55B44683" w14:textId="77777777" w:rsidR="0033039E" w:rsidRPr="00E5792C" w:rsidRDefault="0033039E" w:rsidP="00E5792C">
            <w:pPr>
              <w:jc w:val="center"/>
              <w:rPr>
                <w:rFonts w:ascii="Times" w:hAnsi="Times"/>
                <w:b/>
                <w:sz w:val="13"/>
                <w:szCs w:val="8"/>
                <w:lang w:val="en-US"/>
              </w:rPr>
            </w:pPr>
            <w:r w:rsidRPr="00E5792C">
              <w:rPr>
                <w:rFonts w:ascii="Times" w:hAnsi="Times"/>
                <w:b/>
                <w:sz w:val="13"/>
                <w:szCs w:val="8"/>
                <w:lang w:val="en-US"/>
              </w:rPr>
              <w:t>Year</w:t>
            </w:r>
          </w:p>
        </w:tc>
        <w:tc>
          <w:tcPr>
            <w:tcW w:w="710" w:type="dxa"/>
            <w:vAlign w:val="center"/>
          </w:tcPr>
          <w:p w14:paraId="0001EFCD"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Mean</w:t>
            </w:r>
          </w:p>
          <w:p w14:paraId="655947A3" w14:textId="77777777" w:rsidR="0033039E" w:rsidRPr="00E5792C" w:rsidRDefault="0033039E" w:rsidP="00E5792C">
            <w:pPr>
              <w:jc w:val="center"/>
              <w:rPr>
                <w:rFonts w:ascii="Times" w:hAnsi="Times" w:cs="Calibri"/>
                <w:b/>
                <w:color w:val="000000"/>
                <w:sz w:val="13"/>
                <w:szCs w:val="12"/>
                <w:lang w:val="en-US"/>
              </w:rPr>
            </w:pPr>
            <w:r w:rsidRPr="00E5792C">
              <w:rPr>
                <w:rFonts w:eastAsiaTheme="minorEastAsia"/>
                <w:b/>
                <w:sz w:val="13"/>
                <w:szCs w:val="13"/>
                <w:lang w:val="en-US"/>
              </w:rPr>
              <w:t>Age</w:t>
            </w:r>
          </w:p>
        </w:tc>
        <w:tc>
          <w:tcPr>
            <w:tcW w:w="710" w:type="dxa"/>
            <w:vAlign w:val="center"/>
          </w:tcPr>
          <w:p w14:paraId="2D1E32F3"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Males,</w:t>
            </w:r>
          </w:p>
          <w:p w14:paraId="7A9569D8" w14:textId="77777777" w:rsidR="0033039E" w:rsidRPr="00E5792C" w:rsidRDefault="0033039E" w:rsidP="00E5792C">
            <w:pPr>
              <w:jc w:val="center"/>
              <w:rPr>
                <w:rFonts w:ascii="Times" w:hAnsi="Times" w:cs="Calibri"/>
                <w:b/>
                <w:color w:val="000000"/>
                <w:sz w:val="13"/>
                <w:szCs w:val="12"/>
                <w:lang w:val="en-US"/>
              </w:rPr>
            </w:pPr>
            <w:r w:rsidRPr="00E5792C">
              <w:rPr>
                <w:rFonts w:eastAsiaTheme="minorEastAsia"/>
                <w:b/>
                <w:sz w:val="13"/>
                <w:szCs w:val="13"/>
                <w:lang w:val="en-US"/>
              </w:rPr>
              <w:t>N (%)</w:t>
            </w:r>
          </w:p>
        </w:tc>
        <w:tc>
          <w:tcPr>
            <w:tcW w:w="838" w:type="dxa"/>
            <w:vAlign w:val="center"/>
          </w:tcPr>
          <w:p w14:paraId="510A6DF1" w14:textId="77777777" w:rsidR="0033039E" w:rsidRPr="00E5792C" w:rsidRDefault="0033039E" w:rsidP="00E5792C">
            <w:pPr>
              <w:jc w:val="center"/>
              <w:rPr>
                <w:rFonts w:eastAsiaTheme="minorEastAsia"/>
                <w:b/>
                <w:sz w:val="13"/>
                <w:szCs w:val="13"/>
                <w:lang w:val="en-US"/>
              </w:rPr>
            </w:pPr>
          </w:p>
          <w:p w14:paraId="182894BD"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Abnormal</w:t>
            </w:r>
          </w:p>
          <w:p w14:paraId="67DED67F"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ECG,</w:t>
            </w:r>
          </w:p>
          <w:p w14:paraId="6AD7BD0C" w14:textId="77777777" w:rsidR="0033039E" w:rsidRPr="00E5792C" w:rsidRDefault="0033039E" w:rsidP="00E5792C">
            <w:pPr>
              <w:jc w:val="center"/>
              <w:rPr>
                <w:rFonts w:ascii="Times" w:hAnsi="Times" w:cs="Calibri"/>
                <w:b/>
                <w:color w:val="000000"/>
                <w:sz w:val="13"/>
                <w:szCs w:val="12"/>
                <w:lang w:val="en-US"/>
              </w:rPr>
            </w:pPr>
            <w:r w:rsidRPr="00E5792C">
              <w:rPr>
                <w:rFonts w:eastAsiaTheme="minorEastAsia"/>
                <w:b/>
                <w:sz w:val="13"/>
                <w:szCs w:val="13"/>
                <w:lang w:val="en-US"/>
              </w:rPr>
              <w:t>N (%)</w:t>
            </w:r>
          </w:p>
        </w:tc>
        <w:tc>
          <w:tcPr>
            <w:tcW w:w="848" w:type="dxa"/>
            <w:vAlign w:val="center"/>
          </w:tcPr>
          <w:p w14:paraId="717C5950"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Abnormal</w:t>
            </w:r>
          </w:p>
          <w:p w14:paraId="4A7B37E4"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Troponin</w:t>
            </w:r>
          </w:p>
          <w:p w14:paraId="741BF9F8" w14:textId="77777777" w:rsidR="0033039E" w:rsidRPr="00E5792C" w:rsidRDefault="0033039E" w:rsidP="00E5792C">
            <w:pPr>
              <w:jc w:val="center"/>
              <w:rPr>
                <w:rFonts w:ascii="Times" w:hAnsi="Times" w:cs="Calibri"/>
                <w:b/>
                <w:color w:val="000000"/>
                <w:sz w:val="13"/>
                <w:szCs w:val="12"/>
                <w:lang w:val="en-US"/>
              </w:rPr>
            </w:pPr>
            <w:r w:rsidRPr="00E5792C">
              <w:rPr>
                <w:rFonts w:eastAsiaTheme="minorEastAsia"/>
                <w:b/>
                <w:sz w:val="13"/>
                <w:szCs w:val="13"/>
                <w:lang w:val="en-US"/>
              </w:rPr>
              <w:t>N (%)</w:t>
            </w:r>
          </w:p>
        </w:tc>
        <w:tc>
          <w:tcPr>
            <w:tcW w:w="710" w:type="dxa"/>
            <w:vAlign w:val="center"/>
          </w:tcPr>
          <w:p w14:paraId="70519E9E" w14:textId="77777777" w:rsidR="0033039E" w:rsidRPr="00E5792C" w:rsidRDefault="0033039E" w:rsidP="00E5792C">
            <w:pPr>
              <w:jc w:val="center"/>
              <w:rPr>
                <w:rFonts w:eastAsiaTheme="minorEastAsia"/>
                <w:b/>
                <w:sz w:val="13"/>
                <w:szCs w:val="13"/>
                <w:lang w:val="en-US"/>
              </w:rPr>
            </w:pPr>
            <w:r w:rsidRPr="00E5792C">
              <w:rPr>
                <w:rFonts w:eastAsiaTheme="minorEastAsia"/>
                <w:b/>
                <w:sz w:val="13"/>
                <w:szCs w:val="13"/>
                <w:lang w:val="en-US"/>
              </w:rPr>
              <w:t>EMB</w:t>
            </w:r>
          </w:p>
          <w:p w14:paraId="063F1999" w14:textId="77777777" w:rsidR="0033039E" w:rsidRPr="00E5792C" w:rsidRDefault="0033039E" w:rsidP="00E5792C">
            <w:pPr>
              <w:jc w:val="center"/>
              <w:rPr>
                <w:rFonts w:ascii="Times" w:hAnsi="Times" w:cs="Calibri"/>
                <w:b/>
                <w:color w:val="000000"/>
                <w:sz w:val="13"/>
                <w:szCs w:val="12"/>
                <w:lang w:val="en-US"/>
              </w:rPr>
            </w:pPr>
            <w:r w:rsidRPr="00E5792C">
              <w:rPr>
                <w:rFonts w:eastAsiaTheme="minorEastAsia"/>
                <w:b/>
                <w:sz w:val="13"/>
                <w:szCs w:val="13"/>
                <w:lang w:val="en-US"/>
              </w:rPr>
              <w:t>N (%)</w:t>
            </w:r>
          </w:p>
        </w:tc>
        <w:tc>
          <w:tcPr>
            <w:tcW w:w="710" w:type="dxa"/>
            <w:vAlign w:val="center"/>
          </w:tcPr>
          <w:p w14:paraId="3DC5C259"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Number of patients with LGE (N,%)</w:t>
            </w:r>
          </w:p>
        </w:tc>
        <w:tc>
          <w:tcPr>
            <w:tcW w:w="788" w:type="dxa"/>
            <w:vAlign w:val="center"/>
          </w:tcPr>
          <w:p w14:paraId="66BD99E9"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Number of segments with LGE, N</w:t>
            </w:r>
          </w:p>
        </w:tc>
        <w:tc>
          <w:tcPr>
            <w:tcW w:w="912" w:type="dxa"/>
            <w:vAlign w:val="center"/>
          </w:tcPr>
          <w:p w14:paraId="12C667B9"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Myocardial extent of LGE</w:t>
            </w:r>
          </w:p>
          <w:p w14:paraId="6085E325"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 myocardial surface area)</w:t>
            </w:r>
          </w:p>
        </w:tc>
        <w:tc>
          <w:tcPr>
            <w:tcW w:w="711" w:type="dxa"/>
            <w:vAlign w:val="center"/>
          </w:tcPr>
          <w:p w14:paraId="0B67F276"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Inferolateral LGE</w:t>
            </w:r>
          </w:p>
          <w:p w14:paraId="2DCD618D"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(N,%)</w:t>
            </w:r>
          </w:p>
        </w:tc>
        <w:tc>
          <w:tcPr>
            <w:tcW w:w="713" w:type="dxa"/>
            <w:vAlign w:val="center"/>
          </w:tcPr>
          <w:p w14:paraId="3B24190B"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Anteroseptal</w:t>
            </w:r>
          </w:p>
          <w:p w14:paraId="72E18506"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LGE</w:t>
            </w:r>
          </w:p>
          <w:p w14:paraId="50B922B3"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(N,%)</w:t>
            </w:r>
          </w:p>
        </w:tc>
        <w:tc>
          <w:tcPr>
            <w:tcW w:w="809" w:type="dxa"/>
            <w:vAlign w:val="center"/>
          </w:tcPr>
          <w:p w14:paraId="6975200A"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LGE presence impact on clinical outcomes (HR/OR)</w:t>
            </w:r>
          </w:p>
        </w:tc>
        <w:tc>
          <w:tcPr>
            <w:tcW w:w="811" w:type="dxa"/>
            <w:vAlign w:val="center"/>
          </w:tcPr>
          <w:p w14:paraId="4D5B18DE" w14:textId="7777777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LGE extension impact on clinical outcomes (HR/OR)</w:t>
            </w:r>
          </w:p>
        </w:tc>
        <w:tc>
          <w:tcPr>
            <w:tcW w:w="907" w:type="dxa"/>
            <w:vAlign w:val="center"/>
          </w:tcPr>
          <w:p w14:paraId="3AD5D271" w14:textId="154E0BB7" w:rsidR="0033039E" w:rsidRPr="00E5792C" w:rsidRDefault="0033039E" w:rsidP="00E5792C">
            <w:pPr>
              <w:jc w:val="center"/>
              <w:rPr>
                <w:rFonts w:ascii="Times" w:hAnsi="Times" w:cs="Calibri"/>
                <w:b/>
                <w:color w:val="000000"/>
                <w:sz w:val="13"/>
                <w:szCs w:val="12"/>
                <w:lang w:val="en-US"/>
              </w:rPr>
            </w:pPr>
            <w:r w:rsidRPr="00E5792C">
              <w:rPr>
                <w:rFonts w:ascii="Times" w:hAnsi="Times" w:cs="Calibri"/>
                <w:b/>
                <w:color w:val="000000"/>
                <w:sz w:val="13"/>
                <w:szCs w:val="12"/>
                <w:lang w:val="en-US"/>
              </w:rPr>
              <w:t xml:space="preserve">LGE </w:t>
            </w:r>
            <w:r w:rsidR="00552E6B" w:rsidRPr="00E5792C">
              <w:rPr>
                <w:rFonts w:ascii="Times" w:hAnsi="Times" w:cs="Calibri"/>
                <w:b/>
                <w:color w:val="000000"/>
                <w:sz w:val="13"/>
                <w:szCs w:val="12"/>
                <w:lang w:val="en-US"/>
              </w:rPr>
              <w:t>localization</w:t>
            </w:r>
            <w:r w:rsidRPr="00E5792C">
              <w:rPr>
                <w:rFonts w:ascii="Times" w:hAnsi="Times" w:cs="Calibri"/>
                <w:b/>
                <w:color w:val="000000"/>
                <w:sz w:val="13"/>
                <w:szCs w:val="12"/>
                <w:lang w:val="en-US"/>
              </w:rPr>
              <w:t xml:space="preserve"> impact on clinical outcomes (HR/OR)</w:t>
            </w:r>
          </w:p>
        </w:tc>
      </w:tr>
      <w:tr w:rsidR="0033039E" w:rsidRPr="00E5792C" w14:paraId="19DF31B8" w14:textId="77777777" w:rsidTr="00924DAC">
        <w:trPr>
          <w:trHeight w:val="489"/>
        </w:trPr>
        <w:tc>
          <w:tcPr>
            <w:tcW w:w="707" w:type="dxa"/>
            <w:vAlign w:val="center"/>
          </w:tcPr>
          <w:p w14:paraId="1C7CE7ED"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Grün</w:t>
            </w:r>
          </w:p>
          <w:p w14:paraId="7EDA2917"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et al., 2012 (12)</w:t>
            </w:r>
          </w:p>
        </w:tc>
        <w:tc>
          <w:tcPr>
            <w:tcW w:w="710" w:type="dxa"/>
            <w:vAlign w:val="center"/>
          </w:tcPr>
          <w:p w14:paraId="126747D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52 (40–54)</w:t>
            </w:r>
          </w:p>
        </w:tc>
        <w:tc>
          <w:tcPr>
            <w:tcW w:w="710" w:type="dxa"/>
            <w:vAlign w:val="center"/>
          </w:tcPr>
          <w:p w14:paraId="1F3B35D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63 (31.0)</w:t>
            </w:r>
          </w:p>
        </w:tc>
        <w:tc>
          <w:tcPr>
            <w:tcW w:w="838" w:type="dxa"/>
            <w:vAlign w:val="center"/>
          </w:tcPr>
          <w:p w14:paraId="3D8DE1F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848" w:type="dxa"/>
            <w:vAlign w:val="center"/>
          </w:tcPr>
          <w:p w14:paraId="072348B5"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46</w:t>
            </w:r>
          </w:p>
          <w:p w14:paraId="6FA8F82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(22.7)</w:t>
            </w:r>
          </w:p>
        </w:tc>
        <w:tc>
          <w:tcPr>
            <w:tcW w:w="710" w:type="dxa"/>
            <w:vAlign w:val="center"/>
          </w:tcPr>
          <w:p w14:paraId="4044FD6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203 (100)</w:t>
            </w:r>
          </w:p>
        </w:tc>
        <w:tc>
          <w:tcPr>
            <w:tcW w:w="710" w:type="dxa"/>
            <w:vAlign w:val="center"/>
          </w:tcPr>
          <w:p w14:paraId="31BA67C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108 (53.2)</w:t>
            </w:r>
          </w:p>
        </w:tc>
        <w:tc>
          <w:tcPr>
            <w:tcW w:w="788" w:type="dxa"/>
            <w:vAlign w:val="center"/>
          </w:tcPr>
          <w:p w14:paraId="572B434F"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31C212A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4.2 (2.3–9.3)</w:t>
            </w:r>
          </w:p>
        </w:tc>
        <w:tc>
          <w:tcPr>
            <w:tcW w:w="711" w:type="dxa"/>
            <w:vAlign w:val="center"/>
          </w:tcPr>
          <w:p w14:paraId="7D5177A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3968920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7BB78F6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8.40</w:t>
            </w:r>
          </w:p>
          <w:p w14:paraId="4C045ED8" w14:textId="66149B99"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1.98–35.72)</w:t>
            </w:r>
          </w:p>
        </w:tc>
        <w:tc>
          <w:tcPr>
            <w:tcW w:w="811" w:type="dxa"/>
            <w:vAlign w:val="center"/>
          </w:tcPr>
          <w:p w14:paraId="5EB75FC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3BE34BC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3DF08A5C" w14:textId="77777777" w:rsidTr="00924DAC">
        <w:trPr>
          <w:trHeight w:val="467"/>
        </w:trPr>
        <w:tc>
          <w:tcPr>
            <w:tcW w:w="707" w:type="dxa"/>
            <w:vAlign w:val="center"/>
          </w:tcPr>
          <w:p w14:paraId="22830F33"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Barone-Rochette</w:t>
            </w:r>
          </w:p>
          <w:p w14:paraId="18EAE994"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et al., 2014 (22)</w:t>
            </w:r>
          </w:p>
        </w:tc>
        <w:tc>
          <w:tcPr>
            <w:tcW w:w="710" w:type="dxa"/>
            <w:vAlign w:val="center"/>
          </w:tcPr>
          <w:p w14:paraId="070F8246"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33 ± 10 (16-57)</w:t>
            </w:r>
          </w:p>
        </w:tc>
        <w:tc>
          <w:tcPr>
            <w:tcW w:w="710" w:type="dxa"/>
            <w:vAlign w:val="center"/>
          </w:tcPr>
          <w:p w14:paraId="7905710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19 (68)</w:t>
            </w:r>
          </w:p>
        </w:tc>
        <w:tc>
          <w:tcPr>
            <w:tcW w:w="838" w:type="dxa"/>
            <w:vAlign w:val="center"/>
          </w:tcPr>
          <w:p w14:paraId="60CECD59"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28</w:t>
            </w:r>
          </w:p>
          <w:p w14:paraId="78A8B01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(100)</w:t>
            </w:r>
          </w:p>
        </w:tc>
        <w:tc>
          <w:tcPr>
            <w:tcW w:w="848" w:type="dxa"/>
            <w:vAlign w:val="center"/>
          </w:tcPr>
          <w:p w14:paraId="7A7742C1"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28</w:t>
            </w:r>
          </w:p>
          <w:p w14:paraId="4C48EA8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(100)</w:t>
            </w:r>
          </w:p>
        </w:tc>
        <w:tc>
          <w:tcPr>
            <w:tcW w:w="710" w:type="dxa"/>
            <w:vAlign w:val="center"/>
          </w:tcPr>
          <w:p w14:paraId="24597BEF"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w:t>
            </w:r>
          </w:p>
        </w:tc>
        <w:tc>
          <w:tcPr>
            <w:tcW w:w="710" w:type="dxa"/>
            <w:vAlign w:val="center"/>
          </w:tcPr>
          <w:p w14:paraId="17F4393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28 (100)</w:t>
            </w:r>
          </w:p>
        </w:tc>
        <w:tc>
          <w:tcPr>
            <w:tcW w:w="788" w:type="dxa"/>
            <w:vAlign w:val="center"/>
          </w:tcPr>
          <w:p w14:paraId="0F43F86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3D9E5AB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7F0A241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4318A1B6"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2300A50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11" w:type="dxa"/>
            <w:vAlign w:val="center"/>
          </w:tcPr>
          <w:p w14:paraId="6AC8A6B5" w14:textId="3FA22A0D"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8,17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1.42 – 47.02)</w:t>
            </w:r>
          </w:p>
        </w:tc>
        <w:tc>
          <w:tcPr>
            <w:tcW w:w="907" w:type="dxa"/>
            <w:vAlign w:val="center"/>
          </w:tcPr>
          <w:p w14:paraId="2EB0566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399181D5" w14:textId="77777777" w:rsidTr="00924DAC">
        <w:trPr>
          <w:trHeight w:val="318"/>
        </w:trPr>
        <w:tc>
          <w:tcPr>
            <w:tcW w:w="707" w:type="dxa"/>
            <w:vAlign w:val="center"/>
          </w:tcPr>
          <w:p w14:paraId="4FF8C170"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Schumm</w:t>
            </w:r>
          </w:p>
          <w:p w14:paraId="1521D39C"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et al., 2014</w:t>
            </w:r>
          </w:p>
          <w:p w14:paraId="4DBFCD0E"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(13)</w:t>
            </w:r>
          </w:p>
        </w:tc>
        <w:tc>
          <w:tcPr>
            <w:tcW w:w="710" w:type="dxa"/>
            <w:vAlign w:val="center"/>
          </w:tcPr>
          <w:p w14:paraId="522A739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47.9 (36.9-60.8)</w:t>
            </w:r>
          </w:p>
        </w:tc>
        <w:tc>
          <w:tcPr>
            <w:tcW w:w="710" w:type="dxa"/>
            <w:vAlign w:val="center"/>
          </w:tcPr>
          <w:p w14:paraId="41A0679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228 (56)</w:t>
            </w:r>
          </w:p>
        </w:tc>
        <w:tc>
          <w:tcPr>
            <w:tcW w:w="838" w:type="dxa"/>
            <w:vAlign w:val="center"/>
          </w:tcPr>
          <w:p w14:paraId="41B273C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131 (32.3)</w:t>
            </w:r>
          </w:p>
        </w:tc>
        <w:tc>
          <w:tcPr>
            <w:tcW w:w="848" w:type="dxa"/>
            <w:vAlign w:val="center"/>
          </w:tcPr>
          <w:p w14:paraId="761173E9"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38</w:t>
            </w:r>
          </w:p>
          <w:p w14:paraId="169895D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(9.4)</w:t>
            </w:r>
          </w:p>
        </w:tc>
        <w:tc>
          <w:tcPr>
            <w:tcW w:w="710" w:type="dxa"/>
            <w:vAlign w:val="center"/>
          </w:tcPr>
          <w:p w14:paraId="76B893F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78 (19)</w:t>
            </w:r>
          </w:p>
        </w:tc>
        <w:tc>
          <w:tcPr>
            <w:tcW w:w="710" w:type="dxa"/>
            <w:vAlign w:val="center"/>
          </w:tcPr>
          <w:p w14:paraId="2210920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114 (28.3)</w:t>
            </w:r>
          </w:p>
        </w:tc>
        <w:tc>
          <w:tcPr>
            <w:tcW w:w="788" w:type="dxa"/>
            <w:vAlign w:val="center"/>
          </w:tcPr>
          <w:p w14:paraId="70BE7AE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567D7C0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270D0F6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3B14FF5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2F93ADE7" w14:textId="5D41EBCE"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2.91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1.18-7.21)</w:t>
            </w:r>
          </w:p>
        </w:tc>
        <w:tc>
          <w:tcPr>
            <w:tcW w:w="811" w:type="dxa"/>
            <w:vAlign w:val="center"/>
          </w:tcPr>
          <w:p w14:paraId="4F834AD6"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7ADADE5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27846A4B" w14:textId="77777777" w:rsidTr="00924DAC">
        <w:trPr>
          <w:trHeight w:val="318"/>
        </w:trPr>
        <w:tc>
          <w:tcPr>
            <w:tcW w:w="707" w:type="dxa"/>
            <w:vAlign w:val="center"/>
          </w:tcPr>
          <w:p w14:paraId="1E2E9F86"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Sanguineti</w:t>
            </w:r>
          </w:p>
          <w:p w14:paraId="7DAA94AB"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et al., 2015 (15)</w:t>
            </w:r>
          </w:p>
        </w:tc>
        <w:tc>
          <w:tcPr>
            <w:tcW w:w="710" w:type="dxa"/>
            <w:vAlign w:val="center"/>
          </w:tcPr>
          <w:p w14:paraId="14165EC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42.7 ± 16.5</w:t>
            </w:r>
          </w:p>
        </w:tc>
        <w:tc>
          <w:tcPr>
            <w:tcW w:w="710" w:type="dxa"/>
            <w:vAlign w:val="center"/>
          </w:tcPr>
          <w:p w14:paraId="393EDF7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155 (76)</w:t>
            </w:r>
          </w:p>
        </w:tc>
        <w:tc>
          <w:tcPr>
            <w:tcW w:w="838" w:type="dxa"/>
            <w:vAlign w:val="center"/>
          </w:tcPr>
          <w:p w14:paraId="3C0FDD0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848" w:type="dxa"/>
            <w:vAlign w:val="center"/>
          </w:tcPr>
          <w:p w14:paraId="479E441B"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165</w:t>
            </w:r>
          </w:p>
          <w:p w14:paraId="1DA7AA5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(81)</w:t>
            </w:r>
          </w:p>
        </w:tc>
        <w:tc>
          <w:tcPr>
            <w:tcW w:w="710" w:type="dxa"/>
            <w:vAlign w:val="center"/>
          </w:tcPr>
          <w:p w14:paraId="443F4A2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w:t>
            </w:r>
          </w:p>
        </w:tc>
        <w:tc>
          <w:tcPr>
            <w:tcW w:w="710" w:type="dxa"/>
            <w:vAlign w:val="center"/>
          </w:tcPr>
          <w:p w14:paraId="4B0BFBD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203 (100)</w:t>
            </w:r>
          </w:p>
        </w:tc>
        <w:tc>
          <w:tcPr>
            <w:tcW w:w="788" w:type="dxa"/>
            <w:vAlign w:val="center"/>
          </w:tcPr>
          <w:p w14:paraId="25C8C91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3.8 ± 2.2</w:t>
            </w:r>
          </w:p>
        </w:tc>
        <w:tc>
          <w:tcPr>
            <w:tcW w:w="912" w:type="dxa"/>
            <w:vAlign w:val="center"/>
          </w:tcPr>
          <w:p w14:paraId="22D6248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11.4 ± 7.0</w:t>
            </w:r>
          </w:p>
        </w:tc>
        <w:tc>
          <w:tcPr>
            <w:tcW w:w="711" w:type="dxa"/>
            <w:vAlign w:val="center"/>
          </w:tcPr>
          <w:p w14:paraId="0C4363D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182 (90)</w:t>
            </w:r>
          </w:p>
        </w:tc>
        <w:tc>
          <w:tcPr>
            <w:tcW w:w="713" w:type="dxa"/>
            <w:vAlign w:val="center"/>
          </w:tcPr>
          <w:p w14:paraId="10594BE7"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77 (37.9)</w:t>
            </w:r>
          </w:p>
        </w:tc>
        <w:tc>
          <w:tcPr>
            <w:tcW w:w="809" w:type="dxa"/>
            <w:vAlign w:val="center"/>
          </w:tcPr>
          <w:p w14:paraId="4CC1A3E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11" w:type="dxa"/>
            <w:vAlign w:val="center"/>
          </w:tcPr>
          <w:p w14:paraId="3BB8A2BD" w14:textId="7EAD0B1D"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1.23 (95% C</w:t>
            </w:r>
            <w:r w:rsidR="00AA743F" w:rsidRPr="00E5792C">
              <w:rPr>
                <w:rFonts w:ascii="Times" w:hAnsi="Times" w:cs="Calibri"/>
                <w:color w:val="000000"/>
                <w:sz w:val="13"/>
                <w:szCs w:val="12"/>
                <w:lang w:val="en-US"/>
              </w:rPr>
              <w:t xml:space="preserve">Is </w:t>
            </w:r>
            <w:r w:rsidRPr="00E5792C">
              <w:rPr>
                <w:rFonts w:ascii="Times" w:hAnsi="Times" w:cs="Calibri"/>
                <w:color w:val="000000"/>
                <w:sz w:val="13"/>
                <w:szCs w:val="12"/>
                <w:lang w:val="en-US"/>
              </w:rPr>
              <w:t>0.74-2.04)</w:t>
            </w:r>
          </w:p>
        </w:tc>
        <w:tc>
          <w:tcPr>
            <w:tcW w:w="907" w:type="dxa"/>
            <w:vAlign w:val="center"/>
          </w:tcPr>
          <w:p w14:paraId="354808BF" w14:textId="462110C1"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 xml:space="preserve">HR </w:t>
            </w:r>
            <w:r w:rsidR="001840B4" w:rsidRPr="00E5792C">
              <w:rPr>
                <w:rFonts w:ascii="Times" w:hAnsi="Times" w:cs="Calibri"/>
                <w:color w:val="000000"/>
                <w:sz w:val="13"/>
                <w:szCs w:val="12"/>
                <w:lang w:val="en-US"/>
              </w:rPr>
              <w:t>1</w:t>
            </w:r>
            <w:r w:rsidRPr="00E5792C">
              <w:rPr>
                <w:rFonts w:ascii="Times" w:hAnsi="Times" w:cs="Calibri"/>
                <w:color w:val="000000"/>
                <w:sz w:val="13"/>
                <w:szCs w:val="12"/>
                <w:lang w:val="en-US"/>
              </w:rPr>
              <w:t>.</w:t>
            </w:r>
            <w:r w:rsidR="00527FE3" w:rsidRPr="00E5792C">
              <w:rPr>
                <w:rFonts w:ascii="Times" w:hAnsi="Times" w:cs="Calibri"/>
                <w:color w:val="000000"/>
                <w:sz w:val="13"/>
                <w:szCs w:val="12"/>
                <w:lang w:val="en-US"/>
              </w:rPr>
              <w:t>16</w:t>
            </w:r>
            <w:r w:rsidRPr="00E5792C">
              <w:rPr>
                <w:rFonts w:ascii="Times" w:hAnsi="Times" w:cs="Calibri"/>
                <w:color w:val="000000"/>
                <w:sz w:val="13"/>
                <w:szCs w:val="12"/>
                <w:lang w:val="en-US"/>
              </w:rPr>
              <w:t>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0.3</w:t>
            </w:r>
            <w:r w:rsidR="00527FE3" w:rsidRPr="00E5792C">
              <w:rPr>
                <w:rFonts w:ascii="Times" w:hAnsi="Times" w:cs="Calibri"/>
                <w:color w:val="000000"/>
                <w:sz w:val="13"/>
                <w:szCs w:val="12"/>
                <w:lang w:val="en-US"/>
              </w:rPr>
              <w:t>3</w:t>
            </w:r>
            <w:r w:rsidRPr="00E5792C">
              <w:rPr>
                <w:rFonts w:ascii="Times" w:hAnsi="Times" w:cs="Calibri"/>
                <w:color w:val="000000"/>
                <w:sz w:val="13"/>
                <w:szCs w:val="12"/>
                <w:lang w:val="en-US"/>
              </w:rPr>
              <w:t>-4.0</w:t>
            </w:r>
            <w:r w:rsidR="00527FE3" w:rsidRPr="00E5792C">
              <w:rPr>
                <w:rFonts w:ascii="Times" w:hAnsi="Times" w:cs="Calibri"/>
                <w:color w:val="000000"/>
                <w:sz w:val="13"/>
                <w:szCs w:val="12"/>
                <w:lang w:val="en-US"/>
              </w:rPr>
              <w:t>5</w:t>
            </w:r>
            <w:r w:rsidRPr="00E5792C">
              <w:rPr>
                <w:rFonts w:ascii="Times" w:hAnsi="Times" w:cs="Calibri"/>
                <w:color w:val="000000"/>
                <w:sz w:val="13"/>
                <w:szCs w:val="12"/>
                <w:lang w:val="en-US"/>
              </w:rPr>
              <w:t>)</w:t>
            </w:r>
          </w:p>
        </w:tc>
      </w:tr>
      <w:tr w:rsidR="0033039E" w:rsidRPr="00E5792C" w14:paraId="455330EE" w14:textId="77777777" w:rsidTr="00924DAC">
        <w:trPr>
          <w:trHeight w:val="318"/>
        </w:trPr>
        <w:tc>
          <w:tcPr>
            <w:tcW w:w="707" w:type="dxa"/>
            <w:vAlign w:val="center"/>
          </w:tcPr>
          <w:p w14:paraId="1DEE9019"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Chopra et al., 2016 (14)</w:t>
            </w:r>
          </w:p>
        </w:tc>
        <w:tc>
          <w:tcPr>
            <w:tcW w:w="710" w:type="dxa"/>
            <w:vAlign w:val="center"/>
          </w:tcPr>
          <w:p w14:paraId="641AC22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39.2 ± 16.4</w:t>
            </w:r>
          </w:p>
        </w:tc>
        <w:tc>
          <w:tcPr>
            <w:tcW w:w="710" w:type="dxa"/>
            <w:vAlign w:val="center"/>
          </w:tcPr>
          <w:p w14:paraId="71985A4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70 (80)</w:t>
            </w:r>
          </w:p>
        </w:tc>
        <w:tc>
          <w:tcPr>
            <w:tcW w:w="838" w:type="dxa"/>
            <w:vAlign w:val="center"/>
          </w:tcPr>
          <w:p w14:paraId="7CCBD0B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75 (85%)</w:t>
            </w:r>
          </w:p>
        </w:tc>
        <w:tc>
          <w:tcPr>
            <w:tcW w:w="848" w:type="dxa"/>
            <w:vAlign w:val="center"/>
          </w:tcPr>
          <w:p w14:paraId="32122F61"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48</w:t>
            </w:r>
          </w:p>
          <w:p w14:paraId="7EB079A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(54)</w:t>
            </w:r>
          </w:p>
        </w:tc>
        <w:tc>
          <w:tcPr>
            <w:tcW w:w="710" w:type="dxa"/>
            <w:vAlign w:val="center"/>
          </w:tcPr>
          <w:p w14:paraId="5338A8B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w:t>
            </w:r>
          </w:p>
        </w:tc>
        <w:tc>
          <w:tcPr>
            <w:tcW w:w="710" w:type="dxa"/>
            <w:vAlign w:val="center"/>
          </w:tcPr>
          <w:p w14:paraId="3FADE17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88" w:type="dxa"/>
            <w:vAlign w:val="center"/>
          </w:tcPr>
          <w:p w14:paraId="0CAFF37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4.20 ± 2.6</w:t>
            </w:r>
          </w:p>
        </w:tc>
        <w:tc>
          <w:tcPr>
            <w:tcW w:w="912" w:type="dxa"/>
            <w:vAlign w:val="center"/>
          </w:tcPr>
          <w:p w14:paraId="551BF68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21.5 ± 13.1</w:t>
            </w:r>
          </w:p>
        </w:tc>
        <w:tc>
          <w:tcPr>
            <w:tcW w:w="711" w:type="dxa"/>
            <w:vAlign w:val="center"/>
          </w:tcPr>
          <w:p w14:paraId="2CCD217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5488865A"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1496FB2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11" w:type="dxa"/>
            <w:vAlign w:val="center"/>
          </w:tcPr>
          <w:p w14:paraId="7F2E7D9B" w14:textId="1E43382B"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3.40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1.46-8.10)</w:t>
            </w:r>
          </w:p>
        </w:tc>
        <w:tc>
          <w:tcPr>
            <w:tcW w:w="907" w:type="dxa"/>
            <w:vAlign w:val="center"/>
          </w:tcPr>
          <w:p w14:paraId="35958D1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5D28412E" w14:textId="77777777" w:rsidTr="00924DAC">
        <w:trPr>
          <w:trHeight w:val="318"/>
        </w:trPr>
        <w:tc>
          <w:tcPr>
            <w:tcW w:w="707" w:type="dxa"/>
            <w:vAlign w:val="center"/>
          </w:tcPr>
          <w:p w14:paraId="2388F86C"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Aquaro et al., 2017 (16)</w:t>
            </w:r>
          </w:p>
        </w:tc>
        <w:tc>
          <w:tcPr>
            <w:tcW w:w="710" w:type="dxa"/>
            <w:vAlign w:val="center"/>
          </w:tcPr>
          <w:p w14:paraId="58AF188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35±15</w:t>
            </w:r>
          </w:p>
        </w:tc>
        <w:tc>
          <w:tcPr>
            <w:tcW w:w="710" w:type="dxa"/>
            <w:vAlign w:val="center"/>
          </w:tcPr>
          <w:p w14:paraId="504CF65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299 (73)</w:t>
            </w:r>
          </w:p>
        </w:tc>
        <w:tc>
          <w:tcPr>
            <w:tcW w:w="838" w:type="dxa"/>
            <w:vAlign w:val="center"/>
          </w:tcPr>
          <w:p w14:paraId="3392644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371 (96)</w:t>
            </w:r>
          </w:p>
        </w:tc>
        <w:tc>
          <w:tcPr>
            <w:tcW w:w="848" w:type="dxa"/>
            <w:vAlign w:val="center"/>
          </w:tcPr>
          <w:p w14:paraId="121D01DC"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386</w:t>
            </w:r>
          </w:p>
          <w:p w14:paraId="7DDD0C2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(100)</w:t>
            </w:r>
          </w:p>
        </w:tc>
        <w:tc>
          <w:tcPr>
            <w:tcW w:w="710" w:type="dxa"/>
            <w:vAlign w:val="center"/>
          </w:tcPr>
          <w:p w14:paraId="2427BC4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18 (5)</w:t>
            </w:r>
          </w:p>
        </w:tc>
        <w:tc>
          <w:tcPr>
            <w:tcW w:w="710" w:type="dxa"/>
            <w:vAlign w:val="center"/>
          </w:tcPr>
          <w:p w14:paraId="236E217F"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348 (93)</w:t>
            </w:r>
          </w:p>
        </w:tc>
        <w:tc>
          <w:tcPr>
            <w:tcW w:w="788" w:type="dxa"/>
            <w:vAlign w:val="center"/>
          </w:tcPr>
          <w:p w14:paraId="5307BFB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 (1–4)</w:t>
            </w:r>
          </w:p>
        </w:tc>
        <w:tc>
          <w:tcPr>
            <w:tcW w:w="912" w:type="dxa"/>
            <w:vAlign w:val="center"/>
          </w:tcPr>
          <w:p w14:paraId="6B53446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7474B4C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154 (41)</w:t>
            </w:r>
          </w:p>
        </w:tc>
        <w:tc>
          <w:tcPr>
            <w:tcW w:w="713" w:type="dxa"/>
            <w:vAlign w:val="center"/>
          </w:tcPr>
          <w:p w14:paraId="3C4741EE" w14:textId="1DB00272"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135 (36)</w:t>
            </w:r>
          </w:p>
        </w:tc>
        <w:tc>
          <w:tcPr>
            <w:tcW w:w="809" w:type="dxa"/>
            <w:vAlign w:val="center"/>
          </w:tcPr>
          <w:p w14:paraId="14B91E02" w14:textId="254290D9"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7.12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0.42 – 120)</w:t>
            </w:r>
          </w:p>
        </w:tc>
        <w:tc>
          <w:tcPr>
            <w:tcW w:w="811" w:type="dxa"/>
            <w:vAlign w:val="center"/>
          </w:tcPr>
          <w:p w14:paraId="1CC0DE56" w14:textId="119DD99D"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HR1.35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0.70-2.6)</w:t>
            </w:r>
          </w:p>
        </w:tc>
        <w:tc>
          <w:tcPr>
            <w:tcW w:w="907" w:type="dxa"/>
            <w:vAlign w:val="center"/>
          </w:tcPr>
          <w:p w14:paraId="2E1E5825" w14:textId="6FB217AD"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2.73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1.2-5.9)</w:t>
            </w:r>
          </w:p>
        </w:tc>
      </w:tr>
      <w:tr w:rsidR="0033039E" w:rsidRPr="00E5792C" w14:paraId="07518C33" w14:textId="77777777" w:rsidTr="00924DAC">
        <w:trPr>
          <w:trHeight w:val="318"/>
        </w:trPr>
        <w:tc>
          <w:tcPr>
            <w:tcW w:w="707" w:type="dxa"/>
            <w:vAlign w:val="center"/>
          </w:tcPr>
          <w:p w14:paraId="6C597553"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Gräni et al., 2017 (19)</w:t>
            </w:r>
          </w:p>
        </w:tc>
        <w:tc>
          <w:tcPr>
            <w:tcW w:w="710" w:type="dxa"/>
            <w:vAlign w:val="center"/>
          </w:tcPr>
          <w:p w14:paraId="3EF6D56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47.8 ± 16.0</w:t>
            </w:r>
          </w:p>
        </w:tc>
        <w:tc>
          <w:tcPr>
            <w:tcW w:w="710" w:type="dxa"/>
            <w:vAlign w:val="center"/>
          </w:tcPr>
          <w:p w14:paraId="1E65D21F"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392 (59)</w:t>
            </w:r>
          </w:p>
        </w:tc>
        <w:tc>
          <w:tcPr>
            <w:tcW w:w="838" w:type="dxa"/>
            <w:vAlign w:val="center"/>
          </w:tcPr>
          <w:p w14:paraId="433AB2D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278 (42)</w:t>
            </w:r>
          </w:p>
        </w:tc>
        <w:tc>
          <w:tcPr>
            <w:tcW w:w="848" w:type="dxa"/>
            <w:vAlign w:val="center"/>
          </w:tcPr>
          <w:p w14:paraId="3DEC0287"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170</w:t>
            </w:r>
          </w:p>
          <w:p w14:paraId="2229CAC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(63)</w:t>
            </w:r>
          </w:p>
        </w:tc>
        <w:tc>
          <w:tcPr>
            <w:tcW w:w="710" w:type="dxa"/>
            <w:vAlign w:val="center"/>
          </w:tcPr>
          <w:p w14:paraId="38546CE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57 (9)</w:t>
            </w:r>
          </w:p>
        </w:tc>
        <w:tc>
          <w:tcPr>
            <w:tcW w:w="710" w:type="dxa"/>
            <w:vAlign w:val="center"/>
          </w:tcPr>
          <w:p w14:paraId="19E21656"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294 (44)</w:t>
            </w:r>
          </w:p>
        </w:tc>
        <w:tc>
          <w:tcPr>
            <w:tcW w:w="788" w:type="dxa"/>
            <w:vAlign w:val="center"/>
          </w:tcPr>
          <w:p w14:paraId="117F9AD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6764DDE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2.2±4.4</w:t>
            </w:r>
          </w:p>
        </w:tc>
        <w:tc>
          <w:tcPr>
            <w:tcW w:w="711" w:type="dxa"/>
            <w:vAlign w:val="center"/>
          </w:tcPr>
          <w:p w14:paraId="23A2146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314 (46.9)</w:t>
            </w:r>
          </w:p>
        </w:tc>
        <w:tc>
          <w:tcPr>
            <w:tcW w:w="713" w:type="dxa"/>
            <w:vAlign w:val="center"/>
          </w:tcPr>
          <w:p w14:paraId="1BF493D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241 (40)</w:t>
            </w:r>
          </w:p>
        </w:tc>
        <w:tc>
          <w:tcPr>
            <w:tcW w:w="809" w:type="dxa"/>
            <w:vAlign w:val="center"/>
          </w:tcPr>
          <w:p w14:paraId="10D7BD2D" w14:textId="05BB980C"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1.72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1.08-2.76)</w:t>
            </w:r>
          </w:p>
        </w:tc>
        <w:tc>
          <w:tcPr>
            <w:tcW w:w="811" w:type="dxa"/>
            <w:vAlign w:val="center"/>
          </w:tcPr>
          <w:p w14:paraId="3F8131AD" w14:textId="41EE3643"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1.79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1.25-2.57)</w:t>
            </w:r>
          </w:p>
        </w:tc>
        <w:tc>
          <w:tcPr>
            <w:tcW w:w="907" w:type="dxa"/>
            <w:vAlign w:val="center"/>
          </w:tcPr>
          <w:p w14:paraId="5A5B9AE1" w14:textId="19573739"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2.55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1.77–3.83)</w:t>
            </w:r>
          </w:p>
        </w:tc>
      </w:tr>
      <w:tr w:rsidR="0033039E" w:rsidRPr="00E5792C" w14:paraId="38EEBE2C" w14:textId="77777777" w:rsidTr="00924DAC">
        <w:trPr>
          <w:trHeight w:val="318"/>
        </w:trPr>
        <w:tc>
          <w:tcPr>
            <w:tcW w:w="707" w:type="dxa"/>
            <w:vAlign w:val="center"/>
          </w:tcPr>
          <w:p w14:paraId="5E7C2790"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Spieker et al., 2017 (20)</w:t>
            </w:r>
          </w:p>
        </w:tc>
        <w:tc>
          <w:tcPr>
            <w:tcW w:w="710" w:type="dxa"/>
            <w:vAlign w:val="center"/>
          </w:tcPr>
          <w:p w14:paraId="5C06B18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41±16</w:t>
            </w:r>
          </w:p>
        </w:tc>
        <w:tc>
          <w:tcPr>
            <w:tcW w:w="710" w:type="dxa"/>
            <w:vAlign w:val="center"/>
          </w:tcPr>
          <w:p w14:paraId="07D474D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33 (72)</w:t>
            </w:r>
          </w:p>
        </w:tc>
        <w:tc>
          <w:tcPr>
            <w:tcW w:w="838" w:type="dxa"/>
            <w:vAlign w:val="center"/>
          </w:tcPr>
          <w:p w14:paraId="7C9205F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32 (70)</w:t>
            </w:r>
          </w:p>
        </w:tc>
        <w:tc>
          <w:tcPr>
            <w:tcW w:w="848" w:type="dxa"/>
            <w:vAlign w:val="center"/>
          </w:tcPr>
          <w:p w14:paraId="08FB8344" w14:textId="77777777" w:rsidR="0033039E" w:rsidRPr="00E5792C" w:rsidRDefault="0033039E" w:rsidP="00E5792C">
            <w:pPr>
              <w:jc w:val="center"/>
              <w:rPr>
                <w:rFonts w:ascii="Times" w:hAnsi="Times" w:cs="Calibri"/>
                <w:color w:val="000000"/>
                <w:sz w:val="12"/>
                <w:szCs w:val="12"/>
                <w:lang w:val="en-US"/>
              </w:rPr>
            </w:pPr>
            <w:r w:rsidRPr="00E5792C">
              <w:rPr>
                <w:rFonts w:ascii="Times" w:hAnsi="Times" w:cs="Calibri"/>
                <w:color w:val="000000"/>
                <w:sz w:val="12"/>
                <w:szCs w:val="12"/>
                <w:lang w:val="en-US"/>
              </w:rPr>
              <w:t>38</w:t>
            </w:r>
          </w:p>
          <w:p w14:paraId="33E7738A"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(83)</w:t>
            </w:r>
          </w:p>
        </w:tc>
        <w:tc>
          <w:tcPr>
            <w:tcW w:w="710" w:type="dxa"/>
            <w:vAlign w:val="center"/>
          </w:tcPr>
          <w:p w14:paraId="5148329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40(87)</w:t>
            </w:r>
          </w:p>
        </w:tc>
        <w:tc>
          <w:tcPr>
            <w:tcW w:w="710" w:type="dxa"/>
            <w:vAlign w:val="center"/>
          </w:tcPr>
          <w:p w14:paraId="59C90924"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37 (80)</w:t>
            </w:r>
          </w:p>
        </w:tc>
        <w:tc>
          <w:tcPr>
            <w:tcW w:w="788" w:type="dxa"/>
            <w:vAlign w:val="center"/>
          </w:tcPr>
          <w:p w14:paraId="10709ED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4B89919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77A41E2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6E24DFFB"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17B1941A" w14:textId="08C4B53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4.2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0.62–49.34)</w:t>
            </w:r>
          </w:p>
        </w:tc>
        <w:tc>
          <w:tcPr>
            <w:tcW w:w="811" w:type="dxa"/>
            <w:vAlign w:val="center"/>
          </w:tcPr>
          <w:p w14:paraId="128B5CE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07789B6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0DD25A53" w14:textId="77777777" w:rsidTr="00924DAC">
        <w:trPr>
          <w:trHeight w:val="318"/>
        </w:trPr>
        <w:tc>
          <w:tcPr>
            <w:tcW w:w="707" w:type="dxa"/>
            <w:vAlign w:val="center"/>
          </w:tcPr>
          <w:p w14:paraId="3A026C36"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Lee et al., 2017 (21)</w:t>
            </w:r>
          </w:p>
        </w:tc>
        <w:tc>
          <w:tcPr>
            <w:tcW w:w="710" w:type="dxa"/>
            <w:vAlign w:val="center"/>
          </w:tcPr>
          <w:p w14:paraId="09FE1F6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41.5 ± 17.5</w:t>
            </w:r>
          </w:p>
        </w:tc>
        <w:tc>
          <w:tcPr>
            <w:tcW w:w="710" w:type="dxa"/>
            <w:vAlign w:val="center"/>
          </w:tcPr>
          <w:p w14:paraId="75064B7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22 (59)</w:t>
            </w:r>
          </w:p>
        </w:tc>
        <w:tc>
          <w:tcPr>
            <w:tcW w:w="838" w:type="dxa"/>
            <w:vAlign w:val="center"/>
          </w:tcPr>
          <w:p w14:paraId="0D8ADB4C"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31 (83.8)</w:t>
            </w:r>
          </w:p>
        </w:tc>
        <w:tc>
          <w:tcPr>
            <w:tcW w:w="848" w:type="dxa"/>
            <w:vAlign w:val="center"/>
          </w:tcPr>
          <w:p w14:paraId="230BA0D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710" w:type="dxa"/>
            <w:vAlign w:val="center"/>
          </w:tcPr>
          <w:p w14:paraId="102634B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7 (18.9)</w:t>
            </w:r>
          </w:p>
        </w:tc>
        <w:tc>
          <w:tcPr>
            <w:tcW w:w="710" w:type="dxa"/>
            <w:vAlign w:val="center"/>
          </w:tcPr>
          <w:p w14:paraId="24C13DC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23 (62.2)</w:t>
            </w:r>
          </w:p>
        </w:tc>
        <w:tc>
          <w:tcPr>
            <w:tcW w:w="788" w:type="dxa"/>
            <w:vAlign w:val="center"/>
          </w:tcPr>
          <w:p w14:paraId="246CBBD7"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7A6EDCD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0A1A93ED"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38A9959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09" w:type="dxa"/>
            <w:vAlign w:val="center"/>
          </w:tcPr>
          <w:p w14:paraId="5CDC4E9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42.88</w:t>
            </w:r>
          </w:p>
          <w:p w14:paraId="0ABFF26A" w14:textId="7D68C2F0"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2.15-855)</w:t>
            </w:r>
          </w:p>
        </w:tc>
        <w:tc>
          <w:tcPr>
            <w:tcW w:w="811" w:type="dxa"/>
            <w:vAlign w:val="center"/>
          </w:tcPr>
          <w:p w14:paraId="00C3942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6A16F56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r>
      <w:tr w:rsidR="0033039E" w:rsidRPr="00E5792C" w14:paraId="5C497E78" w14:textId="77777777" w:rsidTr="00924DAC">
        <w:trPr>
          <w:trHeight w:val="318"/>
        </w:trPr>
        <w:tc>
          <w:tcPr>
            <w:tcW w:w="707" w:type="dxa"/>
            <w:vAlign w:val="center"/>
          </w:tcPr>
          <w:p w14:paraId="59DFED87"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Filippetti et al., 2018 (23)</w:t>
            </w:r>
          </w:p>
        </w:tc>
        <w:tc>
          <w:tcPr>
            <w:tcW w:w="710" w:type="dxa"/>
            <w:vAlign w:val="center"/>
          </w:tcPr>
          <w:p w14:paraId="7EA849E7"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34.9 ± 14.6</w:t>
            </w:r>
          </w:p>
        </w:tc>
        <w:tc>
          <w:tcPr>
            <w:tcW w:w="710" w:type="dxa"/>
            <w:vAlign w:val="center"/>
          </w:tcPr>
          <w:p w14:paraId="1928186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154 (76)</w:t>
            </w:r>
          </w:p>
        </w:tc>
        <w:tc>
          <w:tcPr>
            <w:tcW w:w="838" w:type="dxa"/>
            <w:vAlign w:val="center"/>
          </w:tcPr>
          <w:p w14:paraId="323D206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848" w:type="dxa"/>
            <w:vAlign w:val="center"/>
          </w:tcPr>
          <w:p w14:paraId="6E11DCD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710" w:type="dxa"/>
            <w:vAlign w:val="center"/>
          </w:tcPr>
          <w:p w14:paraId="3E525636"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w:t>
            </w:r>
          </w:p>
        </w:tc>
        <w:tc>
          <w:tcPr>
            <w:tcW w:w="710" w:type="dxa"/>
            <w:vAlign w:val="center"/>
          </w:tcPr>
          <w:p w14:paraId="77C2265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88" w:type="dxa"/>
            <w:vAlign w:val="center"/>
          </w:tcPr>
          <w:p w14:paraId="6E44BCF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12" w:type="dxa"/>
            <w:vAlign w:val="center"/>
          </w:tcPr>
          <w:p w14:paraId="5E11BA13"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691C583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(79)</w:t>
            </w:r>
          </w:p>
        </w:tc>
        <w:tc>
          <w:tcPr>
            <w:tcW w:w="713" w:type="dxa"/>
            <w:vAlign w:val="center"/>
          </w:tcPr>
          <w:p w14:paraId="7F715D1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(6.3)</w:t>
            </w:r>
          </w:p>
        </w:tc>
        <w:tc>
          <w:tcPr>
            <w:tcW w:w="809" w:type="dxa"/>
            <w:vAlign w:val="center"/>
          </w:tcPr>
          <w:p w14:paraId="3B0C57A0"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11" w:type="dxa"/>
            <w:vAlign w:val="center"/>
          </w:tcPr>
          <w:p w14:paraId="638A781A"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522E7BA0" w14:textId="3280FC2E"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HR 5.88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1.61-21.49)</w:t>
            </w:r>
          </w:p>
        </w:tc>
      </w:tr>
      <w:tr w:rsidR="0033039E" w:rsidRPr="00E5792C" w14:paraId="02C4A234" w14:textId="77777777" w:rsidTr="00924DAC">
        <w:trPr>
          <w:trHeight w:val="296"/>
        </w:trPr>
        <w:tc>
          <w:tcPr>
            <w:tcW w:w="707" w:type="dxa"/>
            <w:vAlign w:val="center"/>
          </w:tcPr>
          <w:p w14:paraId="0A85972A" w14:textId="77777777" w:rsidR="0033039E" w:rsidRPr="00E5792C" w:rsidRDefault="0033039E" w:rsidP="00E5792C">
            <w:pPr>
              <w:jc w:val="center"/>
              <w:rPr>
                <w:rFonts w:ascii="Times" w:hAnsi="Times" w:cs="Calibri"/>
                <w:bCs/>
                <w:color w:val="000000"/>
                <w:sz w:val="13"/>
                <w:szCs w:val="12"/>
                <w:lang w:val="en-US"/>
              </w:rPr>
            </w:pPr>
            <w:r w:rsidRPr="00E5792C">
              <w:rPr>
                <w:rFonts w:ascii="Times" w:hAnsi="Times" w:cs="Calibri"/>
                <w:bCs/>
                <w:color w:val="000000"/>
                <w:sz w:val="13"/>
                <w:szCs w:val="12"/>
                <w:lang w:val="en-US"/>
              </w:rPr>
              <w:t>Imazio et al., 2018 (17)</w:t>
            </w:r>
          </w:p>
        </w:tc>
        <w:tc>
          <w:tcPr>
            <w:tcW w:w="710" w:type="dxa"/>
            <w:vAlign w:val="center"/>
          </w:tcPr>
          <w:p w14:paraId="4204EA5E"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47 (42 - 51)</w:t>
            </w:r>
          </w:p>
        </w:tc>
        <w:tc>
          <w:tcPr>
            <w:tcW w:w="710" w:type="dxa"/>
            <w:vAlign w:val="center"/>
          </w:tcPr>
          <w:p w14:paraId="519FF64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53 (75)</w:t>
            </w:r>
          </w:p>
        </w:tc>
        <w:tc>
          <w:tcPr>
            <w:tcW w:w="838" w:type="dxa"/>
            <w:vAlign w:val="center"/>
          </w:tcPr>
          <w:p w14:paraId="00B72137"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848" w:type="dxa"/>
            <w:vAlign w:val="center"/>
          </w:tcPr>
          <w:p w14:paraId="0C81E94A"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2"/>
                <w:szCs w:val="12"/>
                <w:lang w:val="en-US"/>
              </w:rPr>
              <w:t>-</w:t>
            </w:r>
          </w:p>
        </w:tc>
        <w:tc>
          <w:tcPr>
            <w:tcW w:w="710" w:type="dxa"/>
            <w:vAlign w:val="center"/>
          </w:tcPr>
          <w:p w14:paraId="6EDF791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sz w:val="12"/>
                <w:szCs w:val="12"/>
                <w:lang w:val="en-US"/>
              </w:rPr>
              <w:t>-</w:t>
            </w:r>
          </w:p>
        </w:tc>
        <w:tc>
          <w:tcPr>
            <w:tcW w:w="710" w:type="dxa"/>
            <w:vAlign w:val="center"/>
          </w:tcPr>
          <w:p w14:paraId="0E35A8C9"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66 (93)</w:t>
            </w:r>
          </w:p>
        </w:tc>
        <w:tc>
          <w:tcPr>
            <w:tcW w:w="788" w:type="dxa"/>
            <w:vAlign w:val="center"/>
          </w:tcPr>
          <w:p w14:paraId="3B98EA1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3.5</w:t>
            </w:r>
          </w:p>
        </w:tc>
        <w:tc>
          <w:tcPr>
            <w:tcW w:w="912" w:type="dxa"/>
            <w:vAlign w:val="center"/>
          </w:tcPr>
          <w:p w14:paraId="7458F0E8"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1" w:type="dxa"/>
            <w:vAlign w:val="center"/>
          </w:tcPr>
          <w:p w14:paraId="131EE6DA"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713" w:type="dxa"/>
            <w:vAlign w:val="center"/>
          </w:tcPr>
          <w:p w14:paraId="238AE255"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21 (30)</w:t>
            </w:r>
          </w:p>
        </w:tc>
        <w:tc>
          <w:tcPr>
            <w:tcW w:w="809" w:type="dxa"/>
            <w:vAlign w:val="center"/>
          </w:tcPr>
          <w:p w14:paraId="2219A601"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811" w:type="dxa"/>
            <w:vAlign w:val="center"/>
          </w:tcPr>
          <w:p w14:paraId="4D024702" w14:textId="77777777"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w:t>
            </w:r>
          </w:p>
        </w:tc>
        <w:tc>
          <w:tcPr>
            <w:tcW w:w="907" w:type="dxa"/>
            <w:vAlign w:val="center"/>
          </w:tcPr>
          <w:p w14:paraId="6B6AFEFA" w14:textId="370B67BA" w:rsidR="0033039E" w:rsidRPr="00E5792C" w:rsidRDefault="0033039E" w:rsidP="00E5792C">
            <w:pPr>
              <w:jc w:val="center"/>
              <w:rPr>
                <w:rFonts w:ascii="Times" w:hAnsi="Times" w:cs="Calibri"/>
                <w:color w:val="000000"/>
                <w:sz w:val="13"/>
                <w:szCs w:val="12"/>
                <w:lang w:val="en-US"/>
              </w:rPr>
            </w:pPr>
            <w:r w:rsidRPr="00E5792C">
              <w:rPr>
                <w:rFonts w:ascii="Times" w:hAnsi="Times" w:cs="Calibri"/>
                <w:color w:val="000000"/>
                <w:sz w:val="13"/>
                <w:szCs w:val="12"/>
                <w:lang w:val="en-US"/>
              </w:rPr>
              <w:t>OR: 2.53 (95% CI</w:t>
            </w:r>
            <w:r w:rsidR="00AA743F" w:rsidRPr="00E5792C">
              <w:rPr>
                <w:rFonts w:ascii="Times" w:hAnsi="Times" w:cs="Calibri"/>
                <w:color w:val="000000"/>
                <w:sz w:val="13"/>
                <w:szCs w:val="12"/>
                <w:lang w:val="en-US"/>
              </w:rPr>
              <w:t>s</w:t>
            </w:r>
            <w:r w:rsidRPr="00E5792C">
              <w:rPr>
                <w:rFonts w:ascii="Times" w:hAnsi="Times" w:cs="Calibri"/>
                <w:color w:val="000000"/>
                <w:sz w:val="13"/>
                <w:szCs w:val="12"/>
                <w:lang w:val="en-US"/>
              </w:rPr>
              <w:t xml:space="preserve"> 0.33 – 19.25)</w:t>
            </w:r>
          </w:p>
        </w:tc>
      </w:tr>
    </w:tbl>
    <w:p w14:paraId="7ED861A1" w14:textId="62CE5636" w:rsidR="00E82D14" w:rsidRPr="00E5792C" w:rsidRDefault="00E82D14" w:rsidP="00E5792C">
      <w:pPr>
        <w:spacing w:line="480" w:lineRule="auto"/>
        <w:jc w:val="both"/>
        <w:rPr>
          <w:rFonts w:ascii="Times" w:hAnsi="Times"/>
          <w:bCs/>
          <w:lang w:val="en-US"/>
        </w:rPr>
      </w:pPr>
    </w:p>
    <w:p w14:paraId="3F5C3FA0" w14:textId="2C43D5E4" w:rsidR="00535E9B" w:rsidRPr="00E5792C" w:rsidRDefault="00AA743F" w:rsidP="00E5792C">
      <w:pPr>
        <w:spacing w:line="480" w:lineRule="auto"/>
        <w:jc w:val="both"/>
        <w:rPr>
          <w:rFonts w:ascii="Times" w:hAnsi="Times"/>
          <w:sz w:val="20"/>
          <w:szCs w:val="20"/>
          <w:lang w:val="en-US"/>
        </w:rPr>
      </w:pPr>
      <w:r w:rsidRPr="00E5792C">
        <w:rPr>
          <w:rFonts w:ascii="Times" w:hAnsi="Times"/>
          <w:sz w:val="20"/>
          <w:szCs w:val="20"/>
          <w:lang w:val="en-US"/>
        </w:rPr>
        <w:t xml:space="preserve">CIs: Confidence Intervals; </w:t>
      </w:r>
      <w:r w:rsidR="00535E9B" w:rsidRPr="00E5792C">
        <w:rPr>
          <w:rFonts w:ascii="Times" w:hAnsi="Times"/>
          <w:sz w:val="20"/>
          <w:szCs w:val="20"/>
          <w:lang w:val="en-US"/>
        </w:rPr>
        <w:t>EMB: endomyocardial biopsy; HR: Hazard Ratio; LGE: Late gadolinium enhancement; N: Numbers; OR: odds ratio.</w:t>
      </w:r>
    </w:p>
    <w:p w14:paraId="5101AEB9" w14:textId="77777777" w:rsidR="00535E9B" w:rsidRPr="00E5792C" w:rsidRDefault="00535E9B" w:rsidP="00E5792C">
      <w:pPr>
        <w:spacing w:line="480" w:lineRule="auto"/>
        <w:jc w:val="both"/>
        <w:rPr>
          <w:rFonts w:ascii="Times" w:hAnsi="Times"/>
          <w:sz w:val="20"/>
          <w:szCs w:val="20"/>
          <w:lang w:val="en-US"/>
        </w:rPr>
      </w:pPr>
    </w:p>
    <w:p w14:paraId="17BE3CAA" w14:textId="77777777" w:rsidR="00535E9B" w:rsidRPr="00E5792C" w:rsidRDefault="00535E9B" w:rsidP="00E5792C">
      <w:pPr>
        <w:spacing w:line="480" w:lineRule="auto"/>
        <w:jc w:val="both"/>
        <w:rPr>
          <w:rFonts w:ascii="Times" w:hAnsi="Times"/>
          <w:sz w:val="20"/>
          <w:szCs w:val="20"/>
          <w:lang w:val="en-US"/>
        </w:rPr>
      </w:pPr>
    </w:p>
    <w:p w14:paraId="7787D274" w14:textId="77777777" w:rsidR="00B04004" w:rsidRPr="00E5792C" w:rsidRDefault="00B04004" w:rsidP="00E5792C">
      <w:pPr>
        <w:spacing w:line="360" w:lineRule="auto"/>
        <w:jc w:val="both"/>
        <w:rPr>
          <w:rFonts w:ascii="Times" w:hAnsi="Times"/>
          <w:b/>
          <w:bCs/>
          <w:lang w:val="en-US"/>
        </w:rPr>
      </w:pPr>
    </w:p>
    <w:p w14:paraId="43C55014" w14:textId="77777777" w:rsidR="00535E9B" w:rsidRPr="00E5792C" w:rsidRDefault="00535E9B" w:rsidP="00E5792C">
      <w:pPr>
        <w:spacing w:line="360" w:lineRule="auto"/>
        <w:jc w:val="both"/>
        <w:rPr>
          <w:rFonts w:ascii="Times" w:hAnsi="Times"/>
          <w:b/>
          <w:bCs/>
          <w:lang w:val="en-US"/>
        </w:rPr>
      </w:pPr>
    </w:p>
    <w:p w14:paraId="5E74466A" w14:textId="77777777" w:rsidR="00535E9B" w:rsidRPr="00E5792C" w:rsidRDefault="00535E9B" w:rsidP="00E5792C">
      <w:pPr>
        <w:spacing w:line="360" w:lineRule="auto"/>
        <w:jc w:val="both"/>
        <w:rPr>
          <w:rFonts w:ascii="Times" w:hAnsi="Times"/>
          <w:b/>
          <w:bCs/>
          <w:lang w:val="en-US"/>
        </w:rPr>
      </w:pPr>
    </w:p>
    <w:p w14:paraId="7750DD20" w14:textId="77777777" w:rsidR="00535E9B" w:rsidRPr="00E5792C" w:rsidRDefault="00535E9B" w:rsidP="00E5792C">
      <w:pPr>
        <w:spacing w:line="360" w:lineRule="auto"/>
        <w:jc w:val="both"/>
        <w:rPr>
          <w:rFonts w:ascii="Times" w:hAnsi="Times"/>
          <w:b/>
          <w:bCs/>
          <w:lang w:val="en-US"/>
        </w:rPr>
      </w:pPr>
    </w:p>
    <w:p w14:paraId="57C54DB2" w14:textId="77777777" w:rsidR="00535E9B" w:rsidRPr="00E5792C" w:rsidRDefault="00535E9B" w:rsidP="00E5792C">
      <w:pPr>
        <w:spacing w:line="360" w:lineRule="auto"/>
        <w:jc w:val="both"/>
        <w:rPr>
          <w:rFonts w:ascii="Times" w:hAnsi="Times"/>
          <w:b/>
          <w:bCs/>
          <w:lang w:val="en-US"/>
        </w:rPr>
      </w:pPr>
    </w:p>
    <w:p w14:paraId="61A015CE" w14:textId="77777777" w:rsidR="00535E9B" w:rsidRPr="00E5792C" w:rsidRDefault="00535E9B" w:rsidP="00E5792C">
      <w:pPr>
        <w:spacing w:line="360" w:lineRule="auto"/>
        <w:jc w:val="both"/>
        <w:rPr>
          <w:rFonts w:ascii="Times" w:hAnsi="Times"/>
          <w:b/>
          <w:bCs/>
          <w:lang w:val="en-US"/>
        </w:rPr>
      </w:pPr>
    </w:p>
    <w:p w14:paraId="6385FFF6" w14:textId="47429D79" w:rsidR="00535E9B" w:rsidRPr="00E5792C" w:rsidRDefault="00535E9B" w:rsidP="00E5792C">
      <w:pPr>
        <w:spacing w:line="360" w:lineRule="auto"/>
        <w:jc w:val="both"/>
        <w:rPr>
          <w:rFonts w:ascii="Times" w:hAnsi="Times"/>
          <w:b/>
          <w:bCs/>
          <w:lang w:val="en-US"/>
        </w:rPr>
        <w:sectPr w:rsidR="00535E9B" w:rsidRPr="00E5792C" w:rsidSect="0073026D">
          <w:footerReference w:type="even" r:id="rId12"/>
          <w:footerReference w:type="default" r:id="rId13"/>
          <w:pgSz w:w="11906" w:h="16838"/>
          <w:pgMar w:top="1418" w:right="1134" w:bottom="1134" w:left="1134" w:header="709" w:footer="709" w:gutter="0"/>
          <w:lnNumType w:countBy="1"/>
          <w:pgNumType w:start="1"/>
          <w:cols w:space="708"/>
          <w:docGrid w:linePitch="360"/>
        </w:sectPr>
      </w:pPr>
    </w:p>
    <w:p w14:paraId="608BBD48" w14:textId="77777777" w:rsidR="00DD0705" w:rsidRPr="00E5792C" w:rsidRDefault="00DD0705" w:rsidP="00E5792C">
      <w:pPr>
        <w:spacing w:line="480" w:lineRule="auto"/>
        <w:jc w:val="both"/>
        <w:rPr>
          <w:rFonts w:ascii="Times" w:hAnsi="Times"/>
          <w:b/>
          <w:lang w:val="en-US"/>
        </w:rPr>
      </w:pPr>
      <w:r w:rsidRPr="00E5792C">
        <w:rPr>
          <w:rFonts w:ascii="Times" w:hAnsi="Times"/>
          <w:b/>
          <w:lang w:val="en-US"/>
        </w:rPr>
        <w:lastRenderedPageBreak/>
        <w:t>Figure titles and legends</w:t>
      </w:r>
    </w:p>
    <w:p w14:paraId="33CB86A1" w14:textId="7F316A0A" w:rsidR="002065A3" w:rsidRPr="00E5792C" w:rsidRDefault="00DD0705" w:rsidP="00E5792C">
      <w:pPr>
        <w:pStyle w:val="Caption"/>
        <w:spacing w:after="0" w:line="480" w:lineRule="auto"/>
        <w:rPr>
          <w:rFonts w:ascii="Times New Roman" w:hAnsi="Times New Roman" w:cs="Times New Roman"/>
          <w:i w:val="0"/>
          <w:iCs w:val="0"/>
          <w:color w:val="auto"/>
          <w:sz w:val="24"/>
          <w:szCs w:val="24"/>
          <w:lang w:val="en-US"/>
        </w:rPr>
      </w:pPr>
      <w:r w:rsidRPr="00E5792C">
        <w:rPr>
          <w:rFonts w:ascii="Times New Roman" w:hAnsi="Times New Roman" w:cs="Times New Roman"/>
          <w:b/>
          <w:i w:val="0"/>
          <w:iCs w:val="0"/>
          <w:color w:val="auto"/>
          <w:sz w:val="24"/>
          <w:szCs w:val="24"/>
          <w:lang w:val="en-US"/>
        </w:rPr>
        <w:t xml:space="preserve">Figure </w:t>
      </w:r>
      <w:r w:rsidRPr="00E5792C">
        <w:rPr>
          <w:rFonts w:ascii="Times New Roman" w:hAnsi="Times New Roman" w:cs="Times New Roman"/>
          <w:b/>
          <w:i w:val="0"/>
          <w:iCs w:val="0"/>
          <w:color w:val="auto"/>
          <w:sz w:val="24"/>
          <w:szCs w:val="24"/>
          <w:lang w:val="en-US"/>
        </w:rPr>
        <w:fldChar w:fldCharType="begin"/>
      </w:r>
      <w:r w:rsidRPr="00E5792C">
        <w:rPr>
          <w:rFonts w:ascii="Times New Roman" w:hAnsi="Times New Roman" w:cs="Times New Roman"/>
          <w:b/>
          <w:i w:val="0"/>
          <w:iCs w:val="0"/>
          <w:color w:val="auto"/>
          <w:sz w:val="24"/>
          <w:szCs w:val="24"/>
          <w:lang w:val="en-US"/>
        </w:rPr>
        <w:instrText xml:space="preserve"> SEQ Figure \* ARABIC </w:instrText>
      </w:r>
      <w:r w:rsidRPr="00E5792C">
        <w:rPr>
          <w:rFonts w:ascii="Times New Roman" w:hAnsi="Times New Roman" w:cs="Times New Roman"/>
          <w:b/>
          <w:i w:val="0"/>
          <w:iCs w:val="0"/>
          <w:color w:val="auto"/>
          <w:sz w:val="24"/>
          <w:szCs w:val="24"/>
          <w:lang w:val="en-US"/>
        </w:rPr>
        <w:fldChar w:fldCharType="separate"/>
      </w:r>
      <w:r w:rsidRPr="00E5792C">
        <w:rPr>
          <w:rFonts w:ascii="Times New Roman" w:hAnsi="Times New Roman" w:cs="Times New Roman"/>
          <w:b/>
          <w:i w:val="0"/>
          <w:iCs w:val="0"/>
          <w:noProof/>
          <w:color w:val="auto"/>
          <w:sz w:val="24"/>
          <w:szCs w:val="24"/>
          <w:lang w:val="en-US"/>
        </w:rPr>
        <w:t>1</w:t>
      </w:r>
      <w:r w:rsidRPr="00E5792C">
        <w:rPr>
          <w:rFonts w:ascii="Times New Roman" w:hAnsi="Times New Roman" w:cs="Times New Roman"/>
          <w:b/>
          <w:i w:val="0"/>
          <w:iCs w:val="0"/>
          <w:color w:val="auto"/>
          <w:sz w:val="24"/>
          <w:szCs w:val="24"/>
          <w:lang w:val="en-US"/>
        </w:rPr>
        <w:fldChar w:fldCharType="end"/>
      </w:r>
      <w:r w:rsidRPr="00E5792C">
        <w:rPr>
          <w:rFonts w:ascii="Times New Roman" w:hAnsi="Times New Roman" w:cs="Times New Roman"/>
          <w:i w:val="0"/>
          <w:iCs w:val="0"/>
          <w:color w:val="auto"/>
          <w:sz w:val="24"/>
          <w:szCs w:val="24"/>
          <w:lang w:val="en-US"/>
        </w:rPr>
        <w:t>. Study screening flow diagram.</w:t>
      </w:r>
    </w:p>
    <w:p w14:paraId="0214D197" w14:textId="287CCEAC" w:rsidR="00620A83" w:rsidRPr="00E5792C" w:rsidRDefault="00620A83" w:rsidP="00E5792C">
      <w:pPr>
        <w:spacing w:line="480" w:lineRule="auto"/>
        <w:jc w:val="both"/>
        <w:rPr>
          <w:lang w:val="en-US"/>
        </w:rPr>
      </w:pPr>
      <w:r w:rsidRPr="00E5792C">
        <w:rPr>
          <w:b/>
          <w:lang w:val="en-US"/>
        </w:rPr>
        <w:t>Figure 2</w:t>
      </w:r>
      <w:r w:rsidRPr="00E5792C">
        <w:rPr>
          <w:lang w:val="en-US"/>
        </w:rPr>
        <w:t xml:space="preserve">. Pooled estimates for A) presence, B) extent, and C) </w:t>
      </w:r>
      <w:r w:rsidR="00FF4B5D" w:rsidRPr="00E5792C">
        <w:rPr>
          <w:lang w:val="en-US"/>
        </w:rPr>
        <w:t xml:space="preserve">anteroseptal </w:t>
      </w:r>
      <w:r w:rsidRPr="00E5792C">
        <w:rPr>
          <w:lang w:val="en-US"/>
        </w:rPr>
        <w:t>loca</w:t>
      </w:r>
      <w:r w:rsidR="00AE461D" w:rsidRPr="00E5792C">
        <w:rPr>
          <w:lang w:val="en-US"/>
        </w:rPr>
        <w:t>tion</w:t>
      </w:r>
      <w:r w:rsidRPr="00E5792C">
        <w:rPr>
          <w:lang w:val="en-US"/>
        </w:rPr>
        <w:t xml:space="preserve"> of LGE and the incidence of the combined endpoint.</w:t>
      </w:r>
    </w:p>
    <w:p w14:paraId="7245935F" w14:textId="4A4618E3" w:rsidR="00620A83" w:rsidRPr="00E5792C" w:rsidRDefault="00620A83" w:rsidP="00E5792C">
      <w:pPr>
        <w:spacing w:line="480" w:lineRule="auto"/>
        <w:jc w:val="both"/>
        <w:rPr>
          <w:sz w:val="20"/>
          <w:szCs w:val="20"/>
          <w:lang w:val="en-US" w:eastAsia="en-GB"/>
        </w:rPr>
      </w:pPr>
      <w:r w:rsidRPr="00E5792C">
        <w:rPr>
          <w:sz w:val="20"/>
          <w:szCs w:val="20"/>
          <w:lang w:val="en-US"/>
        </w:rPr>
        <w:t xml:space="preserve">The diamonds and their width represent the pooled HRs and the 95% CIs, respectively. Pooled estimates are derived from </w:t>
      </w:r>
      <w:r w:rsidRPr="00E5792C">
        <w:rPr>
          <w:rFonts w:eastAsia="MS Mincho"/>
          <w:sz w:val="20"/>
          <w:szCs w:val="20"/>
          <w:lang w:val="en-US"/>
        </w:rPr>
        <w:t xml:space="preserve">a random-effects model with the HK </w:t>
      </w:r>
      <w:r w:rsidRPr="00E5792C">
        <w:rPr>
          <w:sz w:val="20"/>
          <w:szCs w:val="20"/>
          <w:lang w:val="en-US" w:eastAsia="en-GB"/>
        </w:rPr>
        <w:t>correction to address the small number of studies</w:t>
      </w:r>
      <w:r w:rsidRPr="00E5792C">
        <w:rPr>
          <w:rFonts w:eastAsia="MS Mincho"/>
          <w:sz w:val="20"/>
          <w:szCs w:val="20"/>
          <w:lang w:val="en-US"/>
        </w:rPr>
        <w:t>.</w:t>
      </w:r>
      <w:r w:rsidRPr="00E5792C">
        <w:rPr>
          <w:sz w:val="20"/>
          <w:szCs w:val="20"/>
          <w:lang w:val="en-US" w:eastAsia="en-GB"/>
        </w:rPr>
        <w:t xml:space="preserve"> </w:t>
      </w:r>
      <w:r w:rsidRPr="00E5792C">
        <w:rPr>
          <w:sz w:val="20"/>
          <w:szCs w:val="20"/>
          <w:lang w:val="en-US"/>
        </w:rPr>
        <w:t>CIs: Confidence Intervals; HK: Hartung and Knapp; HR: hazard ratio; LGE: Late gadolinium enhancement.</w:t>
      </w:r>
    </w:p>
    <w:p w14:paraId="267E6A80" w14:textId="761FB2D9" w:rsidR="00AE4AF9" w:rsidRPr="00E5792C" w:rsidRDefault="00AE4AF9" w:rsidP="00E5792C">
      <w:pPr>
        <w:spacing w:line="480" w:lineRule="auto"/>
        <w:jc w:val="both"/>
        <w:rPr>
          <w:lang w:val="en-US"/>
        </w:rPr>
      </w:pPr>
      <w:r w:rsidRPr="00E5792C">
        <w:rPr>
          <w:b/>
          <w:lang w:val="en-US"/>
        </w:rPr>
        <w:t xml:space="preserve">Figure </w:t>
      </w:r>
      <w:r w:rsidR="00AB01FC" w:rsidRPr="00E5792C">
        <w:rPr>
          <w:b/>
          <w:lang w:val="en-US"/>
        </w:rPr>
        <w:t>3</w:t>
      </w:r>
      <w:r w:rsidRPr="00E5792C">
        <w:rPr>
          <w:b/>
          <w:lang w:val="en-US"/>
        </w:rPr>
        <w:t xml:space="preserve">. </w:t>
      </w:r>
      <w:r w:rsidRPr="00E5792C">
        <w:rPr>
          <w:lang w:val="en-US"/>
        </w:rPr>
        <w:t>Publication bias for A) presence; B) extent and C) location of LGE and incidence of the combined endpoint in patients with acute myocarditis.</w:t>
      </w:r>
    </w:p>
    <w:p w14:paraId="1BDC25C9" w14:textId="698E0335" w:rsidR="00AE4AF9" w:rsidRPr="00E5792C" w:rsidRDefault="00AE4AF9" w:rsidP="00E5792C">
      <w:pPr>
        <w:tabs>
          <w:tab w:val="left" w:pos="360"/>
        </w:tabs>
        <w:spacing w:line="480" w:lineRule="auto"/>
        <w:jc w:val="both"/>
        <w:rPr>
          <w:sz w:val="20"/>
          <w:szCs w:val="20"/>
          <w:lang w:val="en-US"/>
        </w:rPr>
      </w:pPr>
      <w:r w:rsidRPr="00E5792C">
        <w:rPr>
          <w:bCs/>
          <w:sz w:val="20"/>
          <w:szCs w:val="20"/>
          <w:lang w:val="en-US"/>
        </w:rPr>
        <w:t>Circ</w:t>
      </w:r>
      <w:r w:rsidRPr="00E5792C">
        <w:rPr>
          <w:sz w:val="20"/>
          <w:szCs w:val="20"/>
          <w:lang w:val="en-US"/>
        </w:rPr>
        <w:t>les represent individual studies in the meta-analysis and the vertical line the pooled estimate of the logarithmic hazard ratio for each outcome.</w:t>
      </w:r>
    </w:p>
    <w:p w14:paraId="30817AEA" w14:textId="77777777" w:rsidR="00AE4AF9" w:rsidRPr="00E5792C" w:rsidRDefault="00AE4AF9" w:rsidP="00E5792C">
      <w:pPr>
        <w:spacing w:line="480" w:lineRule="auto"/>
        <w:jc w:val="both"/>
        <w:rPr>
          <w:rFonts w:ascii="Times" w:hAnsi="Times"/>
          <w:b/>
          <w:lang w:val="en-US"/>
        </w:rPr>
      </w:pPr>
    </w:p>
    <w:p w14:paraId="081E046A" w14:textId="77777777" w:rsidR="00AE4AF9" w:rsidRPr="00E5792C" w:rsidRDefault="00AE4AF9" w:rsidP="00E5792C">
      <w:pPr>
        <w:tabs>
          <w:tab w:val="left" w:pos="360"/>
        </w:tabs>
        <w:spacing w:line="360" w:lineRule="auto"/>
        <w:jc w:val="both"/>
        <w:rPr>
          <w:b/>
          <w:lang w:val="en-US"/>
        </w:rPr>
      </w:pPr>
    </w:p>
    <w:p w14:paraId="5D0820B8" w14:textId="77777777" w:rsidR="00AE4AF9" w:rsidRPr="00E5792C" w:rsidRDefault="00AE4AF9" w:rsidP="00E5792C">
      <w:pPr>
        <w:spacing w:line="360" w:lineRule="auto"/>
        <w:jc w:val="both"/>
        <w:rPr>
          <w:bCs/>
          <w:color w:val="333333"/>
          <w:sz w:val="20"/>
          <w:szCs w:val="20"/>
          <w:shd w:val="clear" w:color="auto" w:fill="FFFFFF"/>
          <w:lang w:val="en-US"/>
        </w:rPr>
      </w:pPr>
    </w:p>
    <w:p w14:paraId="0242A431" w14:textId="644AB140" w:rsidR="00AE4AF9" w:rsidRPr="00E5792C" w:rsidRDefault="00AE4AF9" w:rsidP="00E5792C">
      <w:pPr>
        <w:spacing w:line="360" w:lineRule="auto"/>
        <w:jc w:val="both"/>
        <w:rPr>
          <w:bCs/>
          <w:color w:val="333333"/>
          <w:shd w:val="clear" w:color="auto" w:fill="FFFFFF"/>
          <w:lang w:val="en-US"/>
        </w:rPr>
      </w:pPr>
    </w:p>
    <w:p w14:paraId="6EB71F8F" w14:textId="26CF7DF9" w:rsidR="00AE4AF9" w:rsidRPr="00E5792C" w:rsidRDefault="00AE4AF9" w:rsidP="00E5792C">
      <w:pPr>
        <w:spacing w:line="360" w:lineRule="auto"/>
        <w:jc w:val="both"/>
        <w:rPr>
          <w:rFonts w:ascii="Times" w:hAnsi="Times"/>
          <w:sz w:val="20"/>
          <w:szCs w:val="20"/>
          <w:lang w:val="en-US"/>
        </w:rPr>
      </w:pPr>
    </w:p>
    <w:p w14:paraId="01206E49" w14:textId="54339C2B" w:rsidR="00AE4AF9" w:rsidRPr="00E5792C" w:rsidRDefault="00AE4AF9" w:rsidP="00E5792C">
      <w:pPr>
        <w:spacing w:line="360" w:lineRule="auto"/>
        <w:jc w:val="both"/>
        <w:rPr>
          <w:rFonts w:ascii="Times" w:hAnsi="Times"/>
          <w:sz w:val="20"/>
          <w:szCs w:val="20"/>
          <w:lang w:val="en-US"/>
        </w:rPr>
      </w:pPr>
    </w:p>
    <w:p w14:paraId="5AFAF98F" w14:textId="6944C361" w:rsidR="00AE4AF9" w:rsidRPr="00E5792C" w:rsidRDefault="00AE4AF9" w:rsidP="00E5792C">
      <w:pPr>
        <w:spacing w:line="360" w:lineRule="auto"/>
        <w:jc w:val="both"/>
        <w:rPr>
          <w:rFonts w:ascii="Times" w:hAnsi="Times"/>
          <w:sz w:val="20"/>
          <w:szCs w:val="20"/>
          <w:lang w:val="en-US"/>
        </w:rPr>
      </w:pPr>
    </w:p>
    <w:p w14:paraId="0E0857AD" w14:textId="71184FDA" w:rsidR="00AE4AF9" w:rsidRPr="00E5792C" w:rsidRDefault="00AE4AF9" w:rsidP="00E5792C">
      <w:pPr>
        <w:spacing w:line="360" w:lineRule="auto"/>
        <w:jc w:val="both"/>
        <w:rPr>
          <w:rFonts w:ascii="Times" w:hAnsi="Times"/>
          <w:sz w:val="20"/>
          <w:szCs w:val="20"/>
          <w:lang w:val="en-US"/>
        </w:rPr>
      </w:pPr>
    </w:p>
    <w:p w14:paraId="4CBC4D63" w14:textId="6EF1BE15" w:rsidR="00AE4AF9" w:rsidRPr="00E5792C" w:rsidRDefault="00AE4AF9" w:rsidP="00E5792C">
      <w:pPr>
        <w:spacing w:line="360" w:lineRule="auto"/>
        <w:jc w:val="both"/>
        <w:rPr>
          <w:rFonts w:ascii="Times" w:hAnsi="Times"/>
          <w:sz w:val="20"/>
          <w:szCs w:val="20"/>
          <w:lang w:val="en-US"/>
        </w:rPr>
      </w:pPr>
    </w:p>
    <w:p w14:paraId="4B1613C7" w14:textId="2901A5B7" w:rsidR="00AE4AF9" w:rsidRPr="00E5792C" w:rsidRDefault="00AE4AF9" w:rsidP="00E5792C">
      <w:pPr>
        <w:spacing w:line="360" w:lineRule="auto"/>
        <w:jc w:val="both"/>
        <w:rPr>
          <w:rFonts w:ascii="Times" w:hAnsi="Times"/>
          <w:sz w:val="20"/>
          <w:szCs w:val="20"/>
          <w:lang w:val="en-US"/>
        </w:rPr>
      </w:pPr>
    </w:p>
    <w:p w14:paraId="3F3F30F3" w14:textId="7645C173" w:rsidR="00AE4AF9" w:rsidRPr="00E5792C" w:rsidRDefault="00AE4AF9" w:rsidP="00E5792C">
      <w:pPr>
        <w:spacing w:line="360" w:lineRule="auto"/>
        <w:jc w:val="both"/>
        <w:rPr>
          <w:rFonts w:ascii="Times" w:hAnsi="Times"/>
          <w:sz w:val="20"/>
          <w:szCs w:val="20"/>
          <w:lang w:val="en-US"/>
        </w:rPr>
      </w:pPr>
    </w:p>
    <w:p w14:paraId="3E161D0D" w14:textId="77777777" w:rsidR="00AE4AF9" w:rsidRPr="00E5792C" w:rsidRDefault="00AE4AF9" w:rsidP="00E5792C">
      <w:pPr>
        <w:spacing w:line="360" w:lineRule="auto"/>
        <w:jc w:val="both"/>
        <w:rPr>
          <w:rFonts w:ascii="Times" w:hAnsi="Times"/>
          <w:sz w:val="20"/>
          <w:szCs w:val="20"/>
          <w:lang w:val="en-US"/>
        </w:rPr>
      </w:pPr>
    </w:p>
    <w:p w14:paraId="2106C979" w14:textId="77777777" w:rsidR="00620A83" w:rsidRPr="00E5792C" w:rsidRDefault="00620A83" w:rsidP="00E5792C">
      <w:pPr>
        <w:spacing w:line="360" w:lineRule="auto"/>
        <w:jc w:val="both"/>
        <w:rPr>
          <w:lang w:val="en-US"/>
        </w:rPr>
      </w:pPr>
    </w:p>
    <w:p w14:paraId="3EBCB843" w14:textId="77777777" w:rsidR="00EC7D49" w:rsidRPr="00E5792C" w:rsidRDefault="00EC7D49" w:rsidP="00E5792C">
      <w:pPr>
        <w:spacing w:after="160" w:line="259" w:lineRule="auto"/>
        <w:rPr>
          <w:rFonts w:eastAsiaTheme="minorHAnsi"/>
          <w:b/>
          <w:lang w:val="en-US" w:eastAsia="en-US"/>
        </w:rPr>
      </w:pPr>
      <w:r w:rsidRPr="00E5792C">
        <w:rPr>
          <w:b/>
          <w:i/>
          <w:iCs/>
          <w:lang w:val="en-US"/>
        </w:rPr>
        <w:br w:type="page"/>
      </w:r>
    </w:p>
    <w:p w14:paraId="3C12579D" w14:textId="1E51AF3F" w:rsidR="00106D9D" w:rsidRPr="00E5792C" w:rsidRDefault="00106D9D" w:rsidP="00E5792C">
      <w:pPr>
        <w:pStyle w:val="Caption"/>
        <w:rPr>
          <w:rFonts w:ascii="Times New Roman" w:hAnsi="Times New Roman" w:cs="Times New Roman"/>
          <w:i w:val="0"/>
          <w:iCs w:val="0"/>
          <w:color w:val="auto"/>
          <w:sz w:val="24"/>
          <w:szCs w:val="24"/>
          <w:lang w:val="en-US"/>
        </w:rPr>
      </w:pPr>
      <w:r w:rsidRPr="00E5792C">
        <w:rPr>
          <w:rFonts w:ascii="Times New Roman" w:hAnsi="Times New Roman" w:cs="Times New Roman"/>
          <w:b/>
          <w:i w:val="0"/>
          <w:iCs w:val="0"/>
          <w:color w:val="auto"/>
          <w:sz w:val="24"/>
          <w:szCs w:val="24"/>
          <w:lang w:val="en-US"/>
        </w:rPr>
        <w:t xml:space="preserve">Figure </w:t>
      </w:r>
      <w:r w:rsidRPr="00E5792C">
        <w:rPr>
          <w:rFonts w:ascii="Times New Roman" w:hAnsi="Times New Roman" w:cs="Times New Roman"/>
          <w:b/>
          <w:i w:val="0"/>
          <w:iCs w:val="0"/>
          <w:color w:val="auto"/>
          <w:sz w:val="24"/>
          <w:szCs w:val="24"/>
          <w:lang w:val="en-US"/>
        </w:rPr>
        <w:fldChar w:fldCharType="begin"/>
      </w:r>
      <w:r w:rsidRPr="00E5792C">
        <w:rPr>
          <w:rFonts w:ascii="Times New Roman" w:hAnsi="Times New Roman" w:cs="Times New Roman"/>
          <w:b/>
          <w:i w:val="0"/>
          <w:iCs w:val="0"/>
          <w:color w:val="auto"/>
          <w:sz w:val="24"/>
          <w:szCs w:val="24"/>
          <w:lang w:val="en-US"/>
        </w:rPr>
        <w:instrText xml:space="preserve"> SEQ Figure \* ARABIC </w:instrText>
      </w:r>
      <w:r w:rsidRPr="00E5792C">
        <w:rPr>
          <w:rFonts w:ascii="Times New Roman" w:hAnsi="Times New Roman" w:cs="Times New Roman"/>
          <w:b/>
          <w:i w:val="0"/>
          <w:iCs w:val="0"/>
          <w:color w:val="auto"/>
          <w:sz w:val="24"/>
          <w:szCs w:val="24"/>
          <w:lang w:val="en-US"/>
        </w:rPr>
        <w:fldChar w:fldCharType="separate"/>
      </w:r>
      <w:r w:rsidRPr="00E5792C">
        <w:rPr>
          <w:rFonts w:ascii="Times New Roman" w:hAnsi="Times New Roman" w:cs="Times New Roman"/>
          <w:b/>
          <w:i w:val="0"/>
          <w:iCs w:val="0"/>
          <w:noProof/>
          <w:color w:val="auto"/>
          <w:sz w:val="24"/>
          <w:szCs w:val="24"/>
          <w:lang w:val="en-US"/>
        </w:rPr>
        <w:t>1</w:t>
      </w:r>
      <w:r w:rsidRPr="00E5792C">
        <w:rPr>
          <w:rFonts w:ascii="Times New Roman" w:hAnsi="Times New Roman" w:cs="Times New Roman"/>
          <w:b/>
          <w:i w:val="0"/>
          <w:iCs w:val="0"/>
          <w:color w:val="auto"/>
          <w:sz w:val="24"/>
          <w:szCs w:val="24"/>
          <w:lang w:val="en-US"/>
        </w:rPr>
        <w:fldChar w:fldCharType="end"/>
      </w:r>
      <w:r w:rsidRPr="00E5792C">
        <w:rPr>
          <w:rFonts w:ascii="Times New Roman" w:hAnsi="Times New Roman" w:cs="Times New Roman"/>
          <w:i w:val="0"/>
          <w:iCs w:val="0"/>
          <w:color w:val="auto"/>
          <w:sz w:val="24"/>
          <w:szCs w:val="24"/>
          <w:lang w:val="en-US"/>
        </w:rPr>
        <w:t xml:space="preserve">. </w:t>
      </w:r>
    </w:p>
    <w:p w14:paraId="26B8065E" w14:textId="77777777" w:rsidR="00106D9D" w:rsidRPr="00E5792C" w:rsidRDefault="00106D9D" w:rsidP="00E5792C">
      <w:pPr>
        <w:pStyle w:val="EndNoteBibliography"/>
        <w:spacing w:line="360" w:lineRule="auto"/>
        <w:jc w:val="both"/>
        <w:rPr>
          <w:szCs w:val="24"/>
        </w:rPr>
      </w:pPr>
      <w:r w:rsidRPr="00E5792C">
        <w:rPr>
          <w:b/>
          <w:szCs w:val="24"/>
          <w:lang w:val="en-GB" w:eastAsia="en-GB"/>
        </w:rPr>
        <mc:AlternateContent>
          <mc:Choice Requires="wpg">
            <w:drawing>
              <wp:anchor distT="0" distB="0" distL="114300" distR="114300" simplePos="0" relativeHeight="251659264" behindDoc="0" locked="0" layoutInCell="1" allowOverlap="1" wp14:anchorId="3BE80370" wp14:editId="4ED8B81A">
                <wp:simplePos x="0" y="0"/>
                <wp:positionH relativeFrom="column">
                  <wp:posOffset>569518</wp:posOffset>
                </wp:positionH>
                <wp:positionV relativeFrom="paragraph">
                  <wp:posOffset>358228</wp:posOffset>
                </wp:positionV>
                <wp:extent cx="5181600" cy="6209314"/>
                <wp:effectExtent l="0" t="0" r="19050" b="20320"/>
                <wp:wrapNone/>
                <wp:docPr id="40" name="Grup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6209314"/>
                          <a:chOff x="3360" y="2863"/>
                          <a:chExt cx="6901" cy="8240"/>
                        </a:xfrm>
                      </wpg:grpSpPr>
                      <wpg:grpSp>
                        <wpg:cNvPr id="41" name="Group 42"/>
                        <wpg:cNvGrpSpPr>
                          <a:grpSpLocks/>
                        </wpg:cNvGrpSpPr>
                        <wpg:grpSpPr bwMode="auto">
                          <a:xfrm>
                            <a:off x="3360" y="2863"/>
                            <a:ext cx="469" cy="8240"/>
                            <a:chOff x="1080" y="2673"/>
                            <a:chExt cx="469" cy="9532"/>
                          </a:xfrm>
                        </wpg:grpSpPr>
                        <wps:wsp>
                          <wps:cNvPr id="42" name="AutoShape 43"/>
                          <wps:cNvSpPr>
                            <a:spLocks noChangeArrowheads="1"/>
                          </wps:cNvSpPr>
                          <wps:spPr bwMode="auto">
                            <a:xfrm rot="16200000">
                              <a:off x="234" y="6039"/>
                              <a:ext cx="2160" cy="46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ECFF"/>
                                  </a:solidFill>
                                </a14:hiddenFill>
                              </a:ext>
                            </a:extLst>
                          </wps:spPr>
                          <wps:txbx>
                            <w:txbxContent>
                              <w:p w14:paraId="733152A0" w14:textId="77777777" w:rsidR="00CB5109" w:rsidRPr="00144174" w:rsidRDefault="00CB5109" w:rsidP="00106D9D">
                                <w:pPr>
                                  <w:pStyle w:val="Heading2"/>
                                  <w:keepNext/>
                                  <w:rPr>
                                    <w:rFonts w:ascii="Calibri" w:hAnsi="Calibri"/>
                                    <w:sz w:val="16"/>
                                    <w:szCs w:val="16"/>
                                  </w:rPr>
                                </w:pPr>
                                <w:r w:rsidRPr="00144174">
                                  <w:rPr>
                                    <w:rFonts w:ascii="Calibri" w:hAnsi="Calibri"/>
                                    <w:sz w:val="16"/>
                                    <w:szCs w:val="16"/>
                                  </w:rPr>
                                  <w:t>Screening</w:t>
                                </w:r>
                              </w:p>
                            </w:txbxContent>
                          </wps:txbx>
                          <wps:bodyPr rot="0" vert="vert270" wrap="square" lIns="45720" tIns="45720" rIns="45720" bIns="45720" anchor="t" anchorCtr="0" upright="1">
                            <a:noAutofit/>
                          </wps:bodyPr>
                        </wps:wsp>
                        <wps:wsp>
                          <wps:cNvPr id="43" name="AutoShape 44"/>
                          <wps:cNvSpPr>
                            <a:spLocks noChangeArrowheads="1"/>
                          </wps:cNvSpPr>
                          <wps:spPr bwMode="auto">
                            <a:xfrm rot="16200000">
                              <a:off x="328" y="10984"/>
                              <a:ext cx="1973" cy="46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ECFF"/>
                                  </a:solidFill>
                                </a14:hiddenFill>
                              </a:ext>
                            </a:extLst>
                          </wps:spPr>
                          <wps:txbx>
                            <w:txbxContent>
                              <w:p w14:paraId="463BBE42" w14:textId="77777777" w:rsidR="00CB5109" w:rsidRPr="00144174" w:rsidRDefault="00CB5109" w:rsidP="00106D9D">
                                <w:pPr>
                                  <w:pStyle w:val="Heading2"/>
                                  <w:keepNext/>
                                  <w:rPr>
                                    <w:rFonts w:ascii="Calibri" w:hAnsi="Calibri"/>
                                    <w:sz w:val="16"/>
                                    <w:szCs w:val="16"/>
                                  </w:rPr>
                                </w:pPr>
                                <w:r w:rsidRPr="00144174">
                                  <w:rPr>
                                    <w:rFonts w:ascii="Calibri" w:hAnsi="Calibri"/>
                                    <w:sz w:val="16"/>
                                    <w:szCs w:val="16"/>
                                  </w:rPr>
                                  <w:t>Included</w:t>
                                </w:r>
                              </w:p>
                            </w:txbxContent>
                          </wps:txbx>
                          <wps:bodyPr rot="0" vert="vert270" wrap="square" lIns="45720" tIns="45720" rIns="45720" bIns="45720" anchor="t" anchorCtr="0" upright="1">
                            <a:noAutofit/>
                          </wps:bodyPr>
                        </wps:wsp>
                        <wps:wsp>
                          <wps:cNvPr id="44" name="AutoShape 45"/>
                          <wps:cNvSpPr>
                            <a:spLocks noChangeArrowheads="1"/>
                          </wps:cNvSpPr>
                          <wps:spPr bwMode="auto">
                            <a:xfrm rot="16200000">
                              <a:off x="234" y="8559"/>
                              <a:ext cx="2160" cy="46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ECFF"/>
                                  </a:solidFill>
                                </a14:hiddenFill>
                              </a:ext>
                            </a:extLst>
                          </wps:spPr>
                          <wps:txbx>
                            <w:txbxContent>
                              <w:p w14:paraId="7CFEC6CF" w14:textId="77777777" w:rsidR="00CB5109" w:rsidRPr="00144174" w:rsidRDefault="00CB5109" w:rsidP="00106D9D">
                                <w:pPr>
                                  <w:pStyle w:val="Heading2"/>
                                  <w:keepNext/>
                                  <w:rPr>
                                    <w:rFonts w:ascii="Calibri" w:hAnsi="Calibri"/>
                                    <w:sz w:val="16"/>
                                    <w:szCs w:val="16"/>
                                  </w:rPr>
                                </w:pPr>
                                <w:r w:rsidRPr="00144174">
                                  <w:rPr>
                                    <w:rFonts w:ascii="Calibri" w:hAnsi="Calibri"/>
                                    <w:sz w:val="16"/>
                                    <w:szCs w:val="16"/>
                                  </w:rPr>
                                  <w:t>Eligibility</w:t>
                                </w:r>
                              </w:p>
                            </w:txbxContent>
                          </wps:txbx>
                          <wps:bodyPr rot="0" vert="vert270" wrap="square" lIns="45720" tIns="45720" rIns="45720" bIns="45720" anchor="t" anchorCtr="0" upright="1">
                            <a:noAutofit/>
                          </wps:bodyPr>
                        </wps:wsp>
                        <wps:wsp>
                          <wps:cNvPr id="45" name="AutoShape 46"/>
                          <wps:cNvSpPr>
                            <a:spLocks noChangeArrowheads="1"/>
                          </wps:cNvSpPr>
                          <wps:spPr bwMode="auto">
                            <a:xfrm rot="16200000">
                              <a:off x="234" y="3519"/>
                              <a:ext cx="2160" cy="46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ECFF"/>
                                  </a:solidFill>
                                </a14:hiddenFill>
                              </a:ext>
                            </a:extLst>
                          </wps:spPr>
                          <wps:txbx>
                            <w:txbxContent>
                              <w:p w14:paraId="551DF56C" w14:textId="77777777" w:rsidR="00CB5109" w:rsidRPr="00144174" w:rsidRDefault="00CB5109" w:rsidP="00106D9D">
                                <w:pPr>
                                  <w:pStyle w:val="Heading2"/>
                                  <w:keepNext/>
                                  <w:rPr>
                                    <w:rFonts w:ascii="Calibri" w:hAnsi="Calibri"/>
                                    <w:sz w:val="16"/>
                                    <w:szCs w:val="16"/>
                                  </w:rPr>
                                </w:pPr>
                                <w:r w:rsidRPr="00144174">
                                  <w:rPr>
                                    <w:rFonts w:ascii="Calibri" w:hAnsi="Calibri"/>
                                    <w:sz w:val="16"/>
                                    <w:szCs w:val="16"/>
                                  </w:rPr>
                                  <w:t>Identification</w:t>
                                </w:r>
                              </w:p>
                            </w:txbxContent>
                          </wps:txbx>
                          <wps:bodyPr rot="0" vert="vert270" wrap="square" lIns="45720" tIns="45720" rIns="45720" bIns="45720" anchor="t" anchorCtr="0" upright="1">
                            <a:noAutofit/>
                          </wps:bodyPr>
                        </wps:wsp>
                      </wpg:grpSp>
                      <wpg:grpSp>
                        <wpg:cNvPr id="46" name="Group 47"/>
                        <wpg:cNvGrpSpPr>
                          <a:grpSpLocks/>
                        </wpg:cNvGrpSpPr>
                        <wpg:grpSpPr bwMode="auto">
                          <a:xfrm>
                            <a:off x="4362" y="2970"/>
                            <a:ext cx="5899" cy="6604"/>
                            <a:chOff x="4362" y="2959"/>
                            <a:chExt cx="7458" cy="7418"/>
                          </a:xfrm>
                        </wpg:grpSpPr>
                        <wps:wsp>
                          <wps:cNvPr id="47" name="Rectangle 48"/>
                          <wps:cNvSpPr>
                            <a:spLocks noChangeArrowheads="1"/>
                          </wps:cNvSpPr>
                          <wps:spPr bwMode="auto">
                            <a:xfrm>
                              <a:off x="4362" y="2959"/>
                              <a:ext cx="3510" cy="1172"/>
                            </a:xfrm>
                            <a:prstGeom prst="rect">
                              <a:avLst/>
                            </a:prstGeom>
                            <a:solidFill>
                              <a:srgbClr val="FFFFFF"/>
                            </a:solidFill>
                            <a:ln w="9525">
                              <a:solidFill>
                                <a:schemeClr val="bg1"/>
                              </a:solidFill>
                              <a:miter lim="800000"/>
                              <a:headEnd/>
                              <a:tailEnd/>
                            </a:ln>
                          </wps:spPr>
                          <wps:txbx>
                            <w:txbxContent>
                              <w:p w14:paraId="795D24BF" w14:textId="77777777" w:rsidR="00CB5109" w:rsidRPr="00FD6F68" w:rsidRDefault="00CB5109" w:rsidP="00106D9D">
                                <w:pPr>
                                  <w:jc w:val="center"/>
                                  <w:rPr>
                                    <w:rFonts w:ascii="Calibri" w:hAnsi="Calibri"/>
                                    <w:sz w:val="16"/>
                                    <w:szCs w:val="16"/>
                                    <w:lang w:val="en-US"/>
                                  </w:rPr>
                                </w:pPr>
                                <w:r w:rsidRPr="00345487">
                                  <w:rPr>
                                    <w:rFonts w:ascii="Calibri" w:hAnsi="Calibri"/>
                                    <w:sz w:val="16"/>
                                    <w:szCs w:val="16"/>
                                    <w:lang w:val="en-US"/>
                                  </w:rPr>
                                  <w:t>Records identified through database searching</w:t>
                                </w:r>
                                <w:r w:rsidRPr="00345487">
                                  <w:rPr>
                                    <w:rFonts w:ascii="Calibri" w:hAnsi="Calibri"/>
                                    <w:sz w:val="16"/>
                                    <w:szCs w:val="16"/>
                                    <w:lang w:val="en-US"/>
                                  </w:rPr>
                                  <w:br/>
                                  <w:t xml:space="preserve">(n = </w:t>
                                </w:r>
                                <w:r w:rsidRPr="001078BA">
                                  <w:rPr>
                                    <w:rFonts w:ascii="Calibri" w:hAnsi="Calibri"/>
                                    <w:sz w:val="16"/>
                                    <w:szCs w:val="16"/>
                                    <w:lang w:val="en-US"/>
                                  </w:rPr>
                                  <w:t>2</w:t>
                                </w:r>
                                <w:r>
                                  <w:rPr>
                                    <w:rFonts w:ascii="Calibri" w:hAnsi="Calibri"/>
                                    <w:sz w:val="16"/>
                                    <w:szCs w:val="16"/>
                                    <w:lang w:val="en-US"/>
                                  </w:rPr>
                                  <w:t>,</w:t>
                                </w:r>
                                <w:r w:rsidRPr="001078BA">
                                  <w:rPr>
                                    <w:rFonts w:ascii="Calibri" w:hAnsi="Calibri"/>
                                    <w:sz w:val="16"/>
                                    <w:szCs w:val="16"/>
                                    <w:lang w:val="en-US"/>
                                  </w:rPr>
                                  <w:t>422</w:t>
                                </w:r>
                                <w:r w:rsidRPr="007216A4">
                                  <w:rPr>
                                    <w:rFonts w:ascii="Calibri" w:hAnsi="Calibri"/>
                                    <w:sz w:val="16"/>
                                    <w:szCs w:val="16"/>
                                    <w:lang w:val="en-US"/>
                                  </w:rPr>
                                  <w:t>)</w:t>
                                </w:r>
                              </w:p>
                            </w:txbxContent>
                          </wps:txbx>
                          <wps:bodyPr rot="0" vert="horz" wrap="square" lIns="91440" tIns="91440" rIns="91440" bIns="91440" anchor="t" anchorCtr="0" upright="1">
                            <a:noAutofit/>
                          </wps:bodyPr>
                        </wps:wsp>
                        <wps:wsp>
                          <wps:cNvPr id="48" name="Rectangle 49"/>
                          <wps:cNvSpPr>
                            <a:spLocks noChangeArrowheads="1"/>
                          </wps:cNvSpPr>
                          <wps:spPr bwMode="auto">
                            <a:xfrm>
                              <a:off x="4805" y="5553"/>
                              <a:ext cx="2630" cy="900"/>
                            </a:xfrm>
                            <a:prstGeom prst="rect">
                              <a:avLst/>
                            </a:prstGeom>
                            <a:solidFill>
                              <a:srgbClr val="FFFFFF"/>
                            </a:solidFill>
                            <a:ln w="9525">
                              <a:solidFill>
                                <a:srgbClr val="000000"/>
                              </a:solidFill>
                              <a:miter lim="800000"/>
                              <a:headEnd/>
                              <a:tailEnd/>
                            </a:ln>
                          </wps:spPr>
                          <wps:txbx>
                            <w:txbxContent>
                              <w:p w14:paraId="05579E8A" w14:textId="77777777" w:rsidR="00CB5109" w:rsidRPr="00144174" w:rsidRDefault="00CB5109" w:rsidP="00106D9D">
                                <w:pPr>
                                  <w:jc w:val="center"/>
                                  <w:rPr>
                                    <w:rFonts w:ascii="Calibri" w:hAnsi="Calibri"/>
                                    <w:sz w:val="16"/>
                                    <w:szCs w:val="16"/>
                                  </w:rPr>
                                </w:pPr>
                                <w:r w:rsidRPr="007216A4">
                                  <w:rPr>
                                    <w:rFonts w:ascii="Calibri" w:hAnsi="Calibri"/>
                                    <w:sz w:val="16"/>
                                    <w:szCs w:val="16"/>
                                  </w:rPr>
                                  <w:t>Records screened</w:t>
                                </w:r>
                                <w:r w:rsidRPr="007216A4">
                                  <w:rPr>
                                    <w:rFonts w:ascii="Calibri" w:hAnsi="Calibri"/>
                                    <w:sz w:val="16"/>
                                    <w:szCs w:val="16"/>
                                  </w:rPr>
                                  <w:br/>
                                  <w:t>(n = 1</w:t>
                                </w:r>
                                <w:r>
                                  <w:rPr>
                                    <w:rFonts w:ascii="Calibri" w:hAnsi="Calibri"/>
                                    <w:sz w:val="16"/>
                                    <w:szCs w:val="16"/>
                                  </w:rPr>
                                  <w:t>,</w:t>
                                </w:r>
                                <w:r w:rsidRPr="001078BA">
                                  <w:rPr>
                                    <w:rFonts w:ascii="Calibri" w:hAnsi="Calibri"/>
                                    <w:sz w:val="16"/>
                                    <w:szCs w:val="16"/>
                                  </w:rPr>
                                  <w:t>371</w:t>
                                </w:r>
                                <w:r w:rsidRPr="007216A4">
                                  <w:rPr>
                                    <w:rFonts w:ascii="Calibri" w:hAnsi="Calibri"/>
                                    <w:sz w:val="16"/>
                                    <w:szCs w:val="16"/>
                                  </w:rPr>
                                  <w:t>)</w:t>
                                </w:r>
                              </w:p>
                            </w:txbxContent>
                          </wps:txbx>
                          <wps:bodyPr rot="0" vert="horz" wrap="square" lIns="91440" tIns="91440" rIns="91440" bIns="91440" anchor="t" anchorCtr="0" upright="1">
                            <a:noAutofit/>
                          </wps:bodyPr>
                        </wps:wsp>
                        <wps:wsp>
                          <wps:cNvPr id="49" name="Rectangle 50"/>
                          <wps:cNvSpPr>
                            <a:spLocks noChangeArrowheads="1"/>
                          </wps:cNvSpPr>
                          <wps:spPr bwMode="auto">
                            <a:xfrm>
                              <a:off x="8460" y="6453"/>
                              <a:ext cx="2700" cy="900"/>
                            </a:xfrm>
                            <a:prstGeom prst="rect">
                              <a:avLst/>
                            </a:prstGeom>
                            <a:solidFill>
                              <a:srgbClr val="FFFFFF"/>
                            </a:solidFill>
                            <a:ln w="9525">
                              <a:solidFill>
                                <a:srgbClr val="000000"/>
                              </a:solidFill>
                              <a:miter lim="800000"/>
                              <a:headEnd/>
                              <a:tailEnd/>
                            </a:ln>
                          </wps:spPr>
                          <wps:txbx>
                            <w:txbxContent>
                              <w:p w14:paraId="0D69BE05" w14:textId="77777777" w:rsidR="00CB5109" w:rsidRPr="00144174" w:rsidRDefault="00CB5109" w:rsidP="00106D9D">
                                <w:pPr>
                                  <w:jc w:val="center"/>
                                  <w:rPr>
                                    <w:rFonts w:ascii="Calibri" w:hAnsi="Calibri"/>
                                    <w:sz w:val="16"/>
                                    <w:szCs w:val="16"/>
                                  </w:rPr>
                                </w:pPr>
                                <w:r w:rsidRPr="007216A4">
                                  <w:rPr>
                                    <w:rFonts w:ascii="Calibri" w:hAnsi="Calibri"/>
                                    <w:sz w:val="16"/>
                                    <w:szCs w:val="16"/>
                                  </w:rPr>
                                  <w:t>Records excluded</w:t>
                                </w:r>
                                <w:r w:rsidRPr="007216A4">
                                  <w:rPr>
                                    <w:rFonts w:ascii="Calibri" w:hAnsi="Calibri"/>
                                    <w:sz w:val="16"/>
                                    <w:szCs w:val="16"/>
                                  </w:rPr>
                                  <w:br/>
                                  <w:t>(n = 1</w:t>
                                </w:r>
                                <w:r>
                                  <w:rPr>
                                    <w:rFonts w:ascii="Calibri" w:hAnsi="Calibri"/>
                                    <w:sz w:val="16"/>
                                    <w:szCs w:val="16"/>
                                  </w:rPr>
                                  <w:t>,</w:t>
                                </w:r>
                                <w:r w:rsidRPr="001078BA">
                                  <w:rPr>
                                    <w:rFonts w:ascii="Calibri" w:hAnsi="Calibri"/>
                                    <w:sz w:val="16"/>
                                    <w:szCs w:val="16"/>
                                  </w:rPr>
                                  <w:t>298</w:t>
                                </w:r>
                                <w:r w:rsidRPr="007216A4">
                                  <w:rPr>
                                    <w:rFonts w:ascii="Calibri" w:hAnsi="Calibri"/>
                                    <w:sz w:val="16"/>
                                    <w:szCs w:val="16"/>
                                  </w:rPr>
                                  <w:t>)</w:t>
                                </w:r>
                              </w:p>
                            </w:txbxContent>
                          </wps:txbx>
                          <wps:bodyPr rot="0" vert="horz" wrap="square" lIns="91440" tIns="91440" rIns="91440" bIns="91440" anchor="t" anchorCtr="0" upright="1">
                            <a:noAutofit/>
                          </wps:bodyPr>
                        </wps:wsp>
                        <wps:wsp>
                          <wps:cNvPr id="50" name="Rectangle 51"/>
                          <wps:cNvSpPr>
                            <a:spLocks noChangeArrowheads="1"/>
                          </wps:cNvSpPr>
                          <wps:spPr bwMode="auto">
                            <a:xfrm>
                              <a:off x="4770" y="7734"/>
                              <a:ext cx="2700" cy="1239"/>
                            </a:xfrm>
                            <a:prstGeom prst="rect">
                              <a:avLst/>
                            </a:prstGeom>
                            <a:solidFill>
                              <a:srgbClr val="FFFFFF"/>
                            </a:solidFill>
                            <a:ln w="9525">
                              <a:solidFill>
                                <a:srgbClr val="000000"/>
                              </a:solidFill>
                              <a:miter lim="800000"/>
                              <a:headEnd/>
                              <a:tailEnd/>
                            </a:ln>
                          </wps:spPr>
                          <wps:txbx>
                            <w:txbxContent>
                              <w:p w14:paraId="2CAB8DE6" w14:textId="77777777" w:rsidR="00CB5109" w:rsidRPr="00FD6F68" w:rsidRDefault="00CB5109" w:rsidP="00106D9D">
                                <w:pPr>
                                  <w:jc w:val="center"/>
                                  <w:rPr>
                                    <w:rFonts w:ascii="Calibri" w:hAnsi="Calibri"/>
                                    <w:sz w:val="16"/>
                                    <w:szCs w:val="16"/>
                                    <w:lang w:val="en-US"/>
                                  </w:rPr>
                                </w:pPr>
                                <w:r>
                                  <w:rPr>
                                    <w:rFonts w:ascii="Calibri" w:hAnsi="Calibri"/>
                                    <w:sz w:val="16"/>
                                    <w:szCs w:val="16"/>
                                    <w:lang w:val="en-US"/>
                                  </w:rPr>
                                  <w:t>Studies</w:t>
                                </w:r>
                                <w:r w:rsidRPr="007216A4">
                                  <w:rPr>
                                    <w:rFonts w:ascii="Calibri" w:hAnsi="Calibri"/>
                                    <w:sz w:val="16"/>
                                    <w:szCs w:val="16"/>
                                    <w:lang w:val="en-US"/>
                                  </w:rPr>
                                  <w:t xml:space="preserve"> assessed for eligibility</w:t>
                                </w:r>
                                <w:r w:rsidRPr="007216A4">
                                  <w:rPr>
                                    <w:rFonts w:ascii="Calibri" w:hAnsi="Calibri"/>
                                    <w:sz w:val="16"/>
                                    <w:szCs w:val="16"/>
                                    <w:lang w:val="en-US"/>
                                  </w:rPr>
                                  <w:br/>
                                  <w:t>(n = 73)</w:t>
                                </w:r>
                              </w:p>
                            </w:txbxContent>
                          </wps:txbx>
                          <wps:bodyPr rot="0" vert="horz" wrap="square" lIns="91440" tIns="91440" rIns="91440" bIns="91440" anchor="t" anchorCtr="0" upright="1">
                            <a:noAutofit/>
                          </wps:bodyPr>
                        </wps:wsp>
                        <wps:wsp>
                          <wps:cNvPr id="51" name="Rectangle 52"/>
                          <wps:cNvSpPr>
                            <a:spLocks noChangeArrowheads="1"/>
                          </wps:cNvSpPr>
                          <wps:spPr bwMode="auto">
                            <a:xfrm>
                              <a:off x="7848" y="8757"/>
                              <a:ext cx="3972" cy="1620"/>
                            </a:xfrm>
                            <a:prstGeom prst="rect">
                              <a:avLst/>
                            </a:prstGeom>
                            <a:solidFill>
                              <a:srgbClr val="FFFFFF"/>
                            </a:solidFill>
                            <a:ln w="9525">
                              <a:solidFill>
                                <a:srgbClr val="000000"/>
                              </a:solidFill>
                              <a:miter lim="800000"/>
                              <a:headEnd/>
                              <a:tailEnd/>
                            </a:ln>
                          </wps:spPr>
                          <wps:txbx>
                            <w:txbxContent>
                              <w:p w14:paraId="4C6F805A" w14:textId="77777777" w:rsidR="00CB5109" w:rsidRPr="00BF0796" w:rsidRDefault="00CB5109" w:rsidP="00106D9D">
                                <w:pPr>
                                  <w:jc w:val="center"/>
                                  <w:rPr>
                                    <w:rFonts w:ascii="Calibri" w:hAnsi="Calibri"/>
                                    <w:sz w:val="16"/>
                                    <w:szCs w:val="16"/>
                                    <w:lang w:val="en-US"/>
                                  </w:rPr>
                                </w:pPr>
                                <w:r w:rsidRPr="001078BA">
                                  <w:rPr>
                                    <w:rFonts w:ascii="Calibri" w:hAnsi="Calibri"/>
                                    <w:sz w:val="16"/>
                                    <w:szCs w:val="16"/>
                                    <w:lang w:val="en-US"/>
                                  </w:rPr>
                                  <w:t>Studies</w:t>
                                </w:r>
                                <w:r w:rsidRPr="007216A4">
                                  <w:rPr>
                                    <w:rFonts w:ascii="Calibri" w:hAnsi="Calibri"/>
                                    <w:sz w:val="16"/>
                                    <w:szCs w:val="16"/>
                                    <w:lang w:val="en-US"/>
                                  </w:rPr>
                                  <w:t xml:space="preserve"> excluded (n =</w:t>
                                </w:r>
                                <w:r w:rsidRPr="001078BA">
                                  <w:rPr>
                                    <w:rFonts w:ascii="Calibri" w:hAnsi="Calibri"/>
                                    <w:sz w:val="16"/>
                                    <w:szCs w:val="16"/>
                                    <w:lang w:val="en-US"/>
                                  </w:rPr>
                                  <w:t>62</w:t>
                                </w:r>
                                <w:r w:rsidRPr="007216A4">
                                  <w:rPr>
                                    <w:rFonts w:ascii="Calibri" w:hAnsi="Calibri"/>
                                    <w:sz w:val="16"/>
                                    <w:szCs w:val="16"/>
                                    <w:lang w:val="en-US"/>
                                  </w:rPr>
                                  <w:t>):</w:t>
                                </w:r>
                                <w:r w:rsidRPr="001078BA">
                                  <w:rPr>
                                    <w:rFonts w:ascii="Calibri" w:hAnsi="Calibri"/>
                                    <w:sz w:val="16"/>
                                    <w:szCs w:val="16"/>
                                    <w:highlight w:val="yellow"/>
                                    <w:lang w:val="en-US"/>
                                  </w:rPr>
                                  <w:br/>
                                </w:r>
                                <w:r w:rsidRPr="00BF0796">
                                  <w:rPr>
                                    <w:rFonts w:ascii="Calibri" w:hAnsi="Calibri"/>
                                    <w:sz w:val="16"/>
                                    <w:szCs w:val="16"/>
                                    <w:lang w:val="en-US"/>
                                  </w:rPr>
                                  <w:t>Insufficient data (n= 23)</w:t>
                                </w:r>
                              </w:p>
                              <w:p w14:paraId="6C9BE7B1" w14:textId="77777777" w:rsidR="00CB5109" w:rsidRPr="00BF0796" w:rsidRDefault="00CB5109" w:rsidP="00106D9D">
                                <w:pPr>
                                  <w:jc w:val="center"/>
                                  <w:rPr>
                                    <w:rFonts w:ascii="Calibri" w:hAnsi="Calibri"/>
                                    <w:sz w:val="16"/>
                                    <w:szCs w:val="16"/>
                                    <w:lang w:val="en-US"/>
                                  </w:rPr>
                                </w:pPr>
                                <w:r w:rsidRPr="00BF0796">
                                  <w:rPr>
                                    <w:rFonts w:ascii="Calibri" w:hAnsi="Calibri"/>
                                    <w:sz w:val="16"/>
                                    <w:szCs w:val="16"/>
                                    <w:lang w:val="en-US"/>
                                  </w:rPr>
                                  <w:t>Not relevant (n= 39)</w:t>
                                </w:r>
                              </w:p>
                              <w:p w14:paraId="341459D4" w14:textId="77777777" w:rsidR="00CB5109" w:rsidRPr="00DA7DCB" w:rsidRDefault="00CB5109" w:rsidP="00106D9D">
                                <w:pPr>
                                  <w:jc w:val="center"/>
                                  <w:rPr>
                                    <w:rFonts w:ascii="Calibri" w:hAnsi="Calibri"/>
                                    <w:sz w:val="16"/>
                                    <w:szCs w:val="16"/>
                                    <w:lang w:val="en-US"/>
                                  </w:rPr>
                                </w:pPr>
                              </w:p>
                              <w:p w14:paraId="0BC6DC7B" w14:textId="77777777" w:rsidR="00CB5109" w:rsidRPr="00144174" w:rsidRDefault="00CB5109" w:rsidP="00106D9D">
                                <w:pPr>
                                  <w:rPr>
                                    <w:rFonts w:ascii="Calibri" w:hAnsi="Calibri"/>
                                    <w:sz w:val="16"/>
                                    <w:szCs w:val="16"/>
                                    <w:lang w:val="en-CA"/>
                                  </w:rPr>
                                </w:pPr>
                              </w:p>
                            </w:txbxContent>
                          </wps:txbx>
                          <wps:bodyPr rot="0" vert="horz" wrap="square" lIns="91440" tIns="91440" rIns="91440" bIns="91440" anchor="t" anchorCtr="0" upright="1">
                            <a:noAutofit/>
                          </wps:bodyPr>
                        </wps:wsp>
                        <wps:wsp>
                          <wps:cNvPr id="54" name="AutoShape 55"/>
                          <wps:cNvCnPr>
                            <a:cxnSpLocks noChangeShapeType="1"/>
                          </wps:cNvCnPr>
                          <wps:spPr bwMode="auto">
                            <a:xfrm flipH="1">
                              <a:off x="6110" y="3768"/>
                              <a:ext cx="10" cy="177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AutoShape 56"/>
                          <wps:cNvCnPr>
                            <a:cxnSpLocks noChangeShapeType="1"/>
                            <a:stCxn id="48" idx="2"/>
                            <a:endCxn id="50" idx="0"/>
                          </wps:cNvCnPr>
                          <wps:spPr bwMode="auto">
                            <a:xfrm>
                              <a:off x="6120" y="6453"/>
                              <a:ext cx="0" cy="128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AutoShape 57"/>
                          <wps:cNvCnPr>
                            <a:cxnSpLocks noChangeShapeType="1"/>
                            <a:stCxn id="50" idx="2"/>
                          </wps:cNvCnPr>
                          <wps:spPr bwMode="auto">
                            <a:xfrm>
                              <a:off x="6120" y="8973"/>
                              <a:ext cx="17" cy="10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 name="AutoShape 59"/>
                          <wps:cNvCnPr>
                            <a:cxnSpLocks noChangeShapeType="1"/>
                            <a:endCxn id="49" idx="1"/>
                          </wps:cNvCnPr>
                          <wps:spPr bwMode="auto">
                            <a:xfrm>
                              <a:off x="6160" y="6903"/>
                              <a:ext cx="23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AutoShape 60"/>
                          <wps:cNvCnPr>
                            <a:cxnSpLocks noChangeShapeType="1"/>
                          </wps:cNvCnPr>
                          <wps:spPr bwMode="auto">
                            <a:xfrm>
                              <a:off x="6120" y="9603"/>
                              <a:ext cx="17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Rectangle 61"/>
                          <wps:cNvSpPr>
                            <a:spLocks noChangeArrowheads="1"/>
                          </wps:cNvSpPr>
                          <wps:spPr bwMode="auto">
                            <a:xfrm>
                              <a:off x="8571" y="3915"/>
                              <a:ext cx="2700" cy="900"/>
                            </a:xfrm>
                            <a:prstGeom prst="rect">
                              <a:avLst/>
                            </a:prstGeom>
                            <a:solidFill>
                              <a:srgbClr val="FFFFFF"/>
                            </a:solidFill>
                            <a:ln w="9525">
                              <a:solidFill>
                                <a:srgbClr val="000000"/>
                              </a:solidFill>
                              <a:miter lim="800000"/>
                              <a:headEnd/>
                              <a:tailEnd/>
                            </a:ln>
                          </wps:spPr>
                          <wps:txbx>
                            <w:txbxContent>
                              <w:p w14:paraId="67051294" w14:textId="77777777" w:rsidR="00CB5109" w:rsidRPr="00144174" w:rsidRDefault="00CB5109" w:rsidP="00106D9D">
                                <w:pPr>
                                  <w:jc w:val="center"/>
                                  <w:rPr>
                                    <w:rFonts w:ascii="Calibri" w:hAnsi="Calibri"/>
                                    <w:sz w:val="16"/>
                                    <w:szCs w:val="16"/>
                                  </w:rPr>
                                </w:pPr>
                                <w:r w:rsidRPr="007216A4">
                                  <w:rPr>
                                    <w:rFonts w:ascii="Calibri" w:hAnsi="Calibri"/>
                                    <w:sz w:val="16"/>
                                    <w:szCs w:val="16"/>
                                  </w:rPr>
                                  <w:t>Duplicates</w:t>
                                </w:r>
                                <w:r w:rsidRPr="007216A4">
                                  <w:rPr>
                                    <w:rFonts w:ascii="Calibri" w:hAnsi="Calibri"/>
                                    <w:sz w:val="16"/>
                                    <w:szCs w:val="16"/>
                                  </w:rPr>
                                  <w:br/>
                                  <w:t xml:space="preserve">(n = </w:t>
                                </w:r>
                                <w:r>
                                  <w:rPr>
                                    <w:rFonts w:ascii="Calibri" w:hAnsi="Calibri"/>
                                    <w:sz w:val="16"/>
                                    <w:szCs w:val="16"/>
                                  </w:rPr>
                                  <w:t>1,051</w:t>
                                </w:r>
                                <w:r w:rsidRPr="007216A4">
                                  <w:rPr>
                                    <w:rFonts w:ascii="Calibri" w:hAnsi="Calibri"/>
                                    <w:sz w:val="16"/>
                                    <w:szCs w:val="16"/>
                                  </w:rPr>
                                  <w:t>)</w:t>
                                </w:r>
                              </w:p>
                            </w:txbxContent>
                          </wps:txbx>
                          <wps:bodyPr rot="0" vert="horz" wrap="square" lIns="91440" tIns="91440" rIns="91440" bIns="91440" anchor="t" anchorCtr="0" upright="1">
                            <a:noAutofit/>
                          </wps:bodyPr>
                        </wps:wsp>
                        <wps:wsp>
                          <wps:cNvPr id="61" name="AutoShape 62"/>
                          <wps:cNvCnPr>
                            <a:cxnSpLocks noChangeShapeType="1"/>
                          </wps:cNvCnPr>
                          <wps:spPr bwMode="auto">
                            <a:xfrm>
                              <a:off x="6120" y="4447"/>
                              <a:ext cx="24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BE80370" id="Gruppo 40" o:spid="_x0000_s1026" style="position:absolute;left:0;text-align:left;margin-left:44.85pt;margin-top:28.2pt;width:408pt;height:488.9pt;z-index:251659264" coordorigin="3360,2863" coordsize="6901,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">
                <v:group id="Group 42" o:spid="_x0000_s1027" style="position:absolute;left:3360;top:2863;width:469;height:8240" coordorigin="1080,2673" coordsize="469,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AutoShape 43" o:spid="_x0000_s1028" style="position:absolute;left:234;top:6039;width:216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" filled="f" fillcolor="#ccecff">
                    <v:textbox style="layout-flow:vertical;mso-layout-flow-alt:bottom-to-top" inset="3.6pt,,3.6pt">
                      <w:txbxContent>
                        <w:p w14:paraId="733152A0" w14:textId="77777777" w:rsidR="00CB5109" w:rsidRPr="00144174" w:rsidRDefault="00CB5109" w:rsidP="00106D9D">
                          <w:pPr>
                            <w:pStyle w:val="2"/>
                            <w:keepNext/>
                            <w:rPr>
                              <w:rFonts w:ascii="Calibri" w:hAnsi="Calibri"/>
                              <w:sz w:val="16"/>
                              <w:szCs w:val="16"/>
                            </w:rPr>
                          </w:pPr>
                          <w:r w:rsidRPr="00144174">
                            <w:rPr>
                              <w:rFonts w:ascii="Calibri" w:hAnsi="Calibri"/>
                              <w:sz w:val="16"/>
                              <w:szCs w:val="16"/>
                            </w:rPr>
                            <w:t>Screening</w:t>
                          </w:r>
                        </w:p>
                      </w:txbxContent>
                    </v:textbox>
                  </v:roundrect>
                  <v:roundrect id="AutoShape 44" o:spid="_x0000_s1029" style="position:absolute;left:328;top:10984;width:1973;height:469;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" filled="f" fillcolor="#ccecff">
                    <v:textbox style="layout-flow:vertical;mso-layout-flow-alt:bottom-to-top" inset="3.6pt,,3.6pt">
                      <w:txbxContent>
                        <w:p w14:paraId="463BBE42" w14:textId="77777777" w:rsidR="00CB5109" w:rsidRPr="00144174" w:rsidRDefault="00CB5109" w:rsidP="00106D9D">
                          <w:pPr>
                            <w:pStyle w:val="2"/>
                            <w:keepNext/>
                            <w:rPr>
                              <w:rFonts w:ascii="Calibri" w:hAnsi="Calibri"/>
                              <w:sz w:val="16"/>
                              <w:szCs w:val="16"/>
                            </w:rPr>
                          </w:pPr>
                          <w:r w:rsidRPr="00144174">
                            <w:rPr>
                              <w:rFonts w:ascii="Calibri" w:hAnsi="Calibri"/>
                              <w:sz w:val="16"/>
                              <w:szCs w:val="16"/>
                            </w:rPr>
                            <w:t>Included</w:t>
                          </w:r>
                        </w:p>
                      </w:txbxContent>
                    </v:textbox>
                  </v:roundrect>
                  <v:roundrect id="AutoShape 45" o:spid="_x0000_s1030" style="position:absolute;left:234;top:8559;width:216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" filled="f" fillcolor="#ccecff">
                    <v:textbox style="layout-flow:vertical;mso-layout-flow-alt:bottom-to-top" inset="3.6pt,,3.6pt">
                      <w:txbxContent>
                        <w:p w14:paraId="7CFEC6CF" w14:textId="77777777" w:rsidR="00CB5109" w:rsidRPr="00144174" w:rsidRDefault="00CB5109" w:rsidP="00106D9D">
                          <w:pPr>
                            <w:pStyle w:val="2"/>
                            <w:keepNext/>
                            <w:rPr>
                              <w:rFonts w:ascii="Calibri" w:hAnsi="Calibri"/>
                              <w:sz w:val="16"/>
                              <w:szCs w:val="16"/>
                            </w:rPr>
                          </w:pPr>
                          <w:r w:rsidRPr="00144174">
                            <w:rPr>
                              <w:rFonts w:ascii="Calibri" w:hAnsi="Calibri"/>
                              <w:sz w:val="16"/>
                              <w:szCs w:val="16"/>
                            </w:rPr>
                            <w:t>Eligibility</w:t>
                          </w:r>
                        </w:p>
                      </w:txbxContent>
                    </v:textbox>
                  </v:roundrect>
                  <v:roundrect id="AutoShape 46" o:spid="_x0000_s1031" style="position:absolute;left:234;top:3519;width:2160;height:46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" filled="f" fillcolor="#ccecff">
                    <v:textbox style="layout-flow:vertical;mso-layout-flow-alt:bottom-to-top" inset="3.6pt,,3.6pt">
                      <w:txbxContent>
                        <w:p w14:paraId="551DF56C" w14:textId="77777777" w:rsidR="00CB5109" w:rsidRPr="00144174" w:rsidRDefault="00CB5109" w:rsidP="00106D9D">
                          <w:pPr>
                            <w:pStyle w:val="2"/>
                            <w:keepNext/>
                            <w:rPr>
                              <w:rFonts w:ascii="Calibri" w:hAnsi="Calibri"/>
                              <w:sz w:val="16"/>
                              <w:szCs w:val="16"/>
                            </w:rPr>
                          </w:pPr>
                          <w:r w:rsidRPr="00144174">
                            <w:rPr>
                              <w:rFonts w:ascii="Calibri" w:hAnsi="Calibri"/>
                              <w:sz w:val="16"/>
                              <w:szCs w:val="16"/>
                            </w:rPr>
                            <w:t>Identification</w:t>
                          </w:r>
                        </w:p>
                      </w:txbxContent>
                    </v:textbox>
                  </v:roundrect>
                </v:group>
                <v:group id="Group 47" o:spid="_x0000_s1032" style="position:absolute;left:4362;top:2970;width:5899;height:6604" coordorigin="4362,2959" coordsize="7458,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8" o:spid="_x0000_s1033" style="position:absolute;left:4362;top:2959;width:3510;height:1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" strokecolor="white [3212]">
                    <v:textbox inset=",7.2pt,,7.2pt">
                      <w:txbxContent>
                        <w:p w14:paraId="795D24BF" w14:textId="77777777" w:rsidR="00CB5109" w:rsidRPr="00FD6F68" w:rsidRDefault="00CB5109" w:rsidP="00106D9D">
                          <w:pPr>
                            <w:jc w:val="center"/>
                            <w:rPr>
                              <w:rFonts w:ascii="Calibri" w:hAnsi="Calibri"/>
                              <w:sz w:val="16"/>
                              <w:szCs w:val="16"/>
                              <w:lang w:val="en-US"/>
                            </w:rPr>
                          </w:pPr>
                          <w:r w:rsidRPr="00345487">
                            <w:rPr>
                              <w:rFonts w:ascii="Calibri" w:hAnsi="Calibri"/>
                              <w:sz w:val="16"/>
                              <w:szCs w:val="16"/>
                              <w:lang w:val="en-US"/>
                            </w:rPr>
                            <w:t>Records identified through database searching</w:t>
                          </w:r>
                          <w:r w:rsidRPr="00345487">
                            <w:rPr>
                              <w:rFonts w:ascii="Calibri" w:hAnsi="Calibri"/>
                              <w:sz w:val="16"/>
                              <w:szCs w:val="16"/>
                              <w:lang w:val="en-US"/>
                            </w:rPr>
                            <w:br/>
                            <w:t xml:space="preserve">(n = </w:t>
                          </w:r>
                          <w:r w:rsidRPr="001078BA">
                            <w:rPr>
                              <w:rFonts w:ascii="Calibri" w:hAnsi="Calibri"/>
                              <w:sz w:val="16"/>
                              <w:szCs w:val="16"/>
                              <w:lang w:val="en-US"/>
                            </w:rPr>
                            <w:t>2</w:t>
                          </w:r>
                          <w:r>
                            <w:rPr>
                              <w:rFonts w:ascii="Calibri" w:hAnsi="Calibri"/>
                              <w:sz w:val="16"/>
                              <w:szCs w:val="16"/>
                              <w:lang w:val="en-US"/>
                            </w:rPr>
                            <w:t>,</w:t>
                          </w:r>
                          <w:r w:rsidRPr="001078BA">
                            <w:rPr>
                              <w:rFonts w:ascii="Calibri" w:hAnsi="Calibri"/>
                              <w:sz w:val="16"/>
                              <w:szCs w:val="16"/>
                              <w:lang w:val="en-US"/>
                            </w:rPr>
                            <w:t>422</w:t>
                          </w:r>
                          <w:r w:rsidRPr="007216A4">
                            <w:rPr>
                              <w:rFonts w:ascii="Calibri" w:hAnsi="Calibri"/>
                              <w:sz w:val="16"/>
                              <w:szCs w:val="16"/>
                              <w:lang w:val="en-US"/>
                            </w:rPr>
                            <w:t>)</w:t>
                          </w:r>
                        </w:p>
                      </w:txbxContent>
                    </v:textbox>
                  </v:rect>
                  <v:rect id="Rectangle 49" o:spid="_x0000_s1034" style="position:absolute;left:4805;top:5553;width:263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">
                    <v:textbox inset=",7.2pt,,7.2pt">
                      <w:txbxContent>
                        <w:p w14:paraId="05579E8A" w14:textId="77777777" w:rsidR="00CB5109" w:rsidRPr="00144174" w:rsidRDefault="00CB5109" w:rsidP="00106D9D">
                          <w:pPr>
                            <w:jc w:val="center"/>
                            <w:rPr>
                              <w:rFonts w:ascii="Calibri" w:hAnsi="Calibri"/>
                              <w:sz w:val="16"/>
                              <w:szCs w:val="16"/>
                            </w:rPr>
                          </w:pPr>
                          <w:r w:rsidRPr="007216A4">
                            <w:rPr>
                              <w:rFonts w:ascii="Calibri" w:hAnsi="Calibri"/>
                              <w:sz w:val="16"/>
                              <w:szCs w:val="16"/>
                            </w:rPr>
                            <w:t>Records screened</w:t>
                          </w:r>
                          <w:r w:rsidRPr="007216A4">
                            <w:rPr>
                              <w:rFonts w:ascii="Calibri" w:hAnsi="Calibri"/>
                              <w:sz w:val="16"/>
                              <w:szCs w:val="16"/>
                            </w:rPr>
                            <w:br/>
                            <w:t>(n = 1</w:t>
                          </w:r>
                          <w:r>
                            <w:rPr>
                              <w:rFonts w:ascii="Calibri" w:hAnsi="Calibri"/>
                              <w:sz w:val="16"/>
                              <w:szCs w:val="16"/>
                            </w:rPr>
                            <w:t>,</w:t>
                          </w:r>
                          <w:r w:rsidRPr="001078BA">
                            <w:rPr>
                              <w:rFonts w:ascii="Calibri" w:hAnsi="Calibri"/>
                              <w:sz w:val="16"/>
                              <w:szCs w:val="16"/>
                            </w:rPr>
                            <w:t>371</w:t>
                          </w:r>
                          <w:r w:rsidRPr="007216A4">
                            <w:rPr>
                              <w:rFonts w:ascii="Calibri" w:hAnsi="Calibri"/>
                              <w:sz w:val="16"/>
                              <w:szCs w:val="16"/>
                            </w:rPr>
                            <w:t>)</w:t>
                          </w:r>
                        </w:p>
                      </w:txbxContent>
                    </v:textbox>
                  </v:rect>
                  <v:rect id="Rectangle 50" o:spid="_x0000_s1035" style="position:absolute;left:8460;top:6453;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">
                    <v:textbox inset=",7.2pt,,7.2pt">
                      <w:txbxContent>
                        <w:p w14:paraId="0D69BE05" w14:textId="77777777" w:rsidR="00CB5109" w:rsidRPr="00144174" w:rsidRDefault="00CB5109" w:rsidP="00106D9D">
                          <w:pPr>
                            <w:jc w:val="center"/>
                            <w:rPr>
                              <w:rFonts w:ascii="Calibri" w:hAnsi="Calibri"/>
                              <w:sz w:val="16"/>
                              <w:szCs w:val="16"/>
                            </w:rPr>
                          </w:pPr>
                          <w:r w:rsidRPr="007216A4">
                            <w:rPr>
                              <w:rFonts w:ascii="Calibri" w:hAnsi="Calibri"/>
                              <w:sz w:val="16"/>
                              <w:szCs w:val="16"/>
                            </w:rPr>
                            <w:t>Records excluded</w:t>
                          </w:r>
                          <w:r w:rsidRPr="007216A4">
                            <w:rPr>
                              <w:rFonts w:ascii="Calibri" w:hAnsi="Calibri"/>
                              <w:sz w:val="16"/>
                              <w:szCs w:val="16"/>
                            </w:rPr>
                            <w:br/>
                            <w:t>(n = 1</w:t>
                          </w:r>
                          <w:r>
                            <w:rPr>
                              <w:rFonts w:ascii="Calibri" w:hAnsi="Calibri"/>
                              <w:sz w:val="16"/>
                              <w:szCs w:val="16"/>
                            </w:rPr>
                            <w:t>,</w:t>
                          </w:r>
                          <w:r w:rsidRPr="001078BA">
                            <w:rPr>
                              <w:rFonts w:ascii="Calibri" w:hAnsi="Calibri"/>
                              <w:sz w:val="16"/>
                              <w:szCs w:val="16"/>
                            </w:rPr>
                            <w:t>298</w:t>
                          </w:r>
                          <w:r w:rsidRPr="007216A4">
                            <w:rPr>
                              <w:rFonts w:ascii="Calibri" w:hAnsi="Calibri"/>
                              <w:sz w:val="16"/>
                              <w:szCs w:val="16"/>
                            </w:rPr>
                            <w:t>)</w:t>
                          </w:r>
                        </w:p>
                      </w:txbxContent>
                    </v:textbox>
                  </v:rect>
                  <v:rect id="Rectangle 51" o:spid="_x0000_s1036" style="position:absolute;left:4770;top:7734;width:2700;height: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">
                    <v:textbox inset=",7.2pt,,7.2pt">
                      <w:txbxContent>
                        <w:p w14:paraId="2CAB8DE6" w14:textId="77777777" w:rsidR="00CB5109" w:rsidRPr="00FD6F68" w:rsidRDefault="00CB5109" w:rsidP="00106D9D">
                          <w:pPr>
                            <w:jc w:val="center"/>
                            <w:rPr>
                              <w:rFonts w:ascii="Calibri" w:hAnsi="Calibri"/>
                              <w:sz w:val="16"/>
                              <w:szCs w:val="16"/>
                              <w:lang w:val="en-US"/>
                            </w:rPr>
                          </w:pPr>
                          <w:r>
                            <w:rPr>
                              <w:rFonts w:ascii="Calibri" w:hAnsi="Calibri"/>
                              <w:sz w:val="16"/>
                              <w:szCs w:val="16"/>
                              <w:lang w:val="en-US"/>
                            </w:rPr>
                            <w:t>Studies</w:t>
                          </w:r>
                          <w:r w:rsidRPr="007216A4">
                            <w:rPr>
                              <w:rFonts w:ascii="Calibri" w:hAnsi="Calibri"/>
                              <w:sz w:val="16"/>
                              <w:szCs w:val="16"/>
                              <w:lang w:val="en-US"/>
                            </w:rPr>
                            <w:t xml:space="preserve"> assessed for eligibility</w:t>
                          </w:r>
                          <w:r w:rsidRPr="007216A4">
                            <w:rPr>
                              <w:rFonts w:ascii="Calibri" w:hAnsi="Calibri"/>
                              <w:sz w:val="16"/>
                              <w:szCs w:val="16"/>
                              <w:lang w:val="en-US"/>
                            </w:rPr>
                            <w:br/>
                            <w:t>(n = 73)</w:t>
                          </w:r>
                        </w:p>
                      </w:txbxContent>
                    </v:textbox>
                  </v:rect>
                  <v:rect id="Rectangle 52" o:spid="_x0000_s1037" style="position:absolute;left:7848;top:8757;width:397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">
                    <v:textbox inset=",7.2pt,,7.2pt">
                      <w:txbxContent>
                        <w:p w14:paraId="4C6F805A" w14:textId="77777777" w:rsidR="00CB5109" w:rsidRPr="00BF0796" w:rsidRDefault="00CB5109" w:rsidP="00106D9D">
                          <w:pPr>
                            <w:jc w:val="center"/>
                            <w:rPr>
                              <w:rFonts w:ascii="Calibri" w:hAnsi="Calibri"/>
                              <w:sz w:val="16"/>
                              <w:szCs w:val="16"/>
                              <w:lang w:val="en-US"/>
                            </w:rPr>
                          </w:pPr>
                          <w:r w:rsidRPr="001078BA">
                            <w:rPr>
                              <w:rFonts w:ascii="Calibri" w:hAnsi="Calibri"/>
                              <w:sz w:val="16"/>
                              <w:szCs w:val="16"/>
                              <w:lang w:val="en-US"/>
                            </w:rPr>
                            <w:t>Studies</w:t>
                          </w:r>
                          <w:r w:rsidRPr="007216A4">
                            <w:rPr>
                              <w:rFonts w:ascii="Calibri" w:hAnsi="Calibri"/>
                              <w:sz w:val="16"/>
                              <w:szCs w:val="16"/>
                              <w:lang w:val="en-US"/>
                            </w:rPr>
                            <w:t xml:space="preserve"> excluded (n =</w:t>
                          </w:r>
                          <w:r w:rsidRPr="001078BA">
                            <w:rPr>
                              <w:rFonts w:ascii="Calibri" w:hAnsi="Calibri"/>
                              <w:sz w:val="16"/>
                              <w:szCs w:val="16"/>
                              <w:lang w:val="en-US"/>
                            </w:rPr>
                            <w:t>62</w:t>
                          </w:r>
                          <w:r w:rsidRPr="007216A4">
                            <w:rPr>
                              <w:rFonts w:ascii="Calibri" w:hAnsi="Calibri"/>
                              <w:sz w:val="16"/>
                              <w:szCs w:val="16"/>
                              <w:lang w:val="en-US"/>
                            </w:rPr>
                            <w:t>):</w:t>
                          </w:r>
                          <w:r w:rsidRPr="001078BA">
                            <w:rPr>
                              <w:rFonts w:ascii="Calibri" w:hAnsi="Calibri"/>
                              <w:sz w:val="16"/>
                              <w:szCs w:val="16"/>
                              <w:highlight w:val="yellow"/>
                              <w:lang w:val="en-US"/>
                            </w:rPr>
                            <w:br/>
                          </w:r>
                          <w:r w:rsidRPr="00BF0796">
                            <w:rPr>
                              <w:rFonts w:ascii="Calibri" w:hAnsi="Calibri"/>
                              <w:sz w:val="16"/>
                              <w:szCs w:val="16"/>
                              <w:lang w:val="en-US"/>
                            </w:rPr>
                            <w:t>Insufficient data (n= 23)</w:t>
                          </w:r>
                        </w:p>
                        <w:p w14:paraId="6C9BE7B1" w14:textId="77777777" w:rsidR="00CB5109" w:rsidRPr="00BF0796" w:rsidRDefault="00CB5109" w:rsidP="00106D9D">
                          <w:pPr>
                            <w:jc w:val="center"/>
                            <w:rPr>
                              <w:rFonts w:ascii="Calibri" w:hAnsi="Calibri"/>
                              <w:sz w:val="16"/>
                              <w:szCs w:val="16"/>
                              <w:lang w:val="en-US"/>
                            </w:rPr>
                          </w:pPr>
                          <w:r w:rsidRPr="00BF0796">
                            <w:rPr>
                              <w:rFonts w:ascii="Calibri" w:hAnsi="Calibri"/>
                              <w:sz w:val="16"/>
                              <w:szCs w:val="16"/>
                              <w:lang w:val="en-US"/>
                            </w:rPr>
                            <w:t>Not relevant (n= 39)</w:t>
                          </w:r>
                        </w:p>
                        <w:p w14:paraId="341459D4" w14:textId="77777777" w:rsidR="00CB5109" w:rsidRPr="00DA7DCB" w:rsidRDefault="00CB5109" w:rsidP="00106D9D">
                          <w:pPr>
                            <w:jc w:val="center"/>
                            <w:rPr>
                              <w:rFonts w:ascii="Calibri" w:hAnsi="Calibri"/>
                              <w:sz w:val="16"/>
                              <w:szCs w:val="16"/>
                              <w:lang w:val="en-US"/>
                            </w:rPr>
                          </w:pPr>
                        </w:p>
                        <w:p w14:paraId="0BC6DC7B" w14:textId="77777777" w:rsidR="00CB5109" w:rsidRPr="00144174" w:rsidRDefault="00CB5109" w:rsidP="00106D9D">
                          <w:pPr>
                            <w:rPr>
                              <w:rFonts w:ascii="Calibri" w:hAnsi="Calibri"/>
                              <w:sz w:val="16"/>
                              <w:szCs w:val="16"/>
                              <w:lang w:val="en-CA"/>
                            </w:rPr>
                          </w:pPr>
                        </w:p>
                      </w:txbxContent>
                    </v:textbox>
                  </v:rect>
                  <v:shapetype id="_x0000_t32" coordsize="21600,21600" o:spt="32" o:oned="t" path="m,l21600,21600e" filled="f">
                    <v:path arrowok="t" fillok="f" o:connecttype="none"/>
                    <o:lock v:ext="edit" shapetype="t"/>
                  </v:shapetype>
                  <v:shape id="AutoShape 55" o:spid="_x0000_s1038" type="#_x0000_t32" style="position:absolute;left:6110;top:3768;width:10;height:17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">
                    <v:stroke endarrow="block"/>
                    <v:shadow color="#ccc"/>
                  </v:shape>
                  <v:shape id="AutoShape 56" o:spid="_x0000_s1039" type="#_x0000_t32" style="position:absolute;left:6120;top:6453;width:0;height:12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">
                    <v:stroke endarrow="block"/>
                    <v:shadow color="#ccc"/>
                  </v:shape>
                  <v:shape id="AutoShape 57" o:spid="_x0000_s1040" type="#_x0000_t32" style="position:absolute;left:6120;top:8973;width:17;height:10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">
                    <v:stroke endarrow="block"/>
                    <v:shadow color="#ccc"/>
                  </v:shape>
                  <v:shape id="AutoShape 59" o:spid="_x0000_s1041" type="#_x0000_t32" style="position:absolute;left:6160;top:6903;width:2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">
                    <v:stroke endarrow="block"/>
                    <v:shadow color="#ccc"/>
                  </v:shape>
                  <v:shape id="AutoShape 60" o:spid="_x0000_s1042" type="#_x0000_t32" style="position:absolute;left:6120;top:9603;width:1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">
                    <v:stroke endarrow="block"/>
                    <v:shadow color="#ccc"/>
                  </v:shape>
                  <v:rect id="Rectangle 61" o:spid="_x0000_s1043" style="position:absolute;left:8571;top:391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">
                    <v:textbox inset=",7.2pt,,7.2pt">
                      <w:txbxContent>
                        <w:p w14:paraId="67051294" w14:textId="77777777" w:rsidR="00CB5109" w:rsidRPr="00144174" w:rsidRDefault="00CB5109" w:rsidP="00106D9D">
                          <w:pPr>
                            <w:jc w:val="center"/>
                            <w:rPr>
                              <w:rFonts w:ascii="Calibri" w:hAnsi="Calibri"/>
                              <w:sz w:val="16"/>
                              <w:szCs w:val="16"/>
                            </w:rPr>
                          </w:pPr>
                          <w:r w:rsidRPr="007216A4">
                            <w:rPr>
                              <w:rFonts w:ascii="Calibri" w:hAnsi="Calibri"/>
                              <w:sz w:val="16"/>
                              <w:szCs w:val="16"/>
                            </w:rPr>
                            <w:t>Duplicates</w:t>
                          </w:r>
                          <w:r w:rsidRPr="007216A4">
                            <w:rPr>
                              <w:rFonts w:ascii="Calibri" w:hAnsi="Calibri"/>
                              <w:sz w:val="16"/>
                              <w:szCs w:val="16"/>
                            </w:rPr>
                            <w:br/>
                            <w:t xml:space="preserve">(n = </w:t>
                          </w:r>
                          <w:r>
                            <w:rPr>
                              <w:rFonts w:ascii="Calibri" w:hAnsi="Calibri"/>
                              <w:sz w:val="16"/>
                              <w:szCs w:val="16"/>
                            </w:rPr>
                            <w:t>1,051</w:t>
                          </w:r>
                          <w:r w:rsidRPr="007216A4">
                            <w:rPr>
                              <w:rFonts w:ascii="Calibri" w:hAnsi="Calibri"/>
                              <w:sz w:val="16"/>
                              <w:szCs w:val="16"/>
                            </w:rPr>
                            <w:t>)</w:t>
                          </w:r>
                        </w:p>
                      </w:txbxContent>
                    </v:textbox>
                  </v:rect>
                  <v:shape id="AutoShape 62" o:spid="_x0000_s1044" type="#_x0000_t32" style="position:absolute;left:6120;top:4447;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">
                    <v:stroke endarrow="block"/>
                    <v:shadow color="#ccc"/>
                  </v:shape>
                </v:group>
              </v:group>
            </w:pict>
          </mc:Fallback>
        </mc:AlternateContent>
      </w:r>
    </w:p>
    <w:p w14:paraId="7CD8FFF0" w14:textId="77777777" w:rsidR="00106D9D" w:rsidRPr="00E5792C" w:rsidRDefault="00106D9D" w:rsidP="00E5792C">
      <w:pPr>
        <w:pStyle w:val="EndNoteBibliography"/>
        <w:spacing w:line="360" w:lineRule="auto"/>
        <w:jc w:val="both"/>
        <w:rPr>
          <w:szCs w:val="24"/>
        </w:rPr>
      </w:pPr>
    </w:p>
    <w:p w14:paraId="2BDF9871" w14:textId="5AFE766C" w:rsidR="00106D9D" w:rsidRPr="00E5792C" w:rsidRDefault="00106D9D" w:rsidP="00E5792C">
      <w:pPr>
        <w:pStyle w:val="EndNoteBibliography"/>
        <w:spacing w:line="360" w:lineRule="auto"/>
        <w:jc w:val="both"/>
        <w:rPr>
          <w:szCs w:val="24"/>
        </w:rPr>
      </w:pPr>
    </w:p>
    <w:p w14:paraId="07B1004D" w14:textId="0972B894" w:rsidR="002065A3" w:rsidRPr="00E5792C" w:rsidRDefault="002065A3" w:rsidP="00E5792C">
      <w:pPr>
        <w:pStyle w:val="EndNoteBibliography"/>
        <w:spacing w:line="360" w:lineRule="auto"/>
        <w:jc w:val="both"/>
        <w:rPr>
          <w:szCs w:val="24"/>
        </w:rPr>
      </w:pPr>
    </w:p>
    <w:p w14:paraId="4063D3F0" w14:textId="66351430" w:rsidR="002065A3" w:rsidRPr="00E5792C" w:rsidRDefault="002065A3" w:rsidP="00E5792C">
      <w:pPr>
        <w:spacing w:line="360" w:lineRule="auto"/>
        <w:jc w:val="both"/>
        <w:rPr>
          <w:b/>
          <w:lang w:val="en-US"/>
        </w:rPr>
      </w:pPr>
    </w:p>
    <w:p w14:paraId="50C66418" w14:textId="5AA3947B" w:rsidR="002065A3" w:rsidRPr="00E5792C" w:rsidRDefault="00106D9D" w:rsidP="00E5792C">
      <w:pPr>
        <w:rPr>
          <w:b/>
          <w:lang w:val="en-US"/>
        </w:rPr>
      </w:pPr>
      <w:r w:rsidRPr="00E5792C">
        <w:rPr>
          <w:noProof/>
          <w:lang w:val="en-GB" w:eastAsia="en-GB"/>
        </w:rPr>
        <mc:AlternateContent>
          <mc:Choice Requires="wps">
            <w:drawing>
              <wp:anchor distT="0" distB="0" distL="114300" distR="114300" simplePos="0" relativeHeight="251661312" behindDoc="0" locked="0" layoutInCell="1" allowOverlap="1" wp14:anchorId="748E26DF" wp14:editId="27804FB1">
                <wp:simplePos x="0" y="0"/>
                <wp:positionH relativeFrom="column">
                  <wp:posOffset>1584325</wp:posOffset>
                </wp:positionH>
                <wp:positionV relativeFrom="paragraph">
                  <wp:posOffset>3482006</wp:posOffset>
                </wp:positionV>
                <wp:extent cx="1582420" cy="967105"/>
                <wp:effectExtent l="0" t="0" r="0" b="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967105"/>
                        </a:xfrm>
                        <a:prstGeom prst="rect">
                          <a:avLst/>
                        </a:prstGeom>
                        <a:solidFill>
                          <a:srgbClr val="FFFFFF"/>
                        </a:solidFill>
                        <a:ln w="9525">
                          <a:solidFill>
                            <a:srgbClr val="000000"/>
                          </a:solidFill>
                          <a:miter lim="800000"/>
                          <a:headEnd/>
                          <a:tailEnd/>
                        </a:ln>
                      </wps:spPr>
                      <wps:txbx>
                        <w:txbxContent>
                          <w:p w14:paraId="0DDC1295" w14:textId="77777777" w:rsidR="00CB5109" w:rsidRPr="00FD6F68" w:rsidRDefault="00CB5109" w:rsidP="00106D9D">
                            <w:pPr>
                              <w:jc w:val="center"/>
                              <w:rPr>
                                <w:rFonts w:ascii="Calibri" w:hAnsi="Calibri"/>
                                <w:sz w:val="16"/>
                                <w:szCs w:val="16"/>
                                <w:lang w:val="en-US"/>
                              </w:rPr>
                            </w:pPr>
                            <w:r w:rsidRPr="007216A4">
                              <w:rPr>
                                <w:rFonts w:ascii="Calibri" w:hAnsi="Calibri"/>
                                <w:sz w:val="16"/>
                                <w:szCs w:val="16"/>
                                <w:lang w:val="en-US"/>
                              </w:rPr>
                              <w:t xml:space="preserve">Studies included in </w:t>
                            </w:r>
                            <w:r>
                              <w:rPr>
                                <w:rFonts w:ascii="Calibri" w:hAnsi="Calibri"/>
                                <w:sz w:val="16"/>
                                <w:szCs w:val="16"/>
                                <w:lang w:val="en-US"/>
                              </w:rPr>
                              <w:t>quantitative</w:t>
                            </w:r>
                            <w:r w:rsidRPr="007216A4">
                              <w:rPr>
                                <w:rFonts w:ascii="Calibri" w:hAnsi="Calibri"/>
                                <w:sz w:val="16"/>
                                <w:szCs w:val="16"/>
                                <w:lang w:val="en-US"/>
                              </w:rPr>
                              <w:t xml:space="preserve"> synthesis</w:t>
                            </w:r>
                            <w:r w:rsidRPr="007216A4">
                              <w:rPr>
                                <w:rFonts w:ascii="Calibri" w:hAnsi="Calibri"/>
                                <w:sz w:val="16"/>
                                <w:szCs w:val="16"/>
                                <w:lang w:val="en-US"/>
                              </w:rPr>
                              <w:br/>
                              <w:t>(n =</w:t>
                            </w:r>
                            <w:r w:rsidRPr="001078BA">
                              <w:rPr>
                                <w:rFonts w:ascii="Calibri" w:hAnsi="Calibri"/>
                                <w:sz w:val="16"/>
                                <w:szCs w:val="16"/>
                                <w:lang w:val="en-US"/>
                              </w:rPr>
                              <w:t>11</w:t>
                            </w:r>
                            <w:r w:rsidRPr="007216A4">
                              <w:rPr>
                                <w:rFonts w:ascii="Calibri" w:hAnsi="Calibri"/>
                                <w:sz w:val="16"/>
                                <w:szCs w:val="16"/>
                                <w:lang w:val="en-US"/>
                              </w:rPr>
                              <w:t>)</w:t>
                            </w:r>
                          </w:p>
                        </w:txbxContent>
                      </wps:txbx>
                      <wps:bodyPr rot="0" vert="horz" wrap="square" lIns="91440" tIns="91440" rIns="91440" bIns="9144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8E26DF" id="Rectangle 53" o:spid="_x0000_s1045" style="position:absolute;margin-left:124.75pt;margin-top:274.15pt;width:124.6pt;height:76.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">
                <v:textbox inset=",7.2pt,,7.2pt">
                  <w:txbxContent>
                    <w:p w14:paraId="0DDC1295" w14:textId="77777777" w:rsidR="00CB5109" w:rsidRPr="00FD6F68" w:rsidRDefault="00CB5109" w:rsidP="00106D9D">
                      <w:pPr>
                        <w:jc w:val="center"/>
                        <w:rPr>
                          <w:rFonts w:ascii="Calibri" w:hAnsi="Calibri"/>
                          <w:sz w:val="16"/>
                          <w:szCs w:val="16"/>
                          <w:lang w:val="en-US"/>
                        </w:rPr>
                      </w:pPr>
                      <w:r w:rsidRPr="007216A4">
                        <w:rPr>
                          <w:rFonts w:ascii="Calibri" w:hAnsi="Calibri"/>
                          <w:sz w:val="16"/>
                          <w:szCs w:val="16"/>
                          <w:lang w:val="en-US"/>
                        </w:rPr>
                        <w:t xml:space="preserve">Studies included in </w:t>
                      </w:r>
                      <w:r>
                        <w:rPr>
                          <w:rFonts w:ascii="Calibri" w:hAnsi="Calibri"/>
                          <w:sz w:val="16"/>
                          <w:szCs w:val="16"/>
                          <w:lang w:val="en-US"/>
                        </w:rPr>
                        <w:t>quantitative</w:t>
                      </w:r>
                      <w:r w:rsidRPr="007216A4">
                        <w:rPr>
                          <w:rFonts w:ascii="Calibri" w:hAnsi="Calibri"/>
                          <w:sz w:val="16"/>
                          <w:szCs w:val="16"/>
                          <w:lang w:val="en-US"/>
                        </w:rPr>
                        <w:t xml:space="preserve"> synthesis</w:t>
                      </w:r>
                      <w:r w:rsidRPr="007216A4">
                        <w:rPr>
                          <w:rFonts w:ascii="Calibri" w:hAnsi="Calibri"/>
                          <w:sz w:val="16"/>
                          <w:szCs w:val="16"/>
                          <w:lang w:val="en-US"/>
                        </w:rPr>
                        <w:br/>
                        <w:t>(n =</w:t>
                      </w:r>
                      <w:r w:rsidRPr="001078BA">
                        <w:rPr>
                          <w:rFonts w:ascii="Calibri" w:hAnsi="Calibri"/>
                          <w:sz w:val="16"/>
                          <w:szCs w:val="16"/>
                          <w:lang w:val="en-US"/>
                        </w:rPr>
                        <w:t>11</w:t>
                      </w:r>
                      <w:r w:rsidRPr="007216A4">
                        <w:rPr>
                          <w:rFonts w:ascii="Calibri" w:hAnsi="Calibri"/>
                          <w:sz w:val="16"/>
                          <w:szCs w:val="16"/>
                          <w:lang w:val="en-US"/>
                        </w:rPr>
                        <w:t>)</w:t>
                      </w:r>
                    </w:p>
                  </w:txbxContent>
                </v:textbox>
              </v:rect>
            </w:pict>
          </mc:Fallback>
        </mc:AlternateContent>
      </w:r>
      <w:r w:rsidR="002065A3" w:rsidRPr="00E5792C">
        <w:rPr>
          <w:b/>
          <w:lang w:val="en-US"/>
        </w:rPr>
        <w:br w:type="page"/>
      </w:r>
    </w:p>
    <w:p w14:paraId="65FAD89D" w14:textId="4284A027" w:rsidR="002065A3" w:rsidRPr="00E5792C" w:rsidRDefault="002065A3" w:rsidP="00E5792C">
      <w:pPr>
        <w:spacing w:line="360" w:lineRule="auto"/>
        <w:jc w:val="both"/>
        <w:rPr>
          <w:lang w:val="en-US"/>
        </w:rPr>
      </w:pPr>
      <w:bookmarkStart w:id="22" w:name="_Hlk42624208"/>
      <w:r w:rsidRPr="00E5792C">
        <w:rPr>
          <w:b/>
          <w:lang w:val="en-US"/>
        </w:rPr>
        <w:t>Figure 2</w:t>
      </w:r>
      <w:r w:rsidRPr="00E5792C">
        <w:rPr>
          <w:lang w:val="en-US"/>
        </w:rPr>
        <w:t xml:space="preserve">. </w:t>
      </w:r>
    </w:p>
    <w:p w14:paraId="6C68D1F9" w14:textId="77777777" w:rsidR="00CE2CFC" w:rsidRPr="00E5792C" w:rsidRDefault="00CE2CFC" w:rsidP="00E5792C">
      <w:pPr>
        <w:spacing w:line="360" w:lineRule="auto"/>
        <w:jc w:val="both"/>
        <w:rPr>
          <w:lang w:val="en-US"/>
        </w:rPr>
      </w:pPr>
    </w:p>
    <w:bookmarkEnd w:id="22"/>
    <w:p w14:paraId="6354EE74" w14:textId="3F6B07C5" w:rsidR="002065A3" w:rsidRPr="00E5792C" w:rsidRDefault="002065A3" w:rsidP="00E5792C">
      <w:pPr>
        <w:spacing w:line="360" w:lineRule="auto"/>
        <w:jc w:val="both"/>
        <w:rPr>
          <w:b/>
          <w:lang w:val="en-US"/>
        </w:rPr>
      </w:pPr>
      <w:r w:rsidRPr="00E5792C">
        <w:rPr>
          <w:b/>
          <w:lang w:val="en-US"/>
        </w:rPr>
        <w:t>A</w:t>
      </w:r>
      <w:r w:rsidR="009A0ED4" w:rsidRPr="00E5792C">
        <w:rPr>
          <w:b/>
          <w:lang w:val="en-US"/>
        </w:rPr>
        <w:t>)</w:t>
      </w:r>
      <w:r w:rsidRPr="00E5792C">
        <w:rPr>
          <w:b/>
          <w:lang w:val="en-US"/>
        </w:rPr>
        <w:t xml:space="preserve"> </w:t>
      </w:r>
    </w:p>
    <w:p w14:paraId="4C4CB5CD" w14:textId="67A29B03" w:rsidR="002065A3" w:rsidRPr="00E5792C" w:rsidRDefault="00FA7837" w:rsidP="00E5792C">
      <w:pPr>
        <w:spacing w:line="360" w:lineRule="auto"/>
        <w:jc w:val="both"/>
        <w:rPr>
          <w:lang w:val="en-US"/>
        </w:rPr>
      </w:pPr>
      <w:r w:rsidRPr="00E5792C">
        <w:rPr>
          <w:noProof/>
          <w:lang w:val="en-GB" w:eastAsia="en-GB"/>
        </w:rPr>
        <w:drawing>
          <wp:inline distT="0" distB="0" distL="0" distR="0" wp14:anchorId="64219DBA" wp14:editId="79B0F665">
            <wp:extent cx="6188710" cy="2098040"/>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2098040"/>
                    </a:xfrm>
                    <a:prstGeom prst="rect">
                      <a:avLst/>
                    </a:prstGeom>
                  </pic:spPr>
                </pic:pic>
              </a:graphicData>
            </a:graphic>
          </wp:inline>
        </w:drawing>
      </w:r>
    </w:p>
    <w:p w14:paraId="2313E06E" w14:textId="0815DA13" w:rsidR="002065A3" w:rsidRPr="00E5792C" w:rsidRDefault="002065A3" w:rsidP="00E5792C">
      <w:pPr>
        <w:tabs>
          <w:tab w:val="left" w:pos="360"/>
        </w:tabs>
        <w:spacing w:line="360" w:lineRule="auto"/>
        <w:ind w:left="-540" w:firstLine="540"/>
        <w:jc w:val="both"/>
        <w:rPr>
          <w:b/>
          <w:lang w:val="en-US"/>
        </w:rPr>
      </w:pPr>
      <w:r w:rsidRPr="00E5792C">
        <w:rPr>
          <w:b/>
          <w:lang w:val="en-US"/>
        </w:rPr>
        <w:t>B</w:t>
      </w:r>
      <w:r w:rsidR="009A0ED4" w:rsidRPr="00E5792C">
        <w:rPr>
          <w:b/>
          <w:lang w:val="en-US"/>
        </w:rPr>
        <w:t>)</w:t>
      </w:r>
    </w:p>
    <w:p w14:paraId="4C9590DC" w14:textId="4A38D5C9" w:rsidR="002065A3" w:rsidRPr="00E5792C" w:rsidRDefault="00FA7837" w:rsidP="00E5792C">
      <w:pPr>
        <w:spacing w:line="360" w:lineRule="auto"/>
        <w:jc w:val="both"/>
        <w:rPr>
          <w:lang w:val="en-US"/>
        </w:rPr>
      </w:pPr>
      <w:r w:rsidRPr="00E5792C">
        <w:rPr>
          <w:noProof/>
          <w:lang w:val="en-GB" w:eastAsia="en-GB"/>
        </w:rPr>
        <w:drawing>
          <wp:inline distT="0" distB="0" distL="0" distR="0" wp14:anchorId="016E6E8B" wp14:editId="3FAC040D">
            <wp:extent cx="6074087" cy="2238375"/>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5">
                      <a:extLst>
                        <a:ext uri="{28A0092B-C50C-407E-A947-70E740481C1C}">
                          <a14:useLocalDpi xmlns:a14="http://schemas.microsoft.com/office/drawing/2010/main" val="0"/>
                        </a:ext>
                      </a:extLst>
                    </a:blip>
                    <a:stretch>
                      <a:fillRect/>
                    </a:stretch>
                  </pic:blipFill>
                  <pic:spPr>
                    <a:xfrm>
                      <a:off x="0" y="0"/>
                      <a:ext cx="6074087" cy="2238375"/>
                    </a:xfrm>
                    <a:prstGeom prst="rect">
                      <a:avLst/>
                    </a:prstGeom>
                  </pic:spPr>
                </pic:pic>
              </a:graphicData>
            </a:graphic>
          </wp:inline>
        </w:drawing>
      </w:r>
    </w:p>
    <w:p w14:paraId="20E32AE8" w14:textId="0D522DBE" w:rsidR="002065A3" w:rsidRPr="00E5792C" w:rsidRDefault="002065A3" w:rsidP="00E5792C">
      <w:pPr>
        <w:tabs>
          <w:tab w:val="left" w:pos="8376"/>
        </w:tabs>
        <w:spacing w:line="360" w:lineRule="auto"/>
        <w:jc w:val="both"/>
        <w:rPr>
          <w:lang w:val="en-US"/>
        </w:rPr>
      </w:pPr>
      <w:r w:rsidRPr="00E5792C">
        <w:rPr>
          <w:b/>
          <w:lang w:val="en-US"/>
        </w:rPr>
        <w:t>C</w:t>
      </w:r>
      <w:r w:rsidR="009A0ED4" w:rsidRPr="00E5792C">
        <w:rPr>
          <w:b/>
          <w:lang w:val="en-US"/>
        </w:rPr>
        <w:t>)</w:t>
      </w:r>
      <w:r w:rsidRPr="00E5792C">
        <w:rPr>
          <w:lang w:val="en-US"/>
        </w:rPr>
        <w:t xml:space="preserve"> </w:t>
      </w:r>
      <w:r w:rsidR="00FA7837" w:rsidRPr="00E5792C">
        <w:rPr>
          <w:noProof/>
          <w:lang w:val="en-GB" w:eastAsia="en-GB"/>
        </w:rPr>
        <w:drawing>
          <wp:inline distT="0" distB="0" distL="0" distR="0" wp14:anchorId="24B199BB" wp14:editId="0D6A93C9">
            <wp:extent cx="6409393" cy="21209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12214" cy="2121834"/>
                    </a:xfrm>
                    <a:prstGeom prst="rect">
                      <a:avLst/>
                    </a:prstGeom>
                  </pic:spPr>
                </pic:pic>
              </a:graphicData>
            </a:graphic>
          </wp:inline>
        </w:drawing>
      </w:r>
    </w:p>
    <w:p w14:paraId="34281FA5" w14:textId="45CDD69B" w:rsidR="002A0597" w:rsidRPr="00E5792C" w:rsidRDefault="002A0597" w:rsidP="00E5792C">
      <w:pPr>
        <w:spacing w:line="360" w:lineRule="auto"/>
        <w:jc w:val="both"/>
        <w:rPr>
          <w:rFonts w:ascii="Times" w:hAnsi="Times"/>
          <w:lang w:val="en-US"/>
        </w:rPr>
      </w:pPr>
    </w:p>
    <w:p w14:paraId="66B37E34" w14:textId="0EFD729A" w:rsidR="0041583E" w:rsidRPr="00E5792C" w:rsidRDefault="0041583E" w:rsidP="00E5792C">
      <w:pPr>
        <w:spacing w:line="360" w:lineRule="auto"/>
        <w:jc w:val="both"/>
        <w:rPr>
          <w:rFonts w:ascii="Times" w:hAnsi="Times"/>
          <w:sz w:val="20"/>
          <w:szCs w:val="20"/>
          <w:lang w:val="en-US"/>
        </w:rPr>
      </w:pPr>
    </w:p>
    <w:p w14:paraId="73EA7335" w14:textId="77777777" w:rsidR="00EC7D49" w:rsidRPr="00E5792C" w:rsidRDefault="00EC7D49" w:rsidP="00E5792C">
      <w:pPr>
        <w:spacing w:after="160" w:line="259" w:lineRule="auto"/>
        <w:rPr>
          <w:b/>
          <w:lang w:val="en-US"/>
        </w:rPr>
      </w:pPr>
      <w:r w:rsidRPr="00E5792C">
        <w:rPr>
          <w:b/>
          <w:lang w:val="en-US"/>
        </w:rPr>
        <w:br w:type="page"/>
      </w:r>
    </w:p>
    <w:p w14:paraId="154ADFA3" w14:textId="502F4B47" w:rsidR="009A0ED4" w:rsidRPr="00E5792C" w:rsidRDefault="009A0ED4" w:rsidP="00E5792C">
      <w:pPr>
        <w:tabs>
          <w:tab w:val="left" w:pos="360"/>
        </w:tabs>
        <w:spacing w:line="360" w:lineRule="auto"/>
        <w:jc w:val="both"/>
        <w:rPr>
          <w:b/>
          <w:lang w:val="en-US"/>
        </w:rPr>
      </w:pPr>
      <w:r w:rsidRPr="00E5792C">
        <w:rPr>
          <w:b/>
          <w:lang w:val="en-US"/>
        </w:rPr>
        <w:t xml:space="preserve">Figure </w:t>
      </w:r>
      <w:r w:rsidR="00BA1723" w:rsidRPr="00E5792C">
        <w:rPr>
          <w:b/>
          <w:lang w:val="en-US"/>
        </w:rPr>
        <w:t>3</w:t>
      </w:r>
      <w:r w:rsidRPr="00E5792C">
        <w:rPr>
          <w:lang w:val="en-US"/>
        </w:rPr>
        <w:t>.</w:t>
      </w:r>
    </w:p>
    <w:p w14:paraId="2AD433DA" w14:textId="6277C36D" w:rsidR="009A0ED4" w:rsidRPr="00E5792C" w:rsidRDefault="009A0ED4" w:rsidP="00E5792C">
      <w:pPr>
        <w:tabs>
          <w:tab w:val="left" w:pos="360"/>
        </w:tabs>
        <w:spacing w:line="360" w:lineRule="auto"/>
        <w:ind w:hanging="90"/>
        <w:jc w:val="both"/>
        <w:rPr>
          <w:b/>
          <w:bCs/>
          <w:lang w:val="en-US"/>
        </w:rPr>
      </w:pPr>
      <w:r w:rsidRPr="00E5792C">
        <w:rPr>
          <w:b/>
          <w:bCs/>
          <w:lang w:val="en-US"/>
        </w:rPr>
        <w:t>A)</w:t>
      </w:r>
    </w:p>
    <w:p w14:paraId="29D5EDFD" w14:textId="4E141939" w:rsidR="009A0ED4" w:rsidRPr="00E5792C" w:rsidRDefault="00F85A89" w:rsidP="00E5792C">
      <w:pPr>
        <w:tabs>
          <w:tab w:val="left" w:pos="360"/>
        </w:tabs>
        <w:spacing w:line="360" w:lineRule="auto"/>
        <w:ind w:hanging="90"/>
        <w:jc w:val="both"/>
        <w:rPr>
          <w:b/>
          <w:bCs/>
          <w:lang w:val="en-US"/>
        </w:rPr>
      </w:pPr>
      <w:r w:rsidRPr="00E5792C">
        <w:rPr>
          <w:noProof/>
          <w:lang w:val="en-GB" w:eastAsia="en-GB"/>
        </w:rPr>
        <w:drawing>
          <wp:inline distT="0" distB="0" distL="0" distR="0" wp14:anchorId="7418780B" wp14:editId="0A575292">
            <wp:extent cx="6188710" cy="4291965"/>
            <wp:effectExtent l="0" t="0" r="254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291965"/>
                    </a:xfrm>
                    <a:prstGeom prst="rect">
                      <a:avLst/>
                    </a:prstGeom>
                  </pic:spPr>
                </pic:pic>
              </a:graphicData>
            </a:graphic>
          </wp:inline>
        </w:drawing>
      </w:r>
    </w:p>
    <w:p w14:paraId="0F17DACE" w14:textId="06B1A7AB" w:rsidR="00EC7D49" w:rsidRPr="00E5792C" w:rsidRDefault="00EC7D49" w:rsidP="00E5792C">
      <w:pPr>
        <w:spacing w:after="160" w:line="259" w:lineRule="auto"/>
        <w:rPr>
          <w:b/>
          <w:bCs/>
          <w:lang w:val="en-US"/>
        </w:rPr>
      </w:pPr>
      <w:r w:rsidRPr="00E5792C">
        <w:rPr>
          <w:b/>
          <w:bCs/>
          <w:lang w:val="en-US"/>
        </w:rPr>
        <w:br w:type="page"/>
      </w:r>
    </w:p>
    <w:p w14:paraId="2131C6C9" w14:textId="05655DB0" w:rsidR="009A0ED4" w:rsidRPr="00E5792C" w:rsidRDefault="009A0ED4" w:rsidP="00E5792C">
      <w:pPr>
        <w:tabs>
          <w:tab w:val="left" w:pos="360"/>
        </w:tabs>
        <w:spacing w:line="360" w:lineRule="auto"/>
        <w:ind w:hanging="90"/>
        <w:jc w:val="both"/>
        <w:rPr>
          <w:b/>
          <w:bCs/>
          <w:lang w:val="en-US"/>
        </w:rPr>
      </w:pPr>
      <w:r w:rsidRPr="00E5792C">
        <w:rPr>
          <w:b/>
          <w:bCs/>
          <w:lang w:val="en-US"/>
        </w:rPr>
        <w:t>B)</w:t>
      </w:r>
    </w:p>
    <w:p w14:paraId="0DA3DE78" w14:textId="09556315" w:rsidR="009A0ED4" w:rsidRPr="00E5792C" w:rsidRDefault="00F85A89" w:rsidP="00E5792C">
      <w:pPr>
        <w:tabs>
          <w:tab w:val="left" w:pos="360"/>
        </w:tabs>
        <w:spacing w:line="360" w:lineRule="auto"/>
        <w:ind w:hanging="90"/>
        <w:jc w:val="both"/>
        <w:rPr>
          <w:b/>
          <w:bCs/>
          <w:lang w:val="en-US"/>
        </w:rPr>
      </w:pPr>
      <w:r w:rsidRPr="00E5792C">
        <w:rPr>
          <w:noProof/>
          <w:lang w:val="en-GB" w:eastAsia="en-GB"/>
        </w:rPr>
        <w:drawing>
          <wp:inline distT="0" distB="0" distL="0" distR="0" wp14:anchorId="2BC6DBB8" wp14:editId="22EAA2E6">
            <wp:extent cx="6188710" cy="4397375"/>
            <wp:effectExtent l="0" t="0" r="2540" b="317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88710" cy="4397375"/>
                    </a:xfrm>
                    <a:prstGeom prst="rect">
                      <a:avLst/>
                    </a:prstGeom>
                  </pic:spPr>
                </pic:pic>
              </a:graphicData>
            </a:graphic>
          </wp:inline>
        </w:drawing>
      </w:r>
    </w:p>
    <w:p w14:paraId="300DE611" w14:textId="77777777" w:rsidR="0017578E" w:rsidRPr="00E5792C" w:rsidRDefault="0017578E" w:rsidP="00E5792C">
      <w:pPr>
        <w:tabs>
          <w:tab w:val="left" w:pos="360"/>
        </w:tabs>
        <w:spacing w:line="360" w:lineRule="auto"/>
        <w:ind w:hanging="90"/>
        <w:jc w:val="both"/>
        <w:rPr>
          <w:b/>
          <w:bCs/>
          <w:lang w:val="en-US"/>
        </w:rPr>
      </w:pPr>
    </w:p>
    <w:p w14:paraId="4C4B1F9F" w14:textId="77777777" w:rsidR="0017578E" w:rsidRPr="00E5792C" w:rsidRDefault="0017578E" w:rsidP="00E5792C">
      <w:pPr>
        <w:spacing w:after="160" w:line="259" w:lineRule="auto"/>
        <w:rPr>
          <w:b/>
          <w:bCs/>
          <w:lang w:val="en-US"/>
        </w:rPr>
      </w:pPr>
      <w:r w:rsidRPr="00E5792C">
        <w:rPr>
          <w:b/>
          <w:bCs/>
          <w:lang w:val="en-US"/>
        </w:rPr>
        <w:br w:type="page"/>
      </w:r>
    </w:p>
    <w:p w14:paraId="4CAD8730" w14:textId="203FD7EB" w:rsidR="009A0ED4" w:rsidRPr="00E5792C" w:rsidRDefault="009A0ED4" w:rsidP="00E5792C">
      <w:pPr>
        <w:tabs>
          <w:tab w:val="left" w:pos="360"/>
        </w:tabs>
        <w:spacing w:line="360" w:lineRule="auto"/>
        <w:ind w:hanging="90"/>
        <w:jc w:val="both"/>
        <w:rPr>
          <w:b/>
          <w:bCs/>
          <w:noProof/>
          <w:lang w:val="en-US" w:eastAsia="en-GB"/>
        </w:rPr>
      </w:pPr>
      <w:r w:rsidRPr="00E5792C">
        <w:rPr>
          <w:b/>
          <w:bCs/>
          <w:lang w:val="en-US"/>
        </w:rPr>
        <w:t>C)</w:t>
      </w:r>
    </w:p>
    <w:p w14:paraId="173F2B5F" w14:textId="013C06CC" w:rsidR="00583F44" w:rsidRPr="006B6473" w:rsidRDefault="00F85A89" w:rsidP="00E5792C">
      <w:pPr>
        <w:tabs>
          <w:tab w:val="left" w:pos="360"/>
        </w:tabs>
        <w:spacing w:line="360" w:lineRule="auto"/>
        <w:ind w:hanging="90"/>
        <w:jc w:val="both"/>
        <w:rPr>
          <w:b/>
          <w:bCs/>
          <w:lang w:val="en-US"/>
        </w:rPr>
      </w:pPr>
      <w:r w:rsidRPr="00E5792C">
        <w:rPr>
          <w:noProof/>
          <w:lang w:val="en-GB" w:eastAsia="en-GB"/>
        </w:rPr>
        <w:drawing>
          <wp:inline distT="0" distB="0" distL="0" distR="0" wp14:anchorId="76DD7561" wp14:editId="50FEC46D">
            <wp:extent cx="6188710" cy="4394200"/>
            <wp:effectExtent l="0" t="0" r="2540" b="635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88710" cy="4394200"/>
                    </a:xfrm>
                    <a:prstGeom prst="rect">
                      <a:avLst/>
                    </a:prstGeom>
                  </pic:spPr>
                </pic:pic>
              </a:graphicData>
            </a:graphic>
          </wp:inline>
        </w:drawing>
      </w:r>
    </w:p>
    <w:p w14:paraId="35359732" w14:textId="313D2EC0" w:rsidR="00A61E9C" w:rsidRPr="00656240" w:rsidRDefault="00A61E9C" w:rsidP="00E5792C">
      <w:pPr>
        <w:spacing w:line="480" w:lineRule="auto"/>
        <w:jc w:val="both"/>
        <w:rPr>
          <w:rFonts w:ascii="Times" w:hAnsi="Times"/>
          <w:b/>
          <w:lang w:val="en-US"/>
        </w:rPr>
      </w:pPr>
    </w:p>
    <w:sectPr w:rsidR="00A61E9C" w:rsidRPr="00656240" w:rsidSect="002A059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16E5" w14:textId="77777777" w:rsidR="00786C47" w:rsidRDefault="00786C47" w:rsidP="00D26556">
      <w:r>
        <w:separator/>
      </w:r>
    </w:p>
  </w:endnote>
  <w:endnote w:type="continuationSeparator" w:id="0">
    <w:p w14:paraId="15D1C67B" w14:textId="77777777" w:rsidR="00786C47" w:rsidRDefault="00786C47" w:rsidP="00D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7088890"/>
      <w:docPartObj>
        <w:docPartGallery w:val="Page Numbers (Bottom of Page)"/>
        <w:docPartUnique/>
      </w:docPartObj>
    </w:sdtPr>
    <w:sdtEndPr>
      <w:rPr>
        <w:rStyle w:val="PageNumber"/>
      </w:rPr>
    </w:sdtEndPr>
    <w:sdtContent>
      <w:p w14:paraId="77444B2B" w14:textId="55F28393" w:rsidR="00CB5109" w:rsidRDefault="00CB5109" w:rsidP="00D91E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7341267"/>
      <w:docPartObj>
        <w:docPartGallery w:val="Page Numbers (Bottom of Page)"/>
        <w:docPartUnique/>
      </w:docPartObj>
    </w:sdtPr>
    <w:sdtEndPr>
      <w:rPr>
        <w:rStyle w:val="PageNumber"/>
      </w:rPr>
    </w:sdtEndPr>
    <w:sdtContent>
      <w:p w14:paraId="2891F4CC" w14:textId="0F0F4312" w:rsidR="00CB5109" w:rsidRDefault="00CB5109" w:rsidP="00D91E3E">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EAA42" w14:textId="77777777" w:rsidR="00CB5109" w:rsidRDefault="00CB51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472898"/>
      <w:docPartObj>
        <w:docPartGallery w:val="Page Numbers (Bottom of Page)"/>
        <w:docPartUnique/>
      </w:docPartObj>
    </w:sdtPr>
    <w:sdtEndPr>
      <w:rPr>
        <w:rFonts w:ascii="Times New Roman" w:hAnsi="Times New Roman" w:cs="Times New Roman"/>
        <w:noProof/>
        <w:sz w:val="24"/>
        <w:szCs w:val="24"/>
      </w:rPr>
    </w:sdtEndPr>
    <w:sdtContent>
      <w:p w14:paraId="3C1C9E9B" w14:textId="1B8D9716" w:rsidR="00CB5109" w:rsidRPr="00A0660A" w:rsidRDefault="00CB5109" w:rsidP="0076712D">
        <w:pPr>
          <w:pStyle w:val="Footer"/>
          <w:jc w:val="center"/>
          <w:rPr>
            <w:rFonts w:ascii="Times New Roman" w:hAnsi="Times New Roman" w:cs="Times New Roman"/>
            <w:sz w:val="24"/>
            <w:szCs w:val="24"/>
          </w:rPr>
        </w:pPr>
        <w:r w:rsidRPr="0076712D">
          <w:rPr>
            <w:rFonts w:ascii="Times New Roman" w:hAnsi="Times New Roman" w:cs="Times New Roman"/>
            <w:sz w:val="24"/>
            <w:szCs w:val="24"/>
          </w:rPr>
          <w:fldChar w:fldCharType="begin"/>
        </w:r>
        <w:r w:rsidRPr="0076712D">
          <w:rPr>
            <w:rFonts w:ascii="Times New Roman" w:hAnsi="Times New Roman" w:cs="Times New Roman"/>
            <w:sz w:val="24"/>
            <w:szCs w:val="24"/>
          </w:rPr>
          <w:instrText xml:space="preserve"> PAGE   \* MERGEFORMAT </w:instrText>
        </w:r>
        <w:r w:rsidRPr="0076712D">
          <w:rPr>
            <w:rFonts w:ascii="Times New Roman" w:hAnsi="Times New Roman" w:cs="Times New Roman"/>
            <w:sz w:val="24"/>
            <w:szCs w:val="24"/>
          </w:rPr>
          <w:fldChar w:fldCharType="separate"/>
        </w:r>
        <w:r w:rsidR="00B32F8E">
          <w:rPr>
            <w:rFonts w:ascii="Times New Roman" w:hAnsi="Times New Roman" w:cs="Times New Roman"/>
            <w:noProof/>
            <w:sz w:val="24"/>
            <w:szCs w:val="24"/>
          </w:rPr>
          <w:t>1</w:t>
        </w:r>
        <w:r w:rsidRPr="0076712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998B" w14:textId="77777777" w:rsidR="00786C47" w:rsidRDefault="00786C47" w:rsidP="00D26556">
      <w:r>
        <w:separator/>
      </w:r>
    </w:p>
  </w:footnote>
  <w:footnote w:type="continuationSeparator" w:id="0">
    <w:p w14:paraId="30A1CC94" w14:textId="77777777" w:rsidR="00786C47" w:rsidRDefault="00786C47" w:rsidP="00D265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8A7"/>
    <w:multiLevelType w:val="hybridMultilevel"/>
    <w:tmpl w:val="161A36E8"/>
    <w:lvl w:ilvl="0" w:tplc="9E88594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C60E9C"/>
    <w:multiLevelType w:val="hybridMultilevel"/>
    <w:tmpl w:val="1810951E"/>
    <w:lvl w:ilvl="0" w:tplc="F1D2BE04">
      <w:start w:val="4"/>
      <w:numFmt w:val="bullet"/>
      <w:lvlText w:val="-"/>
      <w:lvlJc w:val="left"/>
      <w:pPr>
        <w:ind w:left="720" w:hanging="360"/>
      </w:pPr>
      <w:rPr>
        <w:rFonts w:ascii="Times" w:eastAsiaTheme="minorHAnsi"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C1B27"/>
    <w:multiLevelType w:val="hybridMultilevel"/>
    <w:tmpl w:val="B0DA0B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C067EA"/>
    <w:multiLevelType w:val="hybridMultilevel"/>
    <w:tmpl w:val="41FE2EEA"/>
    <w:lvl w:ilvl="0" w:tplc="5248E7F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41B54"/>
    <w:multiLevelType w:val="hybridMultilevel"/>
    <w:tmpl w:val="25D01E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50DE7"/>
    <w:multiLevelType w:val="hybridMultilevel"/>
    <w:tmpl w:val="5BFA1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90112"/>
    <w:multiLevelType w:val="hybridMultilevel"/>
    <w:tmpl w:val="A17A2F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32A89"/>
    <w:multiLevelType w:val="hybridMultilevel"/>
    <w:tmpl w:val="9D30A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556AA6"/>
    <w:multiLevelType w:val="hybridMultilevel"/>
    <w:tmpl w:val="5CF0CC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C2586A"/>
    <w:multiLevelType w:val="hybridMultilevel"/>
    <w:tmpl w:val="3408613E"/>
    <w:lvl w:ilvl="0" w:tplc="CE80795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84E9F"/>
    <w:multiLevelType w:val="hybridMultilevel"/>
    <w:tmpl w:val="ED1292FA"/>
    <w:lvl w:ilvl="0" w:tplc="C86C7F08">
      <w:start w:val="4"/>
      <w:numFmt w:val="bullet"/>
      <w:lvlText w:val="-"/>
      <w:lvlJc w:val="left"/>
      <w:pPr>
        <w:ind w:left="720" w:hanging="360"/>
      </w:pPr>
      <w:rPr>
        <w:rFonts w:ascii="Times" w:eastAsiaTheme="minorHAnsi"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B854E1"/>
    <w:multiLevelType w:val="multilevel"/>
    <w:tmpl w:val="26FA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5F7DC2"/>
    <w:multiLevelType w:val="hybridMultilevel"/>
    <w:tmpl w:val="786EB2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2"/>
  </w:num>
  <w:num w:numId="5">
    <w:abstractNumId w:val="4"/>
  </w:num>
  <w:num w:numId="6">
    <w:abstractNumId w:val="5"/>
  </w:num>
  <w:num w:numId="7">
    <w:abstractNumId w:val="0"/>
  </w:num>
  <w:num w:numId="8">
    <w:abstractNumId w:val="11"/>
  </w:num>
  <w:num w:numId="9">
    <w:abstractNumId w:val="1"/>
  </w:num>
  <w:num w:numId="10">
    <w:abstractNumId w:val="10"/>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MTSxNLcwtzQzMDBR0lEKTi0uzszPAykwMqwFAE7h97c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quot; size=&quot;12&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0raxx0txd09tmestrnvxf2wpppxf9r5tw5z&quot;&gt;metan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3&lt;/item&gt;&lt;item&gt;104&lt;/item&gt;&lt;item&gt;105&lt;/item&gt;&lt;item&gt;106&lt;/item&gt;&lt;/record-ids&gt;&lt;/item&gt;&lt;/Libraries&gt;"/>
  </w:docVars>
  <w:rsids>
    <w:rsidRoot w:val="00705E6D"/>
    <w:rsid w:val="00000370"/>
    <w:rsid w:val="0000129C"/>
    <w:rsid w:val="00001753"/>
    <w:rsid w:val="00003083"/>
    <w:rsid w:val="0000367A"/>
    <w:rsid w:val="000049CE"/>
    <w:rsid w:val="00004C88"/>
    <w:rsid w:val="00005A1B"/>
    <w:rsid w:val="00005B3E"/>
    <w:rsid w:val="000070AD"/>
    <w:rsid w:val="00007705"/>
    <w:rsid w:val="00012E3E"/>
    <w:rsid w:val="00013968"/>
    <w:rsid w:val="0001510C"/>
    <w:rsid w:val="0001618E"/>
    <w:rsid w:val="00017021"/>
    <w:rsid w:val="000205BC"/>
    <w:rsid w:val="00020FBD"/>
    <w:rsid w:val="00021756"/>
    <w:rsid w:val="000236A4"/>
    <w:rsid w:val="0002376D"/>
    <w:rsid w:val="0002489F"/>
    <w:rsid w:val="00025398"/>
    <w:rsid w:val="000255D7"/>
    <w:rsid w:val="00026DA9"/>
    <w:rsid w:val="00026E13"/>
    <w:rsid w:val="00026EF0"/>
    <w:rsid w:val="00026F09"/>
    <w:rsid w:val="0002728F"/>
    <w:rsid w:val="00030D9E"/>
    <w:rsid w:val="00031C1B"/>
    <w:rsid w:val="00033388"/>
    <w:rsid w:val="00035FBB"/>
    <w:rsid w:val="00036D57"/>
    <w:rsid w:val="000371A0"/>
    <w:rsid w:val="000372C1"/>
    <w:rsid w:val="00037900"/>
    <w:rsid w:val="000407F5"/>
    <w:rsid w:val="0004140C"/>
    <w:rsid w:val="00042A5B"/>
    <w:rsid w:val="0004463C"/>
    <w:rsid w:val="00046F31"/>
    <w:rsid w:val="000477F5"/>
    <w:rsid w:val="0005171F"/>
    <w:rsid w:val="00053369"/>
    <w:rsid w:val="00053B97"/>
    <w:rsid w:val="00054E73"/>
    <w:rsid w:val="00055535"/>
    <w:rsid w:val="00055E31"/>
    <w:rsid w:val="00056004"/>
    <w:rsid w:val="00056667"/>
    <w:rsid w:val="000573AD"/>
    <w:rsid w:val="00060479"/>
    <w:rsid w:val="00060AB5"/>
    <w:rsid w:val="00061683"/>
    <w:rsid w:val="00063476"/>
    <w:rsid w:val="0006437B"/>
    <w:rsid w:val="00065957"/>
    <w:rsid w:val="00066DF5"/>
    <w:rsid w:val="0006730B"/>
    <w:rsid w:val="000679E7"/>
    <w:rsid w:val="00067A4E"/>
    <w:rsid w:val="00067FEE"/>
    <w:rsid w:val="0007095E"/>
    <w:rsid w:val="00070E05"/>
    <w:rsid w:val="000735A7"/>
    <w:rsid w:val="000748C1"/>
    <w:rsid w:val="00075848"/>
    <w:rsid w:val="0007599E"/>
    <w:rsid w:val="00076319"/>
    <w:rsid w:val="0007640E"/>
    <w:rsid w:val="00076FE8"/>
    <w:rsid w:val="00077107"/>
    <w:rsid w:val="000773EE"/>
    <w:rsid w:val="00077FFE"/>
    <w:rsid w:val="00081417"/>
    <w:rsid w:val="000825EE"/>
    <w:rsid w:val="00082D59"/>
    <w:rsid w:val="00082DD3"/>
    <w:rsid w:val="000842AD"/>
    <w:rsid w:val="000847BF"/>
    <w:rsid w:val="00084871"/>
    <w:rsid w:val="000852BB"/>
    <w:rsid w:val="000853B1"/>
    <w:rsid w:val="00085A59"/>
    <w:rsid w:val="00086B14"/>
    <w:rsid w:val="00086B53"/>
    <w:rsid w:val="0008729F"/>
    <w:rsid w:val="000904DE"/>
    <w:rsid w:val="000907FB"/>
    <w:rsid w:val="000907FD"/>
    <w:rsid w:val="00090AD4"/>
    <w:rsid w:val="00091F7C"/>
    <w:rsid w:val="00093784"/>
    <w:rsid w:val="00093E8A"/>
    <w:rsid w:val="00094D9F"/>
    <w:rsid w:val="00095970"/>
    <w:rsid w:val="00095CBF"/>
    <w:rsid w:val="0009601C"/>
    <w:rsid w:val="00096AF1"/>
    <w:rsid w:val="00097805"/>
    <w:rsid w:val="000A0C43"/>
    <w:rsid w:val="000A0F8A"/>
    <w:rsid w:val="000A152F"/>
    <w:rsid w:val="000A3638"/>
    <w:rsid w:val="000A4DCD"/>
    <w:rsid w:val="000A4E6D"/>
    <w:rsid w:val="000A7A2C"/>
    <w:rsid w:val="000A7BE7"/>
    <w:rsid w:val="000B03BF"/>
    <w:rsid w:val="000B273E"/>
    <w:rsid w:val="000B2BA7"/>
    <w:rsid w:val="000B36D8"/>
    <w:rsid w:val="000B39A6"/>
    <w:rsid w:val="000B3B40"/>
    <w:rsid w:val="000B5EF8"/>
    <w:rsid w:val="000B79CF"/>
    <w:rsid w:val="000B7DDD"/>
    <w:rsid w:val="000C0BA7"/>
    <w:rsid w:val="000C0FFC"/>
    <w:rsid w:val="000C1A59"/>
    <w:rsid w:val="000C1EA7"/>
    <w:rsid w:val="000C313E"/>
    <w:rsid w:val="000C48DC"/>
    <w:rsid w:val="000C5606"/>
    <w:rsid w:val="000C5FFD"/>
    <w:rsid w:val="000C63BA"/>
    <w:rsid w:val="000C6651"/>
    <w:rsid w:val="000C69DA"/>
    <w:rsid w:val="000C77B2"/>
    <w:rsid w:val="000C7BA0"/>
    <w:rsid w:val="000D059A"/>
    <w:rsid w:val="000D26EA"/>
    <w:rsid w:val="000D3DE5"/>
    <w:rsid w:val="000D4CD7"/>
    <w:rsid w:val="000D575F"/>
    <w:rsid w:val="000E0890"/>
    <w:rsid w:val="000E1FFD"/>
    <w:rsid w:val="000E30B3"/>
    <w:rsid w:val="000E5EAF"/>
    <w:rsid w:val="000E744E"/>
    <w:rsid w:val="000F1FB0"/>
    <w:rsid w:val="000F20DA"/>
    <w:rsid w:val="000F2684"/>
    <w:rsid w:val="000F30AC"/>
    <w:rsid w:val="000F3255"/>
    <w:rsid w:val="000F347B"/>
    <w:rsid w:val="000F36F5"/>
    <w:rsid w:val="000F4BF1"/>
    <w:rsid w:val="000F5295"/>
    <w:rsid w:val="000F67EC"/>
    <w:rsid w:val="000F6A8A"/>
    <w:rsid w:val="000F7216"/>
    <w:rsid w:val="000F7390"/>
    <w:rsid w:val="000F7F9E"/>
    <w:rsid w:val="00100E87"/>
    <w:rsid w:val="0010180B"/>
    <w:rsid w:val="00101891"/>
    <w:rsid w:val="00103B58"/>
    <w:rsid w:val="001067AC"/>
    <w:rsid w:val="00106D9D"/>
    <w:rsid w:val="001071A2"/>
    <w:rsid w:val="001078BA"/>
    <w:rsid w:val="00111566"/>
    <w:rsid w:val="00111600"/>
    <w:rsid w:val="0011321D"/>
    <w:rsid w:val="00114353"/>
    <w:rsid w:val="001144ED"/>
    <w:rsid w:val="00114AF4"/>
    <w:rsid w:val="00114D20"/>
    <w:rsid w:val="00115135"/>
    <w:rsid w:val="00115366"/>
    <w:rsid w:val="00115849"/>
    <w:rsid w:val="00115B27"/>
    <w:rsid w:val="00115F2A"/>
    <w:rsid w:val="00116309"/>
    <w:rsid w:val="001208FF"/>
    <w:rsid w:val="001215BD"/>
    <w:rsid w:val="00121C4C"/>
    <w:rsid w:val="00123DA4"/>
    <w:rsid w:val="00124117"/>
    <w:rsid w:val="00127A0B"/>
    <w:rsid w:val="0013146D"/>
    <w:rsid w:val="00131F7C"/>
    <w:rsid w:val="00132DC1"/>
    <w:rsid w:val="00132E4C"/>
    <w:rsid w:val="00133A62"/>
    <w:rsid w:val="00134C92"/>
    <w:rsid w:val="0013641F"/>
    <w:rsid w:val="00136BAD"/>
    <w:rsid w:val="00137492"/>
    <w:rsid w:val="00137FD5"/>
    <w:rsid w:val="00140491"/>
    <w:rsid w:val="00140E9F"/>
    <w:rsid w:val="00141701"/>
    <w:rsid w:val="00142C78"/>
    <w:rsid w:val="00143214"/>
    <w:rsid w:val="00143250"/>
    <w:rsid w:val="00143C60"/>
    <w:rsid w:val="00144292"/>
    <w:rsid w:val="00145152"/>
    <w:rsid w:val="001469E3"/>
    <w:rsid w:val="0015115F"/>
    <w:rsid w:val="00152F9F"/>
    <w:rsid w:val="001537C0"/>
    <w:rsid w:val="001540B3"/>
    <w:rsid w:val="0015482E"/>
    <w:rsid w:val="00156018"/>
    <w:rsid w:val="00160820"/>
    <w:rsid w:val="00164E9A"/>
    <w:rsid w:val="00165D0D"/>
    <w:rsid w:val="00165F26"/>
    <w:rsid w:val="0016603A"/>
    <w:rsid w:val="00166138"/>
    <w:rsid w:val="00166A95"/>
    <w:rsid w:val="00166C42"/>
    <w:rsid w:val="0016723D"/>
    <w:rsid w:val="00167440"/>
    <w:rsid w:val="001676F9"/>
    <w:rsid w:val="0016789E"/>
    <w:rsid w:val="00167A50"/>
    <w:rsid w:val="00171750"/>
    <w:rsid w:val="00171BD5"/>
    <w:rsid w:val="0017206A"/>
    <w:rsid w:val="00172732"/>
    <w:rsid w:val="001729B9"/>
    <w:rsid w:val="00172E84"/>
    <w:rsid w:val="00175192"/>
    <w:rsid w:val="00175232"/>
    <w:rsid w:val="0017578E"/>
    <w:rsid w:val="00175A65"/>
    <w:rsid w:val="00176640"/>
    <w:rsid w:val="0018079C"/>
    <w:rsid w:val="00181438"/>
    <w:rsid w:val="001815E8"/>
    <w:rsid w:val="00182450"/>
    <w:rsid w:val="001840B4"/>
    <w:rsid w:val="00185178"/>
    <w:rsid w:val="00185E8E"/>
    <w:rsid w:val="00187A72"/>
    <w:rsid w:val="00191F8D"/>
    <w:rsid w:val="00192EE6"/>
    <w:rsid w:val="001941EE"/>
    <w:rsid w:val="00194F81"/>
    <w:rsid w:val="00195F24"/>
    <w:rsid w:val="001A0046"/>
    <w:rsid w:val="001A064D"/>
    <w:rsid w:val="001A092D"/>
    <w:rsid w:val="001A27FB"/>
    <w:rsid w:val="001A3C6C"/>
    <w:rsid w:val="001A47AA"/>
    <w:rsid w:val="001A58A0"/>
    <w:rsid w:val="001A7307"/>
    <w:rsid w:val="001B0FBA"/>
    <w:rsid w:val="001B1992"/>
    <w:rsid w:val="001B520F"/>
    <w:rsid w:val="001B61C7"/>
    <w:rsid w:val="001B6CDB"/>
    <w:rsid w:val="001B6D1E"/>
    <w:rsid w:val="001B7BB2"/>
    <w:rsid w:val="001C2306"/>
    <w:rsid w:val="001C25E7"/>
    <w:rsid w:val="001C4971"/>
    <w:rsid w:val="001C545D"/>
    <w:rsid w:val="001C56D7"/>
    <w:rsid w:val="001C5B86"/>
    <w:rsid w:val="001C5F50"/>
    <w:rsid w:val="001C628C"/>
    <w:rsid w:val="001C6363"/>
    <w:rsid w:val="001C6890"/>
    <w:rsid w:val="001D030D"/>
    <w:rsid w:val="001D1C8C"/>
    <w:rsid w:val="001D4B68"/>
    <w:rsid w:val="001D7896"/>
    <w:rsid w:val="001D7C72"/>
    <w:rsid w:val="001E2F96"/>
    <w:rsid w:val="001E36B2"/>
    <w:rsid w:val="001E39DA"/>
    <w:rsid w:val="001E424E"/>
    <w:rsid w:val="001E4BAD"/>
    <w:rsid w:val="001E7F53"/>
    <w:rsid w:val="001F16E6"/>
    <w:rsid w:val="001F2F47"/>
    <w:rsid w:val="001F34B8"/>
    <w:rsid w:val="001F3D50"/>
    <w:rsid w:val="001F43E8"/>
    <w:rsid w:val="001F60C1"/>
    <w:rsid w:val="001F6209"/>
    <w:rsid w:val="001F6A3F"/>
    <w:rsid w:val="001F6F2B"/>
    <w:rsid w:val="00202007"/>
    <w:rsid w:val="00202119"/>
    <w:rsid w:val="00202F06"/>
    <w:rsid w:val="00203370"/>
    <w:rsid w:val="00203BF6"/>
    <w:rsid w:val="00204B1A"/>
    <w:rsid w:val="0020635D"/>
    <w:rsid w:val="002065A3"/>
    <w:rsid w:val="002067EF"/>
    <w:rsid w:val="00212F5A"/>
    <w:rsid w:val="002141F8"/>
    <w:rsid w:val="00214DF8"/>
    <w:rsid w:val="0021671F"/>
    <w:rsid w:val="00217B65"/>
    <w:rsid w:val="0022147C"/>
    <w:rsid w:val="00222A4F"/>
    <w:rsid w:val="00223553"/>
    <w:rsid w:val="00227CB5"/>
    <w:rsid w:val="00227F7C"/>
    <w:rsid w:val="00230535"/>
    <w:rsid w:val="0023182B"/>
    <w:rsid w:val="00232895"/>
    <w:rsid w:val="00233A75"/>
    <w:rsid w:val="00234111"/>
    <w:rsid w:val="00234841"/>
    <w:rsid w:val="00235AB4"/>
    <w:rsid w:val="002372C2"/>
    <w:rsid w:val="0024031E"/>
    <w:rsid w:val="00241BA2"/>
    <w:rsid w:val="00243026"/>
    <w:rsid w:val="00243202"/>
    <w:rsid w:val="00243A01"/>
    <w:rsid w:val="002446C7"/>
    <w:rsid w:val="00244A32"/>
    <w:rsid w:val="00245A8C"/>
    <w:rsid w:val="00245FB9"/>
    <w:rsid w:val="002468BB"/>
    <w:rsid w:val="00246F4A"/>
    <w:rsid w:val="002478D9"/>
    <w:rsid w:val="00247A74"/>
    <w:rsid w:val="00247A9A"/>
    <w:rsid w:val="00250F30"/>
    <w:rsid w:val="00250F59"/>
    <w:rsid w:val="00252790"/>
    <w:rsid w:val="00252D2E"/>
    <w:rsid w:val="002531CF"/>
    <w:rsid w:val="002533AD"/>
    <w:rsid w:val="00253427"/>
    <w:rsid w:val="002539E5"/>
    <w:rsid w:val="00254648"/>
    <w:rsid w:val="002556C1"/>
    <w:rsid w:val="00255C12"/>
    <w:rsid w:val="002561DD"/>
    <w:rsid w:val="00257D6A"/>
    <w:rsid w:val="00262F00"/>
    <w:rsid w:val="002637F2"/>
    <w:rsid w:val="002646CA"/>
    <w:rsid w:val="00264A4C"/>
    <w:rsid w:val="00264BCF"/>
    <w:rsid w:val="002654B1"/>
    <w:rsid w:val="00265564"/>
    <w:rsid w:val="00265A7F"/>
    <w:rsid w:val="002663FC"/>
    <w:rsid w:val="0026777E"/>
    <w:rsid w:val="00267CA0"/>
    <w:rsid w:val="002703C1"/>
    <w:rsid w:val="00270488"/>
    <w:rsid w:val="002707CE"/>
    <w:rsid w:val="00270887"/>
    <w:rsid w:val="00271DF5"/>
    <w:rsid w:val="00273086"/>
    <w:rsid w:val="0027331E"/>
    <w:rsid w:val="0027348C"/>
    <w:rsid w:val="00273683"/>
    <w:rsid w:val="00273848"/>
    <w:rsid w:val="0027430D"/>
    <w:rsid w:val="00274DFC"/>
    <w:rsid w:val="00274EE5"/>
    <w:rsid w:val="00275388"/>
    <w:rsid w:val="00275D16"/>
    <w:rsid w:val="00275D46"/>
    <w:rsid w:val="0027740D"/>
    <w:rsid w:val="00280722"/>
    <w:rsid w:val="00283794"/>
    <w:rsid w:val="00284013"/>
    <w:rsid w:val="0028448C"/>
    <w:rsid w:val="0028455A"/>
    <w:rsid w:val="002854BF"/>
    <w:rsid w:val="002871FE"/>
    <w:rsid w:val="00287E6E"/>
    <w:rsid w:val="00292CEB"/>
    <w:rsid w:val="00293209"/>
    <w:rsid w:val="00293433"/>
    <w:rsid w:val="00296F48"/>
    <w:rsid w:val="00296FEA"/>
    <w:rsid w:val="002A0282"/>
    <w:rsid w:val="002A0597"/>
    <w:rsid w:val="002A23BA"/>
    <w:rsid w:val="002A2FC2"/>
    <w:rsid w:val="002A34F0"/>
    <w:rsid w:val="002A3E64"/>
    <w:rsid w:val="002A4D34"/>
    <w:rsid w:val="002A4F51"/>
    <w:rsid w:val="002A5AF5"/>
    <w:rsid w:val="002A609C"/>
    <w:rsid w:val="002A750F"/>
    <w:rsid w:val="002A7658"/>
    <w:rsid w:val="002A7AA2"/>
    <w:rsid w:val="002A7C08"/>
    <w:rsid w:val="002A7F7F"/>
    <w:rsid w:val="002B0400"/>
    <w:rsid w:val="002B0749"/>
    <w:rsid w:val="002B07F0"/>
    <w:rsid w:val="002B268E"/>
    <w:rsid w:val="002B29A0"/>
    <w:rsid w:val="002B2F02"/>
    <w:rsid w:val="002B32B0"/>
    <w:rsid w:val="002B3E0A"/>
    <w:rsid w:val="002B4630"/>
    <w:rsid w:val="002B56F1"/>
    <w:rsid w:val="002B5A26"/>
    <w:rsid w:val="002B7FCA"/>
    <w:rsid w:val="002C0467"/>
    <w:rsid w:val="002C0E8B"/>
    <w:rsid w:val="002C20A9"/>
    <w:rsid w:val="002C2DEB"/>
    <w:rsid w:val="002C3700"/>
    <w:rsid w:val="002C395A"/>
    <w:rsid w:val="002C404A"/>
    <w:rsid w:val="002C6D00"/>
    <w:rsid w:val="002C7C35"/>
    <w:rsid w:val="002D10B1"/>
    <w:rsid w:val="002D18B8"/>
    <w:rsid w:val="002D1FF3"/>
    <w:rsid w:val="002D275C"/>
    <w:rsid w:val="002D29AB"/>
    <w:rsid w:val="002D3C30"/>
    <w:rsid w:val="002D584C"/>
    <w:rsid w:val="002D7967"/>
    <w:rsid w:val="002E0202"/>
    <w:rsid w:val="002E058F"/>
    <w:rsid w:val="002E0E4F"/>
    <w:rsid w:val="002E2985"/>
    <w:rsid w:val="002E29A2"/>
    <w:rsid w:val="002E2DFE"/>
    <w:rsid w:val="002E5983"/>
    <w:rsid w:val="002E65BA"/>
    <w:rsid w:val="002F0A92"/>
    <w:rsid w:val="002F0B38"/>
    <w:rsid w:val="002F176B"/>
    <w:rsid w:val="002F33A4"/>
    <w:rsid w:val="002F37E7"/>
    <w:rsid w:val="002F3CC5"/>
    <w:rsid w:val="002F6892"/>
    <w:rsid w:val="00302265"/>
    <w:rsid w:val="00302BB2"/>
    <w:rsid w:val="00304C67"/>
    <w:rsid w:val="00306677"/>
    <w:rsid w:val="003067E4"/>
    <w:rsid w:val="00307E99"/>
    <w:rsid w:val="0031061F"/>
    <w:rsid w:val="00310712"/>
    <w:rsid w:val="00310EB9"/>
    <w:rsid w:val="00311DD4"/>
    <w:rsid w:val="00312886"/>
    <w:rsid w:val="00312BD3"/>
    <w:rsid w:val="0031300C"/>
    <w:rsid w:val="0031305F"/>
    <w:rsid w:val="00313AE1"/>
    <w:rsid w:val="003151E5"/>
    <w:rsid w:val="0032062B"/>
    <w:rsid w:val="003219D6"/>
    <w:rsid w:val="00322C50"/>
    <w:rsid w:val="00323E25"/>
    <w:rsid w:val="0032405C"/>
    <w:rsid w:val="003244D2"/>
    <w:rsid w:val="00325135"/>
    <w:rsid w:val="003279DB"/>
    <w:rsid w:val="0033039E"/>
    <w:rsid w:val="00332D2D"/>
    <w:rsid w:val="00333692"/>
    <w:rsid w:val="003337CB"/>
    <w:rsid w:val="00333CE5"/>
    <w:rsid w:val="003344A0"/>
    <w:rsid w:val="003346AE"/>
    <w:rsid w:val="00335D37"/>
    <w:rsid w:val="003375FC"/>
    <w:rsid w:val="00337D12"/>
    <w:rsid w:val="00340A57"/>
    <w:rsid w:val="003416A1"/>
    <w:rsid w:val="00342579"/>
    <w:rsid w:val="00342DE4"/>
    <w:rsid w:val="003433E8"/>
    <w:rsid w:val="00343E31"/>
    <w:rsid w:val="003440E4"/>
    <w:rsid w:val="003446C8"/>
    <w:rsid w:val="003450F8"/>
    <w:rsid w:val="00345487"/>
    <w:rsid w:val="00345588"/>
    <w:rsid w:val="00345595"/>
    <w:rsid w:val="00346950"/>
    <w:rsid w:val="00346EFA"/>
    <w:rsid w:val="00350D8B"/>
    <w:rsid w:val="00351064"/>
    <w:rsid w:val="00351E68"/>
    <w:rsid w:val="003542CD"/>
    <w:rsid w:val="00355AD2"/>
    <w:rsid w:val="00355D95"/>
    <w:rsid w:val="00355EC3"/>
    <w:rsid w:val="003560C1"/>
    <w:rsid w:val="0035689B"/>
    <w:rsid w:val="00357C43"/>
    <w:rsid w:val="00360119"/>
    <w:rsid w:val="00362AA8"/>
    <w:rsid w:val="003653D0"/>
    <w:rsid w:val="00366779"/>
    <w:rsid w:val="00370615"/>
    <w:rsid w:val="00371EAF"/>
    <w:rsid w:val="00374A2E"/>
    <w:rsid w:val="00374C86"/>
    <w:rsid w:val="00374F7E"/>
    <w:rsid w:val="00374FAB"/>
    <w:rsid w:val="00375C17"/>
    <w:rsid w:val="00376001"/>
    <w:rsid w:val="00376A15"/>
    <w:rsid w:val="0038018D"/>
    <w:rsid w:val="00381037"/>
    <w:rsid w:val="00381E80"/>
    <w:rsid w:val="003841B9"/>
    <w:rsid w:val="00387910"/>
    <w:rsid w:val="003905DD"/>
    <w:rsid w:val="00390C4E"/>
    <w:rsid w:val="00390F55"/>
    <w:rsid w:val="003918A8"/>
    <w:rsid w:val="00392DF9"/>
    <w:rsid w:val="0039300F"/>
    <w:rsid w:val="003938DC"/>
    <w:rsid w:val="00395794"/>
    <w:rsid w:val="0039599D"/>
    <w:rsid w:val="00395D88"/>
    <w:rsid w:val="00395EA9"/>
    <w:rsid w:val="00396267"/>
    <w:rsid w:val="003962F6"/>
    <w:rsid w:val="00397075"/>
    <w:rsid w:val="003978AD"/>
    <w:rsid w:val="00397954"/>
    <w:rsid w:val="00397ED5"/>
    <w:rsid w:val="003A0D46"/>
    <w:rsid w:val="003A275E"/>
    <w:rsid w:val="003A3595"/>
    <w:rsid w:val="003A4883"/>
    <w:rsid w:val="003A57FB"/>
    <w:rsid w:val="003A5A19"/>
    <w:rsid w:val="003B0711"/>
    <w:rsid w:val="003B0993"/>
    <w:rsid w:val="003B22D8"/>
    <w:rsid w:val="003B2339"/>
    <w:rsid w:val="003B3EB5"/>
    <w:rsid w:val="003B4A4B"/>
    <w:rsid w:val="003B4B09"/>
    <w:rsid w:val="003B4B9F"/>
    <w:rsid w:val="003B5692"/>
    <w:rsid w:val="003B5B15"/>
    <w:rsid w:val="003B6260"/>
    <w:rsid w:val="003B6337"/>
    <w:rsid w:val="003B6F1B"/>
    <w:rsid w:val="003C0C8F"/>
    <w:rsid w:val="003C1746"/>
    <w:rsid w:val="003C19B6"/>
    <w:rsid w:val="003C4647"/>
    <w:rsid w:val="003C5196"/>
    <w:rsid w:val="003C51BE"/>
    <w:rsid w:val="003D2946"/>
    <w:rsid w:val="003D39DC"/>
    <w:rsid w:val="003D73CF"/>
    <w:rsid w:val="003D7FE4"/>
    <w:rsid w:val="003E034E"/>
    <w:rsid w:val="003E1DC1"/>
    <w:rsid w:val="003E3E11"/>
    <w:rsid w:val="003E6CC2"/>
    <w:rsid w:val="003E7242"/>
    <w:rsid w:val="003F0E75"/>
    <w:rsid w:val="003F3159"/>
    <w:rsid w:val="003F395B"/>
    <w:rsid w:val="003F5737"/>
    <w:rsid w:val="003F7EBC"/>
    <w:rsid w:val="00402265"/>
    <w:rsid w:val="004024D3"/>
    <w:rsid w:val="00402B68"/>
    <w:rsid w:val="00403B9B"/>
    <w:rsid w:val="00403ECC"/>
    <w:rsid w:val="00403F88"/>
    <w:rsid w:val="00410532"/>
    <w:rsid w:val="00411FC0"/>
    <w:rsid w:val="00413F6B"/>
    <w:rsid w:val="00414588"/>
    <w:rsid w:val="00415268"/>
    <w:rsid w:val="0041583E"/>
    <w:rsid w:val="00415CBE"/>
    <w:rsid w:val="004164D1"/>
    <w:rsid w:val="00416DEA"/>
    <w:rsid w:val="00417806"/>
    <w:rsid w:val="00417BFE"/>
    <w:rsid w:val="00420963"/>
    <w:rsid w:val="00421C5F"/>
    <w:rsid w:val="00422590"/>
    <w:rsid w:val="00422D7C"/>
    <w:rsid w:val="004233BA"/>
    <w:rsid w:val="00423A20"/>
    <w:rsid w:val="004240C5"/>
    <w:rsid w:val="004250D8"/>
    <w:rsid w:val="00425AA5"/>
    <w:rsid w:val="0042632D"/>
    <w:rsid w:val="00426DC1"/>
    <w:rsid w:val="00426DFA"/>
    <w:rsid w:val="00426F16"/>
    <w:rsid w:val="00427647"/>
    <w:rsid w:val="00431340"/>
    <w:rsid w:val="00432324"/>
    <w:rsid w:val="00433345"/>
    <w:rsid w:val="00434B72"/>
    <w:rsid w:val="00434E33"/>
    <w:rsid w:val="00435857"/>
    <w:rsid w:val="0043600A"/>
    <w:rsid w:val="00436531"/>
    <w:rsid w:val="004366C4"/>
    <w:rsid w:val="00436D3D"/>
    <w:rsid w:val="00437F22"/>
    <w:rsid w:val="00441401"/>
    <w:rsid w:val="0044299D"/>
    <w:rsid w:val="00442A4D"/>
    <w:rsid w:val="00443A01"/>
    <w:rsid w:val="004441AD"/>
    <w:rsid w:val="00444C11"/>
    <w:rsid w:val="00445F04"/>
    <w:rsid w:val="0044731F"/>
    <w:rsid w:val="00447DD0"/>
    <w:rsid w:val="00447F9E"/>
    <w:rsid w:val="00447FB1"/>
    <w:rsid w:val="0045049C"/>
    <w:rsid w:val="0045086C"/>
    <w:rsid w:val="00450D90"/>
    <w:rsid w:val="0045243E"/>
    <w:rsid w:val="00452FC4"/>
    <w:rsid w:val="00453303"/>
    <w:rsid w:val="0045456A"/>
    <w:rsid w:val="004546B4"/>
    <w:rsid w:val="00455FEC"/>
    <w:rsid w:val="00457BF0"/>
    <w:rsid w:val="00457D17"/>
    <w:rsid w:val="004607A9"/>
    <w:rsid w:val="0046128B"/>
    <w:rsid w:val="00462A8C"/>
    <w:rsid w:val="00462AC3"/>
    <w:rsid w:val="00464448"/>
    <w:rsid w:val="004647D3"/>
    <w:rsid w:val="00466461"/>
    <w:rsid w:val="00466F34"/>
    <w:rsid w:val="00466FFC"/>
    <w:rsid w:val="004675E1"/>
    <w:rsid w:val="004678E2"/>
    <w:rsid w:val="0047075F"/>
    <w:rsid w:val="00470CC4"/>
    <w:rsid w:val="00470F26"/>
    <w:rsid w:val="00473184"/>
    <w:rsid w:val="00474576"/>
    <w:rsid w:val="00474F16"/>
    <w:rsid w:val="004757E8"/>
    <w:rsid w:val="004763A4"/>
    <w:rsid w:val="00476982"/>
    <w:rsid w:val="00476D0C"/>
    <w:rsid w:val="004804B8"/>
    <w:rsid w:val="00480B34"/>
    <w:rsid w:val="004810E2"/>
    <w:rsid w:val="004821C5"/>
    <w:rsid w:val="004847B7"/>
    <w:rsid w:val="00484A8E"/>
    <w:rsid w:val="0048598B"/>
    <w:rsid w:val="00485C97"/>
    <w:rsid w:val="00485F4D"/>
    <w:rsid w:val="004875A4"/>
    <w:rsid w:val="00487D4C"/>
    <w:rsid w:val="00490231"/>
    <w:rsid w:val="0049088A"/>
    <w:rsid w:val="00492544"/>
    <w:rsid w:val="0049259D"/>
    <w:rsid w:val="00492D86"/>
    <w:rsid w:val="00492E3E"/>
    <w:rsid w:val="00493B95"/>
    <w:rsid w:val="0049477D"/>
    <w:rsid w:val="00494D1D"/>
    <w:rsid w:val="004978B9"/>
    <w:rsid w:val="00497F81"/>
    <w:rsid w:val="004A1732"/>
    <w:rsid w:val="004A7C02"/>
    <w:rsid w:val="004B034D"/>
    <w:rsid w:val="004B0ECF"/>
    <w:rsid w:val="004B139F"/>
    <w:rsid w:val="004B2E49"/>
    <w:rsid w:val="004B3DF4"/>
    <w:rsid w:val="004B4D4B"/>
    <w:rsid w:val="004B4DE6"/>
    <w:rsid w:val="004B5FFC"/>
    <w:rsid w:val="004B7221"/>
    <w:rsid w:val="004B7C36"/>
    <w:rsid w:val="004B7F14"/>
    <w:rsid w:val="004C4346"/>
    <w:rsid w:val="004C451D"/>
    <w:rsid w:val="004C4BB9"/>
    <w:rsid w:val="004C5063"/>
    <w:rsid w:val="004C5E1B"/>
    <w:rsid w:val="004C66D8"/>
    <w:rsid w:val="004D0C4A"/>
    <w:rsid w:val="004D11A6"/>
    <w:rsid w:val="004D1C15"/>
    <w:rsid w:val="004D3304"/>
    <w:rsid w:val="004D38A9"/>
    <w:rsid w:val="004D3A37"/>
    <w:rsid w:val="004D401E"/>
    <w:rsid w:val="004D51AF"/>
    <w:rsid w:val="004D54BE"/>
    <w:rsid w:val="004D6B5B"/>
    <w:rsid w:val="004D7A53"/>
    <w:rsid w:val="004E3987"/>
    <w:rsid w:val="004E4052"/>
    <w:rsid w:val="004E5A61"/>
    <w:rsid w:val="004E6BE7"/>
    <w:rsid w:val="004E760D"/>
    <w:rsid w:val="004F18EB"/>
    <w:rsid w:val="004F2383"/>
    <w:rsid w:val="004F3159"/>
    <w:rsid w:val="004F3485"/>
    <w:rsid w:val="004F3516"/>
    <w:rsid w:val="004F3A0D"/>
    <w:rsid w:val="004F3F14"/>
    <w:rsid w:val="004F440F"/>
    <w:rsid w:val="004F5231"/>
    <w:rsid w:val="004F590A"/>
    <w:rsid w:val="004F6837"/>
    <w:rsid w:val="004F6F6C"/>
    <w:rsid w:val="004F73C4"/>
    <w:rsid w:val="00500790"/>
    <w:rsid w:val="005030C5"/>
    <w:rsid w:val="005030D1"/>
    <w:rsid w:val="00503978"/>
    <w:rsid w:val="0050454A"/>
    <w:rsid w:val="00504D26"/>
    <w:rsid w:val="00504F02"/>
    <w:rsid w:val="00507E35"/>
    <w:rsid w:val="00510315"/>
    <w:rsid w:val="005114EF"/>
    <w:rsid w:val="005120D7"/>
    <w:rsid w:val="00512719"/>
    <w:rsid w:val="00512CD5"/>
    <w:rsid w:val="00513AD9"/>
    <w:rsid w:val="00513EFB"/>
    <w:rsid w:val="00515337"/>
    <w:rsid w:val="00515435"/>
    <w:rsid w:val="00515F8D"/>
    <w:rsid w:val="005163CB"/>
    <w:rsid w:val="00516448"/>
    <w:rsid w:val="005166D6"/>
    <w:rsid w:val="00516792"/>
    <w:rsid w:val="00516A4C"/>
    <w:rsid w:val="00516F03"/>
    <w:rsid w:val="00520BB1"/>
    <w:rsid w:val="00520E0A"/>
    <w:rsid w:val="00521261"/>
    <w:rsid w:val="005222C4"/>
    <w:rsid w:val="00522833"/>
    <w:rsid w:val="00522C34"/>
    <w:rsid w:val="005235EF"/>
    <w:rsid w:val="00523662"/>
    <w:rsid w:val="005240B8"/>
    <w:rsid w:val="005247AB"/>
    <w:rsid w:val="00524CAF"/>
    <w:rsid w:val="0052752C"/>
    <w:rsid w:val="00527FE3"/>
    <w:rsid w:val="00532156"/>
    <w:rsid w:val="0053345F"/>
    <w:rsid w:val="00534269"/>
    <w:rsid w:val="00535E9B"/>
    <w:rsid w:val="00536B50"/>
    <w:rsid w:val="00536C2A"/>
    <w:rsid w:val="00536D7C"/>
    <w:rsid w:val="00537525"/>
    <w:rsid w:val="005376A3"/>
    <w:rsid w:val="00541242"/>
    <w:rsid w:val="00541F3E"/>
    <w:rsid w:val="00543046"/>
    <w:rsid w:val="00545817"/>
    <w:rsid w:val="00546AB5"/>
    <w:rsid w:val="0054702D"/>
    <w:rsid w:val="00550947"/>
    <w:rsid w:val="005512DE"/>
    <w:rsid w:val="0055134B"/>
    <w:rsid w:val="00552878"/>
    <w:rsid w:val="00552E6B"/>
    <w:rsid w:val="00554731"/>
    <w:rsid w:val="005551B9"/>
    <w:rsid w:val="005555F6"/>
    <w:rsid w:val="00557B5E"/>
    <w:rsid w:val="00561DC3"/>
    <w:rsid w:val="00561FB1"/>
    <w:rsid w:val="0056204C"/>
    <w:rsid w:val="00563887"/>
    <w:rsid w:val="0056484C"/>
    <w:rsid w:val="005650A6"/>
    <w:rsid w:val="0056522B"/>
    <w:rsid w:val="00565FD2"/>
    <w:rsid w:val="005679FE"/>
    <w:rsid w:val="0057064F"/>
    <w:rsid w:val="00570DED"/>
    <w:rsid w:val="00571FDD"/>
    <w:rsid w:val="005720F5"/>
    <w:rsid w:val="00572165"/>
    <w:rsid w:val="00573AAE"/>
    <w:rsid w:val="00575280"/>
    <w:rsid w:val="00575665"/>
    <w:rsid w:val="00582725"/>
    <w:rsid w:val="00582C53"/>
    <w:rsid w:val="00583F44"/>
    <w:rsid w:val="005841E2"/>
    <w:rsid w:val="00584906"/>
    <w:rsid w:val="00586CCA"/>
    <w:rsid w:val="00586DFE"/>
    <w:rsid w:val="00586F8C"/>
    <w:rsid w:val="00590FFD"/>
    <w:rsid w:val="0059270B"/>
    <w:rsid w:val="00592BA4"/>
    <w:rsid w:val="005955C4"/>
    <w:rsid w:val="0059694C"/>
    <w:rsid w:val="00597D1F"/>
    <w:rsid w:val="005A0ED8"/>
    <w:rsid w:val="005A169A"/>
    <w:rsid w:val="005A16E6"/>
    <w:rsid w:val="005A1F52"/>
    <w:rsid w:val="005A3459"/>
    <w:rsid w:val="005A3AF5"/>
    <w:rsid w:val="005A754A"/>
    <w:rsid w:val="005B0611"/>
    <w:rsid w:val="005B08D1"/>
    <w:rsid w:val="005B0E38"/>
    <w:rsid w:val="005B2953"/>
    <w:rsid w:val="005B3008"/>
    <w:rsid w:val="005B39E6"/>
    <w:rsid w:val="005B3C4E"/>
    <w:rsid w:val="005B507E"/>
    <w:rsid w:val="005B543D"/>
    <w:rsid w:val="005B5613"/>
    <w:rsid w:val="005B6765"/>
    <w:rsid w:val="005B6956"/>
    <w:rsid w:val="005B6D86"/>
    <w:rsid w:val="005B7029"/>
    <w:rsid w:val="005C0DF0"/>
    <w:rsid w:val="005C0ECD"/>
    <w:rsid w:val="005C1538"/>
    <w:rsid w:val="005C1931"/>
    <w:rsid w:val="005C2F38"/>
    <w:rsid w:val="005C349B"/>
    <w:rsid w:val="005C354A"/>
    <w:rsid w:val="005C4531"/>
    <w:rsid w:val="005C6285"/>
    <w:rsid w:val="005C69D6"/>
    <w:rsid w:val="005C6B7C"/>
    <w:rsid w:val="005C7FC8"/>
    <w:rsid w:val="005D2DB3"/>
    <w:rsid w:val="005D794F"/>
    <w:rsid w:val="005E08F1"/>
    <w:rsid w:val="005E1699"/>
    <w:rsid w:val="005E2CE9"/>
    <w:rsid w:val="005E36D8"/>
    <w:rsid w:val="005E3BCB"/>
    <w:rsid w:val="005E4870"/>
    <w:rsid w:val="005E4A45"/>
    <w:rsid w:val="005E4E10"/>
    <w:rsid w:val="005E4F3A"/>
    <w:rsid w:val="005E55D4"/>
    <w:rsid w:val="005E6381"/>
    <w:rsid w:val="005E6E90"/>
    <w:rsid w:val="005E7B93"/>
    <w:rsid w:val="005E7C52"/>
    <w:rsid w:val="005E7FC8"/>
    <w:rsid w:val="005F019E"/>
    <w:rsid w:val="005F0262"/>
    <w:rsid w:val="005F0C09"/>
    <w:rsid w:val="005F0CEA"/>
    <w:rsid w:val="005F0E9D"/>
    <w:rsid w:val="005F0F6C"/>
    <w:rsid w:val="005F1F88"/>
    <w:rsid w:val="005F27B1"/>
    <w:rsid w:val="005F2E46"/>
    <w:rsid w:val="005F3632"/>
    <w:rsid w:val="005F608C"/>
    <w:rsid w:val="005F661B"/>
    <w:rsid w:val="005F789E"/>
    <w:rsid w:val="005F7A8F"/>
    <w:rsid w:val="006011D9"/>
    <w:rsid w:val="00601277"/>
    <w:rsid w:val="00601891"/>
    <w:rsid w:val="00601D17"/>
    <w:rsid w:val="00602613"/>
    <w:rsid w:val="00603451"/>
    <w:rsid w:val="00603A3D"/>
    <w:rsid w:val="006044F9"/>
    <w:rsid w:val="00605817"/>
    <w:rsid w:val="00610753"/>
    <w:rsid w:val="00610A6E"/>
    <w:rsid w:val="00610C4A"/>
    <w:rsid w:val="006110B7"/>
    <w:rsid w:val="00612B40"/>
    <w:rsid w:val="006132F5"/>
    <w:rsid w:val="006170FA"/>
    <w:rsid w:val="0061718C"/>
    <w:rsid w:val="00620A83"/>
    <w:rsid w:val="00620ABB"/>
    <w:rsid w:val="00622526"/>
    <w:rsid w:val="00622A30"/>
    <w:rsid w:val="00624C36"/>
    <w:rsid w:val="006262AC"/>
    <w:rsid w:val="006268DB"/>
    <w:rsid w:val="00630DEE"/>
    <w:rsid w:val="00632068"/>
    <w:rsid w:val="00632A51"/>
    <w:rsid w:val="00632B2B"/>
    <w:rsid w:val="00632B4A"/>
    <w:rsid w:val="00632E3A"/>
    <w:rsid w:val="0063362D"/>
    <w:rsid w:val="006342AB"/>
    <w:rsid w:val="00634FA1"/>
    <w:rsid w:val="00635090"/>
    <w:rsid w:val="00635D1B"/>
    <w:rsid w:val="00636896"/>
    <w:rsid w:val="006370C7"/>
    <w:rsid w:val="006372E7"/>
    <w:rsid w:val="00637570"/>
    <w:rsid w:val="0063760B"/>
    <w:rsid w:val="00637997"/>
    <w:rsid w:val="006379FA"/>
    <w:rsid w:val="006410E0"/>
    <w:rsid w:val="006428D2"/>
    <w:rsid w:val="00642D55"/>
    <w:rsid w:val="00643522"/>
    <w:rsid w:val="0064389F"/>
    <w:rsid w:val="006439B4"/>
    <w:rsid w:val="0064662C"/>
    <w:rsid w:val="00650B72"/>
    <w:rsid w:val="00650CEF"/>
    <w:rsid w:val="00652B5C"/>
    <w:rsid w:val="00652B8A"/>
    <w:rsid w:val="0065327A"/>
    <w:rsid w:val="00653AEC"/>
    <w:rsid w:val="00656240"/>
    <w:rsid w:val="00656C79"/>
    <w:rsid w:val="00657218"/>
    <w:rsid w:val="00657760"/>
    <w:rsid w:val="006577FC"/>
    <w:rsid w:val="006605FB"/>
    <w:rsid w:val="00661353"/>
    <w:rsid w:val="0066240A"/>
    <w:rsid w:val="00662A2C"/>
    <w:rsid w:val="00662A4A"/>
    <w:rsid w:val="006642C8"/>
    <w:rsid w:val="0066455A"/>
    <w:rsid w:val="006652C8"/>
    <w:rsid w:val="006710CF"/>
    <w:rsid w:val="006722F9"/>
    <w:rsid w:val="006738B0"/>
    <w:rsid w:val="00673FD5"/>
    <w:rsid w:val="00674023"/>
    <w:rsid w:val="0067511B"/>
    <w:rsid w:val="00675F32"/>
    <w:rsid w:val="00677AB5"/>
    <w:rsid w:val="00680530"/>
    <w:rsid w:val="00680CA1"/>
    <w:rsid w:val="0068271B"/>
    <w:rsid w:val="0068382C"/>
    <w:rsid w:val="006839F4"/>
    <w:rsid w:val="00683A7D"/>
    <w:rsid w:val="00685136"/>
    <w:rsid w:val="006856CB"/>
    <w:rsid w:val="006858C5"/>
    <w:rsid w:val="00686271"/>
    <w:rsid w:val="006879B6"/>
    <w:rsid w:val="00687AD4"/>
    <w:rsid w:val="006914E8"/>
    <w:rsid w:val="00695E59"/>
    <w:rsid w:val="00697858"/>
    <w:rsid w:val="006A078B"/>
    <w:rsid w:val="006A07EC"/>
    <w:rsid w:val="006A08B8"/>
    <w:rsid w:val="006A16F0"/>
    <w:rsid w:val="006A1BD2"/>
    <w:rsid w:val="006A3BCB"/>
    <w:rsid w:val="006A6708"/>
    <w:rsid w:val="006A7F93"/>
    <w:rsid w:val="006B18B3"/>
    <w:rsid w:val="006B249F"/>
    <w:rsid w:val="006B287E"/>
    <w:rsid w:val="006B30D8"/>
    <w:rsid w:val="006B541F"/>
    <w:rsid w:val="006B6473"/>
    <w:rsid w:val="006C0149"/>
    <w:rsid w:val="006C074C"/>
    <w:rsid w:val="006C0806"/>
    <w:rsid w:val="006C17B7"/>
    <w:rsid w:val="006C1AE6"/>
    <w:rsid w:val="006C23A1"/>
    <w:rsid w:val="006C272C"/>
    <w:rsid w:val="006C36C1"/>
    <w:rsid w:val="006C3C02"/>
    <w:rsid w:val="006C3D6A"/>
    <w:rsid w:val="006C4046"/>
    <w:rsid w:val="006C4780"/>
    <w:rsid w:val="006C5F9C"/>
    <w:rsid w:val="006C632D"/>
    <w:rsid w:val="006C7532"/>
    <w:rsid w:val="006D00BD"/>
    <w:rsid w:val="006D460C"/>
    <w:rsid w:val="006D4680"/>
    <w:rsid w:val="006D596C"/>
    <w:rsid w:val="006D6A4D"/>
    <w:rsid w:val="006D7047"/>
    <w:rsid w:val="006D7A87"/>
    <w:rsid w:val="006E242D"/>
    <w:rsid w:val="006E3505"/>
    <w:rsid w:val="006E5B4B"/>
    <w:rsid w:val="006E648F"/>
    <w:rsid w:val="006E6C0A"/>
    <w:rsid w:val="006E7615"/>
    <w:rsid w:val="006E785D"/>
    <w:rsid w:val="006F0913"/>
    <w:rsid w:val="006F0B91"/>
    <w:rsid w:val="006F1BE4"/>
    <w:rsid w:val="006F24BC"/>
    <w:rsid w:val="006F540E"/>
    <w:rsid w:val="006F576F"/>
    <w:rsid w:val="006F59C5"/>
    <w:rsid w:val="006F738D"/>
    <w:rsid w:val="007004E5"/>
    <w:rsid w:val="00700AF8"/>
    <w:rsid w:val="007017C8"/>
    <w:rsid w:val="00701935"/>
    <w:rsid w:val="00701FAE"/>
    <w:rsid w:val="007023C6"/>
    <w:rsid w:val="00703B7D"/>
    <w:rsid w:val="00705508"/>
    <w:rsid w:val="00705E6D"/>
    <w:rsid w:val="00707FB4"/>
    <w:rsid w:val="007112E1"/>
    <w:rsid w:val="007129F0"/>
    <w:rsid w:val="00713468"/>
    <w:rsid w:val="00713D85"/>
    <w:rsid w:val="00713F92"/>
    <w:rsid w:val="00714DA1"/>
    <w:rsid w:val="00715AD5"/>
    <w:rsid w:val="00716181"/>
    <w:rsid w:val="0071721D"/>
    <w:rsid w:val="0072099A"/>
    <w:rsid w:val="007209E0"/>
    <w:rsid w:val="00721366"/>
    <w:rsid w:val="007216A4"/>
    <w:rsid w:val="00722230"/>
    <w:rsid w:val="00722678"/>
    <w:rsid w:val="0072400D"/>
    <w:rsid w:val="0072444B"/>
    <w:rsid w:val="00724DBF"/>
    <w:rsid w:val="0072531C"/>
    <w:rsid w:val="007253EC"/>
    <w:rsid w:val="0073026D"/>
    <w:rsid w:val="00731A85"/>
    <w:rsid w:val="0073451D"/>
    <w:rsid w:val="007349F2"/>
    <w:rsid w:val="00735111"/>
    <w:rsid w:val="007356DE"/>
    <w:rsid w:val="00736782"/>
    <w:rsid w:val="007370F8"/>
    <w:rsid w:val="00740BE2"/>
    <w:rsid w:val="00741D2B"/>
    <w:rsid w:val="00744A0E"/>
    <w:rsid w:val="00744D01"/>
    <w:rsid w:val="00745E6B"/>
    <w:rsid w:val="00750FC1"/>
    <w:rsid w:val="0075240B"/>
    <w:rsid w:val="00753794"/>
    <w:rsid w:val="00753B02"/>
    <w:rsid w:val="007542CD"/>
    <w:rsid w:val="007545B9"/>
    <w:rsid w:val="007549E1"/>
    <w:rsid w:val="007555F8"/>
    <w:rsid w:val="0075635B"/>
    <w:rsid w:val="00756DE4"/>
    <w:rsid w:val="007571FD"/>
    <w:rsid w:val="007605AC"/>
    <w:rsid w:val="007612E5"/>
    <w:rsid w:val="00761D6E"/>
    <w:rsid w:val="00763639"/>
    <w:rsid w:val="007638C2"/>
    <w:rsid w:val="00766875"/>
    <w:rsid w:val="0076712D"/>
    <w:rsid w:val="00770C1A"/>
    <w:rsid w:val="00771BA6"/>
    <w:rsid w:val="00772383"/>
    <w:rsid w:val="00772639"/>
    <w:rsid w:val="00772D56"/>
    <w:rsid w:val="007745C1"/>
    <w:rsid w:val="00775235"/>
    <w:rsid w:val="007806F6"/>
    <w:rsid w:val="00780B47"/>
    <w:rsid w:val="00780C57"/>
    <w:rsid w:val="00781386"/>
    <w:rsid w:val="007828EE"/>
    <w:rsid w:val="00783059"/>
    <w:rsid w:val="00783302"/>
    <w:rsid w:val="0078345B"/>
    <w:rsid w:val="00785A31"/>
    <w:rsid w:val="00786C47"/>
    <w:rsid w:val="0078701E"/>
    <w:rsid w:val="00787250"/>
    <w:rsid w:val="007912B9"/>
    <w:rsid w:val="00791F63"/>
    <w:rsid w:val="00792400"/>
    <w:rsid w:val="0079378B"/>
    <w:rsid w:val="007941B1"/>
    <w:rsid w:val="00794361"/>
    <w:rsid w:val="007965EF"/>
    <w:rsid w:val="00796602"/>
    <w:rsid w:val="0079706F"/>
    <w:rsid w:val="007A01CB"/>
    <w:rsid w:val="007A0ED2"/>
    <w:rsid w:val="007A10CC"/>
    <w:rsid w:val="007A12D9"/>
    <w:rsid w:val="007A341B"/>
    <w:rsid w:val="007A346B"/>
    <w:rsid w:val="007A470B"/>
    <w:rsid w:val="007A5A95"/>
    <w:rsid w:val="007A5FD8"/>
    <w:rsid w:val="007A7CC5"/>
    <w:rsid w:val="007B0CDD"/>
    <w:rsid w:val="007B16CB"/>
    <w:rsid w:val="007B1733"/>
    <w:rsid w:val="007B1C25"/>
    <w:rsid w:val="007B2282"/>
    <w:rsid w:val="007B2450"/>
    <w:rsid w:val="007B24A9"/>
    <w:rsid w:val="007B4C20"/>
    <w:rsid w:val="007B6601"/>
    <w:rsid w:val="007C0698"/>
    <w:rsid w:val="007C088C"/>
    <w:rsid w:val="007C0A57"/>
    <w:rsid w:val="007C42E3"/>
    <w:rsid w:val="007C5E2D"/>
    <w:rsid w:val="007C713D"/>
    <w:rsid w:val="007C7163"/>
    <w:rsid w:val="007C7795"/>
    <w:rsid w:val="007C7AB3"/>
    <w:rsid w:val="007D0473"/>
    <w:rsid w:val="007D2419"/>
    <w:rsid w:val="007D26B3"/>
    <w:rsid w:val="007D3A29"/>
    <w:rsid w:val="007D3A97"/>
    <w:rsid w:val="007D424C"/>
    <w:rsid w:val="007D4345"/>
    <w:rsid w:val="007D611D"/>
    <w:rsid w:val="007E1231"/>
    <w:rsid w:val="007E129A"/>
    <w:rsid w:val="007E295A"/>
    <w:rsid w:val="007E30C2"/>
    <w:rsid w:val="007E463B"/>
    <w:rsid w:val="007E4AFE"/>
    <w:rsid w:val="007E4D4D"/>
    <w:rsid w:val="007E5199"/>
    <w:rsid w:val="007E531D"/>
    <w:rsid w:val="007E72BE"/>
    <w:rsid w:val="007E7C3D"/>
    <w:rsid w:val="007F062C"/>
    <w:rsid w:val="007F07F8"/>
    <w:rsid w:val="007F087B"/>
    <w:rsid w:val="007F1BDD"/>
    <w:rsid w:val="007F20C8"/>
    <w:rsid w:val="007F4029"/>
    <w:rsid w:val="00804BBD"/>
    <w:rsid w:val="00804F1C"/>
    <w:rsid w:val="00805F39"/>
    <w:rsid w:val="00806972"/>
    <w:rsid w:val="00806B71"/>
    <w:rsid w:val="00807124"/>
    <w:rsid w:val="008102E4"/>
    <w:rsid w:val="008103DB"/>
    <w:rsid w:val="0081082B"/>
    <w:rsid w:val="00810D6C"/>
    <w:rsid w:val="00811A24"/>
    <w:rsid w:val="00811D37"/>
    <w:rsid w:val="0081212B"/>
    <w:rsid w:val="008122BC"/>
    <w:rsid w:val="0081264E"/>
    <w:rsid w:val="00812AD0"/>
    <w:rsid w:val="00812C61"/>
    <w:rsid w:val="008138DC"/>
    <w:rsid w:val="00816097"/>
    <w:rsid w:val="00817240"/>
    <w:rsid w:val="00817A05"/>
    <w:rsid w:val="00817FCE"/>
    <w:rsid w:val="00820039"/>
    <w:rsid w:val="008204D7"/>
    <w:rsid w:val="0082180E"/>
    <w:rsid w:val="00821DFC"/>
    <w:rsid w:val="008229D5"/>
    <w:rsid w:val="00822BB4"/>
    <w:rsid w:val="008239BF"/>
    <w:rsid w:val="008250DA"/>
    <w:rsid w:val="0083057F"/>
    <w:rsid w:val="0083138C"/>
    <w:rsid w:val="00831DDC"/>
    <w:rsid w:val="0083336B"/>
    <w:rsid w:val="00833487"/>
    <w:rsid w:val="00833504"/>
    <w:rsid w:val="008337BA"/>
    <w:rsid w:val="00833843"/>
    <w:rsid w:val="00833925"/>
    <w:rsid w:val="0083395F"/>
    <w:rsid w:val="00837029"/>
    <w:rsid w:val="008410C2"/>
    <w:rsid w:val="008434F0"/>
    <w:rsid w:val="0084461F"/>
    <w:rsid w:val="008447E2"/>
    <w:rsid w:val="00845CBA"/>
    <w:rsid w:val="00846680"/>
    <w:rsid w:val="008470BB"/>
    <w:rsid w:val="00850365"/>
    <w:rsid w:val="00850836"/>
    <w:rsid w:val="00851E15"/>
    <w:rsid w:val="00852DEB"/>
    <w:rsid w:val="00855363"/>
    <w:rsid w:val="008558CE"/>
    <w:rsid w:val="00855A69"/>
    <w:rsid w:val="00855C64"/>
    <w:rsid w:val="008565E7"/>
    <w:rsid w:val="00856742"/>
    <w:rsid w:val="00856894"/>
    <w:rsid w:val="00856F6B"/>
    <w:rsid w:val="00857635"/>
    <w:rsid w:val="008603FA"/>
    <w:rsid w:val="0086060D"/>
    <w:rsid w:val="0086079C"/>
    <w:rsid w:val="008608F4"/>
    <w:rsid w:val="00860C33"/>
    <w:rsid w:val="00861030"/>
    <w:rsid w:val="00862170"/>
    <w:rsid w:val="00862DC2"/>
    <w:rsid w:val="0086436B"/>
    <w:rsid w:val="00864DBC"/>
    <w:rsid w:val="008675ED"/>
    <w:rsid w:val="008677D3"/>
    <w:rsid w:val="00867A1C"/>
    <w:rsid w:val="00870105"/>
    <w:rsid w:val="00870A0B"/>
    <w:rsid w:val="00871BE3"/>
    <w:rsid w:val="00871EF8"/>
    <w:rsid w:val="00871F4F"/>
    <w:rsid w:val="0087216F"/>
    <w:rsid w:val="008731D8"/>
    <w:rsid w:val="00873F12"/>
    <w:rsid w:val="00874FC7"/>
    <w:rsid w:val="008763C0"/>
    <w:rsid w:val="008764F4"/>
    <w:rsid w:val="0087777D"/>
    <w:rsid w:val="00880999"/>
    <w:rsid w:val="00880F3C"/>
    <w:rsid w:val="008813B0"/>
    <w:rsid w:val="008825EC"/>
    <w:rsid w:val="0088495C"/>
    <w:rsid w:val="0088543B"/>
    <w:rsid w:val="0088653B"/>
    <w:rsid w:val="00887C04"/>
    <w:rsid w:val="008916CC"/>
    <w:rsid w:val="00892F82"/>
    <w:rsid w:val="0089343D"/>
    <w:rsid w:val="0089431C"/>
    <w:rsid w:val="00894A79"/>
    <w:rsid w:val="00894C10"/>
    <w:rsid w:val="00894D83"/>
    <w:rsid w:val="00894F26"/>
    <w:rsid w:val="00896A27"/>
    <w:rsid w:val="00897EAF"/>
    <w:rsid w:val="008A1F4F"/>
    <w:rsid w:val="008A2008"/>
    <w:rsid w:val="008A41D8"/>
    <w:rsid w:val="008A4C94"/>
    <w:rsid w:val="008A5119"/>
    <w:rsid w:val="008A64BD"/>
    <w:rsid w:val="008A7E74"/>
    <w:rsid w:val="008B0BA2"/>
    <w:rsid w:val="008B1DFF"/>
    <w:rsid w:val="008B1E4A"/>
    <w:rsid w:val="008B1E83"/>
    <w:rsid w:val="008B2B4C"/>
    <w:rsid w:val="008B2C9E"/>
    <w:rsid w:val="008B2E28"/>
    <w:rsid w:val="008B3B79"/>
    <w:rsid w:val="008B4E65"/>
    <w:rsid w:val="008B566B"/>
    <w:rsid w:val="008B584A"/>
    <w:rsid w:val="008B736F"/>
    <w:rsid w:val="008C1834"/>
    <w:rsid w:val="008C2B47"/>
    <w:rsid w:val="008C2C5C"/>
    <w:rsid w:val="008C378F"/>
    <w:rsid w:val="008C443B"/>
    <w:rsid w:val="008C509F"/>
    <w:rsid w:val="008C594E"/>
    <w:rsid w:val="008C780E"/>
    <w:rsid w:val="008D016D"/>
    <w:rsid w:val="008D1424"/>
    <w:rsid w:val="008D1E7A"/>
    <w:rsid w:val="008D1FBB"/>
    <w:rsid w:val="008D26C0"/>
    <w:rsid w:val="008D2B26"/>
    <w:rsid w:val="008D2D06"/>
    <w:rsid w:val="008D2EA6"/>
    <w:rsid w:val="008D3882"/>
    <w:rsid w:val="008D400C"/>
    <w:rsid w:val="008D44EA"/>
    <w:rsid w:val="008D6B80"/>
    <w:rsid w:val="008D766C"/>
    <w:rsid w:val="008E041A"/>
    <w:rsid w:val="008E092C"/>
    <w:rsid w:val="008E0D1E"/>
    <w:rsid w:val="008E0F2B"/>
    <w:rsid w:val="008E107F"/>
    <w:rsid w:val="008E30E7"/>
    <w:rsid w:val="008E3329"/>
    <w:rsid w:val="008E4968"/>
    <w:rsid w:val="008E66A2"/>
    <w:rsid w:val="008E7EF2"/>
    <w:rsid w:val="008F10FC"/>
    <w:rsid w:val="008F2702"/>
    <w:rsid w:val="008F6CB3"/>
    <w:rsid w:val="008F7742"/>
    <w:rsid w:val="008F7CAA"/>
    <w:rsid w:val="009000F4"/>
    <w:rsid w:val="00900140"/>
    <w:rsid w:val="009004B7"/>
    <w:rsid w:val="0090198F"/>
    <w:rsid w:val="00902939"/>
    <w:rsid w:val="009039A7"/>
    <w:rsid w:val="00903E21"/>
    <w:rsid w:val="009046F9"/>
    <w:rsid w:val="00904976"/>
    <w:rsid w:val="00905050"/>
    <w:rsid w:val="009054EC"/>
    <w:rsid w:val="00907229"/>
    <w:rsid w:val="00910A36"/>
    <w:rsid w:val="0091103E"/>
    <w:rsid w:val="00911EE2"/>
    <w:rsid w:val="0091210A"/>
    <w:rsid w:val="009132D6"/>
    <w:rsid w:val="00913643"/>
    <w:rsid w:val="00913735"/>
    <w:rsid w:val="00913C61"/>
    <w:rsid w:val="00913FF2"/>
    <w:rsid w:val="00914C41"/>
    <w:rsid w:val="00916470"/>
    <w:rsid w:val="0091660A"/>
    <w:rsid w:val="009169DA"/>
    <w:rsid w:val="00920562"/>
    <w:rsid w:val="009240C7"/>
    <w:rsid w:val="00924DAC"/>
    <w:rsid w:val="00926B6C"/>
    <w:rsid w:val="00926CB6"/>
    <w:rsid w:val="00927724"/>
    <w:rsid w:val="009308EF"/>
    <w:rsid w:val="00930B40"/>
    <w:rsid w:val="00930D4B"/>
    <w:rsid w:val="0093355F"/>
    <w:rsid w:val="009356E1"/>
    <w:rsid w:val="00935D23"/>
    <w:rsid w:val="00936837"/>
    <w:rsid w:val="0093790A"/>
    <w:rsid w:val="009402E5"/>
    <w:rsid w:val="00940968"/>
    <w:rsid w:val="00941132"/>
    <w:rsid w:val="009411E2"/>
    <w:rsid w:val="00942864"/>
    <w:rsid w:val="00944D38"/>
    <w:rsid w:val="00944D9B"/>
    <w:rsid w:val="009463D8"/>
    <w:rsid w:val="009464DA"/>
    <w:rsid w:val="00946A7D"/>
    <w:rsid w:val="00947543"/>
    <w:rsid w:val="0095117F"/>
    <w:rsid w:val="00951760"/>
    <w:rsid w:val="00953C76"/>
    <w:rsid w:val="00954ED5"/>
    <w:rsid w:val="0095531C"/>
    <w:rsid w:val="009559DE"/>
    <w:rsid w:val="00956BF5"/>
    <w:rsid w:val="0096152B"/>
    <w:rsid w:val="009629E9"/>
    <w:rsid w:val="00962EB3"/>
    <w:rsid w:val="0096361C"/>
    <w:rsid w:val="009637D0"/>
    <w:rsid w:val="00963CC8"/>
    <w:rsid w:val="009641A9"/>
    <w:rsid w:val="00964BE6"/>
    <w:rsid w:val="00964F98"/>
    <w:rsid w:val="0096522D"/>
    <w:rsid w:val="00965289"/>
    <w:rsid w:val="00965B34"/>
    <w:rsid w:val="0096766F"/>
    <w:rsid w:val="009712B6"/>
    <w:rsid w:val="0097243F"/>
    <w:rsid w:val="009733C7"/>
    <w:rsid w:val="00975CF7"/>
    <w:rsid w:val="0097786B"/>
    <w:rsid w:val="0098211D"/>
    <w:rsid w:val="0098394C"/>
    <w:rsid w:val="00983A85"/>
    <w:rsid w:val="009864D0"/>
    <w:rsid w:val="00990314"/>
    <w:rsid w:val="00990C1E"/>
    <w:rsid w:val="009910B6"/>
    <w:rsid w:val="00992AD7"/>
    <w:rsid w:val="00992CA1"/>
    <w:rsid w:val="00993961"/>
    <w:rsid w:val="00997E9A"/>
    <w:rsid w:val="009A0464"/>
    <w:rsid w:val="009A0725"/>
    <w:rsid w:val="009A0ED4"/>
    <w:rsid w:val="009A2E40"/>
    <w:rsid w:val="009A6A34"/>
    <w:rsid w:val="009A7133"/>
    <w:rsid w:val="009A7B16"/>
    <w:rsid w:val="009B1E13"/>
    <w:rsid w:val="009B1E2C"/>
    <w:rsid w:val="009B222B"/>
    <w:rsid w:val="009B562C"/>
    <w:rsid w:val="009B5D8D"/>
    <w:rsid w:val="009B5F92"/>
    <w:rsid w:val="009C08DB"/>
    <w:rsid w:val="009C3F61"/>
    <w:rsid w:val="009C4B01"/>
    <w:rsid w:val="009C4CAF"/>
    <w:rsid w:val="009C546D"/>
    <w:rsid w:val="009C6D72"/>
    <w:rsid w:val="009C786F"/>
    <w:rsid w:val="009C7E2E"/>
    <w:rsid w:val="009D01EF"/>
    <w:rsid w:val="009D07AE"/>
    <w:rsid w:val="009D093B"/>
    <w:rsid w:val="009D0B54"/>
    <w:rsid w:val="009D1A44"/>
    <w:rsid w:val="009D1FCE"/>
    <w:rsid w:val="009D27D5"/>
    <w:rsid w:val="009D28EE"/>
    <w:rsid w:val="009D2CFB"/>
    <w:rsid w:val="009D3686"/>
    <w:rsid w:val="009D4424"/>
    <w:rsid w:val="009D482B"/>
    <w:rsid w:val="009D4F00"/>
    <w:rsid w:val="009D51D1"/>
    <w:rsid w:val="009D6952"/>
    <w:rsid w:val="009D7C6B"/>
    <w:rsid w:val="009D7F83"/>
    <w:rsid w:val="009E13AE"/>
    <w:rsid w:val="009E27CB"/>
    <w:rsid w:val="009E3042"/>
    <w:rsid w:val="009E5A75"/>
    <w:rsid w:val="009E7F2F"/>
    <w:rsid w:val="009F0888"/>
    <w:rsid w:val="009F0B92"/>
    <w:rsid w:val="009F0C37"/>
    <w:rsid w:val="009F0D9C"/>
    <w:rsid w:val="009F226A"/>
    <w:rsid w:val="009F230B"/>
    <w:rsid w:val="009F283E"/>
    <w:rsid w:val="009F29BD"/>
    <w:rsid w:val="009F2A2B"/>
    <w:rsid w:val="009F3724"/>
    <w:rsid w:val="009F50DE"/>
    <w:rsid w:val="009F6B6E"/>
    <w:rsid w:val="009F7A7E"/>
    <w:rsid w:val="00A003C3"/>
    <w:rsid w:val="00A01005"/>
    <w:rsid w:val="00A01B74"/>
    <w:rsid w:val="00A024A3"/>
    <w:rsid w:val="00A04596"/>
    <w:rsid w:val="00A051C1"/>
    <w:rsid w:val="00A05AB9"/>
    <w:rsid w:val="00A05E52"/>
    <w:rsid w:val="00A0660A"/>
    <w:rsid w:val="00A10ED0"/>
    <w:rsid w:val="00A124FF"/>
    <w:rsid w:val="00A12901"/>
    <w:rsid w:val="00A12D07"/>
    <w:rsid w:val="00A12FBD"/>
    <w:rsid w:val="00A13021"/>
    <w:rsid w:val="00A1334A"/>
    <w:rsid w:val="00A13A94"/>
    <w:rsid w:val="00A13FD1"/>
    <w:rsid w:val="00A15565"/>
    <w:rsid w:val="00A159AB"/>
    <w:rsid w:val="00A163E5"/>
    <w:rsid w:val="00A1659F"/>
    <w:rsid w:val="00A16A2F"/>
    <w:rsid w:val="00A1704A"/>
    <w:rsid w:val="00A17354"/>
    <w:rsid w:val="00A17498"/>
    <w:rsid w:val="00A175B4"/>
    <w:rsid w:val="00A17CA6"/>
    <w:rsid w:val="00A207D6"/>
    <w:rsid w:val="00A208B0"/>
    <w:rsid w:val="00A22F4F"/>
    <w:rsid w:val="00A24749"/>
    <w:rsid w:val="00A248BF"/>
    <w:rsid w:val="00A2541D"/>
    <w:rsid w:val="00A25641"/>
    <w:rsid w:val="00A27898"/>
    <w:rsid w:val="00A3132E"/>
    <w:rsid w:val="00A322B0"/>
    <w:rsid w:val="00A3235A"/>
    <w:rsid w:val="00A324E3"/>
    <w:rsid w:val="00A3298F"/>
    <w:rsid w:val="00A333CF"/>
    <w:rsid w:val="00A34020"/>
    <w:rsid w:val="00A3466D"/>
    <w:rsid w:val="00A34D65"/>
    <w:rsid w:val="00A34E05"/>
    <w:rsid w:val="00A353F0"/>
    <w:rsid w:val="00A356E6"/>
    <w:rsid w:val="00A365FF"/>
    <w:rsid w:val="00A375E7"/>
    <w:rsid w:val="00A37E21"/>
    <w:rsid w:val="00A403B8"/>
    <w:rsid w:val="00A40D76"/>
    <w:rsid w:val="00A41464"/>
    <w:rsid w:val="00A44692"/>
    <w:rsid w:val="00A45615"/>
    <w:rsid w:val="00A518EB"/>
    <w:rsid w:val="00A520D9"/>
    <w:rsid w:val="00A528C0"/>
    <w:rsid w:val="00A53349"/>
    <w:rsid w:val="00A53AEB"/>
    <w:rsid w:val="00A54342"/>
    <w:rsid w:val="00A546D1"/>
    <w:rsid w:val="00A54821"/>
    <w:rsid w:val="00A54877"/>
    <w:rsid w:val="00A54DF1"/>
    <w:rsid w:val="00A55668"/>
    <w:rsid w:val="00A558F6"/>
    <w:rsid w:val="00A55B1D"/>
    <w:rsid w:val="00A576BD"/>
    <w:rsid w:val="00A57F75"/>
    <w:rsid w:val="00A60093"/>
    <w:rsid w:val="00A602EC"/>
    <w:rsid w:val="00A61E9C"/>
    <w:rsid w:val="00A629D7"/>
    <w:rsid w:val="00A645B7"/>
    <w:rsid w:val="00A66150"/>
    <w:rsid w:val="00A662FC"/>
    <w:rsid w:val="00A667F2"/>
    <w:rsid w:val="00A70070"/>
    <w:rsid w:val="00A70827"/>
    <w:rsid w:val="00A70E79"/>
    <w:rsid w:val="00A70F23"/>
    <w:rsid w:val="00A70F59"/>
    <w:rsid w:val="00A71CA4"/>
    <w:rsid w:val="00A71D82"/>
    <w:rsid w:val="00A720D4"/>
    <w:rsid w:val="00A72AD6"/>
    <w:rsid w:val="00A72F1A"/>
    <w:rsid w:val="00A738A2"/>
    <w:rsid w:val="00A73D16"/>
    <w:rsid w:val="00A75E2F"/>
    <w:rsid w:val="00A75FF2"/>
    <w:rsid w:val="00A77D2D"/>
    <w:rsid w:val="00A808EF"/>
    <w:rsid w:val="00A83B85"/>
    <w:rsid w:val="00A870DD"/>
    <w:rsid w:val="00A871D9"/>
    <w:rsid w:val="00A92FB4"/>
    <w:rsid w:val="00A948C3"/>
    <w:rsid w:val="00A972FF"/>
    <w:rsid w:val="00A979B3"/>
    <w:rsid w:val="00A97C10"/>
    <w:rsid w:val="00AA0503"/>
    <w:rsid w:val="00AA1DC0"/>
    <w:rsid w:val="00AA2BA1"/>
    <w:rsid w:val="00AA444A"/>
    <w:rsid w:val="00AA46E0"/>
    <w:rsid w:val="00AA4718"/>
    <w:rsid w:val="00AA47E0"/>
    <w:rsid w:val="00AA5855"/>
    <w:rsid w:val="00AA608A"/>
    <w:rsid w:val="00AA61A1"/>
    <w:rsid w:val="00AA6679"/>
    <w:rsid w:val="00AA6C38"/>
    <w:rsid w:val="00AA743F"/>
    <w:rsid w:val="00AB01FC"/>
    <w:rsid w:val="00AB0609"/>
    <w:rsid w:val="00AB0619"/>
    <w:rsid w:val="00AB0634"/>
    <w:rsid w:val="00AB0F35"/>
    <w:rsid w:val="00AB1EC8"/>
    <w:rsid w:val="00AB262E"/>
    <w:rsid w:val="00AB304F"/>
    <w:rsid w:val="00AB3AEB"/>
    <w:rsid w:val="00AB3C6E"/>
    <w:rsid w:val="00AB3FD2"/>
    <w:rsid w:val="00AB53D3"/>
    <w:rsid w:val="00AB5A35"/>
    <w:rsid w:val="00AB5DEF"/>
    <w:rsid w:val="00AC0358"/>
    <w:rsid w:val="00AC2718"/>
    <w:rsid w:val="00AC29C3"/>
    <w:rsid w:val="00AC3483"/>
    <w:rsid w:val="00AC48AF"/>
    <w:rsid w:val="00AC4C15"/>
    <w:rsid w:val="00AC5231"/>
    <w:rsid w:val="00AC53E9"/>
    <w:rsid w:val="00AC586F"/>
    <w:rsid w:val="00AC631A"/>
    <w:rsid w:val="00AC6B72"/>
    <w:rsid w:val="00AC6FC2"/>
    <w:rsid w:val="00AC7E1A"/>
    <w:rsid w:val="00AD05C2"/>
    <w:rsid w:val="00AD0C6C"/>
    <w:rsid w:val="00AD1849"/>
    <w:rsid w:val="00AD1A53"/>
    <w:rsid w:val="00AD1F30"/>
    <w:rsid w:val="00AD1F6B"/>
    <w:rsid w:val="00AD4611"/>
    <w:rsid w:val="00AD4872"/>
    <w:rsid w:val="00AD56D1"/>
    <w:rsid w:val="00AD6087"/>
    <w:rsid w:val="00AD68D2"/>
    <w:rsid w:val="00AD713D"/>
    <w:rsid w:val="00AD743F"/>
    <w:rsid w:val="00AD7EA6"/>
    <w:rsid w:val="00AE1019"/>
    <w:rsid w:val="00AE412E"/>
    <w:rsid w:val="00AE4374"/>
    <w:rsid w:val="00AE461D"/>
    <w:rsid w:val="00AE4AF9"/>
    <w:rsid w:val="00AE51F1"/>
    <w:rsid w:val="00AE7AF9"/>
    <w:rsid w:val="00AF086A"/>
    <w:rsid w:val="00AF2380"/>
    <w:rsid w:val="00AF3331"/>
    <w:rsid w:val="00AF36FC"/>
    <w:rsid w:val="00AF41A7"/>
    <w:rsid w:val="00AF6075"/>
    <w:rsid w:val="00AF6341"/>
    <w:rsid w:val="00AF697A"/>
    <w:rsid w:val="00AF6CF9"/>
    <w:rsid w:val="00AF6D9D"/>
    <w:rsid w:val="00AF7D5A"/>
    <w:rsid w:val="00B01422"/>
    <w:rsid w:val="00B01ADB"/>
    <w:rsid w:val="00B01D63"/>
    <w:rsid w:val="00B02DC3"/>
    <w:rsid w:val="00B04004"/>
    <w:rsid w:val="00B047ED"/>
    <w:rsid w:val="00B0585F"/>
    <w:rsid w:val="00B06935"/>
    <w:rsid w:val="00B06FA3"/>
    <w:rsid w:val="00B075B8"/>
    <w:rsid w:val="00B07D07"/>
    <w:rsid w:val="00B12304"/>
    <w:rsid w:val="00B124B6"/>
    <w:rsid w:val="00B13113"/>
    <w:rsid w:val="00B14F21"/>
    <w:rsid w:val="00B15032"/>
    <w:rsid w:val="00B16806"/>
    <w:rsid w:val="00B17842"/>
    <w:rsid w:val="00B17C93"/>
    <w:rsid w:val="00B20347"/>
    <w:rsid w:val="00B206F0"/>
    <w:rsid w:val="00B20D36"/>
    <w:rsid w:val="00B22EBA"/>
    <w:rsid w:val="00B24400"/>
    <w:rsid w:val="00B25864"/>
    <w:rsid w:val="00B25FA2"/>
    <w:rsid w:val="00B2641C"/>
    <w:rsid w:val="00B2692B"/>
    <w:rsid w:val="00B300E9"/>
    <w:rsid w:val="00B3029D"/>
    <w:rsid w:val="00B32B74"/>
    <w:rsid w:val="00B32CBD"/>
    <w:rsid w:val="00B32F8E"/>
    <w:rsid w:val="00B33BB7"/>
    <w:rsid w:val="00B34B3F"/>
    <w:rsid w:val="00B3502A"/>
    <w:rsid w:val="00B3593D"/>
    <w:rsid w:val="00B35A11"/>
    <w:rsid w:val="00B37731"/>
    <w:rsid w:val="00B40326"/>
    <w:rsid w:val="00B40EE7"/>
    <w:rsid w:val="00B4175F"/>
    <w:rsid w:val="00B43104"/>
    <w:rsid w:val="00B4338C"/>
    <w:rsid w:val="00B437ED"/>
    <w:rsid w:val="00B455A1"/>
    <w:rsid w:val="00B47A79"/>
    <w:rsid w:val="00B47DF5"/>
    <w:rsid w:val="00B47F89"/>
    <w:rsid w:val="00B500D5"/>
    <w:rsid w:val="00B50620"/>
    <w:rsid w:val="00B51549"/>
    <w:rsid w:val="00B524CA"/>
    <w:rsid w:val="00B564EB"/>
    <w:rsid w:val="00B608DB"/>
    <w:rsid w:val="00B609F9"/>
    <w:rsid w:val="00B61DF8"/>
    <w:rsid w:val="00B63C0A"/>
    <w:rsid w:val="00B6415F"/>
    <w:rsid w:val="00B64F98"/>
    <w:rsid w:val="00B6720D"/>
    <w:rsid w:val="00B70BB1"/>
    <w:rsid w:val="00B7206F"/>
    <w:rsid w:val="00B7288B"/>
    <w:rsid w:val="00B72AB4"/>
    <w:rsid w:val="00B72E6B"/>
    <w:rsid w:val="00B742BE"/>
    <w:rsid w:val="00B74675"/>
    <w:rsid w:val="00B74DCB"/>
    <w:rsid w:val="00B7515E"/>
    <w:rsid w:val="00B764FD"/>
    <w:rsid w:val="00B8113D"/>
    <w:rsid w:val="00B8131D"/>
    <w:rsid w:val="00B83C03"/>
    <w:rsid w:val="00B84A0E"/>
    <w:rsid w:val="00B860AA"/>
    <w:rsid w:val="00B860B4"/>
    <w:rsid w:val="00B90CAD"/>
    <w:rsid w:val="00B918F2"/>
    <w:rsid w:val="00B91DAE"/>
    <w:rsid w:val="00B922A1"/>
    <w:rsid w:val="00B923BA"/>
    <w:rsid w:val="00B93021"/>
    <w:rsid w:val="00B93AF4"/>
    <w:rsid w:val="00B95A5C"/>
    <w:rsid w:val="00B97065"/>
    <w:rsid w:val="00B97242"/>
    <w:rsid w:val="00B97748"/>
    <w:rsid w:val="00BA0CB2"/>
    <w:rsid w:val="00BA1723"/>
    <w:rsid w:val="00BA1B65"/>
    <w:rsid w:val="00BA58F4"/>
    <w:rsid w:val="00BA645C"/>
    <w:rsid w:val="00BA6A0D"/>
    <w:rsid w:val="00BA780C"/>
    <w:rsid w:val="00BB043D"/>
    <w:rsid w:val="00BB172C"/>
    <w:rsid w:val="00BB1DD1"/>
    <w:rsid w:val="00BB2EBA"/>
    <w:rsid w:val="00BB46EE"/>
    <w:rsid w:val="00BB6CD5"/>
    <w:rsid w:val="00BB6FE0"/>
    <w:rsid w:val="00BB7C27"/>
    <w:rsid w:val="00BC1354"/>
    <w:rsid w:val="00BC1BAD"/>
    <w:rsid w:val="00BC2B07"/>
    <w:rsid w:val="00BC5085"/>
    <w:rsid w:val="00BC558F"/>
    <w:rsid w:val="00BC57E1"/>
    <w:rsid w:val="00BC5A9A"/>
    <w:rsid w:val="00BC6141"/>
    <w:rsid w:val="00BD0009"/>
    <w:rsid w:val="00BD35BD"/>
    <w:rsid w:val="00BD4460"/>
    <w:rsid w:val="00BD4A17"/>
    <w:rsid w:val="00BD6638"/>
    <w:rsid w:val="00BD72CD"/>
    <w:rsid w:val="00BD76C5"/>
    <w:rsid w:val="00BE091E"/>
    <w:rsid w:val="00BE1A9F"/>
    <w:rsid w:val="00BE38A4"/>
    <w:rsid w:val="00BE406C"/>
    <w:rsid w:val="00BF0796"/>
    <w:rsid w:val="00BF1BCD"/>
    <w:rsid w:val="00BF1D2C"/>
    <w:rsid w:val="00BF1D43"/>
    <w:rsid w:val="00BF29C5"/>
    <w:rsid w:val="00BF336E"/>
    <w:rsid w:val="00BF3B27"/>
    <w:rsid w:val="00BF457B"/>
    <w:rsid w:val="00BF549E"/>
    <w:rsid w:val="00BF565C"/>
    <w:rsid w:val="00BF597D"/>
    <w:rsid w:val="00BF70AD"/>
    <w:rsid w:val="00BF722B"/>
    <w:rsid w:val="00BF75F8"/>
    <w:rsid w:val="00BF7820"/>
    <w:rsid w:val="00BF7FD9"/>
    <w:rsid w:val="00C017BB"/>
    <w:rsid w:val="00C01E7D"/>
    <w:rsid w:val="00C01F89"/>
    <w:rsid w:val="00C026D4"/>
    <w:rsid w:val="00C031EC"/>
    <w:rsid w:val="00C06F29"/>
    <w:rsid w:val="00C074DF"/>
    <w:rsid w:val="00C1076A"/>
    <w:rsid w:val="00C10ACB"/>
    <w:rsid w:val="00C11301"/>
    <w:rsid w:val="00C11898"/>
    <w:rsid w:val="00C12B61"/>
    <w:rsid w:val="00C139AE"/>
    <w:rsid w:val="00C14B4A"/>
    <w:rsid w:val="00C14C89"/>
    <w:rsid w:val="00C1505B"/>
    <w:rsid w:val="00C156D2"/>
    <w:rsid w:val="00C165B2"/>
    <w:rsid w:val="00C16D93"/>
    <w:rsid w:val="00C210E8"/>
    <w:rsid w:val="00C22379"/>
    <w:rsid w:val="00C235A4"/>
    <w:rsid w:val="00C2554A"/>
    <w:rsid w:val="00C257A1"/>
    <w:rsid w:val="00C25A46"/>
    <w:rsid w:val="00C26BD2"/>
    <w:rsid w:val="00C275C7"/>
    <w:rsid w:val="00C31D29"/>
    <w:rsid w:val="00C31E3C"/>
    <w:rsid w:val="00C325E8"/>
    <w:rsid w:val="00C32892"/>
    <w:rsid w:val="00C32A10"/>
    <w:rsid w:val="00C333BB"/>
    <w:rsid w:val="00C33A49"/>
    <w:rsid w:val="00C33F35"/>
    <w:rsid w:val="00C343E6"/>
    <w:rsid w:val="00C35250"/>
    <w:rsid w:val="00C3539F"/>
    <w:rsid w:val="00C3616E"/>
    <w:rsid w:val="00C37B72"/>
    <w:rsid w:val="00C412D6"/>
    <w:rsid w:val="00C41555"/>
    <w:rsid w:val="00C41B2D"/>
    <w:rsid w:val="00C41BDB"/>
    <w:rsid w:val="00C44399"/>
    <w:rsid w:val="00C44F17"/>
    <w:rsid w:val="00C46B77"/>
    <w:rsid w:val="00C472E6"/>
    <w:rsid w:val="00C50ACF"/>
    <w:rsid w:val="00C512E6"/>
    <w:rsid w:val="00C52059"/>
    <w:rsid w:val="00C520FD"/>
    <w:rsid w:val="00C53680"/>
    <w:rsid w:val="00C53DD8"/>
    <w:rsid w:val="00C54E78"/>
    <w:rsid w:val="00C551DB"/>
    <w:rsid w:val="00C57730"/>
    <w:rsid w:val="00C579DB"/>
    <w:rsid w:val="00C61143"/>
    <w:rsid w:val="00C61630"/>
    <w:rsid w:val="00C61720"/>
    <w:rsid w:val="00C62C14"/>
    <w:rsid w:val="00C641C3"/>
    <w:rsid w:val="00C6518B"/>
    <w:rsid w:val="00C651FF"/>
    <w:rsid w:val="00C66A49"/>
    <w:rsid w:val="00C67B52"/>
    <w:rsid w:val="00C67FB2"/>
    <w:rsid w:val="00C70A20"/>
    <w:rsid w:val="00C71062"/>
    <w:rsid w:val="00C713C2"/>
    <w:rsid w:val="00C71E53"/>
    <w:rsid w:val="00C72BF6"/>
    <w:rsid w:val="00C72E5C"/>
    <w:rsid w:val="00C72FDC"/>
    <w:rsid w:val="00C73102"/>
    <w:rsid w:val="00C76B38"/>
    <w:rsid w:val="00C7731E"/>
    <w:rsid w:val="00C80260"/>
    <w:rsid w:val="00C81AA1"/>
    <w:rsid w:val="00C82260"/>
    <w:rsid w:val="00C83B25"/>
    <w:rsid w:val="00C85285"/>
    <w:rsid w:val="00C87EDD"/>
    <w:rsid w:val="00C902F7"/>
    <w:rsid w:val="00C91910"/>
    <w:rsid w:val="00C92001"/>
    <w:rsid w:val="00C925C9"/>
    <w:rsid w:val="00C92B3F"/>
    <w:rsid w:val="00C93A3F"/>
    <w:rsid w:val="00C94CCF"/>
    <w:rsid w:val="00C9599D"/>
    <w:rsid w:val="00C95ED6"/>
    <w:rsid w:val="00CA0093"/>
    <w:rsid w:val="00CA01C5"/>
    <w:rsid w:val="00CA1286"/>
    <w:rsid w:val="00CA1825"/>
    <w:rsid w:val="00CA18C5"/>
    <w:rsid w:val="00CA2567"/>
    <w:rsid w:val="00CA26D8"/>
    <w:rsid w:val="00CA2E14"/>
    <w:rsid w:val="00CA3068"/>
    <w:rsid w:val="00CA3315"/>
    <w:rsid w:val="00CA3687"/>
    <w:rsid w:val="00CA3F40"/>
    <w:rsid w:val="00CA4DBC"/>
    <w:rsid w:val="00CA79F9"/>
    <w:rsid w:val="00CB0966"/>
    <w:rsid w:val="00CB3249"/>
    <w:rsid w:val="00CB5109"/>
    <w:rsid w:val="00CB518D"/>
    <w:rsid w:val="00CB5B8A"/>
    <w:rsid w:val="00CB5C65"/>
    <w:rsid w:val="00CB65E7"/>
    <w:rsid w:val="00CB7D3E"/>
    <w:rsid w:val="00CC009A"/>
    <w:rsid w:val="00CC2605"/>
    <w:rsid w:val="00CC3C26"/>
    <w:rsid w:val="00CC71C2"/>
    <w:rsid w:val="00CC7CED"/>
    <w:rsid w:val="00CC7FBF"/>
    <w:rsid w:val="00CD0D7D"/>
    <w:rsid w:val="00CD1DF9"/>
    <w:rsid w:val="00CD2148"/>
    <w:rsid w:val="00CD2179"/>
    <w:rsid w:val="00CD2397"/>
    <w:rsid w:val="00CD44E8"/>
    <w:rsid w:val="00CD461C"/>
    <w:rsid w:val="00CD48B0"/>
    <w:rsid w:val="00CD7514"/>
    <w:rsid w:val="00CE0629"/>
    <w:rsid w:val="00CE1145"/>
    <w:rsid w:val="00CE1782"/>
    <w:rsid w:val="00CE25F2"/>
    <w:rsid w:val="00CE2CFC"/>
    <w:rsid w:val="00CE6212"/>
    <w:rsid w:val="00CE6E83"/>
    <w:rsid w:val="00CE6EAE"/>
    <w:rsid w:val="00CE7423"/>
    <w:rsid w:val="00CE7DF1"/>
    <w:rsid w:val="00CF012E"/>
    <w:rsid w:val="00CF0615"/>
    <w:rsid w:val="00CF2DE4"/>
    <w:rsid w:val="00CF4DEA"/>
    <w:rsid w:val="00CF5B29"/>
    <w:rsid w:val="00CF6686"/>
    <w:rsid w:val="00CF7AC8"/>
    <w:rsid w:val="00CF7D9A"/>
    <w:rsid w:val="00CF7F09"/>
    <w:rsid w:val="00D00844"/>
    <w:rsid w:val="00D016EE"/>
    <w:rsid w:val="00D01A32"/>
    <w:rsid w:val="00D03A6D"/>
    <w:rsid w:val="00D03AFA"/>
    <w:rsid w:val="00D05F8E"/>
    <w:rsid w:val="00D069CD"/>
    <w:rsid w:val="00D07F80"/>
    <w:rsid w:val="00D1018C"/>
    <w:rsid w:val="00D106AB"/>
    <w:rsid w:val="00D11675"/>
    <w:rsid w:val="00D11AEA"/>
    <w:rsid w:val="00D13751"/>
    <w:rsid w:val="00D13AB1"/>
    <w:rsid w:val="00D158E1"/>
    <w:rsid w:val="00D165E2"/>
    <w:rsid w:val="00D20750"/>
    <w:rsid w:val="00D21089"/>
    <w:rsid w:val="00D23D2D"/>
    <w:rsid w:val="00D248C6"/>
    <w:rsid w:val="00D25257"/>
    <w:rsid w:val="00D25830"/>
    <w:rsid w:val="00D26556"/>
    <w:rsid w:val="00D26FDE"/>
    <w:rsid w:val="00D27797"/>
    <w:rsid w:val="00D307E7"/>
    <w:rsid w:val="00D32A7F"/>
    <w:rsid w:val="00D32C27"/>
    <w:rsid w:val="00D34F07"/>
    <w:rsid w:val="00D3567B"/>
    <w:rsid w:val="00D35773"/>
    <w:rsid w:val="00D358A0"/>
    <w:rsid w:val="00D35CF2"/>
    <w:rsid w:val="00D35D41"/>
    <w:rsid w:val="00D3633C"/>
    <w:rsid w:val="00D41462"/>
    <w:rsid w:val="00D41A4F"/>
    <w:rsid w:val="00D41C22"/>
    <w:rsid w:val="00D423F6"/>
    <w:rsid w:val="00D43502"/>
    <w:rsid w:val="00D435A4"/>
    <w:rsid w:val="00D43DCE"/>
    <w:rsid w:val="00D446AD"/>
    <w:rsid w:val="00D45F57"/>
    <w:rsid w:val="00D460AA"/>
    <w:rsid w:val="00D468E8"/>
    <w:rsid w:val="00D47523"/>
    <w:rsid w:val="00D502E3"/>
    <w:rsid w:val="00D505CE"/>
    <w:rsid w:val="00D50888"/>
    <w:rsid w:val="00D52EFF"/>
    <w:rsid w:val="00D5324F"/>
    <w:rsid w:val="00D53D5D"/>
    <w:rsid w:val="00D53E6E"/>
    <w:rsid w:val="00D54E6F"/>
    <w:rsid w:val="00D55499"/>
    <w:rsid w:val="00D55B84"/>
    <w:rsid w:val="00D628BB"/>
    <w:rsid w:val="00D629F9"/>
    <w:rsid w:val="00D6326B"/>
    <w:rsid w:val="00D63CE5"/>
    <w:rsid w:val="00D65AC7"/>
    <w:rsid w:val="00D70AC3"/>
    <w:rsid w:val="00D71891"/>
    <w:rsid w:val="00D72C42"/>
    <w:rsid w:val="00D740FB"/>
    <w:rsid w:val="00D74B4C"/>
    <w:rsid w:val="00D765FB"/>
    <w:rsid w:val="00D76895"/>
    <w:rsid w:val="00D76A38"/>
    <w:rsid w:val="00D77A68"/>
    <w:rsid w:val="00D80700"/>
    <w:rsid w:val="00D830F1"/>
    <w:rsid w:val="00D834EF"/>
    <w:rsid w:val="00D8391C"/>
    <w:rsid w:val="00D83D09"/>
    <w:rsid w:val="00D83E00"/>
    <w:rsid w:val="00D8420D"/>
    <w:rsid w:val="00D855F4"/>
    <w:rsid w:val="00D86521"/>
    <w:rsid w:val="00D865B6"/>
    <w:rsid w:val="00D91B37"/>
    <w:rsid w:val="00D91E3E"/>
    <w:rsid w:val="00D91FF5"/>
    <w:rsid w:val="00D92AC5"/>
    <w:rsid w:val="00D92BB5"/>
    <w:rsid w:val="00D92D12"/>
    <w:rsid w:val="00D935C3"/>
    <w:rsid w:val="00D94366"/>
    <w:rsid w:val="00D948C9"/>
    <w:rsid w:val="00D94CF2"/>
    <w:rsid w:val="00D94CF9"/>
    <w:rsid w:val="00D954C2"/>
    <w:rsid w:val="00D95E69"/>
    <w:rsid w:val="00D9621E"/>
    <w:rsid w:val="00D9636F"/>
    <w:rsid w:val="00D96F6D"/>
    <w:rsid w:val="00DA0DA1"/>
    <w:rsid w:val="00DA0E07"/>
    <w:rsid w:val="00DA1440"/>
    <w:rsid w:val="00DA1793"/>
    <w:rsid w:val="00DA1A4F"/>
    <w:rsid w:val="00DA3B13"/>
    <w:rsid w:val="00DA40F1"/>
    <w:rsid w:val="00DA46F4"/>
    <w:rsid w:val="00DA6B55"/>
    <w:rsid w:val="00DA7379"/>
    <w:rsid w:val="00DA7DCB"/>
    <w:rsid w:val="00DB0D29"/>
    <w:rsid w:val="00DB128D"/>
    <w:rsid w:val="00DB2139"/>
    <w:rsid w:val="00DB45EA"/>
    <w:rsid w:val="00DB5161"/>
    <w:rsid w:val="00DB537A"/>
    <w:rsid w:val="00DB7236"/>
    <w:rsid w:val="00DC127B"/>
    <w:rsid w:val="00DC1ECA"/>
    <w:rsid w:val="00DC4441"/>
    <w:rsid w:val="00DC44AF"/>
    <w:rsid w:val="00DC59F9"/>
    <w:rsid w:val="00DC65DC"/>
    <w:rsid w:val="00DC66FA"/>
    <w:rsid w:val="00DC68D6"/>
    <w:rsid w:val="00DC7C40"/>
    <w:rsid w:val="00DD0705"/>
    <w:rsid w:val="00DD0B4A"/>
    <w:rsid w:val="00DD0B68"/>
    <w:rsid w:val="00DD1E48"/>
    <w:rsid w:val="00DD2B95"/>
    <w:rsid w:val="00DD2E47"/>
    <w:rsid w:val="00DD6238"/>
    <w:rsid w:val="00DD75EE"/>
    <w:rsid w:val="00DD7654"/>
    <w:rsid w:val="00DE241A"/>
    <w:rsid w:val="00DE257D"/>
    <w:rsid w:val="00DE2637"/>
    <w:rsid w:val="00DE2EEE"/>
    <w:rsid w:val="00DE2F26"/>
    <w:rsid w:val="00DE3545"/>
    <w:rsid w:val="00DE38C8"/>
    <w:rsid w:val="00DE3A58"/>
    <w:rsid w:val="00DE53BA"/>
    <w:rsid w:val="00DE6E28"/>
    <w:rsid w:val="00DF02F2"/>
    <w:rsid w:val="00DF0513"/>
    <w:rsid w:val="00DF0DAF"/>
    <w:rsid w:val="00DF173A"/>
    <w:rsid w:val="00DF3B71"/>
    <w:rsid w:val="00DF57F9"/>
    <w:rsid w:val="00DF765F"/>
    <w:rsid w:val="00DF78B3"/>
    <w:rsid w:val="00E03B80"/>
    <w:rsid w:val="00E044B5"/>
    <w:rsid w:val="00E046D2"/>
    <w:rsid w:val="00E0494C"/>
    <w:rsid w:val="00E0495D"/>
    <w:rsid w:val="00E0496B"/>
    <w:rsid w:val="00E05EC2"/>
    <w:rsid w:val="00E0650B"/>
    <w:rsid w:val="00E072B8"/>
    <w:rsid w:val="00E10BBE"/>
    <w:rsid w:val="00E11B31"/>
    <w:rsid w:val="00E12ECF"/>
    <w:rsid w:val="00E13E9D"/>
    <w:rsid w:val="00E144B7"/>
    <w:rsid w:val="00E147C4"/>
    <w:rsid w:val="00E14BAF"/>
    <w:rsid w:val="00E14F31"/>
    <w:rsid w:val="00E15035"/>
    <w:rsid w:val="00E15367"/>
    <w:rsid w:val="00E160B0"/>
    <w:rsid w:val="00E16B5E"/>
    <w:rsid w:val="00E17A3C"/>
    <w:rsid w:val="00E17E81"/>
    <w:rsid w:val="00E20FB1"/>
    <w:rsid w:val="00E2141C"/>
    <w:rsid w:val="00E216CF"/>
    <w:rsid w:val="00E21D3B"/>
    <w:rsid w:val="00E223ED"/>
    <w:rsid w:val="00E22ACC"/>
    <w:rsid w:val="00E2308A"/>
    <w:rsid w:val="00E234FC"/>
    <w:rsid w:val="00E23FE5"/>
    <w:rsid w:val="00E259EF"/>
    <w:rsid w:val="00E25C76"/>
    <w:rsid w:val="00E273FD"/>
    <w:rsid w:val="00E30E07"/>
    <w:rsid w:val="00E3186E"/>
    <w:rsid w:val="00E32069"/>
    <w:rsid w:val="00E32789"/>
    <w:rsid w:val="00E356CA"/>
    <w:rsid w:val="00E3594F"/>
    <w:rsid w:val="00E36909"/>
    <w:rsid w:val="00E37DBD"/>
    <w:rsid w:val="00E400D7"/>
    <w:rsid w:val="00E41310"/>
    <w:rsid w:val="00E41634"/>
    <w:rsid w:val="00E41C18"/>
    <w:rsid w:val="00E41DCC"/>
    <w:rsid w:val="00E456C5"/>
    <w:rsid w:val="00E46001"/>
    <w:rsid w:val="00E500F9"/>
    <w:rsid w:val="00E50D6F"/>
    <w:rsid w:val="00E51F2E"/>
    <w:rsid w:val="00E5208F"/>
    <w:rsid w:val="00E5292E"/>
    <w:rsid w:val="00E53300"/>
    <w:rsid w:val="00E5362B"/>
    <w:rsid w:val="00E53889"/>
    <w:rsid w:val="00E539C0"/>
    <w:rsid w:val="00E53F0B"/>
    <w:rsid w:val="00E544A6"/>
    <w:rsid w:val="00E55CB9"/>
    <w:rsid w:val="00E5747B"/>
    <w:rsid w:val="00E5792C"/>
    <w:rsid w:val="00E57D2C"/>
    <w:rsid w:val="00E60897"/>
    <w:rsid w:val="00E6115A"/>
    <w:rsid w:val="00E626E2"/>
    <w:rsid w:val="00E62B72"/>
    <w:rsid w:val="00E6366D"/>
    <w:rsid w:val="00E64F9B"/>
    <w:rsid w:val="00E6514B"/>
    <w:rsid w:val="00E65EFB"/>
    <w:rsid w:val="00E668F1"/>
    <w:rsid w:val="00E71064"/>
    <w:rsid w:val="00E73275"/>
    <w:rsid w:val="00E75AEA"/>
    <w:rsid w:val="00E76747"/>
    <w:rsid w:val="00E76C9C"/>
    <w:rsid w:val="00E7721B"/>
    <w:rsid w:val="00E77623"/>
    <w:rsid w:val="00E81E54"/>
    <w:rsid w:val="00E82927"/>
    <w:rsid w:val="00E82D14"/>
    <w:rsid w:val="00E8331C"/>
    <w:rsid w:val="00E836DD"/>
    <w:rsid w:val="00E83B3C"/>
    <w:rsid w:val="00E86EBC"/>
    <w:rsid w:val="00E87E75"/>
    <w:rsid w:val="00E90532"/>
    <w:rsid w:val="00E9058B"/>
    <w:rsid w:val="00E90BD8"/>
    <w:rsid w:val="00E90C12"/>
    <w:rsid w:val="00E9204F"/>
    <w:rsid w:val="00E9276B"/>
    <w:rsid w:val="00E94751"/>
    <w:rsid w:val="00E94AA0"/>
    <w:rsid w:val="00E94E21"/>
    <w:rsid w:val="00E95111"/>
    <w:rsid w:val="00E95402"/>
    <w:rsid w:val="00E95527"/>
    <w:rsid w:val="00E95897"/>
    <w:rsid w:val="00E95E5D"/>
    <w:rsid w:val="00E961A3"/>
    <w:rsid w:val="00EA0634"/>
    <w:rsid w:val="00EA09F2"/>
    <w:rsid w:val="00EA1216"/>
    <w:rsid w:val="00EA127D"/>
    <w:rsid w:val="00EA37C5"/>
    <w:rsid w:val="00EA3951"/>
    <w:rsid w:val="00EA453B"/>
    <w:rsid w:val="00EA4A4C"/>
    <w:rsid w:val="00EA56EF"/>
    <w:rsid w:val="00EA5A09"/>
    <w:rsid w:val="00EA6A40"/>
    <w:rsid w:val="00EB0F63"/>
    <w:rsid w:val="00EB31F5"/>
    <w:rsid w:val="00EB4567"/>
    <w:rsid w:val="00EB5391"/>
    <w:rsid w:val="00EB53BC"/>
    <w:rsid w:val="00EB548D"/>
    <w:rsid w:val="00EB594B"/>
    <w:rsid w:val="00EB77F0"/>
    <w:rsid w:val="00EB7A6B"/>
    <w:rsid w:val="00EB7C53"/>
    <w:rsid w:val="00EB7EF5"/>
    <w:rsid w:val="00EC04E3"/>
    <w:rsid w:val="00EC0575"/>
    <w:rsid w:val="00EC0844"/>
    <w:rsid w:val="00EC0DDD"/>
    <w:rsid w:val="00EC211D"/>
    <w:rsid w:val="00EC2CC1"/>
    <w:rsid w:val="00EC6623"/>
    <w:rsid w:val="00EC6F76"/>
    <w:rsid w:val="00EC7D49"/>
    <w:rsid w:val="00ED0409"/>
    <w:rsid w:val="00ED2B6A"/>
    <w:rsid w:val="00ED3BEC"/>
    <w:rsid w:val="00ED3C71"/>
    <w:rsid w:val="00ED41B5"/>
    <w:rsid w:val="00ED41E2"/>
    <w:rsid w:val="00ED4E0C"/>
    <w:rsid w:val="00ED509E"/>
    <w:rsid w:val="00ED526A"/>
    <w:rsid w:val="00EE0574"/>
    <w:rsid w:val="00EE0DF1"/>
    <w:rsid w:val="00EE19EF"/>
    <w:rsid w:val="00EE51C5"/>
    <w:rsid w:val="00EE51F4"/>
    <w:rsid w:val="00EE5878"/>
    <w:rsid w:val="00EE6DC1"/>
    <w:rsid w:val="00EE7505"/>
    <w:rsid w:val="00EF010A"/>
    <w:rsid w:val="00EF0BD3"/>
    <w:rsid w:val="00EF2734"/>
    <w:rsid w:val="00EF5A90"/>
    <w:rsid w:val="00EF6EE8"/>
    <w:rsid w:val="00F0026C"/>
    <w:rsid w:val="00F0055E"/>
    <w:rsid w:val="00F00CA3"/>
    <w:rsid w:val="00F01B53"/>
    <w:rsid w:val="00F02034"/>
    <w:rsid w:val="00F02088"/>
    <w:rsid w:val="00F021C6"/>
    <w:rsid w:val="00F02E40"/>
    <w:rsid w:val="00F041A7"/>
    <w:rsid w:val="00F0667B"/>
    <w:rsid w:val="00F06F2C"/>
    <w:rsid w:val="00F07FB6"/>
    <w:rsid w:val="00F10040"/>
    <w:rsid w:val="00F108AA"/>
    <w:rsid w:val="00F11143"/>
    <w:rsid w:val="00F11EE8"/>
    <w:rsid w:val="00F129B2"/>
    <w:rsid w:val="00F142CC"/>
    <w:rsid w:val="00F147BF"/>
    <w:rsid w:val="00F14F45"/>
    <w:rsid w:val="00F1774E"/>
    <w:rsid w:val="00F207A4"/>
    <w:rsid w:val="00F24539"/>
    <w:rsid w:val="00F2521C"/>
    <w:rsid w:val="00F259A0"/>
    <w:rsid w:val="00F265CA"/>
    <w:rsid w:val="00F27468"/>
    <w:rsid w:val="00F277AA"/>
    <w:rsid w:val="00F301B7"/>
    <w:rsid w:val="00F3123D"/>
    <w:rsid w:val="00F33250"/>
    <w:rsid w:val="00F338EE"/>
    <w:rsid w:val="00F34B63"/>
    <w:rsid w:val="00F37656"/>
    <w:rsid w:val="00F37669"/>
    <w:rsid w:val="00F40271"/>
    <w:rsid w:val="00F40711"/>
    <w:rsid w:val="00F41126"/>
    <w:rsid w:val="00F41A4A"/>
    <w:rsid w:val="00F41F3F"/>
    <w:rsid w:val="00F43BD6"/>
    <w:rsid w:val="00F45D95"/>
    <w:rsid w:val="00F464F7"/>
    <w:rsid w:val="00F47D64"/>
    <w:rsid w:val="00F51C1E"/>
    <w:rsid w:val="00F51EA2"/>
    <w:rsid w:val="00F51EC7"/>
    <w:rsid w:val="00F52C50"/>
    <w:rsid w:val="00F52F4D"/>
    <w:rsid w:val="00F5501B"/>
    <w:rsid w:val="00F552D8"/>
    <w:rsid w:val="00F556B4"/>
    <w:rsid w:val="00F60764"/>
    <w:rsid w:val="00F6224B"/>
    <w:rsid w:val="00F6494C"/>
    <w:rsid w:val="00F650E6"/>
    <w:rsid w:val="00F66137"/>
    <w:rsid w:val="00F6633F"/>
    <w:rsid w:val="00F66B7C"/>
    <w:rsid w:val="00F674E5"/>
    <w:rsid w:val="00F67CE1"/>
    <w:rsid w:val="00F701AB"/>
    <w:rsid w:val="00F704FD"/>
    <w:rsid w:val="00F719B8"/>
    <w:rsid w:val="00F72CDF"/>
    <w:rsid w:val="00F73962"/>
    <w:rsid w:val="00F75CC2"/>
    <w:rsid w:val="00F778A4"/>
    <w:rsid w:val="00F77B7E"/>
    <w:rsid w:val="00F77FE2"/>
    <w:rsid w:val="00F802B6"/>
    <w:rsid w:val="00F81679"/>
    <w:rsid w:val="00F81AA1"/>
    <w:rsid w:val="00F82741"/>
    <w:rsid w:val="00F84A73"/>
    <w:rsid w:val="00F8516D"/>
    <w:rsid w:val="00F85340"/>
    <w:rsid w:val="00F85A89"/>
    <w:rsid w:val="00F8753D"/>
    <w:rsid w:val="00F87C27"/>
    <w:rsid w:val="00F903CF"/>
    <w:rsid w:val="00F904DF"/>
    <w:rsid w:val="00F91660"/>
    <w:rsid w:val="00F93C1D"/>
    <w:rsid w:val="00F947F1"/>
    <w:rsid w:val="00F9596B"/>
    <w:rsid w:val="00F959DD"/>
    <w:rsid w:val="00F95E4D"/>
    <w:rsid w:val="00F966CA"/>
    <w:rsid w:val="00F96B9A"/>
    <w:rsid w:val="00F97A9F"/>
    <w:rsid w:val="00FA0C8B"/>
    <w:rsid w:val="00FA137A"/>
    <w:rsid w:val="00FA1553"/>
    <w:rsid w:val="00FA24F6"/>
    <w:rsid w:val="00FA3595"/>
    <w:rsid w:val="00FA3F68"/>
    <w:rsid w:val="00FA4159"/>
    <w:rsid w:val="00FA4875"/>
    <w:rsid w:val="00FA493C"/>
    <w:rsid w:val="00FA5010"/>
    <w:rsid w:val="00FA7837"/>
    <w:rsid w:val="00FA7A7C"/>
    <w:rsid w:val="00FA7F98"/>
    <w:rsid w:val="00FB041F"/>
    <w:rsid w:val="00FB10C7"/>
    <w:rsid w:val="00FB160F"/>
    <w:rsid w:val="00FB2B2A"/>
    <w:rsid w:val="00FB3503"/>
    <w:rsid w:val="00FB5C45"/>
    <w:rsid w:val="00FB5CCA"/>
    <w:rsid w:val="00FB5DA4"/>
    <w:rsid w:val="00FB79C2"/>
    <w:rsid w:val="00FB7BCD"/>
    <w:rsid w:val="00FC090C"/>
    <w:rsid w:val="00FC145A"/>
    <w:rsid w:val="00FC21D3"/>
    <w:rsid w:val="00FC4169"/>
    <w:rsid w:val="00FC4693"/>
    <w:rsid w:val="00FC638A"/>
    <w:rsid w:val="00FC68B9"/>
    <w:rsid w:val="00FC6C62"/>
    <w:rsid w:val="00FC7298"/>
    <w:rsid w:val="00FD1865"/>
    <w:rsid w:val="00FD1EC3"/>
    <w:rsid w:val="00FD255C"/>
    <w:rsid w:val="00FD27C8"/>
    <w:rsid w:val="00FD4FE6"/>
    <w:rsid w:val="00FD553D"/>
    <w:rsid w:val="00FD5711"/>
    <w:rsid w:val="00FD6173"/>
    <w:rsid w:val="00FD6F68"/>
    <w:rsid w:val="00FD73DC"/>
    <w:rsid w:val="00FE17D7"/>
    <w:rsid w:val="00FE19A7"/>
    <w:rsid w:val="00FE1A92"/>
    <w:rsid w:val="00FE2008"/>
    <w:rsid w:val="00FE2056"/>
    <w:rsid w:val="00FE2204"/>
    <w:rsid w:val="00FE2D72"/>
    <w:rsid w:val="00FE3272"/>
    <w:rsid w:val="00FE45C6"/>
    <w:rsid w:val="00FE4F87"/>
    <w:rsid w:val="00FE60A0"/>
    <w:rsid w:val="00FE6D91"/>
    <w:rsid w:val="00FE7227"/>
    <w:rsid w:val="00FE7B26"/>
    <w:rsid w:val="00FF0271"/>
    <w:rsid w:val="00FF0969"/>
    <w:rsid w:val="00FF0C28"/>
    <w:rsid w:val="00FF0DE1"/>
    <w:rsid w:val="00FF0E72"/>
    <w:rsid w:val="00FF137E"/>
    <w:rsid w:val="00FF1F75"/>
    <w:rsid w:val="00FF2875"/>
    <w:rsid w:val="00FF2B2D"/>
    <w:rsid w:val="00FF2BFC"/>
    <w:rsid w:val="00FF2C73"/>
    <w:rsid w:val="00FF3592"/>
    <w:rsid w:val="00FF3FB9"/>
    <w:rsid w:val="00FF4A12"/>
    <w:rsid w:val="00FF4B5D"/>
    <w:rsid w:val="00FF5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E0CF"/>
  <w15:docId w15:val="{9EC38333-A3B9-134D-9F11-8B896BB0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43D"/>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
    <w:qFormat/>
    <w:rsid w:val="000F4BF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qFormat/>
    <w:rsid w:val="00A54DF1"/>
    <w:pPr>
      <w:jc w:val="center"/>
      <w:outlineLvl w:val="1"/>
    </w:pPr>
    <w:rPr>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arattere"/>
    <w:rsid w:val="00403ECC"/>
    <w:pPr>
      <w:spacing w:line="259" w:lineRule="auto"/>
      <w:jc w:val="center"/>
    </w:pPr>
    <w:rPr>
      <w:rFonts w:eastAsiaTheme="minorHAnsi"/>
      <w:noProof/>
      <w:szCs w:val="22"/>
      <w:lang w:val="en-US" w:eastAsia="en-US"/>
    </w:rPr>
  </w:style>
  <w:style w:type="character" w:customStyle="1" w:styleId="EndNoteBibliographyTitleCarattere">
    <w:name w:val="EndNote Bibliography Title Carattere"/>
    <w:basedOn w:val="DefaultParagraphFont"/>
    <w:link w:val="EndNoteBibliographyTitle"/>
    <w:rsid w:val="00403ECC"/>
    <w:rPr>
      <w:rFonts w:ascii="Times New Roman" w:hAnsi="Times New Roman" w:cs="Times New Roman"/>
      <w:noProof/>
      <w:sz w:val="24"/>
      <w:lang w:val="en-US"/>
    </w:rPr>
  </w:style>
  <w:style w:type="paragraph" w:customStyle="1" w:styleId="EndNoteBibliography">
    <w:name w:val="EndNote Bibliography"/>
    <w:basedOn w:val="Normal"/>
    <w:link w:val="EndNoteBibliographyCarattere"/>
    <w:rsid w:val="00403ECC"/>
    <w:pPr>
      <w:spacing w:after="160"/>
    </w:pPr>
    <w:rPr>
      <w:rFonts w:eastAsiaTheme="minorHAnsi"/>
      <w:noProof/>
      <w:szCs w:val="22"/>
      <w:lang w:val="en-US" w:eastAsia="en-US"/>
    </w:rPr>
  </w:style>
  <w:style w:type="character" w:customStyle="1" w:styleId="EndNoteBibliographyCarattere">
    <w:name w:val="EndNote Bibliography Carattere"/>
    <w:basedOn w:val="DefaultParagraphFont"/>
    <w:link w:val="EndNoteBibliography"/>
    <w:rsid w:val="00403ECC"/>
    <w:rPr>
      <w:rFonts w:ascii="Times New Roman" w:hAnsi="Times New Roman" w:cs="Times New Roman"/>
      <w:noProof/>
      <w:sz w:val="24"/>
      <w:lang w:val="en-US"/>
    </w:rPr>
  </w:style>
  <w:style w:type="character" w:styleId="Hyperlink">
    <w:name w:val="Hyperlink"/>
    <w:basedOn w:val="DefaultParagraphFont"/>
    <w:uiPriority w:val="99"/>
    <w:unhideWhenUsed/>
    <w:rsid w:val="00403ECC"/>
    <w:rPr>
      <w:color w:val="0563C1" w:themeColor="hyperlink"/>
      <w:u w:val="single"/>
    </w:rPr>
  </w:style>
  <w:style w:type="character" w:customStyle="1" w:styleId="1">
    <w:name w:val="Ανεπίλυτη αναφορά1"/>
    <w:basedOn w:val="DefaultParagraphFont"/>
    <w:uiPriority w:val="99"/>
    <w:semiHidden/>
    <w:unhideWhenUsed/>
    <w:rsid w:val="00403ECC"/>
    <w:rPr>
      <w:color w:val="605E5C"/>
      <w:shd w:val="clear" w:color="auto" w:fill="E1DFDD"/>
    </w:rPr>
  </w:style>
  <w:style w:type="paragraph" w:customStyle="1" w:styleId="Default">
    <w:name w:val="Default"/>
    <w:rsid w:val="000F6A8A"/>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styleId="NormalWeb">
    <w:name w:val="Normal (Web)"/>
    <w:basedOn w:val="Normal"/>
    <w:uiPriority w:val="99"/>
    <w:unhideWhenUsed/>
    <w:rsid w:val="006F0B91"/>
    <w:pPr>
      <w:spacing w:before="100" w:beforeAutospacing="1" w:after="100" w:afterAutospacing="1"/>
    </w:pPr>
  </w:style>
  <w:style w:type="character" w:styleId="Strong">
    <w:name w:val="Strong"/>
    <w:basedOn w:val="DefaultParagraphFont"/>
    <w:uiPriority w:val="22"/>
    <w:qFormat/>
    <w:rsid w:val="002C6D00"/>
    <w:rPr>
      <w:b/>
      <w:bCs/>
    </w:rPr>
  </w:style>
  <w:style w:type="character" w:customStyle="1" w:styleId="Heading2Char">
    <w:name w:val="Heading 2 Char"/>
    <w:basedOn w:val="DefaultParagraphFont"/>
    <w:link w:val="Heading2"/>
    <w:rsid w:val="00A54DF1"/>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rsid w:val="002637F2"/>
    <w:pPr>
      <w:tabs>
        <w:tab w:val="center" w:pos="4320"/>
        <w:tab w:val="right" w:pos="8640"/>
      </w:tabs>
    </w:pPr>
    <w:rPr>
      <w:rFonts w:ascii="Garamond" w:hAnsi="Garamond"/>
      <w:color w:val="008000"/>
      <w:w w:val="120"/>
      <w:lang w:val="en-CA" w:eastAsia="en-US"/>
    </w:rPr>
  </w:style>
  <w:style w:type="character" w:customStyle="1" w:styleId="HeaderChar">
    <w:name w:val="Header Char"/>
    <w:basedOn w:val="DefaultParagraphFont"/>
    <w:link w:val="Header"/>
    <w:rsid w:val="002637F2"/>
    <w:rPr>
      <w:rFonts w:ascii="Garamond" w:eastAsia="Times New Roman" w:hAnsi="Garamond" w:cs="Times New Roman"/>
      <w:color w:val="008000"/>
      <w:w w:val="120"/>
      <w:sz w:val="24"/>
      <w:szCs w:val="24"/>
      <w:lang w:val="en-CA"/>
    </w:rPr>
  </w:style>
  <w:style w:type="paragraph" w:styleId="BalloonText">
    <w:name w:val="Balloon Text"/>
    <w:basedOn w:val="Normal"/>
    <w:link w:val="BalloonTextChar"/>
    <w:uiPriority w:val="99"/>
    <w:semiHidden/>
    <w:unhideWhenUsed/>
    <w:rsid w:val="00115849"/>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115849"/>
    <w:rPr>
      <w:rFonts w:ascii="Segoe UI" w:hAnsi="Segoe UI" w:cs="Segoe UI"/>
      <w:sz w:val="18"/>
      <w:szCs w:val="18"/>
    </w:rPr>
  </w:style>
  <w:style w:type="character" w:styleId="CommentReference">
    <w:name w:val="annotation reference"/>
    <w:uiPriority w:val="99"/>
    <w:rsid w:val="008D2EA6"/>
    <w:rPr>
      <w:sz w:val="16"/>
      <w:szCs w:val="16"/>
    </w:rPr>
  </w:style>
  <w:style w:type="paragraph" w:styleId="CommentText">
    <w:name w:val="annotation text"/>
    <w:basedOn w:val="Normal"/>
    <w:link w:val="CommentTextChar"/>
    <w:uiPriority w:val="99"/>
    <w:rsid w:val="008D2EA6"/>
    <w:rPr>
      <w:sz w:val="20"/>
      <w:szCs w:val="20"/>
      <w:lang w:eastAsia="en-US"/>
    </w:rPr>
  </w:style>
  <w:style w:type="character" w:customStyle="1" w:styleId="CommentTextChar">
    <w:name w:val="Comment Text Char"/>
    <w:basedOn w:val="DefaultParagraphFont"/>
    <w:link w:val="CommentText"/>
    <w:uiPriority w:val="99"/>
    <w:rsid w:val="008D2EA6"/>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0B2BA7"/>
    <w:rPr>
      <w:color w:val="808080"/>
    </w:rPr>
  </w:style>
  <w:style w:type="paragraph" w:styleId="CommentSubject">
    <w:name w:val="annotation subject"/>
    <w:basedOn w:val="CommentText"/>
    <w:next w:val="CommentText"/>
    <w:link w:val="CommentSubjectChar"/>
    <w:uiPriority w:val="99"/>
    <w:semiHidden/>
    <w:unhideWhenUsed/>
    <w:rsid w:val="00F96B9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96B9A"/>
    <w:rPr>
      <w:rFonts w:ascii="Times New Roman" w:eastAsia="Times New Roman" w:hAnsi="Times New Roman" w:cs="Times New Roman"/>
      <w:b/>
      <w:bCs/>
      <w:sz w:val="20"/>
      <w:szCs w:val="20"/>
    </w:rPr>
  </w:style>
  <w:style w:type="paragraph" w:styleId="Revision">
    <w:name w:val="Revision"/>
    <w:hidden/>
    <w:uiPriority w:val="99"/>
    <w:semiHidden/>
    <w:rsid w:val="00E81E54"/>
    <w:pPr>
      <w:spacing w:after="0" w:line="240" w:lineRule="auto"/>
    </w:pPr>
  </w:style>
  <w:style w:type="paragraph" w:styleId="Caption">
    <w:name w:val="caption"/>
    <w:basedOn w:val="Normal"/>
    <w:next w:val="Normal"/>
    <w:uiPriority w:val="35"/>
    <w:unhideWhenUsed/>
    <w:qFormat/>
    <w:rsid w:val="00ED0409"/>
    <w:pPr>
      <w:spacing w:after="200"/>
    </w:pPr>
    <w:rPr>
      <w:rFonts w:asciiTheme="minorHAnsi" w:eastAsiaTheme="minorHAnsi" w:hAnsiTheme="minorHAnsi" w:cstheme="minorBidi"/>
      <w:i/>
      <w:iCs/>
      <w:color w:val="44546A" w:themeColor="text2"/>
      <w:sz w:val="18"/>
      <w:szCs w:val="18"/>
      <w:lang w:eastAsia="en-US"/>
    </w:rPr>
  </w:style>
  <w:style w:type="paragraph" w:styleId="ListParagraph">
    <w:name w:val="List Paragraph"/>
    <w:basedOn w:val="Normal"/>
    <w:uiPriority w:val="34"/>
    <w:qFormat/>
    <w:rsid w:val="000B7DDD"/>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343E31"/>
    <w:rPr>
      <w:color w:val="954F72" w:themeColor="followedHyperlink"/>
      <w:u w:val="single"/>
    </w:rPr>
  </w:style>
  <w:style w:type="table" w:customStyle="1" w:styleId="10">
    <w:name w:val="Ανοιχτόχρωμο πλέγμα πίνακα1"/>
    <w:basedOn w:val="TableNormal"/>
    <w:uiPriority w:val="40"/>
    <w:rsid w:val="00E044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D26556"/>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26556"/>
    <w:rPr>
      <w:sz w:val="20"/>
      <w:szCs w:val="20"/>
    </w:rPr>
  </w:style>
  <w:style w:type="character" w:styleId="FootnoteReference">
    <w:name w:val="footnote reference"/>
    <w:basedOn w:val="DefaultParagraphFont"/>
    <w:uiPriority w:val="99"/>
    <w:semiHidden/>
    <w:unhideWhenUsed/>
    <w:rsid w:val="00D26556"/>
    <w:rPr>
      <w:vertAlign w:val="superscript"/>
    </w:rPr>
  </w:style>
  <w:style w:type="paragraph" w:styleId="HTMLPreformatted">
    <w:name w:val="HTML Preformatted"/>
    <w:basedOn w:val="Normal"/>
    <w:link w:val="HTMLPreformattedChar"/>
    <w:uiPriority w:val="99"/>
    <w:unhideWhenUsed/>
    <w:rsid w:val="00E7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73275"/>
    <w:rPr>
      <w:rFonts w:ascii="Courier New" w:eastAsia="Times New Roman" w:hAnsi="Courier New" w:cs="Courier New"/>
      <w:sz w:val="20"/>
      <w:szCs w:val="20"/>
      <w:lang w:val="en-GB" w:eastAsia="en-GB"/>
    </w:rPr>
  </w:style>
  <w:style w:type="character" w:customStyle="1" w:styleId="gnkrckgcgsb">
    <w:name w:val="gnkrckgcgsb"/>
    <w:basedOn w:val="DefaultParagraphFont"/>
    <w:rsid w:val="00E73275"/>
  </w:style>
  <w:style w:type="character" w:customStyle="1" w:styleId="Menzionenonrisolta1">
    <w:name w:val="Menzione non risolta1"/>
    <w:basedOn w:val="DefaultParagraphFont"/>
    <w:uiPriority w:val="99"/>
    <w:semiHidden/>
    <w:unhideWhenUsed/>
    <w:rsid w:val="00227F7C"/>
    <w:rPr>
      <w:color w:val="605E5C"/>
      <w:shd w:val="clear" w:color="auto" w:fill="E1DFDD"/>
    </w:rPr>
  </w:style>
  <w:style w:type="character" w:customStyle="1" w:styleId="2">
    <w:name w:val="Ανεπίλυτη αναφορά2"/>
    <w:basedOn w:val="DefaultParagraphFont"/>
    <w:uiPriority w:val="99"/>
    <w:semiHidden/>
    <w:unhideWhenUsed/>
    <w:rsid w:val="00FD1865"/>
    <w:rPr>
      <w:color w:val="605E5C"/>
      <w:shd w:val="clear" w:color="auto" w:fill="E1DFDD"/>
    </w:rPr>
  </w:style>
  <w:style w:type="character" w:customStyle="1" w:styleId="Menzionenonrisolta2">
    <w:name w:val="Menzione non risolta2"/>
    <w:basedOn w:val="DefaultParagraphFont"/>
    <w:uiPriority w:val="99"/>
    <w:semiHidden/>
    <w:unhideWhenUsed/>
    <w:rsid w:val="00093E8A"/>
    <w:rPr>
      <w:color w:val="605E5C"/>
      <w:shd w:val="clear" w:color="auto" w:fill="E1DFDD"/>
    </w:rPr>
  </w:style>
  <w:style w:type="character" w:styleId="LineNumber">
    <w:name w:val="line number"/>
    <w:basedOn w:val="DefaultParagraphFont"/>
    <w:uiPriority w:val="99"/>
    <w:semiHidden/>
    <w:unhideWhenUsed/>
    <w:rsid w:val="003D2946"/>
  </w:style>
  <w:style w:type="paragraph" w:styleId="Footer">
    <w:name w:val="footer"/>
    <w:basedOn w:val="Normal"/>
    <w:link w:val="FooterChar"/>
    <w:uiPriority w:val="99"/>
    <w:unhideWhenUsed/>
    <w:rsid w:val="008813B0"/>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813B0"/>
  </w:style>
  <w:style w:type="character" w:customStyle="1" w:styleId="Heading1Char">
    <w:name w:val="Heading 1 Char"/>
    <w:basedOn w:val="DefaultParagraphFont"/>
    <w:link w:val="Heading1"/>
    <w:uiPriority w:val="9"/>
    <w:rsid w:val="000F4BF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E3B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wire-cite-journal">
    <w:name w:val="highwire-cite-journal"/>
    <w:basedOn w:val="DefaultParagraphFont"/>
    <w:rsid w:val="00B91DAE"/>
  </w:style>
  <w:style w:type="character" w:customStyle="1" w:styleId="highwire-cite-published-year">
    <w:name w:val="highwire-cite-published-year"/>
    <w:basedOn w:val="DefaultParagraphFont"/>
    <w:rsid w:val="00B91DAE"/>
  </w:style>
  <w:style w:type="character" w:customStyle="1" w:styleId="highwire-cite-volume-issue">
    <w:name w:val="highwire-cite-volume-issue"/>
    <w:basedOn w:val="DefaultParagraphFont"/>
    <w:rsid w:val="00B91DAE"/>
  </w:style>
  <w:style w:type="character" w:customStyle="1" w:styleId="highwire-cite-doi">
    <w:name w:val="highwire-cite-doi"/>
    <w:basedOn w:val="DefaultParagraphFont"/>
    <w:rsid w:val="00B91DAE"/>
  </w:style>
  <w:style w:type="character" w:customStyle="1" w:styleId="highwire-cite-date">
    <w:name w:val="highwire-cite-date"/>
    <w:basedOn w:val="DefaultParagraphFont"/>
    <w:rsid w:val="00B91DAE"/>
  </w:style>
  <w:style w:type="character" w:customStyle="1" w:styleId="highwire-cite-article-as">
    <w:name w:val="highwire-cite-article-as"/>
    <w:basedOn w:val="DefaultParagraphFont"/>
    <w:rsid w:val="00B91DAE"/>
  </w:style>
  <w:style w:type="character" w:customStyle="1" w:styleId="italic">
    <w:name w:val="italic"/>
    <w:basedOn w:val="DefaultParagraphFont"/>
    <w:rsid w:val="00B91DAE"/>
  </w:style>
  <w:style w:type="character" w:customStyle="1" w:styleId="highlight">
    <w:name w:val="highlight"/>
    <w:basedOn w:val="DefaultParagraphFont"/>
    <w:rsid w:val="00BB043D"/>
  </w:style>
  <w:style w:type="character" w:customStyle="1" w:styleId="apple-converted-space">
    <w:name w:val="apple-converted-space"/>
    <w:basedOn w:val="DefaultParagraphFont"/>
    <w:rsid w:val="00BB043D"/>
  </w:style>
  <w:style w:type="character" w:customStyle="1" w:styleId="UnresolvedMention">
    <w:name w:val="Unresolved Mention"/>
    <w:basedOn w:val="DefaultParagraphFont"/>
    <w:uiPriority w:val="99"/>
    <w:semiHidden/>
    <w:unhideWhenUsed/>
    <w:rsid w:val="00B12304"/>
    <w:rPr>
      <w:color w:val="605E5C"/>
      <w:shd w:val="clear" w:color="auto" w:fill="E1DFDD"/>
    </w:rPr>
  </w:style>
  <w:style w:type="character" w:styleId="PageNumber">
    <w:name w:val="page number"/>
    <w:basedOn w:val="DefaultParagraphFont"/>
    <w:uiPriority w:val="99"/>
    <w:semiHidden/>
    <w:unhideWhenUsed/>
    <w:rsid w:val="00E45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4682">
      <w:bodyDiv w:val="1"/>
      <w:marLeft w:val="0"/>
      <w:marRight w:val="0"/>
      <w:marTop w:val="0"/>
      <w:marBottom w:val="0"/>
      <w:divBdr>
        <w:top w:val="none" w:sz="0" w:space="0" w:color="auto"/>
        <w:left w:val="none" w:sz="0" w:space="0" w:color="auto"/>
        <w:bottom w:val="none" w:sz="0" w:space="0" w:color="auto"/>
        <w:right w:val="none" w:sz="0" w:space="0" w:color="auto"/>
      </w:divBdr>
    </w:div>
    <w:div w:id="64303985">
      <w:bodyDiv w:val="1"/>
      <w:marLeft w:val="0"/>
      <w:marRight w:val="0"/>
      <w:marTop w:val="0"/>
      <w:marBottom w:val="0"/>
      <w:divBdr>
        <w:top w:val="none" w:sz="0" w:space="0" w:color="auto"/>
        <w:left w:val="none" w:sz="0" w:space="0" w:color="auto"/>
        <w:bottom w:val="none" w:sz="0" w:space="0" w:color="auto"/>
        <w:right w:val="none" w:sz="0" w:space="0" w:color="auto"/>
      </w:divBdr>
      <w:divsChild>
        <w:div w:id="1609580916">
          <w:marLeft w:val="0"/>
          <w:marRight w:val="0"/>
          <w:marTop w:val="0"/>
          <w:marBottom w:val="0"/>
          <w:divBdr>
            <w:top w:val="none" w:sz="0" w:space="0" w:color="auto"/>
            <w:left w:val="none" w:sz="0" w:space="0" w:color="auto"/>
            <w:bottom w:val="none" w:sz="0" w:space="0" w:color="auto"/>
            <w:right w:val="none" w:sz="0" w:space="0" w:color="auto"/>
          </w:divBdr>
        </w:div>
        <w:div w:id="1811512018">
          <w:marLeft w:val="0"/>
          <w:marRight w:val="0"/>
          <w:marTop w:val="0"/>
          <w:marBottom w:val="0"/>
          <w:divBdr>
            <w:top w:val="none" w:sz="0" w:space="0" w:color="auto"/>
            <w:left w:val="none" w:sz="0" w:space="0" w:color="auto"/>
            <w:bottom w:val="none" w:sz="0" w:space="0" w:color="auto"/>
            <w:right w:val="none" w:sz="0" w:space="0" w:color="auto"/>
          </w:divBdr>
          <w:divsChild>
            <w:div w:id="731269435">
              <w:marLeft w:val="0"/>
              <w:marRight w:val="0"/>
              <w:marTop w:val="0"/>
              <w:marBottom w:val="0"/>
              <w:divBdr>
                <w:top w:val="none" w:sz="0" w:space="0" w:color="auto"/>
                <w:left w:val="none" w:sz="0" w:space="0" w:color="auto"/>
                <w:bottom w:val="none" w:sz="0" w:space="0" w:color="auto"/>
                <w:right w:val="none" w:sz="0" w:space="0" w:color="auto"/>
              </w:divBdr>
            </w:div>
          </w:divsChild>
        </w:div>
        <w:div w:id="2068527062">
          <w:marLeft w:val="0"/>
          <w:marRight w:val="0"/>
          <w:marTop w:val="0"/>
          <w:marBottom w:val="0"/>
          <w:divBdr>
            <w:top w:val="none" w:sz="0" w:space="0" w:color="auto"/>
            <w:left w:val="none" w:sz="0" w:space="0" w:color="auto"/>
            <w:bottom w:val="single" w:sz="6" w:space="0" w:color="EE7600"/>
            <w:right w:val="none" w:sz="0" w:space="0" w:color="auto"/>
          </w:divBdr>
        </w:div>
        <w:div w:id="400952989">
          <w:marLeft w:val="0"/>
          <w:marRight w:val="0"/>
          <w:marTop w:val="0"/>
          <w:marBottom w:val="0"/>
          <w:divBdr>
            <w:top w:val="none" w:sz="0" w:space="0" w:color="auto"/>
            <w:left w:val="none" w:sz="0" w:space="0" w:color="auto"/>
            <w:bottom w:val="none" w:sz="0" w:space="0" w:color="auto"/>
            <w:right w:val="none" w:sz="0" w:space="0" w:color="auto"/>
          </w:divBdr>
        </w:div>
        <w:div w:id="588777569">
          <w:marLeft w:val="0"/>
          <w:marRight w:val="0"/>
          <w:marTop w:val="0"/>
          <w:marBottom w:val="0"/>
          <w:divBdr>
            <w:top w:val="none" w:sz="0" w:space="0" w:color="auto"/>
            <w:left w:val="none" w:sz="0" w:space="0" w:color="auto"/>
            <w:bottom w:val="none" w:sz="0" w:space="0" w:color="auto"/>
            <w:right w:val="none" w:sz="0" w:space="0" w:color="auto"/>
          </w:divBdr>
        </w:div>
      </w:divsChild>
    </w:div>
    <w:div w:id="86850890">
      <w:bodyDiv w:val="1"/>
      <w:marLeft w:val="0"/>
      <w:marRight w:val="0"/>
      <w:marTop w:val="0"/>
      <w:marBottom w:val="0"/>
      <w:divBdr>
        <w:top w:val="none" w:sz="0" w:space="0" w:color="auto"/>
        <w:left w:val="none" w:sz="0" w:space="0" w:color="auto"/>
        <w:bottom w:val="none" w:sz="0" w:space="0" w:color="auto"/>
        <w:right w:val="none" w:sz="0" w:space="0" w:color="auto"/>
      </w:divBdr>
    </w:div>
    <w:div w:id="99420218">
      <w:bodyDiv w:val="1"/>
      <w:marLeft w:val="0"/>
      <w:marRight w:val="0"/>
      <w:marTop w:val="0"/>
      <w:marBottom w:val="0"/>
      <w:divBdr>
        <w:top w:val="none" w:sz="0" w:space="0" w:color="auto"/>
        <w:left w:val="none" w:sz="0" w:space="0" w:color="auto"/>
        <w:bottom w:val="none" w:sz="0" w:space="0" w:color="auto"/>
        <w:right w:val="none" w:sz="0" w:space="0" w:color="auto"/>
      </w:divBdr>
    </w:div>
    <w:div w:id="141433956">
      <w:bodyDiv w:val="1"/>
      <w:marLeft w:val="0"/>
      <w:marRight w:val="0"/>
      <w:marTop w:val="0"/>
      <w:marBottom w:val="0"/>
      <w:divBdr>
        <w:top w:val="none" w:sz="0" w:space="0" w:color="auto"/>
        <w:left w:val="none" w:sz="0" w:space="0" w:color="auto"/>
        <w:bottom w:val="none" w:sz="0" w:space="0" w:color="auto"/>
        <w:right w:val="none" w:sz="0" w:space="0" w:color="auto"/>
      </w:divBdr>
      <w:divsChild>
        <w:div w:id="903217179">
          <w:marLeft w:val="0"/>
          <w:marRight w:val="0"/>
          <w:marTop w:val="0"/>
          <w:marBottom w:val="0"/>
          <w:divBdr>
            <w:top w:val="none" w:sz="0" w:space="0" w:color="auto"/>
            <w:left w:val="none" w:sz="0" w:space="0" w:color="auto"/>
            <w:bottom w:val="none" w:sz="0" w:space="0" w:color="auto"/>
            <w:right w:val="none" w:sz="0" w:space="0" w:color="auto"/>
          </w:divBdr>
          <w:divsChild>
            <w:div w:id="1551526697">
              <w:marLeft w:val="0"/>
              <w:marRight w:val="0"/>
              <w:marTop w:val="0"/>
              <w:marBottom w:val="0"/>
              <w:divBdr>
                <w:top w:val="none" w:sz="0" w:space="0" w:color="auto"/>
                <w:left w:val="none" w:sz="0" w:space="0" w:color="auto"/>
                <w:bottom w:val="none" w:sz="0" w:space="0" w:color="auto"/>
                <w:right w:val="none" w:sz="0" w:space="0" w:color="auto"/>
              </w:divBdr>
              <w:divsChild>
                <w:div w:id="1131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7416">
      <w:bodyDiv w:val="1"/>
      <w:marLeft w:val="0"/>
      <w:marRight w:val="0"/>
      <w:marTop w:val="0"/>
      <w:marBottom w:val="0"/>
      <w:divBdr>
        <w:top w:val="none" w:sz="0" w:space="0" w:color="auto"/>
        <w:left w:val="none" w:sz="0" w:space="0" w:color="auto"/>
        <w:bottom w:val="none" w:sz="0" w:space="0" w:color="auto"/>
        <w:right w:val="none" w:sz="0" w:space="0" w:color="auto"/>
      </w:divBdr>
    </w:div>
    <w:div w:id="150799891">
      <w:bodyDiv w:val="1"/>
      <w:marLeft w:val="0"/>
      <w:marRight w:val="0"/>
      <w:marTop w:val="0"/>
      <w:marBottom w:val="0"/>
      <w:divBdr>
        <w:top w:val="none" w:sz="0" w:space="0" w:color="auto"/>
        <w:left w:val="none" w:sz="0" w:space="0" w:color="auto"/>
        <w:bottom w:val="none" w:sz="0" w:space="0" w:color="auto"/>
        <w:right w:val="none" w:sz="0" w:space="0" w:color="auto"/>
      </w:divBdr>
    </w:div>
    <w:div w:id="177499713">
      <w:bodyDiv w:val="1"/>
      <w:marLeft w:val="0"/>
      <w:marRight w:val="0"/>
      <w:marTop w:val="0"/>
      <w:marBottom w:val="0"/>
      <w:divBdr>
        <w:top w:val="none" w:sz="0" w:space="0" w:color="auto"/>
        <w:left w:val="none" w:sz="0" w:space="0" w:color="auto"/>
        <w:bottom w:val="none" w:sz="0" w:space="0" w:color="auto"/>
        <w:right w:val="none" w:sz="0" w:space="0" w:color="auto"/>
      </w:divBdr>
      <w:divsChild>
        <w:div w:id="1909458798">
          <w:marLeft w:val="0"/>
          <w:marRight w:val="0"/>
          <w:marTop w:val="34"/>
          <w:marBottom w:val="34"/>
          <w:divBdr>
            <w:top w:val="none" w:sz="0" w:space="0" w:color="auto"/>
            <w:left w:val="none" w:sz="0" w:space="0" w:color="auto"/>
            <w:bottom w:val="none" w:sz="0" w:space="0" w:color="auto"/>
            <w:right w:val="none" w:sz="0" w:space="0" w:color="auto"/>
          </w:divBdr>
        </w:div>
      </w:divsChild>
    </w:div>
    <w:div w:id="180824874">
      <w:bodyDiv w:val="1"/>
      <w:marLeft w:val="0"/>
      <w:marRight w:val="0"/>
      <w:marTop w:val="0"/>
      <w:marBottom w:val="0"/>
      <w:divBdr>
        <w:top w:val="none" w:sz="0" w:space="0" w:color="auto"/>
        <w:left w:val="none" w:sz="0" w:space="0" w:color="auto"/>
        <w:bottom w:val="none" w:sz="0" w:space="0" w:color="auto"/>
        <w:right w:val="none" w:sz="0" w:space="0" w:color="auto"/>
      </w:divBdr>
      <w:divsChild>
        <w:div w:id="1470391890">
          <w:marLeft w:val="0"/>
          <w:marRight w:val="0"/>
          <w:marTop w:val="34"/>
          <w:marBottom w:val="34"/>
          <w:divBdr>
            <w:top w:val="none" w:sz="0" w:space="0" w:color="auto"/>
            <w:left w:val="none" w:sz="0" w:space="0" w:color="auto"/>
            <w:bottom w:val="none" w:sz="0" w:space="0" w:color="auto"/>
            <w:right w:val="none" w:sz="0" w:space="0" w:color="auto"/>
          </w:divBdr>
        </w:div>
      </w:divsChild>
    </w:div>
    <w:div w:id="195580127">
      <w:bodyDiv w:val="1"/>
      <w:marLeft w:val="0"/>
      <w:marRight w:val="0"/>
      <w:marTop w:val="0"/>
      <w:marBottom w:val="0"/>
      <w:divBdr>
        <w:top w:val="none" w:sz="0" w:space="0" w:color="auto"/>
        <w:left w:val="none" w:sz="0" w:space="0" w:color="auto"/>
        <w:bottom w:val="none" w:sz="0" w:space="0" w:color="auto"/>
        <w:right w:val="none" w:sz="0" w:space="0" w:color="auto"/>
      </w:divBdr>
    </w:div>
    <w:div w:id="197474510">
      <w:bodyDiv w:val="1"/>
      <w:marLeft w:val="0"/>
      <w:marRight w:val="0"/>
      <w:marTop w:val="0"/>
      <w:marBottom w:val="0"/>
      <w:divBdr>
        <w:top w:val="none" w:sz="0" w:space="0" w:color="auto"/>
        <w:left w:val="none" w:sz="0" w:space="0" w:color="auto"/>
        <w:bottom w:val="none" w:sz="0" w:space="0" w:color="auto"/>
        <w:right w:val="none" w:sz="0" w:space="0" w:color="auto"/>
      </w:divBdr>
      <w:divsChild>
        <w:div w:id="2082747733">
          <w:marLeft w:val="0"/>
          <w:marRight w:val="0"/>
          <w:marTop w:val="0"/>
          <w:marBottom w:val="0"/>
          <w:divBdr>
            <w:top w:val="none" w:sz="0" w:space="0" w:color="auto"/>
            <w:left w:val="none" w:sz="0" w:space="0" w:color="auto"/>
            <w:bottom w:val="none" w:sz="0" w:space="0" w:color="auto"/>
            <w:right w:val="none" w:sz="0" w:space="0" w:color="auto"/>
          </w:divBdr>
          <w:divsChild>
            <w:div w:id="1243026190">
              <w:marLeft w:val="0"/>
              <w:marRight w:val="0"/>
              <w:marTop w:val="0"/>
              <w:marBottom w:val="0"/>
              <w:divBdr>
                <w:top w:val="none" w:sz="0" w:space="0" w:color="auto"/>
                <w:left w:val="none" w:sz="0" w:space="0" w:color="auto"/>
                <w:bottom w:val="none" w:sz="0" w:space="0" w:color="auto"/>
                <w:right w:val="none" w:sz="0" w:space="0" w:color="auto"/>
              </w:divBdr>
              <w:divsChild>
                <w:div w:id="5480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297">
      <w:bodyDiv w:val="1"/>
      <w:marLeft w:val="0"/>
      <w:marRight w:val="0"/>
      <w:marTop w:val="0"/>
      <w:marBottom w:val="0"/>
      <w:divBdr>
        <w:top w:val="none" w:sz="0" w:space="0" w:color="auto"/>
        <w:left w:val="none" w:sz="0" w:space="0" w:color="auto"/>
        <w:bottom w:val="none" w:sz="0" w:space="0" w:color="auto"/>
        <w:right w:val="none" w:sz="0" w:space="0" w:color="auto"/>
      </w:divBdr>
      <w:divsChild>
        <w:div w:id="1167942860">
          <w:marLeft w:val="0"/>
          <w:marRight w:val="0"/>
          <w:marTop w:val="0"/>
          <w:marBottom w:val="0"/>
          <w:divBdr>
            <w:top w:val="none" w:sz="0" w:space="0" w:color="auto"/>
            <w:left w:val="none" w:sz="0" w:space="0" w:color="auto"/>
            <w:bottom w:val="none" w:sz="0" w:space="0" w:color="auto"/>
            <w:right w:val="none" w:sz="0" w:space="0" w:color="auto"/>
          </w:divBdr>
          <w:divsChild>
            <w:div w:id="35979936">
              <w:marLeft w:val="0"/>
              <w:marRight w:val="0"/>
              <w:marTop w:val="0"/>
              <w:marBottom w:val="0"/>
              <w:divBdr>
                <w:top w:val="none" w:sz="0" w:space="0" w:color="auto"/>
                <w:left w:val="none" w:sz="0" w:space="0" w:color="auto"/>
                <w:bottom w:val="none" w:sz="0" w:space="0" w:color="auto"/>
                <w:right w:val="none" w:sz="0" w:space="0" w:color="auto"/>
              </w:divBdr>
              <w:divsChild>
                <w:div w:id="1442413843">
                  <w:marLeft w:val="0"/>
                  <w:marRight w:val="0"/>
                  <w:marTop w:val="0"/>
                  <w:marBottom w:val="0"/>
                  <w:divBdr>
                    <w:top w:val="none" w:sz="0" w:space="0" w:color="auto"/>
                    <w:left w:val="none" w:sz="0" w:space="0" w:color="auto"/>
                    <w:bottom w:val="none" w:sz="0" w:space="0" w:color="auto"/>
                    <w:right w:val="none" w:sz="0" w:space="0" w:color="auto"/>
                  </w:divBdr>
                  <w:divsChild>
                    <w:div w:id="13215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0543">
      <w:bodyDiv w:val="1"/>
      <w:marLeft w:val="0"/>
      <w:marRight w:val="0"/>
      <w:marTop w:val="0"/>
      <w:marBottom w:val="0"/>
      <w:divBdr>
        <w:top w:val="none" w:sz="0" w:space="0" w:color="auto"/>
        <w:left w:val="none" w:sz="0" w:space="0" w:color="auto"/>
        <w:bottom w:val="none" w:sz="0" w:space="0" w:color="auto"/>
        <w:right w:val="none" w:sz="0" w:space="0" w:color="auto"/>
      </w:divBdr>
    </w:div>
    <w:div w:id="290939188">
      <w:bodyDiv w:val="1"/>
      <w:marLeft w:val="0"/>
      <w:marRight w:val="0"/>
      <w:marTop w:val="0"/>
      <w:marBottom w:val="0"/>
      <w:divBdr>
        <w:top w:val="none" w:sz="0" w:space="0" w:color="auto"/>
        <w:left w:val="none" w:sz="0" w:space="0" w:color="auto"/>
        <w:bottom w:val="none" w:sz="0" w:space="0" w:color="auto"/>
        <w:right w:val="none" w:sz="0" w:space="0" w:color="auto"/>
      </w:divBdr>
    </w:div>
    <w:div w:id="317616069">
      <w:bodyDiv w:val="1"/>
      <w:marLeft w:val="0"/>
      <w:marRight w:val="0"/>
      <w:marTop w:val="0"/>
      <w:marBottom w:val="0"/>
      <w:divBdr>
        <w:top w:val="none" w:sz="0" w:space="0" w:color="auto"/>
        <w:left w:val="none" w:sz="0" w:space="0" w:color="auto"/>
        <w:bottom w:val="none" w:sz="0" w:space="0" w:color="auto"/>
        <w:right w:val="none" w:sz="0" w:space="0" w:color="auto"/>
      </w:divBdr>
      <w:divsChild>
        <w:div w:id="2145541817">
          <w:marLeft w:val="0"/>
          <w:marRight w:val="0"/>
          <w:marTop w:val="0"/>
          <w:marBottom w:val="0"/>
          <w:divBdr>
            <w:top w:val="none" w:sz="0" w:space="0" w:color="auto"/>
            <w:left w:val="none" w:sz="0" w:space="0" w:color="auto"/>
            <w:bottom w:val="none" w:sz="0" w:space="0" w:color="auto"/>
            <w:right w:val="none" w:sz="0" w:space="0" w:color="auto"/>
          </w:divBdr>
          <w:divsChild>
            <w:div w:id="102383063">
              <w:marLeft w:val="0"/>
              <w:marRight w:val="0"/>
              <w:marTop w:val="0"/>
              <w:marBottom w:val="0"/>
              <w:divBdr>
                <w:top w:val="none" w:sz="0" w:space="0" w:color="auto"/>
                <w:left w:val="none" w:sz="0" w:space="0" w:color="auto"/>
                <w:bottom w:val="none" w:sz="0" w:space="0" w:color="auto"/>
                <w:right w:val="none" w:sz="0" w:space="0" w:color="auto"/>
              </w:divBdr>
              <w:divsChild>
                <w:div w:id="10567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428957">
      <w:bodyDiv w:val="1"/>
      <w:marLeft w:val="0"/>
      <w:marRight w:val="0"/>
      <w:marTop w:val="0"/>
      <w:marBottom w:val="0"/>
      <w:divBdr>
        <w:top w:val="none" w:sz="0" w:space="0" w:color="auto"/>
        <w:left w:val="none" w:sz="0" w:space="0" w:color="auto"/>
        <w:bottom w:val="none" w:sz="0" w:space="0" w:color="auto"/>
        <w:right w:val="none" w:sz="0" w:space="0" w:color="auto"/>
      </w:divBdr>
      <w:divsChild>
        <w:div w:id="809518706">
          <w:marLeft w:val="0"/>
          <w:marRight w:val="0"/>
          <w:marTop w:val="0"/>
          <w:marBottom w:val="0"/>
          <w:divBdr>
            <w:top w:val="none" w:sz="0" w:space="0" w:color="auto"/>
            <w:left w:val="none" w:sz="0" w:space="0" w:color="auto"/>
            <w:bottom w:val="none" w:sz="0" w:space="0" w:color="auto"/>
            <w:right w:val="none" w:sz="0" w:space="0" w:color="auto"/>
          </w:divBdr>
          <w:divsChild>
            <w:div w:id="1154680120">
              <w:marLeft w:val="0"/>
              <w:marRight w:val="0"/>
              <w:marTop w:val="0"/>
              <w:marBottom w:val="0"/>
              <w:divBdr>
                <w:top w:val="none" w:sz="0" w:space="0" w:color="auto"/>
                <w:left w:val="none" w:sz="0" w:space="0" w:color="auto"/>
                <w:bottom w:val="none" w:sz="0" w:space="0" w:color="auto"/>
                <w:right w:val="none" w:sz="0" w:space="0" w:color="auto"/>
              </w:divBdr>
              <w:divsChild>
                <w:div w:id="1161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6052">
      <w:bodyDiv w:val="1"/>
      <w:marLeft w:val="0"/>
      <w:marRight w:val="0"/>
      <w:marTop w:val="0"/>
      <w:marBottom w:val="0"/>
      <w:divBdr>
        <w:top w:val="none" w:sz="0" w:space="0" w:color="auto"/>
        <w:left w:val="none" w:sz="0" w:space="0" w:color="auto"/>
        <w:bottom w:val="none" w:sz="0" w:space="0" w:color="auto"/>
        <w:right w:val="none" w:sz="0" w:space="0" w:color="auto"/>
      </w:divBdr>
      <w:divsChild>
        <w:div w:id="824468140">
          <w:marLeft w:val="0"/>
          <w:marRight w:val="0"/>
          <w:marTop w:val="0"/>
          <w:marBottom w:val="0"/>
          <w:divBdr>
            <w:top w:val="none" w:sz="0" w:space="0" w:color="auto"/>
            <w:left w:val="none" w:sz="0" w:space="0" w:color="auto"/>
            <w:bottom w:val="none" w:sz="0" w:space="0" w:color="auto"/>
            <w:right w:val="none" w:sz="0" w:space="0" w:color="auto"/>
          </w:divBdr>
          <w:divsChild>
            <w:div w:id="718742358">
              <w:marLeft w:val="0"/>
              <w:marRight w:val="0"/>
              <w:marTop w:val="0"/>
              <w:marBottom w:val="0"/>
              <w:divBdr>
                <w:top w:val="none" w:sz="0" w:space="0" w:color="auto"/>
                <w:left w:val="none" w:sz="0" w:space="0" w:color="auto"/>
                <w:bottom w:val="none" w:sz="0" w:space="0" w:color="auto"/>
                <w:right w:val="none" w:sz="0" w:space="0" w:color="auto"/>
              </w:divBdr>
              <w:divsChild>
                <w:div w:id="1844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3083">
      <w:bodyDiv w:val="1"/>
      <w:marLeft w:val="0"/>
      <w:marRight w:val="0"/>
      <w:marTop w:val="0"/>
      <w:marBottom w:val="0"/>
      <w:divBdr>
        <w:top w:val="none" w:sz="0" w:space="0" w:color="auto"/>
        <w:left w:val="none" w:sz="0" w:space="0" w:color="auto"/>
        <w:bottom w:val="none" w:sz="0" w:space="0" w:color="auto"/>
        <w:right w:val="none" w:sz="0" w:space="0" w:color="auto"/>
      </w:divBdr>
    </w:div>
    <w:div w:id="377824889">
      <w:bodyDiv w:val="1"/>
      <w:marLeft w:val="0"/>
      <w:marRight w:val="0"/>
      <w:marTop w:val="0"/>
      <w:marBottom w:val="0"/>
      <w:divBdr>
        <w:top w:val="none" w:sz="0" w:space="0" w:color="auto"/>
        <w:left w:val="none" w:sz="0" w:space="0" w:color="auto"/>
        <w:bottom w:val="none" w:sz="0" w:space="0" w:color="auto"/>
        <w:right w:val="none" w:sz="0" w:space="0" w:color="auto"/>
      </w:divBdr>
    </w:div>
    <w:div w:id="407845287">
      <w:bodyDiv w:val="1"/>
      <w:marLeft w:val="0"/>
      <w:marRight w:val="0"/>
      <w:marTop w:val="0"/>
      <w:marBottom w:val="0"/>
      <w:divBdr>
        <w:top w:val="none" w:sz="0" w:space="0" w:color="auto"/>
        <w:left w:val="none" w:sz="0" w:space="0" w:color="auto"/>
        <w:bottom w:val="none" w:sz="0" w:space="0" w:color="auto"/>
        <w:right w:val="none" w:sz="0" w:space="0" w:color="auto"/>
      </w:divBdr>
      <w:divsChild>
        <w:div w:id="546262786">
          <w:marLeft w:val="0"/>
          <w:marRight w:val="0"/>
          <w:marTop w:val="34"/>
          <w:marBottom w:val="34"/>
          <w:divBdr>
            <w:top w:val="none" w:sz="0" w:space="0" w:color="auto"/>
            <w:left w:val="none" w:sz="0" w:space="0" w:color="auto"/>
            <w:bottom w:val="none" w:sz="0" w:space="0" w:color="auto"/>
            <w:right w:val="none" w:sz="0" w:space="0" w:color="auto"/>
          </w:divBdr>
        </w:div>
      </w:divsChild>
    </w:div>
    <w:div w:id="474025598">
      <w:bodyDiv w:val="1"/>
      <w:marLeft w:val="0"/>
      <w:marRight w:val="0"/>
      <w:marTop w:val="0"/>
      <w:marBottom w:val="0"/>
      <w:divBdr>
        <w:top w:val="none" w:sz="0" w:space="0" w:color="auto"/>
        <w:left w:val="none" w:sz="0" w:space="0" w:color="auto"/>
        <w:bottom w:val="none" w:sz="0" w:space="0" w:color="auto"/>
        <w:right w:val="none" w:sz="0" w:space="0" w:color="auto"/>
      </w:divBdr>
    </w:div>
    <w:div w:id="493957084">
      <w:bodyDiv w:val="1"/>
      <w:marLeft w:val="0"/>
      <w:marRight w:val="0"/>
      <w:marTop w:val="0"/>
      <w:marBottom w:val="0"/>
      <w:divBdr>
        <w:top w:val="none" w:sz="0" w:space="0" w:color="auto"/>
        <w:left w:val="none" w:sz="0" w:space="0" w:color="auto"/>
        <w:bottom w:val="none" w:sz="0" w:space="0" w:color="auto"/>
        <w:right w:val="none" w:sz="0" w:space="0" w:color="auto"/>
      </w:divBdr>
    </w:div>
    <w:div w:id="525406930">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584609366">
      <w:bodyDiv w:val="1"/>
      <w:marLeft w:val="0"/>
      <w:marRight w:val="0"/>
      <w:marTop w:val="0"/>
      <w:marBottom w:val="0"/>
      <w:divBdr>
        <w:top w:val="none" w:sz="0" w:space="0" w:color="auto"/>
        <w:left w:val="none" w:sz="0" w:space="0" w:color="auto"/>
        <w:bottom w:val="none" w:sz="0" w:space="0" w:color="auto"/>
        <w:right w:val="none" w:sz="0" w:space="0" w:color="auto"/>
      </w:divBdr>
    </w:div>
    <w:div w:id="584655995">
      <w:bodyDiv w:val="1"/>
      <w:marLeft w:val="0"/>
      <w:marRight w:val="0"/>
      <w:marTop w:val="0"/>
      <w:marBottom w:val="0"/>
      <w:divBdr>
        <w:top w:val="none" w:sz="0" w:space="0" w:color="auto"/>
        <w:left w:val="none" w:sz="0" w:space="0" w:color="auto"/>
        <w:bottom w:val="none" w:sz="0" w:space="0" w:color="auto"/>
        <w:right w:val="none" w:sz="0" w:space="0" w:color="auto"/>
      </w:divBdr>
    </w:div>
    <w:div w:id="601454833">
      <w:bodyDiv w:val="1"/>
      <w:marLeft w:val="0"/>
      <w:marRight w:val="0"/>
      <w:marTop w:val="0"/>
      <w:marBottom w:val="0"/>
      <w:divBdr>
        <w:top w:val="none" w:sz="0" w:space="0" w:color="auto"/>
        <w:left w:val="none" w:sz="0" w:space="0" w:color="auto"/>
        <w:bottom w:val="none" w:sz="0" w:space="0" w:color="auto"/>
        <w:right w:val="none" w:sz="0" w:space="0" w:color="auto"/>
      </w:divBdr>
    </w:div>
    <w:div w:id="608708917">
      <w:bodyDiv w:val="1"/>
      <w:marLeft w:val="0"/>
      <w:marRight w:val="0"/>
      <w:marTop w:val="0"/>
      <w:marBottom w:val="0"/>
      <w:divBdr>
        <w:top w:val="none" w:sz="0" w:space="0" w:color="auto"/>
        <w:left w:val="none" w:sz="0" w:space="0" w:color="auto"/>
        <w:bottom w:val="none" w:sz="0" w:space="0" w:color="auto"/>
        <w:right w:val="none" w:sz="0" w:space="0" w:color="auto"/>
      </w:divBdr>
    </w:div>
    <w:div w:id="615799206">
      <w:bodyDiv w:val="1"/>
      <w:marLeft w:val="0"/>
      <w:marRight w:val="0"/>
      <w:marTop w:val="0"/>
      <w:marBottom w:val="0"/>
      <w:divBdr>
        <w:top w:val="none" w:sz="0" w:space="0" w:color="auto"/>
        <w:left w:val="none" w:sz="0" w:space="0" w:color="auto"/>
        <w:bottom w:val="none" w:sz="0" w:space="0" w:color="auto"/>
        <w:right w:val="none" w:sz="0" w:space="0" w:color="auto"/>
      </w:divBdr>
    </w:div>
    <w:div w:id="617755955">
      <w:bodyDiv w:val="1"/>
      <w:marLeft w:val="0"/>
      <w:marRight w:val="0"/>
      <w:marTop w:val="0"/>
      <w:marBottom w:val="0"/>
      <w:divBdr>
        <w:top w:val="none" w:sz="0" w:space="0" w:color="auto"/>
        <w:left w:val="none" w:sz="0" w:space="0" w:color="auto"/>
        <w:bottom w:val="none" w:sz="0" w:space="0" w:color="auto"/>
        <w:right w:val="none" w:sz="0" w:space="0" w:color="auto"/>
      </w:divBdr>
    </w:div>
    <w:div w:id="624895840">
      <w:bodyDiv w:val="1"/>
      <w:marLeft w:val="0"/>
      <w:marRight w:val="0"/>
      <w:marTop w:val="0"/>
      <w:marBottom w:val="0"/>
      <w:divBdr>
        <w:top w:val="none" w:sz="0" w:space="0" w:color="auto"/>
        <w:left w:val="none" w:sz="0" w:space="0" w:color="auto"/>
        <w:bottom w:val="none" w:sz="0" w:space="0" w:color="auto"/>
        <w:right w:val="none" w:sz="0" w:space="0" w:color="auto"/>
      </w:divBdr>
    </w:div>
    <w:div w:id="652217009">
      <w:bodyDiv w:val="1"/>
      <w:marLeft w:val="0"/>
      <w:marRight w:val="0"/>
      <w:marTop w:val="0"/>
      <w:marBottom w:val="0"/>
      <w:divBdr>
        <w:top w:val="none" w:sz="0" w:space="0" w:color="auto"/>
        <w:left w:val="none" w:sz="0" w:space="0" w:color="auto"/>
        <w:bottom w:val="none" w:sz="0" w:space="0" w:color="auto"/>
        <w:right w:val="none" w:sz="0" w:space="0" w:color="auto"/>
      </w:divBdr>
    </w:div>
    <w:div w:id="657534628">
      <w:bodyDiv w:val="1"/>
      <w:marLeft w:val="0"/>
      <w:marRight w:val="0"/>
      <w:marTop w:val="0"/>
      <w:marBottom w:val="0"/>
      <w:divBdr>
        <w:top w:val="none" w:sz="0" w:space="0" w:color="auto"/>
        <w:left w:val="none" w:sz="0" w:space="0" w:color="auto"/>
        <w:bottom w:val="none" w:sz="0" w:space="0" w:color="auto"/>
        <w:right w:val="none" w:sz="0" w:space="0" w:color="auto"/>
      </w:divBdr>
    </w:div>
    <w:div w:id="681203712">
      <w:bodyDiv w:val="1"/>
      <w:marLeft w:val="0"/>
      <w:marRight w:val="0"/>
      <w:marTop w:val="0"/>
      <w:marBottom w:val="0"/>
      <w:divBdr>
        <w:top w:val="none" w:sz="0" w:space="0" w:color="auto"/>
        <w:left w:val="none" w:sz="0" w:space="0" w:color="auto"/>
        <w:bottom w:val="none" w:sz="0" w:space="0" w:color="auto"/>
        <w:right w:val="none" w:sz="0" w:space="0" w:color="auto"/>
      </w:divBdr>
    </w:div>
    <w:div w:id="717054670">
      <w:bodyDiv w:val="1"/>
      <w:marLeft w:val="0"/>
      <w:marRight w:val="0"/>
      <w:marTop w:val="0"/>
      <w:marBottom w:val="0"/>
      <w:divBdr>
        <w:top w:val="none" w:sz="0" w:space="0" w:color="auto"/>
        <w:left w:val="none" w:sz="0" w:space="0" w:color="auto"/>
        <w:bottom w:val="none" w:sz="0" w:space="0" w:color="auto"/>
        <w:right w:val="none" w:sz="0" w:space="0" w:color="auto"/>
      </w:divBdr>
    </w:div>
    <w:div w:id="727875050">
      <w:bodyDiv w:val="1"/>
      <w:marLeft w:val="0"/>
      <w:marRight w:val="0"/>
      <w:marTop w:val="0"/>
      <w:marBottom w:val="0"/>
      <w:divBdr>
        <w:top w:val="none" w:sz="0" w:space="0" w:color="auto"/>
        <w:left w:val="none" w:sz="0" w:space="0" w:color="auto"/>
        <w:bottom w:val="none" w:sz="0" w:space="0" w:color="auto"/>
        <w:right w:val="none" w:sz="0" w:space="0" w:color="auto"/>
      </w:divBdr>
    </w:div>
    <w:div w:id="739792639">
      <w:bodyDiv w:val="1"/>
      <w:marLeft w:val="0"/>
      <w:marRight w:val="0"/>
      <w:marTop w:val="0"/>
      <w:marBottom w:val="0"/>
      <w:divBdr>
        <w:top w:val="none" w:sz="0" w:space="0" w:color="auto"/>
        <w:left w:val="none" w:sz="0" w:space="0" w:color="auto"/>
        <w:bottom w:val="none" w:sz="0" w:space="0" w:color="auto"/>
        <w:right w:val="none" w:sz="0" w:space="0" w:color="auto"/>
      </w:divBdr>
      <w:divsChild>
        <w:div w:id="905914048">
          <w:marLeft w:val="0"/>
          <w:marRight w:val="0"/>
          <w:marTop w:val="0"/>
          <w:marBottom w:val="0"/>
          <w:divBdr>
            <w:top w:val="none" w:sz="0" w:space="0" w:color="auto"/>
            <w:left w:val="none" w:sz="0" w:space="0" w:color="auto"/>
            <w:bottom w:val="none" w:sz="0" w:space="0" w:color="auto"/>
            <w:right w:val="none" w:sz="0" w:space="0" w:color="auto"/>
          </w:divBdr>
          <w:divsChild>
            <w:div w:id="1240822310">
              <w:marLeft w:val="0"/>
              <w:marRight w:val="0"/>
              <w:marTop w:val="0"/>
              <w:marBottom w:val="0"/>
              <w:divBdr>
                <w:top w:val="none" w:sz="0" w:space="0" w:color="auto"/>
                <w:left w:val="none" w:sz="0" w:space="0" w:color="auto"/>
                <w:bottom w:val="none" w:sz="0" w:space="0" w:color="auto"/>
                <w:right w:val="none" w:sz="0" w:space="0" w:color="auto"/>
              </w:divBdr>
              <w:divsChild>
                <w:div w:id="888691572">
                  <w:marLeft w:val="0"/>
                  <w:marRight w:val="0"/>
                  <w:marTop w:val="0"/>
                  <w:marBottom w:val="0"/>
                  <w:divBdr>
                    <w:top w:val="none" w:sz="0" w:space="0" w:color="auto"/>
                    <w:left w:val="none" w:sz="0" w:space="0" w:color="auto"/>
                    <w:bottom w:val="none" w:sz="0" w:space="0" w:color="auto"/>
                    <w:right w:val="none" w:sz="0" w:space="0" w:color="auto"/>
                  </w:divBdr>
                </w:div>
                <w:div w:id="2421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091">
      <w:bodyDiv w:val="1"/>
      <w:marLeft w:val="0"/>
      <w:marRight w:val="0"/>
      <w:marTop w:val="0"/>
      <w:marBottom w:val="0"/>
      <w:divBdr>
        <w:top w:val="none" w:sz="0" w:space="0" w:color="auto"/>
        <w:left w:val="none" w:sz="0" w:space="0" w:color="auto"/>
        <w:bottom w:val="none" w:sz="0" w:space="0" w:color="auto"/>
        <w:right w:val="none" w:sz="0" w:space="0" w:color="auto"/>
      </w:divBdr>
    </w:div>
    <w:div w:id="751975983">
      <w:bodyDiv w:val="1"/>
      <w:marLeft w:val="0"/>
      <w:marRight w:val="0"/>
      <w:marTop w:val="0"/>
      <w:marBottom w:val="0"/>
      <w:divBdr>
        <w:top w:val="none" w:sz="0" w:space="0" w:color="auto"/>
        <w:left w:val="none" w:sz="0" w:space="0" w:color="auto"/>
        <w:bottom w:val="none" w:sz="0" w:space="0" w:color="auto"/>
        <w:right w:val="none" w:sz="0" w:space="0" w:color="auto"/>
      </w:divBdr>
    </w:div>
    <w:div w:id="753209932">
      <w:bodyDiv w:val="1"/>
      <w:marLeft w:val="0"/>
      <w:marRight w:val="0"/>
      <w:marTop w:val="0"/>
      <w:marBottom w:val="0"/>
      <w:divBdr>
        <w:top w:val="none" w:sz="0" w:space="0" w:color="auto"/>
        <w:left w:val="none" w:sz="0" w:space="0" w:color="auto"/>
        <w:bottom w:val="none" w:sz="0" w:space="0" w:color="auto"/>
        <w:right w:val="none" w:sz="0" w:space="0" w:color="auto"/>
      </w:divBdr>
      <w:divsChild>
        <w:div w:id="1946305555">
          <w:marLeft w:val="0"/>
          <w:marRight w:val="0"/>
          <w:marTop w:val="34"/>
          <w:marBottom w:val="34"/>
          <w:divBdr>
            <w:top w:val="none" w:sz="0" w:space="0" w:color="auto"/>
            <w:left w:val="none" w:sz="0" w:space="0" w:color="auto"/>
            <w:bottom w:val="none" w:sz="0" w:space="0" w:color="auto"/>
            <w:right w:val="none" w:sz="0" w:space="0" w:color="auto"/>
          </w:divBdr>
        </w:div>
      </w:divsChild>
    </w:div>
    <w:div w:id="761991504">
      <w:bodyDiv w:val="1"/>
      <w:marLeft w:val="0"/>
      <w:marRight w:val="0"/>
      <w:marTop w:val="0"/>
      <w:marBottom w:val="0"/>
      <w:divBdr>
        <w:top w:val="none" w:sz="0" w:space="0" w:color="auto"/>
        <w:left w:val="none" w:sz="0" w:space="0" w:color="auto"/>
        <w:bottom w:val="none" w:sz="0" w:space="0" w:color="auto"/>
        <w:right w:val="none" w:sz="0" w:space="0" w:color="auto"/>
      </w:divBdr>
    </w:div>
    <w:div w:id="799231888">
      <w:bodyDiv w:val="1"/>
      <w:marLeft w:val="0"/>
      <w:marRight w:val="0"/>
      <w:marTop w:val="0"/>
      <w:marBottom w:val="0"/>
      <w:divBdr>
        <w:top w:val="none" w:sz="0" w:space="0" w:color="auto"/>
        <w:left w:val="none" w:sz="0" w:space="0" w:color="auto"/>
        <w:bottom w:val="none" w:sz="0" w:space="0" w:color="auto"/>
        <w:right w:val="none" w:sz="0" w:space="0" w:color="auto"/>
      </w:divBdr>
      <w:divsChild>
        <w:div w:id="811336128">
          <w:marLeft w:val="0"/>
          <w:marRight w:val="0"/>
          <w:marTop w:val="0"/>
          <w:marBottom w:val="0"/>
          <w:divBdr>
            <w:top w:val="none" w:sz="0" w:space="0" w:color="auto"/>
            <w:left w:val="none" w:sz="0" w:space="0" w:color="auto"/>
            <w:bottom w:val="none" w:sz="0" w:space="0" w:color="auto"/>
            <w:right w:val="none" w:sz="0" w:space="0" w:color="auto"/>
          </w:divBdr>
          <w:divsChild>
            <w:div w:id="932930775">
              <w:marLeft w:val="0"/>
              <w:marRight w:val="0"/>
              <w:marTop w:val="0"/>
              <w:marBottom w:val="0"/>
              <w:divBdr>
                <w:top w:val="none" w:sz="0" w:space="0" w:color="auto"/>
                <w:left w:val="none" w:sz="0" w:space="0" w:color="auto"/>
                <w:bottom w:val="none" w:sz="0" w:space="0" w:color="auto"/>
                <w:right w:val="none" w:sz="0" w:space="0" w:color="auto"/>
              </w:divBdr>
              <w:divsChild>
                <w:div w:id="20588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1886">
      <w:bodyDiv w:val="1"/>
      <w:marLeft w:val="0"/>
      <w:marRight w:val="0"/>
      <w:marTop w:val="0"/>
      <w:marBottom w:val="0"/>
      <w:divBdr>
        <w:top w:val="none" w:sz="0" w:space="0" w:color="auto"/>
        <w:left w:val="none" w:sz="0" w:space="0" w:color="auto"/>
        <w:bottom w:val="none" w:sz="0" w:space="0" w:color="auto"/>
        <w:right w:val="none" w:sz="0" w:space="0" w:color="auto"/>
      </w:divBdr>
    </w:div>
    <w:div w:id="835846426">
      <w:bodyDiv w:val="1"/>
      <w:marLeft w:val="0"/>
      <w:marRight w:val="0"/>
      <w:marTop w:val="0"/>
      <w:marBottom w:val="0"/>
      <w:divBdr>
        <w:top w:val="none" w:sz="0" w:space="0" w:color="auto"/>
        <w:left w:val="none" w:sz="0" w:space="0" w:color="auto"/>
        <w:bottom w:val="none" w:sz="0" w:space="0" w:color="auto"/>
        <w:right w:val="none" w:sz="0" w:space="0" w:color="auto"/>
      </w:divBdr>
      <w:divsChild>
        <w:div w:id="1436248970">
          <w:marLeft w:val="0"/>
          <w:marRight w:val="0"/>
          <w:marTop w:val="0"/>
          <w:marBottom w:val="0"/>
          <w:divBdr>
            <w:top w:val="none" w:sz="0" w:space="0" w:color="auto"/>
            <w:left w:val="none" w:sz="0" w:space="0" w:color="auto"/>
            <w:bottom w:val="none" w:sz="0" w:space="0" w:color="auto"/>
            <w:right w:val="none" w:sz="0" w:space="0" w:color="auto"/>
          </w:divBdr>
          <w:divsChild>
            <w:div w:id="1238706611">
              <w:marLeft w:val="0"/>
              <w:marRight w:val="0"/>
              <w:marTop w:val="0"/>
              <w:marBottom w:val="0"/>
              <w:divBdr>
                <w:top w:val="none" w:sz="0" w:space="0" w:color="auto"/>
                <w:left w:val="none" w:sz="0" w:space="0" w:color="auto"/>
                <w:bottom w:val="none" w:sz="0" w:space="0" w:color="auto"/>
                <w:right w:val="none" w:sz="0" w:space="0" w:color="auto"/>
              </w:divBdr>
              <w:divsChild>
                <w:div w:id="1968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3962">
      <w:bodyDiv w:val="1"/>
      <w:marLeft w:val="0"/>
      <w:marRight w:val="0"/>
      <w:marTop w:val="0"/>
      <w:marBottom w:val="0"/>
      <w:divBdr>
        <w:top w:val="none" w:sz="0" w:space="0" w:color="auto"/>
        <w:left w:val="none" w:sz="0" w:space="0" w:color="auto"/>
        <w:bottom w:val="none" w:sz="0" w:space="0" w:color="auto"/>
        <w:right w:val="none" w:sz="0" w:space="0" w:color="auto"/>
      </w:divBdr>
    </w:div>
    <w:div w:id="889269778">
      <w:bodyDiv w:val="1"/>
      <w:marLeft w:val="0"/>
      <w:marRight w:val="0"/>
      <w:marTop w:val="0"/>
      <w:marBottom w:val="0"/>
      <w:divBdr>
        <w:top w:val="none" w:sz="0" w:space="0" w:color="auto"/>
        <w:left w:val="none" w:sz="0" w:space="0" w:color="auto"/>
        <w:bottom w:val="none" w:sz="0" w:space="0" w:color="auto"/>
        <w:right w:val="none" w:sz="0" w:space="0" w:color="auto"/>
      </w:divBdr>
    </w:div>
    <w:div w:id="894970997">
      <w:bodyDiv w:val="1"/>
      <w:marLeft w:val="0"/>
      <w:marRight w:val="0"/>
      <w:marTop w:val="0"/>
      <w:marBottom w:val="0"/>
      <w:divBdr>
        <w:top w:val="none" w:sz="0" w:space="0" w:color="auto"/>
        <w:left w:val="none" w:sz="0" w:space="0" w:color="auto"/>
        <w:bottom w:val="none" w:sz="0" w:space="0" w:color="auto"/>
        <w:right w:val="none" w:sz="0" w:space="0" w:color="auto"/>
      </w:divBdr>
    </w:div>
    <w:div w:id="901604627">
      <w:bodyDiv w:val="1"/>
      <w:marLeft w:val="0"/>
      <w:marRight w:val="0"/>
      <w:marTop w:val="0"/>
      <w:marBottom w:val="0"/>
      <w:divBdr>
        <w:top w:val="none" w:sz="0" w:space="0" w:color="auto"/>
        <w:left w:val="none" w:sz="0" w:space="0" w:color="auto"/>
        <w:bottom w:val="none" w:sz="0" w:space="0" w:color="auto"/>
        <w:right w:val="none" w:sz="0" w:space="0" w:color="auto"/>
      </w:divBdr>
      <w:divsChild>
        <w:div w:id="608701295">
          <w:marLeft w:val="0"/>
          <w:marRight w:val="0"/>
          <w:marTop w:val="0"/>
          <w:marBottom w:val="0"/>
          <w:divBdr>
            <w:top w:val="none" w:sz="0" w:space="0" w:color="auto"/>
            <w:left w:val="none" w:sz="0" w:space="0" w:color="auto"/>
            <w:bottom w:val="none" w:sz="0" w:space="0" w:color="auto"/>
            <w:right w:val="none" w:sz="0" w:space="0" w:color="auto"/>
          </w:divBdr>
          <w:divsChild>
            <w:div w:id="986786333">
              <w:marLeft w:val="0"/>
              <w:marRight w:val="0"/>
              <w:marTop w:val="0"/>
              <w:marBottom w:val="0"/>
              <w:divBdr>
                <w:top w:val="none" w:sz="0" w:space="0" w:color="auto"/>
                <w:left w:val="none" w:sz="0" w:space="0" w:color="auto"/>
                <w:bottom w:val="none" w:sz="0" w:space="0" w:color="auto"/>
                <w:right w:val="none" w:sz="0" w:space="0" w:color="auto"/>
              </w:divBdr>
              <w:divsChild>
                <w:div w:id="16482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37107">
      <w:bodyDiv w:val="1"/>
      <w:marLeft w:val="0"/>
      <w:marRight w:val="0"/>
      <w:marTop w:val="0"/>
      <w:marBottom w:val="0"/>
      <w:divBdr>
        <w:top w:val="none" w:sz="0" w:space="0" w:color="auto"/>
        <w:left w:val="none" w:sz="0" w:space="0" w:color="auto"/>
        <w:bottom w:val="none" w:sz="0" w:space="0" w:color="auto"/>
        <w:right w:val="none" w:sz="0" w:space="0" w:color="auto"/>
      </w:divBdr>
    </w:div>
    <w:div w:id="919217549">
      <w:bodyDiv w:val="1"/>
      <w:marLeft w:val="0"/>
      <w:marRight w:val="0"/>
      <w:marTop w:val="0"/>
      <w:marBottom w:val="0"/>
      <w:divBdr>
        <w:top w:val="none" w:sz="0" w:space="0" w:color="auto"/>
        <w:left w:val="none" w:sz="0" w:space="0" w:color="auto"/>
        <w:bottom w:val="none" w:sz="0" w:space="0" w:color="auto"/>
        <w:right w:val="none" w:sz="0" w:space="0" w:color="auto"/>
      </w:divBdr>
    </w:div>
    <w:div w:id="921641112">
      <w:bodyDiv w:val="1"/>
      <w:marLeft w:val="0"/>
      <w:marRight w:val="0"/>
      <w:marTop w:val="0"/>
      <w:marBottom w:val="0"/>
      <w:divBdr>
        <w:top w:val="none" w:sz="0" w:space="0" w:color="auto"/>
        <w:left w:val="none" w:sz="0" w:space="0" w:color="auto"/>
        <w:bottom w:val="none" w:sz="0" w:space="0" w:color="auto"/>
        <w:right w:val="none" w:sz="0" w:space="0" w:color="auto"/>
      </w:divBdr>
    </w:div>
    <w:div w:id="964972280">
      <w:bodyDiv w:val="1"/>
      <w:marLeft w:val="0"/>
      <w:marRight w:val="0"/>
      <w:marTop w:val="0"/>
      <w:marBottom w:val="0"/>
      <w:divBdr>
        <w:top w:val="none" w:sz="0" w:space="0" w:color="auto"/>
        <w:left w:val="none" w:sz="0" w:space="0" w:color="auto"/>
        <w:bottom w:val="none" w:sz="0" w:space="0" w:color="auto"/>
        <w:right w:val="none" w:sz="0" w:space="0" w:color="auto"/>
      </w:divBdr>
      <w:divsChild>
        <w:div w:id="2070570800">
          <w:marLeft w:val="0"/>
          <w:marRight w:val="0"/>
          <w:marTop w:val="0"/>
          <w:marBottom w:val="0"/>
          <w:divBdr>
            <w:top w:val="none" w:sz="0" w:space="0" w:color="auto"/>
            <w:left w:val="none" w:sz="0" w:space="0" w:color="auto"/>
            <w:bottom w:val="none" w:sz="0" w:space="0" w:color="auto"/>
            <w:right w:val="none" w:sz="0" w:space="0" w:color="auto"/>
          </w:divBdr>
          <w:divsChild>
            <w:div w:id="1067075789">
              <w:marLeft w:val="0"/>
              <w:marRight w:val="0"/>
              <w:marTop w:val="0"/>
              <w:marBottom w:val="0"/>
              <w:divBdr>
                <w:top w:val="none" w:sz="0" w:space="0" w:color="auto"/>
                <w:left w:val="none" w:sz="0" w:space="0" w:color="auto"/>
                <w:bottom w:val="none" w:sz="0" w:space="0" w:color="auto"/>
                <w:right w:val="none" w:sz="0" w:space="0" w:color="auto"/>
              </w:divBdr>
              <w:divsChild>
                <w:div w:id="20318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32092">
      <w:bodyDiv w:val="1"/>
      <w:marLeft w:val="0"/>
      <w:marRight w:val="0"/>
      <w:marTop w:val="0"/>
      <w:marBottom w:val="0"/>
      <w:divBdr>
        <w:top w:val="none" w:sz="0" w:space="0" w:color="auto"/>
        <w:left w:val="none" w:sz="0" w:space="0" w:color="auto"/>
        <w:bottom w:val="none" w:sz="0" w:space="0" w:color="auto"/>
        <w:right w:val="none" w:sz="0" w:space="0" w:color="auto"/>
      </w:divBdr>
      <w:divsChild>
        <w:div w:id="1689329908">
          <w:marLeft w:val="0"/>
          <w:marRight w:val="0"/>
          <w:marTop w:val="0"/>
          <w:marBottom w:val="0"/>
          <w:divBdr>
            <w:top w:val="none" w:sz="0" w:space="0" w:color="auto"/>
            <w:left w:val="none" w:sz="0" w:space="0" w:color="auto"/>
            <w:bottom w:val="none" w:sz="0" w:space="0" w:color="auto"/>
            <w:right w:val="none" w:sz="0" w:space="0" w:color="auto"/>
          </w:divBdr>
          <w:divsChild>
            <w:div w:id="557516373">
              <w:marLeft w:val="0"/>
              <w:marRight w:val="0"/>
              <w:marTop w:val="0"/>
              <w:marBottom w:val="0"/>
              <w:divBdr>
                <w:top w:val="none" w:sz="0" w:space="0" w:color="auto"/>
                <w:left w:val="none" w:sz="0" w:space="0" w:color="auto"/>
                <w:bottom w:val="none" w:sz="0" w:space="0" w:color="auto"/>
                <w:right w:val="none" w:sz="0" w:space="0" w:color="auto"/>
              </w:divBdr>
              <w:divsChild>
                <w:div w:id="7955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6458">
      <w:bodyDiv w:val="1"/>
      <w:marLeft w:val="0"/>
      <w:marRight w:val="0"/>
      <w:marTop w:val="0"/>
      <w:marBottom w:val="0"/>
      <w:divBdr>
        <w:top w:val="none" w:sz="0" w:space="0" w:color="auto"/>
        <w:left w:val="none" w:sz="0" w:space="0" w:color="auto"/>
        <w:bottom w:val="none" w:sz="0" w:space="0" w:color="auto"/>
        <w:right w:val="none" w:sz="0" w:space="0" w:color="auto"/>
      </w:divBdr>
      <w:divsChild>
        <w:div w:id="319894386">
          <w:marLeft w:val="0"/>
          <w:marRight w:val="0"/>
          <w:marTop w:val="0"/>
          <w:marBottom w:val="0"/>
          <w:divBdr>
            <w:top w:val="none" w:sz="0" w:space="0" w:color="auto"/>
            <w:left w:val="none" w:sz="0" w:space="0" w:color="auto"/>
            <w:bottom w:val="none" w:sz="0" w:space="0" w:color="auto"/>
            <w:right w:val="none" w:sz="0" w:space="0" w:color="auto"/>
          </w:divBdr>
        </w:div>
      </w:divsChild>
    </w:div>
    <w:div w:id="1055003863">
      <w:bodyDiv w:val="1"/>
      <w:marLeft w:val="0"/>
      <w:marRight w:val="0"/>
      <w:marTop w:val="0"/>
      <w:marBottom w:val="0"/>
      <w:divBdr>
        <w:top w:val="none" w:sz="0" w:space="0" w:color="auto"/>
        <w:left w:val="none" w:sz="0" w:space="0" w:color="auto"/>
        <w:bottom w:val="none" w:sz="0" w:space="0" w:color="auto"/>
        <w:right w:val="none" w:sz="0" w:space="0" w:color="auto"/>
      </w:divBdr>
    </w:div>
    <w:div w:id="1055592271">
      <w:bodyDiv w:val="1"/>
      <w:marLeft w:val="0"/>
      <w:marRight w:val="0"/>
      <w:marTop w:val="0"/>
      <w:marBottom w:val="0"/>
      <w:divBdr>
        <w:top w:val="none" w:sz="0" w:space="0" w:color="auto"/>
        <w:left w:val="none" w:sz="0" w:space="0" w:color="auto"/>
        <w:bottom w:val="none" w:sz="0" w:space="0" w:color="auto"/>
        <w:right w:val="none" w:sz="0" w:space="0" w:color="auto"/>
      </w:divBdr>
      <w:divsChild>
        <w:div w:id="125052182">
          <w:marLeft w:val="0"/>
          <w:marRight w:val="0"/>
          <w:marTop w:val="0"/>
          <w:marBottom w:val="0"/>
          <w:divBdr>
            <w:top w:val="none" w:sz="0" w:space="0" w:color="auto"/>
            <w:left w:val="none" w:sz="0" w:space="0" w:color="auto"/>
            <w:bottom w:val="none" w:sz="0" w:space="0" w:color="auto"/>
            <w:right w:val="none" w:sz="0" w:space="0" w:color="auto"/>
          </w:divBdr>
          <w:divsChild>
            <w:div w:id="2118404905">
              <w:marLeft w:val="0"/>
              <w:marRight w:val="0"/>
              <w:marTop w:val="0"/>
              <w:marBottom w:val="0"/>
              <w:divBdr>
                <w:top w:val="none" w:sz="0" w:space="0" w:color="auto"/>
                <w:left w:val="none" w:sz="0" w:space="0" w:color="auto"/>
                <w:bottom w:val="none" w:sz="0" w:space="0" w:color="auto"/>
                <w:right w:val="none" w:sz="0" w:space="0" w:color="auto"/>
              </w:divBdr>
              <w:divsChild>
                <w:div w:id="825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6528">
      <w:bodyDiv w:val="1"/>
      <w:marLeft w:val="0"/>
      <w:marRight w:val="0"/>
      <w:marTop w:val="0"/>
      <w:marBottom w:val="0"/>
      <w:divBdr>
        <w:top w:val="none" w:sz="0" w:space="0" w:color="auto"/>
        <w:left w:val="none" w:sz="0" w:space="0" w:color="auto"/>
        <w:bottom w:val="none" w:sz="0" w:space="0" w:color="auto"/>
        <w:right w:val="none" w:sz="0" w:space="0" w:color="auto"/>
      </w:divBdr>
      <w:divsChild>
        <w:div w:id="159739279">
          <w:marLeft w:val="0"/>
          <w:marRight w:val="0"/>
          <w:marTop w:val="0"/>
          <w:marBottom w:val="0"/>
          <w:divBdr>
            <w:top w:val="none" w:sz="0" w:space="0" w:color="auto"/>
            <w:left w:val="none" w:sz="0" w:space="0" w:color="auto"/>
            <w:bottom w:val="none" w:sz="0" w:space="0" w:color="auto"/>
            <w:right w:val="none" w:sz="0" w:space="0" w:color="auto"/>
          </w:divBdr>
          <w:divsChild>
            <w:div w:id="1458523438">
              <w:marLeft w:val="0"/>
              <w:marRight w:val="0"/>
              <w:marTop w:val="0"/>
              <w:marBottom w:val="0"/>
              <w:divBdr>
                <w:top w:val="none" w:sz="0" w:space="0" w:color="auto"/>
                <w:left w:val="none" w:sz="0" w:space="0" w:color="auto"/>
                <w:bottom w:val="none" w:sz="0" w:space="0" w:color="auto"/>
                <w:right w:val="none" w:sz="0" w:space="0" w:color="auto"/>
              </w:divBdr>
              <w:divsChild>
                <w:div w:id="13492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1826">
      <w:bodyDiv w:val="1"/>
      <w:marLeft w:val="0"/>
      <w:marRight w:val="0"/>
      <w:marTop w:val="0"/>
      <w:marBottom w:val="0"/>
      <w:divBdr>
        <w:top w:val="none" w:sz="0" w:space="0" w:color="auto"/>
        <w:left w:val="none" w:sz="0" w:space="0" w:color="auto"/>
        <w:bottom w:val="none" w:sz="0" w:space="0" w:color="auto"/>
        <w:right w:val="none" w:sz="0" w:space="0" w:color="auto"/>
      </w:divBdr>
    </w:div>
    <w:div w:id="1146627426">
      <w:bodyDiv w:val="1"/>
      <w:marLeft w:val="0"/>
      <w:marRight w:val="0"/>
      <w:marTop w:val="0"/>
      <w:marBottom w:val="0"/>
      <w:divBdr>
        <w:top w:val="none" w:sz="0" w:space="0" w:color="auto"/>
        <w:left w:val="none" w:sz="0" w:space="0" w:color="auto"/>
        <w:bottom w:val="none" w:sz="0" w:space="0" w:color="auto"/>
        <w:right w:val="none" w:sz="0" w:space="0" w:color="auto"/>
      </w:divBdr>
      <w:divsChild>
        <w:div w:id="746417018">
          <w:marLeft w:val="0"/>
          <w:marRight w:val="0"/>
          <w:marTop w:val="0"/>
          <w:marBottom w:val="0"/>
          <w:divBdr>
            <w:top w:val="none" w:sz="0" w:space="0" w:color="auto"/>
            <w:left w:val="none" w:sz="0" w:space="0" w:color="auto"/>
            <w:bottom w:val="none" w:sz="0" w:space="0" w:color="auto"/>
            <w:right w:val="none" w:sz="0" w:space="0" w:color="auto"/>
          </w:divBdr>
          <w:divsChild>
            <w:div w:id="122501082">
              <w:marLeft w:val="0"/>
              <w:marRight w:val="0"/>
              <w:marTop w:val="0"/>
              <w:marBottom w:val="0"/>
              <w:divBdr>
                <w:top w:val="none" w:sz="0" w:space="0" w:color="auto"/>
                <w:left w:val="none" w:sz="0" w:space="0" w:color="auto"/>
                <w:bottom w:val="none" w:sz="0" w:space="0" w:color="auto"/>
                <w:right w:val="none" w:sz="0" w:space="0" w:color="auto"/>
              </w:divBdr>
              <w:divsChild>
                <w:div w:id="120224403">
                  <w:marLeft w:val="0"/>
                  <w:marRight w:val="0"/>
                  <w:marTop w:val="0"/>
                  <w:marBottom w:val="0"/>
                  <w:divBdr>
                    <w:top w:val="none" w:sz="0" w:space="0" w:color="auto"/>
                    <w:left w:val="none" w:sz="0" w:space="0" w:color="auto"/>
                    <w:bottom w:val="none" w:sz="0" w:space="0" w:color="auto"/>
                    <w:right w:val="none" w:sz="0" w:space="0" w:color="auto"/>
                  </w:divBdr>
                  <w:divsChild>
                    <w:div w:id="1657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2942">
      <w:bodyDiv w:val="1"/>
      <w:marLeft w:val="0"/>
      <w:marRight w:val="0"/>
      <w:marTop w:val="0"/>
      <w:marBottom w:val="0"/>
      <w:divBdr>
        <w:top w:val="none" w:sz="0" w:space="0" w:color="auto"/>
        <w:left w:val="none" w:sz="0" w:space="0" w:color="auto"/>
        <w:bottom w:val="none" w:sz="0" w:space="0" w:color="auto"/>
        <w:right w:val="none" w:sz="0" w:space="0" w:color="auto"/>
      </w:divBdr>
    </w:div>
    <w:div w:id="1175144941">
      <w:bodyDiv w:val="1"/>
      <w:marLeft w:val="0"/>
      <w:marRight w:val="0"/>
      <w:marTop w:val="0"/>
      <w:marBottom w:val="0"/>
      <w:divBdr>
        <w:top w:val="none" w:sz="0" w:space="0" w:color="auto"/>
        <w:left w:val="none" w:sz="0" w:space="0" w:color="auto"/>
        <w:bottom w:val="none" w:sz="0" w:space="0" w:color="auto"/>
        <w:right w:val="none" w:sz="0" w:space="0" w:color="auto"/>
      </w:divBdr>
    </w:div>
    <w:div w:id="1194921879">
      <w:bodyDiv w:val="1"/>
      <w:marLeft w:val="0"/>
      <w:marRight w:val="0"/>
      <w:marTop w:val="0"/>
      <w:marBottom w:val="0"/>
      <w:divBdr>
        <w:top w:val="none" w:sz="0" w:space="0" w:color="auto"/>
        <w:left w:val="none" w:sz="0" w:space="0" w:color="auto"/>
        <w:bottom w:val="none" w:sz="0" w:space="0" w:color="auto"/>
        <w:right w:val="none" w:sz="0" w:space="0" w:color="auto"/>
      </w:divBdr>
      <w:divsChild>
        <w:div w:id="930813945">
          <w:marLeft w:val="0"/>
          <w:marRight w:val="0"/>
          <w:marTop w:val="0"/>
          <w:marBottom w:val="0"/>
          <w:divBdr>
            <w:top w:val="none" w:sz="0" w:space="0" w:color="auto"/>
            <w:left w:val="none" w:sz="0" w:space="0" w:color="auto"/>
            <w:bottom w:val="none" w:sz="0" w:space="0" w:color="auto"/>
            <w:right w:val="none" w:sz="0" w:space="0" w:color="auto"/>
          </w:divBdr>
          <w:divsChild>
            <w:div w:id="901915018">
              <w:marLeft w:val="0"/>
              <w:marRight w:val="0"/>
              <w:marTop w:val="0"/>
              <w:marBottom w:val="0"/>
              <w:divBdr>
                <w:top w:val="none" w:sz="0" w:space="0" w:color="auto"/>
                <w:left w:val="none" w:sz="0" w:space="0" w:color="auto"/>
                <w:bottom w:val="none" w:sz="0" w:space="0" w:color="auto"/>
                <w:right w:val="none" w:sz="0" w:space="0" w:color="auto"/>
              </w:divBdr>
              <w:divsChild>
                <w:div w:id="990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90475">
      <w:bodyDiv w:val="1"/>
      <w:marLeft w:val="0"/>
      <w:marRight w:val="0"/>
      <w:marTop w:val="0"/>
      <w:marBottom w:val="0"/>
      <w:divBdr>
        <w:top w:val="none" w:sz="0" w:space="0" w:color="auto"/>
        <w:left w:val="none" w:sz="0" w:space="0" w:color="auto"/>
        <w:bottom w:val="none" w:sz="0" w:space="0" w:color="auto"/>
        <w:right w:val="none" w:sz="0" w:space="0" w:color="auto"/>
      </w:divBdr>
    </w:div>
    <w:div w:id="1232422691">
      <w:bodyDiv w:val="1"/>
      <w:marLeft w:val="0"/>
      <w:marRight w:val="0"/>
      <w:marTop w:val="0"/>
      <w:marBottom w:val="0"/>
      <w:divBdr>
        <w:top w:val="none" w:sz="0" w:space="0" w:color="auto"/>
        <w:left w:val="none" w:sz="0" w:space="0" w:color="auto"/>
        <w:bottom w:val="none" w:sz="0" w:space="0" w:color="auto"/>
        <w:right w:val="none" w:sz="0" w:space="0" w:color="auto"/>
      </w:divBdr>
      <w:divsChild>
        <w:div w:id="1586262343">
          <w:marLeft w:val="0"/>
          <w:marRight w:val="0"/>
          <w:marTop w:val="0"/>
          <w:marBottom w:val="0"/>
          <w:divBdr>
            <w:top w:val="none" w:sz="0" w:space="0" w:color="auto"/>
            <w:left w:val="none" w:sz="0" w:space="0" w:color="auto"/>
            <w:bottom w:val="none" w:sz="0" w:space="0" w:color="auto"/>
            <w:right w:val="none" w:sz="0" w:space="0" w:color="auto"/>
          </w:divBdr>
          <w:divsChild>
            <w:div w:id="2113278960">
              <w:marLeft w:val="0"/>
              <w:marRight w:val="0"/>
              <w:marTop w:val="0"/>
              <w:marBottom w:val="0"/>
              <w:divBdr>
                <w:top w:val="none" w:sz="0" w:space="0" w:color="auto"/>
                <w:left w:val="none" w:sz="0" w:space="0" w:color="auto"/>
                <w:bottom w:val="none" w:sz="0" w:space="0" w:color="auto"/>
                <w:right w:val="none" w:sz="0" w:space="0" w:color="auto"/>
              </w:divBdr>
              <w:divsChild>
                <w:div w:id="101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054922">
      <w:bodyDiv w:val="1"/>
      <w:marLeft w:val="0"/>
      <w:marRight w:val="0"/>
      <w:marTop w:val="0"/>
      <w:marBottom w:val="0"/>
      <w:divBdr>
        <w:top w:val="none" w:sz="0" w:space="0" w:color="auto"/>
        <w:left w:val="none" w:sz="0" w:space="0" w:color="auto"/>
        <w:bottom w:val="none" w:sz="0" w:space="0" w:color="auto"/>
        <w:right w:val="none" w:sz="0" w:space="0" w:color="auto"/>
      </w:divBdr>
      <w:divsChild>
        <w:div w:id="1775518563">
          <w:marLeft w:val="0"/>
          <w:marRight w:val="0"/>
          <w:marTop w:val="0"/>
          <w:marBottom w:val="0"/>
          <w:divBdr>
            <w:top w:val="none" w:sz="0" w:space="0" w:color="auto"/>
            <w:left w:val="none" w:sz="0" w:space="0" w:color="auto"/>
            <w:bottom w:val="none" w:sz="0" w:space="0" w:color="auto"/>
            <w:right w:val="none" w:sz="0" w:space="0" w:color="auto"/>
          </w:divBdr>
          <w:divsChild>
            <w:div w:id="459886900">
              <w:marLeft w:val="0"/>
              <w:marRight w:val="0"/>
              <w:marTop w:val="0"/>
              <w:marBottom w:val="0"/>
              <w:divBdr>
                <w:top w:val="none" w:sz="0" w:space="0" w:color="auto"/>
                <w:left w:val="none" w:sz="0" w:space="0" w:color="auto"/>
                <w:bottom w:val="none" w:sz="0" w:space="0" w:color="auto"/>
                <w:right w:val="none" w:sz="0" w:space="0" w:color="auto"/>
              </w:divBdr>
              <w:divsChild>
                <w:div w:id="10191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2096">
      <w:bodyDiv w:val="1"/>
      <w:marLeft w:val="0"/>
      <w:marRight w:val="0"/>
      <w:marTop w:val="0"/>
      <w:marBottom w:val="0"/>
      <w:divBdr>
        <w:top w:val="none" w:sz="0" w:space="0" w:color="auto"/>
        <w:left w:val="none" w:sz="0" w:space="0" w:color="auto"/>
        <w:bottom w:val="none" w:sz="0" w:space="0" w:color="auto"/>
        <w:right w:val="none" w:sz="0" w:space="0" w:color="auto"/>
      </w:divBdr>
    </w:div>
    <w:div w:id="1277716375">
      <w:bodyDiv w:val="1"/>
      <w:marLeft w:val="0"/>
      <w:marRight w:val="0"/>
      <w:marTop w:val="0"/>
      <w:marBottom w:val="0"/>
      <w:divBdr>
        <w:top w:val="none" w:sz="0" w:space="0" w:color="auto"/>
        <w:left w:val="none" w:sz="0" w:space="0" w:color="auto"/>
        <w:bottom w:val="none" w:sz="0" w:space="0" w:color="auto"/>
        <w:right w:val="none" w:sz="0" w:space="0" w:color="auto"/>
      </w:divBdr>
      <w:divsChild>
        <w:div w:id="481116810">
          <w:marLeft w:val="0"/>
          <w:marRight w:val="0"/>
          <w:marTop w:val="0"/>
          <w:marBottom w:val="0"/>
          <w:divBdr>
            <w:top w:val="none" w:sz="0" w:space="0" w:color="auto"/>
            <w:left w:val="none" w:sz="0" w:space="0" w:color="auto"/>
            <w:bottom w:val="none" w:sz="0" w:space="0" w:color="auto"/>
            <w:right w:val="none" w:sz="0" w:space="0" w:color="auto"/>
          </w:divBdr>
          <w:divsChild>
            <w:div w:id="1980383624">
              <w:marLeft w:val="0"/>
              <w:marRight w:val="0"/>
              <w:marTop w:val="0"/>
              <w:marBottom w:val="0"/>
              <w:divBdr>
                <w:top w:val="none" w:sz="0" w:space="0" w:color="auto"/>
                <w:left w:val="none" w:sz="0" w:space="0" w:color="auto"/>
                <w:bottom w:val="none" w:sz="0" w:space="0" w:color="auto"/>
                <w:right w:val="none" w:sz="0" w:space="0" w:color="auto"/>
              </w:divBdr>
              <w:divsChild>
                <w:div w:id="9673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5844">
      <w:bodyDiv w:val="1"/>
      <w:marLeft w:val="0"/>
      <w:marRight w:val="0"/>
      <w:marTop w:val="0"/>
      <w:marBottom w:val="0"/>
      <w:divBdr>
        <w:top w:val="none" w:sz="0" w:space="0" w:color="auto"/>
        <w:left w:val="none" w:sz="0" w:space="0" w:color="auto"/>
        <w:bottom w:val="none" w:sz="0" w:space="0" w:color="auto"/>
        <w:right w:val="none" w:sz="0" w:space="0" w:color="auto"/>
      </w:divBdr>
    </w:div>
    <w:div w:id="1312556647">
      <w:bodyDiv w:val="1"/>
      <w:marLeft w:val="0"/>
      <w:marRight w:val="0"/>
      <w:marTop w:val="0"/>
      <w:marBottom w:val="0"/>
      <w:divBdr>
        <w:top w:val="none" w:sz="0" w:space="0" w:color="auto"/>
        <w:left w:val="none" w:sz="0" w:space="0" w:color="auto"/>
        <w:bottom w:val="none" w:sz="0" w:space="0" w:color="auto"/>
        <w:right w:val="none" w:sz="0" w:space="0" w:color="auto"/>
      </w:divBdr>
    </w:div>
    <w:div w:id="1321343942">
      <w:bodyDiv w:val="1"/>
      <w:marLeft w:val="0"/>
      <w:marRight w:val="0"/>
      <w:marTop w:val="0"/>
      <w:marBottom w:val="0"/>
      <w:divBdr>
        <w:top w:val="none" w:sz="0" w:space="0" w:color="auto"/>
        <w:left w:val="none" w:sz="0" w:space="0" w:color="auto"/>
        <w:bottom w:val="none" w:sz="0" w:space="0" w:color="auto"/>
        <w:right w:val="none" w:sz="0" w:space="0" w:color="auto"/>
      </w:divBdr>
      <w:divsChild>
        <w:div w:id="1484661651">
          <w:marLeft w:val="0"/>
          <w:marRight w:val="0"/>
          <w:marTop w:val="0"/>
          <w:marBottom w:val="0"/>
          <w:divBdr>
            <w:top w:val="none" w:sz="0" w:space="0" w:color="auto"/>
            <w:left w:val="none" w:sz="0" w:space="0" w:color="auto"/>
            <w:bottom w:val="none" w:sz="0" w:space="0" w:color="auto"/>
            <w:right w:val="none" w:sz="0" w:space="0" w:color="auto"/>
          </w:divBdr>
          <w:divsChild>
            <w:div w:id="139925735">
              <w:marLeft w:val="0"/>
              <w:marRight w:val="0"/>
              <w:marTop w:val="0"/>
              <w:marBottom w:val="0"/>
              <w:divBdr>
                <w:top w:val="none" w:sz="0" w:space="0" w:color="auto"/>
                <w:left w:val="none" w:sz="0" w:space="0" w:color="auto"/>
                <w:bottom w:val="none" w:sz="0" w:space="0" w:color="auto"/>
                <w:right w:val="none" w:sz="0" w:space="0" w:color="auto"/>
              </w:divBdr>
              <w:divsChild>
                <w:div w:id="2082868717">
                  <w:marLeft w:val="0"/>
                  <w:marRight w:val="0"/>
                  <w:marTop w:val="0"/>
                  <w:marBottom w:val="0"/>
                  <w:divBdr>
                    <w:top w:val="none" w:sz="0" w:space="0" w:color="auto"/>
                    <w:left w:val="none" w:sz="0" w:space="0" w:color="auto"/>
                    <w:bottom w:val="none" w:sz="0" w:space="0" w:color="auto"/>
                    <w:right w:val="none" w:sz="0" w:space="0" w:color="auto"/>
                  </w:divBdr>
                  <w:divsChild>
                    <w:div w:id="170612255">
                      <w:marLeft w:val="0"/>
                      <w:marRight w:val="0"/>
                      <w:marTop w:val="0"/>
                      <w:marBottom w:val="0"/>
                      <w:divBdr>
                        <w:top w:val="none" w:sz="0" w:space="0" w:color="auto"/>
                        <w:left w:val="none" w:sz="0" w:space="0" w:color="auto"/>
                        <w:bottom w:val="none" w:sz="0" w:space="0" w:color="auto"/>
                        <w:right w:val="none" w:sz="0" w:space="0" w:color="auto"/>
                      </w:divBdr>
                      <w:divsChild>
                        <w:div w:id="15726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993">
                  <w:marLeft w:val="0"/>
                  <w:marRight w:val="0"/>
                  <w:marTop w:val="0"/>
                  <w:marBottom w:val="0"/>
                  <w:divBdr>
                    <w:top w:val="none" w:sz="0" w:space="0" w:color="auto"/>
                    <w:left w:val="none" w:sz="0" w:space="0" w:color="auto"/>
                    <w:bottom w:val="none" w:sz="0" w:space="0" w:color="auto"/>
                    <w:right w:val="none" w:sz="0" w:space="0" w:color="auto"/>
                  </w:divBdr>
                  <w:divsChild>
                    <w:div w:id="1579630995">
                      <w:marLeft w:val="0"/>
                      <w:marRight w:val="0"/>
                      <w:marTop w:val="0"/>
                      <w:marBottom w:val="0"/>
                      <w:divBdr>
                        <w:top w:val="none" w:sz="0" w:space="0" w:color="auto"/>
                        <w:left w:val="none" w:sz="0" w:space="0" w:color="auto"/>
                        <w:bottom w:val="none" w:sz="0" w:space="0" w:color="auto"/>
                        <w:right w:val="none" w:sz="0" w:space="0" w:color="auto"/>
                      </w:divBdr>
                      <w:divsChild>
                        <w:div w:id="11902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1376">
      <w:bodyDiv w:val="1"/>
      <w:marLeft w:val="0"/>
      <w:marRight w:val="0"/>
      <w:marTop w:val="0"/>
      <w:marBottom w:val="0"/>
      <w:divBdr>
        <w:top w:val="none" w:sz="0" w:space="0" w:color="auto"/>
        <w:left w:val="none" w:sz="0" w:space="0" w:color="auto"/>
        <w:bottom w:val="none" w:sz="0" w:space="0" w:color="auto"/>
        <w:right w:val="none" w:sz="0" w:space="0" w:color="auto"/>
      </w:divBdr>
    </w:div>
    <w:div w:id="1358584107">
      <w:bodyDiv w:val="1"/>
      <w:marLeft w:val="0"/>
      <w:marRight w:val="0"/>
      <w:marTop w:val="0"/>
      <w:marBottom w:val="0"/>
      <w:divBdr>
        <w:top w:val="none" w:sz="0" w:space="0" w:color="auto"/>
        <w:left w:val="none" w:sz="0" w:space="0" w:color="auto"/>
        <w:bottom w:val="none" w:sz="0" w:space="0" w:color="auto"/>
        <w:right w:val="none" w:sz="0" w:space="0" w:color="auto"/>
      </w:divBdr>
    </w:div>
    <w:div w:id="1399356635">
      <w:bodyDiv w:val="1"/>
      <w:marLeft w:val="0"/>
      <w:marRight w:val="0"/>
      <w:marTop w:val="0"/>
      <w:marBottom w:val="0"/>
      <w:divBdr>
        <w:top w:val="none" w:sz="0" w:space="0" w:color="auto"/>
        <w:left w:val="none" w:sz="0" w:space="0" w:color="auto"/>
        <w:bottom w:val="none" w:sz="0" w:space="0" w:color="auto"/>
        <w:right w:val="none" w:sz="0" w:space="0" w:color="auto"/>
      </w:divBdr>
      <w:divsChild>
        <w:div w:id="1213733435">
          <w:marLeft w:val="0"/>
          <w:marRight w:val="0"/>
          <w:marTop w:val="0"/>
          <w:marBottom w:val="0"/>
          <w:divBdr>
            <w:top w:val="none" w:sz="0" w:space="0" w:color="auto"/>
            <w:left w:val="none" w:sz="0" w:space="0" w:color="auto"/>
            <w:bottom w:val="none" w:sz="0" w:space="0" w:color="auto"/>
            <w:right w:val="none" w:sz="0" w:space="0" w:color="auto"/>
          </w:divBdr>
          <w:divsChild>
            <w:div w:id="1769934310">
              <w:marLeft w:val="0"/>
              <w:marRight w:val="0"/>
              <w:marTop w:val="0"/>
              <w:marBottom w:val="0"/>
              <w:divBdr>
                <w:top w:val="none" w:sz="0" w:space="0" w:color="auto"/>
                <w:left w:val="none" w:sz="0" w:space="0" w:color="auto"/>
                <w:bottom w:val="none" w:sz="0" w:space="0" w:color="auto"/>
                <w:right w:val="none" w:sz="0" w:space="0" w:color="auto"/>
              </w:divBdr>
              <w:divsChild>
                <w:div w:id="7897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0118">
      <w:bodyDiv w:val="1"/>
      <w:marLeft w:val="0"/>
      <w:marRight w:val="0"/>
      <w:marTop w:val="0"/>
      <w:marBottom w:val="0"/>
      <w:divBdr>
        <w:top w:val="none" w:sz="0" w:space="0" w:color="auto"/>
        <w:left w:val="none" w:sz="0" w:space="0" w:color="auto"/>
        <w:bottom w:val="none" w:sz="0" w:space="0" w:color="auto"/>
        <w:right w:val="none" w:sz="0" w:space="0" w:color="auto"/>
      </w:divBdr>
    </w:div>
    <w:div w:id="1437289310">
      <w:bodyDiv w:val="1"/>
      <w:marLeft w:val="0"/>
      <w:marRight w:val="0"/>
      <w:marTop w:val="0"/>
      <w:marBottom w:val="0"/>
      <w:divBdr>
        <w:top w:val="none" w:sz="0" w:space="0" w:color="auto"/>
        <w:left w:val="none" w:sz="0" w:space="0" w:color="auto"/>
        <w:bottom w:val="none" w:sz="0" w:space="0" w:color="auto"/>
        <w:right w:val="none" w:sz="0" w:space="0" w:color="auto"/>
      </w:divBdr>
    </w:div>
    <w:div w:id="1442652046">
      <w:bodyDiv w:val="1"/>
      <w:marLeft w:val="0"/>
      <w:marRight w:val="0"/>
      <w:marTop w:val="0"/>
      <w:marBottom w:val="0"/>
      <w:divBdr>
        <w:top w:val="none" w:sz="0" w:space="0" w:color="auto"/>
        <w:left w:val="none" w:sz="0" w:space="0" w:color="auto"/>
        <w:bottom w:val="none" w:sz="0" w:space="0" w:color="auto"/>
        <w:right w:val="none" w:sz="0" w:space="0" w:color="auto"/>
      </w:divBdr>
      <w:divsChild>
        <w:div w:id="564533132">
          <w:marLeft w:val="0"/>
          <w:marRight w:val="0"/>
          <w:marTop w:val="0"/>
          <w:marBottom w:val="0"/>
          <w:divBdr>
            <w:top w:val="none" w:sz="0" w:space="0" w:color="auto"/>
            <w:left w:val="none" w:sz="0" w:space="0" w:color="auto"/>
            <w:bottom w:val="none" w:sz="0" w:space="0" w:color="auto"/>
            <w:right w:val="none" w:sz="0" w:space="0" w:color="auto"/>
          </w:divBdr>
          <w:divsChild>
            <w:div w:id="740711708">
              <w:marLeft w:val="0"/>
              <w:marRight w:val="0"/>
              <w:marTop w:val="0"/>
              <w:marBottom w:val="0"/>
              <w:divBdr>
                <w:top w:val="none" w:sz="0" w:space="0" w:color="auto"/>
                <w:left w:val="none" w:sz="0" w:space="0" w:color="auto"/>
                <w:bottom w:val="none" w:sz="0" w:space="0" w:color="auto"/>
                <w:right w:val="none" w:sz="0" w:space="0" w:color="auto"/>
              </w:divBdr>
              <w:divsChild>
                <w:div w:id="17362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6697">
      <w:bodyDiv w:val="1"/>
      <w:marLeft w:val="0"/>
      <w:marRight w:val="0"/>
      <w:marTop w:val="0"/>
      <w:marBottom w:val="0"/>
      <w:divBdr>
        <w:top w:val="none" w:sz="0" w:space="0" w:color="auto"/>
        <w:left w:val="none" w:sz="0" w:space="0" w:color="auto"/>
        <w:bottom w:val="none" w:sz="0" w:space="0" w:color="auto"/>
        <w:right w:val="none" w:sz="0" w:space="0" w:color="auto"/>
      </w:divBdr>
    </w:div>
    <w:div w:id="1453671404">
      <w:bodyDiv w:val="1"/>
      <w:marLeft w:val="0"/>
      <w:marRight w:val="0"/>
      <w:marTop w:val="0"/>
      <w:marBottom w:val="0"/>
      <w:divBdr>
        <w:top w:val="none" w:sz="0" w:space="0" w:color="auto"/>
        <w:left w:val="none" w:sz="0" w:space="0" w:color="auto"/>
        <w:bottom w:val="none" w:sz="0" w:space="0" w:color="auto"/>
        <w:right w:val="none" w:sz="0" w:space="0" w:color="auto"/>
      </w:divBdr>
      <w:divsChild>
        <w:div w:id="608852373">
          <w:marLeft w:val="0"/>
          <w:marRight w:val="0"/>
          <w:marTop w:val="34"/>
          <w:marBottom w:val="34"/>
          <w:divBdr>
            <w:top w:val="none" w:sz="0" w:space="0" w:color="auto"/>
            <w:left w:val="none" w:sz="0" w:space="0" w:color="auto"/>
            <w:bottom w:val="none" w:sz="0" w:space="0" w:color="auto"/>
            <w:right w:val="none" w:sz="0" w:space="0" w:color="auto"/>
          </w:divBdr>
        </w:div>
      </w:divsChild>
    </w:div>
    <w:div w:id="1474250702">
      <w:bodyDiv w:val="1"/>
      <w:marLeft w:val="0"/>
      <w:marRight w:val="0"/>
      <w:marTop w:val="0"/>
      <w:marBottom w:val="0"/>
      <w:divBdr>
        <w:top w:val="none" w:sz="0" w:space="0" w:color="auto"/>
        <w:left w:val="none" w:sz="0" w:space="0" w:color="auto"/>
        <w:bottom w:val="none" w:sz="0" w:space="0" w:color="auto"/>
        <w:right w:val="none" w:sz="0" w:space="0" w:color="auto"/>
      </w:divBdr>
    </w:div>
    <w:div w:id="1482698564">
      <w:bodyDiv w:val="1"/>
      <w:marLeft w:val="0"/>
      <w:marRight w:val="0"/>
      <w:marTop w:val="0"/>
      <w:marBottom w:val="0"/>
      <w:divBdr>
        <w:top w:val="none" w:sz="0" w:space="0" w:color="auto"/>
        <w:left w:val="none" w:sz="0" w:space="0" w:color="auto"/>
        <w:bottom w:val="none" w:sz="0" w:space="0" w:color="auto"/>
        <w:right w:val="none" w:sz="0" w:space="0" w:color="auto"/>
      </w:divBdr>
    </w:div>
    <w:div w:id="1485974725">
      <w:bodyDiv w:val="1"/>
      <w:marLeft w:val="0"/>
      <w:marRight w:val="0"/>
      <w:marTop w:val="0"/>
      <w:marBottom w:val="0"/>
      <w:divBdr>
        <w:top w:val="none" w:sz="0" w:space="0" w:color="auto"/>
        <w:left w:val="none" w:sz="0" w:space="0" w:color="auto"/>
        <w:bottom w:val="none" w:sz="0" w:space="0" w:color="auto"/>
        <w:right w:val="none" w:sz="0" w:space="0" w:color="auto"/>
      </w:divBdr>
    </w:div>
    <w:div w:id="1513105674">
      <w:bodyDiv w:val="1"/>
      <w:marLeft w:val="0"/>
      <w:marRight w:val="0"/>
      <w:marTop w:val="0"/>
      <w:marBottom w:val="0"/>
      <w:divBdr>
        <w:top w:val="none" w:sz="0" w:space="0" w:color="auto"/>
        <w:left w:val="none" w:sz="0" w:space="0" w:color="auto"/>
        <w:bottom w:val="none" w:sz="0" w:space="0" w:color="auto"/>
        <w:right w:val="none" w:sz="0" w:space="0" w:color="auto"/>
      </w:divBdr>
    </w:div>
    <w:div w:id="1521049162">
      <w:bodyDiv w:val="1"/>
      <w:marLeft w:val="0"/>
      <w:marRight w:val="0"/>
      <w:marTop w:val="0"/>
      <w:marBottom w:val="0"/>
      <w:divBdr>
        <w:top w:val="none" w:sz="0" w:space="0" w:color="auto"/>
        <w:left w:val="none" w:sz="0" w:space="0" w:color="auto"/>
        <w:bottom w:val="none" w:sz="0" w:space="0" w:color="auto"/>
        <w:right w:val="none" w:sz="0" w:space="0" w:color="auto"/>
      </w:divBdr>
    </w:div>
    <w:div w:id="1525287602">
      <w:bodyDiv w:val="1"/>
      <w:marLeft w:val="0"/>
      <w:marRight w:val="0"/>
      <w:marTop w:val="0"/>
      <w:marBottom w:val="0"/>
      <w:divBdr>
        <w:top w:val="none" w:sz="0" w:space="0" w:color="auto"/>
        <w:left w:val="none" w:sz="0" w:space="0" w:color="auto"/>
        <w:bottom w:val="none" w:sz="0" w:space="0" w:color="auto"/>
        <w:right w:val="none" w:sz="0" w:space="0" w:color="auto"/>
      </w:divBdr>
    </w:div>
    <w:div w:id="1554731948">
      <w:bodyDiv w:val="1"/>
      <w:marLeft w:val="0"/>
      <w:marRight w:val="0"/>
      <w:marTop w:val="0"/>
      <w:marBottom w:val="0"/>
      <w:divBdr>
        <w:top w:val="none" w:sz="0" w:space="0" w:color="auto"/>
        <w:left w:val="none" w:sz="0" w:space="0" w:color="auto"/>
        <w:bottom w:val="none" w:sz="0" w:space="0" w:color="auto"/>
        <w:right w:val="none" w:sz="0" w:space="0" w:color="auto"/>
      </w:divBdr>
      <w:divsChild>
        <w:div w:id="2089182961">
          <w:marLeft w:val="0"/>
          <w:marRight w:val="0"/>
          <w:marTop w:val="0"/>
          <w:marBottom w:val="0"/>
          <w:divBdr>
            <w:top w:val="none" w:sz="0" w:space="0" w:color="auto"/>
            <w:left w:val="none" w:sz="0" w:space="0" w:color="auto"/>
            <w:bottom w:val="none" w:sz="0" w:space="0" w:color="auto"/>
            <w:right w:val="none" w:sz="0" w:space="0" w:color="auto"/>
          </w:divBdr>
          <w:divsChild>
            <w:div w:id="1284382368">
              <w:marLeft w:val="0"/>
              <w:marRight w:val="0"/>
              <w:marTop w:val="0"/>
              <w:marBottom w:val="0"/>
              <w:divBdr>
                <w:top w:val="none" w:sz="0" w:space="0" w:color="auto"/>
                <w:left w:val="none" w:sz="0" w:space="0" w:color="auto"/>
                <w:bottom w:val="none" w:sz="0" w:space="0" w:color="auto"/>
                <w:right w:val="none" w:sz="0" w:space="0" w:color="auto"/>
              </w:divBdr>
              <w:divsChild>
                <w:div w:id="17619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3933">
      <w:bodyDiv w:val="1"/>
      <w:marLeft w:val="0"/>
      <w:marRight w:val="0"/>
      <w:marTop w:val="0"/>
      <w:marBottom w:val="0"/>
      <w:divBdr>
        <w:top w:val="none" w:sz="0" w:space="0" w:color="auto"/>
        <w:left w:val="none" w:sz="0" w:space="0" w:color="auto"/>
        <w:bottom w:val="none" w:sz="0" w:space="0" w:color="auto"/>
        <w:right w:val="none" w:sz="0" w:space="0" w:color="auto"/>
      </w:divBdr>
      <w:divsChild>
        <w:div w:id="961694738">
          <w:marLeft w:val="0"/>
          <w:marRight w:val="0"/>
          <w:marTop w:val="34"/>
          <w:marBottom w:val="34"/>
          <w:divBdr>
            <w:top w:val="none" w:sz="0" w:space="0" w:color="auto"/>
            <w:left w:val="none" w:sz="0" w:space="0" w:color="auto"/>
            <w:bottom w:val="none" w:sz="0" w:space="0" w:color="auto"/>
            <w:right w:val="none" w:sz="0" w:space="0" w:color="auto"/>
          </w:divBdr>
        </w:div>
      </w:divsChild>
    </w:div>
    <w:div w:id="1570798719">
      <w:bodyDiv w:val="1"/>
      <w:marLeft w:val="0"/>
      <w:marRight w:val="0"/>
      <w:marTop w:val="0"/>
      <w:marBottom w:val="0"/>
      <w:divBdr>
        <w:top w:val="none" w:sz="0" w:space="0" w:color="auto"/>
        <w:left w:val="none" w:sz="0" w:space="0" w:color="auto"/>
        <w:bottom w:val="none" w:sz="0" w:space="0" w:color="auto"/>
        <w:right w:val="none" w:sz="0" w:space="0" w:color="auto"/>
      </w:divBdr>
    </w:div>
    <w:div w:id="1634752887">
      <w:bodyDiv w:val="1"/>
      <w:marLeft w:val="0"/>
      <w:marRight w:val="0"/>
      <w:marTop w:val="0"/>
      <w:marBottom w:val="0"/>
      <w:divBdr>
        <w:top w:val="none" w:sz="0" w:space="0" w:color="auto"/>
        <w:left w:val="none" w:sz="0" w:space="0" w:color="auto"/>
        <w:bottom w:val="none" w:sz="0" w:space="0" w:color="auto"/>
        <w:right w:val="none" w:sz="0" w:space="0" w:color="auto"/>
      </w:divBdr>
    </w:div>
    <w:div w:id="1652632050">
      <w:bodyDiv w:val="1"/>
      <w:marLeft w:val="0"/>
      <w:marRight w:val="0"/>
      <w:marTop w:val="0"/>
      <w:marBottom w:val="0"/>
      <w:divBdr>
        <w:top w:val="none" w:sz="0" w:space="0" w:color="auto"/>
        <w:left w:val="none" w:sz="0" w:space="0" w:color="auto"/>
        <w:bottom w:val="none" w:sz="0" w:space="0" w:color="auto"/>
        <w:right w:val="none" w:sz="0" w:space="0" w:color="auto"/>
      </w:divBdr>
    </w:div>
    <w:div w:id="1661731302">
      <w:bodyDiv w:val="1"/>
      <w:marLeft w:val="0"/>
      <w:marRight w:val="0"/>
      <w:marTop w:val="0"/>
      <w:marBottom w:val="0"/>
      <w:divBdr>
        <w:top w:val="none" w:sz="0" w:space="0" w:color="auto"/>
        <w:left w:val="none" w:sz="0" w:space="0" w:color="auto"/>
        <w:bottom w:val="none" w:sz="0" w:space="0" w:color="auto"/>
        <w:right w:val="none" w:sz="0" w:space="0" w:color="auto"/>
      </w:divBdr>
    </w:div>
    <w:div w:id="1711953569">
      <w:bodyDiv w:val="1"/>
      <w:marLeft w:val="0"/>
      <w:marRight w:val="0"/>
      <w:marTop w:val="0"/>
      <w:marBottom w:val="0"/>
      <w:divBdr>
        <w:top w:val="none" w:sz="0" w:space="0" w:color="auto"/>
        <w:left w:val="none" w:sz="0" w:space="0" w:color="auto"/>
        <w:bottom w:val="none" w:sz="0" w:space="0" w:color="auto"/>
        <w:right w:val="none" w:sz="0" w:space="0" w:color="auto"/>
      </w:divBdr>
    </w:div>
    <w:div w:id="1747410644">
      <w:bodyDiv w:val="1"/>
      <w:marLeft w:val="0"/>
      <w:marRight w:val="0"/>
      <w:marTop w:val="0"/>
      <w:marBottom w:val="0"/>
      <w:divBdr>
        <w:top w:val="none" w:sz="0" w:space="0" w:color="auto"/>
        <w:left w:val="none" w:sz="0" w:space="0" w:color="auto"/>
        <w:bottom w:val="none" w:sz="0" w:space="0" w:color="auto"/>
        <w:right w:val="none" w:sz="0" w:space="0" w:color="auto"/>
      </w:divBdr>
    </w:div>
    <w:div w:id="1753115952">
      <w:bodyDiv w:val="1"/>
      <w:marLeft w:val="0"/>
      <w:marRight w:val="0"/>
      <w:marTop w:val="0"/>
      <w:marBottom w:val="0"/>
      <w:divBdr>
        <w:top w:val="none" w:sz="0" w:space="0" w:color="auto"/>
        <w:left w:val="none" w:sz="0" w:space="0" w:color="auto"/>
        <w:bottom w:val="none" w:sz="0" w:space="0" w:color="auto"/>
        <w:right w:val="none" w:sz="0" w:space="0" w:color="auto"/>
      </w:divBdr>
    </w:div>
    <w:div w:id="1815681275">
      <w:bodyDiv w:val="1"/>
      <w:marLeft w:val="0"/>
      <w:marRight w:val="0"/>
      <w:marTop w:val="0"/>
      <w:marBottom w:val="0"/>
      <w:divBdr>
        <w:top w:val="none" w:sz="0" w:space="0" w:color="auto"/>
        <w:left w:val="none" w:sz="0" w:space="0" w:color="auto"/>
        <w:bottom w:val="none" w:sz="0" w:space="0" w:color="auto"/>
        <w:right w:val="none" w:sz="0" w:space="0" w:color="auto"/>
      </w:divBdr>
    </w:div>
    <w:div w:id="1820002937">
      <w:bodyDiv w:val="1"/>
      <w:marLeft w:val="0"/>
      <w:marRight w:val="0"/>
      <w:marTop w:val="0"/>
      <w:marBottom w:val="0"/>
      <w:divBdr>
        <w:top w:val="none" w:sz="0" w:space="0" w:color="auto"/>
        <w:left w:val="none" w:sz="0" w:space="0" w:color="auto"/>
        <w:bottom w:val="none" w:sz="0" w:space="0" w:color="auto"/>
        <w:right w:val="none" w:sz="0" w:space="0" w:color="auto"/>
      </w:divBdr>
    </w:div>
    <w:div w:id="1849710108">
      <w:bodyDiv w:val="1"/>
      <w:marLeft w:val="0"/>
      <w:marRight w:val="0"/>
      <w:marTop w:val="0"/>
      <w:marBottom w:val="0"/>
      <w:divBdr>
        <w:top w:val="none" w:sz="0" w:space="0" w:color="auto"/>
        <w:left w:val="none" w:sz="0" w:space="0" w:color="auto"/>
        <w:bottom w:val="none" w:sz="0" w:space="0" w:color="auto"/>
        <w:right w:val="none" w:sz="0" w:space="0" w:color="auto"/>
      </w:divBdr>
    </w:div>
    <w:div w:id="1858233479">
      <w:bodyDiv w:val="1"/>
      <w:marLeft w:val="0"/>
      <w:marRight w:val="0"/>
      <w:marTop w:val="0"/>
      <w:marBottom w:val="0"/>
      <w:divBdr>
        <w:top w:val="none" w:sz="0" w:space="0" w:color="auto"/>
        <w:left w:val="none" w:sz="0" w:space="0" w:color="auto"/>
        <w:bottom w:val="none" w:sz="0" w:space="0" w:color="auto"/>
        <w:right w:val="none" w:sz="0" w:space="0" w:color="auto"/>
      </w:divBdr>
      <w:divsChild>
        <w:div w:id="477192218">
          <w:marLeft w:val="0"/>
          <w:marRight w:val="0"/>
          <w:marTop w:val="0"/>
          <w:marBottom w:val="0"/>
          <w:divBdr>
            <w:top w:val="none" w:sz="0" w:space="0" w:color="auto"/>
            <w:left w:val="none" w:sz="0" w:space="0" w:color="auto"/>
            <w:bottom w:val="none" w:sz="0" w:space="0" w:color="auto"/>
            <w:right w:val="none" w:sz="0" w:space="0" w:color="auto"/>
          </w:divBdr>
          <w:divsChild>
            <w:div w:id="2055807493">
              <w:marLeft w:val="0"/>
              <w:marRight w:val="0"/>
              <w:marTop w:val="0"/>
              <w:marBottom w:val="0"/>
              <w:divBdr>
                <w:top w:val="none" w:sz="0" w:space="0" w:color="auto"/>
                <w:left w:val="none" w:sz="0" w:space="0" w:color="auto"/>
                <w:bottom w:val="none" w:sz="0" w:space="0" w:color="auto"/>
                <w:right w:val="none" w:sz="0" w:space="0" w:color="auto"/>
              </w:divBdr>
              <w:divsChild>
                <w:div w:id="1118646312">
                  <w:marLeft w:val="0"/>
                  <w:marRight w:val="0"/>
                  <w:marTop w:val="0"/>
                  <w:marBottom w:val="0"/>
                  <w:divBdr>
                    <w:top w:val="none" w:sz="0" w:space="0" w:color="auto"/>
                    <w:left w:val="none" w:sz="0" w:space="0" w:color="auto"/>
                    <w:bottom w:val="none" w:sz="0" w:space="0" w:color="auto"/>
                    <w:right w:val="none" w:sz="0" w:space="0" w:color="auto"/>
                  </w:divBdr>
                  <w:divsChild>
                    <w:div w:id="20523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752782">
      <w:bodyDiv w:val="1"/>
      <w:marLeft w:val="0"/>
      <w:marRight w:val="0"/>
      <w:marTop w:val="0"/>
      <w:marBottom w:val="0"/>
      <w:divBdr>
        <w:top w:val="none" w:sz="0" w:space="0" w:color="auto"/>
        <w:left w:val="none" w:sz="0" w:space="0" w:color="auto"/>
        <w:bottom w:val="none" w:sz="0" w:space="0" w:color="auto"/>
        <w:right w:val="none" w:sz="0" w:space="0" w:color="auto"/>
      </w:divBdr>
    </w:div>
    <w:div w:id="1870603617">
      <w:bodyDiv w:val="1"/>
      <w:marLeft w:val="0"/>
      <w:marRight w:val="0"/>
      <w:marTop w:val="0"/>
      <w:marBottom w:val="0"/>
      <w:divBdr>
        <w:top w:val="none" w:sz="0" w:space="0" w:color="auto"/>
        <w:left w:val="none" w:sz="0" w:space="0" w:color="auto"/>
        <w:bottom w:val="none" w:sz="0" w:space="0" w:color="auto"/>
        <w:right w:val="none" w:sz="0" w:space="0" w:color="auto"/>
      </w:divBdr>
      <w:divsChild>
        <w:div w:id="1021473733">
          <w:marLeft w:val="0"/>
          <w:marRight w:val="0"/>
          <w:marTop w:val="0"/>
          <w:marBottom w:val="0"/>
          <w:divBdr>
            <w:top w:val="none" w:sz="0" w:space="0" w:color="auto"/>
            <w:left w:val="none" w:sz="0" w:space="0" w:color="auto"/>
            <w:bottom w:val="none" w:sz="0" w:space="0" w:color="auto"/>
            <w:right w:val="none" w:sz="0" w:space="0" w:color="auto"/>
          </w:divBdr>
          <w:divsChild>
            <w:div w:id="1356884727">
              <w:marLeft w:val="0"/>
              <w:marRight w:val="0"/>
              <w:marTop w:val="0"/>
              <w:marBottom w:val="0"/>
              <w:divBdr>
                <w:top w:val="none" w:sz="0" w:space="0" w:color="auto"/>
                <w:left w:val="none" w:sz="0" w:space="0" w:color="auto"/>
                <w:bottom w:val="none" w:sz="0" w:space="0" w:color="auto"/>
                <w:right w:val="none" w:sz="0" w:space="0" w:color="auto"/>
              </w:divBdr>
              <w:divsChild>
                <w:div w:id="7369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5660">
      <w:bodyDiv w:val="1"/>
      <w:marLeft w:val="0"/>
      <w:marRight w:val="0"/>
      <w:marTop w:val="0"/>
      <w:marBottom w:val="0"/>
      <w:divBdr>
        <w:top w:val="none" w:sz="0" w:space="0" w:color="auto"/>
        <w:left w:val="none" w:sz="0" w:space="0" w:color="auto"/>
        <w:bottom w:val="none" w:sz="0" w:space="0" w:color="auto"/>
        <w:right w:val="none" w:sz="0" w:space="0" w:color="auto"/>
      </w:divBdr>
    </w:div>
    <w:div w:id="1905792821">
      <w:bodyDiv w:val="1"/>
      <w:marLeft w:val="0"/>
      <w:marRight w:val="0"/>
      <w:marTop w:val="0"/>
      <w:marBottom w:val="0"/>
      <w:divBdr>
        <w:top w:val="none" w:sz="0" w:space="0" w:color="auto"/>
        <w:left w:val="none" w:sz="0" w:space="0" w:color="auto"/>
        <w:bottom w:val="none" w:sz="0" w:space="0" w:color="auto"/>
        <w:right w:val="none" w:sz="0" w:space="0" w:color="auto"/>
      </w:divBdr>
    </w:div>
    <w:div w:id="1911620085">
      <w:bodyDiv w:val="1"/>
      <w:marLeft w:val="0"/>
      <w:marRight w:val="0"/>
      <w:marTop w:val="0"/>
      <w:marBottom w:val="0"/>
      <w:divBdr>
        <w:top w:val="none" w:sz="0" w:space="0" w:color="auto"/>
        <w:left w:val="none" w:sz="0" w:space="0" w:color="auto"/>
        <w:bottom w:val="none" w:sz="0" w:space="0" w:color="auto"/>
        <w:right w:val="none" w:sz="0" w:space="0" w:color="auto"/>
      </w:divBdr>
    </w:div>
    <w:div w:id="1916091732">
      <w:bodyDiv w:val="1"/>
      <w:marLeft w:val="0"/>
      <w:marRight w:val="0"/>
      <w:marTop w:val="0"/>
      <w:marBottom w:val="0"/>
      <w:divBdr>
        <w:top w:val="none" w:sz="0" w:space="0" w:color="auto"/>
        <w:left w:val="none" w:sz="0" w:space="0" w:color="auto"/>
        <w:bottom w:val="none" w:sz="0" w:space="0" w:color="auto"/>
        <w:right w:val="none" w:sz="0" w:space="0" w:color="auto"/>
      </w:divBdr>
    </w:div>
    <w:div w:id="1948612988">
      <w:bodyDiv w:val="1"/>
      <w:marLeft w:val="0"/>
      <w:marRight w:val="0"/>
      <w:marTop w:val="0"/>
      <w:marBottom w:val="0"/>
      <w:divBdr>
        <w:top w:val="none" w:sz="0" w:space="0" w:color="auto"/>
        <w:left w:val="none" w:sz="0" w:space="0" w:color="auto"/>
        <w:bottom w:val="none" w:sz="0" w:space="0" w:color="auto"/>
        <w:right w:val="none" w:sz="0" w:space="0" w:color="auto"/>
      </w:divBdr>
    </w:div>
    <w:div w:id="1998264478">
      <w:bodyDiv w:val="1"/>
      <w:marLeft w:val="0"/>
      <w:marRight w:val="0"/>
      <w:marTop w:val="0"/>
      <w:marBottom w:val="0"/>
      <w:divBdr>
        <w:top w:val="none" w:sz="0" w:space="0" w:color="auto"/>
        <w:left w:val="none" w:sz="0" w:space="0" w:color="auto"/>
        <w:bottom w:val="none" w:sz="0" w:space="0" w:color="auto"/>
        <w:right w:val="none" w:sz="0" w:space="0" w:color="auto"/>
      </w:divBdr>
    </w:div>
    <w:div w:id="2041971983">
      <w:bodyDiv w:val="1"/>
      <w:marLeft w:val="0"/>
      <w:marRight w:val="0"/>
      <w:marTop w:val="0"/>
      <w:marBottom w:val="0"/>
      <w:divBdr>
        <w:top w:val="none" w:sz="0" w:space="0" w:color="auto"/>
        <w:left w:val="none" w:sz="0" w:space="0" w:color="auto"/>
        <w:bottom w:val="none" w:sz="0" w:space="0" w:color="auto"/>
        <w:right w:val="none" w:sz="0" w:space="0" w:color="auto"/>
      </w:divBdr>
    </w:div>
    <w:div w:id="20779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BF01721219"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418751588BC46B7430C26167FE793" ma:contentTypeVersion="8" ma:contentTypeDescription="Create a new document." ma:contentTypeScope="" ma:versionID="164b4668273f435f001542069ed0bfc4">
  <xsd:schema xmlns:xsd="http://www.w3.org/2001/XMLSchema" xmlns:xs="http://www.w3.org/2001/XMLSchema" xmlns:p="http://schemas.microsoft.com/office/2006/metadata/properties" xmlns:ns3="c6b7506a-081a-4219-b95e-11ebedceb135" targetNamespace="http://schemas.microsoft.com/office/2006/metadata/properties" ma:root="true" ma:fieldsID="d4b39700f6b5fc05e7bb750fc49c96b2" ns3:_="">
    <xsd:import namespace="c6b7506a-081a-4219-b95e-11ebedceb1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7506a-081a-4219-b95e-11ebedceb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C6C2-26B8-47B3-B8F6-E438FB730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7506a-081a-4219-b95e-11ebedceb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E5F12-F3C2-4058-98C3-45A98CD620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2BF28-1178-4084-98D7-10CB56DDB9E3}">
  <ds:schemaRefs>
    <ds:schemaRef ds:uri="http://schemas.microsoft.com/sharepoint/v3/contenttype/forms"/>
  </ds:schemaRefs>
</ds:datastoreItem>
</file>

<file path=customXml/itemProps4.xml><?xml version="1.0" encoding="utf-8"?>
<ds:datastoreItem xmlns:ds="http://schemas.openxmlformats.org/officeDocument/2006/customXml" ds:itemID="{B6DD08C8-6D29-4B14-A339-50599E9B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6729</Words>
  <Characters>38361</Characters>
  <Application>Microsoft Office Word</Application>
  <DocSecurity>0</DocSecurity>
  <Lines>319</Lines>
  <Paragraphs>89</Paragraphs>
  <ScaleCrop>false</ScaleCrop>
  <HeadingPairs>
    <vt:vector size="6" baseType="variant">
      <vt:variant>
        <vt:lpstr>Title</vt:lpstr>
      </vt:variant>
      <vt:variant>
        <vt:i4>1</vt:i4>
      </vt:variant>
      <vt:variant>
        <vt:lpstr>Titolo</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Chiriaco</dc:creator>
  <cp:keywords/>
  <dc:description/>
  <cp:lastModifiedBy>Helena Adams</cp:lastModifiedBy>
  <cp:revision>2</cp:revision>
  <cp:lastPrinted>2019-05-31T14:43:00Z</cp:lastPrinted>
  <dcterms:created xsi:type="dcterms:W3CDTF">2021-01-26T09:33:00Z</dcterms:created>
  <dcterms:modified xsi:type="dcterms:W3CDTF">2021-01-26T09:33:00Z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http://www.zotero.org/styles/circulation</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http://www.zotero.org/styles/annals-of-internal-medicine</vt:lpwstr>
  </property>
  <property fmtid="{D5CDD505-2E9C-101B-9397-08002B2CF9AE}" pid="7" name="Mendeley Recent Style Name 1_1">
    <vt:lpwstr>Annals of Internal Medicine</vt:lpwstr>
  </property>
  <property fmtid="{D5CDD505-2E9C-101B-9397-08002B2CF9AE}" pid="8" name="Mendeley Recent Style Id 2_1">
    <vt:lpwstr>http://www.zotero.org/styles/circulation</vt:lpwstr>
  </property>
  <property fmtid="{D5CDD505-2E9C-101B-9397-08002B2CF9AE}" pid="9" name="Mendeley Recent Style Name 2_1">
    <vt:lpwstr>Circulation</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http://www.zotero.org/styles/jacc-cardiovascular-imaging</vt:lpwstr>
  </property>
  <property fmtid="{D5CDD505-2E9C-101B-9397-08002B2CF9AE}" pid="13" name="Mendeley Recent Style Name 4_1">
    <vt:lpwstr>JACC: Cardiovascular Imaging</vt:lpwstr>
  </property>
  <property fmtid="{D5CDD505-2E9C-101B-9397-08002B2CF9AE}" pid="14" name="Mendeley Recent Style Id 5_1">
    <vt:lpwstr>http://www.zotero.org/styles/journal-of-internal-medicine</vt:lpwstr>
  </property>
  <property fmtid="{D5CDD505-2E9C-101B-9397-08002B2CF9AE}" pid="15" name="Mendeley Recent Style Name 5_1">
    <vt:lpwstr>Journal of Internal Medicine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ContentTypeId">
    <vt:lpwstr>0x010100CF0418751588BC46B7430C26167FE793</vt:lpwstr>
  </property>
  <property fmtid="{D5CDD505-2E9C-101B-9397-08002B2CF9AE}" pid="25" name="Mendeley Unique User Id_1">
    <vt:lpwstr>88f3e8be-3f8f-31ba-8b2d-b4c6f7125217</vt:lpwstr>
  </property>
</Properties>
</file>