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F165D" w14:textId="71E3F488" w:rsidR="00633A23" w:rsidRDefault="00492155" w:rsidP="00633A23">
      <w:pPr>
        <w:pStyle w:val="Title"/>
      </w:pPr>
      <w:proofErr w:type="spellStart"/>
      <w:r>
        <w:t>O</w:t>
      </w:r>
      <w:r w:rsidR="00B12140">
        <w:t>pen</w:t>
      </w:r>
      <w:r>
        <w:t>EP</w:t>
      </w:r>
      <w:proofErr w:type="spellEnd"/>
      <w:r w:rsidR="004830F7">
        <w:t xml:space="preserve">: </w:t>
      </w:r>
      <w:r w:rsidR="00351C5C">
        <w:t>A</w:t>
      </w:r>
      <w:r w:rsidR="00294575">
        <w:t xml:space="preserve"> </w:t>
      </w:r>
      <w:r w:rsidR="009F7E37">
        <w:t>cross-platform</w:t>
      </w:r>
      <w:r w:rsidR="00294575">
        <w:t xml:space="preserve"> electroanatomic </w:t>
      </w:r>
      <w:r w:rsidR="004F6138">
        <w:t xml:space="preserve">mapping </w:t>
      </w:r>
      <w:r w:rsidR="00294575">
        <w:t>data format</w:t>
      </w:r>
      <w:r w:rsidR="008604F4">
        <w:t xml:space="preserve"> </w:t>
      </w:r>
      <w:r w:rsidR="00185900">
        <w:t>and analysis platform</w:t>
      </w:r>
      <w:r w:rsidR="00AA3A2A">
        <w:t xml:space="preserve"> </w:t>
      </w:r>
      <w:r w:rsidR="00A2031C">
        <w:t>for electrophysiology research</w:t>
      </w:r>
    </w:p>
    <w:p w14:paraId="4351C373" w14:textId="2EA2FD6A" w:rsidR="005B1044" w:rsidRDefault="005B1044" w:rsidP="005B1044">
      <w:pPr>
        <w:pStyle w:val="Subtitle"/>
        <w:rPr>
          <w:vertAlign w:val="superscript"/>
        </w:rPr>
      </w:pPr>
      <w:r>
        <w:t>Steven E. Williams,</w:t>
      </w:r>
      <w:r>
        <w:rPr>
          <w:vertAlign w:val="superscript"/>
        </w:rPr>
        <w:t>1,2</w:t>
      </w:r>
      <w:r>
        <w:t xml:space="preserve"> Caroline Roney,</w:t>
      </w:r>
      <w:r>
        <w:rPr>
          <w:vertAlign w:val="superscript"/>
        </w:rPr>
        <w:t xml:space="preserve">1 </w:t>
      </w:r>
      <w:r>
        <w:t>Adam Connolly,</w:t>
      </w:r>
      <w:r w:rsidR="00BE6CE2" w:rsidRPr="00BE6CE2">
        <w:rPr>
          <w:vertAlign w:val="superscript"/>
        </w:rPr>
        <w:t>1</w:t>
      </w:r>
      <w:r w:rsidR="00BE6CE2">
        <w:rPr>
          <w:vertAlign w:val="superscript"/>
        </w:rPr>
        <w:t>,5</w:t>
      </w:r>
      <w:r>
        <w:t xml:space="preserve"> Iain Sim,</w:t>
      </w:r>
      <w:r>
        <w:rPr>
          <w:vertAlign w:val="superscript"/>
        </w:rPr>
        <w:t>1</w:t>
      </w:r>
      <w:r>
        <w:t xml:space="preserve"> John Whitaker,</w:t>
      </w:r>
      <w:r>
        <w:rPr>
          <w:vertAlign w:val="superscript"/>
        </w:rPr>
        <w:t>1</w:t>
      </w:r>
      <w:r>
        <w:t xml:space="preserve"> Daniel O’Hare,</w:t>
      </w:r>
      <w:r>
        <w:rPr>
          <w:vertAlign w:val="superscript"/>
        </w:rPr>
        <w:t>1</w:t>
      </w:r>
      <w:r>
        <w:t xml:space="preserve"> </w:t>
      </w:r>
      <w:proofErr w:type="spellStart"/>
      <w:r>
        <w:t>Irum</w:t>
      </w:r>
      <w:proofErr w:type="spellEnd"/>
      <w:r>
        <w:t xml:space="preserve"> Kotadia,</w:t>
      </w:r>
      <w:r>
        <w:rPr>
          <w:vertAlign w:val="superscript"/>
        </w:rPr>
        <w:t>1</w:t>
      </w:r>
      <w:r>
        <w:t xml:space="preserve"> Louisa O’Neill,</w:t>
      </w:r>
      <w:r>
        <w:rPr>
          <w:vertAlign w:val="superscript"/>
        </w:rPr>
        <w:t>1</w:t>
      </w:r>
      <w:r>
        <w:t xml:space="preserve"> Cesare Corrado,</w:t>
      </w:r>
      <w:r>
        <w:rPr>
          <w:vertAlign w:val="superscript"/>
        </w:rPr>
        <w:t>1</w:t>
      </w:r>
      <w:r>
        <w:t xml:space="preserve"> Martin Bishop,</w:t>
      </w:r>
      <w:r>
        <w:rPr>
          <w:vertAlign w:val="superscript"/>
        </w:rPr>
        <w:t>1</w:t>
      </w:r>
      <w:r>
        <w:t xml:space="preserve"> Steven Niederer,</w:t>
      </w:r>
      <w:r>
        <w:rPr>
          <w:vertAlign w:val="superscript"/>
        </w:rPr>
        <w:t>1</w:t>
      </w:r>
      <w:r>
        <w:t xml:space="preserve"> Matt Wright,</w:t>
      </w:r>
      <w:r>
        <w:rPr>
          <w:vertAlign w:val="superscript"/>
        </w:rPr>
        <w:t>1,3</w:t>
      </w:r>
      <w:r>
        <w:t xml:space="preserve"> Mark O’Neill</w:t>
      </w:r>
      <w:r>
        <w:rPr>
          <w:vertAlign w:val="superscript"/>
        </w:rPr>
        <w:t>1,3</w:t>
      </w:r>
      <w:r>
        <w:t xml:space="preserve"> and Nick Linton</w:t>
      </w:r>
      <w:r>
        <w:rPr>
          <w:vertAlign w:val="superscript"/>
        </w:rPr>
        <w:t>4</w:t>
      </w:r>
    </w:p>
    <w:p w14:paraId="5C7F7A7E" w14:textId="43043F91" w:rsidR="008C19D3" w:rsidRDefault="008C19D3" w:rsidP="008C19D3"/>
    <w:p w14:paraId="15077113" w14:textId="733CA807" w:rsidR="008C19D3" w:rsidRPr="008C19D3" w:rsidRDefault="008C19D3" w:rsidP="008C19D3">
      <w:pPr>
        <w:rPr>
          <w:b/>
          <w:bCs/>
        </w:rPr>
      </w:pPr>
      <w:r w:rsidRPr="008C19D3">
        <w:rPr>
          <w:b/>
          <w:bCs/>
        </w:rPr>
        <w:t>Author affiliations:</w:t>
      </w:r>
    </w:p>
    <w:p w14:paraId="0692F705" w14:textId="77777777" w:rsidR="005B1044" w:rsidRDefault="005B1044" w:rsidP="005B1044">
      <w:r>
        <w:t xml:space="preserve">[1] King’s College London </w:t>
      </w:r>
    </w:p>
    <w:p w14:paraId="4F1B358F" w14:textId="77777777" w:rsidR="005B1044" w:rsidRDefault="005B1044" w:rsidP="005B1044">
      <w:r>
        <w:t>[2] The University of Edinburgh</w:t>
      </w:r>
    </w:p>
    <w:p w14:paraId="61E2985F" w14:textId="77777777" w:rsidR="005B1044" w:rsidRDefault="005B1044" w:rsidP="005B1044">
      <w:r>
        <w:t>[3] Guy’s and St Thomas’ NHS Foundation Trust</w:t>
      </w:r>
    </w:p>
    <w:p w14:paraId="4CFC6428" w14:textId="77777777" w:rsidR="005B1044" w:rsidRDefault="005B1044" w:rsidP="005B1044">
      <w:r>
        <w:t>[4] Imperial College London</w:t>
      </w:r>
    </w:p>
    <w:p w14:paraId="68B731E1" w14:textId="78FBA9EB" w:rsidR="00733BB3" w:rsidRDefault="00BE6CE2" w:rsidP="00B85A82">
      <w:r>
        <w:t xml:space="preserve">[5] </w:t>
      </w:r>
      <w:proofErr w:type="spellStart"/>
      <w:r>
        <w:t>Invicro</w:t>
      </w:r>
      <w:proofErr w:type="spellEnd"/>
      <w:r>
        <w:t>, Ltd</w:t>
      </w:r>
    </w:p>
    <w:p w14:paraId="69B291A2" w14:textId="77777777" w:rsidR="00BE6CE2" w:rsidRDefault="00BE6CE2" w:rsidP="00B85A82"/>
    <w:p w14:paraId="0BDA30E0" w14:textId="77777777" w:rsidR="00A76F51" w:rsidRPr="00600945" w:rsidRDefault="00733BB3" w:rsidP="00B85A82">
      <w:pPr>
        <w:rPr>
          <w:b/>
          <w:bCs/>
        </w:rPr>
      </w:pPr>
      <w:r w:rsidRPr="00600945">
        <w:rPr>
          <w:b/>
          <w:bCs/>
        </w:rPr>
        <w:t xml:space="preserve">Corresponding author: </w:t>
      </w:r>
    </w:p>
    <w:p w14:paraId="34F993F3" w14:textId="136103C4" w:rsidR="00733BB3" w:rsidRDefault="00733BB3" w:rsidP="00B85A82">
      <w:r>
        <w:t>Dr Steven E Williams, Centre for Cardiovascular Science, The University of Edinburgh, University/BHF Centre of Research Excellence, Chancellor’s Building, 49 Little France Crescent, Edinburgh.</w:t>
      </w:r>
    </w:p>
    <w:p w14:paraId="2BA01E22" w14:textId="77777777" w:rsidR="00A76F51" w:rsidRDefault="00A76F51" w:rsidP="00B85A82"/>
    <w:p w14:paraId="74BE9DAF" w14:textId="3281C6B9" w:rsidR="00365F46" w:rsidRPr="00600945" w:rsidRDefault="00733BB3" w:rsidP="00833FBF">
      <w:pPr>
        <w:rPr>
          <w:rFonts w:eastAsiaTheme="majorEastAsia" w:cstheme="majorBidi"/>
          <w:b/>
          <w:bCs/>
          <w:color w:val="000000" w:themeColor="text1"/>
          <w:sz w:val="32"/>
          <w:szCs w:val="32"/>
        </w:rPr>
      </w:pPr>
      <w:r w:rsidRPr="00600945">
        <w:rPr>
          <w:b/>
          <w:bCs/>
        </w:rPr>
        <w:t>Word Count:</w:t>
      </w:r>
      <w:r w:rsidR="00761A2D">
        <w:rPr>
          <w:b/>
          <w:bCs/>
        </w:rPr>
        <w:t xml:space="preserve"> </w:t>
      </w:r>
      <w:r w:rsidR="00761A2D">
        <w:t>10241</w:t>
      </w:r>
      <w:r w:rsidR="00365F46" w:rsidRPr="00600945">
        <w:rPr>
          <w:b/>
          <w:bCs/>
        </w:rPr>
        <w:br w:type="page"/>
      </w:r>
    </w:p>
    <w:p w14:paraId="53DB941D" w14:textId="320E96DE" w:rsidR="00C82A80" w:rsidRDefault="00C82A80" w:rsidP="00C82A80">
      <w:pPr>
        <w:pStyle w:val="Heading1"/>
      </w:pPr>
      <w:r>
        <w:lastRenderedPageBreak/>
        <w:t>Abstract</w:t>
      </w:r>
    </w:p>
    <w:p w14:paraId="29CDF6FA" w14:textId="77777777" w:rsidR="00C82A80" w:rsidRDefault="00C82A80" w:rsidP="00C82A80">
      <w:pPr>
        <w:pStyle w:val="Heading2"/>
      </w:pPr>
      <w:r>
        <w:t>Background</w:t>
      </w:r>
    </w:p>
    <w:p w14:paraId="5D889183" w14:textId="15FEC846" w:rsidR="00C82A80" w:rsidRDefault="00C82A80" w:rsidP="00C82A80">
      <w:r>
        <w:t xml:space="preserve">Electroanatomic mapping systems are used to support electrophysiology research. Data exported from these systems is stored in proprietary formats which are challenging to access and </w:t>
      </w:r>
      <w:r w:rsidR="00EC08D3">
        <w:t>storage-space inefficient</w:t>
      </w:r>
      <w:r>
        <w:t xml:space="preserve">. </w:t>
      </w:r>
      <w:r w:rsidR="006616BC">
        <w:t>No</w:t>
      </w:r>
      <w:r>
        <w:t xml:space="preserve"> previous work has made available an </w:t>
      </w:r>
      <w:r w:rsidR="00A84B05">
        <w:t>open-source</w:t>
      </w:r>
      <w:r>
        <w:t xml:space="preserve"> platform for parsing and interrogating this data in a standardised format. We therefore sought to develop a standardised, </w:t>
      </w:r>
      <w:r w:rsidR="00A84B05">
        <w:t>open-source</w:t>
      </w:r>
      <w:r>
        <w:t xml:space="preserve"> data structure and associated computer code to store electroanatomic mapping data in a space-efficient and </w:t>
      </w:r>
      <w:r w:rsidR="001540EA">
        <w:t>easily accessible</w:t>
      </w:r>
      <w:r>
        <w:t xml:space="preserve"> manner.</w:t>
      </w:r>
    </w:p>
    <w:p w14:paraId="5B432D5F" w14:textId="77777777" w:rsidR="00C82A80" w:rsidRDefault="00C82A80" w:rsidP="00C82A80">
      <w:pPr>
        <w:pStyle w:val="Heading2"/>
      </w:pPr>
      <w:r>
        <w:t>Methods</w:t>
      </w:r>
    </w:p>
    <w:p w14:paraId="3B308D19" w14:textId="2F48750F" w:rsidR="00C82A80" w:rsidRDefault="006616BC" w:rsidP="00C82A80">
      <w:r>
        <w:t>A</w:t>
      </w:r>
      <w:r w:rsidR="00C82A80">
        <w:t xml:space="preserve"> data structure was defined </w:t>
      </w:r>
      <w:r>
        <w:t>capturing</w:t>
      </w:r>
      <w:r w:rsidR="00C82A80">
        <w:t xml:space="preserve"> the</w:t>
      </w:r>
      <w:r w:rsidR="00EC08D3">
        <w:t xml:space="preserve"> available</w:t>
      </w:r>
      <w:r w:rsidR="00C82A80">
        <w:t xml:space="preserve"> anatomic and electrical data. </w:t>
      </w:r>
      <w:proofErr w:type="spellStart"/>
      <w:r w:rsidR="00C82A80">
        <w:t>OpenEP</w:t>
      </w:r>
      <w:proofErr w:type="spellEnd"/>
      <w:r w:rsidR="00C82A80">
        <w:t>, implemented in MATLAB</w:t>
      </w:r>
      <w:r>
        <w:t>, was developed</w:t>
      </w:r>
      <w:r w:rsidR="00C82A80">
        <w:t xml:space="preserve"> to parse and interrogate this data.</w:t>
      </w:r>
      <w:r w:rsidR="003160E4">
        <w:t xml:space="preserve"> </w:t>
      </w:r>
      <w:r>
        <w:t>Functions</w:t>
      </w:r>
      <w:r w:rsidR="003160E4">
        <w:t xml:space="preserve"> are </w:t>
      </w:r>
      <w:r w:rsidR="006129A3">
        <w:t>provided</w:t>
      </w:r>
      <w:r w:rsidR="003160E4">
        <w:t xml:space="preserve"> for analysis of chamber geometry, activation mapping, conduction velocity mapping, voltage mapping</w:t>
      </w:r>
      <w:r w:rsidR="00907F02">
        <w:t xml:space="preserve">, ablation sites, electrograms </w:t>
      </w:r>
      <w:r w:rsidR="006129A3">
        <w:t xml:space="preserve">as well as visualisation and input/output functions. </w:t>
      </w:r>
      <w:r w:rsidR="00C82A80">
        <w:t xml:space="preserve">Performance benchmarking for data import and storage was </w:t>
      </w:r>
      <w:r>
        <w:t>performed</w:t>
      </w:r>
      <w:r w:rsidR="00C82A80">
        <w:t xml:space="preserve">. Data </w:t>
      </w:r>
      <w:r w:rsidR="00CC5630">
        <w:t xml:space="preserve">import and </w:t>
      </w:r>
      <w:r w:rsidR="00EC51A7">
        <w:t xml:space="preserve">analysis </w:t>
      </w:r>
      <w:r w:rsidR="00C82A80">
        <w:t xml:space="preserve">validation was performed for chamber geometry, activation mapping, voltage mapping and ablation representation. Finally, systematic analysis of electrophysiology literature was performed to determine the suitability of </w:t>
      </w:r>
      <w:proofErr w:type="spellStart"/>
      <w:r w:rsidR="00C82A80">
        <w:t>OpenEP</w:t>
      </w:r>
      <w:proofErr w:type="spellEnd"/>
      <w:r w:rsidR="00C82A80">
        <w:t xml:space="preserve"> for contemporary electrophysiology research.</w:t>
      </w:r>
    </w:p>
    <w:p w14:paraId="50A1CE06" w14:textId="77777777" w:rsidR="00C82A80" w:rsidRDefault="00C82A80" w:rsidP="00C82A80">
      <w:pPr>
        <w:pStyle w:val="Heading2"/>
      </w:pPr>
      <w:r>
        <w:t>Results</w:t>
      </w:r>
    </w:p>
    <w:p w14:paraId="24CB585B" w14:textId="1B13C53B" w:rsidR="00D155B4" w:rsidRDefault="00C82A80" w:rsidP="00C82A80">
      <w:r>
        <w:t xml:space="preserve">The average time to parse </w:t>
      </w:r>
      <w:r w:rsidR="006616BC">
        <w:t>clinical</w:t>
      </w:r>
      <w:r>
        <w:t xml:space="preserve"> datasets was 400±162s </w:t>
      </w:r>
      <w:r w:rsidR="00EC51A7">
        <w:t>per patient</w:t>
      </w:r>
      <w:r>
        <w:t xml:space="preserve">. </w:t>
      </w:r>
      <w:proofErr w:type="spellStart"/>
      <w:r>
        <w:t>OpenEP</w:t>
      </w:r>
      <w:proofErr w:type="spellEnd"/>
      <w:r>
        <w:t xml:space="preserve"> data was two orders of magnitude smaller than compressed</w:t>
      </w:r>
      <w:r w:rsidR="006616BC">
        <w:t xml:space="preserve"> </w:t>
      </w:r>
      <w:r>
        <w:t>clinical data (</w:t>
      </w:r>
      <w:proofErr w:type="spellStart"/>
      <w:r>
        <w:t>OpenEP</w:t>
      </w:r>
      <w:proofErr w:type="spellEnd"/>
      <w:r>
        <w:t xml:space="preserve">: </w:t>
      </w:r>
      <w:r w:rsidR="00CC3D64">
        <w:t>20.5±8.7 Mb</w:t>
      </w:r>
      <w:r>
        <w:t xml:space="preserve">, vs clinical: </w:t>
      </w:r>
      <w:r w:rsidR="00CC3D64">
        <w:t>1.46±0.77 Gb</w:t>
      </w:r>
      <w:r>
        <w:t xml:space="preserve">). </w:t>
      </w:r>
      <w:proofErr w:type="spellStart"/>
      <w:r>
        <w:t>OpenEP</w:t>
      </w:r>
      <w:proofErr w:type="spellEnd"/>
      <w:r>
        <w:t xml:space="preserve">-derived geometry metrics were correlated with the same </w:t>
      </w:r>
      <w:r w:rsidR="006616BC">
        <w:t>clinical</w:t>
      </w:r>
      <w:r w:rsidR="2F9D2AB3">
        <w:t xml:space="preserve"> </w:t>
      </w:r>
      <w:r>
        <w:t xml:space="preserve">metrics (Area: </w:t>
      </w:r>
      <w:r w:rsidR="00A81314">
        <w:t>R</w:t>
      </w:r>
      <w:r w:rsidR="00A81314" w:rsidRPr="7DB4C007">
        <w:rPr>
          <w:vertAlign w:val="superscript"/>
        </w:rPr>
        <w:t>2</w:t>
      </w:r>
      <w:r w:rsidR="00A81314">
        <w:t>=0.7726, P&lt;0.0001</w:t>
      </w:r>
      <w:r>
        <w:t xml:space="preserve">; Volume: </w:t>
      </w:r>
      <w:r w:rsidR="00A81314">
        <w:t>R</w:t>
      </w:r>
      <w:r w:rsidR="00A81314" w:rsidRPr="7DB4C007">
        <w:rPr>
          <w:vertAlign w:val="superscript"/>
        </w:rPr>
        <w:t>2</w:t>
      </w:r>
      <w:r w:rsidR="00A81314">
        <w:t>=0.5179, P&lt;0.0001</w:t>
      </w:r>
      <w:r>
        <w:t>)</w:t>
      </w:r>
      <w:r w:rsidR="006616BC">
        <w:t>. I</w:t>
      </w:r>
      <w:r>
        <w:t xml:space="preserve">nvestigating the cause of systematic bias in these </w:t>
      </w:r>
      <w:r w:rsidR="006616BC">
        <w:t>correlations</w:t>
      </w:r>
      <w:r>
        <w:t xml:space="preserve"> revealed </w:t>
      </w:r>
      <w:proofErr w:type="spellStart"/>
      <w:r>
        <w:t>OpenEP</w:t>
      </w:r>
      <w:proofErr w:type="spellEnd"/>
      <w:r>
        <w:t xml:space="preserve"> to outperform the clinical platform in recovering </w:t>
      </w:r>
      <w:r w:rsidR="006616BC">
        <w:t>accurate</w:t>
      </w:r>
      <w:r>
        <w:t xml:space="preserve"> values. Both activation and voltage mapping data created with </w:t>
      </w:r>
      <w:proofErr w:type="spellStart"/>
      <w:r>
        <w:t>OpenEP</w:t>
      </w:r>
      <w:proofErr w:type="spellEnd"/>
      <w:r>
        <w:t xml:space="preserve"> were correlated with </w:t>
      </w:r>
      <w:r w:rsidR="006616BC">
        <w:t>clinical values</w:t>
      </w:r>
      <w:r>
        <w:t xml:space="preserve"> (mean voltage </w:t>
      </w:r>
      <w:r w:rsidR="00A81314">
        <w:t>R</w:t>
      </w:r>
      <w:r w:rsidR="00A81314" w:rsidRPr="7DB4C007">
        <w:rPr>
          <w:vertAlign w:val="superscript"/>
        </w:rPr>
        <w:t>2</w:t>
      </w:r>
      <w:r w:rsidR="00A81314">
        <w:t>= 0.8708, P&lt;0.001</w:t>
      </w:r>
      <w:r>
        <w:t xml:space="preserve">; local activation time </w:t>
      </w:r>
      <w:r w:rsidR="00A81314">
        <w:t>R</w:t>
      </w:r>
      <w:r w:rsidR="00A81314" w:rsidRPr="7DB4C007">
        <w:rPr>
          <w:vertAlign w:val="superscript"/>
        </w:rPr>
        <w:t>2</w:t>
      </w:r>
      <w:r w:rsidR="00A81314">
        <w:t>= 0.8892, P&lt;0.0001</w:t>
      </w:r>
      <w:r>
        <w:t>).</w:t>
      </w:r>
      <w:r w:rsidR="000A4312">
        <w:t xml:space="preserve"> </w:t>
      </w:r>
      <w:proofErr w:type="spellStart"/>
      <w:r w:rsidR="0040130C">
        <w:t>OpenEP</w:t>
      </w:r>
      <w:proofErr w:type="spellEnd"/>
      <w:r w:rsidR="0040130C">
        <w:t xml:space="preserve"> provides the </w:t>
      </w:r>
      <w:r w:rsidR="006616BC">
        <w:t>processing</w:t>
      </w:r>
      <w:r w:rsidR="0040130C">
        <w:t xml:space="preserve"> necessary for </w:t>
      </w:r>
      <w:r w:rsidR="000A4312">
        <w:t xml:space="preserve">87 of 92 </w:t>
      </w:r>
      <w:r w:rsidR="00D155B4">
        <w:t xml:space="preserve">qualitatively assessed </w:t>
      </w:r>
      <w:r w:rsidR="000A4312">
        <w:t>analysis techniques</w:t>
      </w:r>
      <w:r w:rsidR="00D155B4">
        <w:t xml:space="preserve"> (95%) and 119 of 136 quantitatively assessed </w:t>
      </w:r>
      <w:r w:rsidR="000A4312">
        <w:t>analysis techniques</w:t>
      </w:r>
      <w:r w:rsidR="00D155B4">
        <w:t xml:space="preserve"> (88%)</w:t>
      </w:r>
      <w:r w:rsidR="000A4312">
        <w:t xml:space="preserve"> in a contemporary cohort of mapping studies.</w:t>
      </w:r>
    </w:p>
    <w:p w14:paraId="71A418DA" w14:textId="77777777" w:rsidR="00C82A80" w:rsidRDefault="00C82A80" w:rsidP="00C82A80">
      <w:pPr>
        <w:pStyle w:val="Heading2"/>
      </w:pPr>
      <w:r>
        <w:t>Conclusions</w:t>
      </w:r>
    </w:p>
    <w:p w14:paraId="3F5A6AAB" w14:textId="06D670B6" w:rsidR="00C82A80" w:rsidRDefault="00C82A80" w:rsidP="00C82A80">
      <w:r>
        <w:t xml:space="preserve">We present the </w:t>
      </w:r>
      <w:proofErr w:type="spellStart"/>
      <w:r>
        <w:t>OpenEP</w:t>
      </w:r>
      <w:proofErr w:type="spellEnd"/>
      <w:r>
        <w:t xml:space="preserve"> </w:t>
      </w:r>
      <w:r w:rsidR="006616BC">
        <w:t xml:space="preserve">framework </w:t>
      </w:r>
      <w:r>
        <w:t xml:space="preserve">for </w:t>
      </w:r>
      <w:r w:rsidR="006616BC">
        <w:t>evaluating electroanatomic mapping</w:t>
      </w:r>
      <w:r>
        <w:t xml:space="preserve"> data. </w:t>
      </w:r>
      <w:proofErr w:type="spellStart"/>
      <w:r>
        <w:t>OpenEP</w:t>
      </w:r>
      <w:proofErr w:type="spellEnd"/>
      <w:r>
        <w:t xml:space="preserve"> provides the core functionality necessary to conduct electroanatomic mapping research</w:t>
      </w:r>
      <w:r w:rsidR="006616BC">
        <w:t xml:space="preserve">. </w:t>
      </w:r>
      <w:r>
        <w:t xml:space="preserve">We demonstrate that </w:t>
      </w:r>
      <w:proofErr w:type="spellStart"/>
      <w:r>
        <w:t>OpenEP</w:t>
      </w:r>
      <w:proofErr w:type="spellEnd"/>
      <w:r>
        <w:t xml:space="preserve"> is both space-efficient and accurately representative of the original data. We show that </w:t>
      </w:r>
      <w:proofErr w:type="spellStart"/>
      <w:r>
        <w:t>OpenEP</w:t>
      </w:r>
      <w:proofErr w:type="spellEnd"/>
      <w:r>
        <w:t xml:space="preserve"> captures the majority of data required for contemporary electroanatomic mapping-based electrophysiology research and propose a roadmap for future development.</w:t>
      </w:r>
    </w:p>
    <w:p w14:paraId="17CB989E" w14:textId="43D12520" w:rsidR="008C408E" w:rsidRDefault="008C408E" w:rsidP="008C408E">
      <w:pPr>
        <w:pStyle w:val="Heading1"/>
      </w:pPr>
      <w:r>
        <w:lastRenderedPageBreak/>
        <w:t>Keywords</w:t>
      </w:r>
    </w:p>
    <w:p w14:paraId="498A07B4" w14:textId="1011C41E" w:rsidR="008C408E" w:rsidRDefault="008C408E" w:rsidP="008C408E">
      <w:r>
        <w:t>Electroanatomic mapp</w:t>
      </w:r>
      <w:r w:rsidR="00C90A67">
        <w:t>ing</w:t>
      </w:r>
    </w:p>
    <w:p w14:paraId="149D792F" w14:textId="2D07FAD0" w:rsidR="00C90A67" w:rsidRDefault="00C90A67" w:rsidP="008C408E">
      <w:r>
        <w:t>Atrial fibrillation</w:t>
      </w:r>
    </w:p>
    <w:p w14:paraId="262DB982" w14:textId="176078A8" w:rsidR="00C90A67" w:rsidRDefault="00C90A67" w:rsidP="008C408E">
      <w:r>
        <w:t>Data storage</w:t>
      </w:r>
    </w:p>
    <w:p w14:paraId="6B019008" w14:textId="1C620971" w:rsidR="00C90A67" w:rsidRDefault="00C90A67" w:rsidP="008C408E">
      <w:r>
        <w:t>Conduction velocity</w:t>
      </w:r>
    </w:p>
    <w:p w14:paraId="7810E3C7" w14:textId="1769A86F" w:rsidR="00C90A67" w:rsidRDefault="00C90A67" w:rsidP="008C408E">
      <w:r>
        <w:t>Ablation data</w:t>
      </w:r>
    </w:p>
    <w:p w14:paraId="4B6F7028" w14:textId="2AA4E7B0" w:rsidR="00C90A67" w:rsidRDefault="00C90A67" w:rsidP="008C408E">
      <w:r>
        <w:t>Contact Force</w:t>
      </w:r>
    </w:p>
    <w:p w14:paraId="7E4956ED" w14:textId="2CC98C1E" w:rsidR="00D53E29" w:rsidRDefault="00C90A67" w:rsidP="002F76FA">
      <w:r>
        <w:t>Electrophysiology data analysis</w:t>
      </w:r>
      <w:r w:rsidR="00D53E29">
        <w:br w:type="page"/>
      </w:r>
    </w:p>
    <w:p w14:paraId="3732D46A" w14:textId="65EADDBC" w:rsidR="00CA59E9" w:rsidRDefault="00CA59E9" w:rsidP="00FC3F56">
      <w:pPr>
        <w:pStyle w:val="Heading1"/>
      </w:pPr>
      <w:r>
        <w:lastRenderedPageBreak/>
        <w:t>Introduction</w:t>
      </w:r>
    </w:p>
    <w:p w14:paraId="38F4ED14" w14:textId="1B53D196" w:rsidR="00ED011A" w:rsidRDefault="004F6138" w:rsidP="004F6138">
      <w:r>
        <w:t xml:space="preserve">Electroanatomic mapping systems are used extensively to guide catheter-based </w:t>
      </w:r>
      <w:r w:rsidR="004C73E6">
        <w:t xml:space="preserve">ablation </w:t>
      </w:r>
      <w:r w:rsidR="0031543E">
        <w:t>procedures</w:t>
      </w:r>
      <w:r w:rsidR="00A964C5">
        <w:t xml:space="preserve"> </w:t>
      </w:r>
      <w:r w:rsidR="00405CFC">
        <w:fldChar w:fldCharType="begin" w:fldLock="1"/>
      </w:r>
      <w:r w:rsidR="00A964C5">
        <w:instrText>ADDIN CSL_CITATION {"citationItems":[{"id":"ITEM-1","itemData":{"DOI":"10.1002/joa3.12308","ISSN":"18832148","author":[{"dropping-particle":"","family":"Kim","given":"Young Hoon","non-dropping-particle":"","parse-names":false,"suffix":""},{"dropping-particle":"","family":"Chen","given":"Shih Ann","non-dropping-particle":"","parse-names":false,"suffix":""},{"dropping-particle":"","family":"Ernst","given":"Sabine","non-dropping-particle":"","parse-names":false,"suffix":""},{"dropping-particle":"","family":"Guzman","given":"Carlos E.","non-dropping-particle":"","parse-names":false,"suffix":""},{"dropping-particle":"","family":"Han","given":"Seongwook","non-dropping-particle":"","parse-names":false,"suffix":""},{"dropping-particle":"","family":"Kalarus","given":"Zbigniew","non-dropping-particle":"","parse-names":false,"suffix":""},{"dropping-particle":"","family":"Labadet","given":"Carlos","non-dropping-particle":"","parse-names":false,"suffix":""},{"dropping-particle":"","family":"Lin","given":"Yenn Jian","non-dropping-particle":"","parse-names":false,"suffix":""},{"dropping-particle":"","family":"Lo","given":"Li Wei","non-dropping-particle":"","parse-names":false,"suffix":""},{"dropping-particle":"","family":"Nogami","given":"Akihiko","non-dropping-particle":"","parse-names":false,"suffix":""},{"dropping-particle":"","family":"Saad","given":"Eduardo B.","non-dropping-particle":"","parse-names":false,"suffix":""},{"dropping-particle":"","family":"Sapp","given":"John","non-dropping-particle":"","parse-names":false,"suffix":""},{"dropping-particle":"","family":"Sticherling","given":"Christian","non-dropping-particle":"","parse-names":false,"suffix":""},{"dropping-particle":"","family":"Tilz","given":"Roland","non-dropping-particle":"","parse-names":false,"suffix":""},{"dropping-particle":"","family":"Tung","given":"Roderick","non-dropping-particle":"","parse-names":false,"suffix":""},{"dropping-particle":"","family":"Kim","given":"Yun Gi","non-dropping-particle":"","parse-names":false,"suffix":""},{"dropping-particle":"","family":"Stiles","given":"Martin K.","non-dropping-particle":"","parse-names":false,"suffix":""}],"container-title":"Journal of Arrhythmia","id":"ITEM-1","issue":"2","issued":{"date-parts":[["2020"]]},"page":"215-270","title":"2019 APHRS expert consensus statement on three-dimensional mapping systems for tachycardia developed in collaboration with HRS, EHRA, and LAHRS","type":"article-journal","volume":"36"},"uris":["http://www.mendeley.com/documents/?uuid=2d55481a-bc58-47de-a0ef-b5addb8ba438"]}],"mendeley":{"formattedCitation":"(Kim et al., 2020)","plainTextFormattedCitation":"(Kim et al., 2020)","previouslyFormattedCitation":"(Kim et al., 2020)"},"properties":{"noteIndex":0},"schema":"https://github.com/citation-style-language/schema/raw/master/csl-citation.json"}</w:instrText>
      </w:r>
      <w:r w:rsidR="00405CFC">
        <w:fldChar w:fldCharType="separate"/>
      </w:r>
      <w:r w:rsidR="00A964C5" w:rsidRPr="00A964C5">
        <w:rPr>
          <w:noProof/>
        </w:rPr>
        <w:t>(Kim et al., 2020)</w:t>
      </w:r>
      <w:r w:rsidR="00405CFC">
        <w:fldChar w:fldCharType="end"/>
      </w:r>
      <w:r w:rsidR="00A964C5">
        <w:t>.</w:t>
      </w:r>
      <w:r w:rsidR="00D72CE6">
        <w:t xml:space="preserve"> </w:t>
      </w:r>
      <w:r w:rsidR="00B73C90">
        <w:t>Electroanatomic</w:t>
      </w:r>
      <w:r w:rsidR="0031543E">
        <w:t xml:space="preserve"> mapping system</w:t>
      </w:r>
      <w:r w:rsidR="00491ADA">
        <w:t xml:space="preserve"> </w:t>
      </w:r>
      <w:r w:rsidR="0031543E">
        <w:t xml:space="preserve">guided procedures </w:t>
      </w:r>
      <w:r w:rsidR="00B73C90">
        <w:t>are extremely successful under certain conditions but</w:t>
      </w:r>
      <w:r w:rsidR="008952FA">
        <w:t xml:space="preserve"> there is significant variability </w:t>
      </w:r>
      <w:r w:rsidR="00867B2E">
        <w:t>in outcomes</w:t>
      </w:r>
      <w:r w:rsidR="00B73C90">
        <w:t xml:space="preserve"> reported</w:t>
      </w:r>
      <w:r w:rsidR="00A964C5">
        <w:t xml:space="preserve"> </w:t>
      </w:r>
      <w:r w:rsidR="00E322A5">
        <w:fldChar w:fldCharType="begin" w:fldLock="1"/>
      </w:r>
      <w:r w:rsidR="00A964C5">
        <w:instrText>ADDIN CSL_CITATION {"citationItems":[{"id":"ITEM-1","itemData":{"DOI":"10.1016/j.jacep.2017.06.023","ISSN":"2405500X","PMID":"29600792","author":[{"dropping-particle":"","family":"Taghji","given":"Philippe","non-dropping-particle":"","parse-names":false,"suffix":""},{"dropping-particle":"","family":"Haddad","given":"Milad","non-dropping-particle":"El","parse-names":false,"suffix":""},{"dropping-particle":"","family":"Phlips","given":"Thomas","non-dropping-particle":"","parse-names":false,"suffix":""},{"dropping-particle":"","family":"Wolf","given":"Michael","non-dropping-particle":"","parse-names":false,"suffix":""},{"dropping-particle":"","family":"Knecht","given":"Sebastien","non-dropping-particle":"","parse-names":false,"suffix":""},{"dropping-particle":"","family":"Vandekerckhove","given":"Yves","non-dropping-particle":"","parse-names":false,"suffix":""},{"dropping-particle":"","family":"Tavernier","given":"Rene","non-dropping-particle":"","parse-names":false,"suffix":""},{"dropping-particle":"","family":"Nakagawa","given":"Hiroshi","non-dropping-particle":"","parse-names":false,"suffix":""},{"dropping-particle":"","family":"Duytschaever","given":"Mattias","non-dropping-particle":"","parse-names":false,"suffix":""}],"container-title":"JACC: Clinical Electrophysiology","id":"ITEM-1","issue":"1","issued":{"date-parts":[["2018"]]},"page":"99-108","title":"Evaluation of a Strategy Aiming to Enclose the Pulmonary Veins With Contiguous and Optimized Radiofrequency Lesions in Paroxysmal Atrial Fibrillation","type":"article-journal","volume":"4"},"uris":["http://www.mendeley.com/documents/?uuid=d60b31b3-877c-4d00-99a4-888f5b438d21"]},{"id":"ITEM-2","itemData":{"DOI":"10.1161/CIRCEP.108.774885","ISSN":"19413084","PMID":"19808418","abstract":"BACKGROUND: Data regarding the long-term efficacy of atrial fibrillation (AF) ablation are still lacking. METHODS AND RESULTS: Two hundred four consecutive patients symptomatic for paroxysmal or persistent/permanent AF were randomly assigned to 2 different ablation schemes: pulmonary vein isolation (PVI) and PVI plus left linear lesions (LL). Primary end point was to assess the maintenance of sinus rhythm (SR) after procedures 1 and 2 in the absence of antiarrhythmic drugs in a long-term follow-up of at least 3 years. Paroxysmal AF- With a single procedure at 12-month follow-up, 46% of patients treated with PVI maintained SR, whereas at 3-year follow-up, 29% were in SR; using the \"PVI plus LL\" at the 12-month follow-up, 57% of patients were in SR, whereas at the 3-year follow-up, 53% remained in SR. After a second procedure, the long-term overall success rate without antiarrhythmic drugs was 62% with PVI and 85% with PVI plus LL. Persistent/Permanent AF- With a single procedure at the 12-month follow-up, 27% of patients treated with PVI were in SR, whereas at the 3-year follow-up, 19% maintained SR; using the PVI plus LL with a single procedure at the 12-month follow-up 45% of patients were in SR, whereas at the 3-year follow-up, 41% remained in SR. After a second procedure, the long-term overall success rate without antiarrhythmic drugs was 39% with PVI and 75% with PVI plus LL. CONCLUSIONS: A long-term follow-up of AF ablation shows that short-term results cannot be considered permanent because AF recurrences are still present after the first year especially in patients who have had \"PVI\" strategy. PVI isolation plus LL is superior to the PVI strategy in maintaining SR without antiarrhythmic drugs after procedures 1 and 2 both in paroxysmal and persistent AF.","author":[{"dropping-particle":"","family":"Gaita","given":"Fiorenzo","non-dropping-particle":"","parse-names":false,"suffix":""},{"dropping-particle":"","family":"Caponi","given":"Domenico","non-dropping-particle":"","parse-names":false,"suffix":""},{"dropping-particle":"","family":"Scaglione","given":"Marco","non-dropping-particle":"","parse-names":false,"suffix":""},{"dropping-particle":"","family":"Montefusco","given":"Antonio","non-dropping-particle":"","parse-names":false,"suffix":""},{"dropping-particle":"","family":"Corleto","given":"Antonella","non-dropping-particle":"","parse-names":false,"suffix":""},{"dropping-particle":"","family":"Monte","given":"Fernando","non-dropping-particle":"Di","parse-names":false,"suffix":""},{"dropping-particle":"","family":"Coin","given":"Daniele","non-dropping-particle":"","parse-names":false,"suffix":""},{"dropping-particle":"","family":"Donna","given":"Paolo","non-dropping-particle":"Di","parse-names":false,"suffix":""},{"dropping-particle":"","family":"Giustetto","given":"Carla","non-dropping-particle":"","parse-names":false,"suffix":""}],"container-title":"Circulation. Arrhythmia and electrophysiology","id":"ITEM-2","issue":"4","issued":{"date-parts":[["2008"]]},"page":"269-275","title":"Long-term clinical results of 2 different ablation strategies in patients with paroxysmal and persistent atrial fibrillation.","type":"article-journal","volume":"1"},"uris":["http://www.mendeley.com/documents/?uuid=ef238969-8528-4360-8e28-c011af1cfda1"]}],"mendeley":{"formattedCitation":"(Gaita et al., 2008; Taghji et al., 2018)","plainTextFormattedCitation":"(Gaita et al., 2008; Taghji et al., 2018)","previouslyFormattedCitation":"(Gaita et al., 2008; Taghji et al., 2018)"},"properties":{"noteIndex":0},"schema":"https://github.com/citation-style-language/schema/raw/master/csl-citation.json"}</w:instrText>
      </w:r>
      <w:r w:rsidR="00E322A5">
        <w:fldChar w:fldCharType="separate"/>
      </w:r>
      <w:r w:rsidR="00A964C5" w:rsidRPr="00A964C5">
        <w:rPr>
          <w:noProof/>
        </w:rPr>
        <w:t>(Gaita et al., 2008; Taghji et al., 2018)</w:t>
      </w:r>
      <w:r w:rsidR="00E322A5">
        <w:fldChar w:fldCharType="end"/>
      </w:r>
      <w:r w:rsidR="00A964C5">
        <w:t>.</w:t>
      </w:r>
      <w:r w:rsidR="003C1014">
        <w:t xml:space="preserve"> </w:t>
      </w:r>
      <w:r w:rsidR="00B73C90">
        <w:t>D</w:t>
      </w:r>
      <w:r w:rsidR="00E91681">
        <w:t>espite advancements</w:t>
      </w:r>
      <w:r w:rsidR="00B73C90">
        <w:t xml:space="preserve"> </w:t>
      </w:r>
      <w:r w:rsidR="00E91681">
        <w:t xml:space="preserve">in </w:t>
      </w:r>
      <w:r w:rsidR="00B73C90">
        <w:t xml:space="preserve">the </w:t>
      </w:r>
      <w:r w:rsidR="00E91681">
        <w:t xml:space="preserve">understanding </w:t>
      </w:r>
      <w:r w:rsidR="008F60DE">
        <w:t xml:space="preserve">of </w:t>
      </w:r>
      <w:r w:rsidR="00E91681">
        <w:t>the pathophysiology of both atrial</w:t>
      </w:r>
      <w:r w:rsidR="003E46EF">
        <w:t xml:space="preserve"> </w:t>
      </w:r>
      <w:r w:rsidR="003E46EF">
        <w:fldChar w:fldCharType="begin" w:fldLock="1"/>
      </w:r>
      <w:r w:rsidR="00DA7C26">
        <w:instrText>ADDIN CSL_CITATION {"citationItems":[{"id":"ITEM-1","itemData":{"DOI":"10.1016/j.jacep.2018.08.024","ISSN":"2405500X","abstract":"Objectives: This study sought to improve atrial fibrillation (AF) driver identification by integrating clinical multielectrode mapping with driver fingerprints defined by high-resolution ex vivo 3-dimensional (3D) functional and structural imaging. Background: Clinical multielectrode mapping of AF drivers suffers from variable contact, signal processing, and structural complexity within the 3D human atrial wall, raising questions on the validity of such drivers. Methods: Sustained AF was mapped in coronary-perfused explanted human hearts (n = 11) with transmural near-infrared optical mapping (</w:instrText>
      </w:r>
      <w:r w:rsidR="00DA7C26">
        <w:rPr>
          <w:rFonts w:ascii="Cambria Math" w:hAnsi="Cambria Math" w:cs="Cambria Math"/>
        </w:rPr>
        <w:instrText>∼</w:instrText>
      </w:r>
      <w:r w:rsidR="00DA7C26">
        <w:instrText>0.3 mm 2 resolution). Simultaneously, custom FIRMap catheters (</w:instrText>
      </w:r>
      <w:r w:rsidR="00DA7C26">
        <w:rPr>
          <w:rFonts w:ascii="Cambria Math" w:hAnsi="Cambria Math" w:cs="Cambria Math"/>
        </w:rPr>
        <w:instrText>∼</w:instrText>
      </w:r>
      <w:r w:rsidR="00DA7C26">
        <w:instrText>9 × 9 mm 2 resolution) mapped endocardial and epicardial surfaces, which were analyzed by Focal Impulse and Rotor Mapping activation and Rotational Activity Profile (Abbott Labs, Chicago, Illinois). Functional maps were integrated with contrast-enhanced cardiac magnetic resonance imaging (</w:instrText>
      </w:r>
      <w:r w:rsidR="00DA7C26">
        <w:rPr>
          <w:rFonts w:ascii="Cambria Math" w:hAnsi="Cambria Math" w:cs="Cambria Math"/>
        </w:rPr>
        <w:instrText>∼</w:instrText>
      </w:r>
      <w:r w:rsidR="00DA7C26">
        <w:instrText>0.1 mm 3 resolution) analysis of 3D fibrosis architecture. Results: During sustained AF, near-infrared optical mapping identified 1 to 2 intramural, spatially stable re-entrant AF drivers per heart. Driver targeted ablation affecting 2.2 ± 1.1% of the atrial surface terminated and prevented AF. Driver regions had significantly higher phase singularity density and dominant frequency than neighboring nondriver regions. Focal Impulse and Rotor Mapping had 80% sensitivity to near-infrared optical mapping–defined driver locations (16 of 20), and matched 14 of 20 driver visualizations: 10 of 14 re-entries seen with Rotational Activity Profile; and 4 of 6 breakthrough/focal patterns. Focal Impulse and Rotor Mapping detected 1.1 ± 0.9 false-positive rotational activity profiles per recording, but these regions had lower intramural contrast-enhanced cardiac magnetic resonance imaging fibrosis than did driver regions (14.9 ± 7.9% vs. 23.2 ± 10.5%; p &lt; 0.005). Conclusions: The study revealed that both re-entrant and breakthrough/focal AF driver patterns visualized by surface-only clinical multielectrodes can represent projections of 3D intramural microanatomic re-entries. Integration of multielectrode mapping and 3D fibrosis analysis may enhance AF driver detection, thereby improving the efficacy of driver-targeted ablation.","author":[{"dropping-particle":"","family":"Hansen","given":"Brian J.","non-dropping-particle":"","parse-names":false,"suffix":""},{"dropping-particle":"","family":"Zhao","given":"Jichao","non-dropping-particle":"","parse-names":false,"suffix":""},{"dropping-particle":"","family":"Li","given":"Ning","non-dropping-particle":"","parse-names":false,"suffix":""},{"dropping-particle":"","family":"Zolotarev","given":"Alexander","non-dropping-particle":"","parse-names":false,"suffix":""},{"dropping-particle":"","family":"Zakharkin","given":"Stanislav","non-dropping-particle":"","parse-names":false,"suffix":""},{"dropping-particle":"","family":"Wang","given":"Yufeng","non-dropping-particle":"","parse-names":false,"suffix":""},{"dropping-particle":"","family":"Atwal","given":"Josh","non-dropping-particle":"","parse-names":false,"suffix":""},{"dropping-particle":"","family":"Kalyanasundaram","given":"Anuradha","non-dropping-particle":"","parse-names":false,"suffix":""},{"dropping-particle":"","family":"Abudulwahed","given":"Suhaib H.","non-dropping-particle":"","parse-names":false,"suffix":""},{"dropping-particle":"","family":"Helfrich","given":"Katelynn M.","non-dropping-particle":"","parse-names":false,"suffix":""},{"dropping-particle":"","family":"Bratasz","given":"Anna","non-dropping-particle":"","parse-names":false,"suffix":""},{"dropping-particle":"","family":"Powell","given":"Kimerly A.","non-dropping-particle":"","parse-names":false,"suffix":""},{"dropping-particle":"","family":"Whitson","given":"Bryan","non-dropping-particle":"","parse-names":false,"suffix":""},{"dropping-particle":"","family":"Mohler","given":"Peter J.","non-dropping-particle":"","parse-names":false,"suffix":""},{"dropping-particle":"","family":"Janssen","given":"Paul M.L.","non-dropping-particle":"","parse-names":false,"suffix":""},{"dropping-particle":"","family":"Simonetti","given":"Orlando P.","non-dropping-particle":"","parse-names":false,"suffix":""},{"dropping-particle":"","family":"Hummel","given":"John D.","non-dropping-particle":"","parse-names":false,"suffix":""},{"dropping-particle":"V.","family":"Fedorov","given":"Vadim","non-dropping-particle":"","parse-names":false,"suffix":""}],"container-title":"JACC: Clinical Electrophysiology","id":"ITEM-1","issue":"12","issued":{"date-parts":[["2018"]]},"page":"1501-1515","title":"Human Atrial Fibrillation Drivers Resolved With Integrated Functional and Structural Imaging to Benefit Clinical Mapping","type":"article-journal","volume":"4"},"uris":["http://www.mendeley.com/documents/?uuid=11253131-1e99-40f3-baa5-8ebd5056ba63"]},{"id":"ITEM-2","itemData":{"DOI":"10.1161/CIRCULATIONAHA.111.019893","ISBN":"1524-4539 (Electronic)\\r0009-7322 (Linking)","ISSN":"00097322","PMID":"22083148","abstract":"Atrial fibrillation (AF), the most common sustained cardiac arrhythmia, is an important contributor to population morbidity and mortality. An arrhythmia that is particularly common in the elderly, AF is growing in prevalence with the aging of the population. Our understanding of the basic mechanisms that govern AF occurrence and persistence has been increasing rapidly. This article reviews the basic pathophysiology of AF over a broad range of levels, touching on the tissue mechanisms that maintain the arrhythmia, the relationship between clinical presentation and basic mechanisms, ion channel and transporter abnormalities that lead to ectopic impulse formation, basic models and tissue determinants of reentry, ion channel determinants of reentry, the nature and roles of electric and structural remodeling, autonomic neural components, anatomic factors, interactions between atrial and ventricular functional consequences of AF, and the basic determinants of atrial thromboembolism. We then review the potential implications of the basic pathophysiology of the arrhythmia for its management. We first discuss consequences for improved rhythm control pharmacotherapy: targeting underlying conditions, new atrium-selective drug targets, new targets for focal ectopic source suppression, and upstream therapy aiming to prevent remodeling. We then review the implications of basic mechanistic considerations for rate control therapy, AF ablation, and the prevention of thromboembolic events. We conclude with some thoughts about the future of translational research related to AF mechanisms.","author":[{"dropping-particle":"","family":"Iwasaki","given":"Yu Ki","non-dropping-particle":"","parse-names":false,"suffix":""},{"dropping-particle":"","family":"Nishida","given":"Kunihiro","non-dropping-particle":"","parse-names":false,"suffix":""},{"dropping-particle":"","family":"Kato","given":"Takeshi","non-dropping-particle":"","parse-names":false,"suffix":""},{"dropping-particle":"","family":"Nattel","given":"Stanley","non-dropping-particle":"","parse-names":false,"suffix":""}],"container-title":"Circulation","id":"ITEM-2","issue":"20","issued":{"date-parts":[["2011"]]},"page":"2264-2274","title":"Atrial fibrillation pathophysiology: Implications for management","type":"article-journal","volume":"124"},"uris":["http://www.mendeley.com/documents/?uuid=fdd50de3-f963-4605-bbd9-eef01f7166f2"]},{"id":"ITEM-3","itemData":{"DOI":"10.1016/j.ccep.2019.08.007","ISSN":"18779190","PMID":"31706465","abstract":"This review focusses on novel findings in atrial fibrillation mechanisms derived from mapping studies. Recent panoramic mapping techniques have identified 2 arrhythmic mechanisms of interest, namely, rotational (rotors) and ectopic focal activations as drivers of atrial fibrillation. Epicardial adipose tissue and fatty infiltration into the myocardium have been described as novel substrates for atrial fibrillation. There is increasing appreciation that the thin atrial walls harbor a complex 3-dimensional electrostructural substrate to contribute to atrial fibrillation sustenance. Further research is warranted to advance the field toward more targeted therapy.","author":[{"dropping-particle":"","family":"Lau","given":"Dennis H.","non-dropping-particle":"","parse-names":false,"suffix":""},{"dropping-particle":"","family":"Linz","given":"Dominik","non-dropping-particle":"","parse-names":false,"suffix":""},{"dropping-particle":"","family":"Sanders","given":"Prashanthan","non-dropping-particle":"","parse-names":false,"suffix":""}],"container-title":"Cardiac Electrophysiology Clinics","id":"ITEM-3","issue":"4","issued":{"date-parts":[["2019"]]},"page":"563-571","publisher":"Elsevier Inc","title":"New Findings in Atrial Fibrillation Mechanisms","type":"article-journal","volume":"11"},"uris":["http://www.mendeley.com/documents/?uuid=bf9003aa-138c-406e-9d06-7fe5cae94226"]}],"mendeley":{"formattedCitation":"(Iwasaki et al., 2011; Hansen et al., 2018; Lau et al., 2019)","plainTextFormattedCitation":"(Iwasaki et al., 2011; Hansen et al., 2018; Lau et al., 2019)","previouslyFormattedCitation":"(Iwasaki et al., 2011; Hansen et al., 2018; Lau et al., 2019)"},"properties":{"noteIndex":0},"schema":"https://github.com/citation-style-language/schema/raw/master/csl-citation.json"}</w:instrText>
      </w:r>
      <w:r w:rsidR="003E46EF">
        <w:fldChar w:fldCharType="separate"/>
      </w:r>
      <w:r w:rsidR="003E46EF" w:rsidRPr="003E46EF">
        <w:rPr>
          <w:noProof/>
        </w:rPr>
        <w:t>(Iwasaki et al., 2011; Hansen et al., 2018; Lau et al., 2019)</w:t>
      </w:r>
      <w:r w:rsidR="003E46EF">
        <w:fldChar w:fldCharType="end"/>
      </w:r>
      <w:r w:rsidR="003E46EF">
        <w:t xml:space="preserve"> </w:t>
      </w:r>
      <w:r w:rsidR="00E91681">
        <w:t>and ventricular</w:t>
      </w:r>
      <w:r w:rsidR="001652C2">
        <w:rPr>
          <w:vertAlign w:val="superscript"/>
        </w:rPr>
        <w:t xml:space="preserve"> </w:t>
      </w:r>
      <w:r w:rsidR="00E91681">
        <w:t>arrhythmias</w:t>
      </w:r>
      <w:r w:rsidR="005F311D">
        <w:t xml:space="preserve"> </w:t>
      </w:r>
      <w:r w:rsidR="005F311D">
        <w:fldChar w:fldCharType="begin" w:fldLock="1"/>
      </w:r>
      <w:r w:rsidR="005F311D">
        <w:instrText>ADDIN CSL_CITATION {"citationItems":[{"id":"ITEM-1","itemData":{"DOI":"10.1016/j.hrthm.2016.04.001","ISSN":"15563871","PMID":"27050910","abstract":"Catheter ablation of ventricular tachycardia (VT) has evolved in recent years, especially in patients with ischemic heart disease. Data from prospective studies show that VT catheter ablation reduces the risk of recurrent VT; however, there is a paucity of data on the effect of VT catheter ablation on mortality and patient-centered outcomes such as quality of life. Performing randomized clinical trials of VT catheter ablation can be fraught with challenges, and, as a result, several prior trials of VT catheter ablation had to be stopped prematurely. The main challenges are inability to blind the patient to therapy to obtain a traditional control group, high crossover rates between the 2 arms of the study, patient refusal to participate in trials in which they have an equal chance of receiving a “pill” vs an invasive procedure, heterogeneity of mapping and ablation techniques as well as catheters and equipment, rapid evolution of technology that may make findings of any long trial less relevant to clinical practice, lack of consensus on what constitutes acute procedural and long-term success, and presentation of patients to electrophysiologists late in the course of their disease. In this article, a panel of experts on VT catheter ablation and/or clinical trials of VT catheter ablation review challenges faced in conducting prior trials of VT catheter ablation and offer potential solutions for those challenges. It is hoped that the proposed solutions will enhance the feasibility of randomized clinical trials of VT catheter ablation.","author":[{"dropping-particle":"","family":"Pokorney","given":"Sean D.","non-dropping-particle":"","parse-names":false,"suffix":""},{"dropping-particle":"","family":"Friedman","given":"Daniel J.","non-dropping-particle":"","parse-names":false,"suffix":""},{"dropping-particle":"","family":"Calkins","given":"Hugh","non-dropping-particle":"","parse-names":false,"suffix":""},{"dropping-particle":"","family":"Callans","given":"David J.","non-dropping-particle":"","parse-names":false,"suffix":""},{"dropping-particle":"","family":"Daoud","given":"Emile G.","non-dropping-particle":"","parse-names":false,"suffix":""},{"dropping-particle":"","family":"Della-Bella","given":"Paolo","non-dropping-particle":"","parse-names":false,"suffix":""},{"dropping-particle":"","family":"Jackson","given":"Kevin P.","non-dropping-particle":"","parse-names":false,"suffix":""},{"dropping-particle":"","family":"Shivkumar","given":"Kalyanam","non-dropping-particle":"","parse-names":false,"suffix":""},{"dropping-particle":"","family":"Saba","given":"Samir","non-dropping-particle":"","parse-names":false,"suffix":""},{"dropping-particle":"","family":"Sapp","given":"John","non-dropping-particle":"","parse-names":false,"suffix":""},{"dropping-particle":"","family":"Stevenson","given":"William G.","non-dropping-particle":"","parse-names":false,"suffix":""},{"dropping-particle":"","family":"Al-Khatib","given":"Sana M.","non-dropping-particle":"","parse-names":false,"suffix":""}],"container-title":"Heart Rhythm","id":"ITEM-1","issue":"8","issued":{"date-parts":[["2016"]]},"page":"1748-1754","publisher":"Elsevier","title":"Catheter ablation of ventricular tachycardia: Lessons learned from past clinical trials and implications for future clinical trials","type":"article-journal","volume":"13"},"uris":["http://www.mendeley.com/documents/?uuid=ef2b6a82-aec0-449e-a67e-b0a4953f0aba"]},{"id":"ITEM-2","itemData":{"DOI":"10.1161/CIRCULATIONAHA.116.021955","ISSN":"15244539","PMID":"27440005","abstract":"Background: In vivo description of ventricular tachycardia (VT) circuits is limited by insufficient spatiotemporal resolution. We used a novel high-resolution mapping technology to characterize the electrophysiological properties of the postinfarction reentrant VT circuit. Methods: In 15 swine, myocardial infarction was induced by left anterior descending artery balloon occlusion. Animals were studied 6 to 8 weeks after myocardial infarction. Activation mapping of VTs was performed by using the Rhythmia mapping system. Activation time was based on a combination of bipolar and unipolar electrograms. The response to overdrive pacing from different zones of the circuit was examined. Results: A total of 56 monomorphic VTs were induced (3.8±2.1 per animal). Among these, 21 (37.5%) were hemodynamically stable and allowed mapping of the circuit. Isthmuses were 16.4±7.2 mm long and 7.4±2.8 mm wide. Conduction velocities were slowest at the inward curvature into the isthmus entrance (0.28±0.2 m/s), slightly faster at the outward curvature exit (0.40±0.3 m/s) and nearly normal at the central isthmus (0.62±0.2 m/s). In 3 animals, 2 VT morphologies with opposite axes sharing the same isthmus were mapped. Conduction velocities within the shared isthmus were dependent on the activation vector, consistently slower at the proximal curvature. Overdrive pacing from isthmus sites determined by activation mapping was consistent with entrainment criteria for isthmus. However, dimensions of the isthmus defined by entrainment exceeded dimensions of the isthmus measured by activation mapping by 32±18%. Conclusions: In postinfarction reentrant VT, conduction velocities are slowest at the proximal and distal curvatures. Entrainment mapping overestimates the true size of the isthmus. High-resolution activation mapping of VT may better guide ablation therapy.","author":[{"dropping-particle":"","family":"Anter","given":"Elad","non-dropping-particle":"","parse-names":false,"suffix":""},{"dropping-particle":"","family":"Tschabrunn","given":"Cory M.","non-dropping-particle":"","parse-names":false,"suffix":""},{"dropping-particle":"","family":"Buxton","given":"Alfred E.","non-dropping-particle":"","parse-names":false,"suffix":""},{"dropping-particle":"","family":"Josephson","given":"Mark E.","non-dropping-particle":"","parse-names":false,"suffix":""}],"container-title":"Circulation","id":"ITEM-2","issue":"4","issued":{"date-parts":[["2016"]]},"page":"314-327","title":"High-Resolution Mapping of Postinfarction Reentrant Ventricular Tachycardia: Electrophysiological Characterization of the Circuit","type":"article-journal","volume":"134"},"uris":["http://www.mendeley.com/documents/?uuid=71f98875-cac1-40f3-b39c-d55b78196648"]},{"id":"ITEM-3","itemData":{"DOI":"10.1161/CIRCULATIONAHA.119.042423","ISSN":"15244539","PMID":"31533463","abstract":"Background: Accurate and expedited identification of scar regions most prone to reentry is needed to guide ventricular tachycardia (VT) ablation. We aimed to prospectively assess outcomes of VT ablation guided primarily by the targeting of deceleration zones (DZ) identified by propagational analysis of ventricular activation during sinus rhythm. Methods: Patients with scar-related VT were prospectively enrolled in the University of Chicago VT Ablation Registry between 2016 and 2018. Isochronal late activation maps annotated to the latest local electrogram deflection were created with high-density multielectrode mapping catheters. Targeted ablation of DZ (&gt;3 isochrones within 1cm radius) was performed, prioritizing later activated regions with maximal isochronal crowding. When possible, activation mapping of VT was performed, and successful ablation sites were compared with DZ locations for mechanistic correlation. Patients were prospectively followed for VT recurrence and mortality. Results: One hundred twenty patients (median age 65 years [59-71], 15% female, 50% nonischemic, median ejection fraction 31%) underwent 144 ablation procedures for scar-related VT. 57% of patients had previous ablation and epicardial access was employed in 59% of cases. High-density mapping during baseline rhythm was performed (2518 points [1615-3752] endocardial, 5049±2580 points epicardial) and identified an average of 2±1 DZ, which colocalized to successful termination sites in 95% of cases. The median total radiofrequency application duration was 29 min (21-38 min) to target DZ, representing ablation of 18% of the low-voltage area. At 12±10 months, 70% freedom from VT recurrence (80% in ischemic cardiomyopathy and 63% in nonischemic cardiomyopathy) was achieved. The overall survival rate was 87%. Conclusions: A novel voltage-independent high-density mapping display can identify the functional substrate for VT during sinus rhythm and guide targeted ablation, obviating the need for extensive radiofrequency delivery. Regions with isochronal crowding during the baseline rhythm were predictive of VT termination sites, providing mechanistic evidence that deceleration zones are highly arrhythmogenic, functioning as niduses for reentry.","author":[{"dropping-particle":"","family":"Aziz","given":"Zaid","non-dropping-particle":"","parse-names":false,"suffix":""},{"dropping-particle":"","family":"Shatz","given":"Dalise","non-dropping-particle":"","parse-names":false,"suffix":""},{"dropping-particle":"","family":"Raiman","given":"Michael","non-dropping-particle":"","parse-names":false,"suffix":""},{"dropping-particle":"","family":"Upadhyay","given":"Gaurav A.","non-dropping-particle":"","parse-names":false,"suffix":""},{"dropping-particle":"","family":"Beaser","given":"Andrew D.","non-dropping-particle":"","parse-names":false,"suffix":""},{"dropping-particle":"","family":"Besser","given":"Stephanie A.","non-dropping-particle":"","parse-names":false,"suffix":""},{"dropping-particle":"","family":"Shatz","given":"Nathaniel A.","non-dropping-particle":"","parse-names":false,"suffix":""},{"dropping-particle":"","family":"Fu","given":"Zihuan","non-dropping-particle":"","parse-names":false,"suffix":""},{"dropping-particle":"","family":"Jiang","given":"Ruhong","non-dropping-particle":"","parse-names":false,"suffix":""},{"dropping-particle":"","family":"Nishimura","given":"Takuro","non-dropping-particle":"","parse-names":false,"suffix":""},{"dropping-particle":"","family":"Liao","given":"Hongtao","non-dropping-particle":"","parse-names":false,"suffix":""},{"dropping-particle":"","family":"Nayak","given":"Hemal M.","non-dropping-particle":"","parse-names":false,"suffix":""},{"dropping-particle":"","family":"Tung","given":"Roderick","non-dropping-particle":"","parse-names":false,"suffix":""}],"container-title":"Circulation","id":"ITEM-3","issue":"17","issued":{"date-parts":[["2019"]]},"page":"1383-1397","title":"Targeted Ablation of Ventricular Tachycardia Guided by Wavefront Discontinuities during Sinus Rhythm: A New Functional Substrate Mapping Strategy","type":"article-journal","volume":"140"},"uris":["http://www.mendeley.com/documents/?uuid=513a367a-9cb5-46d8-9b3a-205503289396"]}],"mendeley":{"formattedCitation":"(Anter et al., 2016; Pokorney et al., 2016; Aziz et al., 2019)","plainTextFormattedCitation":"(Anter et al., 2016; Pokorney et al., 2016; Aziz et al., 2019)","previouslyFormattedCitation":"(Anter et al., 2016; Pokorney et al., 2016; Aziz et al., 2019)"},"properties":{"noteIndex":0},"schema":"https://github.com/citation-style-language/schema/raw/master/csl-citation.json"}</w:instrText>
      </w:r>
      <w:r w:rsidR="005F311D">
        <w:fldChar w:fldCharType="separate"/>
      </w:r>
      <w:r w:rsidR="005F311D" w:rsidRPr="005F311D">
        <w:rPr>
          <w:noProof/>
        </w:rPr>
        <w:t>(Anter et al., 2016; Pokorney et al., 2016; Aziz et al., 2019)</w:t>
      </w:r>
      <w:r w:rsidR="005F311D">
        <w:fldChar w:fldCharType="end"/>
      </w:r>
      <w:r w:rsidR="00E91681">
        <w:t>, t</w:t>
      </w:r>
      <w:r w:rsidR="00EA0437">
        <w:t>his</w:t>
      </w:r>
      <w:r w:rsidR="0031543E">
        <w:t xml:space="preserve"> </w:t>
      </w:r>
      <w:r w:rsidR="008F60DE">
        <w:t xml:space="preserve">outcome </w:t>
      </w:r>
      <w:r w:rsidR="0031543E">
        <w:t xml:space="preserve">variability indicates </w:t>
      </w:r>
      <w:r w:rsidR="003E46EF">
        <w:t xml:space="preserve">that </w:t>
      </w:r>
      <w:r w:rsidR="0031543E">
        <w:t>there is still</w:t>
      </w:r>
      <w:r w:rsidR="00491ADA">
        <w:t xml:space="preserve"> </w:t>
      </w:r>
      <w:r w:rsidR="00867B2E">
        <w:t xml:space="preserve">much to learn about the </w:t>
      </w:r>
      <w:proofErr w:type="spellStart"/>
      <w:r w:rsidR="00867B2E">
        <w:t>electropathophysiology</w:t>
      </w:r>
      <w:proofErr w:type="spellEnd"/>
      <w:r w:rsidR="00867B2E">
        <w:t xml:space="preserve"> of these </w:t>
      </w:r>
      <w:r w:rsidR="00C468FF">
        <w:t>arrhythmias</w:t>
      </w:r>
      <w:r w:rsidR="00381DE9">
        <w:t>, how</w:t>
      </w:r>
      <w:r w:rsidR="005A244D">
        <w:t xml:space="preserve"> electrical and structural </w:t>
      </w:r>
      <w:r w:rsidR="00381DE9">
        <w:t xml:space="preserve">abnormalities can be quantified by electroanatomic mapping systems and how appropriate therapeutic targets can be </w:t>
      </w:r>
      <w:r w:rsidR="00272CCF">
        <w:t xml:space="preserve">identified and </w:t>
      </w:r>
      <w:r w:rsidR="00381DE9">
        <w:t>treated using ablation.</w:t>
      </w:r>
    </w:p>
    <w:p w14:paraId="7AFDD421" w14:textId="75835584" w:rsidR="00F118E6" w:rsidRDefault="00247600" w:rsidP="002938E8">
      <w:r>
        <w:t>Electroanatomic</w:t>
      </w:r>
      <w:r w:rsidR="00555BF4">
        <w:t xml:space="preserve"> mapping systems </w:t>
      </w:r>
      <w:r w:rsidR="00D53083">
        <w:t xml:space="preserve">provide </w:t>
      </w:r>
      <w:r w:rsidR="008352CA">
        <w:t>several</w:t>
      </w:r>
      <w:r w:rsidR="00D53083">
        <w:t xml:space="preserve"> core functions</w:t>
      </w:r>
      <w:r w:rsidR="00CA490A">
        <w:t xml:space="preserve"> including</w:t>
      </w:r>
      <w:r w:rsidR="006E0C8D">
        <w:t xml:space="preserve"> catheter localisation, anatomical representation</w:t>
      </w:r>
      <w:r w:rsidR="008352CA">
        <w:t xml:space="preserve">, </w:t>
      </w:r>
      <w:r w:rsidR="006E0C8D">
        <w:t>electrophysiological map construction</w:t>
      </w:r>
      <w:r w:rsidR="008352CA">
        <w:t xml:space="preserve"> and </w:t>
      </w:r>
      <w:r w:rsidR="00636CE2">
        <w:t>localisation of ablation lesions</w:t>
      </w:r>
      <w:r w:rsidR="006E0C8D">
        <w:t xml:space="preserve">. </w:t>
      </w:r>
      <w:r w:rsidR="002B4C4F">
        <w:t xml:space="preserve">As such, the data acquired by these systems provides </w:t>
      </w:r>
      <w:r w:rsidR="00FD5FF7">
        <w:t>key information about atrial or ventricular myocardial morphology</w:t>
      </w:r>
      <w:r w:rsidR="004F17EC">
        <w:t xml:space="preserve"> and electrical function. Such data is interpreted conventionally </w:t>
      </w:r>
      <w:r w:rsidR="004C7132">
        <w:t>within electroanatomic mapping platforms through the creation of local activation time maps</w:t>
      </w:r>
      <w:r w:rsidR="00707A7F">
        <w:t xml:space="preserve"> and their derivatives</w:t>
      </w:r>
      <w:r w:rsidR="00A964C5">
        <w:t xml:space="preserve"> </w:t>
      </w:r>
      <w:r w:rsidR="00081B3E">
        <w:fldChar w:fldCharType="begin" w:fldLock="1"/>
      </w:r>
      <w:r w:rsidR="004C5E7E">
        <w:instrText>ADDIN CSL_CITATION {"citationItems":[{"id":"ITEM-1","itemData":{"DOI":"10.1093/europace/eux037","ISSN":"15322092","abstract":"© 2016 The Author. Aims Local activation time (LAT) mapping forms the cornerstone of atrial tachycardia diagnosis. Although anatomic and positional accuracy of electroanatomic mapping (EAM) systems have been validated, the effect of electrode sampling density on LAT map reconstruction is not known. Here, we study the effect of chamber geometry and activation complexity on optimal LAT sampling density using a combined in silico and in vivo approach. Methods and results In vivo 21 atrial tachycardia maps were studied in three groups: (1) focal activation, (2) macro-re-entry, and (3) localized re-entry. In silico activation was simulated on a 4×4cm atrial monolayer, sampled randomly at 0.25-10 points/cm 2 and used to re-interpolate LAT maps. Activation patterns were studied in the geometrically simple porcine right atrium (RA) and complex human left atrium (LA). Activation complexity was introduced into the porcine RA by incomplete inter-caval linear ablation. In all cases, optimal sampling density was defined as the highest density resulting in minimal further error reduction in the re-interpolated maps. Optimal sampling densities for LA tachycardias were 0.67 ± 0.17 points/cm 2 (focal activation), 1.05 ± 0.32 points/cm 2 (macro-re-entry) and 1.23 ± 0.26 points/cm 2 (localized re-entry), P = 0.0031. Increasing activation complexity was associated with increased optimal sampling density both in silico (focal activation 1.09 ± 0.14 points/cm 2 ; re-entry 1.44 ± 0.49 points/cm 2 ; spiral-wave 1.50 ± 0.34 points/cm 2 , P &lt; 0.0001) and in vivo (porcine RA pre-ablation 0.45 ± 0.13 vs. post-ablation 0.78 ± 0.17 points/cm 2 , P = 0.0008). Increasing chamber geometry was also associated with increased optimal sampling density (0.61 ± 0.22 points/cm 2 vs. 1.0 ± 0.34 points/cm 2 , P = 0.0015). Conclusion Optimal sampling densities can be identified to maximize diagnostic yield of LAT maps. Greater sampling density is required to correctly reveal complex activation and represent activation across complex geometries. Overall, the optimal sampling density for LAT map interpolation defined in this study was â 1/41.0-1.5 points/cm 2 .","author":[{"dropping-particle":"","family":"Williams","given":"Steven E.","non-dropping-particle":"","parse-names":false,"suffix":""},{"dropping-particle":"","family":"Harrison","given":"James L.","non-dropping-particle":"","parse-names":false,"suffix":""},{"dropping-particle":"","family":"Chubb","given":"Henry","non-dropping-particle":"","parse-names":false,"suffix":""},{"dropping-particle":"","family":"Whitaker","given":"John","non-dropping-particle":"","parse-names":false,"suffix":""},{"dropping-particle":"","family":"Kiedrowicz","given":"Radek","non-dropping-particle":"","parse-names":false,"suffix":""},{"dropping-particle":"","family":"Rinaldi","given":"C.A. Christopher A","non-dropping-particle":"","parse-names":false,"suffix":""},{"dropping-particle":"","family":"Cooklin","given":"Michael","non-dropping-particle":"","parse-names":false,"suffix":""},{"dropping-particle":"","family":"Wright","given":"Matthew","non-dropping-particle":"","parse-names":false,"suffix":""},{"dropping-particle":"","family":"Niederer","given":"Steven","non-dropping-particle":"","parse-names":false,"suffix":""},{"dropping-particle":"","family":"O'Neill","given":"M.D. Mark D","non-dropping-particle":"","parse-names":false,"suffix":""}],"container-title":"Europace","id":"ITEM-1","issue":"2","issued":{"date-parts":[["2018"]]},"page":"e11-e20","title":"Local Activation Time Sampling Density for Atrial Tachycardia Contact Mapping: How Much is Enough","type":"article-journal","volume":"20"},"uris":["http://www.mendeley.com/documents/?uuid=bb79a5f6-1df6-4a87-a13e-2065a43d76e3"]}],"mendeley":{"formattedCitation":"(Williams et al., 2018)","plainTextFormattedCitation":"(Williams et al., 2018)","previouslyFormattedCitation":"(Williams et al., 2018)"},"properties":{"noteIndex":0},"schema":"https://github.com/citation-style-language/schema/raw/master/csl-citation.json"}</w:instrText>
      </w:r>
      <w:r w:rsidR="00081B3E">
        <w:fldChar w:fldCharType="separate"/>
      </w:r>
      <w:r w:rsidR="004C5E7E" w:rsidRPr="004C5E7E">
        <w:rPr>
          <w:noProof/>
        </w:rPr>
        <w:t>(Williams et al., 2018)</w:t>
      </w:r>
      <w:r w:rsidR="00081B3E">
        <w:fldChar w:fldCharType="end"/>
      </w:r>
      <w:r w:rsidR="00A964C5">
        <w:t>,</w:t>
      </w:r>
      <w:r w:rsidR="00081B3E">
        <w:rPr>
          <w:vertAlign w:val="superscript"/>
        </w:rPr>
        <w:t xml:space="preserve"> </w:t>
      </w:r>
      <w:r w:rsidR="00272CCF">
        <w:t>voltage maps</w:t>
      </w:r>
      <w:r w:rsidR="00FE7980">
        <w:t xml:space="preserve"> </w:t>
      </w:r>
      <w:r w:rsidR="00776FEC">
        <w:fldChar w:fldCharType="begin" w:fldLock="1"/>
      </w:r>
      <w:r w:rsidR="00746D4B">
        <w:instrText>ADDIN CSL_CITATION {"citationItems":[{"id":"ITEM-1","itemData":{"DOI":"10.1016/j.hrthm.2019.11.019","ISSN":"15563871","PMID":"31756528","abstract":"Background: The relationship between the typical electrocardiographic pattern and electromechanical abnormalities has never been systematically explored in Brugada syndrome (BrS). Objectives: The aims of this study were to characterize the electromechanical substrate in patients with BrS and to evaluate the relationship between electrical and mechanical abnormalities. Methods: We enrolled 50 consecutive high-risk patients with BrS (mean age 42 ± 7.2 years), with implantable cardioverter-defibrillator implantation for primary or secondary prevention of ventricular tachyarrhythmias (ventricular tachycardia/ventricular fibrillation [VT/VF]), undergoing substrate mapping and ablation. Patients underwent 3-dimensional (3D) echocardiography with 3D wall motion/deformation quantification and electroanatomic mapping before and after ajmaline administration (1 mg/kg in 5 minutes); 3D mechanical changes were compared with 50 age- and sex-matched controls. The effect of substrate ablation on electromechanical abnormalities was also assessed. Results: In all patients, ajmaline administration induced Brugada type 1 pattern, with a significant increase in the electrical substrate (P &lt;.001), particularly in patients with previous spontaneous VT/VF (P =.007). Induction of Brugada pattern was associated with lowering of right ventricular (RV) ejection fraction (P &lt;.001) and worsening of 3D RV mechanical function (P &lt;.001), particularly in the anterior free wall of the RV outflow tract, without changes in controls. RV electrical and mechanical abnormalities were highly correlated (r = 0.728, P &lt;.001). By multivariate analysis, only the area of RV dysfunction was an independent predictor of spontaneous VT/VF (odds ratio 1.480; 95% confidence interval 1.159–1.889; P =.002). Substrate ablation abolished both BrS-electrocardiographic pattern and mechanical abnormalities, despite ajmaline rechallenge. Conclusion: BrS is an electromechanical disease affecting the RV. The typical BrS pattern reflects an extensive RV arrhythmic substrate, driving consistent RV mechanical abnormalities. Substrate ablation abolished both Brugada pattern and mechanical abnormalities.","author":[{"dropping-particle":"","family":"Pappone","given":"Carlo","non-dropping-particle":"","parse-names":false,"suffix":""},{"dropping-particle":"","family":"Mecarocci","given":"Valerio","non-dropping-particle":"","parse-names":false,"suffix":""},{"dropping-particle":"","family":"Manguso","given":"Francesco","non-dropping-particle":"","parse-names":false,"suffix":""},{"dropping-particle":"","family":"Ciconte","given":"Giuseppe","non-dropping-particle":"","parse-names":false,"suffix":""},{"dropping-particle":"","family":"Vicedomini","given":"Gabriele","non-dropping-particle":"","parse-names":false,"suffix":""},{"dropping-particle":"","family":"Sturla","given":"Francesco","non-dropping-particle":"","parse-names":false,"suffix":""},{"dropping-particle":"","family":"Votta","given":"Emiliano","non-dropping-particle":"","parse-names":false,"suffix":""},{"dropping-particle":"","family":"Mazza","given":"Beniamino","non-dropping-particle":"","parse-names":false,"suffix":""},{"dropping-particle":"","family":"Pozzi","given":"Paolo","non-dropping-particle":"","parse-names":false,"suffix":""},{"dropping-particle":"","family":"Borrelli","given":"Valeria","non-dropping-particle":"","parse-names":false,"suffix":""},{"dropping-particle":"","family":"Anastasia","given":"Luigi","non-dropping-particle":"","parse-names":false,"suffix":""},{"dropping-particle":"","family":"Micaglio","given":"Emanuele","non-dropping-particle":"","parse-names":false,"suffix":""},{"dropping-particle":"","family":"Locati","given":"Emanuela","non-dropping-particle":"","parse-names":false,"suffix":""},{"dropping-particle":"","family":"Monasky","given":"Michelle M.","non-dropping-particle":"","parse-names":false,"suffix":""},{"dropping-particle":"","family":"Lombardi","given":"Massimo","non-dropping-particle":"","parse-names":false,"suffix":""},{"dropping-particle":"","family":"Calovic","given":"Zarko","non-dropping-particle":"","parse-names":false,"suffix":""},{"dropping-particle":"","family":"Santinelli","given":"Vincenzo","non-dropping-particle":"","parse-names":false,"suffix":""}],"container-title":"Heart Rhythm","id":"ITEM-1","issue":"4","issued":{"date-parts":[["2020"]]},"page":"637-645","publisher":"Elsevier Inc.","title":"New electromechanical substrate abnormalities in high-risk patients with Brugada syndrome","type":"article-journal","volume":"17"},"uris":["http://www.mendeley.com/documents/?uuid=f1ac05fc-e763-450a-a3c2-2d1c40f11ce6"]},{"id":"ITEM-2","itemData":{"DOI":"10.1093/europace/euaa233","ISBN":"6139349540","ISSN":"1099-5129","author":[{"dropping-particle":"","family":"Al-Kaisey","given":"Ahmed M","non-dropping-particle":"","parse-names":false,"suffix":""},{"dropping-particle":"","family":"Parameswaran","given":"Ramanathan","non-dropping-particle":"","parse-names":false,"suffix":""},{"dropping-particle":"","family":"Joseph","given":"Stephen A","non-dropping-particle":"","parse-names":false,"suffix":""},{"dropping-particle":"","family":"Kistler","given":"Peter M","non-dropping-particle":"","parse-names":false,"suffix":""},{"dropping-particle":"","family":"Morton","given":"Joseph B","non-dropping-particle":"","parse-names":false,"suffix":""},{"dropping-particle":"","family":"Kalman","given":"Jonathan M","non-dropping-particle":"","parse-names":false,"suffix":""}],"container-title":"EP Europace","id":"ITEM-2","issued":{"date-parts":[["2020"]]},"page":"1-6","title":"Extensive right atrial free wall low-voltage zone as the substrate for atrial fibrillation: successful ablation by scar homogenization","type":"article-journal"},"uris":["http://www.mendeley.com/documents/?uuid=610236ac-dfc6-42a3-bdbe-3d05e7cf327b"]},{"id":"ITEM-3","itemData":{"DOI":"10.1016/j.hrthm.2010.10.015","ISSN":"1556-3871","PMID":"20950713","abstract":"Left lateral mitral isthmus (LLMI) ablation achieves a low percentage of bidirectional conduction block in atrial fibrillation (AF) ablation.","author":[{"dropping-particle":"","family":"Pak","given":"Hui-Nam","non-dropping-particle":"","parse-names":false,"suffix":""},{"dropping-particle":"","family":"Oh","given":"Yong Seog","non-dropping-particle":"","parse-names":false,"suffix":""},{"dropping-particle":"","family":"Lim","given":"Hong Euy","non-dropping-particle":"","parse-names":false,"suffix":""},{"dropping-particle":"","family":"Kim","given":"Young-Hoon","non-dropping-particle":"","parse-names":false,"suffix":""},{"dropping-particle":"","family":"Hwang","given":"Chun","non-dropping-particle":"","parse-names":false,"suffix":""}],"container-title":"Heart Rhythm","id":"ITEM-3","issue":"2","issued":{"date-parts":[["2011","2"]]},"page":"199-206","title":"Comparison of voltage map-guided left atrial anterior wall ablation versus left lateral mitral isthmus ablation in patients with persistent atrial fibrillation.","type":"article-journal","volume":"8"},"uris":["http://www.mendeley.com/documents/?uuid=bc0aadde-ce11-48cf-911c-458d8c5b5014"]},{"id":"ITEM-4","itemData":{"DOI":"10.1016/j.jacc.2004.03.044","ISSN":"0735-1097","PMID":"15234418","abstract":"The purpose of this study was to characterize the pattern of atrial remodeling seen with human aging.","author":[{"dropping-particle":"","family":"Kistler","given":"Peter M.","non-dropping-particle":"","parse-names":false,"suffix":""},{"dropping-particle":"","family":"Sanders","given":"Prashanthan","non-dropping-particle":"","parse-names":false,"suffix":""},{"dropping-particle":"","family":"Fynn","given":"Simon P","non-dropping-particle":"","parse-names":false,"suffix":""},{"dropping-particle":"","family":"Stevenson","given":"Irene H","non-dropping-particle":"","parse-names":false,"suffix":""},{"dropping-particle":"","family":"Spence","given":"Steven J.","non-dropping-particle":"","parse-names":false,"suffix":""},{"dropping-particle":"","family":"Vohra","given":"Jitendra K","non-dropping-particle":"","parse-names":false,"suffix":""},{"dropping-particle":"","family":"Sparks","given":"Paul B.","non-dropping-particle":"","parse-names":false,"suffix":""},{"dropping-particle":"","family":"Kalman","given":"Jonathan M.","non-dropping-particle":"","parse-names":false,"suffix":""}],"container-title":"Journal of the American College of Cardiology","id":"ITEM-4","issue":"1","issued":{"date-parts":[["2004","7","7"]]},"note":"Voltage decreases with age\n\nConduction velocity decreases with age. ERP increases with age\n\nConduction velocity decreases with age ERP increases with age.","page":"109-16","title":"Electrophysiologic and electroanatomic changes in the human atrium associated with age.","type":"article-journal","volume":"44"},"uris":["http://www.mendeley.com/documents/?uuid=955df568-4761-424a-ba15-ecb12fdf2ce4"]}],"mendeley":{"formattedCitation":"(Kistler et al., 2004; Pak et al., 2011; Al-Kaisey et al., 2020; Pappone et al., 2020)","plainTextFormattedCitation":"(Kistler et al., 2004; Pak et al., 2011; Al-Kaisey et al., 2020; Pappone et al., 2020)","previouslyFormattedCitation":"(Kistler et al., 2004; Pak et al., 2011; Al-Kaisey et al., 2020; Pappone et al., 2020)"},"properties":{"noteIndex":0},"schema":"https://github.com/citation-style-language/schema/raw/master/csl-citation.json"}</w:instrText>
      </w:r>
      <w:r w:rsidR="00776FEC">
        <w:fldChar w:fldCharType="separate"/>
      </w:r>
      <w:r w:rsidR="00776FEC" w:rsidRPr="00776FEC">
        <w:rPr>
          <w:noProof/>
        </w:rPr>
        <w:t>(Kistler et al., 2004; Pak et al., 2011; Al-Kaisey et al., 2020; Pappone et al., 2020)</w:t>
      </w:r>
      <w:r w:rsidR="00776FEC">
        <w:fldChar w:fldCharType="end"/>
      </w:r>
      <w:r w:rsidR="00A964C5">
        <w:t>,</w:t>
      </w:r>
      <w:r w:rsidR="00A964C5">
        <w:rPr>
          <w:vertAlign w:val="superscript"/>
        </w:rPr>
        <w:t xml:space="preserve"> </w:t>
      </w:r>
      <w:r w:rsidR="00707A7F">
        <w:t>and maps representing electrogram morphological features</w:t>
      </w:r>
      <w:r w:rsidR="00A54BAD">
        <w:t xml:space="preserve"> during arrhythmia or pacing</w:t>
      </w:r>
      <w:r w:rsidR="00A964C5">
        <w:t xml:space="preserve"> </w:t>
      </w:r>
      <w:r w:rsidR="00A964C5">
        <w:fldChar w:fldCharType="begin" w:fldLock="1"/>
      </w:r>
      <w:r w:rsidR="00A964C5">
        <w:instrText>ADDIN CSL_CITATION {"citationItems":[{"id":"ITEM-1","itemData":{"DOI":"10.1016/j.ijcard.2013.01.194","ISBN":"1874-1754 (Electronic)\\r0167-5273 (Linking)","ISSN":"01675273","PMID":"23465221","abstract":"Background It is unclear whether atrial substrate with complex fractionated electrograms (CFAEs) is related to arrhythmogenesis. This study aimed to investigate the electrophysiology in CFAE and high dominant frequency (DF) areas. Methods and results Atrial fibrillation (AF) was induced by rapid atrial pacing in heart failure (HF) rabbits (4 weeks after coronary artery ligation). Real-time substrate mapping, multielectrode array, and monophasic action potential recordings were used to study areas of CFAE and DF. Conventional microelectrode and western blot were used to record the action potentials (APs) and protein expression in isolated tissue preparations. CFAE site with high DF had the most depolarized resting membrane potential, highest incidence of early and delayed afterdepolarizations, and steepest maxima slope of 90% of AP duration (APD90) restitution curve (RC) compared to CFAE site with low DF or non-CFAE sites. CFAE site with high DF exhibited the slowest conduction velocity and shortest wavelength than the other areas. Upregulation of the Na+-Ca2 +exchanger (NCX), apamin-sensitive small-conductance Ca2 +-activated K+channel type 2 (SK2) and sarcoplasmic reticulum Ca2 +-ATPase, and downregulation of the Kir2.1 were found at CFAE site with high DF compared to that observed in the 3 other areas. Inhibition of the NCX and SK channels prolonged the APD90, flattened the maximum slope of RC, and suppressed AF. Conclusions CFAE site with high DF had an arrhythmogenic property differing significantly from the other areas of LA in an HF rabbit model, which may contribute to the genesis of AF. © 2013 Elsevier Ireland Ltd. All rights reserved.","author":[{"dropping-particle":"","family":"Chang","given":"Shih Lin","non-dropping-particle":"","parse-names":false,"suffix":""},{"dropping-particle":"","family":"Chen","given":"Yao Chang","non-dropping-particle":"","parse-names":false,"suffix":""},{"dropping-particle":"","family":"Hsu","given":"Chiao Po","non-dropping-particle":"","parse-names":false,"suffix":""},{"dropping-particle":"","family":"Kao","given":"Yu Hsun","non-dropping-particle":"","parse-names":false,"suffix":""},{"dropping-particle":"","family":"Lin","given":"Yung Kuo","non-dropping-particle":"","parse-names":false,"suffix":""},{"dropping-particle":"","family":"Lin","given":"Yenn Jiang","non-dropping-particle":"","parse-names":false,"suffix":""},{"dropping-particle":"","family":"Wu","given":"Tsu Juey","non-dropping-particle":"","parse-names":false,"suffix":""},{"dropping-particle":"","family":"Chen","given":"Shih Ann","non-dropping-particle":"","parse-names":false,"suffix":""},{"dropping-particle":"","family":"Chen","given":"Yi Jen","non-dropping-particle":"","parse-names":false,"suffix":""}],"container-title":"International Journal of Cardiology","id":"ITEM-1","issue":"3","issued":{"date-parts":[["2013"]]},"page":"2289-2299","publisher":"Elsevier Ireland Ltd","title":"Electrophysiological characteristics of complex fractionated electrograms and high frequency activity in atrial fibrillation","type":"article-journal","volume":"168"},"uris":["http://www.mendeley.com/documents/?uuid=8208f8e6-1bea-4e15-8ebc-43d1ef52c37a"]},{"id":"ITEM-2","itemData":{"DOI":"10.1161/CIRCEP.115.002962","ISBN":"0000000000000","ISSN":"1941-3149, 1941-3084","PMID":"26966286","abstract":"Background—Complex-fractionated atrial electrograms and atrial fibrosis are associated with maintenance of persistent atrial fibrillation (AF). We hypothesized that pulmonary vein isolation (PVI) plus ablation of selective atrial low-voltage sites may be more successful than PVI only. Methods and Results—A total of 85 consecutive patients with persistent AF underwent high-density atrial voltage mapping, PVI, and ablation at low-voltage areas (LVA&lt;0.5 mV in AF) associated with electric activity lasting &gt;70% of AF cycle length on a single electrode (fractionated activity) or multiple electrodes around the circumferential mapping catheter (rotational activity) or discrete rapid local activity (group I). The procedural end point was AF termination. Arrhythmia freedom was compared with a control group (66 patients) undergoing PVI only (group II). PVI alone was performed in 23 of 85 (27%) patients of group I with low amount (&lt;10% of left atrial surface area) of atrial low voltage. Selective atrial ablation in addition to PVI was performed in 62 patients with termination of AF in 45 (73%) after 11±9 minutes radiofrequency delivery. AF-termination sites colocalized within LVA in 80% and at border zones in 20%. Single-procedural arrhythmia freedom at 13 months median follow-up was achieved in 59 of 85 (69%) patients in group I, which was significantly higher than the matched control group (31/66 [47%], P&lt;0.001). There was no significant difference in the success rate of patients in group I with a low amount of low voltage undergoing PVI only and patients requiring PVI+selective low-voltage ablation (P=0.42). Conclusions—Ablation of sites with distinct activation characteristics within/at borderzones of LVA in addition to PVI is more effective than conventional PVI-only strategy for persistent AF. PVI only seems to be sufficient to treat patients with left atrial low voltage &lt;10%.","author":[{"dropping-particle":"","family":"Jadidi","given":"Amir S.","non-dropping-particle":"","parse-names":false,"suffix":""},{"dropping-particle":"","family":"Lehrmann","given":"Heiko","non-dropping-particle":"","parse-names":false,"suffix":""},{"dropping-particle":"","family":"Keyl","given":"Cornelius","non-dropping-particle":"","parse-names":false,"suffix":""},{"dropping-particle":"","family":"Sorrel","given":"Jérémie","non-dropping-particle":"","parse-names":false,"suffix":""},{"dropping-particle":"","family":"Markstein","given":"Viktor","non-dropping-particle":"","parse-names":false,"suffix":""},{"dropping-particle":"","family":"Minners","given":"Jan","non-dropping-particle":"","parse-names":false,"suffix":""},{"dropping-particle":"Il","family":"Park","given":"Chan-Il","non-dropping-particle":"","parse-names":false,"suffix":""},{"dropping-particle":"","family":"Denis","given":"Arnaud","non-dropping-particle":"","parse-names":false,"suffix":""},{"dropping-particle":"","family":"Jaïs","given":"Pierre","non-dropping-particle":"","parse-names":false,"suffix":""},{"dropping-particle":"","family":"Hocini","given":"Mélèze","non-dropping-particle":"","parse-names":false,"suffix":""},{"dropping-particle":"","family":"Potocnik","given":"Clemens","non-dropping-particle":"","parse-names":false,"suffix":""},{"dropping-particle":"","family":"Allgeier","given":"Juergen","non-dropping-particle":"","parse-names":false,"suffix":""},{"dropping-particle":"","family":"Hochholzer","given":"Willibald","non-dropping-particle":"","parse-names":false,"suffix":""},{"dropping-particle":"","family":"Herrera-Sidloky","given":"Claudia","non-dropping-particle":"","parse-names":false,"suffix":""},{"dropping-particle":"","family":"Kim","given":"Steven J","non-dropping-particle":"","parse-names":false,"suffix":""},{"dropping-particle":"El","family":"Omri","given":"Youssef","non-dropping-particle":"","parse-names":false,"suffix":""},{"dropping-particle":"","family":"Neumann","given":"Franz-Josef Josef","non-dropping-particle":"","parse-names":false,"suffix":""},{"dropping-particle":"","family":"Weber","given":"Reinhold","non-dropping-particle":"","parse-names":false,"suffix":""},{"dropping-particle":"","family":"Haïssaguerre","given":"Michel","non-dropping-particle":"","parse-names":false,"suffix":""},{"dropping-particle":"","family":"Arentz","given":"Thomas","non-dropping-particle":"","parse-names":false,"suffix":""}],"container-title":"Circulation: Arrhythmia and Electrophysiology","id":"ITEM-2","issue":"3","issued":{"date-parts":[["2016"]]},"page":"e002962","title":"Ablation of Persistent Atrial Fibrillation Targeting Low-Voltage Areas With Selective Activation Characteristics","type":"article-journal","volume":"9"},"uris":["http://www.mendeley.com/documents/?uuid=f6f8abaa-928d-4a91-869a-479ed55f2d82"]}],"mendeley":{"formattedCitation":"(Chang et al., 2013; Jadidi et al., 2016)","plainTextFormattedCitation":"(Chang et al., 2013; Jadidi et al., 2016)","previouslyFormattedCitation":"(Chang et al., 2013; Jadidi et al., 2016)"},"properties":{"noteIndex":0},"schema":"https://github.com/citation-style-language/schema/raw/master/csl-citation.json"}</w:instrText>
      </w:r>
      <w:r w:rsidR="00A964C5">
        <w:fldChar w:fldCharType="separate"/>
      </w:r>
      <w:r w:rsidR="00A964C5" w:rsidRPr="00A964C5">
        <w:rPr>
          <w:noProof/>
        </w:rPr>
        <w:t>(Chang et al., 2013; Jadidi et al., 2016)</w:t>
      </w:r>
      <w:r w:rsidR="00A964C5">
        <w:fldChar w:fldCharType="end"/>
      </w:r>
      <w:r w:rsidR="00A964C5">
        <w:t>.</w:t>
      </w:r>
      <w:r w:rsidR="00A964C5">
        <w:rPr>
          <w:vertAlign w:val="superscript"/>
        </w:rPr>
        <w:t xml:space="preserve"> </w:t>
      </w:r>
      <w:r w:rsidR="003F7FAE">
        <w:t>Within</w:t>
      </w:r>
      <w:r w:rsidR="00D51139">
        <w:t xml:space="preserve"> research settings, the same data has also been </w:t>
      </w:r>
      <w:r w:rsidR="003F7FAE">
        <w:t>extensively post-processed to analyse complex electrogram features</w:t>
      </w:r>
      <w:r w:rsidR="004F4F24">
        <w:t xml:space="preserve"> </w:t>
      </w:r>
      <w:r w:rsidR="002D36FA">
        <w:fldChar w:fldCharType="begin" w:fldLock="1"/>
      </w:r>
      <w:r w:rsidR="00E03010">
        <w:instrText>ADDIN CSL_CITATION {"citationItems":[{"id":"ITEM-1","itemData":{"DOI":"10.1109/tbme.2020.3021480","ISSN":"0018-9294","abstract":"OBJECTIVE Ablation treatment for persistent atrial fibrillation (persAF) remains challenging due to the absence of a \"ground truth\" for atrial substrate characterization and the presence of multiple mechanisms driving the arrhythmia. We implemented an unsupervised classification to identify AEG clusters with similar patterns, which were then validated by AEG-derived markers. METHODS 956 bipolar AEGs were collected from 11 persAF patients. CARTO variables (Biosense Webster; ICL, ACI and SCI) were used to create a 3D space, and subsequently used to perform an unsupervised classification with k-means. The characteristics of the identified groups were investigated using nine AEG-derived markers: sample entropy (SampEn), dominant frequency, organization index (OI), determinism, laminarity, recurrence rate (RR), peak-to-peak (PP) amplitude, cycle length (CL), and wave similarity (WS). RESULTS Five AEG classes with distinct characteristics were identified (F=582, P&lt;0.0001). The presence of fractionation increased from class 1 to 5, as reflected by the nine markers. Class 1 (25%) included organized AEGs with high WS, determinism, laminarity, and RR, and low SampEn. Class 5 (20%) comprised fractionated AEGs with in low WS, OI, determinism, laminarity, and RR, and in high SampEn. Classes 2 (12%), 3 (13%) and 4 (30%) suggested different degrees of AEG organization. CONCLUSIONS Our results expand and reinterpret the criteria used for automated AEG classification. The nine markers highlighted electrophysiological differences among the five classes found by the k-means, which could provide a more complete characterization of persAF substrate during ablation target identification in future clinical studies.","author":[{"dropping-particle":"","family":"Almeida","given":"Tiago","non-dropping-particle":"","parse-names":false,"suffix":""},{"dropping-particle":"","family":"Soriano","given":"Diogo","non-dropping-particle":"","parse-names":false,"suffix":""},{"dropping-particle":"","family":"Mase","given":"Michela","non-dropping-particle":"","parse-names":false,"suffix":""},{"dropping-particle":"","family":"Ravelli","given":"Flavia","non-dropping-particle":"","parse-names":false,"suffix":""},{"dropping-particle":"","family":"Bezerra","given":"Arthur","non-dropping-particle":"","parse-names":false,"suffix":""},{"dropping-particle":"","family":"Li","given":"Xin","non-dropping-particle":"","parse-names":false,"suffix":""},{"dropping-particle":"","family":"Chu","given":"Gavin","non-dropping-particle":"","parse-names":false,"suffix":""},{"dropping-particle":"","family":"Salinet","given":"Joao","non-dropping-particle":"","parse-names":false,"suffix":""},{"dropping-particle":"","family":"Stafford","given":"Peter","non-dropping-particle":"","parse-names":false,"suffix":""},{"dropping-particle":"","family":"Andre Ng","given":"G.","non-dropping-particle":"","parse-names":false,"suffix":""},{"dropping-particle":"","family":"Schlindwein","given":"Fernando","non-dropping-particle":"","parse-names":false,"suffix":""},{"dropping-particle":"","family":"Yoneyama","given":"Takashi","non-dropping-particle":"","parse-names":false,"suffix":""}],"container-title":"IEEE Transactions on Biomedical Engineering","id":"ITEM-1","issued":{"date-parts":[["2020"]]},"page":"1-1","title":"Unsupervised Classification of Atrial Electrograms for Electroanatomic Mapping of Human Persistent Atrial Fibrillation","type":"article-journal"},"uris":["http://www.mendeley.com/documents/?uuid=de505b05-2ccd-4540-a866-aa8c69f2d8bd"]},{"id":"ITEM-2","itemData":{"DOI":"10.3390/e22020232","ISSN":"10994300","abstract":"Atrial fibrillation (AF) is currently the most common cardiac arrhythmia, with catheter ablation (CA) of the pulmonary veins (PV) being its first line therapy. Ablation of complex fractionated atrial electrograms (CFAEs) outside the PVs has demonstrated improved long-term results, but their identification requires a reliable electrogram (EGM) fractionation estimator. This study proposes a technique aimed to assist CA procedures under real-time settings. The method has been tested on three groups of recordings: Group 1 consisted of 24 highly representative EGMs, eight of each belonging to a different AF Type. Group 2 contained the entire dataset of 119 EGMs, whereas Group 3 contained 20 pseudo-real EGMs of the special Type IV AF. Coarse-grained correlation dimension (CGCD) was computed at epochs of 1 s duration, obtaining a classification accuracy of 100% in Group 1 and 84.0-85.7% in Group 2, using 10-fold cross-validation. The receiver operating characteristics (ROC) analysis for highly fractionated EGMs, showed 100% specificity and sensitivity in Group 1 and 87.5% specificity and 93.6% sensitivity in Group 2. In addition, 100% of the pseudo-real EGMs were correctly identified as Type IV AF. This method can consistently express the fractionation level of AF EGMs and provides better performance than previous works. Its ability to compute fractionation in short-time can agilely detect sudden changes of AF Types and could be used for mapping the atrial substrate, thus assisting CA procedures under real-time settings for atrial substrate modification.","author":[{"dropping-particle":"","family":"Vraka","given":"Aikaterini","non-dropping-particle":"","parse-names":false,"suffix":""},{"dropping-particle":"","family":"Hornero","given":"Fernando","non-dropping-particle":"","parse-names":false,"suffix":""},{"dropping-particle":"","family":"Bertomeu-González","given":"Vicente","non-dropping-particle":"","parse-names":false,"suffix":""},{"dropping-particle":"","family":"Osca","given":"Joaquín","non-dropping-particle":"","parse-names":false,"suffix":""},{"dropping-particle":"","family":"Alcaraz","given":"Raúl","non-dropping-particle":"","parse-names":false,"suffix":""},{"dropping-particle":"","family":"Rieta","given":"José J.","non-dropping-particle":"","parse-names":false,"suffix":""}],"container-title":"Entropy","id":"ITEM-2","issue":"2","issued":{"date-parts":[["2020"]]},"page":"1-20","title":"Short-time estimation of fractionation in atrial fibrillation with coarse-grained correlation dimension for mapping the atrial substrate","type":"article-journal","volume":"22"},"uris":["http://www.mendeley.com/documents/?uuid=4bb5bfbc-6b2d-48c5-89e0-50531fa2af0b"]}],"mendeley":{"formattedCitation":"(Almeida et al., 2020; Vraka et al., 2020)","plainTextFormattedCitation":"(Almeida et al., 2020; Vraka et al., 2020)","previouslyFormattedCitation":"(Almeida et al., 2020; Vraka et al., 2020)"},"properties":{"noteIndex":0},"schema":"https://github.com/citation-style-language/schema/raw/master/csl-citation.json"}</w:instrText>
      </w:r>
      <w:r w:rsidR="002D36FA">
        <w:fldChar w:fldCharType="separate"/>
      </w:r>
      <w:r w:rsidR="002D36FA" w:rsidRPr="002D36FA">
        <w:rPr>
          <w:noProof/>
        </w:rPr>
        <w:t>(Almeida et al., 2020; Vraka et al., 2020)</w:t>
      </w:r>
      <w:r w:rsidR="002D36FA">
        <w:fldChar w:fldCharType="end"/>
      </w:r>
      <w:r w:rsidR="004F4F24">
        <w:t xml:space="preserve">, </w:t>
      </w:r>
      <w:r w:rsidR="003F7FAE">
        <w:t>activation patterns</w:t>
      </w:r>
      <w:r w:rsidR="00E23EF0">
        <w:t xml:space="preserve"> </w:t>
      </w:r>
      <w:r w:rsidR="00E23EF0">
        <w:fldChar w:fldCharType="begin" w:fldLock="1"/>
      </w:r>
      <w:r w:rsidR="001811D3">
        <w:instrText>ADDIN CSL_CITATION {"citationItems":[{"id":"ITEM-1","itemData":{"DOI":"10.1161/CIRCEP.113.000833","ISSN":"1941-3084","PMID":"24829224","abstract":"BACKGROUND: -Conventional methods to assess local activation time (LAT) detect the peak of the bipolar electrogram (B-EGM, B-LATPeak) or the maximal negative slope of the unipolar electrogram (U-EGM, U-LATSlope). We evaluated three novel methods to assess LAT: onset (B-LATOnset) and center of mass (B-LATCoM) of B-EGM, and maximal negative slope of U-EGM within a predefined bipolar window (U-LATSlope-hybrid). METHODS AND RESULTS: -In 1,753 AT and 1,426 VT recordings, the performance of the methods in detecting LAT was evaluated paired-wise (e.g. B-LATPeak vs. B-LATOnset). For each comparison, histogram analysis of the differences in LAT values was performed. Variation in differences (P95-P5) in low quality (LQ) was compared to high quality (HQ) EGMs. In a separate dataset (12 AT and 10 VT) we evaluated for each method the accuracy in algorithmic activation mapping. Both in AT and VT, the variation in difference between the conventional and the novel methods was larger in LQ EGMs. In contrast, variation in difference between the novel methods was comparable in LQ and HQ EGMs. Except for LATSlope-hybrid, all methods showed decreased mapping accuracy with increasing percentage of LQ EGMs. U-LATSlope-hybrid accurately mapped activation in 16 out of 22 maps (vs. B-LATCoM, 14; B-LATPeak, 14; B-LATOnset, 13; U-LATSlope, 4). CONCLUSIONS: -In LQ atrial and ventricular electrograms, the novel LAT methods (B-LATOnset, B-LATCoM, and U-LATSlope-hybrid) show less variation than the conventional methods. The U-LATSlope hybrid -a hybrid method which accurately detects the maximal negative unipolar slope- is associated with the highest accuracy in algorithmic mapping of AT/VT.","author":[{"dropping-particle":"","family":"Haddad","given":"Milad","non-dropping-particle":"El","parse-names":false,"suffix":""},{"dropping-particle":"","family":"Houben","given":"Richard","non-dropping-particle":"","parse-names":false,"suffix":""},{"dropping-particle":"","family":"Stroobandt","given":"Roland","non-dropping-particle":"","parse-names":false,"suffix":""},{"dropping-particle":"","family":"Heuverswyn","given":"Frederic","non-dropping-particle":"Van","parse-names":false,"suffix":""},{"dropping-particle":"","family":"Tavernier","given":"Rene","non-dropping-particle":"","parse-names":false,"suffix":""},{"dropping-particle":"","family":"Duytschaever","given":"Mattias","non-dropping-particle":"","parse-names":false,"suffix":""}],"container-title":"Circulation: Arrhythmia and Electrophysiology","id":"ITEM-1","issued":{"date-parts":[["2014","5","14"]]},"page":"463-472","title":"Novel Algorithmic Methods in Mapping of Atrial and Ventricular Tachycardia.","type":"article-journal","volume":"7"},"uris":["http://www.mendeley.com/documents/?uuid=24a2e5b9-5627-4062-966a-334e6efb76b5"]}],"mendeley":{"formattedCitation":"(El Haddad et al., 2014)","plainTextFormattedCitation":"(El Haddad et al., 2014)","previouslyFormattedCitation":"(El Haddad et al., 2014)"},"properties":{"noteIndex":0},"schema":"https://github.com/citation-style-language/schema/raw/master/csl-citation.json"}</w:instrText>
      </w:r>
      <w:r w:rsidR="00E23EF0">
        <w:fldChar w:fldCharType="separate"/>
      </w:r>
      <w:r w:rsidR="00E23EF0" w:rsidRPr="00E23EF0">
        <w:rPr>
          <w:noProof/>
        </w:rPr>
        <w:t>(El Haddad et al., 2014)</w:t>
      </w:r>
      <w:r w:rsidR="00E23EF0">
        <w:fldChar w:fldCharType="end"/>
      </w:r>
      <w:r w:rsidR="00FC2504">
        <w:t>,</w:t>
      </w:r>
      <w:r w:rsidR="00753193">
        <w:rPr>
          <w:vertAlign w:val="superscript"/>
        </w:rPr>
        <w:t xml:space="preserve"> </w:t>
      </w:r>
      <w:r w:rsidR="00FC2504">
        <w:t>conduction velocities</w:t>
      </w:r>
      <w:r w:rsidR="004F4F24">
        <w:t xml:space="preserve"> </w:t>
      </w:r>
      <w:r w:rsidR="00E03010">
        <w:fldChar w:fldCharType="begin" w:fldLock="1"/>
      </w:r>
      <w:r w:rsidR="00DF45F9">
        <w:instrText>ADDIN CSL_CITATION {"citationItems":[{"id":"ITEM-1","itemData":{"DOI":"10.1016/j.compbiomed.2015.04.027","ISSN":"18790534","PMID":"25978869","abstract":"Measurements of cardiac conduction velocity provide valuable functional and structural insight into the initiation and perpetuation of cardiac arrhythmias, in both a clinical and laboratory context. The interpretation of activation wavefronts and their propagation can identify mechanistic properties of a broad range of electrophysiological pathologies. However, the sparsity, distribution and uncertainty of recorded data make accurate conduction velocity calculation difficult. A wide range of mathematical approaches have been proposed for addressing this challenge, often targeted towards specific data modalities, species or recording environments. Many of these algorithms require identification of activation times from electrogram recordings which themselves may have complex morphology or low signal-to-noise ratio. This paper surveys algorithms designed for identifying local activation times and computing conduction direction and speed. Their suitability for use in different recording contexts and applications is assessed.","author":[{"dropping-particle":"","family":"Cantwell","given":"C. D.","non-dropping-particle":"","parse-names":false,"suffix":""},{"dropping-particle":"","family":"Roney","given":"C. H.","non-dropping-particle":"","parse-names":false,"suffix":""},{"dropping-particle":"","family":"Ng","given":"F. S.","non-dropping-particle":"","parse-names":false,"suffix":""},{"dropping-particle":"","family":"Siggers","given":"J. H.","non-dropping-particle":"","parse-names":false,"suffix":""},{"dropping-particle":"","family":"Sherwin","given":"S. J.","non-dropping-particle":"","parse-names":false,"suffix":""},{"dropping-particle":"","family":"Peters","given":"N. S.","non-dropping-particle":"","parse-names":false,"suffix":""}],"container-title":"Computers in Biology and Medicine","id":"ITEM-1","issued":{"date-parts":[["2015"]]},"page":"229-242","title":"Techniques for automated local activation time annotation and conduction velocity estimation in cardiac mapping","type":"article-journal","volume":"65"},"uris":["http://www.mendeley.com/documents/?uuid=7fa9099b-b97a-4d52-8b08-5f96a4489e02"]},{"id":"ITEM-2","itemData":{"DOI":"10.1161/CIRCEP.119.007792","ISSN":"19413084","PMID":"32191131","abstract":"Background: Characterizing myocardial conduction velocity (CV) in patients with ischemic cardiomyopathy (ICM) and ventricular tachycardia (VT) is important for understanding the patient-specific proarrhythmic substrate of VTs and therapeutic planning. The objective of this study is to accurately assess the relation between CV and myocardial fibrosis density on late gadolinium-enhanced cardiac magnetic resonance imaging (LGE-CMR) in patients with ICM. Methods: We enrolled 6 patients with ICM undergoing VT ablation and 5 with structurally normal left ventricles (controls) undergoing premature ventricular contraction or VT ablation. All patients underwent LGE-CMR and electroanatomic mapping (EAM) in sinus rhythm (2960 electroanatomic mapping points analyzed). We estimated CV from electroanatomic mapping local activation time using the triangulation method that provides an accurate estimate of CV as it accounts for the direction of wavefront propagation. We evaluated the association between LGE-CMR intensity and CV with multilevel linear mixed models. Results: Median CV in patients with ICM and controls was 0.41 m/s and 0.65 m/s, respectively. In patients with ICM, CV in areas with no visible fibrosis was 0.81 m/s (95% CI, 0.59-1.12 m/s). For each 25% increase in normalized LGE intensity, CV decreased by 1.34-fold (95% CI, 1.25-1.43). Dense scar areas have, on average, 1.97- to 2.66-fold slower CV compared with areas without dense scar. Ablation lesions that terminated VTs were localized in areas of slow conduction on CV maps. Conclusions: CV is inversely associated with LGE-CMR fibrosis density in patients with ICM. Noninvasive derivation of CV maps from LGE-CMR is feasible. Integration of noninvasive CV maps with electroanatomic mapping during substrate mapping has the potential to improve procedural planning and outcomes.","author":[{"dropping-particle":"","family":"Aronis","given":"Konstantinos N.","non-dropping-particle":"","parse-names":false,"suffix":""},{"dropping-particle":"","family":"Ali","given":"Rheeda L.","non-dropping-particle":"","parse-names":false,"suffix":""},{"dropping-particle":"","family":"Prakosa","given":"Adityo","non-dropping-particle":"","parse-names":false,"suffix":""},{"dropping-particle":"","family":"Ashikaga","given":"Hiroshi","non-dropping-particle":"","parse-names":false,"suffix":""},{"dropping-particle":"","family":"Berger","given":"Ronald D.","non-dropping-particle":"","parse-names":false,"suffix":""},{"dropping-particle":"","family":"Hakim","given":"Joe B.","non-dropping-particle":"","parse-names":false,"suffix":""},{"dropping-particle":"","family":"Liang","given":"Jialiu","non-dropping-particle":"","parse-names":false,"suffix":""},{"dropping-particle":"","family":"Tandri","given":"Harikrishna","non-dropping-particle":"","parse-names":false,"suffix":""},{"dropping-particle":"","family":"Teng","given":"Fei","non-dropping-particle":"","parse-names":false,"suffix":""},{"dropping-particle":"","family":"Chrispin","given":"Jonathan","non-dropping-particle":"","parse-names":false,"suffix":""},{"dropping-particle":"","family":"Trayanova","given":"Natalia A.","non-dropping-particle":"","parse-names":false,"suffix":""}],"container-title":"Circulation: Arrhythmia and Electrophysiology","id":"ITEM-2","issue":"April","issued":{"date-parts":[["2020"]]},"page":"326-335","title":"Accurate Conduction Velocity Maps and Their Association with Scar Distribution on Magnetic Resonance Imaging in Patients with Postinfarction Ventricular Tachycardias","type":"article-journal"},"uris":["http://www.mendeley.com/documents/?uuid=215c2280-66c0-4bf9-8e5f-006e6f1bce4e"]}],"mendeley":{"formattedCitation":"(Cantwell et al., 2015; Aronis et al., 2020)","plainTextFormattedCitation":"(Cantwell et al., 2015; Aronis et al., 2020)","previouslyFormattedCitation":"(Cantwell et al., 2015; Aronis et al., 2020)"},"properties":{"noteIndex":0},"schema":"https://github.com/citation-style-language/schema/raw/master/csl-citation.json"}</w:instrText>
      </w:r>
      <w:r w:rsidR="00E03010">
        <w:fldChar w:fldCharType="separate"/>
      </w:r>
      <w:r w:rsidR="00E03010" w:rsidRPr="00E03010">
        <w:rPr>
          <w:noProof/>
        </w:rPr>
        <w:t>(Cantwell et al., 2015; Aronis et al., 2020)</w:t>
      </w:r>
      <w:r w:rsidR="00E03010">
        <w:fldChar w:fldCharType="end"/>
      </w:r>
      <w:r w:rsidR="003F7FAE">
        <w:t xml:space="preserve"> </w:t>
      </w:r>
      <w:r w:rsidR="00FC2504">
        <w:t xml:space="preserve">and </w:t>
      </w:r>
      <w:r w:rsidR="003F7FAE">
        <w:t>identify phase singularities</w:t>
      </w:r>
      <w:r w:rsidR="00FC2504">
        <w:t xml:space="preserve"> through multiple mapping techniques</w:t>
      </w:r>
      <w:r w:rsidR="00DF45F9">
        <w:t xml:space="preserve"> </w:t>
      </w:r>
      <w:r w:rsidR="004F6C10">
        <w:fldChar w:fldCharType="begin" w:fldLock="1"/>
      </w:r>
      <w:r w:rsidR="00E23EF0">
        <w:instrText>ADDIN CSL_CITATION {"citationItems":[{"id":"ITEM-1","itemData":{"DOI":"10.3389/fphys.2018.00208","ISSN":"1664042X","abstract":"Rotational activations, or spiral waves, are one of the proposed mechanisms for atrial fibrillation (AF) maintenance. We present a system for assessing the presence of rotational activity from intracardiac electrograms (EGMs). Our system is able to operate in real-time with multi-electrode catheters of different topologies in contact with the atrial wall, and it is based on new local activation time (LAT) estimation and rotational activity detection methods. The EGM LAT estimation method is based on the identification of the highest sustained negative slope of unipolar signals. The method is implemented as a linear filter whose output is interpolated on a regular grid to match any catheter topology. Its operation is illustrated on selected signals and compared to the classical Hilbert-Transform-based phase analysis. After the estimation of the LAT on the regular grid, the detection of rotational activity in the atrium is done by a novel method based on the optical flow of the wavefront dynamics, and a rotation pattern match. The methods have been validated using in-silico and real AF signals.","author":[{"dropping-particle":"","family":"Ríos-Muñoz","given":"Gonzalo R.","non-dropping-particle":"","parse-names":false,"suffix":""},{"dropping-particle":"","family":"Arenal","given":"Ángel","non-dropping-particle":"","parse-names":false,"suffix":""},{"dropping-particle":"","family":"Artés-Rodríguez","given":"Antonio","non-dropping-particle":"","parse-names":false,"suffix":""}],"container-title":"Frontiers in Physiology","id":"ITEM-1","issue":"MAR","issued":{"date-parts":[["2018"]]},"page":"1-17","title":"Real-time rotational activity detection in atrial fibrillation","type":"article-journal","volume":"9"},"uris":["http://www.mendeley.com/documents/?uuid=da038002-d882-463d-8702-5f27982d1c15"]},{"id":"ITEM-2","itemData":{"abstract":"Background: The mechanisms that initiate and sustain persistent atrial fibrillation are not well characterized. Ablation results remain significantly worse than in paroxysmal atrial fibrillation in which the mechanism is better understood and subsequent targeted therapy has been developed. The aim of this study was to characterize and quantify patterns of activation during atrial fibrillation using contact mapping.Methods: Patients with persistent atrial fibrillation (n=14; mean age, 61±8 years; ejection fraction, 59±10%) underwent simultaneous biatrial contact mapping with 64 electrode catheters. The atrial electrograms were transformed into phase, and subsequent spatiotemporal mapping was performed to identify phase singularities (PSs).RESULTS: PSs were located in both atria, but we observed more PSs in the left atrium compared with the right atrium (779±302, 552±235; P=0.015). Although some PSs of duration sufficient to complete &amp;amp;gt;1 rotation were detected, the maximum PS duration was only 1150 ms, and the vast majority (97%) of PSs persisted for too short a period to complete a full rotation. Although in selected patients there was evidence of PS local clustering, overall, PSs were distributed globally throughout both chambers with no clear anatomic predisposition. In a subset of patients (n=7), analysis was repeated using an alternative established atrial PS mapping technique, which confirmed our initial findings.Conclusions: No sustained rotors or localized drivers were detected, and instead, the mechanism of arrhythmia maintenance was consistent with the multiple wavelet hypothesis, with passive activation of short-lived rotational activity.Clinical Trial Registration: URL: https://www.clinicaltrials.gov. Unique identifier: NCT01765075.","author":[{"dropping-particle":"","family":"Child","given":"Nicholas","non-dropping-particle":"","parse-names":false,"suffix":""},{"dropping-particle":"","family":"Clayton","given":"Richard H","non-dropping-particle":"","parse-names":false,"suffix":""},{"dropping-particle":"","family":"Roney","given":"Caroline H.","non-dropping-particle":"","parse-names":false,"suffix":""},{"dropping-particle":"","family":"Laughner","given":"Jacob I","non-dropping-particle":"","parse-names":false,"suffix":""},{"dropping-particle":"","family":"Shuros","given":"Allan","non-dropping-particle":"","parse-names":false,"suffix":""},{"dropping-particle":"","family":"Neuzil","given":"Petr","non-dropping-particle":"","parse-names":false,"suffix":""},{"dropping-particle":"","family":"Petru","given":"Jan","non-dropping-particle":"","parse-names":false,"suffix":""},{"dropping-particle":"","family":"Jackson","given":"Tom","non-dropping-particle":"","parse-names":false,"suffix":""},{"dropping-particle":"","family":"Porter","given":"Bradley","non-dropping-particle":"","parse-names":false,"suffix":""},{"dropping-particle":"","family":"Bostock","given":"Julian","non-dropping-particle":"","parse-names":false,"suffix":""},{"dropping-particle":"","family":"Niederer","given":"Steven A","non-dropping-particle":"","parse-names":false,"suffix":""},{"dropping-particle":"","family":"Razavi","given":"Reza S","non-dropping-particle":"","parse-names":false,"suffix":""},{"dropping-particle":"","family":"Rinaldi","given":"Christopher A","non-dropping-particle":"","parse-names":false,"suffix":""},{"dropping-particle":"","family":"Taggart","given":"Peter","non-dropping-particle":"","parse-names":false,"suffix":""},{"dropping-particle":"","family":"Wright","given":"Matthew J","non-dropping-particle":"","parse-names":false,"suffix":""},{"dropping-particle":"","family":"Gill","given":"Jaswinder","non-dropping-particle":"","parse-names":false,"suffix":""}],"container-title":"Circulation: Arrhythmia and Electrophysiology","id":"ITEM-2","issue":"6","issued":{"date-parts":[["2018","6","1"]]},"page":"e005897","title":"Unraveling the Underlying Arrhythmia Mechanism in Persistent Atrial Fibrillation","type":"article-journal","volume":"11"},"uris":["http://www.mendeley.com/documents/?uuid=c66c4ebb-2960-489a-b249-3bfb6a4c1d7a"]}],"mendeley":{"formattedCitation":"(Child et al., 2018; Ríos-Muñoz et al., 2018)","plainTextFormattedCitation":"(Child et al., 2018; Ríos-Muñoz et al., 2018)","previouslyFormattedCitation":"(Child et al., 2018; Ríos-Muñoz et al., 2018)"},"properties":{"noteIndex":0},"schema":"https://github.com/citation-style-language/schema/raw/master/csl-citation.json"}</w:instrText>
      </w:r>
      <w:r w:rsidR="004F6C10">
        <w:fldChar w:fldCharType="separate"/>
      </w:r>
      <w:r w:rsidR="004F6C10" w:rsidRPr="004F6C10">
        <w:rPr>
          <w:noProof/>
        </w:rPr>
        <w:t>(Child et al., 2018; Ríos-Muñoz et al., 2018)</w:t>
      </w:r>
      <w:r w:rsidR="004F6C10">
        <w:fldChar w:fldCharType="end"/>
      </w:r>
      <w:r w:rsidR="006341F2">
        <w:t>.</w:t>
      </w:r>
    </w:p>
    <w:p w14:paraId="422E9425" w14:textId="410FAB74" w:rsidR="003C6BDE" w:rsidRDefault="00FC2504" w:rsidP="004F6138">
      <w:r>
        <w:t xml:space="preserve">All of these post-processing steps </w:t>
      </w:r>
      <w:r w:rsidR="00CA490A">
        <w:t xml:space="preserve">depend on common data management processes including the ability to export mapping data from clinical systems, store this data in </w:t>
      </w:r>
      <w:r w:rsidR="00663AC6">
        <w:t xml:space="preserve">space-efficient </w:t>
      </w:r>
      <w:r w:rsidR="00CA490A">
        <w:t>machine-readable formats</w:t>
      </w:r>
      <w:r w:rsidR="00663AC6">
        <w:t xml:space="preserve"> and</w:t>
      </w:r>
      <w:r w:rsidR="004B0455">
        <w:t xml:space="preserve"> access </w:t>
      </w:r>
      <w:r w:rsidR="00024FE0">
        <w:t>electrophysiological data for post-processing.</w:t>
      </w:r>
      <w:r w:rsidR="00F118E6">
        <w:t xml:space="preserve"> </w:t>
      </w:r>
      <w:r w:rsidR="00024FE0">
        <w:t xml:space="preserve">Although </w:t>
      </w:r>
      <w:r w:rsidR="00C43439">
        <w:t xml:space="preserve">multiple research groups </w:t>
      </w:r>
      <w:r w:rsidR="00CC6F0B">
        <w:t>are active in these areas, there is as-yet no reported, open-source, standardised framework for performing these core functionalities.</w:t>
      </w:r>
      <w:r w:rsidR="0068753B">
        <w:t xml:space="preserve"> </w:t>
      </w:r>
      <w:r w:rsidR="003C6BDE">
        <w:t>The creation of software to achieve these functions represents a barrier to entry to electrophysiology research and the lack of a common data standard represents a hindrance to collaboration between research groups.</w:t>
      </w:r>
    </w:p>
    <w:p w14:paraId="3FFC4303" w14:textId="734C239A" w:rsidR="00646DCB" w:rsidRDefault="0068753B" w:rsidP="004F6138">
      <w:r>
        <w:t xml:space="preserve">We sought to develop a standardised data structure </w:t>
      </w:r>
      <w:r w:rsidR="00D07EAE">
        <w:t xml:space="preserve">for electroanatomic mapping data together with a framework for parsing data from </w:t>
      </w:r>
      <w:r w:rsidR="00B865ED">
        <w:t>commonly used</w:t>
      </w:r>
      <w:r w:rsidR="00AE7C61">
        <w:t xml:space="preserve"> electroanatomic mapping platforms</w:t>
      </w:r>
      <w:r w:rsidR="003D5DC9">
        <w:t xml:space="preserve"> </w:t>
      </w:r>
      <w:r w:rsidR="004A1D09">
        <w:t>to</w:t>
      </w:r>
      <w:r w:rsidR="003D5DC9">
        <w:t xml:space="preserve"> </w:t>
      </w:r>
      <w:r w:rsidR="004F67BD">
        <w:t>facilitate</w:t>
      </w:r>
      <w:r w:rsidR="003D5DC9">
        <w:t xml:space="preserve"> </w:t>
      </w:r>
      <w:r w:rsidR="003C6BDE">
        <w:t>electroanatomic data processing</w:t>
      </w:r>
      <w:r w:rsidR="003D5DC9">
        <w:t xml:space="preserve"> for research purposes</w:t>
      </w:r>
      <w:r w:rsidR="00AE7C61">
        <w:t xml:space="preserve">. Here we present </w:t>
      </w:r>
      <w:r w:rsidR="008C6D72">
        <w:t xml:space="preserve">the </w:t>
      </w:r>
      <w:proofErr w:type="spellStart"/>
      <w:r w:rsidR="007B3456">
        <w:t>OpenEP</w:t>
      </w:r>
      <w:proofErr w:type="spellEnd"/>
      <w:r w:rsidR="00F050BF">
        <w:t xml:space="preserve"> (</w:t>
      </w:r>
      <w:r w:rsidR="00A34076">
        <w:t>Open</w:t>
      </w:r>
      <w:r w:rsidR="00351C5C">
        <w:t xml:space="preserve"> </w:t>
      </w:r>
      <w:r w:rsidR="004A1D09">
        <w:t>Electro</w:t>
      </w:r>
      <w:r w:rsidR="00A34076">
        <w:t>p</w:t>
      </w:r>
      <w:r w:rsidR="004A1D09">
        <w:t>hysiology Int</w:t>
      </w:r>
      <w:r w:rsidR="00DF7D48">
        <w:t>er</w:t>
      </w:r>
      <w:r w:rsidR="00311930">
        <w:t>f</w:t>
      </w:r>
      <w:r w:rsidR="00DF7D48">
        <w:t xml:space="preserve">ace </w:t>
      </w:r>
      <w:r w:rsidR="00B865ED">
        <w:t>for</w:t>
      </w:r>
      <w:r w:rsidR="00DF7D48">
        <w:t xml:space="preserve"> </w:t>
      </w:r>
      <w:r w:rsidR="00311930">
        <w:t>R</w:t>
      </w:r>
      <w:r w:rsidR="00B1068B">
        <w:t>e</w:t>
      </w:r>
      <w:r w:rsidR="00DF7D48">
        <w:t>search</w:t>
      </w:r>
      <w:r w:rsidR="00F050BF">
        <w:t xml:space="preserve">) framework, associated code repositories and website </w:t>
      </w:r>
      <w:r w:rsidR="00E4137C">
        <w:t>(</w:t>
      </w:r>
      <w:r w:rsidR="00351C5C">
        <w:t>http://</w:t>
      </w:r>
      <w:r w:rsidR="004F67BD">
        <w:t>openep</w:t>
      </w:r>
      <w:r w:rsidR="00351C5C">
        <w:t>.io</w:t>
      </w:r>
      <w:r w:rsidR="00F050BF">
        <w:t>)</w:t>
      </w:r>
      <w:r w:rsidR="00DF7D48">
        <w:t>. We further</w:t>
      </w:r>
      <w:r w:rsidR="00D75C8F">
        <w:t xml:space="preserve"> provide examples </w:t>
      </w:r>
      <w:r w:rsidR="004F67BD">
        <w:t xml:space="preserve">analysing electrophysiology data </w:t>
      </w:r>
      <w:r w:rsidR="00002C2B">
        <w:t>using</w:t>
      </w:r>
      <w:r w:rsidR="00676C01">
        <w:t xml:space="preserve"> </w:t>
      </w:r>
      <w:proofErr w:type="spellStart"/>
      <w:r w:rsidR="004F67BD">
        <w:t>OpenEP</w:t>
      </w:r>
      <w:proofErr w:type="spellEnd"/>
      <w:r w:rsidR="00351C5C">
        <w:t xml:space="preserve">, </w:t>
      </w:r>
      <w:r w:rsidR="003C6BDE">
        <w:lastRenderedPageBreak/>
        <w:t>benchmark</w:t>
      </w:r>
      <w:r w:rsidR="00676C01">
        <w:t xml:space="preserve"> its storage efficiency</w:t>
      </w:r>
      <w:r w:rsidR="00002C2B">
        <w:t xml:space="preserve"> compar</w:t>
      </w:r>
      <w:r w:rsidR="00D12AD3">
        <w:t>ed to the original raw data</w:t>
      </w:r>
      <w:r w:rsidR="00351C5C">
        <w:t xml:space="preserve"> and validat</w:t>
      </w:r>
      <w:r w:rsidR="003C6BDE">
        <w:t xml:space="preserve">e </w:t>
      </w:r>
      <w:r w:rsidR="00B865ED">
        <w:t>performance</w:t>
      </w:r>
      <w:r w:rsidR="00351C5C">
        <w:t xml:space="preserve"> against th</w:t>
      </w:r>
      <w:r w:rsidR="00B865ED">
        <w:t>e original</w:t>
      </w:r>
      <w:r w:rsidR="00351C5C">
        <w:t xml:space="preserve"> data.</w:t>
      </w:r>
    </w:p>
    <w:p w14:paraId="19227C55" w14:textId="77B858DD" w:rsidR="007E35E0" w:rsidRDefault="00E5136B" w:rsidP="00E5136B">
      <w:r>
        <w:t>The three aims of this study were therefore 1) t</w:t>
      </w:r>
      <w:r w:rsidR="00BB39FD">
        <w:t xml:space="preserve">o </w:t>
      </w:r>
      <w:r w:rsidR="001D21E5">
        <w:t>present</w:t>
      </w:r>
      <w:r w:rsidR="00D12AD3">
        <w:t xml:space="preserve"> </w:t>
      </w:r>
      <w:r w:rsidR="00BB39FD">
        <w:t>a</w:t>
      </w:r>
      <w:r w:rsidR="00D12AD3">
        <w:t xml:space="preserve">n open </w:t>
      </w:r>
      <w:r w:rsidR="007E35E0">
        <w:t xml:space="preserve">research </w:t>
      </w:r>
      <w:r w:rsidR="00BB39FD">
        <w:t xml:space="preserve">data standard for </w:t>
      </w:r>
      <w:r w:rsidR="007E35E0">
        <w:t xml:space="preserve">storing and parsing </w:t>
      </w:r>
      <w:r w:rsidR="00BB39FD">
        <w:t>electroanatomic mapping data</w:t>
      </w:r>
      <w:r>
        <w:t>; 2) t</w:t>
      </w:r>
      <w:r w:rsidR="00103E31">
        <w:t xml:space="preserve">o analyse the performance of </w:t>
      </w:r>
      <w:r>
        <w:t>an implementation</w:t>
      </w:r>
      <w:r w:rsidR="00103E31">
        <w:t xml:space="preserve"> framework</w:t>
      </w:r>
      <w:r>
        <w:t xml:space="preserve"> using this data standard</w:t>
      </w:r>
      <w:r w:rsidR="00103E31">
        <w:t xml:space="preserve"> for storing</w:t>
      </w:r>
      <w:r w:rsidR="001D21E5">
        <w:t xml:space="preserve"> and representing</w:t>
      </w:r>
      <w:r w:rsidR="00103E31">
        <w:t xml:space="preserve"> electro</w:t>
      </w:r>
      <w:r w:rsidR="007750B6">
        <w:t>anatomic mapping data</w:t>
      </w:r>
      <w:r>
        <w:t>; and 3) t</w:t>
      </w:r>
      <w:r w:rsidR="007E35E0">
        <w:t xml:space="preserve">o determine, through literature review, the </w:t>
      </w:r>
      <w:r w:rsidR="004F40BC">
        <w:t xml:space="preserve">suitability of </w:t>
      </w:r>
      <w:proofErr w:type="spellStart"/>
      <w:r w:rsidR="004F40BC">
        <w:t>OpenEP</w:t>
      </w:r>
      <w:proofErr w:type="spellEnd"/>
      <w:r w:rsidR="004F40BC">
        <w:t xml:space="preserve"> for contemporary research </w:t>
      </w:r>
      <w:r w:rsidR="00274E60">
        <w:t>thereby presenting a</w:t>
      </w:r>
      <w:r w:rsidR="004F40BC">
        <w:t xml:space="preserve"> roadmap for future development.</w:t>
      </w:r>
    </w:p>
    <w:p w14:paraId="4BD6ED93" w14:textId="4C293B23" w:rsidR="004E5F68" w:rsidRPr="004E5F68" w:rsidRDefault="00061339" w:rsidP="00D95082">
      <w:pPr>
        <w:pStyle w:val="Heading1"/>
      </w:pPr>
      <w:r>
        <w:t xml:space="preserve">Materials and </w:t>
      </w:r>
      <w:r w:rsidR="002825F9">
        <w:t>Methods</w:t>
      </w:r>
    </w:p>
    <w:p w14:paraId="3DB63262" w14:textId="4E9E926C" w:rsidR="008A7416" w:rsidRDefault="00252206" w:rsidP="00252206">
      <w:pPr>
        <w:pStyle w:val="Heading2"/>
      </w:pPr>
      <w:r>
        <w:t>Data Structure</w:t>
      </w:r>
      <w:r w:rsidR="004657A6">
        <w:t xml:space="preserve"> and Implementation</w:t>
      </w:r>
    </w:p>
    <w:p w14:paraId="6A25ABEC" w14:textId="71929AD5" w:rsidR="00574D36" w:rsidRDefault="00D95082" w:rsidP="00BB39FD">
      <w:r>
        <w:t xml:space="preserve">The computer code shared within </w:t>
      </w:r>
      <w:proofErr w:type="spellStart"/>
      <w:r>
        <w:t>OpenEP</w:t>
      </w:r>
      <w:proofErr w:type="spellEnd"/>
      <w:r>
        <w:t xml:space="preserve"> has been under continual development for over a decade and is actively used within our research groups</w:t>
      </w:r>
      <w:r w:rsidR="001B1AE8">
        <w:t xml:space="preserve"> to analyse data from the major electroanatomic mapping platforms. This active use </w:t>
      </w:r>
      <w:r w:rsidR="00B61EB3">
        <w:t>permit</w:t>
      </w:r>
      <w:r w:rsidR="001B1AE8">
        <w:t>s</w:t>
      </w:r>
      <w:r w:rsidR="00B61EB3">
        <w:t xml:space="preserve"> </w:t>
      </w:r>
      <w:r w:rsidR="001B1AE8">
        <w:t xml:space="preserve">its </w:t>
      </w:r>
      <w:r w:rsidR="00B61EB3">
        <w:t>ongoing development</w:t>
      </w:r>
      <w:r>
        <w:t>.</w:t>
      </w:r>
      <w:r w:rsidR="00574D36">
        <w:t xml:space="preserve"> The software</w:t>
      </w:r>
      <w:r w:rsidR="001B1AE8">
        <w:t xml:space="preserve"> described here</w:t>
      </w:r>
      <w:r w:rsidR="00574D36">
        <w:t xml:space="preserve"> is made available under </w:t>
      </w:r>
      <w:r w:rsidR="00753193">
        <w:t xml:space="preserve">the Apache </w:t>
      </w:r>
      <w:r w:rsidR="00756E1F">
        <w:t xml:space="preserve">Licence </w:t>
      </w:r>
      <w:r w:rsidR="00753193">
        <w:t>2.0</w:t>
      </w:r>
      <w:r w:rsidR="00574D36">
        <w:t xml:space="preserve"> and can be freely used for academic research.</w:t>
      </w:r>
      <w:r>
        <w:t xml:space="preserve"> </w:t>
      </w:r>
    </w:p>
    <w:p w14:paraId="4B4757A4" w14:textId="0DB16969" w:rsidR="00AA3A2A" w:rsidRDefault="00780C78" w:rsidP="00BB39FD">
      <w:r>
        <w:t xml:space="preserve">Inspection of </w:t>
      </w:r>
      <w:r w:rsidR="00476EFC">
        <w:t>data exported from</w:t>
      </w:r>
      <w:r w:rsidR="00D95082">
        <w:t xml:space="preserve"> Velocity, Precision and </w:t>
      </w:r>
      <w:r w:rsidR="004F40BC">
        <w:t>Carto3</w:t>
      </w:r>
      <w:r w:rsidR="00476EFC">
        <w:t xml:space="preserve"> electroanatomic mapping system revealed t</w:t>
      </w:r>
      <w:r w:rsidR="00B91CFA">
        <w:t>wo</w:t>
      </w:r>
      <w:r w:rsidR="00914EC7">
        <w:t xml:space="preserve"> </w:t>
      </w:r>
      <w:r w:rsidR="009739E6">
        <w:t>categories of electroanatomic mapping data</w:t>
      </w:r>
      <w:r w:rsidR="00476EFC">
        <w:t xml:space="preserve"> </w:t>
      </w:r>
      <w:r w:rsidR="009739E6">
        <w:t xml:space="preserve">– surface data and </w:t>
      </w:r>
      <w:r w:rsidR="00476EFC">
        <w:t>electrogram</w:t>
      </w:r>
      <w:r w:rsidR="009739E6">
        <w:t xml:space="preserve"> data.</w:t>
      </w:r>
      <w:r w:rsidR="001D21E5">
        <w:t xml:space="preserve"> Individual</w:t>
      </w:r>
      <w:r w:rsidR="00476EFC">
        <w:t xml:space="preserve"> exported</w:t>
      </w:r>
      <w:r w:rsidR="001D21E5">
        <w:t xml:space="preserve"> </w:t>
      </w:r>
      <w:r w:rsidR="00357C70">
        <w:t xml:space="preserve">datatypes </w:t>
      </w:r>
      <w:r w:rsidR="00C35C25">
        <w:t xml:space="preserve">representing all geometric and electrical data acquired by the mapping system </w:t>
      </w:r>
      <w:r w:rsidR="00357C70">
        <w:t xml:space="preserve">were </w:t>
      </w:r>
      <w:r w:rsidR="00911D94">
        <w:t xml:space="preserve">grouped into each of these categories. </w:t>
      </w:r>
      <w:r w:rsidR="009739E6">
        <w:t>An etymology was</w:t>
      </w:r>
      <w:r w:rsidR="00E72732">
        <w:t xml:space="preserve"> </w:t>
      </w:r>
      <w:r w:rsidR="009739E6">
        <w:t xml:space="preserve">designed </w:t>
      </w:r>
      <w:r w:rsidR="004657A6">
        <w:t xml:space="preserve">categorising each datatype into </w:t>
      </w:r>
      <w:r w:rsidR="00671F6E">
        <w:t>subgroups within</w:t>
      </w:r>
      <w:r w:rsidR="004657A6">
        <w:t xml:space="preserve"> these categories</w:t>
      </w:r>
      <w:r w:rsidR="00DD6C3F">
        <w:t xml:space="preserve"> (see Supplementary Material)</w:t>
      </w:r>
      <w:r w:rsidR="004657A6">
        <w:t>.</w:t>
      </w:r>
      <w:r w:rsidR="00911D94">
        <w:t xml:space="preserve"> A</w:t>
      </w:r>
      <w:r w:rsidR="004657A6">
        <w:t>n</w:t>
      </w:r>
      <w:r w:rsidR="005E6D11">
        <w:t xml:space="preserve"> implementation</w:t>
      </w:r>
      <w:r w:rsidR="004657A6">
        <w:t xml:space="preserve"> of </w:t>
      </w:r>
      <w:proofErr w:type="spellStart"/>
      <w:r w:rsidR="0088394B">
        <w:t>OpenEP</w:t>
      </w:r>
      <w:proofErr w:type="spellEnd"/>
      <w:r w:rsidR="004657A6">
        <w:t xml:space="preserve"> was developed </w:t>
      </w:r>
      <w:r w:rsidR="005E6D11">
        <w:t xml:space="preserve">using MATLAB </w:t>
      </w:r>
      <w:r w:rsidR="00225685">
        <w:t xml:space="preserve">R2020a </w:t>
      </w:r>
      <w:r w:rsidR="005E6D11">
        <w:t xml:space="preserve">(The MathWorks, </w:t>
      </w:r>
      <w:r w:rsidR="00225685">
        <w:t>Inc</w:t>
      </w:r>
      <w:r w:rsidR="000D0C86">
        <w:t xml:space="preserve">). </w:t>
      </w:r>
    </w:p>
    <w:p w14:paraId="078E7832" w14:textId="7CD165A2" w:rsidR="00FC3F56" w:rsidRDefault="00750B94" w:rsidP="00BF47AB">
      <w:pPr>
        <w:pStyle w:val="Heading2"/>
      </w:pPr>
      <w:r>
        <w:t>Clinical data</w:t>
      </w:r>
    </w:p>
    <w:p w14:paraId="6708C197" w14:textId="790D5D5C" w:rsidR="00EA1A40" w:rsidRDefault="00255D68" w:rsidP="00E72732">
      <w:r>
        <w:t xml:space="preserve">For the purposes of this evaluation of the </w:t>
      </w:r>
      <w:proofErr w:type="spellStart"/>
      <w:r>
        <w:t>OpenEP</w:t>
      </w:r>
      <w:proofErr w:type="spellEnd"/>
      <w:r>
        <w:t xml:space="preserve"> software, </w:t>
      </w:r>
      <w:r w:rsidR="00AB07DF">
        <w:t xml:space="preserve">left atrial activation/voltage mapping </w:t>
      </w:r>
      <w:r>
        <w:t>d</w:t>
      </w:r>
      <w:r w:rsidR="005F32F4">
        <w:t xml:space="preserve">ata was exported from </w:t>
      </w:r>
      <w:r w:rsidR="00751B00">
        <w:t>one electroanatomic mapping platform (</w:t>
      </w:r>
      <w:r w:rsidR="005F32F4">
        <w:t>Carto</w:t>
      </w:r>
      <w:r w:rsidR="00751B00">
        <w:t>3</w:t>
      </w:r>
      <w:r w:rsidR="00045E90">
        <w:t>; V6)</w:t>
      </w:r>
      <w:r w:rsidR="005F32F4">
        <w:t xml:space="preserve">. </w:t>
      </w:r>
      <w:r w:rsidR="00363CF4">
        <w:t xml:space="preserve">The general format of this data consisted of </w:t>
      </w:r>
      <w:r w:rsidR="00757CD4">
        <w:t>a series of XML files describing the study characteristics</w:t>
      </w:r>
      <w:r w:rsidR="00FD0495">
        <w:t xml:space="preserve">, </w:t>
      </w:r>
      <w:r w:rsidR="00757CD4">
        <w:t xml:space="preserve">a series of text files, </w:t>
      </w:r>
      <w:r w:rsidR="006D5EB2">
        <w:t>12 per mapping point</w:t>
      </w:r>
      <w:r w:rsidR="00FD0495">
        <w:t xml:space="preserve">, describing the electrogram features, and a </w:t>
      </w:r>
      <w:r w:rsidR="00A748AB">
        <w:t>file</w:t>
      </w:r>
      <w:r w:rsidR="00FD0495">
        <w:t xml:space="preserve"> describing the chamber geometry and electroanatomic maps created during the clinical case.</w:t>
      </w:r>
      <w:r w:rsidR="008128C8">
        <w:t xml:space="preserve"> Patient datasets used in this study included </w:t>
      </w:r>
      <w:r w:rsidR="00FD0495">
        <w:t xml:space="preserve">forty patients undergoing first-time </w:t>
      </w:r>
      <w:r w:rsidR="008128C8">
        <w:t>atrial fibrillation ablation</w:t>
      </w:r>
      <w:r w:rsidR="00E5404F">
        <w:t>.</w:t>
      </w:r>
      <w:r w:rsidR="001D21E5">
        <w:t xml:space="preserve"> </w:t>
      </w:r>
      <w:r w:rsidR="009671D2">
        <w:t xml:space="preserve">Example datasets for use with </w:t>
      </w:r>
      <w:proofErr w:type="spellStart"/>
      <w:r w:rsidR="009671D2">
        <w:t>OpenEP</w:t>
      </w:r>
      <w:proofErr w:type="spellEnd"/>
      <w:r w:rsidR="009671D2">
        <w:t xml:space="preserve"> are available in the Supplementary Material</w:t>
      </w:r>
      <w:r w:rsidR="00EA1A40">
        <w:t>.</w:t>
      </w:r>
      <w:r w:rsidR="00F568F7">
        <w:t xml:space="preserve"> </w:t>
      </w:r>
      <w:r w:rsidR="00EA1A40">
        <w:t>Prior to data export from the electroanatomic mapping platform, all electrograms were manually inspecte</w:t>
      </w:r>
      <w:r w:rsidR="00567B08">
        <w:t>d. Electrograms which were clearly far-field were excluded from the electroanatomic maps and timing annotations were corrected as necessary</w:t>
      </w:r>
      <w:r w:rsidR="00EA1A40">
        <w:t xml:space="preserve">. </w:t>
      </w:r>
      <w:r w:rsidR="00F568F7">
        <w:t xml:space="preserve">Anatomical structures were added </w:t>
      </w:r>
      <w:r w:rsidR="00A748AB">
        <w:t xml:space="preserve">using the mapping system </w:t>
      </w:r>
      <w:r w:rsidR="00F568F7">
        <w:t xml:space="preserve">to represent the mitral valve </w:t>
      </w:r>
      <w:r w:rsidR="00A748AB">
        <w:t xml:space="preserve">annulus </w:t>
      </w:r>
      <w:r w:rsidR="00F568F7">
        <w:t>and all pulmonary vein</w:t>
      </w:r>
      <w:r w:rsidR="00A748AB">
        <w:t xml:space="preserve"> ostia</w:t>
      </w:r>
      <w:r w:rsidR="00F568F7">
        <w:t>.</w:t>
      </w:r>
      <w:r>
        <w:t xml:space="preserve"> Clinical data was collected during routine patient care. </w:t>
      </w:r>
      <w:r w:rsidR="008F1A7A">
        <w:t>Health Research Authority</w:t>
      </w:r>
      <w:r>
        <w:t xml:space="preserve"> approval was granted for the retrospective use of this data</w:t>
      </w:r>
      <w:r w:rsidR="008F1A7A">
        <w:t xml:space="preserve"> for research</w:t>
      </w:r>
      <w:r>
        <w:t xml:space="preserve"> (</w:t>
      </w:r>
      <w:r w:rsidR="0001612C">
        <w:t>REC Reference: 18/HRA/0083</w:t>
      </w:r>
      <w:r>
        <w:t>).</w:t>
      </w:r>
    </w:p>
    <w:p w14:paraId="5C961561" w14:textId="1C3E9AC0" w:rsidR="001D3C05" w:rsidRDefault="001D3C05" w:rsidP="001D3C05">
      <w:pPr>
        <w:pStyle w:val="Heading2"/>
      </w:pPr>
      <w:r>
        <w:lastRenderedPageBreak/>
        <w:t>Performance</w:t>
      </w:r>
      <w:r w:rsidR="00DD0612">
        <w:t xml:space="preserve"> benchmarking</w:t>
      </w:r>
    </w:p>
    <w:p w14:paraId="5A8F1C34" w14:textId="5785EB5B" w:rsidR="00582F0E" w:rsidRDefault="002A19F1" w:rsidP="001D3C05">
      <w:r>
        <w:t xml:space="preserve">To benchmark the performance of </w:t>
      </w:r>
      <w:proofErr w:type="spellStart"/>
      <w:r w:rsidR="00E26C70">
        <w:t>OpenEP</w:t>
      </w:r>
      <w:proofErr w:type="spellEnd"/>
      <w:r>
        <w:t xml:space="preserve">, two metrics were considered. Firstly, the </w:t>
      </w:r>
      <w:r w:rsidR="00D03A13">
        <w:t xml:space="preserve">time taken to import the data and create the </w:t>
      </w:r>
      <w:proofErr w:type="spellStart"/>
      <w:r w:rsidR="00A748AB">
        <w:t>OpenEP</w:t>
      </w:r>
      <w:proofErr w:type="spellEnd"/>
      <w:r w:rsidR="00D03A13">
        <w:t xml:space="preserve"> data structure for each </w:t>
      </w:r>
      <w:r w:rsidR="00582F0E">
        <w:t>dataset was calculated.</w:t>
      </w:r>
      <w:r w:rsidR="006273C2">
        <w:t xml:space="preserve"> </w:t>
      </w:r>
      <w:r w:rsidR="00582F0E">
        <w:t xml:space="preserve">A recursive script was set up to automate measurement of data import time for each dataset. </w:t>
      </w:r>
      <w:r w:rsidR="00B2432D">
        <w:t xml:space="preserve">Performance benchmarking was performed on MacOS </w:t>
      </w:r>
      <w:r w:rsidR="008F58A9">
        <w:t>(</w:t>
      </w:r>
      <w:r w:rsidR="00A748AB">
        <w:t xml:space="preserve">MacBook Pro, </w:t>
      </w:r>
      <w:r w:rsidR="00C04C49">
        <w:t xml:space="preserve">3.3GHz dual core i7 processor, 16Gb RAM, </w:t>
      </w:r>
      <w:r w:rsidR="009F6E51">
        <w:t>500Gb SSD storage</w:t>
      </w:r>
      <w:r w:rsidR="008F58A9">
        <w:t>)</w:t>
      </w:r>
      <w:r w:rsidR="00B2432D">
        <w:t>, using the MATLAB environment</w:t>
      </w:r>
      <w:r w:rsidR="008F58A9">
        <w:t xml:space="preserve"> (R2020a)</w:t>
      </w:r>
      <w:r w:rsidR="00B2432D">
        <w:t xml:space="preserve">. </w:t>
      </w:r>
      <w:r w:rsidR="00582F0E">
        <w:t xml:space="preserve">Secondly, dataset size for each patient was measured using the standard </w:t>
      </w:r>
      <w:r w:rsidR="009C2DC3">
        <w:t>operating system tools</w:t>
      </w:r>
      <w:r w:rsidR="006273C2">
        <w:t xml:space="preserve"> and compared with the dataset size exported by the clinical mapping system</w:t>
      </w:r>
      <w:r w:rsidR="00B2432D">
        <w:t xml:space="preserve"> in both compressed and uncompressed </w:t>
      </w:r>
      <w:r w:rsidR="009F6E51">
        <w:t>(zip)</w:t>
      </w:r>
      <w:r w:rsidR="00B2432D">
        <w:t xml:space="preserve"> formats.</w:t>
      </w:r>
    </w:p>
    <w:p w14:paraId="770D84E0" w14:textId="3DC630AB" w:rsidR="006273C2" w:rsidRPr="006273C2" w:rsidRDefault="006273C2" w:rsidP="006273C2">
      <w:pPr>
        <w:pStyle w:val="Heading2"/>
      </w:pPr>
      <w:r>
        <w:t>Data Validation</w:t>
      </w:r>
    </w:p>
    <w:p w14:paraId="6BDF1AF8" w14:textId="263615C9" w:rsidR="00CC45EA" w:rsidRDefault="00F90015" w:rsidP="006273C2">
      <w:r>
        <w:t xml:space="preserve">The </w:t>
      </w:r>
      <w:proofErr w:type="spellStart"/>
      <w:r>
        <w:t>OpenEP</w:t>
      </w:r>
      <w:proofErr w:type="spellEnd"/>
      <w:r>
        <w:t xml:space="preserve"> data format can be used for investigation of the </w:t>
      </w:r>
      <w:proofErr w:type="spellStart"/>
      <w:r>
        <w:t>electropathophysiology</w:t>
      </w:r>
      <w:proofErr w:type="spellEnd"/>
      <w:r>
        <w:t xml:space="preserve"> of both atrial and ventricular arrhythmias. Here we focus on using </w:t>
      </w:r>
      <w:proofErr w:type="spellStart"/>
      <w:r>
        <w:t>OpenEP</w:t>
      </w:r>
      <w:proofErr w:type="spellEnd"/>
      <w:r>
        <w:t xml:space="preserve"> for atrial fibrillation electroanatomic mapping and ablation data. </w:t>
      </w:r>
      <w:r w:rsidR="00D15D4B">
        <w:t xml:space="preserve">To benchmark the data validity of </w:t>
      </w:r>
      <w:proofErr w:type="spellStart"/>
      <w:r w:rsidR="00B12140">
        <w:t>OpenEP</w:t>
      </w:r>
      <w:proofErr w:type="spellEnd"/>
      <w:r w:rsidR="00D15D4B">
        <w:t xml:space="preserve">, </w:t>
      </w:r>
      <w:r w:rsidR="00EA2CEC">
        <w:t>four</w:t>
      </w:r>
      <w:r w:rsidR="00D15D4B">
        <w:t xml:space="preserve"> </w:t>
      </w:r>
      <w:r w:rsidR="00A14FDA">
        <w:t>analyses were performed</w:t>
      </w:r>
      <w:r w:rsidR="00D15D4B">
        <w:t>.</w:t>
      </w:r>
      <w:r w:rsidR="001F37D1">
        <w:t xml:space="preserve"> </w:t>
      </w:r>
    </w:p>
    <w:p w14:paraId="025B4DD7" w14:textId="106BF217" w:rsidR="00CC45EA" w:rsidRDefault="00B02B30" w:rsidP="006273C2">
      <w:r>
        <w:t>Firstly, c</w:t>
      </w:r>
      <w:r w:rsidR="00274337">
        <w:t xml:space="preserve">hamber volume </w:t>
      </w:r>
      <w:r w:rsidR="00746F0C">
        <w:t xml:space="preserve">and chamber surface area </w:t>
      </w:r>
      <w:r w:rsidR="00274337">
        <w:t>w</w:t>
      </w:r>
      <w:r w:rsidR="00746F0C">
        <w:t>ere</w:t>
      </w:r>
      <w:r w:rsidR="00274337">
        <w:t xml:space="preserve"> calculated using </w:t>
      </w:r>
      <w:proofErr w:type="spellStart"/>
      <w:r w:rsidR="00FA3D0B">
        <w:t>OpenEP</w:t>
      </w:r>
      <w:proofErr w:type="spellEnd"/>
      <w:r w:rsidR="00274337">
        <w:t xml:space="preserve"> and compared to chamber volume calculated using the clinical mapping system</w:t>
      </w:r>
      <w:r>
        <w:t xml:space="preserve">. </w:t>
      </w:r>
      <w:r w:rsidR="00C776DD">
        <w:t>Chamber surface area was calculated based on the original mesh</w:t>
      </w:r>
      <w:r w:rsidR="00CF09F0">
        <w:t xml:space="preserve"> including the anatomical structure</w:t>
      </w:r>
      <w:r w:rsidR="009F6E51">
        <w:t xml:space="preserve"> cut-outs</w:t>
      </w:r>
      <w:r w:rsidR="00CF09F0">
        <w:t xml:space="preserve"> (open) and based on the same mesh with any anatomical structures closed (closed)</w:t>
      </w:r>
      <w:r w:rsidR="009F6E51">
        <w:t xml:space="preserve"> using the </w:t>
      </w:r>
      <w:proofErr w:type="spellStart"/>
      <w:r w:rsidR="009F6E51">
        <w:t>OpenEP</w:t>
      </w:r>
      <w:proofErr w:type="spellEnd"/>
      <w:r w:rsidR="009F6E51">
        <w:t xml:space="preserve"> function</w:t>
      </w:r>
      <w:r w:rsidR="007C2FB7">
        <w:t>s.</w:t>
      </w:r>
      <w:r w:rsidR="00A66536">
        <w:t xml:space="preserve"> As an example, for the left atrium the ‘open’ mesh is a mesh with cut-outs in place for the mitral valve and pulmonary veins whilst a ‘closed’ mesh is a mesh with each of these anatomical structures filled in.</w:t>
      </w:r>
    </w:p>
    <w:p w14:paraId="0B827198" w14:textId="63CFDB33" w:rsidR="00DA31E2" w:rsidRDefault="00B02B30" w:rsidP="006273C2">
      <w:r>
        <w:t xml:space="preserve">Secondly, </w:t>
      </w:r>
      <w:r w:rsidR="00DA31E2">
        <w:t>the performance</w:t>
      </w:r>
      <w:r w:rsidR="009322CA">
        <w:t xml:space="preserve"> of </w:t>
      </w:r>
      <w:proofErr w:type="spellStart"/>
      <w:r w:rsidR="00DA31E2">
        <w:t>OpenEP</w:t>
      </w:r>
      <w:proofErr w:type="spellEnd"/>
      <w:r w:rsidR="00DA31E2">
        <w:t xml:space="preserve"> for reproducing</w:t>
      </w:r>
      <w:r w:rsidR="009322CA">
        <w:t xml:space="preserve"> electroanatomic maps w</w:t>
      </w:r>
      <w:r w:rsidR="00DA31E2">
        <w:t>as</w:t>
      </w:r>
      <w:r w:rsidR="009322CA">
        <w:t xml:space="preserve"> considered.</w:t>
      </w:r>
      <w:r w:rsidR="0097261D">
        <w:t xml:space="preserve"> </w:t>
      </w:r>
      <w:proofErr w:type="spellStart"/>
      <w:r w:rsidR="00FA3D0B">
        <w:t>OpenEP</w:t>
      </w:r>
      <w:proofErr w:type="spellEnd"/>
      <w:r w:rsidR="0097261D">
        <w:t xml:space="preserve"> provides functions to display electroanatomic maps created by the clinical system a</w:t>
      </w:r>
      <w:r w:rsidR="00DE0876">
        <w:t xml:space="preserve">s well as additional functions to re-create electroanatomic maps from raw electrogram data. To validate these </w:t>
      </w:r>
      <w:r w:rsidR="00DA31E2">
        <w:t>functions</w:t>
      </w:r>
      <w:r w:rsidR="00DE0876">
        <w:t xml:space="preserve"> the total activation time and </w:t>
      </w:r>
      <w:r w:rsidR="0082768F">
        <w:t xml:space="preserve">site of earliest activation were calculated for </w:t>
      </w:r>
      <w:r w:rsidR="00F20E7C">
        <w:t xml:space="preserve">both classes of </w:t>
      </w:r>
      <w:r w:rsidR="0082768F">
        <w:t xml:space="preserve">local activation time maps, and the mean chamber voltage and percentage are of low voltage were </w:t>
      </w:r>
      <w:r w:rsidR="00A66536">
        <w:t xml:space="preserve">calculated </w:t>
      </w:r>
      <w:r w:rsidR="00F20E7C">
        <w:t>for both classes of voltage maps</w:t>
      </w:r>
      <w:r w:rsidR="0082768F">
        <w:t>.</w:t>
      </w:r>
      <w:r w:rsidR="001F37D1">
        <w:t xml:space="preserve"> </w:t>
      </w:r>
    </w:p>
    <w:p w14:paraId="4795F689" w14:textId="77777777" w:rsidR="00DA31E2" w:rsidRDefault="0082768F" w:rsidP="006273C2">
      <w:r>
        <w:t xml:space="preserve">Thirdly, the number of electroanatomic mapping data points identified by </w:t>
      </w:r>
      <w:proofErr w:type="spellStart"/>
      <w:r w:rsidR="002938BE">
        <w:t>OpenEP</w:t>
      </w:r>
      <w:proofErr w:type="spellEnd"/>
      <w:r>
        <w:t xml:space="preserve"> was compared to the expected number of </w:t>
      </w:r>
      <w:r w:rsidR="00EC12E1">
        <w:t xml:space="preserve">electroanatomic mapping data points </w:t>
      </w:r>
      <w:r w:rsidR="00A14FDA">
        <w:t>based on the clinical system</w:t>
      </w:r>
      <w:r w:rsidR="00DA31E2">
        <w:t xml:space="preserve"> to ensure that all mapping points were correctly identified and parsed</w:t>
      </w:r>
      <w:r w:rsidR="00746F0C">
        <w:t>.</w:t>
      </w:r>
      <w:r w:rsidR="001F37D1">
        <w:t xml:space="preserve"> </w:t>
      </w:r>
    </w:p>
    <w:p w14:paraId="219CD312" w14:textId="72948A99" w:rsidR="00E00C58" w:rsidRDefault="00A14FDA" w:rsidP="006273C2">
      <w:r>
        <w:t xml:space="preserve">Finally, </w:t>
      </w:r>
      <w:r w:rsidR="001F37D1">
        <w:t xml:space="preserve">the number and position of ablation points was compared between </w:t>
      </w:r>
      <w:proofErr w:type="spellStart"/>
      <w:r w:rsidR="002938BE">
        <w:t>OpenEP</w:t>
      </w:r>
      <w:proofErr w:type="spellEnd"/>
      <w:r w:rsidR="001F37D1">
        <w:t xml:space="preserve"> and the clinical systems.</w:t>
      </w:r>
    </w:p>
    <w:p w14:paraId="1B8EB0A2" w14:textId="77777777" w:rsidR="00240A3C" w:rsidRDefault="00240A3C" w:rsidP="00240A3C">
      <w:pPr>
        <w:pStyle w:val="Heading2"/>
      </w:pPr>
      <w:r>
        <w:t>Literature Survey</w:t>
      </w:r>
    </w:p>
    <w:p w14:paraId="68ABA2BA" w14:textId="09BF79EC" w:rsidR="00240A3C" w:rsidRDefault="00240A3C" w:rsidP="001D21E5">
      <w:r>
        <w:t xml:space="preserve">To determine the ‘real world’ requirements for an electrophysiology </w:t>
      </w:r>
      <w:r w:rsidR="0069770F">
        <w:t xml:space="preserve">research </w:t>
      </w:r>
      <w:r>
        <w:t>data storage format we performed a literature search using PubMed (</w:t>
      </w:r>
      <w:hyperlink r:id="rId8" w:history="1">
        <w:r w:rsidRPr="00D120C9">
          <w:rPr>
            <w:rStyle w:val="Hyperlink"/>
          </w:rPr>
          <w:t>https://pubmed.ncbi.nlm.nih.gov</w:t>
        </w:r>
      </w:hyperlink>
      <w:r>
        <w:t>) for the following terms: “</w:t>
      </w:r>
      <w:r w:rsidRPr="00E65467">
        <w:t>(electroanatomic mapping) AND ((atrial fibrillation) OR (ventricular tachycardia))</w:t>
      </w:r>
      <w:r>
        <w:t xml:space="preserve">”. To ensure applicability to contemporary </w:t>
      </w:r>
      <w:r w:rsidR="0069770F">
        <w:t xml:space="preserve">research </w:t>
      </w:r>
      <w:r>
        <w:t>the search was limited to the previous 1-year</w:t>
      </w:r>
      <w:r w:rsidR="000E6F1D">
        <w:t xml:space="preserve"> (November </w:t>
      </w:r>
      <w:r w:rsidR="000E6F1D">
        <w:lastRenderedPageBreak/>
        <w:t>2019-November 2020, see Supplementary Material).</w:t>
      </w:r>
      <w:r>
        <w:t xml:space="preserve"> Abstracts were screened to identify </w:t>
      </w:r>
      <w:r w:rsidR="0069770F">
        <w:t xml:space="preserve">research </w:t>
      </w:r>
      <w:r>
        <w:t xml:space="preserve">studies in which data export of clinical electroanatomic mapping data was </w:t>
      </w:r>
      <w:r w:rsidR="0069770F">
        <w:t>required</w:t>
      </w:r>
      <w:r>
        <w:t xml:space="preserve">. </w:t>
      </w:r>
      <w:r w:rsidR="00B47E26">
        <w:t>Review articles, case reports and case series using standard electroanatomic mapping techniques to deliver clinical treatments were excluded. F</w:t>
      </w:r>
      <w:r>
        <w:t xml:space="preserve">ull text review was performed to identify data types that were analysed for the purposes of these studies. The following </w:t>
      </w:r>
      <w:r w:rsidR="005A7CDA">
        <w:t>19</w:t>
      </w:r>
      <w:r w:rsidR="00E177A5">
        <w:t xml:space="preserve"> </w:t>
      </w:r>
      <w:r>
        <w:t>data types</w:t>
      </w:r>
      <w:r w:rsidR="005A7CDA">
        <w:t xml:space="preserve">, exposed through </w:t>
      </w:r>
      <w:proofErr w:type="spellStart"/>
      <w:r w:rsidR="005A7CDA">
        <w:t>OpenEP</w:t>
      </w:r>
      <w:proofErr w:type="spellEnd"/>
      <w:r w:rsidR="005A7CDA">
        <w:t xml:space="preserve"> APIs</w:t>
      </w:r>
      <w:r>
        <w:t xml:space="preserve"> were tabulated: chamber geometry, </w:t>
      </w:r>
      <w:r w:rsidR="00483DBE">
        <w:t xml:space="preserve">number of mapping points, </w:t>
      </w:r>
      <w:r>
        <w:t>location only points, anatomical structures, electrogram location</w:t>
      </w:r>
      <w:r w:rsidR="00483DBE">
        <w:t>s</w:t>
      </w:r>
      <w:r>
        <w:t xml:space="preserve">, bipolar electrograms, unipolar electrograms, contact force, </w:t>
      </w:r>
      <w:r w:rsidR="00483DBE">
        <w:t xml:space="preserve">ablation positions, </w:t>
      </w:r>
      <w:r w:rsidR="00640E78">
        <w:t xml:space="preserve">ablation temperature, ablation power, ablation time, ablation lesion indices (e.g. ablation index or lesion size index), </w:t>
      </w:r>
      <w:r>
        <w:t>impedance, local activation time annotations,</w:t>
      </w:r>
      <w:r w:rsidR="00075C0C">
        <w:t xml:space="preserve"> </w:t>
      </w:r>
      <w:r w:rsidR="00640E78">
        <w:t xml:space="preserve">local activation time map, </w:t>
      </w:r>
      <w:r w:rsidR="00075C0C">
        <w:t>bipolar map, unipolar map</w:t>
      </w:r>
      <w:r w:rsidR="005A7CDA">
        <w:t xml:space="preserve"> and </w:t>
      </w:r>
      <w:r w:rsidR="00640E78">
        <w:t xml:space="preserve">fractionation map. </w:t>
      </w:r>
      <w:r w:rsidR="00E177A5">
        <w:t>For each study, each data type was given a score from 0-</w:t>
      </w:r>
      <w:r w:rsidR="000E6F1D">
        <w:t>4</w:t>
      </w:r>
      <w:r w:rsidR="000D7184">
        <w:t xml:space="preserve"> with 0 = data type not used; 1 = qualitative analysis using the clinical system; 2 = quantitative analysis using the clinical system; 3 = qualitative analysis following data export; 4 = quantitative analysis following data export.</w:t>
      </w:r>
      <w:r w:rsidR="005A7CDA">
        <w:t xml:space="preserve"> </w:t>
      </w:r>
      <w:r w:rsidR="00186C69">
        <w:t xml:space="preserve">Additional data types, not available through </w:t>
      </w:r>
      <w:proofErr w:type="spellStart"/>
      <w:r w:rsidR="00186C69">
        <w:t>OpenEP</w:t>
      </w:r>
      <w:proofErr w:type="spellEnd"/>
      <w:r w:rsidR="00186C69">
        <w:t xml:space="preserve"> were also considered.</w:t>
      </w:r>
      <w:r>
        <w:t xml:space="preserve"> The frequency of occurrence of each of these data types was calculated. The percentage of studies </w:t>
      </w:r>
      <w:r w:rsidR="001D21E5">
        <w:t xml:space="preserve">for which </w:t>
      </w:r>
      <w:proofErr w:type="spellStart"/>
      <w:r w:rsidR="0069770F">
        <w:t>OpenEP</w:t>
      </w:r>
      <w:proofErr w:type="spellEnd"/>
      <w:r w:rsidR="001D21E5">
        <w:t xml:space="preserve"> </w:t>
      </w:r>
      <w:r w:rsidR="0069770F">
        <w:t xml:space="preserve">would have </w:t>
      </w:r>
      <w:r w:rsidR="001D21E5">
        <w:t>provide</w:t>
      </w:r>
      <w:r w:rsidR="0069770F">
        <w:t>d</w:t>
      </w:r>
      <w:r w:rsidR="001D21E5">
        <w:t xml:space="preserve"> complete input data was </w:t>
      </w:r>
      <w:r w:rsidR="0069770F">
        <w:t xml:space="preserve">subsequently </w:t>
      </w:r>
      <w:r w:rsidR="001D21E5">
        <w:t>calculated.</w:t>
      </w:r>
    </w:p>
    <w:p w14:paraId="6E873B90" w14:textId="0145D0CC" w:rsidR="000847B4" w:rsidRDefault="000847B4" w:rsidP="000847B4">
      <w:pPr>
        <w:pStyle w:val="Heading1"/>
      </w:pPr>
      <w:r>
        <w:t>Results</w:t>
      </w:r>
    </w:p>
    <w:p w14:paraId="245F14E0" w14:textId="77777777" w:rsidR="00C93A80" w:rsidRDefault="00C93A80" w:rsidP="00C93A80">
      <w:pPr>
        <w:pStyle w:val="Heading2"/>
      </w:pPr>
      <w:r>
        <w:t>Implementation</w:t>
      </w:r>
    </w:p>
    <w:p w14:paraId="694CE371" w14:textId="417E687F" w:rsidR="002F043C" w:rsidRDefault="00FC41F4" w:rsidP="00C93A80">
      <w:r>
        <w:t xml:space="preserve">On overview of the </w:t>
      </w:r>
      <w:proofErr w:type="spellStart"/>
      <w:r>
        <w:t>OpenEP</w:t>
      </w:r>
      <w:proofErr w:type="spellEnd"/>
      <w:r>
        <w:t xml:space="preserve"> architecture is shown in </w:t>
      </w:r>
      <w:r w:rsidR="003C49A0">
        <w:fldChar w:fldCharType="begin"/>
      </w:r>
      <w:r w:rsidR="003C49A0">
        <w:instrText xml:space="preserve"> REF _Ref58994989 \h </w:instrText>
      </w:r>
      <w:r w:rsidR="003C49A0">
        <w:fldChar w:fldCharType="separate"/>
      </w:r>
      <w:r w:rsidR="0040443C" w:rsidRPr="00867848">
        <w:rPr>
          <w:b/>
          <w:bCs/>
        </w:rPr>
        <w:t xml:space="preserve">Figure </w:t>
      </w:r>
      <w:r w:rsidR="0040443C">
        <w:rPr>
          <w:b/>
          <w:bCs/>
          <w:noProof/>
        </w:rPr>
        <w:t>1</w:t>
      </w:r>
      <w:r w:rsidR="003C49A0">
        <w:fldChar w:fldCharType="end"/>
      </w:r>
      <w:r w:rsidR="003C49A0">
        <w:t xml:space="preserve">. The basic architecture consists of the </w:t>
      </w:r>
      <w:proofErr w:type="spellStart"/>
      <w:r w:rsidR="003C49A0">
        <w:t>OpenEP</w:t>
      </w:r>
      <w:proofErr w:type="spellEnd"/>
      <w:r w:rsidR="003C49A0">
        <w:t xml:space="preserve"> data format, together with Data Parsing modules and Data Analytics modules. </w:t>
      </w:r>
      <w:r w:rsidR="00FD6D2F">
        <w:t xml:space="preserve">Implementations of the </w:t>
      </w:r>
      <w:proofErr w:type="spellStart"/>
      <w:r w:rsidR="00FD6D2F">
        <w:t>OpenEP</w:t>
      </w:r>
      <w:proofErr w:type="spellEnd"/>
      <w:r w:rsidR="00FD6D2F">
        <w:t xml:space="preserve"> standard have been created for three clinical systems to date: Carto3 (</w:t>
      </w:r>
      <w:proofErr w:type="spellStart"/>
      <w:r w:rsidR="00FD6D2F">
        <w:t>Biosense</w:t>
      </w:r>
      <w:proofErr w:type="spellEnd"/>
      <w:r w:rsidR="00FD6D2F">
        <w:t xml:space="preserve"> Webster), Velocity (St Jude Medical) and Precision (Abbot). </w:t>
      </w:r>
      <w:r w:rsidR="003E2592">
        <w:t xml:space="preserve">Following data export from one of </w:t>
      </w:r>
      <w:r w:rsidR="00756E1F">
        <w:t>these</w:t>
      </w:r>
      <w:r w:rsidR="003E2592">
        <w:t xml:space="preserve"> systems, p</w:t>
      </w:r>
      <w:r w:rsidR="009F5D34">
        <w:t>rocessing</w:t>
      </w:r>
      <w:r w:rsidR="007C2FB7">
        <w:t xml:space="preserve"> a dataset using </w:t>
      </w:r>
      <w:proofErr w:type="spellStart"/>
      <w:r w:rsidR="007C2FB7">
        <w:t>OpenEP</w:t>
      </w:r>
      <w:proofErr w:type="spellEnd"/>
      <w:r w:rsidR="007C2FB7">
        <w:t xml:space="preserve"> begins with a call to </w:t>
      </w:r>
      <w:r w:rsidR="00E84FE0">
        <w:t>an import function</w:t>
      </w:r>
      <w:r w:rsidR="007F2881">
        <w:t xml:space="preserve">, for </w:t>
      </w:r>
      <w:r w:rsidR="00AA0160">
        <w:t>example,</w:t>
      </w:r>
      <w:r w:rsidR="00E84FE0">
        <w:t xml:space="preserve"> </w:t>
      </w:r>
      <w:r w:rsidR="00E84FE0" w:rsidRPr="008C3F85">
        <w:rPr>
          <w:rStyle w:val="SubtleEmphasis"/>
        </w:rPr>
        <w:t>importcarto_mem()</w:t>
      </w:r>
      <w:r w:rsidR="007F2881">
        <w:t xml:space="preserve">, </w:t>
      </w:r>
      <w:r w:rsidR="007F2881" w:rsidRPr="008C3F85">
        <w:rPr>
          <w:rStyle w:val="SubtleEmphasis"/>
        </w:rPr>
        <w:t>importprecision()</w:t>
      </w:r>
      <w:r w:rsidR="007F2881">
        <w:t xml:space="preserve"> </w:t>
      </w:r>
      <w:r w:rsidR="003E2592">
        <w:t>or</w:t>
      </w:r>
      <w:r w:rsidR="007F2881">
        <w:t xml:space="preserve"> </w:t>
      </w:r>
      <w:r w:rsidR="007F2881" w:rsidRPr="008C3F85">
        <w:rPr>
          <w:rStyle w:val="SubtleEmphasis"/>
        </w:rPr>
        <w:t>importvelocity()</w:t>
      </w:r>
      <w:r w:rsidR="007F2881">
        <w:t>.</w:t>
      </w:r>
      <w:r w:rsidR="00570717">
        <w:t xml:space="preserve"> </w:t>
      </w:r>
      <w:r w:rsidR="00E84FE0">
        <w:t xml:space="preserve">Calling </w:t>
      </w:r>
      <w:r w:rsidR="00570717">
        <w:t>these</w:t>
      </w:r>
      <w:r w:rsidR="00E84FE0">
        <w:t xml:space="preserve"> function</w:t>
      </w:r>
      <w:r w:rsidR="00570717">
        <w:t>s</w:t>
      </w:r>
      <w:r w:rsidR="00E84FE0">
        <w:t xml:space="preserve"> from the command window without arguments </w:t>
      </w:r>
      <w:r w:rsidR="009D5AE2">
        <w:t>prompts the user to perform selections to identify the study files,</w:t>
      </w:r>
      <w:r w:rsidR="00EB3BE7">
        <w:t xml:space="preserve"> </w:t>
      </w:r>
      <w:r w:rsidR="003B0432">
        <w:t xml:space="preserve">the clinical map of interest, </w:t>
      </w:r>
      <w:r w:rsidR="00EB3BE7">
        <w:t>the reference</w:t>
      </w:r>
      <w:r w:rsidR="003B0432">
        <w:t xml:space="preserve"> mapping</w:t>
      </w:r>
      <w:r w:rsidR="00EB3BE7">
        <w:t xml:space="preserve"> channel and an ECG channel.</w:t>
      </w:r>
      <w:r w:rsidR="002B09A7">
        <w:t xml:space="preserve"> All of these selections can also be passed as arguments to </w:t>
      </w:r>
      <w:r w:rsidR="002B09A7" w:rsidRPr="008C3F85">
        <w:rPr>
          <w:rStyle w:val="SubtleEmphasis"/>
        </w:rPr>
        <w:t>importcarto_mem()</w:t>
      </w:r>
      <w:r w:rsidR="002B09A7">
        <w:t xml:space="preserve"> to allow </w:t>
      </w:r>
      <w:r w:rsidR="00DC6D72">
        <w:t>command</w:t>
      </w:r>
      <w:r w:rsidR="002B09A7">
        <w:t xml:space="preserve"> line</w:t>
      </w:r>
      <w:r w:rsidR="00DC6D72">
        <w:t>-only interaction</w:t>
      </w:r>
      <w:r w:rsidR="002B09A7">
        <w:t xml:space="preserve">. </w:t>
      </w:r>
      <w:r w:rsidR="00EB3BE7">
        <w:t xml:space="preserve">Subsequent parsing of the dataset is entirely automated and results in </w:t>
      </w:r>
      <w:r w:rsidR="00A344D3">
        <w:t xml:space="preserve">the creation of a data structure called </w:t>
      </w:r>
      <w:r w:rsidR="00A344D3" w:rsidRPr="008C3F85">
        <w:rPr>
          <w:rStyle w:val="SubtleEmphasis"/>
        </w:rPr>
        <w:t>userdata</w:t>
      </w:r>
      <w:r w:rsidR="00A344D3">
        <w:t xml:space="preserve"> in the workspace</w:t>
      </w:r>
      <w:r w:rsidR="00491A35">
        <w:t>, which can also be saved to disk</w:t>
      </w:r>
      <w:r w:rsidR="00A344D3">
        <w:t>.</w:t>
      </w:r>
      <w:r w:rsidR="00491A35">
        <w:t xml:space="preserve"> A full description of each field within this structure is given in the supplementary material.</w:t>
      </w:r>
    </w:p>
    <w:p w14:paraId="3E330C78" w14:textId="6A377BC0" w:rsidR="00C93A80" w:rsidRDefault="002F043C" w:rsidP="00C93A80">
      <w:r>
        <w:t xml:space="preserve">To perform data analysis on multiple patient datasets, two template </w:t>
      </w:r>
      <w:r w:rsidR="00131C41">
        <w:t>functions</w:t>
      </w:r>
      <w:r>
        <w:t xml:space="preserve"> are provided, </w:t>
      </w:r>
      <w:r w:rsidR="004364D5" w:rsidRPr="008C3F85">
        <w:rPr>
          <w:rStyle w:val="SubtleEmphasis"/>
        </w:rPr>
        <w:t>batchImport</w:t>
      </w:r>
      <w:r w:rsidRPr="008C3F85">
        <w:rPr>
          <w:rStyle w:val="SubtleEmphasis"/>
        </w:rPr>
        <w:t>()</w:t>
      </w:r>
      <w:r>
        <w:t xml:space="preserve"> and </w:t>
      </w:r>
      <w:r w:rsidR="004364D5" w:rsidRPr="008C3F85">
        <w:rPr>
          <w:rStyle w:val="SubtleEmphasis"/>
        </w:rPr>
        <w:t>batchProcess</w:t>
      </w:r>
      <w:r w:rsidRPr="008C3F85">
        <w:rPr>
          <w:rStyle w:val="SubtleEmphasis"/>
        </w:rPr>
        <w:t>()</w:t>
      </w:r>
      <w:r>
        <w:t>.</w:t>
      </w:r>
      <w:r w:rsidR="00131C41">
        <w:t xml:space="preserve"> </w:t>
      </w:r>
      <w:r w:rsidR="009F5D34">
        <w:t xml:space="preserve">The import function takes the same arguments as </w:t>
      </w:r>
      <w:r w:rsidR="00192B13" w:rsidRPr="006A0BFF">
        <w:rPr>
          <w:rStyle w:val="SubtleEmphasis"/>
        </w:rPr>
        <w:t>importcarto_mem()</w:t>
      </w:r>
      <w:r w:rsidR="00192B13">
        <w:t xml:space="preserve"> to fully automate the import of multiple patient datasets into </w:t>
      </w:r>
      <w:proofErr w:type="spellStart"/>
      <w:r w:rsidR="00192B13">
        <w:t>OpenEP</w:t>
      </w:r>
      <w:proofErr w:type="spellEnd"/>
      <w:r w:rsidR="00192B13">
        <w:t xml:space="preserve"> format. </w:t>
      </w:r>
      <w:r w:rsidR="003B0432">
        <w:t xml:space="preserve">The process function takes as its </w:t>
      </w:r>
      <w:r w:rsidR="00570717">
        <w:t xml:space="preserve">only </w:t>
      </w:r>
      <w:r w:rsidR="000E5135">
        <w:t xml:space="preserve">argument the absolute path to a directory of </w:t>
      </w:r>
      <w:proofErr w:type="spellStart"/>
      <w:r w:rsidR="000E5135">
        <w:t>OpenEP</w:t>
      </w:r>
      <w:proofErr w:type="spellEnd"/>
      <w:r w:rsidR="000E5135">
        <w:t xml:space="preserve"> data files</w:t>
      </w:r>
      <w:r w:rsidR="004364D5">
        <w:t xml:space="preserve"> </w:t>
      </w:r>
      <w:r w:rsidR="000E5135">
        <w:t>and provides a template for performing data processing sequentially on each dataset before returning the output</w:t>
      </w:r>
      <w:r w:rsidR="004364D5">
        <w:t>s</w:t>
      </w:r>
      <w:r w:rsidR="000E5135">
        <w:t xml:space="preserve"> in a structure.</w:t>
      </w:r>
    </w:p>
    <w:p w14:paraId="0D5D6748" w14:textId="78566A2D" w:rsidR="00CD6A56" w:rsidRDefault="00B74B00" w:rsidP="00C93A80">
      <w:r>
        <w:lastRenderedPageBreak/>
        <w:t xml:space="preserve">A list of </w:t>
      </w:r>
      <w:r w:rsidR="0057652A">
        <w:t>currently available</w:t>
      </w:r>
      <w:r>
        <w:t xml:space="preserve"> data processing functions is given in </w:t>
      </w:r>
      <w:r w:rsidR="009B7970">
        <w:fldChar w:fldCharType="begin"/>
      </w:r>
      <w:r w:rsidR="009B7970">
        <w:instrText xml:space="preserve"> REF _Ref56663567 \h </w:instrText>
      </w:r>
      <w:r w:rsidR="009B7970">
        <w:fldChar w:fldCharType="separate"/>
      </w:r>
      <w:r w:rsidR="0040443C" w:rsidRPr="007C5862">
        <w:rPr>
          <w:b/>
          <w:bCs/>
        </w:rPr>
        <w:t xml:space="preserve">Table </w:t>
      </w:r>
      <w:r w:rsidR="0040443C">
        <w:rPr>
          <w:b/>
          <w:bCs/>
          <w:noProof/>
        </w:rPr>
        <w:t>1</w:t>
      </w:r>
      <w:r w:rsidR="009B7970">
        <w:fldChar w:fldCharType="end"/>
      </w:r>
      <w:r w:rsidR="009B7970">
        <w:t xml:space="preserve">, </w:t>
      </w:r>
      <w:r w:rsidR="00CA1ACE">
        <w:t>and</w:t>
      </w:r>
      <w:r w:rsidR="002D314D">
        <w:t xml:space="preserve"> a live version</w:t>
      </w:r>
      <w:r>
        <w:t xml:space="preserve"> </w:t>
      </w:r>
      <w:r w:rsidR="00570717">
        <w:t>of</w:t>
      </w:r>
      <w:r w:rsidR="00C359C6">
        <w:t xml:space="preserve"> the</w:t>
      </w:r>
      <w:r w:rsidR="00570717">
        <w:t xml:space="preserve"> </w:t>
      </w:r>
      <w:proofErr w:type="spellStart"/>
      <w:r w:rsidR="00C359C6">
        <w:t>OpenEP</w:t>
      </w:r>
      <w:proofErr w:type="spellEnd"/>
      <w:r w:rsidR="00570717">
        <w:t xml:space="preserve"> code documentation </w:t>
      </w:r>
      <w:r w:rsidR="00CA1ACE">
        <w:t xml:space="preserve">will be </w:t>
      </w:r>
      <w:r w:rsidR="00570717">
        <w:t>hosted online</w:t>
      </w:r>
      <w:r w:rsidR="00C359C6">
        <w:t xml:space="preserve"> (</w:t>
      </w:r>
      <w:hyperlink r:id="rId9" w:history="1">
        <w:r w:rsidR="00BA1F74" w:rsidRPr="00BF093C">
          <w:rPr>
            <w:rStyle w:val="Hyperlink"/>
          </w:rPr>
          <w:t>http://openep.io</w:t>
        </w:r>
      </w:hyperlink>
      <w:r w:rsidR="00C359C6">
        <w:t>).</w:t>
      </w:r>
    </w:p>
    <w:p w14:paraId="7E6A25B0" w14:textId="77777777" w:rsidR="0095430A" w:rsidRDefault="0095430A" w:rsidP="0095430A">
      <w:pPr>
        <w:pStyle w:val="Heading2"/>
      </w:pPr>
      <w:r>
        <w:t>Performance Benchmarking</w:t>
      </w:r>
    </w:p>
    <w:p w14:paraId="25384FAA" w14:textId="5D4FEA71" w:rsidR="00F90015" w:rsidRDefault="002124DA" w:rsidP="0095430A">
      <w:r>
        <w:t xml:space="preserve">The clinical datasets consisted of </w:t>
      </w:r>
      <w:r w:rsidR="00AB07DF">
        <w:t xml:space="preserve">left atrial </w:t>
      </w:r>
      <w:r w:rsidR="00E102FC">
        <w:t>electroanatomic mapping</w:t>
      </w:r>
      <w:r w:rsidR="00AB07DF">
        <w:t xml:space="preserve"> data created to facilitate atrial </w:t>
      </w:r>
      <w:r w:rsidR="004F3C6F">
        <w:t xml:space="preserve">radiofrequency </w:t>
      </w:r>
      <w:r w:rsidR="00AB07DF">
        <w:t xml:space="preserve">ablation for the treatment of atrial fibrillation. </w:t>
      </w:r>
      <w:r w:rsidR="00BD6EB4">
        <w:t xml:space="preserve">There </w:t>
      </w:r>
      <w:r w:rsidR="003D2C3A">
        <w:t xml:space="preserve">were 963±430 bipolar mapping points per patient (range </w:t>
      </w:r>
      <w:r w:rsidR="004F3C6F">
        <w:t>209 – 2031 points per map). The data was exported from the clinical mapping system as a single compressed archive</w:t>
      </w:r>
      <w:r w:rsidR="002D7719">
        <w:t>, one per patient,</w:t>
      </w:r>
      <w:r w:rsidR="004F3C6F">
        <w:t xml:space="preserve"> </w:t>
      </w:r>
      <w:r w:rsidR="002B05C6">
        <w:t xml:space="preserve">containing </w:t>
      </w:r>
      <w:r w:rsidR="00B81C53">
        <w:t xml:space="preserve">plane text and XML files. </w:t>
      </w:r>
      <w:r w:rsidR="00227B49">
        <w:t xml:space="preserve">There </w:t>
      </w:r>
      <w:r w:rsidR="0045666B">
        <w:t>were</w:t>
      </w:r>
      <w:r w:rsidR="00227B49">
        <w:t xml:space="preserve"> average</w:t>
      </w:r>
      <w:r w:rsidR="0045666B">
        <w:t>s</w:t>
      </w:r>
      <w:r w:rsidR="00227B49">
        <w:t xml:space="preserve"> of </w:t>
      </w:r>
      <w:r w:rsidR="000F25C9">
        <w:t>35,175±18,861</w:t>
      </w:r>
      <w:r w:rsidR="00227B49">
        <w:t xml:space="preserve"> </w:t>
      </w:r>
      <w:r w:rsidR="002D7719">
        <w:t xml:space="preserve">text </w:t>
      </w:r>
      <w:r w:rsidR="00227B49">
        <w:t>files</w:t>
      </w:r>
      <w:r w:rsidR="002D7719">
        <w:t xml:space="preserve"> and</w:t>
      </w:r>
      <w:r w:rsidR="00E00A74">
        <w:t xml:space="preserve"> 3,177±1,719</w:t>
      </w:r>
      <w:r w:rsidR="002D7719">
        <w:t xml:space="preserve"> </w:t>
      </w:r>
      <w:r w:rsidR="00E00A74">
        <w:t>X</w:t>
      </w:r>
      <w:r w:rsidR="002D7719">
        <w:t>ML files,</w:t>
      </w:r>
      <w:r w:rsidR="00227B49">
        <w:t xml:space="preserve"> per patient. </w:t>
      </w:r>
    </w:p>
    <w:p w14:paraId="4934DC74" w14:textId="7FF557AE" w:rsidR="0095430A" w:rsidRDefault="0095430A" w:rsidP="0095430A">
      <w:r>
        <w:t>The time taken per case to import the electroanatomic mapping data was 400±162 seconds. The time taken to import the datasets was significantly correlated with the number of mapping points in the dataset (R2=0.9719, P&lt;0.0001) (</w:t>
      </w:r>
      <w:r>
        <w:fldChar w:fldCharType="begin"/>
      </w:r>
      <w:r>
        <w:instrText>REF _Ref55915776</w:instrText>
      </w:r>
      <w:r>
        <w:fldChar w:fldCharType="separate"/>
      </w:r>
      <w:r w:rsidR="0040443C" w:rsidRPr="00200BE9">
        <w:rPr>
          <w:b/>
        </w:rPr>
        <w:t xml:space="preserve">Figure </w:t>
      </w:r>
      <w:r w:rsidR="0040443C">
        <w:rPr>
          <w:b/>
          <w:noProof/>
        </w:rPr>
        <w:t>2</w:t>
      </w:r>
      <w:r>
        <w:fldChar w:fldCharType="end"/>
      </w:r>
      <w:r>
        <w:rPr>
          <w:noProof/>
        </w:rPr>
        <w:t>A</w:t>
      </w:r>
      <w:r>
        <w:t>).</w:t>
      </w:r>
    </w:p>
    <w:p w14:paraId="40627730" w14:textId="200DD68F" w:rsidR="00213126" w:rsidRDefault="0095430A" w:rsidP="00EE496B">
      <w:r>
        <w:t xml:space="preserve">The mean </w:t>
      </w:r>
      <w:proofErr w:type="spellStart"/>
      <w:r>
        <w:t>OpenEP</w:t>
      </w:r>
      <w:proofErr w:type="spellEnd"/>
      <w:r>
        <w:t xml:space="preserve"> dataset size was 20.5±8.7 Mb, which was significantly smaller than both the compressed (1.46±0.77 Gb) and uncompressed (15.54±8.08 Gb) export files from the electroanatomic mapping system (</w:t>
      </w:r>
      <w:r>
        <w:fldChar w:fldCharType="begin"/>
      </w:r>
      <w:r>
        <w:instrText>REF _Ref55915776</w:instrText>
      </w:r>
      <w:r>
        <w:fldChar w:fldCharType="separate"/>
      </w:r>
      <w:r w:rsidR="0040443C" w:rsidRPr="00200BE9">
        <w:rPr>
          <w:b/>
        </w:rPr>
        <w:t xml:space="preserve">Figure </w:t>
      </w:r>
      <w:r w:rsidR="0040443C">
        <w:rPr>
          <w:b/>
          <w:noProof/>
        </w:rPr>
        <w:t>2</w:t>
      </w:r>
      <w:r>
        <w:fldChar w:fldCharType="end"/>
      </w:r>
      <w:r>
        <w:rPr>
          <w:noProof/>
        </w:rPr>
        <w:t>B</w:t>
      </w:r>
      <w:r>
        <w:t>).</w:t>
      </w:r>
    </w:p>
    <w:p w14:paraId="3DAF7B9C" w14:textId="77777777" w:rsidR="00213126" w:rsidRDefault="00213126" w:rsidP="00213126">
      <w:pPr>
        <w:pStyle w:val="Heading2"/>
      </w:pPr>
      <w:r>
        <w:t>Data Validation</w:t>
      </w:r>
    </w:p>
    <w:p w14:paraId="1025D68F" w14:textId="77777777" w:rsidR="00213126" w:rsidRPr="00EF37E8" w:rsidRDefault="00213126" w:rsidP="00213126">
      <w:pPr>
        <w:pStyle w:val="Heading3"/>
      </w:pPr>
      <w:r>
        <w:t>Chamber Geometry</w:t>
      </w:r>
    </w:p>
    <w:p w14:paraId="16A4D8FC" w14:textId="7ADE6332" w:rsidR="00213126" w:rsidRDefault="00213126" w:rsidP="00213126">
      <w:r>
        <w:t xml:space="preserve">The relationship between chamber geometry metrics measured using the electroanatomic mapping platform and </w:t>
      </w:r>
      <w:proofErr w:type="spellStart"/>
      <w:r>
        <w:t>OpenEP</w:t>
      </w:r>
      <w:proofErr w:type="spellEnd"/>
      <w:r>
        <w:t xml:space="preserve"> is shown in </w:t>
      </w:r>
      <w:r>
        <w:fldChar w:fldCharType="begin"/>
      </w:r>
      <w:r>
        <w:instrText xml:space="preserve"> REF _Ref56420736 \h </w:instrText>
      </w:r>
      <w:r>
        <w:fldChar w:fldCharType="separate"/>
      </w:r>
      <w:r w:rsidR="0040443C" w:rsidRPr="005D629E">
        <w:rPr>
          <w:b/>
        </w:rPr>
        <w:t xml:space="preserve">Figure </w:t>
      </w:r>
      <w:r w:rsidR="0040443C">
        <w:rPr>
          <w:b/>
          <w:noProof/>
        </w:rPr>
        <w:t>3</w:t>
      </w:r>
      <w:r>
        <w:fldChar w:fldCharType="end"/>
      </w:r>
      <w:r>
        <w:t xml:space="preserve">. There was an excellent correlation between Carto-derived metrics and </w:t>
      </w:r>
      <w:proofErr w:type="spellStart"/>
      <w:r>
        <w:t>OpenEP</w:t>
      </w:r>
      <w:proofErr w:type="spellEnd"/>
      <w:r>
        <w:t>-derived metrics for chamber surface area “open” (R</w:t>
      </w:r>
      <w:r w:rsidRPr="00161283">
        <w:rPr>
          <w:vertAlign w:val="superscript"/>
        </w:rPr>
        <w:t>2</w:t>
      </w:r>
      <w:r>
        <w:t>=0.7187, P&lt;0.0001) and “closed” (R</w:t>
      </w:r>
      <w:r w:rsidRPr="00161283">
        <w:rPr>
          <w:vertAlign w:val="superscript"/>
        </w:rPr>
        <w:t>2</w:t>
      </w:r>
      <w:r>
        <w:t xml:space="preserve">=0.7726, P&lt;0.0001). There was a moderate correlation between Carto-derived metrics and </w:t>
      </w:r>
      <w:proofErr w:type="spellStart"/>
      <w:r>
        <w:t>OpenEP</w:t>
      </w:r>
      <w:proofErr w:type="spellEnd"/>
      <w:r>
        <w:t>-derived metrics for chamber volume (R</w:t>
      </w:r>
      <w:r w:rsidRPr="00161283">
        <w:rPr>
          <w:vertAlign w:val="superscript"/>
        </w:rPr>
        <w:t>2</w:t>
      </w:r>
      <w:r>
        <w:t>=0.5179, P&lt;0.0001). Visual inspection of Bland-Altman plots showed that there was both systematic and proportional bias in the measurement of all three metrics metric, which was confirmed by weak but significant linear regression analysis of all three plots (Area, open R</w:t>
      </w:r>
      <w:r w:rsidRPr="00210CC2">
        <w:rPr>
          <w:vertAlign w:val="superscript"/>
        </w:rPr>
        <w:t>2</w:t>
      </w:r>
      <w:r>
        <w:t>=0.349, P&lt;0.0001; Area, closed R</w:t>
      </w:r>
      <w:r w:rsidRPr="003A2F65">
        <w:rPr>
          <w:vertAlign w:val="superscript"/>
        </w:rPr>
        <w:t>2</w:t>
      </w:r>
      <w:r>
        <w:t>=0.2204, P=0.0013; Volume R</w:t>
      </w:r>
      <w:r w:rsidRPr="008C504A">
        <w:rPr>
          <w:vertAlign w:val="superscript"/>
        </w:rPr>
        <w:t>2</w:t>
      </w:r>
      <w:r>
        <w:t>=</w:t>
      </w:r>
      <w:r w:rsidRPr="008C504A">
        <w:t>0.2551</w:t>
      </w:r>
      <w:r>
        <w:t>, P=0.0009).</w:t>
      </w:r>
      <w:r w:rsidR="007F0B03">
        <w:t xml:space="preserve"> Functions are available within </w:t>
      </w:r>
      <w:proofErr w:type="spellStart"/>
      <w:r w:rsidR="007F0B03">
        <w:t>OpenEP</w:t>
      </w:r>
      <w:proofErr w:type="spellEnd"/>
      <w:r w:rsidR="007F0B03">
        <w:t xml:space="preserve"> to visualise chamber geometry, anatomical structures and provide information about vertices within the geometry (</w:t>
      </w:r>
      <w:r w:rsidR="002E26A9">
        <w:fldChar w:fldCharType="begin"/>
      </w:r>
      <w:r w:rsidR="002E26A9">
        <w:instrText xml:space="preserve"> REF _Ref59699545 </w:instrText>
      </w:r>
      <w:r w:rsidR="002E26A9">
        <w:fldChar w:fldCharType="separate"/>
      </w:r>
      <w:r w:rsidR="0040443C" w:rsidRPr="005C60E4">
        <w:rPr>
          <w:b/>
          <w:bCs/>
        </w:rPr>
        <w:t xml:space="preserve">Figure </w:t>
      </w:r>
      <w:r w:rsidR="0040443C">
        <w:rPr>
          <w:b/>
          <w:bCs/>
          <w:noProof/>
        </w:rPr>
        <w:t>11</w:t>
      </w:r>
      <w:r w:rsidR="002E26A9">
        <w:rPr>
          <w:b/>
          <w:bCs/>
          <w:noProof/>
        </w:rPr>
        <w:fldChar w:fldCharType="end"/>
      </w:r>
      <w:r w:rsidR="007F0B03">
        <w:t>).</w:t>
      </w:r>
    </w:p>
    <w:p w14:paraId="4D24F564" w14:textId="77777777" w:rsidR="00213126" w:rsidRDefault="00213126" w:rsidP="00213126">
      <w:pPr>
        <w:pStyle w:val="Heading3"/>
      </w:pPr>
      <w:r>
        <w:t>Local activation time mapping</w:t>
      </w:r>
    </w:p>
    <w:p w14:paraId="1DE6DFDC" w14:textId="581A12C8" w:rsidR="00213126" w:rsidRDefault="00213126" w:rsidP="00213126">
      <w:r>
        <w:t xml:space="preserve">Example local activation time maps created using Carto and using the interpolation functions built into </w:t>
      </w:r>
      <w:proofErr w:type="spellStart"/>
      <w:r>
        <w:t>OpenEP</w:t>
      </w:r>
      <w:proofErr w:type="spellEnd"/>
      <w:r>
        <w:t xml:space="preserve"> are shown in </w:t>
      </w:r>
      <w:r>
        <w:fldChar w:fldCharType="begin"/>
      </w:r>
      <w:r>
        <w:instrText xml:space="preserve"> REF _Ref56420912 \h </w:instrText>
      </w:r>
      <w:r>
        <w:fldChar w:fldCharType="separate"/>
      </w:r>
      <w:r w:rsidR="0040443C" w:rsidRPr="005D629E">
        <w:rPr>
          <w:b/>
        </w:rPr>
        <w:t xml:space="preserve">Figure </w:t>
      </w:r>
      <w:r w:rsidR="0040443C">
        <w:rPr>
          <w:b/>
          <w:noProof/>
        </w:rPr>
        <w:t>4</w:t>
      </w:r>
      <w:r>
        <w:fldChar w:fldCharType="end"/>
      </w:r>
      <w:r>
        <w:t xml:space="preserve">. Local activation time maps were quantified using the total activation time, the site of earliest activation and by a point-by-point comparison of activation times. </w:t>
      </w:r>
    </w:p>
    <w:p w14:paraId="3D26CF4B" w14:textId="3D4ECB75" w:rsidR="00213126" w:rsidRDefault="00213126" w:rsidP="00213126">
      <w:r>
        <w:t xml:space="preserve">The total activation time (TAT) was defined as the difference in activation times between the earliest and latest activation time mapping points on the Carto system. </w:t>
      </w:r>
      <w:proofErr w:type="spellStart"/>
      <w:r>
        <w:t>OpenEP</w:t>
      </w:r>
      <w:proofErr w:type="spellEnd"/>
      <w:r>
        <w:t xml:space="preserve"> can recover this metric from the exported data (“Point-based TAT”) and provides five additional metrics for calculating total activation time as described in </w:t>
      </w:r>
      <w:r w:rsidR="00627BDF">
        <w:t>Supplementary Table 1.</w:t>
      </w:r>
      <w:r>
        <w:t xml:space="preserve"> TAT was calculated for all 40 patient datasets, </w:t>
      </w:r>
      <w:r>
        <w:lastRenderedPageBreak/>
        <w:t xml:space="preserve">using all six methods and compared with Carto-derived total activation time. There was a perfect correlation between Carto-derived TAT and </w:t>
      </w:r>
      <w:proofErr w:type="spellStart"/>
      <w:r>
        <w:t>OpenEP</w:t>
      </w:r>
      <w:proofErr w:type="spellEnd"/>
      <w:r>
        <w:t xml:space="preserve"> point-based TAT (R</w:t>
      </w:r>
      <w:r w:rsidRPr="00330F9D">
        <w:rPr>
          <w:vertAlign w:val="superscript"/>
        </w:rPr>
        <w:t>2</w:t>
      </w:r>
      <w:r>
        <w:t xml:space="preserve">=1, P&lt;0.001). In the era of high ultra-high density mapping these point-based metrics are vulnerable to annotation errors and therefore map-based and percentile-based methods are also provided. The correlations between these methods are shown in  </w:t>
      </w:r>
      <w:r>
        <w:fldChar w:fldCharType="begin"/>
      </w:r>
      <w:r>
        <w:instrText xml:space="preserve"> REF _Ref56611858 \h </w:instrText>
      </w:r>
      <w:r>
        <w:fldChar w:fldCharType="separate"/>
      </w:r>
      <w:r w:rsidR="0040443C" w:rsidRPr="005D629E">
        <w:rPr>
          <w:b/>
          <w:bCs/>
        </w:rPr>
        <w:t xml:space="preserve">Figure </w:t>
      </w:r>
      <w:r w:rsidR="0040443C">
        <w:rPr>
          <w:b/>
          <w:bCs/>
          <w:noProof/>
        </w:rPr>
        <w:t>5</w:t>
      </w:r>
      <w:r>
        <w:fldChar w:fldCharType="end"/>
      </w:r>
      <w:r w:rsidRPr="00361228">
        <w:rPr>
          <w:b/>
          <w:bCs/>
        </w:rPr>
        <w:t>A.</w:t>
      </w:r>
    </w:p>
    <w:p w14:paraId="14EB37F5" w14:textId="7B18FCAC" w:rsidR="00213126" w:rsidRDefault="00213126" w:rsidP="00213126">
      <w:r>
        <w:t xml:space="preserve">The site of earliest activation was defined as the earliest point identified on the Carto-defined local activation time map. Again, </w:t>
      </w:r>
      <w:proofErr w:type="spellStart"/>
      <w:r>
        <w:t>OpenEP</w:t>
      </w:r>
      <w:proofErr w:type="spellEnd"/>
      <w:r>
        <w:t xml:space="preserve"> can recover this position but provides alternative methods to compute the earliest activation point, analogous to the methods for total activation time shown in </w:t>
      </w:r>
      <w:r w:rsidR="00627BDF">
        <w:t>Supplementary Table 2.</w:t>
      </w:r>
      <w:r>
        <w:t xml:space="preserve"> A comparison of Carto-defined earliest activation and the percentile-based electrogram method (</w:t>
      </w:r>
      <w:r w:rsidRPr="00FE2A49">
        <w:rPr>
          <w:rStyle w:val="SubtleEmphasis"/>
        </w:rPr>
        <w:t>‘</w:t>
      </w:r>
      <w:proofErr w:type="spellStart"/>
      <w:r w:rsidRPr="00FE2A49">
        <w:rPr>
          <w:rStyle w:val="SubtleEmphasis"/>
        </w:rPr>
        <w:t>ptbasedprct</w:t>
      </w:r>
      <w:proofErr w:type="spellEnd"/>
      <w:r w:rsidRPr="00FE2A49">
        <w:rPr>
          <w:rStyle w:val="SubtleEmphasis"/>
        </w:rPr>
        <w:t>’</w:t>
      </w:r>
      <w:r>
        <w:t xml:space="preserve">) is shown in </w:t>
      </w:r>
      <w:r>
        <w:fldChar w:fldCharType="begin"/>
      </w:r>
      <w:r>
        <w:instrText xml:space="preserve"> REF _Ref56575451 \h </w:instrText>
      </w:r>
      <w:r>
        <w:fldChar w:fldCharType="separate"/>
      </w:r>
      <w:r w:rsidR="0040443C" w:rsidRPr="005D629E">
        <w:rPr>
          <w:b/>
          <w:bCs/>
        </w:rPr>
        <w:t xml:space="preserve">Figure </w:t>
      </w:r>
      <w:r w:rsidR="0040443C">
        <w:rPr>
          <w:b/>
          <w:bCs/>
          <w:noProof/>
        </w:rPr>
        <w:t>6</w:t>
      </w:r>
      <w:r>
        <w:fldChar w:fldCharType="end"/>
      </w:r>
      <w:r w:rsidR="001A3A9A">
        <w:t xml:space="preserve">A for a single case and summarised in </w:t>
      </w:r>
      <w:r w:rsidR="001A3A9A">
        <w:fldChar w:fldCharType="begin"/>
      </w:r>
      <w:r w:rsidR="001A3A9A">
        <w:instrText xml:space="preserve"> REF _Ref56575451 \h </w:instrText>
      </w:r>
      <w:r w:rsidR="001A3A9A">
        <w:fldChar w:fldCharType="separate"/>
      </w:r>
      <w:r w:rsidR="0040443C" w:rsidRPr="005D629E">
        <w:rPr>
          <w:b/>
          <w:bCs/>
        </w:rPr>
        <w:t xml:space="preserve">Figure </w:t>
      </w:r>
      <w:r w:rsidR="0040443C">
        <w:rPr>
          <w:b/>
          <w:bCs/>
          <w:noProof/>
        </w:rPr>
        <w:t>6</w:t>
      </w:r>
      <w:r w:rsidR="001A3A9A">
        <w:fldChar w:fldCharType="end"/>
      </w:r>
      <w:r w:rsidR="001A3A9A">
        <w:t>B for all 40 cases in the validation dataset</w:t>
      </w:r>
      <w:r>
        <w:t xml:space="preserve">. The mean distance between Carto-defined and </w:t>
      </w:r>
      <w:proofErr w:type="spellStart"/>
      <w:r>
        <w:t>OpenEP</w:t>
      </w:r>
      <w:proofErr w:type="spellEnd"/>
      <w:r>
        <w:t xml:space="preserve">-defined earliest activation points was 10.8±4.4mm.  </w:t>
      </w:r>
    </w:p>
    <w:p w14:paraId="035967A8" w14:textId="778BCA7C" w:rsidR="00CC7E55" w:rsidRDefault="00213126" w:rsidP="00CC7E55">
      <w:r>
        <w:t xml:space="preserve">A point-by-point comparison of all surface based local activation times was performed. The point-by-point comparison of Carto-derived and </w:t>
      </w:r>
      <w:proofErr w:type="spellStart"/>
      <w:r>
        <w:t>OpenEP</w:t>
      </w:r>
      <w:proofErr w:type="spellEnd"/>
      <w:r>
        <w:t>-derived interpolated local activation time maps revealed a highly significant correlation between these two metrics (R</w:t>
      </w:r>
      <w:r w:rsidRPr="004823BC">
        <w:rPr>
          <w:vertAlign w:val="superscript"/>
        </w:rPr>
        <w:t>2</w:t>
      </w:r>
      <w:r>
        <w:t>=</w:t>
      </w:r>
      <w:r w:rsidRPr="004823BC">
        <w:t xml:space="preserve"> 0.8892</w:t>
      </w:r>
      <w:r>
        <w:t>, P&lt;0.0001) (</w:t>
      </w:r>
      <w:r>
        <w:fldChar w:fldCharType="begin"/>
      </w:r>
      <w:r>
        <w:instrText xml:space="preserve"> REF _Ref56611858 \h </w:instrText>
      </w:r>
      <w:r>
        <w:fldChar w:fldCharType="separate"/>
      </w:r>
      <w:r w:rsidR="0040443C" w:rsidRPr="005D629E">
        <w:rPr>
          <w:b/>
          <w:bCs/>
        </w:rPr>
        <w:t xml:space="preserve">Figure </w:t>
      </w:r>
      <w:r w:rsidR="0040443C">
        <w:rPr>
          <w:b/>
          <w:bCs/>
          <w:noProof/>
        </w:rPr>
        <w:t>5</w:t>
      </w:r>
      <w:r>
        <w:fldChar w:fldCharType="end"/>
      </w:r>
      <w:r>
        <w:t>B).</w:t>
      </w:r>
    </w:p>
    <w:p w14:paraId="2D98D26B" w14:textId="1BE32889" w:rsidR="007F0B03" w:rsidRPr="00931583" w:rsidRDefault="007F0B03" w:rsidP="00CC7E55">
      <w:pPr>
        <w:rPr>
          <w:highlight w:val="yellow"/>
        </w:rPr>
      </w:pPr>
      <w:proofErr w:type="spellStart"/>
      <w:r>
        <w:t>OpenEP</w:t>
      </w:r>
      <w:proofErr w:type="spellEnd"/>
      <w:r>
        <w:t xml:space="preserve"> also includes functions to create conduction velocity maps from local activation time maps, which can be displayed using the </w:t>
      </w:r>
      <w:r w:rsidRPr="007F0B03">
        <w:rPr>
          <w:rStyle w:val="SubtleEmphasis"/>
        </w:rPr>
        <w:t>drawMap.m</w:t>
      </w:r>
      <w:r>
        <w:t xml:space="preserve"> function. In addition, conduction velocity histogram analysis is available via the </w:t>
      </w:r>
      <w:r w:rsidRPr="007F0B03">
        <w:rPr>
          <w:rStyle w:val="SubtleEmphasis"/>
        </w:rPr>
        <w:t>cvHistogram.m</w:t>
      </w:r>
      <w:r>
        <w:t xml:space="preserve"> function (</w:t>
      </w:r>
      <w:r w:rsidR="002E26A9">
        <w:fldChar w:fldCharType="begin"/>
      </w:r>
      <w:r w:rsidR="002E26A9">
        <w:instrText xml:space="preserve"> REF _Ref59699267 </w:instrText>
      </w:r>
      <w:r w:rsidR="002E26A9">
        <w:fldChar w:fldCharType="separate"/>
      </w:r>
      <w:r w:rsidR="0040443C" w:rsidRPr="00200BE9">
        <w:rPr>
          <w:b/>
          <w:bCs/>
        </w:rPr>
        <w:t xml:space="preserve">Figure </w:t>
      </w:r>
      <w:r w:rsidR="0040443C">
        <w:rPr>
          <w:b/>
          <w:bCs/>
          <w:noProof/>
        </w:rPr>
        <w:t>7</w:t>
      </w:r>
      <w:r w:rsidR="002E26A9">
        <w:rPr>
          <w:b/>
          <w:bCs/>
          <w:noProof/>
        </w:rPr>
        <w:fldChar w:fldCharType="end"/>
      </w:r>
      <w:r>
        <w:t>).</w:t>
      </w:r>
      <w:r w:rsidR="00946E73">
        <w:t xml:space="preserve"> </w:t>
      </w:r>
      <w:r w:rsidR="00797FFB" w:rsidRPr="006F25CD">
        <w:t xml:space="preserve">Currently, </w:t>
      </w:r>
      <w:proofErr w:type="spellStart"/>
      <w:r w:rsidR="00797FFB" w:rsidRPr="006F25CD">
        <w:t>OpenEP</w:t>
      </w:r>
      <w:proofErr w:type="spellEnd"/>
      <w:r w:rsidR="00797FFB" w:rsidRPr="006F25CD">
        <w:t xml:space="preserve"> provides a single method to calculate conduction velocity which </w:t>
      </w:r>
      <w:r w:rsidR="006F25CD" w:rsidRPr="006F25CD">
        <w:t xml:space="preserve">uses the radial basis function method </w:t>
      </w:r>
      <w:r w:rsidR="006F25CD" w:rsidRPr="006F25CD">
        <w:fldChar w:fldCharType="begin" w:fldLock="1"/>
      </w:r>
      <w:r w:rsidR="006F25CD" w:rsidRPr="006F25CD">
        <w:instrText>ADDIN CSL_CITATION {"citationItems":[{"id":"ITEM-1","itemData":{"DOI":"10.1109/IEMBS.2010.5626616","ISBN":"9781424441235","ISSN":"1557-170X","PMID":"21096180","abstract":"The integration of mapping techniques with suitable methods for the characterization and visualization of propagation patterns may enhance the targeting of critical arrhythmic areas, thus optimizing the ablative treatment of atrial arrhythmias. In this study, we tested the feasibility of an innovative approach for the automatic determination of activation and velocity maps from sparse data as provided by electro-anatomic mapping systems. The proposed algorithm reconstructed the activation process by a radial basis function (RBF) interpolation of mapping point latencies. Velocity vectors were analytically determined by differentiation of the interpolation function. The method was tested by a multistate cellular automaton simulation model, implemented on a CARTO-derived atrial endocardial surface, and reconstruction accuracy was evaluated as a function of the number of mapping points. The RBF algorithm accurately reconstructed wave propagation patterns in simulated tissues with homogeneous and heterogeneous conduction properties, consistently with the data access afforded by clinical practice. These preliminary results suggest the possible integration of the method with clinically-used mapping systems to favor the identification of specific propagation patterns and conduction disturbances.","author":[{"dropping-particle":"","family":"Masè","given":"M.","non-dropping-particle":"","parse-names":false,"suffix":""},{"dropping-particle":"","family":"Ravelli","given":"F.","non-dropping-particle":"","parse-names":false,"suffix":""}],"container-title":"2010 Annual International Conference of the IEEE Engineering in Medicine and Biology Society, EMBC'10","id":"ITEM-1","issued":{"date-parts":[["2010"]]},"page":"2608-2611","title":"Automatic reconstruction of activation and velocity maps from electro-anatomic data by radial basis functions","type":"article-journal"},"uris":["http://www.mendeley.com/documents/?uuid=70940101-c9ea-447c-9367-4c0b5fddddae"]}],"mendeley":{"formattedCitation":"(Masè and Ravelli, 2010)","plainTextFormattedCitation":"(Masè and Ravelli, 2010)","previouslyFormattedCitation":"(Masè and Ravelli, 2010)"},"properties":{"noteIndex":0},"schema":"https://github.com/citation-style-language/schema/raw/master/csl-citation.json"}</w:instrText>
      </w:r>
      <w:r w:rsidR="006F25CD" w:rsidRPr="0040443C">
        <w:fldChar w:fldCharType="separate"/>
      </w:r>
      <w:r w:rsidR="006F25CD" w:rsidRPr="006F25CD">
        <w:rPr>
          <w:noProof/>
        </w:rPr>
        <w:t>(Masè and Ravelli, 2010)</w:t>
      </w:r>
      <w:r w:rsidR="006F25CD" w:rsidRPr="006F25CD">
        <w:fldChar w:fldCharType="end"/>
      </w:r>
      <w:r w:rsidR="006F25CD" w:rsidRPr="006F25CD">
        <w:t>.</w:t>
      </w:r>
    </w:p>
    <w:p w14:paraId="487103FF" w14:textId="60A70AE2" w:rsidR="00213126" w:rsidRDefault="00213126" w:rsidP="00213126">
      <w:pPr>
        <w:pStyle w:val="Heading3"/>
      </w:pPr>
      <w:r>
        <w:t>Voltage mapping</w:t>
      </w:r>
    </w:p>
    <w:p w14:paraId="32B33723" w14:textId="1B3FF4A0" w:rsidR="00213126" w:rsidRDefault="00213126" w:rsidP="00213126">
      <w:r>
        <w:t xml:space="preserve">Example voltage maps created directly using Carto and indirectly using the interpolation functions built into </w:t>
      </w:r>
      <w:proofErr w:type="spellStart"/>
      <w:r>
        <w:t>OpenEP</w:t>
      </w:r>
      <w:proofErr w:type="spellEnd"/>
      <w:r>
        <w:t xml:space="preserve"> are shown in </w:t>
      </w:r>
      <w:r>
        <w:fldChar w:fldCharType="begin"/>
      </w:r>
      <w:r>
        <w:instrText xml:space="preserve"> REF _Ref56438426 \h </w:instrText>
      </w:r>
      <w:r>
        <w:fldChar w:fldCharType="separate"/>
      </w:r>
      <w:r w:rsidR="0040443C" w:rsidRPr="005D629E">
        <w:rPr>
          <w:b/>
        </w:rPr>
        <w:t xml:space="preserve">Figure </w:t>
      </w:r>
      <w:r w:rsidR="0040443C">
        <w:rPr>
          <w:b/>
          <w:noProof/>
        </w:rPr>
        <w:t>8</w:t>
      </w:r>
      <w:r>
        <w:fldChar w:fldCharType="end"/>
      </w:r>
      <w:r>
        <w:t xml:space="preserve">. Voltage maps were quantified using the mean chamber voltage and the percentage of low voltage (defined as interpolated voltage &lt;0.5mV). Mean chamber voltage was significantly correlated between Carto and </w:t>
      </w:r>
      <w:proofErr w:type="spellStart"/>
      <w:r>
        <w:t>OpenEP</w:t>
      </w:r>
      <w:proofErr w:type="spellEnd"/>
      <w:r>
        <w:t xml:space="preserve"> voltage maps (R</w:t>
      </w:r>
      <w:r w:rsidRPr="00F46887">
        <w:rPr>
          <w:vertAlign w:val="superscript"/>
        </w:rPr>
        <w:t>2</w:t>
      </w:r>
      <w:r>
        <w:t>=</w:t>
      </w:r>
      <w:r w:rsidRPr="00F46887">
        <w:t xml:space="preserve"> 0.8708</w:t>
      </w:r>
      <w:r>
        <w:t xml:space="preserve">, P&lt;0.001). Similarly, low voltage area defined as the atrial area with voltage less than 0.5mV was significantly correlated between Carto and </w:t>
      </w:r>
      <w:proofErr w:type="spellStart"/>
      <w:r>
        <w:t>OpenEP</w:t>
      </w:r>
      <w:proofErr w:type="spellEnd"/>
      <w:r>
        <w:t xml:space="preserve"> voltage maps (R</w:t>
      </w:r>
      <w:r w:rsidRPr="00A81314">
        <w:rPr>
          <w:vertAlign w:val="superscript"/>
        </w:rPr>
        <w:t>2</w:t>
      </w:r>
      <w:r>
        <w:t>=</w:t>
      </w:r>
      <w:r w:rsidRPr="00A81314">
        <w:t>0.8481</w:t>
      </w:r>
      <w:r>
        <w:t xml:space="preserve">, P&lt;0.0001). Scatter plots with regression lines and Bland-Altman plots for the comparison of both metrics are shown in </w:t>
      </w:r>
      <w:r>
        <w:fldChar w:fldCharType="begin"/>
      </w:r>
      <w:r>
        <w:instrText xml:space="preserve"> REF _Ref56695391 \h </w:instrText>
      </w:r>
      <w:r>
        <w:fldChar w:fldCharType="separate"/>
      </w:r>
      <w:r w:rsidR="0040443C" w:rsidRPr="005D629E">
        <w:rPr>
          <w:b/>
          <w:bCs/>
        </w:rPr>
        <w:t xml:space="preserve">Figure </w:t>
      </w:r>
      <w:r w:rsidR="0040443C">
        <w:rPr>
          <w:b/>
          <w:bCs/>
          <w:noProof/>
        </w:rPr>
        <w:t>9</w:t>
      </w:r>
      <w:r>
        <w:fldChar w:fldCharType="end"/>
      </w:r>
      <w:r>
        <w:t>.</w:t>
      </w:r>
    </w:p>
    <w:p w14:paraId="205709F7" w14:textId="59FB2D45" w:rsidR="00213126" w:rsidRPr="002252AE" w:rsidRDefault="00213126" w:rsidP="00213126">
      <w:proofErr w:type="spellStart"/>
      <w:r>
        <w:t>OpenEP</w:t>
      </w:r>
      <w:proofErr w:type="spellEnd"/>
      <w:r>
        <w:t xml:space="preserve"> also allows more advanced quantification of voltage metrics including voltage histogram analysis (</w:t>
      </w:r>
      <w:r w:rsidR="002E26A9">
        <w:fldChar w:fldCharType="begin"/>
      </w:r>
      <w:r w:rsidR="002E26A9">
        <w:instrText xml:space="preserve"> REF _Ref59699443 </w:instrText>
      </w:r>
      <w:r w:rsidR="002E26A9">
        <w:fldChar w:fldCharType="separate"/>
      </w:r>
      <w:r w:rsidR="0040443C" w:rsidRPr="00C65DD6">
        <w:rPr>
          <w:b/>
          <w:bCs/>
        </w:rPr>
        <w:t xml:space="preserve">Figure </w:t>
      </w:r>
      <w:r w:rsidR="0040443C">
        <w:rPr>
          <w:b/>
          <w:bCs/>
          <w:noProof/>
        </w:rPr>
        <w:t>10</w:t>
      </w:r>
      <w:r w:rsidR="002E26A9">
        <w:rPr>
          <w:b/>
          <w:bCs/>
          <w:noProof/>
        </w:rPr>
        <w:fldChar w:fldCharType="end"/>
      </w:r>
      <w:r>
        <w:t>).</w:t>
      </w:r>
    </w:p>
    <w:p w14:paraId="462610D0" w14:textId="77777777" w:rsidR="00213126" w:rsidRDefault="00213126" w:rsidP="00213126">
      <w:pPr>
        <w:pStyle w:val="Heading3"/>
      </w:pPr>
      <w:r>
        <w:t>Electrogram Display</w:t>
      </w:r>
    </w:p>
    <w:p w14:paraId="3D5FCB5D" w14:textId="55FDDD86" w:rsidR="00213126" w:rsidRDefault="00213126" w:rsidP="00213126">
      <w:proofErr w:type="spellStart"/>
      <w:r>
        <w:t>OpenEP</w:t>
      </w:r>
      <w:proofErr w:type="spellEnd"/>
      <w:r>
        <w:t xml:space="preserve"> can be used to simplify the process of accessing electrograms from electroanatomic mapping data. For Carto data, the functions </w:t>
      </w:r>
      <w:r w:rsidRPr="00113660">
        <w:rPr>
          <w:rStyle w:val="SubtleEmphasis"/>
        </w:rPr>
        <w:t>getIndexfromCartoPointNumber()</w:t>
      </w:r>
      <w:r>
        <w:t xml:space="preserve"> and </w:t>
      </w:r>
      <w:r w:rsidRPr="00113660">
        <w:rPr>
          <w:rStyle w:val="SubtleEmphasis"/>
        </w:rPr>
        <w:t>plotOpenEPEgms()</w:t>
      </w:r>
      <w:r>
        <w:t xml:space="preserve"> are provided which can be used together to plot a figure containing the electrogram pertaining to a specific </w:t>
      </w:r>
      <w:r>
        <w:lastRenderedPageBreak/>
        <w:t xml:space="preserve">electroanatomic mapping point. Examples of such electrograms and comparison with the clinical electrograms are shown in </w:t>
      </w:r>
      <w:r>
        <w:fldChar w:fldCharType="begin"/>
      </w:r>
      <w:r>
        <w:instrText xml:space="preserve"> REF _Ref56694321 \h </w:instrText>
      </w:r>
      <w:r>
        <w:fldChar w:fldCharType="separate"/>
      </w:r>
      <w:r w:rsidR="0040443C" w:rsidRPr="008E443A">
        <w:rPr>
          <w:b/>
          <w:bCs/>
        </w:rPr>
        <w:t xml:space="preserve">Figure </w:t>
      </w:r>
      <w:r w:rsidR="0040443C">
        <w:rPr>
          <w:b/>
          <w:bCs/>
          <w:noProof/>
        </w:rPr>
        <w:t>12</w:t>
      </w:r>
      <w:r>
        <w:fldChar w:fldCharType="end"/>
      </w:r>
      <w:r>
        <w:t xml:space="preserve">. The </w:t>
      </w:r>
      <w:proofErr w:type="spellStart"/>
      <w:r>
        <w:t>OpenEP</w:t>
      </w:r>
      <w:proofErr w:type="spellEnd"/>
      <w:r>
        <w:t xml:space="preserve"> function, </w:t>
      </w:r>
      <w:r w:rsidRPr="00113660">
        <w:rPr>
          <w:rStyle w:val="SubtleEmphasis"/>
        </w:rPr>
        <w:t>plotOpenEPEgms()</w:t>
      </w:r>
      <w:r>
        <w:t xml:space="preserve"> accepts a number of parameter/value inputs to customise the output which are summarised in </w:t>
      </w:r>
      <w:r w:rsidR="00064F28">
        <w:t>Supplementary Table 2.</w:t>
      </w:r>
    </w:p>
    <w:p w14:paraId="720AB758" w14:textId="77777777" w:rsidR="00213126" w:rsidRDefault="00213126" w:rsidP="00213126">
      <w:pPr>
        <w:pStyle w:val="Heading3"/>
      </w:pPr>
      <w:r>
        <w:t>Ablation Point Input and Display</w:t>
      </w:r>
    </w:p>
    <w:p w14:paraId="20288C87" w14:textId="3F422615" w:rsidR="00213126" w:rsidRPr="00CC09FF" w:rsidRDefault="00213126" w:rsidP="00213126">
      <w:proofErr w:type="spellStart"/>
      <w:r>
        <w:t>OpenEP</w:t>
      </w:r>
      <w:proofErr w:type="spellEnd"/>
      <w:r>
        <w:t xml:space="preserve"> offers two tools that can be used for identifying ablation sites. Firstly, ablation sites may be tagged within location-only points. These points are labelled as such in </w:t>
      </w:r>
      <w:r w:rsidRPr="00DD356D">
        <w:rPr>
          <w:rStyle w:val="SubtleEmphasis"/>
        </w:rPr>
        <w:t>userdata.electric.tags</w:t>
      </w:r>
      <w:r>
        <w:t xml:space="preserve"> and have location data stored in </w:t>
      </w:r>
      <w:r w:rsidRPr="00DD356D">
        <w:rPr>
          <w:rStyle w:val="SubtleEmphasis"/>
        </w:rPr>
        <w:t>userdata.electric.egmX</w:t>
      </w:r>
      <w:r>
        <w:t xml:space="preserve"> </w:t>
      </w:r>
      <w:proofErr w:type="gramStart"/>
      <w:r>
        <w:t xml:space="preserve">and </w:t>
      </w:r>
      <w:r w:rsidRPr="00DD356D">
        <w:rPr>
          <w:rStyle w:val="SubtleEmphasis"/>
        </w:rPr>
        <w:t>.egmSurfX</w:t>
      </w:r>
      <w:proofErr w:type="gramEnd"/>
      <w:r w:rsidRPr="00DD356D">
        <w:rPr>
          <w:rStyle w:val="SubtleEmphasis"/>
        </w:rPr>
        <w:t xml:space="preserve"> </w:t>
      </w:r>
      <w:r>
        <w:t xml:space="preserve">but have no linked electrical data. Modern electroanatomic mapping systems provide metrics which quantify energy delivery (and seek to predict lesion size) during radiofrequency ablation, such as the Lesion Size Index </w:t>
      </w:r>
      <w:r>
        <w:fldChar w:fldCharType="begin" w:fldLock="1"/>
      </w:r>
      <w:r>
        <w:instrText>ADDIN CSL_CITATION {"citationItems":[{"id":"ITEM-1","itemData":{"DOI":"10.1161/CIRCEP.117.005892","ISSN":"19413084","abstract":"© 2018 Lippincott Williams and Wilkins. All rights reserved. Background: The Lesion Index (LSI) is a proprietary algorithm from Abbott Medical combining contact force, radiofrequency application duration, and radiofrequency current. It can be displayed during ablation with the TactiCath contact force catheter. The LSI Index was designed to provide real-time lesion formation feedback and is hypothesized to estimate the lesion diameter. Methods and Results: Before ablation, animals underwent cardiac computed tomography to assess atrial tissue thickness. Ablation lines (n=2-3 per animal) were created in the right atrium of 7 Göttingen mini pigs with point lesions (25 W). Within each line of ablation, the catheter tip was moved a prescribed distance (D/mm) according to 1 of 3 strategies: D=LSI+0 mm; D=LSI+2 mm; or D=LSI+4 mm. Two weeks after ablation, serial sections of targeted atrial tissue were examined histologically to identify gaps in transmural ablation. LSI-guided lines had a lower incidence of histological gaps (4 gaps in 69 catheter moves, 5.8%) than LSI+2 mm lines (7 gaps in 33 catheter moves, 21.2%) and LSI+4 mm lines (15 gaps in 23 catheter moves, 65.2%, P&lt;0.05 versus D=LSI). ΔLSI was calculated retrospectively as the distance between 2 adjacent lesions above the mean LSI of the 2 lesions. ΔLSI values of ≤1.5 were associated with no gaps in transmural ablation. Conclusions: In this model of chronic atrial ablation, delivery of uninterrupted transmural linear lesions may be facilitated by using LSI to guide catheter movement. When ΔLSI between adjacent lesions is ≤1.5 mm, no gaps in atrial linear lesions should be expected.","author":[{"dropping-particle":"","family":"Whitaker","given":"John","non-dropping-particle":"","parse-names":false,"suffix":""},{"dropping-particle":"","family":"Fish","given":"Jeffrey","non-dropping-particle":"","parse-names":false,"suffix":""},{"dropping-particle":"","family":"Harrison","given":"James L.","non-dropping-particle":"","parse-names":false,"suffix":""},{"dropping-particle":"","family":"Chubb","given":"Henry","non-dropping-particle":"","parse-names":false,"suffix":""},{"dropping-particle":"","family":"Williams","given":"Steven E.","non-dropping-particle":"","parse-names":false,"suffix":""},{"dropping-particle":"","family":"Fastl","given":"Thomas","non-dropping-particle":"","parse-names":false,"suffix":""},{"dropping-particle":"","family":"Corrado","given":"Cesare","non-dropping-particle":"","parse-names":false,"suffix":""},{"dropping-particle":"","family":"Zaen","given":"Jérôme Jerome","non-dropping-particle":"Van","parse-names":false,"suffix":""},{"dropping-particle":"","family":"Gibbs","given":"Jennifer","non-dropping-particle":"","parse-names":false,"suffix":""},{"dropping-particle":"","family":"O'Neill","given":"Louisa","non-dropping-particle":"","parse-names":false,"suffix":""},{"dropping-particle":"","family":"Mukherjee","given":"Rahul K","non-dropping-particle":"","parse-names":false,"suffix":""},{"dropping-particle":"","family":"Rittey","given":"Dianna","non-dropping-particle":"","parse-names":false,"suffix":""},{"dropping-particle":"","family":"Thorsten","given":"Jason","non-dropping-particle":"","parse-names":false,"suffix":""},{"dropping-particle":"","family":"Donskoy","given":"Elina","non-dropping-particle":"","parse-names":false,"suffix":""},{"dropping-particle":"","family":"Sohal","given":"Manav","non-dropping-particle":"","parse-names":false,"suffix":""},{"dropping-particle":"","family":"Rajani","given":"Ronak","non-dropping-particle":"","parse-names":false,"suffix":""},{"dropping-particle":"","family":"Niederer","given":"Steven","non-dropping-particle":"","parse-names":false,"suffix":""},{"dropping-particle":"","family":"Wright","given":"Matthew","non-dropping-particle":"","parse-names":false,"suffix":""},{"dropping-particle":"","family":"O'Neill","given":"Mark D.","non-dropping-particle":"","parse-names":false,"suffix":""}],"container-title":"Circulation: Arrhythmia and Electrophysiology","id":"ITEM-1","issue":"4","issued":{"date-parts":[["2018"]]},"page":"e005892","title":"Lesion Index-Guided Ablation Facilitates Continuous, Transmural, and Durable Lesions in a Porcine Recovery Model","type":"article-journal","volume":"11"},"uris":["http://www.mendeley.com/documents/?uuid=b7f7e918-b9b6-4f2f-97db-455fc2625060"]}],"mendeley":{"formattedCitation":"(Whitaker et al., 2018)","plainTextFormattedCitation":"(Whitaker et al., 2018)","previouslyFormattedCitation":"(Whitaker et al., 2018)"},"properties":{"noteIndex":0},"schema":"https://github.com/citation-style-language/schema/raw/master/csl-citation.json"}</w:instrText>
      </w:r>
      <w:r>
        <w:fldChar w:fldCharType="separate"/>
      </w:r>
      <w:r w:rsidRPr="007005E5">
        <w:rPr>
          <w:noProof/>
        </w:rPr>
        <w:t>(Whitaker et al., 2018)</w:t>
      </w:r>
      <w:r>
        <w:fldChar w:fldCharType="end"/>
      </w:r>
      <w:r>
        <w:t xml:space="preserve"> and Ablation Index </w:t>
      </w:r>
      <w:r>
        <w:fldChar w:fldCharType="begin" w:fldLock="1"/>
      </w:r>
      <w:r>
        <w:instrText>ADDIN CSL_CITATION {"citationItems":[{"id":"ITEM-1","itemData":{"DOI":"10.1093/europace/euz226","ISSN":"15322092","abstract":"Aims: A point-by-point workflow for pulmonary vein isolation (PVI) targeting pre-defined Ablation Index values (a composite of contact force, time, and power) and minimizing interlesion distance may optimize the creation of contiguous ablation lesions whilst minimizing scar formation. We aimed to compare ablation scar formation in patients undergoing PVI using this workflow to patients undergoing a continuous catheter drag workflow. Methods and results: Post-ablation cardiovascular magnetic resonance imaging was performed in patients undergoing 1st-time PVI using a parameter-guided point-by-point workflow (n = 26). Total left atrial scar burden and the width and continuity of the pulmonary vein encirclement were determined on analysis of atrial late gadolinium enhancement sequences. Comparison was made with a cohort of patients (n = 20) undergoing PVI using continuous drag lesions. Mean post-ablation scar burden and scar width were significantly lower in the point-by-point group than in the control group (6.6 ± 6.8% vs. 9.6 ± 5.0%, P = 0.03 and 7.9 ± 3.6 mm vs. 10.7 ± 2.3 mm, P = 0.003). More complete bilateral pulmonary vein encirclements were seen in the point-by-point group (P = 0.038). All patients achieved acute PVI. Conclusion: Pulmonary vein isolation using a point-by-point workflow is feasible and results in a lower scar burden and scar width with more complete pulmonary vein encirclements than a conventional drag lesion approach.","author":[{"dropping-particle":"","family":"O'Neill","given":"Louisa","non-dropping-particle":"","parse-names":false,"suffix":""},{"dropping-particle":"","family":"Karim","given":"Rashed","non-dropping-particle":"","parse-names":false,"suffix":""},{"dropping-particle":"","family":"Mukherjee","given":"Rahul K.","non-dropping-particle":"","parse-names":false,"suffix":""},{"dropping-particle":"","family":"Whitaker","given":"John","non-dropping-particle":"","parse-names":false,"suffix":""},{"dropping-particle":"","family":"Sim","given":"Iain","non-dropping-particle":"","parse-names":false,"suffix":""},{"dropping-particle":"","family":"Harrison","given":"James","non-dropping-particle":"","parse-names":false,"suffix":""},{"dropping-particle":"","family":"Razeghi","given":"Orod","non-dropping-particle":"","parse-names":false,"suffix":""},{"dropping-particle":"","family":"Niederer","given":"Steven","non-dropping-particle":"","parse-names":false,"suffix":""},{"dropping-particle":"","family":"Ismail","given":"Tevfik","non-dropping-particle":"","parse-names":false,"suffix":""},{"dropping-particle":"","family":"Wright","given":"Matthew","non-dropping-particle":"","parse-names":false,"suffix":""},{"dropping-particle":"","family":"O'Neill","given":"Mark D.","non-dropping-particle":"","parse-names":false,"suffix":""},{"dropping-particle":"","family":"Williams","given":"Steven E.","non-dropping-particle":"","parse-names":false,"suffix":""}],"container-title":"Europace","id":"ITEM-1","issue":"12","issued":{"date-parts":[["2019"]]},"page":"1817-1823","title":"Pulmonary vein encirclement using an Ablation Index-guided point-by-point workflow: Cardiovascular magnetic resonance assessment of left atrial scar formation","type":"article-journal","volume":"21"},"uris":["http://www.mendeley.com/documents/?uuid=63a17add-7a66-4c74-9f74-33e9d4f24f46"]}],"mendeley":{"formattedCitation":"(O’Neill et al., 2019)","plainTextFormattedCitation":"(O’Neill et al., 2019)","previouslyFormattedCitation":"(O’Neill et al., 2019)"},"properties":{"noteIndex":0},"schema":"https://github.com/citation-style-language/schema/raw/master/csl-citation.json"}</w:instrText>
      </w:r>
      <w:r>
        <w:fldChar w:fldCharType="separate"/>
      </w:r>
      <w:r w:rsidRPr="001811D3">
        <w:rPr>
          <w:noProof/>
        </w:rPr>
        <w:t>(O’Neill et al., 2019)</w:t>
      </w:r>
      <w:r>
        <w:fldChar w:fldCharType="end"/>
      </w:r>
      <w:r>
        <w:t xml:space="preserve">. Since these indices vary per-platform and per-case, </w:t>
      </w:r>
      <w:proofErr w:type="spellStart"/>
      <w:r>
        <w:t>OpenEP</w:t>
      </w:r>
      <w:proofErr w:type="spellEnd"/>
      <w:r>
        <w:t xml:space="preserve"> provides helper functions for accessing radiofrequency index data which is appended to </w:t>
      </w:r>
      <w:r w:rsidRPr="00DA44EA">
        <w:rPr>
          <w:rStyle w:val="SubtleEmphasis"/>
        </w:rPr>
        <w:t>userdata</w:t>
      </w:r>
      <w:r>
        <w:t xml:space="preserve"> and then stored in the subfields of </w:t>
      </w:r>
      <w:r w:rsidRPr="005F68A6">
        <w:rPr>
          <w:rStyle w:val="SubtleEmphasis"/>
        </w:rPr>
        <w:t>userdata.rfindex</w:t>
      </w:r>
      <w:r>
        <w:t xml:space="preserve">. So far, only </w:t>
      </w:r>
      <w:proofErr w:type="spellStart"/>
      <w:r>
        <w:t>Visitags</w:t>
      </w:r>
      <w:proofErr w:type="spellEnd"/>
      <w:r>
        <w:t xml:space="preserve"> (Carto3) are implemented via the </w:t>
      </w:r>
      <w:r w:rsidRPr="00DD356D">
        <w:rPr>
          <w:rStyle w:val="SubtleEmphasis"/>
        </w:rPr>
        <w:t>importvisitag()</w:t>
      </w:r>
      <w:r>
        <w:t xml:space="preserve"> function but the roadmap for development prioritises the parsing of Lesion Stability Index (Precision). Example data is shown in </w:t>
      </w:r>
      <w:r>
        <w:fldChar w:fldCharType="begin"/>
      </w:r>
      <w:r>
        <w:instrText xml:space="preserve"> REF _Ref57782878 \h </w:instrText>
      </w:r>
      <w:r>
        <w:fldChar w:fldCharType="separate"/>
      </w:r>
      <w:r w:rsidR="0040443C" w:rsidRPr="002A63C0">
        <w:rPr>
          <w:b/>
          <w:bCs/>
        </w:rPr>
        <w:t xml:space="preserve">Figure </w:t>
      </w:r>
      <w:r w:rsidR="0040443C">
        <w:rPr>
          <w:b/>
          <w:bCs/>
          <w:noProof/>
        </w:rPr>
        <w:t>13</w:t>
      </w:r>
      <w:r>
        <w:fldChar w:fldCharType="end"/>
      </w:r>
      <w:r>
        <w:t>, and the format of the dataset created is shown in the Supplementary Material. Additional functions are provided to plot the ablation sites, coloured by any available ablation parameter and calculate ablation area. Ablation parameters (time, force, impedance, temperature, power) can currently be plotted from the available raw data and the roadmap for development includes the provision of help functions to streamline these graphing functions.</w:t>
      </w:r>
    </w:p>
    <w:p w14:paraId="4EA3DDB3" w14:textId="77777777" w:rsidR="00213126" w:rsidRDefault="00213126" w:rsidP="00213126">
      <w:pPr>
        <w:pStyle w:val="Heading2"/>
      </w:pPr>
      <w:r>
        <w:t>Literature Survey</w:t>
      </w:r>
    </w:p>
    <w:p w14:paraId="7F7D00E1" w14:textId="01070404" w:rsidR="00213126" w:rsidRDefault="00213126" w:rsidP="00213126">
      <w:r>
        <w:t>Following the initial literature search, 136 suitable articles were identified</w:t>
      </w:r>
      <w:r w:rsidR="000E6F1D">
        <w:t xml:space="preserve"> (see Supplementary Material)</w:t>
      </w:r>
      <w:r>
        <w:t xml:space="preserve">. Case reports (n=18), clinical series using electroanatomic mapping for treatment (n=5), editorials (n=5), guidelines (n=6), conference abstracts (n=1), non-electroanatomic mapping studies (n=30), non-English language studies (n=4) and review articles (n=10) were excluded leaving 46 studies for analysis. </w:t>
      </w:r>
    </w:p>
    <w:p w14:paraId="7997A44E" w14:textId="679E5DEC" w:rsidR="00213126" w:rsidRDefault="00213126" w:rsidP="00213126">
      <w:r>
        <w:t xml:space="preserve">The frequency of data types analysed amongst all the studies is shown in </w:t>
      </w:r>
      <w:r>
        <w:fldChar w:fldCharType="begin"/>
      </w:r>
      <w:r>
        <w:instrText xml:space="preserve"> REF _Ref57647901 \h </w:instrText>
      </w:r>
      <w:r>
        <w:fldChar w:fldCharType="separate"/>
      </w:r>
      <w:r w:rsidR="0040443C" w:rsidRPr="00333E94">
        <w:rPr>
          <w:b/>
          <w:bCs/>
        </w:rPr>
        <w:t xml:space="preserve">Figure </w:t>
      </w:r>
      <w:r w:rsidR="0040443C">
        <w:rPr>
          <w:b/>
          <w:bCs/>
          <w:noProof/>
        </w:rPr>
        <w:t>14</w:t>
      </w:r>
      <w:r>
        <w:fldChar w:fldCharType="end"/>
      </w:r>
      <w:r>
        <w:t xml:space="preserve">. </w:t>
      </w:r>
    </w:p>
    <w:p w14:paraId="49874C2E" w14:textId="5649A99F" w:rsidR="00213126" w:rsidRDefault="00213126" w:rsidP="00213126">
      <w:r>
        <w:t xml:space="preserve">Studies were scored according to the highest level of data analysis performed, ranging from qualitative analysis on the clinical system (score = 1) to quantitative analysis following data export (score = 4). Of the included studies, </w:t>
      </w:r>
      <w:r w:rsidR="003A7351">
        <w:t>6</w:t>
      </w:r>
      <w:r>
        <w:t>/46 (1</w:t>
      </w:r>
      <w:r w:rsidR="003A7351">
        <w:t>3</w:t>
      </w:r>
      <w:r>
        <w:t xml:space="preserve">%) performed qualitative analysis on the clinical system and </w:t>
      </w:r>
      <w:r w:rsidR="003A7351">
        <w:t>30</w:t>
      </w:r>
      <w:r>
        <w:t>/46 (6</w:t>
      </w:r>
      <w:r w:rsidR="003A7351">
        <w:t>5</w:t>
      </w:r>
      <w:r>
        <w:t>%) performed quantitative analysis on the clinical system. A minority of studies (</w:t>
      </w:r>
      <w:r w:rsidR="003A7351">
        <w:t>10</w:t>
      </w:r>
      <w:r>
        <w:t xml:space="preserve">/46, </w:t>
      </w:r>
      <w:r w:rsidR="003A7351">
        <w:t>22</w:t>
      </w:r>
      <w:r>
        <w:t>%) performed data export from the clinical system, and all of these studies performed quantitative analysis of at least some electroanatomic mapping data. Of all the studies analysed, 2</w:t>
      </w:r>
      <w:r w:rsidR="003A7351">
        <w:t>1</w:t>
      </w:r>
      <w:r>
        <w:t>/41 (</w:t>
      </w:r>
      <w:r w:rsidR="003A7351">
        <w:t>51</w:t>
      </w:r>
      <w:r>
        <w:t>%) performed quantitative analysis of chamber geometry or low voltage areas manually using area measurement tools embedded in the clinical system.</w:t>
      </w:r>
    </w:p>
    <w:p w14:paraId="668266B0" w14:textId="0D97FA93" w:rsidR="00213126" w:rsidRDefault="00213126" w:rsidP="00213126">
      <w:r>
        <w:lastRenderedPageBreak/>
        <w:t xml:space="preserve">The current implementation of </w:t>
      </w:r>
      <w:proofErr w:type="spellStart"/>
      <w:r>
        <w:t>OpenEP</w:t>
      </w:r>
      <w:proofErr w:type="spellEnd"/>
      <w:r>
        <w:t xml:space="preserve"> exposes access to the full electroanatomic mapping dataset</w:t>
      </w:r>
      <w:r w:rsidR="003A7351">
        <w:t xml:space="preserve"> and analysis techniques</w:t>
      </w:r>
      <w:r>
        <w:t xml:space="preserve"> required for completion of 3</w:t>
      </w:r>
      <w:r w:rsidR="003A7351">
        <w:t>1</w:t>
      </w:r>
      <w:r>
        <w:t>/46 studies (</w:t>
      </w:r>
      <w:r w:rsidR="003A7351">
        <w:t>67</w:t>
      </w:r>
      <w:r>
        <w:t xml:space="preserve">%). </w:t>
      </w:r>
      <w:r w:rsidR="003A7351">
        <w:t xml:space="preserve">When image integration and registration-type analyses, for which there are several existing software platforms, are excluded this figure rises to 36/46 (78%). </w:t>
      </w:r>
      <w:r>
        <w:t>Additional electroanatomic mapping data requirements included access to full 12-lead ECGs at each mapping point (4 studies), re-calculation of electrogram complexity/fractionation indices (2 studies), analysis of late potentials (</w:t>
      </w:r>
      <w:r w:rsidR="003A7351">
        <w:t>3</w:t>
      </w:r>
      <w:r>
        <w:t xml:space="preserve"> studies)</w:t>
      </w:r>
      <w:r w:rsidR="003A7351">
        <w:t xml:space="preserve">, </w:t>
      </w:r>
      <w:r>
        <w:t>segmental analysis of the atria (3 studies) or ventricles (</w:t>
      </w:r>
      <w:r w:rsidR="003A7351">
        <w:t>3</w:t>
      </w:r>
      <w:r>
        <w:t xml:space="preserve"> study)</w:t>
      </w:r>
      <w:r w:rsidR="003A7351">
        <w:t xml:space="preserve"> and creation of isochronal local activation time maps (1 study)</w:t>
      </w:r>
      <w:r>
        <w:t xml:space="preserve">. In addition, image integration analysis – for example registering electroanatomic mapping data to imaging data, importing imaging data into a clinical system or exporting imaging data from a clinical system – was performed in </w:t>
      </w:r>
      <w:r w:rsidR="003A7351">
        <w:t>7</w:t>
      </w:r>
      <w:r>
        <w:t xml:space="preserve"> studies.</w:t>
      </w:r>
    </w:p>
    <w:p w14:paraId="33AA4FF2" w14:textId="3D3A4F74" w:rsidR="00213126" w:rsidRDefault="00213126" w:rsidP="00213126">
      <w:r>
        <w:t xml:space="preserve">Considering all the analysis techniques applied across all the studies together, </w:t>
      </w:r>
      <w:r w:rsidR="003A7351">
        <w:t>101</w:t>
      </w:r>
      <w:r>
        <w:t xml:space="preserve"> analysis techniques were performed qualitatively on the clinical system, 1</w:t>
      </w:r>
      <w:r w:rsidR="003A7351">
        <w:t>12</w:t>
      </w:r>
      <w:r>
        <w:t xml:space="preserve"> analysis techniques were performed quantitatively on the clinical system, </w:t>
      </w:r>
      <w:r w:rsidR="003A7351">
        <w:t>2</w:t>
      </w:r>
      <w:r>
        <w:t xml:space="preserve"> analysis technique was applied qualitatively following data export and </w:t>
      </w:r>
      <w:r w:rsidR="003A7351">
        <w:t>41</w:t>
      </w:r>
      <w:r>
        <w:t xml:space="preserve"> analysis techniques were performed quantitatively following data export. In summary qualitative analysis was performed for </w:t>
      </w:r>
      <w:r w:rsidR="003A7351">
        <w:t>103</w:t>
      </w:r>
      <w:r>
        <w:t xml:space="preserve"> analysis techniques and quantitative analysis was performed for </w:t>
      </w:r>
      <w:r w:rsidR="003A7351">
        <w:t>153</w:t>
      </w:r>
      <w:r>
        <w:t xml:space="preserve"> analysis techniques.  Considering each class of analysis technique (qualitative vs. quantitative) separately, the current </w:t>
      </w:r>
      <w:proofErr w:type="spellStart"/>
      <w:r>
        <w:t>OpenEP</w:t>
      </w:r>
      <w:proofErr w:type="spellEnd"/>
      <w:r>
        <w:t xml:space="preserve"> framework would have provided access to </w:t>
      </w:r>
      <w:r w:rsidR="003A7351">
        <w:t>96</w:t>
      </w:r>
      <w:r>
        <w:t xml:space="preserve"> of </w:t>
      </w:r>
      <w:r w:rsidR="003A7351">
        <w:t>103</w:t>
      </w:r>
      <w:r>
        <w:t xml:space="preserve"> qualitatively assessed data points (</w:t>
      </w:r>
      <w:r w:rsidR="003A7351">
        <w:t>93</w:t>
      </w:r>
      <w:r>
        <w:t xml:space="preserve">%) and </w:t>
      </w:r>
      <w:r w:rsidR="009308E2">
        <w:t>134</w:t>
      </w:r>
      <w:r>
        <w:t xml:space="preserve"> of </w:t>
      </w:r>
      <w:r w:rsidR="009308E2">
        <w:t>154</w:t>
      </w:r>
      <w:r>
        <w:t xml:space="preserve"> quantitatively assessed data points (</w:t>
      </w:r>
      <w:r w:rsidR="009308E2">
        <w:t>87</w:t>
      </w:r>
      <w:r>
        <w:t xml:space="preserve">%). In doing so, </w:t>
      </w:r>
      <w:proofErr w:type="spellStart"/>
      <w:r>
        <w:t>OpenEP</w:t>
      </w:r>
      <w:proofErr w:type="spellEnd"/>
      <w:r>
        <w:t xml:space="preserve"> removes a barrier to clinical electrophysiology </w:t>
      </w:r>
      <w:r w:rsidR="009308E2">
        <w:t xml:space="preserve">research </w:t>
      </w:r>
      <w:r>
        <w:t>and facilitates offline analysis of electrophysiology data.</w:t>
      </w:r>
    </w:p>
    <w:p w14:paraId="27C9C0DF" w14:textId="77777777" w:rsidR="00213126" w:rsidRDefault="00213126" w:rsidP="00213126">
      <w:pPr>
        <w:pStyle w:val="Heading1"/>
      </w:pPr>
      <w:r>
        <w:t>Discussion</w:t>
      </w:r>
    </w:p>
    <w:p w14:paraId="5CCD341A" w14:textId="11B5126D" w:rsidR="00245817" w:rsidRDefault="00213126" w:rsidP="00245817">
      <w:r>
        <w:t xml:space="preserve">In this study we introduce the </w:t>
      </w:r>
      <w:proofErr w:type="spellStart"/>
      <w:r>
        <w:t>OpenEP</w:t>
      </w:r>
      <w:proofErr w:type="spellEnd"/>
      <w:r>
        <w:t xml:space="preserve"> (Open Electrophysiology Interface for Research) framework and provide performance and validation benchmarking. We demonstrate improvements in data storage efficiency for clinical electroanatomic mapping data. We illustrate the simplicity of using </w:t>
      </w:r>
      <w:proofErr w:type="spellStart"/>
      <w:r>
        <w:t>OpenEP</w:t>
      </w:r>
      <w:proofErr w:type="spellEnd"/>
      <w:r>
        <w:t xml:space="preserve"> for data analysis activities in electrophysiology research, many of which can be executed using single-line function calls. We further demonstrate, through a retrospective assessment of recent literature, the suitability of the </w:t>
      </w:r>
      <w:proofErr w:type="spellStart"/>
      <w:r>
        <w:t>OpenEP</w:t>
      </w:r>
      <w:proofErr w:type="spellEnd"/>
      <w:r>
        <w:t xml:space="preserve"> data format for representing electroanatomic mapping data used in contemporary arrhythmia research. Finally, we introduce the </w:t>
      </w:r>
      <w:proofErr w:type="spellStart"/>
      <w:r>
        <w:t>OpenEP</w:t>
      </w:r>
      <w:proofErr w:type="spellEnd"/>
      <w:r>
        <w:t xml:space="preserve"> website (http://openep.io) which will provide code documentation, example datasets and outlines the roadmap for future development. All source code referred to in this work </w:t>
      </w:r>
      <w:r w:rsidR="00245817">
        <w:t>is</w:t>
      </w:r>
      <w:r>
        <w:t xml:space="preserve"> linked to from the </w:t>
      </w:r>
      <w:proofErr w:type="spellStart"/>
      <w:r>
        <w:t>OpenEP</w:t>
      </w:r>
      <w:proofErr w:type="spellEnd"/>
      <w:r>
        <w:t xml:space="preserve"> website and is licenced under the Apache Licence 2.0</w:t>
      </w:r>
      <w:r w:rsidR="00245817">
        <w:t xml:space="preserve">. The release used in this paper is archived with </w:t>
      </w:r>
      <w:proofErr w:type="spellStart"/>
      <w:r w:rsidR="00245817">
        <w:t>Zenodo</w:t>
      </w:r>
      <w:proofErr w:type="spellEnd"/>
      <w:r w:rsidR="00245817">
        <w:t xml:space="preserve"> (DOI: 10.5281/zenodo.4471319 and available from </w:t>
      </w:r>
      <w:hyperlink r:id="rId10" w:history="1">
        <w:r w:rsidR="00245817" w:rsidRPr="00E714F6">
          <w:rPr>
            <w:rStyle w:val="Hyperlink"/>
          </w:rPr>
          <w:t>https://doi.</w:t>
        </w:r>
        <w:r w:rsidR="00245817" w:rsidRPr="00E714F6">
          <w:rPr>
            <w:rStyle w:val="Hyperlink"/>
          </w:rPr>
          <w:t>o</w:t>
        </w:r>
        <w:r w:rsidR="00245817" w:rsidRPr="00E714F6">
          <w:rPr>
            <w:rStyle w:val="Hyperlink"/>
          </w:rPr>
          <w:t>rg/10.5281/ze</w:t>
        </w:r>
        <w:r w:rsidR="00245817" w:rsidRPr="00E714F6">
          <w:rPr>
            <w:rStyle w:val="Hyperlink"/>
          </w:rPr>
          <w:t>n</w:t>
        </w:r>
        <w:r w:rsidR="00245817" w:rsidRPr="00E714F6">
          <w:rPr>
            <w:rStyle w:val="Hyperlink"/>
          </w:rPr>
          <w:t>odo.4471319</w:t>
        </w:r>
      </w:hyperlink>
      <w:r w:rsidR="00245817">
        <w:t>.</w:t>
      </w:r>
      <w:r w:rsidR="00245817">
        <w:fldChar w:fldCharType="begin" w:fldLock="1"/>
      </w:r>
      <w:r w:rsidR="00C63C14">
        <w:instrText>ADDIN CSL_CITATION {"citationItems":[{"id":"ITEM-1","itemData":{"DOI":"10.5281/zenodo.4471319","author":[{"dropping-particle":"","family":"Williams","given":"Steven E.","non-dropping-particle":"","parse-names":false,"suffix":""},{"dropping-particle":"","family":"Linton","given":"Nick W.F.","non-dropping-particle":"","parse-names":false,"suffix":""}],"id":"ITEM-1","issued":{"date-parts":[["2021"]]},"title":"openep/openep-core: First OpenEP release (Version v1.0.0)","type":"article"},"uris":["http://www.mendeley.com/documents/?uuid=689f12bb-6c5b-4e23-ae67-ab68bd52550c"]}],"mendeley":{"formattedCitation":"(Williams and Linton, 2021)","plainTextFormattedCitation":"(Williams and Linton, 2021)","previouslyFormattedCitation":"(Williams and Linton, 2021)"},"properties":{"noteIndex":0},"schema":"https://github.com/citation-style-language/schema/raw/master/csl-citation.json"}</w:instrText>
      </w:r>
      <w:r w:rsidR="00245817">
        <w:fldChar w:fldCharType="separate"/>
      </w:r>
      <w:r w:rsidR="00245817" w:rsidRPr="00245817">
        <w:rPr>
          <w:noProof/>
        </w:rPr>
        <w:t>(Williams and Linton, 2021)</w:t>
      </w:r>
      <w:r w:rsidR="00245817">
        <w:fldChar w:fldCharType="end"/>
      </w:r>
    </w:p>
    <w:p w14:paraId="45174097" w14:textId="77777777" w:rsidR="00213126" w:rsidRDefault="00213126" w:rsidP="00213126">
      <w:r>
        <w:t xml:space="preserve">A key advantage of the proposed framework for data analysis is that the methods and algorithms are published in full, allowing inspection by collaborators, other researchers or industrial partners. In </w:t>
      </w:r>
      <w:r>
        <w:lastRenderedPageBreak/>
        <w:t xml:space="preserve">particular this development can ensure confidence in the published methods. Notably, the literature survey performed here identified that a majority of recent electroanatomic mapping studies performed area measurements of either an entire chamber or of specific regions (for example low voltage regions). </w:t>
      </w:r>
      <w:proofErr w:type="gramStart"/>
      <w:r>
        <w:t>However</w:t>
      </w:r>
      <w:proofErr w:type="gramEnd"/>
      <w:r>
        <w:t xml:space="preserve"> analysis using </w:t>
      </w:r>
      <w:proofErr w:type="spellStart"/>
      <w:r>
        <w:t>OpenEP</w:t>
      </w:r>
      <w:proofErr w:type="spellEnd"/>
      <w:r>
        <w:t xml:space="preserve"> showed that there were both systematic and proportional biases in the assessment of chamber area. Consistent with this observation are the existing reports that manual measurements of low voltage areas are error prone </w:t>
      </w:r>
      <w:r>
        <w:fldChar w:fldCharType="begin" w:fldLock="1"/>
      </w:r>
      <w:r>
        <w:instrText>ADDIN CSL_CITATION {"citationItems":[{"id":"ITEM-1","itemData":{"DOI":"10.1007/s10840-019-00570-7","ISSN":"15728595","PMID":"31165967","abstract":"Purpose: Left atrial (LA) fibrosis plays an important role in the pathogenesis and perpetuation of atrial fibrillation (AF). It may be identified by bipolar voltage (BiV) mapping, but quantification of fibrosis which previously relied on visual estimation of scar has been shown to be inaccurate. Our aim was to use a novel automated voltage histogram analysis (VHA) tool to quantify LA scar burden accurately in patients with AF. Methods: LA voltage was assessed in 100 consecutive patients undergoing first pulmonary vein isolation (PVI) for paroxysmal or persistent AF using a circular multielectrode catheter to create high-density LA BiV maps which were analysed using the VHA tool after the procedure. Results: High-density electro-anatomic maps took 10 min to create and contained a median of 1049 points. The VHA algorithm accurately quantified the burden of Diseased LA Tissue (≤ 0.5 mV) and Dense LA Scar (≤ 0.2 mV) with a median of 17.8% and 3.5% respectively. A quartile classification was applied based on diseased LA tissue burden. Patients in class IV with the highest diseased LA burden were older (p &lt; 0.0001), more likely female (p = 0.0095), had higher CHA2DS2-VASc scores (p = 0.0024) and were more likely to have persistent rather than paroxysmal AF (p = 0.0179) than those in classes I–III. Conclusions: The VHA algorithm is able to quantify percentage surface area voltage rapidly and according to preset ranges for the first time. The algorithm offers the potential for classification of patients undergoing AF ablation into different classes of diseased LA burden, which may have diagnostic, therapeutic and prognostic implications.","author":[{"dropping-particle":"","family":"Herczeg","given":"Szilvia","non-dropping-particle":"","parse-names":false,"suffix":""},{"dropping-particle":"","family":"Walsh","given":"Katie","non-dropping-particle":"","parse-names":false,"suffix":""},{"dropping-particle":"","family":"Keaney","given":"John J.","non-dropping-particle":"","parse-names":false,"suffix":""},{"dropping-particle":"","family":"Keelan","given":"Edward","non-dropping-particle":"","parse-names":false,"suffix":""},{"dropping-particle":"","family":"Travers","given":"John","non-dropping-particle":"","parse-names":false,"suffix":""},{"dropping-particle":"","family":"Szeplaki","given":"Gabor","non-dropping-particle":"","parse-names":false,"suffix":""},{"dropping-particle":"","family":"Galvin","given":"Joseph","non-dropping-particle":"","parse-names":false,"suffix":""}],"container-title":"Journal of Interventional Cardiac Electrophysiology","id":"ITEM-1","issue":"1","issued":{"date-parts":[["2020"]]},"page":"5-12","title":"Quantitative assessment of left atrial scar using high-density voltage mapping and a novel automated voltage analysis tool","type":"article-journal","volume":"59"},"uris":["http://www.mendeley.com/documents/?uuid=816d704e-f747-40d4-8c64-d831d6fc69d2"]},{"id":"ITEM-2","itemData":{"DOI":"10.1155/2020/3981684","ISSN":"20900597","abstract":"Introduction. Growing evidence suggests that fibrotic changes can be observed in atrial fibrillation (AF) in both atria. Quantification of the scar burden during electroanatomical mapping might have important therapeutic and prognostic consequences. However, as the current invasive treatment of AF is focused on the left atrium (LA), the role of the right atrium (RA) is less well understood. We aimed to characterize the clinical determinates of the RA low-voltage burden and its relation to the LA scaring. Methods. We have included 36 patients who underwent catheter ablation for AF in a prospective observational study. In addition to LA mapping and ablation, high-density RA bipolar voltage maps (HD-EAM) were also reconstructed. The extent of the diseased RA tissue (≤0.5 mV) was quantified using the voltage histogram analysis tool (CARTO®3, Biosense Webster). Results. The percentage of RA diseased tissue burden was significantly higher in patients with a CHA2DS2-VASc score ≥ 2 p=0.0305, higher indexed LA volume on the CTA scan and on the HD-EAM (p=0.0223 and p=0.0064, respectively), or higher indexed RA volume on the HD-EAM p=0.0026. High RA diseased tissue burden predicted the presence of high LA diseased tissue burden (OR = 7.1, CI (95%): 1.3-38.9, p=0.0145), and there was a significant correlation of the same (r = 0.6461, p&lt;0.0001). Conclusions. Determining the extent of the right atrial low-voltage burden might give useful clinical information. According to our results, the diseased tissue burden correlates well between the two atria: the right atrium mirrors the left atrium.","author":[{"dropping-particle":"","family":"Herczeg","given":"Szilvia","non-dropping-particle":"","parse-names":false,"suffix":""},{"dropping-particle":"","family":"Galvin","given":"Joseph","non-dropping-particle":"","parse-names":false,"suffix":""},{"dropping-particle":"","family":"Keaney","given":"John J.","non-dropping-particle":"","parse-names":false,"suffix":""},{"dropping-particle":"","family":"Keelan","given":"Edward","non-dropping-particle":"","parse-names":false,"suffix":""},{"dropping-particle":"","family":"Byrne","given":"Roger","non-dropping-particle":"","parse-names":false,"suffix":""},{"dropping-particle":"","family":"Howard","given":"Claire","non-dropping-particle":"","parse-names":false,"suffix":""},{"dropping-particle":"","family":"Geller","given":"Laszlo","non-dropping-particle":"","parse-names":false,"suffix":""},{"dropping-particle":"","family":"Szeplaki","given":"Gabor","non-dropping-particle":"","parse-names":false,"suffix":""}],"container-title":"Cardiology Research and Practice","id":"ITEM-2","issued":{"date-parts":[["2020"]]},"title":"The Value of Voltage Histogram Analysis Derived Right Atrial Scar Burden in the Prediction of Left Atrial Scar Burden","type":"article-journal","volume":"2020"},"uris":["http://www.mendeley.com/documents/?uuid=d47af6d3-c853-4aea-994f-499efcde6d2e"]}],"mendeley":{"formattedCitation":"(Herczeg et al., 2020b, 2020a)","plainTextFormattedCitation":"(Herczeg et al., 2020b, 2020a)","previouslyFormattedCitation":"(Herczeg et al., 2020b, 2020a)"},"properties":{"noteIndex":0},"schema":"https://github.com/citation-style-language/schema/raw/master/csl-citation.json"}</w:instrText>
      </w:r>
      <w:r>
        <w:fldChar w:fldCharType="separate"/>
      </w:r>
      <w:r w:rsidRPr="000E0221">
        <w:rPr>
          <w:noProof/>
        </w:rPr>
        <w:t>(Herczeg et al., 2020b, 2020a)</w:t>
      </w:r>
      <w:r>
        <w:fldChar w:fldCharType="end"/>
      </w:r>
      <w:r>
        <w:t xml:space="preserve">. In contrast, area measurements in </w:t>
      </w:r>
      <w:proofErr w:type="spellStart"/>
      <w:r>
        <w:t>OpenEP</w:t>
      </w:r>
      <w:proofErr w:type="spellEnd"/>
      <w:r>
        <w:t xml:space="preserve"> are implemented using conventional geometric techniques. Whilst every effort has been taken to ensure their correct implementation, the open nature of the platform further allows others to confirm the accuracy of these implementations for themselves. Finally, by providing a standard analysis method which can be used by any researchers in future studies the provision of this platform could ensure comparability between such studies.</w:t>
      </w:r>
    </w:p>
    <w:p w14:paraId="2815AC63" w14:textId="5A8CD838" w:rsidR="00213126" w:rsidRDefault="00213126" w:rsidP="00213126">
      <w:r>
        <w:t xml:space="preserve">Minimising data storage requirements is a further benefit of the </w:t>
      </w:r>
      <w:proofErr w:type="spellStart"/>
      <w:r>
        <w:t>OpenEP</w:t>
      </w:r>
      <w:proofErr w:type="spellEnd"/>
      <w:r>
        <w:t xml:space="preserve"> framework. </w:t>
      </w:r>
      <w:r w:rsidR="00042FBB">
        <w:t xml:space="preserve">There are three ways in which the </w:t>
      </w:r>
      <w:proofErr w:type="spellStart"/>
      <w:r w:rsidR="00042FBB">
        <w:t>OpenEP</w:t>
      </w:r>
      <w:proofErr w:type="spellEnd"/>
      <w:r w:rsidR="00042FBB">
        <w:t xml:space="preserve"> format improves data storage requirements. Firstly, </w:t>
      </w:r>
      <w:proofErr w:type="spellStart"/>
      <w:r w:rsidR="00042FBB">
        <w:t>OpenEP</w:t>
      </w:r>
      <w:proofErr w:type="spellEnd"/>
      <w:r w:rsidR="00042FBB">
        <w:t xml:space="preserve"> eliminates redundancy in the data such that there is only one copy of every unique electrogram. Secondly, the entire dataset (including anatomical and electrical data) is stored as a single data structure rather than multiple individual files which eliminates the file system overheads necessary to store large numbers of files. Finally, the data is stored as a binary file rather than a series of text files.</w:t>
      </w:r>
      <w:r w:rsidR="00042FBB">
        <w:t xml:space="preserve"> </w:t>
      </w:r>
      <w:r>
        <w:t xml:space="preserve">In the format exported by the clinical mapping systems each individual patient data set is typically in the order of 1-2Gb in size. The </w:t>
      </w:r>
      <w:proofErr w:type="spellStart"/>
      <w:r>
        <w:t>OpenEP</w:t>
      </w:r>
      <w:proofErr w:type="spellEnd"/>
      <w:r>
        <w:t xml:space="preserve"> format significantly reduced the storage requirements for this dataset. Given that typical electroanatomic mapping studies may recruit 1-2 hundred patients it is not uncommon for the data storage requirements for one study to be greater than that available on a single personal computer. Furthermore, transferring data between external storage media for access is time consuming, especially when many thousands of individual files make up one patient dataset. Aside from the convenience aspect of improved data storage there is increasing awareness of the environmental impact of wasteful data storage practices </w:t>
      </w:r>
      <w:r>
        <w:fldChar w:fldCharType="begin" w:fldLock="1"/>
      </w:r>
      <w:r>
        <w:instrText>ADDIN CSL_CITATION {"citationItems":[{"id":"ITEM-1","itemData":{"DOI":"10.1007/s11948-019-00171-7","ISBN":"1194801900","ISSN":"14715546","PMID":"31893331","abstract":"This paper addresses a problem that has so far been neglected by scholars investigating the ethics of Big Data and policy makers: that is the ethical implications of Big Data initiatives’ environmental impact. Building on literature in environmental studies, cultural studies and Science and Technology Studies, the article draws attention to the physical presence of data, the material configuration of digital service, and the space occupied by data. It then explains how this material and situated character of data raises questions concerning the ethics of the increasingly fashionable Big Data discourses. It argues that attention should be paid to (1) the vocabulary currently used when discussing the governance of data initiatives; (2) the internal tension between current data initiatives and environmental policies; (3) issues of fair distribution. The article explains how taking into account these aspects would allow for a more responsible behaviour in the context of data storage and production.","author":[{"dropping-particle":"","family":"Lucivero","given":"Federica","non-dropping-particle":"","parse-names":false,"suffix":""}],"container-title":"Science and Engineering Ethics","id":"ITEM-1","issue":"2","issued":{"date-parts":[["2020"]]},"page":"1009-1030","publisher":"Springer Netherlands","title":"Big Data, Big Waste? A Reflection on the Environmental Sustainability of Big Data Initiatives","type":"article-journal","volume":"26"},"uris":["http://www.mendeley.com/documents/?uuid=e80294cc-cc0c-4c78-b503-38ba509eaed5"]}],"mendeley":{"formattedCitation":"(Lucivero, 2020)","plainTextFormattedCitation":"(Lucivero, 2020)","previouslyFormattedCitation":"(Lucivero, 2020)"},"properties":{"noteIndex":0},"schema":"https://github.com/citation-style-language/schema/raw/master/csl-citation.json"}</w:instrText>
      </w:r>
      <w:r>
        <w:fldChar w:fldCharType="separate"/>
      </w:r>
      <w:r w:rsidRPr="005B029D">
        <w:rPr>
          <w:noProof/>
        </w:rPr>
        <w:t>(Lucivero, 2020)</w:t>
      </w:r>
      <w:r>
        <w:fldChar w:fldCharType="end"/>
      </w:r>
      <w:r>
        <w:t xml:space="preserve">. In this context, the </w:t>
      </w:r>
      <w:proofErr w:type="spellStart"/>
      <w:r>
        <w:t>OpenEP</w:t>
      </w:r>
      <w:proofErr w:type="spellEnd"/>
      <w:r>
        <w:t xml:space="preserve"> framework allows electroanatomic mapping data to data to be stored in an efficient </w:t>
      </w:r>
      <w:r w:rsidR="007F0B03">
        <w:t>manner</w:t>
      </w:r>
      <w:r>
        <w:t>.</w:t>
      </w:r>
      <w:r w:rsidR="002E26A9">
        <w:t xml:space="preserve"> </w:t>
      </w:r>
    </w:p>
    <w:p w14:paraId="6283200A" w14:textId="05399209" w:rsidR="00213126" w:rsidRDefault="00213126" w:rsidP="00213126">
      <w:r>
        <w:t xml:space="preserve">We also highlight that the </w:t>
      </w:r>
      <w:proofErr w:type="spellStart"/>
      <w:r>
        <w:t>OpenEP</w:t>
      </w:r>
      <w:proofErr w:type="spellEnd"/>
      <w:r>
        <w:t xml:space="preserve"> data structure has been designed with extensibility in mind, most easily illustrated with an example. When creating geometric maps of electrophysiological parameters – such as electrogram voltage or activation time – a three-dimensional interpolation is necessary to create a visual colour representation of the physiological parameter of interested. This interpolation is commonly performed using </w:t>
      </w:r>
      <w:r w:rsidR="00CA1ACE">
        <w:t>commercially available</w:t>
      </w:r>
      <w:r>
        <w:t xml:space="preserve"> clinical electroanatomic mapping platforms. </w:t>
      </w:r>
      <w:proofErr w:type="spellStart"/>
      <w:r>
        <w:t>OpenEP</w:t>
      </w:r>
      <w:proofErr w:type="spellEnd"/>
      <w:r>
        <w:t xml:space="preserve"> permits access to, and analysis of, these clinical data interpolations. However, there are numerous methods to perform spatial interpolation which can result in different interpretations of the same data. </w:t>
      </w:r>
      <w:proofErr w:type="spellStart"/>
      <w:r>
        <w:t>OpenEP</w:t>
      </w:r>
      <w:proofErr w:type="spellEnd"/>
      <w:r>
        <w:t xml:space="preserve"> therefore provides its own internal framework for performing interpolations based on the </w:t>
      </w:r>
      <w:r w:rsidR="00CA1ACE">
        <w:t>originally acquired</w:t>
      </w:r>
      <w:r>
        <w:t xml:space="preserve"> electrical data. The </w:t>
      </w:r>
      <w:proofErr w:type="spellStart"/>
      <w:r>
        <w:t>OpenEP</w:t>
      </w:r>
      <w:proofErr w:type="spellEnd"/>
      <w:r>
        <w:t xml:space="preserve"> function </w:t>
      </w:r>
      <w:r w:rsidRPr="00267EAB">
        <w:rPr>
          <w:rStyle w:val="SubtleEmphasis"/>
        </w:rPr>
        <w:t>generateInterpData()</w:t>
      </w:r>
      <w:r>
        <w:t xml:space="preserve"> is a key function for carrying out this task and can be easily modified/extended to make use of alternative </w:t>
      </w:r>
      <w:r>
        <w:lastRenderedPageBreak/>
        <w:t xml:space="preserve">methods for data interpolation. A further example of the extensibility of the </w:t>
      </w:r>
      <w:proofErr w:type="spellStart"/>
      <w:r>
        <w:t>OpenEP</w:t>
      </w:r>
      <w:proofErr w:type="spellEnd"/>
      <w:r>
        <w:t xml:space="preserve"> data structure is in the visualisation routines. These routines make use of data ‘getter’ methods which access the required data from the </w:t>
      </w:r>
      <w:proofErr w:type="spellStart"/>
      <w:r>
        <w:t>OpenEP</w:t>
      </w:r>
      <w:proofErr w:type="spellEnd"/>
      <w:r>
        <w:t xml:space="preserve"> data structure. For example, </w:t>
      </w:r>
      <w:r w:rsidRPr="00B42CF4">
        <w:rPr>
          <w:rStyle w:val="SubtleEmphasis"/>
        </w:rPr>
        <w:t>plotOpenEPEgm()</w:t>
      </w:r>
      <w:r>
        <w:t xml:space="preserve"> makes use of </w:t>
      </w:r>
      <w:r w:rsidRPr="00B42CF4">
        <w:rPr>
          <w:rStyle w:val="SubtleEmphasis"/>
        </w:rPr>
        <w:t>getOpenEPEgm()</w:t>
      </w:r>
      <w:r>
        <w:t xml:space="preserve"> and </w:t>
      </w:r>
      <w:r w:rsidRPr="00B42CF4">
        <w:rPr>
          <w:rStyle w:val="SubtleEmphasis"/>
        </w:rPr>
        <w:t>quantifyVoltageDistribution()</w:t>
      </w:r>
      <w:r>
        <w:t xml:space="preserve"> makes use of </w:t>
      </w:r>
      <w:r w:rsidRPr="00B42CF4">
        <w:rPr>
          <w:rStyle w:val="SubtleEmphasis"/>
        </w:rPr>
        <w:t>getVoltageDistribtion()</w:t>
      </w:r>
      <w:r>
        <w:t xml:space="preserve">. By separating the visualisation routines from the ‘getter’ routines it is possible to easily implement alternative visualisation techniques whilst making use of the same data as the </w:t>
      </w:r>
      <w:proofErr w:type="spellStart"/>
      <w:r>
        <w:t>OpenEP</w:t>
      </w:r>
      <w:proofErr w:type="spellEnd"/>
      <w:r>
        <w:t xml:space="preserve"> framework. </w:t>
      </w:r>
    </w:p>
    <w:p w14:paraId="5B7103D0" w14:textId="1BD0DCB3" w:rsidR="00213126" w:rsidRDefault="00213126" w:rsidP="00213126">
      <w:r>
        <w:t xml:space="preserve">As noted above the </w:t>
      </w:r>
      <w:proofErr w:type="spellStart"/>
      <w:r>
        <w:t>OpenEP</w:t>
      </w:r>
      <w:proofErr w:type="spellEnd"/>
      <w:r>
        <w:t xml:space="preserve"> framework has been in active development and use for over a decade within our own research groups</w:t>
      </w:r>
      <w:r w:rsidR="001D0B3B">
        <w:t>.</w:t>
      </w:r>
      <w:r w:rsidR="004C5E7E">
        <w:fldChar w:fldCharType="begin" w:fldLock="1"/>
      </w:r>
      <w:r w:rsidR="003E46EF">
        <w:instrText>ADDIN CSL_CITATION {"citationItems":[{"id":"ITEM-1","itemData":{"DOI":"10.1161/CIRCEP.117.005892","ISSN":"19413084","abstract":"© 2018 Lippincott Williams and Wilkins. All rights reserved. Background: The Lesion Index (LSI) is a proprietary algorithm from Abbott Medical combining contact force, radiofrequency application duration, and radiofrequency current. It can be displayed during ablation with the TactiCath contact force catheter. The LSI Index was designed to provide real-time lesion formation feedback and is hypothesized to estimate the lesion diameter. Methods and Results: Before ablation, animals underwent cardiac computed tomography to assess atrial tissue thickness. Ablation lines (n=2-3 per animal) were created in the right atrium of 7 Göttingen mini pigs with point lesions (25 W). Within each line of ablation, the catheter tip was moved a prescribed distance (D/mm) according to 1 of 3 strategies: D=LSI+0 mm; D=LSI+2 mm; or D=LSI+4 mm. Two weeks after ablation, serial sections of targeted atrial tissue were examined histologically to identify gaps in transmural ablation. LSI-guided lines had a lower incidence of histological gaps (4 gaps in 69 catheter moves, 5.8%) than LSI+2 mm lines (7 gaps in 33 catheter moves, 21.2%) and LSI+4 mm lines (15 gaps in 23 catheter moves, 65.2%, P&lt;0.05 versus D=LSI). ΔLSI was calculated retrospectively as the distance between 2 adjacent lesions above the mean LSI of the 2 lesions. ΔLSI values of ≤1.5 were associated with no gaps in transmural ablation. Conclusions: In this model of chronic atrial ablation, delivery of uninterrupted transmural linear lesions may be facilitated by using LSI to guide catheter movement. When ΔLSI between adjacent lesions is ≤1.5 mm, no gaps in atrial linear lesions should be expected.","author":[{"dropping-particle":"","family":"Whitaker","given":"John","non-dropping-particle":"","parse-names":false,"suffix":""},{"dropping-particle":"","family":"Fish","given":"Jeffrey","non-dropping-particle":"","parse-names":false,"suffix":""},{"dropping-particle":"","family":"Harrison","given":"James L.","non-dropping-particle":"","parse-names":false,"suffix":""},{"dropping-particle":"","family":"Chubb","given":"Henry","non-dropping-particle":"","parse-names":false,"suffix":""},{"dropping-particle":"","family":"Williams","given":"Steven E.","non-dropping-particle":"","parse-names":false,"suffix":""},{"dropping-particle":"","family":"Fastl","given":"Thomas","non-dropping-particle":"","parse-names":false,"suffix":""},{"dropping-particle":"","family":"Corrado","given":"Cesare","non-dropping-particle":"","parse-names":false,"suffix":""},{"dropping-particle":"","family":"Zaen","given":"Jérôme Jerome","non-dropping-particle":"Van","parse-names":false,"suffix":""},{"dropping-particle":"","family":"Gibbs","given":"Jennifer","non-dropping-particle":"","parse-names":false,"suffix":""},{"dropping-particle":"","family":"O'Neill","given":"Louisa","non-dropping-particle":"","parse-names":false,"suffix":""},{"dropping-particle":"","family":"Mukherjee","given":"Rahul K","non-dropping-particle":"","parse-names":false,"suffix":""},{"dropping-particle":"","family":"Rittey","given":"Dianna","non-dropping-particle":"","parse-names":false,"suffix":""},{"dropping-particle":"","family":"Thorsten","given":"Jason","non-dropping-particle":"","parse-names":false,"suffix":""},{"dropping-particle":"","family":"Donskoy","given":"Elina","non-dropping-particle":"","parse-names":false,"suffix":""},{"dropping-particle":"","family":"Sohal","given":"Manav","non-dropping-particle":"","parse-names":false,"suffix":""},{"dropping-particle":"","family":"Rajani","given":"Ronak","non-dropping-particle":"","parse-names":false,"suffix":""},{"dropping-particle":"","family":"Niederer","given":"Steven","non-dropping-particle":"","parse-names":false,"suffix":""},{"dropping-particle":"","family":"Wright","given":"Matthew","non-dropping-particle":"","parse-names":false,"suffix":""},{"dropping-particle":"","family":"O'Neill","given":"Mark D.","non-dropping-particle":"","parse-names":false,"suffix":""}],"container-title":"Circulation: Arrhythmia and Electrophysiology","id":"ITEM-1","issue":"4","issued":{"date-parts":[["2018"]]},"page":"e005892","title":"Lesion Index-Guided Ablation Facilitates Continuous, Transmural, and Durable Lesions in a Porcine Recovery Model","type":"article-journal","volume":"11"},"uris":["http://www.mendeley.com/documents/?uuid=b7f7e918-b9b6-4f2f-97db-455fc2625060"]},{"id":"ITEM-2","itemData":{"DOI":"10.1093/europace/eux037","ISSN":"15322092","abstract":"© 2016 The Author. Aims Local activation time (LAT) mapping forms the cornerstone of atrial tachycardia diagnosis. Although anatomic and positional accuracy of electroanatomic mapping (EAM) systems have been validated, the effect of electrode sampling density on LAT map reconstruction is not known. Here, we study the effect of chamber geometry and activation complexity on optimal LAT sampling density using a combined in silico and in vivo approach. Methods and results In vivo 21 atrial tachycardia maps were studied in three groups: (1) focal activation, (2) macro-re-entry, and (3) localized re-entry. In silico activation was simulated on a 4×4cm atrial monolayer, sampled randomly at 0.25-10 points/cm 2 and used to re-interpolate LAT maps. Activation patterns were studied in the geometrically simple porcine right atrium (RA) and complex human left atrium (LA). Activation complexity was introduced into the porcine RA by incomplete inter-caval linear ablation. In all cases, optimal sampling density was defined as the highest density resulting in minimal further error reduction in the re-interpolated maps. Optimal sampling densities for LA tachycardias were 0.67 ± 0.17 points/cm 2 (focal activation), 1.05 ± 0.32 points/cm 2 (macro-re-entry) and 1.23 ± 0.26 points/cm 2 (localized re-entry), P = 0.0031. Increasing activation complexity was associated with increased optimal sampling density both in silico (focal activation 1.09 ± 0.14 points/cm 2 ; re-entry 1.44 ± 0.49 points/cm 2 ; spiral-wave 1.50 ± 0.34 points/cm 2 , P &lt; 0.0001) and in vivo (porcine RA pre-ablation 0.45 ± 0.13 vs. post-ablation 0.78 ± 0.17 points/cm 2 , P = 0.0008). Increasing chamber geometry was also associated with increased optimal sampling density (0.61 ± 0.22 points/cm 2 vs. 1.0 ± 0.34 points/cm 2 , P = 0.0015). Conclusion Optimal sampling densities can be identified to maximize diagnostic yield of LAT maps. Greater sampling density is required to correctly reveal complex activation and represent activation across complex geometries. Overall, the optimal sampling density for LAT map interpolation defined in this study was â 1/41.0-1.5 points/cm 2 .","author":[{"dropping-particle":"","family":"Williams","given":"Steven E.","non-dropping-particle":"","parse-names":false,"suffix":""},{"dropping-particle":"","family":"Harrison","given":"James L.","non-dropping-particle":"","parse-names":false,"suffix":""},{"dropping-particle":"","family":"Chubb","given":"Henry","non-dropping-particle":"","parse-names":false,"suffix":""},{"dropping-particle":"","family":"Whitaker","given":"John","non-dropping-particle":"","parse-names":false,"suffix":""},{"dropping-particle":"","family":"Kiedrowicz","given":"Radek","non-dropping-particle":"","parse-names":false,"suffix":""},{"dropping-particle":"","family":"Rinaldi","given":"C.A. Christopher A","non-dropping-particle":"","parse-names":false,"suffix":""},{"dropping-particle":"","family":"Cooklin","given":"Michael","non-dropping-particle":"","parse-names":false,"suffix":""},{"dropping-particle":"","family":"Wright","given":"Matthew","non-dropping-particle":"","parse-names":false,"suffix":""},{"dropping-particle":"","family":"Niederer","given":"Steven","non-dropping-particle":"","parse-names":false,"suffix":""},{"dropping-particle":"","family":"O'Neill","given":"M.D. Mark D","non-dropping-particle":"","parse-names":false,"suffix":""}],"container-title":"Europace","id":"ITEM-2","issue":"2","issued":{"date-parts":[["2018"]]},"page":"e11-e20","title":"Local Activation Time Sampling Density for Atrial Tachycardia Contact Mapping: How Much is Enough","type":"article-journal","volume":"20"},"uris":["http://www.mendeley.com/documents/?uuid=bb79a5f6-1df6-4a87-a13e-2065a43d76e3"]},{"id":"ITEM-3","itemData":{"DOI":"doi.org/10.1016/j.jacep.2017.02.012","author":[{"dropping-particle":"","family":"Williams","given":"Steven E.","non-dropping-particle":"","parse-names":false,"suffix":""},{"dropping-particle":"","family":"Linton","given":"Nicholas W.","non-dropping-particle":"","parse-names":false,"suffix":""},{"dropping-particle":"","family":"Harrison","given":"James L.","non-dropping-particle":"","parse-names":false,"suffix":""},{"dropping-particle":"","family":"Chubb","given":"Henry","non-dropping-particle":"","parse-names":false,"suffix":""},{"dropping-particle":"","family":"Whitaker","given":"John","non-dropping-particle":"","parse-names":false,"suffix":""},{"dropping-particle":"","family":"Gill","given":"Jaswinder S","non-dropping-particle":"","parse-names":false,"suffix":""},{"dropping-particle":"","family":"Rinaldi","given":"Christopher A","non-dropping-particle":"","parse-names":false,"suffix":""},{"dropping-particle":"","family":"Razavi","given":"Reza S.","non-dropping-particle":"","parse-names":false,"suffix":""},{"dropping-particle":"","family":"Niederer","given":"Steven","non-dropping-particle":"","parse-names":false,"suffix":""},{"dropping-particle":"","family":"Wright","given":"Matthew","non-dropping-particle":"","parse-names":false,"suffix":""},{"dropping-particle":"","family":"O'Neill","given":"Mark D.","non-dropping-particle":"","parse-names":false,"suffix":""}],"container-title":"JACC: Clinical Electrophysiology","id":"ITEM-3","issue":"9","issued":{"date-parts":[["2017"]]},"page":"1006-1017","title":"Intra-Atrial Conduction Delay Revealed by Multisite Incremental Atrial Pacing is an Independent Marker of Remodeling in Human Atrial Fibrillation","type":"article-journal","volume":"3"},"uris":["http://www.mendeley.com/documents/?uuid=59132cf9-b5b4-40b6-8735-bad36d5118f8"]},{"id":"ITEM-4","itemData":{"DOI":"10.1111/jce.13990","ISSN":"15408167","abstract":"© 2019 The Authors Journal of Cardiovascular ElectrophysiologyPublished by Wiley Periodicals, Inc. Background: The multiple wavelets and functional re-entry hypotheses are mechanistic theories to explain atrial fibrillation (AF). If valid, a chamber's ability to support AF should depend upon the left atrial size, conduction velocity (CV), and refractoriness. Measurement of these parameters could provide a new therapeutic target for AF. We investigated the relationship between left atrial effective conducting size (LAECS), a function of area, CV and refractoriness, and AF vulnerability in patients undergoing AF ablation. Methods and Results: Activation mapping was performed in patients with paroxysmal (n = 21) and persistent AF (n = 18) undergoing pulmonary vein isolation. Parameters used for calculating LAECS were: (a) left atrial body area (A); (b) effective refractory period (ERP); and (c) total activation time (T). Global CV was estimated as (Formula presented.). Effective atrial conducting size was calculated as (Formula presented.). Post ablation, AF inducibility testing was performed. The critical LAECS required for multiple wavelet termination was determined from computational modeling. LAECS was greater in patients with persistent vs paroxysmal AF (4.4 ± 2.0 cm vs 3.2 ± 1.4 cm; P =.049). AF was inducible in 14/39 patients. LAECS was greater in AF-inducible patients (4.4 ± 1.8 cm vs 3.3 ± 1.7 cm; P =.035, respectively). The difference in LAECS between inducible and noninducible patients was significant in patients with persistent (P =.0046) but not paroxysmal AF (P =.6359). Computational modeling confirmed that LAECS &gt; 4 cm was required for continuation of AF. Conclusions: LAECS measured post ablation was associated with AF inducibility in patients with persistent, but not paroxysmal AF. These data support a role for this method in electrical substrate assessment in AF patients.","author":[{"dropping-particle":"","family":"Williams","given":"Steven E.","non-dropping-particle":"","parse-names":false,"suffix":""},{"dropping-particle":"","family":"O’Neill","given":"Louisa","non-dropping-particle":"","parse-names":false,"suffix":""},{"dropping-particle":"","family":"Roney","given":"Caroline H. C.H.","non-dropping-particle":"","parse-names":false,"suffix":""},{"dropping-particle":"","family":"Julia","given":"Justo","non-dropping-particle":"","parse-names":false,"suffix":""},{"dropping-particle":"","family":"Metzner","given":"Andreas","non-dropping-particle":"","parse-names":false,"suffix":""},{"dropping-particle":"","family":"Reißmann","given":"Bruno","non-dropping-particle":"","parse-names":false,"suffix":""},{"dropping-particle":"","family":"Mukherjee","given":"Rahul R.K.","non-dropping-particle":"","parse-names":false,"suffix":""},{"dropping-particle":"","family":"Iain","given":"Sim","non-dropping-particle":"","parse-names":false,"suffix":""},{"dropping-particle":"","family":"Whitaker","given":"John","non-dropping-particle":"","parse-names":false,"suffix":""},{"dropping-particle":"","family":"Wright","given":"Matthew","non-dropping-particle":"","parse-names":false,"suffix":""},{"dropping-particle":"","family":"Niederer","given":"Steven","non-dropping-particle":"","parse-names":false,"suffix":""},{"dropping-particle":"","family":"Sohns","given":"Christian","non-dropping-particle":"","parse-names":false,"suffix":""},{"dropping-particle":"","family":"O’Neill","given":"Mark","non-dropping-particle":"","parse-names":false,"suffix":""},{"dropping-particle":"","family":"Sim","given":"I.","non-dropping-particle":"","parse-names":false,"suffix":""},{"dropping-particle":"","family":"Whitaker","given":"John","non-dropping-particle":"","parse-names":false,"suffix":""},{"dropping-particle":"","family":"Wright","given":"Matthew","non-dropping-particle":"","parse-names":false,"suffix":""},{"dropping-particle":"","family":"Niederer","given":"Steven","non-dropping-particle":"","parse-names":false,"suffix":""},{"dropping-particle":"","family":"Sohns","given":"Christian","non-dropping-particle":"","parse-names":false,"suffix":""},{"dropping-particle":"","family":"O’Neill","given":"Mark","non-dropping-particle":"","parse-names":false,"suffix":""}],"container-title":"Journal of Cardiovascular Electrophysiology","id":"ITEM-4","issue":"9","issued":{"date-parts":[["2019"]]},"page":"1416-27","title":"Left Atrial Effective Conducting Size Predicts Atrial Fibrillation Vulnerability in Persistent but not Paroxysmal Atrial Fibrillation","type":"article-journal","volume":"30"},"uris":["http://www.mendeley.com/documents/?uuid=4f1abc2b-58c7-427d-bc17-ba6633944240"]},{"id":"ITEM-5","itemData":{"DOI":"10.1016/j.hrthm.2009.08.038","ISSN":"1556-3871","PMID":"19959125","abstract":"Mapping of regular cardiac arrhythmias is frequently performed using sequential point-by-point annotation of local activation relative to a fixed timing reference. Assigning a single activation for each electrogram is unreliable for fragmented, continuous, or double potentials. Furthermore, these informative electrogram characteristics are lost when only a single timing point is assigned to generate activation maps.","author":[{"dropping-particle":"","family":"Linton","given":"Nicholas W.","non-dropping-particle":"","parse-names":false,"suffix":""},{"dropping-particle":"","family":"Koa-Wing","given":"Michael","non-dropping-particle":"","parse-names":false,"suffix":""},{"dropping-particle":"","family":"Francis","given":"Darrel P","non-dropping-particle":"","parse-names":false,"suffix":""},{"dropping-particle":"","family":"Kojodjojo","given":"Pipin","non-dropping-particle":"","parse-names":false,"suffix":""},{"dropping-particle":"","family":"Lim","given":"Phang Boon","non-dropping-particle":"","parse-names":false,"suffix":""},{"dropping-particle":"V","family":"Salukhe","given":"Tushar","non-dropping-particle":"","parse-names":false,"suffix":""},{"dropping-particle":"","family":"Whinnett","given":"Zachary","non-dropping-particle":"","parse-names":false,"suffix":""},{"dropping-particle":"","family":"Davies","given":"D Wyn","non-dropping-particle":"","parse-names":false,"suffix":""},{"dropping-particle":"","family":"Peters","given":"Nicholas S","non-dropping-particle":"","parse-names":false,"suffix":""},{"dropping-particle":"","family":"O'Neill","given":"Mark D","non-dropping-particle":"","parse-names":false,"suffix":""},{"dropping-particle":"","family":"Kanagaratnam","given":"Prapa","non-dropping-particle":"","parse-names":false,"suffix":""}],"container-title":"Heart Rhythm","id":"ITEM-5","issue":"12","issued":{"date-parts":[["2009","12"]]},"page":"1754-62","title":"Cardiac ripple mapping: a novel three-dimensional visualization method for use with electroanatomic mapping of cardiac arrhythmias.","type":"article-journal","volume":"6"},"uris":["http://www.mendeley.com/documents/?uuid=7611d2b0-1908-4063-b435-2e977f2c0909"]},{"id":"ITEM-6","itemData":{"DOI":"10.1111/jce.12259","ISSN":"1540-8167","PMID":"24118203","abstract":"BACKGROUND: Three-dimensional (3D) mapping is often used to guide ablation in atrial tachycardia (AT), but maps can be susceptible to annotation and interpolation errors. Ripple Mapping (RM) is a technique that displays electrogram time-voltage data simultaneously as dynamic bars on the surface shell to overcome these limitations.\n\nOBJECTIVES: We hypothesized that RM would be superior to established 3D activation mapping.\n\nMETHODS: CARTO-XP™ maps of ATs were collected without any manual annotation and studied on a CARTO-based offline RM system. Paired unannotated CARTO-XP and Ripple Maps were presented to experienced CARTO users with limited RM training. These assessors were allowed to annotate the CARTO-XP maps, but were blinded to conventional EP data.\n\nRESULTS: CARTO-XP maps of AT (10 patients) were studied in RM format and the diagnosis was confirmed by entrainment in all cases and with termination of tachycardia in 9/10 cases. Blinded assessors (n = 11) reached the correct diagnosis using RM in 35/44 (80%) compared to 22/44 (50%) using CARTO-XP (P = 0.029). The time to the correct diagnosis was also shorter with RM (136 seconds vs. 212 seconds; P = 0.022). The causes of diagnostic errors using RM (insufficient point density, particularly in low-voltage areas, and the operator not assessing all available views) were overcome with an improved MatLab version showing both scar and dynamic bars on the same shell.\n\nCONCLUSION: RM does not need any manual annotation of local activation time and enables rapid diagnosis of AT with higher diagnostic accuracy than conventional 3D activation mapping.","author":[{"dropping-particle":"","family":"Jamil-Copley","given":"Shahnaz","non-dropping-particle":"","parse-names":false,"suffix":""},{"dropping-particle":"","family":"Linton","given":"Nicholas W.","non-dropping-particle":"","parse-names":false,"suffix":""},{"dropping-particle":"","family":"Koa-Wing","given":"Michael","non-dropping-particle":"","parse-names":false,"suffix":""},{"dropping-particle":"","family":"Kojodjojo","given":"Pipin","non-dropping-particle":"","parse-names":false,"suffix":""},{"dropping-particle":"","family":"Lim","given":"Phang Boon","non-dropping-particle":"","parse-names":false,"suffix":""},{"dropping-particle":"","family":"Malcolme-Lawes","given":"Louisa","non-dropping-particle":"","parse-names":false,"suffix":""},{"dropping-particle":"","family":"Whinnett","given":"Zachary","non-dropping-particle":"","parse-names":false,"suffix":""},{"dropping-particle":"","family":"Wright","given":"Ian","non-dropping-particle":"","parse-names":false,"suffix":""},{"dropping-particle":"","family":"Davies","given":"Wyn","non-dropping-particle":"","parse-names":false,"suffix":""},{"dropping-particle":"","family":"Peters","given":"Nicholas","non-dropping-particle":"","parse-names":false,"suffix":""},{"dropping-particle":"","family":"Francis","given":"Darrel P","non-dropping-particle":"","parse-names":false,"suffix":""},{"dropping-particle":"","family":"Kanagaratnam","given":"Prapa","non-dropping-particle":"","parse-names":false,"suffix":""}],"container-title":"Journal of Cardiovascular Electrophysiology","id":"ITEM-6","issue":"12","issued":{"date-parts":[["2013","12"]]},"page":"1361-9","title":"Application of ripple mapping with an electroanatomic mapping system for diagnosis of atrial tachycardias.","type":"article-journal","volume":"24"},"uris":["http://www.mendeley.com/documents/?uuid=d885d844-0e21-4252-afd4-fa5923300e71"]}],"mendeley":{"formattedCitation":"(Linton et al., 2009; Jamil-Copley et al., 2013; Williams et al., 2017, 2018, 2019; Whitaker et al., 2018)","plainTextFormattedCitation":"(Linton et al., 2009; Jamil-Copley et al., 2013; Williams et al., 2017, 2018, 2019; Whitaker et al., 2018)","previouslyFormattedCitation":"(Linton et al., 2009; Jamil-Copley et al., 2013; Williams et al., 2017, 2018, 2019; Whitaker et al., 2018)"},"properties":{"noteIndex":0},"schema":"https://github.com/citation-style-language/schema/raw/master/csl-citation.json"}</w:instrText>
      </w:r>
      <w:r w:rsidR="004C5E7E">
        <w:fldChar w:fldCharType="separate"/>
      </w:r>
      <w:r w:rsidR="004C5E7E" w:rsidRPr="004C5E7E">
        <w:rPr>
          <w:noProof/>
        </w:rPr>
        <w:t>(Linton et al., 2009; Jamil-Copley et al., 2013; Williams et al., 2017, 2018, 2019; Whitaker et al., 2018)</w:t>
      </w:r>
      <w:r w:rsidR="004C5E7E">
        <w:fldChar w:fldCharType="end"/>
      </w:r>
      <w:r w:rsidR="004C5E7E">
        <w:t xml:space="preserve"> </w:t>
      </w:r>
      <w:r>
        <w:t>As such it has evolved, project by project, to include additional functionality when required. In order to evaluate how well this functionality now maps to functionality required in contemporary electroanatomic mapping studies a literature review was performed to assess the datatypes and analysis methods in use in the previous 1 year of electroanatomic mapping studies</w:t>
      </w:r>
      <w:r w:rsidR="000E6F1D">
        <w:t xml:space="preserve"> (November 2019-November 2020, see Supplementary Material)</w:t>
      </w:r>
      <w:r>
        <w:t xml:space="preserve">. This analysis revealed that the majority of data types required for recent studies are now exposed through </w:t>
      </w:r>
      <w:proofErr w:type="spellStart"/>
      <w:r>
        <w:t>OpenEP</w:t>
      </w:r>
      <w:proofErr w:type="spellEnd"/>
      <w:r>
        <w:t xml:space="preserve"> functions. This analysis also revealed a number of areas for future development including parsing and analysing full 12-lead ECG signals, providing methods to perform fractionation analysis of intracardiac electrograms, methods to perform segmental analysis of the atria and ventricles and methods to assess late potentials in ventricular tachycardia studies. These areas have now been mapped to the </w:t>
      </w:r>
      <w:r w:rsidR="00931583">
        <w:t xml:space="preserve">roadmap </w:t>
      </w:r>
      <w:r>
        <w:t xml:space="preserve">for future development, </w:t>
      </w:r>
      <w:r w:rsidR="009308E2">
        <w:t xml:space="preserve">which will be made </w:t>
      </w:r>
      <w:r>
        <w:t xml:space="preserve">available </w:t>
      </w:r>
      <w:r w:rsidR="009308E2">
        <w:t>through</w:t>
      </w:r>
      <w:r>
        <w:t xml:space="preserve"> the </w:t>
      </w:r>
      <w:proofErr w:type="spellStart"/>
      <w:r>
        <w:t>OpenEP</w:t>
      </w:r>
      <w:proofErr w:type="spellEnd"/>
      <w:r>
        <w:t xml:space="preserve"> website (</w:t>
      </w:r>
      <w:r w:rsidR="00931583">
        <w:fldChar w:fldCharType="begin"/>
      </w:r>
      <w:r w:rsidR="00931583">
        <w:instrText xml:space="preserve"> HYPERLINK "http://openep.io" </w:instrText>
      </w:r>
      <w:r w:rsidR="00931583">
        <w:fldChar w:fldCharType="separate"/>
      </w:r>
      <w:r w:rsidR="00931583" w:rsidRPr="000D41BF">
        <w:rPr>
          <w:rStyle w:val="Hyperlink"/>
        </w:rPr>
        <w:t>http://openep.io</w:t>
      </w:r>
      <w:r w:rsidR="00931583">
        <w:fldChar w:fldCharType="end"/>
      </w:r>
      <w:r>
        <w:t>).</w:t>
      </w:r>
    </w:p>
    <w:p w14:paraId="5A469538" w14:textId="5D0D0F04" w:rsidR="00DA7C26" w:rsidRDefault="00931583" w:rsidP="00213126">
      <w:r>
        <w:t>One area that is included in the roadmap for future development is the implementation of alternative methods for calculating conduction velocity. Although a simple concept, the measurement of conduction velocities from clinical data is challenging with multiple previous techniques proposed</w:t>
      </w:r>
      <w:r w:rsidR="00DA7C26">
        <w:t xml:space="preserve"> including triangulation of electrode positions/activation times </w:t>
      </w:r>
      <w:r w:rsidR="00DA7C26">
        <w:fldChar w:fldCharType="begin" w:fldLock="1"/>
      </w:r>
      <w:r w:rsidR="00DA7C26">
        <w:instrText>ADDIN CSL_CITATION {"citationItems":[{"id":"ITEM-1","itemData":{"DOI":"10.1111/j.1540-8167.2007.00723.x","ISSN":"1045-3873","author":[{"dropping-particle":"","family":"Kojodjojo","given":"Pipin","non-dropping-particle":"","parse-names":false,"suffix":""},{"dropping-particle":"","family":"Peters","given":"Nicholas S","non-dropping-particle":"","parse-names":false,"suffix":""},{"dropping-particle":"","family":"Davies","given":"D Wyn","non-dropping-particle":"","parse-names":false,"suffix":""},{"dropping-particle":"","family":"Kanagaratnam","given":"Prapa","non-dropping-particle":"","parse-names":false,"suffix":""}],"container-title":"Journal of Cardiovascular Electrophysiology","id":"ITEM-1","issue":"3","issued":{"date-parts":[["2007","3"]]},"page":"269-275","title":"Characterization of the Electroanatomical Substrate in Human Atrial Fibrillation: The Relationship between Changes in Atrial Volume, Refractoriness, Wavefront Propagation Velocities, and AF Burden","type":"article-journal","volume":"18"},"uris":["http://www.mendeley.com/documents/?uuid=7add6416-9f1c-4667-8e04-d36ea01815ff"]},{"id":"ITEM-2","itemData":{"DOI":"10.1109/EMBC.2014.6943908","ISBN":"9781424479290","PMID":"25570276","abstract":"Electroanatomic mapping systems collect increasingly large quantities of spatially-distributed electrical data which may be potentially further scrutinized post-operatively to expose mechanistic properties which sustain and perpetuate atrial fibrillation. We describe a modular software platform, developed to post-process and rapidly analyse data exported from electroanatomic mapping systems using a range of existing and novel algorithms. Imaging data highlighting regions of scar can also be overlaid for comparison. In particular, we describe the conduction velocity (CV) mapping algorithm used to highlight wavefront behaviour. CV was found to be particularly sensitive to the spatial distribution of the triangulation points and corresponding activation times. A set of geometric conditions were devised for selecting suitable triangulations of the electrogram set for generating CV maps.","author":[{"dropping-particle":"","family":"Cantwell","given":"Chris D.","non-dropping-particle":"","parse-names":false,"suffix":""},{"dropping-particle":"","family":"Roney","given":"Caroline H.","non-dropping-particle":"","parse-names":false,"suffix":""},{"dropping-particle":"","family":"Ali","given":"Rheeda L.","non-dropping-particle":"","parse-names":false,"suffix":""},{"dropping-particle":"","family":"Qureshi","given":"Norman A.","non-dropping-particle":"","parse-names":false,"suffix":""},{"dropping-particle":"","family":"Lim","given":"Phang Boon","non-dropping-particle":"","parse-names":false,"suffix":""},{"dropping-particle":"","family":"Peters","given":"Nicholas S.","non-dropping-particle":"","parse-names":false,"suffix":""}],"container-title":"2014 36th Annual International Conference of the IEEE Engineering in Medicine and Biology Society, EMBC 2014","id":"ITEM-2","issued":{"date-parts":[["2014"]]},"page":"1591-1594","title":"A software platform for the comparative analysis of electroanatomic and imaging data including conduction velocity mapping","type":"article-journal"},"uris":["http://www.mendeley.com/documents/?uuid=239bea1b-fd33-4a4a-a82c-a8eaa738255d"]},{"id":"ITEM-3","itemData":{"DOI":"10.1016/j.jacc.2006.04.093","ISSN":"07351097","PMID":"16979013","abstract":"Objectives: This study assessed the effects of carbenoxolone on human myocardial conduction and refractoriness. Background: Carbenoxolone, an antipeptic ulcer drug, has been shown to reduce gap junctional coupling without affecting cellular ion channels. Gap junctions (GJ) are considered to be determinants of cardiac action potential propagation. The effects of GJ uncoupling in the human heart are unknown. Methods: Right atrial (RA) and ventricular (RV) activation mapping (Carto, Biosense Webster Inc., Diamond Bar, California) was performed during sinus rhythm. Right atrial and RV wavefront propagation velocity (WPV), specifically in the direction of propagation, was determined from these maps using a triangulation method. Refractoriness at multiple RA and RV sites, sinus rhythm cycle length, and AH, PR, QRS, and QT intervals were measured. The protocol was repeated 1 h after oral administration of 100 mg of carbenoxolone. Results: In 11 patients, WPV was reduced from 79.6 ± 13.3 cm/s to 57.2 ± 9.1 cm/s (-27.1 ± 12.8%, p &lt; 0.001) in RA and from 98.7 ± 19.8 cm/s to 76.5 ± 21.7 cm/s (-22.7 ± 14.1%, p &lt; 0.01) in RV after carbenoxolone. Conduction slowing was more marked in 6 older patients with ischemic heart disease compared with younger subjects with normal hearts (RA -35.1 ± 5.5% vs. -17.5 ± 12.7%, p = 0.03; RV -33.8 ± 5.1% vs. -9.3 ± 7.7%, p &lt; 0.001). Refractoriness and electrocardiogram parameters remained unchanged. Conclusions: Carbenoxolone causes a 27% reduction in human RA WPV and 23% in the RV without affecting refractoriness. The slowing of myocardial conduction by carbenoxolone demonstrates the significance of GJ in regulating human myocardial conduction and provides a tool for investigating the effects of GJ uncoupling on human arrhythmogenesis. © 2006 American College of Cardiology Foundation.","author":[{"dropping-particle":"","family":"Kojodjojo","given":"Pipin","non-dropping-particle":"","parse-names":false,"suffix":""},{"dropping-particle":"","family":"Kanagaratnam","given":"Prapa","non-dropping-particle":"","parse-names":false,"suffix":""},{"dropping-particle":"","family":"Segal","given":"Oliver R.","non-dropping-particle":"","parse-names":false,"suffix":""},{"dropping-particle":"","family":"Hussain","given":"Wajid","non-dropping-particle":"","parse-names":false,"suffix":""},{"dropping-particle":"","family":"Peters","given":"Nicholas S.","non-dropping-particle":"","parse-names":false,"suffix":""}],"container-title":"Journal of the American College of Cardiology","id":"ITEM-3","issue":"6","issued":{"date-parts":[["2006"]]},"page":"1242-1249","title":"The Effects of Carbenoxolone on Human Myocardial Conduction. A Tool to Investigate the Role of Gap Junctional Uncoupling in Human Arrhythmogenesis","type":"article-journal","volume":"48"},"uris":["http://www.mendeley.com/documents/?uuid=bbee8086-6ea9-480e-b97d-0548b1e3ceac"]},{"id":"ITEM-4","itemData":{"DOI":"10.1111/j.1540-8167.2006.00293.x","ISBN":"1045-3873","ISSN":"10453873","PMID":"16533247","abstract":"Introduction: Advancing age is an independent risk factor for atrial fibrillation (AF), which is considered to be initiated by ectopic triggers and maintained by an arrhythmogenic substrate. It is not known whether substrate changes produce this age-related increase in propensity toward AF. We addressed the hypothesis that advancing age is associated with changes in biatrial electrophysiology even in patients with no history of atrial arrhythmias. Methods and Results: Patients with left-sided accessory pathways and requiring routine electrophysiological studies were recruited. Electroanatomic mapping was performed in the left and right atria of 23 patients (age ranging from 17 to 75 years) with structurally normal hearts and no history of AF during sinus rhythm and pacing. Unlike previous studies, a trigonometric method was used to quantify wavefront propagation velocities (WPV) precisely in the direction of propagation. Refractoriness was measured at 2 cycle lengths, at three different atrial sites. Both right (r =-0.77, P &lt; 0.0001) and left (r =-0.79, P &lt; 0.001) atrial WPV demonstrated strongly inverse correlation with age. Furthermore, left and right WPVs were highly correlated (r = 0.66, P &lt; 0.01), with velocities being 6.4 +/- 2.2 cm/sec higher in the right atria (P &lt; 0.01). Refractoriness was significantly correlated with increasing age only at the septum (r = 0.53, P &lt; 0.01). Left atrial wavelength was inversely correlated with increasing age (r =-0.56, P = 0.03). P wave duration was associated with age (r = 0.42, P = 0.04) and left atrial size (r = 0.44, P = 0.04) but not atrial WPV. Conclusion: Aging human atria demonstrate progressive decline in WPV and increase in septal refractoriness. These age-related changes in biatrial electrophysiology are likely to be important factors in the age-related increase in AF prevalence.","author":[{"dropping-particle":"","family":"Kojodjojo","given":"P","non-dropping-particle":"","parse-names":false,"suffix":""},{"dropping-particle":"","family":"Kanagaratnam","given":"P","non-dropping-particle":"","parse-names":false,"suffix":""},{"dropping-particle":"","family":"Markides","given":"V","non-dropping-particle":"","parse-names":false,"suffix":""},{"dropping-particle":"","family":"Davies","given":"W","non-dropping-particle":"","parse-names":false,"suffix":""},{"dropping-particle":"","family":"Peters","given":"N","non-dropping-particle":"","parse-names":false,"suffix":""}],"container-title":"Journal of Cardiovascular Electrophysiology","id":"ITEM-4","issue":"2","issued":{"date-parts":[["2006"]]},"page":"120-127","title":"Age-related changes in human left and right atrial conduction","type":"article-journal","volume":"17"},"uris":["http://www.mendeley.com/documents/?uuid=3eb3f499-8c8d-4534-8796-186214a011c1"]},{"id":"ITEM-5","itemData":{"DOI":"10.1111/j.1540-8167.2010.01939.x","ISSN":"10453873","PMID":"21044210","abstract":"Stretch Slows Conduction in the Human Atrium. Introduction: The mechanisms by which atrial stretch favors the development of a substrate for atrial fibrillation (AF) are not fully understood. In this study, the role of stretch-induced conduction changes in the creation of a proarrhythmic substrate has been investigated by quantifying the spatial distribution of local conduction velocities (CVs) in the human atrium during acute atrial dilatation. Methods and Results: Electroanatomic mapping of right atrial activation was performed in 10 patients during coronary sinus pacing under control condition and during acute atrial dilatation. Atrial stretch was obtained by simultaneous atrioventricular (AV) pacing at a cycle length of 450-500 ms. Local CVs were accurately estimated by applying the principle of triangulation and spatially mapped over the whole right atrial endocardial surface. Simultaneous AV pacing significantly increased right atrial volume from 72.0 ± 29.0 to 86.3 ± 31.3 mL (P &lt; 0.001). The 23% increase in atrial volume resulted in an overall decrease in atrial CV from 65.8 ± 5.9 to 55.2 ± 7.2 cm/s (P &lt; 0.001) and an increased incidence of slow conduction sites or local conduction blocks from 10.3 ± 4.2% to 15.9 ± 7.7% (P &lt; 0.01). Acute atrial dilatation concurrently increased AF vulnerability, with 6 of 10 patients developing AF episodes under stretch condition. Conclusion: Quantification of stretch-induced conduction changes in the human atrium is feasible by combining simultaneous AV pacing and CV map construction. Acute atrial dilatation results in conduction slowing and significant increase in AF vulnerability, suggesting the role of stretch-induced conduction disturbances in the creation of a substrate for AF. © 2010 Wiley Periodicals, Inc.","author":[{"dropping-particle":"","family":"Ravelli","given":"Flavia","non-dropping-particle":"","parse-names":false,"suffix":""},{"dropping-particle":"","family":"Masè","given":"Michela","non-dropping-particle":"","parse-names":false,"suffix":""},{"dropping-particle":"","family":"Greco","given":"Maurizio","non-dropping-particle":"Del","parse-names":false,"suffix":""},{"dropping-particle":"","family":"Marini","given":"Massimiliano","non-dropping-particle":"","parse-names":false,"suffix":""},{"dropping-particle":"","family":"Disertori","given":"Marcello","non-dropping-particle":"","parse-names":false,"suffix":""}],"container-title":"Journal of Cardiovascular Electrophysiology","id":"ITEM-5","issue":"4","issued":{"date-parts":[["2011"]]},"page":"394-401","title":"Acute atrial dilatation slows conduction and increases AF vulnerability in the human atrium","type":"article-journal","volume":"22"},"uris":["http://www.mendeley.com/documents/?uuid=050818e2-e331-453e-bf3f-f76e45a0b810"]},{"id":"ITEM-6","itemData":{"DOI":"10.1253/circj.72.384","ISSN":"13469843","PMID":"18296833","abstract":"Background: To investigate the activation patterns and conduction velocity (CV) in the posterolateral right atrial (RA) wall during typical counterclockwise atrial flutter (AFL) using an electroanatomic mapping system. Methods and Results: During typical AFL in 25 patients, the transverse conduction pattern and CV were classified and calculated. The line blocking transverse conduction was defined by the conduction pattern and double potentials recorded during mapping. There were 3 types (including 2 subtypes) of transverse conduction pattern based on the conduction blocks across the posterolateral RA in a line between the superior and inferior venae cava. Trans-cristal conduction activation in a horizontal direction was seen in all but 4 patients. The CV in the gap area was 0.59±0.21 m/s. Conclusions: Three types of transverse conduction pattern were observed during trans-ctristal conduction and the trans-ctristal CV was relatively slower than that in other parts of the RA, except for the isthmus.","author":[{"dropping-particle":"","family":"Sawa","given":"Akira","non-dropping-particle":"","parse-names":false,"suffix":""},{"dropping-particle":"","family":"Shimizu","given":"Akihiko","non-dropping-particle":"","parse-names":false,"suffix":""},{"dropping-particle":"","family":"Ueyama","given":"Takeshi","non-dropping-particle":"","parse-names":false,"suffix":""},{"dropping-particle":"","family":"Yoshiga","given":"Yasuhiro","non-dropping-particle":"","parse-names":false,"suffix":""},{"dropping-particle":"","family":"Suzuki","given":"Shinsuke","non-dropping-particle":"","parse-names":false,"suffix":""},{"dropping-particle":"","family":"Sugi","given":"Naoki","non-dropping-particle":"","parse-names":false,"suffix":""},{"dropping-particle":"","family":"Oono","given":"Makoto","non-dropping-particle":"","parse-names":false,"suffix":""},{"dropping-particle":"","family":"Oomiya","given":"Toshihide","non-dropping-particle":"","parse-names":false,"suffix":""},{"dropping-particle":"","family":"Matsuzaki","given":"Masunori","non-dropping-particle":"","parse-names":false,"suffix":""}],"container-title":"Circulation Journal","id":"ITEM-6","issue":"3","issued":{"date-parts":[["2008"]]},"page":"384-391","title":"Activation patterns and conduction velocity in posterolateral right atrium during typical atrial flutter using an electroanatomic mapping system","type":"article-journal","volume":"72"},"uris":["http://www.mendeley.com/documents/?uuid=bd0b7d99-443f-449a-9f55-b4be08184ba3"]}],"mendeley":{"formattedCitation":"(Kojodjojo et al., 2006b, 2006a, 2007; Sawa et al., 2008; Ravelli et al., 2011; Cantwell et al., 2014)","plainTextFormattedCitation":"(Kojodjojo et al., 2006b, 2006a, 2007; Sawa et al., 2008; Ravelli et al., 2011; Cantwell et al., 2014)","previouslyFormattedCitation":"(Kojodjojo et al., 2006b, 2006a, 2007; Sawa et al., 2008; Ravelli et al., 2011; Cantwell et al., 2014)"},"properties":{"noteIndex":0},"schema":"https://github.com/citation-style-language/schema/raw/master/csl-citation.json"}</w:instrText>
      </w:r>
      <w:r w:rsidR="00DA7C26">
        <w:fldChar w:fldCharType="separate"/>
      </w:r>
      <w:r w:rsidR="00DA7C26" w:rsidRPr="008E5C90">
        <w:rPr>
          <w:noProof/>
        </w:rPr>
        <w:t>(Kojodjojo et al., 2006b, 2006a, 2007; Sawa et al., 2008; Ravelli et al., 2011; Cantwell et al., 2014)</w:t>
      </w:r>
      <w:r w:rsidR="00DA7C26">
        <w:fldChar w:fldCharType="end"/>
      </w:r>
      <w:r w:rsidR="00DA7C26">
        <w:t xml:space="preserve">, vector loops and </w:t>
      </w:r>
      <w:proofErr w:type="spellStart"/>
      <w:r w:rsidR="00DA7C26">
        <w:t>omnipole</w:t>
      </w:r>
      <w:proofErr w:type="spellEnd"/>
      <w:r w:rsidR="00DA7C26">
        <w:t xml:space="preserve"> mapping </w:t>
      </w:r>
      <w:r w:rsidR="00DA7C26">
        <w:fldChar w:fldCharType="begin" w:fldLock="1"/>
      </w:r>
      <w:r w:rsidR="00DA7C26">
        <w:instrText>ADDIN CSL_CITATION {"citationItems":[{"id":"ITEM-1","itemData":{"DOI":"10.1152/ajpheart.01108.2001","ISSN":"03636135","PMID":"12791595","abstract":"Recent studies have demonstrated that fibrillatory rhythms are not random phenomena but have definable patterns. However, standard mapping techniques may have limitations in their ability to identify the organization of fibrillation. The purpose of this study was to develop and apply a method, \"ensemble vector mapping,\" for characterizing the spatiotemporal organization of fibrillation. Ventricular fibrillation was induced by burst pacing in normal mongrel dogs. In a separate protocol, atrial fibrillation was induced by epicardial aconitine application. Epicardial electrograms were recorded from a 112-electrode plaque array using a computerized mapping system. Vectors were created by summing orthogonal bipolar electrograms. The magnitude of the vectors was transformed using a logarithmic function, integrated over time, and normalized for local electrogram amplitude to produce an \"ensemble vector\" index whose magnitude is high when beat-to-beat activation direction is consistent and low when activation direction is variable. The mean index was 137 ± 36 mV/s during ventricular pacing at a cycle length of 300 ms but only 39 ± 23 mV/s during ventricular fibrillation (P &lt; 0.001). The ensemble vector index was also lower during atrial fibrillation (60 ± 54 mV/s) than during atrial pacing (115 ± 27 mV/s, P &lt; 0.01 vs. atrial fibrillation) but not as low as during ventricular fibrillation (P &lt; 0.05, atrial vs. ventricular fibrillation). The index was also capable of distinguishing atrial tachycardia from atrial fibrillation. Ensemble vector mapping produces an objective assessment of the consistency of myocardial activation during fibrillation. The consistency of activation direction differs in different models of fibrillation and is higher during atrial than ventricular fibrillation. This technique has the potential to rapidly characterize repetitive activation patterns in fibrillatory rhythms and may help distinguish among different characteristics of fibrillatory rhythms.","author":[{"dropping-particle":"","family":"Kadish","given":"Alan","non-dropping-particle":"","parse-names":false,"suffix":""},{"dropping-particle":"","family":"Johnson","given":"David","non-dropping-particle":"","parse-names":false,"suffix":""},{"dropping-particle":"","family":"Choe","given":"Willie","non-dropping-particle":"","parse-names":false,"suffix":""},{"dropping-particle":"","family":"Goldberger","given":"Jeffrey","non-dropping-particle":"","parse-names":false,"suffix":""},{"dropping-particle":"","family":"Horvath","given":"George","non-dropping-particle":"","parse-names":false,"suffix":""}],"container-title":"American Journal of Physiology - Heart and Circulatory Physiology","id":"ITEM-1","issue":"4 54-4","issued":{"date-parts":[["2003"]]},"page":"1705-1719","title":"Characterization of fibrillatory rhythms by ensemble vector directional analysis","type":"article-journal","volume":"285"},"uris":["http://www.mendeley.com/documents/?uuid=4772e0a3-f089-4c4c-a034-7102776578d9"]},{"id":"ITEM-2","itemData":{"DOI":"10.1109/TBME.2016.2589158","ISSN":"15582531","PMID":"27411215","abstract":"Cardiac electrogram (EGM) signals and electrophysiologic (EP) characteristics derived from them such as amplitude and timing are central to the diagnosis and therapeutic management of arrhythmias. Bipolar EGMs are often used but possess polarity and shape dependence on catheter orientation contributing to uncertainty. OBJECTIVE We describe a novel method to map cardiac activation that resolves signals into meaningful directions and is insensitive to electrode directional effects. METHODS Multielectrode catheters that span 2- and 3- dimensional space are used to derive local electric field (E-field) signals. A traveling wave model of local EGM propagation motivates a new \"omnipolar\" reference frame in which to understand EGM E-field signals and provide bipolar component EGMs aligned with these anatomic and physiologic directions. We validate the basis of this technology and determine its accuracy using a saline tank in which we simulate physiologic propagation. RESULTS Omnipole signals from healthy tissue are nearly free of catheter orientation effects and are constrained by biophysics to consistent morphologies and thus consistent measured amplitudes and timings. Using a 3D EP mapping system, traveling wave treatment, and Omnipolar Technology (OT) E-field loops, we derived a new and nearly instantaneous means to determine conduction velocity and activation direction. CONCLUSION We describe the basis of OT and validate it with ablation and mapping catheters in a saline tank. Finally, we illustrate OT with signals from live subjects. SIGNIFICANCE OT's novel approach with signal processing and real-time visualization allows for a newly detailed characterization of myocardial activation that is insensitive to catheter orientation.","author":[{"dropping-particle":"","family":"Deno","given":"Don Curtis","non-dropping-particle":"","parse-names":false,"suffix":""},{"dropping-particle":"","family":"Balachandran","given":"Ram","non-dropping-particle":"","parse-names":false,"suffix":""},{"dropping-particle":"","family":"Morgan","given":"Dennis","non-dropping-particle":"","parse-names":false,"suffix":""},{"dropping-particle":"","family":"Ahmad","given":"Faiz","non-dropping-particle":"","parse-names":false,"suffix":""},{"dropping-particle":"","family":"Masse","given":"Stephane","non-dropping-particle":"","parse-names":false,"suffix":""},{"dropping-particle":"","family":"Nanthakumar","given":"Kumaraswamy","non-dropping-particle":"","parse-names":false,"suffix":""}],"container-title":"IEEE Transactions on Biomedical Engineering","id":"ITEM-2","issue":"5","issued":{"date-parts":[["2017"]]},"page":"1067-1177","title":"Orientation-Independent Catheter-Based Characterization of Myocardial Activation","type":"article-journal","volume":"64"},"uris":["http://www.mendeley.com/documents/?uuid=458e0b8b-6f1b-4cd3-a5d4-dd725300a8a8"]},{"id":"ITEM-3","itemData":{"DOI":"10.1161/CIRCEP.116.004107","ISSN":"19413084","PMID":"27406608","abstract":"Background - With its inherent limitations, determining local activation times has been the basis of cardiac mapping for over a century. Here, we introduce omnipolar electrograms that originate from the natural direction of a travelling wave and from which instantaneous conduction velocity amplitude and direction can be computed at any single location without first determining activation times. We sought to validate omnipole-derived conduction velocities and explore potential application for localization of sources of arrhythmias. Methods and Results - Electrograms from omnipolar mapping were derived and validated using 4 separate models and 2 independent signal acquisition methodologies. We used both electric signals and optical signals collected from monolayer cell preparations, 3-dimensional constructs built with cardiomyocytes derived from human embryonic stem cells, simultaneous optical and electric mapping of rabbit hearts, and in vivo pig electrophysiology studies. Conduction velocities calculated from omnipolar electrograms were compared with wavefront propagation from optical and electric-mapping studies with a traditional local activation time-based method. Bland-Altman analysis revealed that omnipolar measurements on optical data were in agreement with local activation time methods for wavefront direction and velocity within 25 cm/s and 30°, respectively. Similar agreement was also found on electric data. Furthermore, mathematical operations, such as curl and divergence, were applied to omnipole-derived velocity vector fields to locate rotational and focal sources, respectively. Conclusions - Electrode orientation-independent cardiac wavefront trajectory and speed at a single location for each cardiac activation can be determined accurately with omnipolar electrograms. Omnipole-derived vector fields, when combined with mathematical transforms may aid in real-time detection of cardiac activation sources.","author":[{"dropping-particle":"","family":"Massé","given":"Stéphane","non-dropping-particle":"","parse-names":false,"suffix":""},{"dropping-particle":"","family":"Magtibay","given":"Karl","non-dropping-particle":"","parse-names":false,"suffix":""},{"dropping-particle":"","family":"Jackson","given":"Nicholas","non-dropping-particle":"","parse-names":false,"suffix":""},{"dropping-particle":"","family":"Asta","given":"John","non-dropping-particle":"","parse-names":false,"suffix":""},{"dropping-particle":"","family":"Kusha","given":"Marjan","non-dropping-particle":"","parse-names":false,"suffix":""},{"dropping-particle":"","family":"Zhang","given":"Boyang","non-dropping-particle":"","parse-names":false,"suffix":""},{"dropping-particle":"","family":"Balachandran","given":"Ram","non-dropping-particle":"","parse-names":false,"suffix":""},{"dropping-particle":"","family":"Radisic","given":"Milica","non-dropping-particle":"","parse-names":false,"suffix":""},{"dropping-particle":"","family":"Deno","given":"D. Curtis","non-dropping-particle":"","parse-names":false,"suffix":""},{"dropping-particle":"","family":"Nanthakumar","given":"Kumaraswamy","non-dropping-particle":"","parse-names":false,"suffix":""}],"container-title":"Circulation: Arrhythmia and Electrophysiology","id":"ITEM-3","issue":"7","issued":{"date-parts":[["2016"]]},"page":"1-13","title":"Resolving myocardial activation with novel omnipolar electrograms","type":"article-journal","volume":"9"},"uris":["http://www.mendeley.com/documents/?uuid=7af0b884-f5b0-479c-8ab6-a6bbdce65573"]}],"mendeley":{"formattedCitation":"(Kadish et al., 2003; Massé et al., 2016; Deno et al., 2017)","plainTextFormattedCitation":"(Kadish et al., 2003; Massé et al., 2016; Deno et al., 2017)","previouslyFormattedCitation":"(Kadish et al., 2003; Massé et al., 2016; Deno et al., 2017)"},"properties":{"noteIndex":0},"schema":"https://github.com/citation-style-language/schema/raw/master/csl-citation.json"}</w:instrText>
      </w:r>
      <w:r w:rsidR="00DA7C26">
        <w:fldChar w:fldCharType="separate"/>
      </w:r>
      <w:r w:rsidR="00DA7C26" w:rsidRPr="00DA7C26">
        <w:rPr>
          <w:noProof/>
        </w:rPr>
        <w:t>(Kadish et al., 2003; Massé et al., 2016; Deno et al., 2017)</w:t>
      </w:r>
      <w:r w:rsidR="00DA7C26">
        <w:fldChar w:fldCharType="end"/>
      </w:r>
      <w:r w:rsidR="00DA7C26">
        <w:t xml:space="preserve">, cosine-fit techniques </w:t>
      </w:r>
      <w:r w:rsidR="00DA7C26">
        <w:fldChar w:fldCharType="begin" w:fldLock="1"/>
      </w:r>
      <w:r w:rsidR="006F25CD">
        <w:instrText>ADDIN CSL_CITATION {"citationItems":[{"id":"ITEM-1","itemData":{"DOI":"10.1109/TBME.2011.2160453","ISSN":"00189294","PMID":"21708491","abstract":"Conduction velocity (CV) and CV restitution are important substrate parameters for understanding atrial arrhythmias. The aim of this work is to (i) present a simple but feasible method to measure CV restitution in-vivo using standard circular catheters, and (ii) validate its feasibility with data measured during incremental pacing. From five patients undergoing catheter ablation, we analyzed eight datasets from sinus rhythm and incremental pacing sequences. Every wavefront was measured with a circular catheter and the electrograms were analyzed with a cosine-fit method that calculated the local CV. For each pacing cycle length, the mean local CV was determined. Furthermore, changes in global CV were estimated from the time delay between pacing stimulus and wavefront arrival. Comparing local and global CV between pacing at 500 and 300ms, we found significant changes in seven of eight pacing sequences. On average, local CV decreased by 20 ± 15 and global CV by 17 ± 13. The method allows for in-vivo measurements of absolute CV and CV restitution during standard clinical procedures. Such data may provide valuable insights into mechanisms of atrial arrhythmias. This is important both for improving cardiac models and also for clinical applications, such as characterizing arrhythmogenic substrates during sinus rhythm. © 2011 IEEE.","author":[{"dropping-particle":"","family":"Weber","given":"Frank M.","non-dropping-particle":"","parse-names":false,"suffix":""},{"dropping-particle":"","family":"Luik","given":"Armin","non-dropping-particle":"","parse-names":false,"suffix":""},{"dropping-particle":"","family":"Schilling","given":"Christopher","non-dropping-particle":"","parse-names":false,"suffix":""},{"dropping-particle":"","family":"Seemann","given":"Gunnar","non-dropping-particle":"","parse-names":false,"suffix":""},{"dropping-particle":"","family":"Krueger","given":"Martin W.","non-dropping-particle":"","parse-names":false,"suffix":""},{"dropping-particle":"","family":"Lorenz","given":"Cristian","non-dropping-particle":"","parse-names":false,"suffix":""},{"dropping-particle":"","family":"Schmitt","given":"Claus","non-dropping-particle":"","parse-names":false,"suffix":""},{"dropping-particle":"","family":"Dössel","given":"Olaf","non-dropping-particle":"","parse-names":false,"suffix":""}],"container-title":"IEEE Transactions on Biomedical Engineering","id":"ITEM-1","issue":"9","issued":{"date-parts":[["2011"]]},"page":"2648-2655","title":"Conduction velocity restitution of the human atriuman-An efficient measurement protocol for clinical electrophysiological studies","type":"article-journal","volume":"58"},"uris":["http://www.mendeley.com/documents/?uuid=5bdf85d4-b7f9-4070-b203-27587f3012cc"]},{"id":"ITEM-2","itemData":{"DOI":"10.1109/EMBC.2014.6943906","ISBN":"9781424479290","PMID":"25570274","abstract":"Determining locations of focal arrhythmia sources and quantifying myocardial conduction velocity (CV) are two major challenges in clinical catheter ablation cases. CV, wave-front direction and focal source location can be estimated from multipolar catheter data, but currently available methods are time-consuming, limited to specific electrode configurations, and can be inaccurate. We developed automated algorithms to rapidly identify CV from multipolar catheter data with any arrangement of electrodes, whilst providing estimates of wavefront direction and focal source position, which can guide the catheter towards a focal arrhythmic source. We validated our methods using simulations on realistic human left atrial geometry. We subsequently applied them to clinically-acquired intracardiac electrogram data, where CV and wavefront direction were accurately determined in all cases, whilst focal source locations were correctly identified in 2/3 cases. Our novel automated algorithms can potentially be used to guide ablation of focal arrhythmias in real-time in cardiac catheter laboratories.","author":[{"dropping-particle":"","family":"Roney","given":"Caroline H.","non-dropping-particle":"","parse-names":false,"suffix":""},{"dropping-particle":"","family":"Cantwell","given":"Chris D.","non-dropping-particle":"","parse-names":false,"suffix":""},{"dropping-particle":"","family":"Qureshi","given":"Norman A.","non-dropping-particle":"","parse-names":false,"suffix":""},{"dropping-particle":"","family":"Ali","given":"Rheeda L.","non-dropping-particle":"","parse-names":false,"suffix":""},{"dropping-particle":"","family":"Chang","given":"Eugene T.Y.","non-dropping-particle":"","parse-names":false,"suffix":""},{"dropping-particle":"","family":"Lim","given":"Phang Boon","non-dropping-particle":"","parse-names":false,"suffix":""},{"dropping-particle":"","family":"Sherwin","given":"Spencer J.","non-dropping-particle":"","parse-names":false,"suffix":""},{"dropping-particle":"","family":"Peters","given":"Nicholas S.","non-dropping-particle":"","parse-names":false,"suffix":""},{"dropping-particle":"","family":"Siggers","given":"Jennifer H.","non-dropping-particle":"","parse-names":false,"suffix":""},{"dropping-particle":"","family":"Ng","given":"Fu Siong","non-dropping-particle":"","parse-names":false,"suffix":""}],"container-title":"2014 36th Annual International Conference of the IEEE Engineering in Medicine and Biology Society, EMBC 2014","id":"ITEM-2","issued":{"date-parts":[["2014"]]},"page":"1583-1586","title":"An automated algorithm for determining conduction velocity, wavefront direction and origin of focal cardiac arrhythmias using a multipolar catheter","type":"article-journal"},"uris":["http://www.mendeley.com/documents/?uuid=27d851b4-ef9f-4083-bb66-2e33b0330661"]},{"id":"ITEM-3","itemData":{"DOI":"10.1016/j.compbiomed.2018.10.019","ISSN":"18790534","abstract":"© 2018 The Authors Background: Cardiac conduction properties exhibit large variability, and affect patient-specific arrhythmia mechanisms. However, it is challenging to clinically measure conduction velocity (CV), anisotropy and fibre direction. Our aim is to develop a technique to estimate conduction anisotropy and fibre direction from clinically available electrical recordings. Methods: We developed and validated automated algorithms for estimating cardiac CV anisotropy, from any distribution of recording locations on the atrial surface. The first algorithm is for elliptical wavefront fitting to a single activation map (method 1), which works well close to the pacing location, but decreases in accuracy further from the pacing location (due to spatial heterogeneity in the conductivity and fibre fields). As such, we developed a second methodology for measuring local conduction anisotropy, using data from two or three activation maps (method 2: ellipse fitting to wavefront propagation velocity vectors from multiple activation maps). Results: Ellipse fitting to CV vectors from two activation maps (method 2) leads to an improved estimation of longitudinal and transverse CV compared to method 1, but fibre direction estimation is still relatively poor. Using three activation maps with method 2 provides accurate estimation, with approximately 70% of atrial fibres estimated within 20</w:instrText>
      </w:r>
      <w:r w:rsidR="006F25CD">
        <w:rPr>
          <w:rFonts w:ascii="Cambria Math" w:hAnsi="Cambria Math" w:cs="Cambria Math"/>
        </w:rPr>
        <w:instrText>∘</w:instrText>
      </w:r>
      <w:r w:rsidR="006F25CD">
        <w:instrText>. We applied the technique to clinical activation maps to demonstrate the presence of heterogeneous conduction anisotropy, and then tested the effects of this conduction anisotropy on predicted arrhythmia dynamics using computational simulation. Conclusions: We have developed novel algorithms for calculating CV and measuring the direction dependency of atrial activation to estimate atrial fibre direction, without the need for specialised pacing protocols, using clinically available electrical recordings.","author":[{"dropping-particle":"","family":"Roney","given":"C.H.","non-dropping-particle":"","parse-names":false,"suffix":""},{"dropping-particle":"","family":"Whitaker","given":"J.","non-dropping-particle":"","parse-names":false,"suffix":""},{"dropping-particle":"","family":"Sim","given":"I.","non-dropping-particle":"","parse-names":false,"suffix":""},{"dropping-particle":"","family":"O'Neill","given":"L.","non-dropping-particle":"","parse-names":false,"suffix":""},{"dropping-particle":"","family":"Mukherjee","given":"R.K.","non-dropping-particle":"","parse-names":false,"suffix":""},{"dropping-particle":"","family":"Razeghi","given":"O.","non-dropping-particle":"","parse-names":false,"suffix":""},{"dropping-particle":"","family":"Vigmond","given":"E.J.","non-dropping-particle":"","parse-names":false,"suffix":""},{"dropping-particle":"","family":"Wright","given":"M.","non-dropping-particle":"","parse-names":false,"suffix":""},{"dropping-particle":"","family":"O'Neill","given":"M.D.","non-dropping-particle":"","parse-names":false,"suffix":""},{"dropping-particle":"","family":"Williams","given":"S.E.","non-dropping-particle":"","parse-names":false,"suffix":""},{"dropping-particle":"","family":"Niederer","given":"S.A.","non-dropping-particle":"","parse-names":false,"suffix":""}],"container-title":"Computers in Biology and Medicine","id":"ITEM-3","issued":{"date-parts":[["2019"]]},"title":"A technique for measuring anisotropy in atrial conduction to estimate conduction velocity and atrial fibre direction","type":"article-journal","volume":"104"},"uris":["http://www.mendeley.com/documents/?uuid=2bf3c406-40a3-3f87-bc8c-9e4d3f6ba7f8"]}],"mendeley":{"formattedCitation":"(Weber et al., 2011; Roney et al., 2014, 2019)","plainTextFormattedCitation":"(Weber et al., 2011; Roney et al., 2014, 2019)","previouslyFormattedCitation":"(Weber et al., 2011; Roney et al., 2014, 2019)"},"properties":{"noteIndex":0},"schema":"https://github.com/citation-style-language/schema/raw/master/csl-citation.json"}</w:instrText>
      </w:r>
      <w:r w:rsidR="00DA7C26">
        <w:fldChar w:fldCharType="separate"/>
      </w:r>
      <w:r w:rsidR="00DA7C26" w:rsidRPr="00DA7C26">
        <w:rPr>
          <w:noProof/>
        </w:rPr>
        <w:t>(Weber et al., 2011; Roney et al., 2014, 2019)</w:t>
      </w:r>
      <w:r w:rsidR="00DA7C26">
        <w:fldChar w:fldCharType="end"/>
      </w:r>
      <w:r w:rsidR="00DA7C26">
        <w:t xml:space="preserve"> </w:t>
      </w:r>
      <w:r w:rsidR="00C63C14">
        <w:t xml:space="preserve">polynomial fit techniques </w:t>
      </w:r>
      <w:r w:rsidR="00C63C14">
        <w:fldChar w:fldCharType="begin" w:fldLock="1"/>
      </w:r>
      <w:r w:rsidR="00C63C14">
        <w:instrText>ADDIN CSL_CITATION {"citationItems":[{"id":"ITEM-1","itemData":{"DOI":"10.1093/europace/euaa275","ISSN":"1099-5129","author":[{"dropping-particle":"","family":"Nalliah","given":"Chrishan Joseph","non-dropping-particle":"","parse-names":false,"suffix":""},{"dropping-particle":"","family":"Wong","given":"Geoffrey R","non-dropping-particle":"","parse-names":false,"suffix":""},{"dropping-particle":"","family":"Lee","given":"Geoffrey","non-dropping-particle":"","parse-names":false,"suffix":""},{"dropping-particle":"","family":"Voskoboinik","given":"Aleksandr","non-dropping-particle":"","parse-names":false,"suffix":""},{"dropping-particle":"","family":"Kee","given":"Kirk","non-dropping-particle":"","parse-names":false,"suffix":""},{"dropping-particle":"","family":"Goldin","given":"Jeremy","non-dropping-particle":"","parse-names":false,"suffix":""},{"dropping-particle":"","family":"Watts","given":"Troy","non-dropping-particle":"","parse-names":false,"suffix":""},{"dropping-particle":"","family":"Linz","given":"Dominik","non-dropping-particle":"","parse-names":false,"suffix":""},{"dropping-particle":"","family":"Wirth","given":"Daniel","non-dropping-particle":"","parse-names":false,"suffix":""},{"dropping-particle":"","family":"Parameswaran","given":"Ramanathan","non-dropping-particle":"","parse-names":false,"suffix":""},{"dropping-particle":"","family":"Sugumar","given":"Hariharan","non-dropping-particle":"","parse-names":false,"suffix":""},{"dropping-particle":"","family":"Prabhu","given":"Sandeep","non-dropping-particle":"","parse-names":false,"suffix":""},{"dropping-particle":"","family":"McLellan","given":"Alex","non-dropping-particle":"","parse-names":false,"suffix":""},{"dropping-particle":"","family":"Ling","given":"Han","non-dropping-particle":"","parse-names":false,"suffix":""},{"dropping-particle":"","family":"Joseph","given":"Stephen","non-dropping-particle":"","parse-names":false,"suffix":""},{"dropping-particle":"","family":"Morton","given":"Joseph B","non-dropping-particle":"","parse-names":false,"suffix":""},{"dropping-particle":"","family":"Kistler","given":"Peter","non-dropping-particle":"","parse-names":false,"suffix":""},{"dropping-particle":"","family":"Sanders","given":"Prashanthan","non-dropping-particle":"","parse-names":false,"suffix":""},{"dropping-particle":"","family":"Kalman","given":"Jonathan M","non-dropping-particle":"","parse-names":false,"suffix":""}],"container-title":"EP Europace","id":"ITEM-1","issued":{"date-parts":[["2021"]]},"page":"1-10","title":"Sleep apnoea has a dose-dependent effect on atrial remodelling in paroxysmal but not persistent atrial fibrillation: a high-density mapping study","type":"article-journal"},"uris":["http://www.mendeley.com/documents/?uuid=6c8962d6-e4f7-4988-8abd-00351de2b60f"]}],"mendeley":{"formattedCitation":"(Nalliah et al., 2021)","plainTextFormattedCitation":"(Nalliah et al., 2021)"},"properties":{"noteIndex":0},"schema":"https://github.com/citation-style-language/schema/raw/master/csl-citation.json"}</w:instrText>
      </w:r>
      <w:r w:rsidR="00C63C14">
        <w:fldChar w:fldCharType="separate"/>
      </w:r>
      <w:r w:rsidR="00C63C14" w:rsidRPr="00C63C14">
        <w:rPr>
          <w:noProof/>
        </w:rPr>
        <w:t>(Nalliah et al., 2021)</w:t>
      </w:r>
      <w:r w:rsidR="00C63C14">
        <w:fldChar w:fldCharType="end"/>
      </w:r>
      <w:r w:rsidR="00C63C14">
        <w:t xml:space="preserve"> </w:t>
      </w:r>
      <w:r w:rsidR="00DA7C26">
        <w:t xml:space="preserve">and calculation of the spatial gradients of local activation fields </w:t>
      </w:r>
      <w:r w:rsidR="00DA7C26">
        <w:fldChar w:fldCharType="begin" w:fldLock="1"/>
      </w:r>
      <w:r w:rsidR="006F25CD">
        <w:instrText>ADDIN CSL_CITATION {"citationItems":[{"id":"ITEM-1","itemData":{"DOI":"10.1103/PhysRevE.75.011914","ISSN":"1539-3755","author":[{"dropping-particle":"","family":"Mourad","given":"Ayman","non-dropping-particle":"","parse-names":false,"suffix":""},{"dropping-particle":"","family":"Nash","given":"Martyn","non-dropping-particle":"","parse-names":false,"suffix":""}],"container-title":"Physical Review E","id":"ITEM-1","issue":"1","issued":{"date-parts":[["2007","1"]]},"page":"1-7","title":"Method for quantifiying conduction velocity during ventricular fibrillation","type":"article-journal","volume":"75"},"uris":["http://www.mendeley.com/documents/?uuid=c415c1f4-1dcc-44f0-9191-9f25715a52a9"]}],"mendeley":{"formattedCitation":"(Mourad and Nash, 2007)","plainTextFormattedCitation":"(Mourad and Nash, 2007)","previouslyFormattedCitation":"(Mourad and Nash, 2007)"},"properties":{"noteIndex":0},"schema":"https://github.com/citation-style-language/schema/raw/master/csl-citation.json"}</w:instrText>
      </w:r>
      <w:r w:rsidR="00DA7C26">
        <w:fldChar w:fldCharType="separate"/>
      </w:r>
      <w:r w:rsidR="00DA7C26" w:rsidRPr="00B6318D">
        <w:rPr>
          <w:noProof/>
        </w:rPr>
        <w:t>(Mourad and Nash, 2007)</w:t>
      </w:r>
      <w:r w:rsidR="00DA7C26">
        <w:fldChar w:fldCharType="end"/>
      </w:r>
      <w:r w:rsidR="00DA7C26">
        <w:t xml:space="preserve">. The method currently implemented in </w:t>
      </w:r>
      <w:proofErr w:type="spellStart"/>
      <w:r w:rsidR="00DA7C26">
        <w:t>OpenEP</w:t>
      </w:r>
      <w:proofErr w:type="spellEnd"/>
      <w:r w:rsidR="00DA7C26">
        <w:t xml:space="preserve"> uses radial basis function interpolation </w:t>
      </w:r>
      <w:r w:rsidR="00DA7C26">
        <w:fldChar w:fldCharType="begin" w:fldLock="1"/>
      </w:r>
      <w:r w:rsidR="00DA7C26">
        <w:instrText>ADDIN CSL_CITATION {"citationItems":[{"id":"ITEM-1","itemData":{"DOI":"10.1109/IEMBS.2010.5626616","ISBN":"9781424441235","ISSN":"1557-170X","PMID":"21096180","abstract":"The integration of mapping techniques with suitable methods for the characterization and visualization of propagation patterns may enhance the targeting of critical arrhythmic areas, thus optimizing the ablative treatment of atrial arrhythmias. In this study, we tested the feasibility of an innovative approach for the automatic determination of activation and velocity maps from sparse data as provided by electro-anatomic mapping systems. The proposed algorithm reconstructed the activation process by a radial basis function (RBF) interpolation of mapping point latencies. Velocity vectors were analytically determined by differentiation of the interpolation function. The method was tested by a multistate cellular automaton simulation model, implemented on a CARTO-derived atrial endocardial surface, and reconstruction accuracy was evaluated as a function of the number of mapping points. The RBF algorithm accurately reconstructed wave propagation patterns in simulated tissues with homogeneous and heterogeneous conduction properties, consistently with the data access afforded by clinical practice. These preliminary results suggest the possible integration of the method with clinically-used mapping systems to favor the identification of specific propagation patterns and conduction disturbances.","author":[{"dropping-particle":"","family":"Masè","given":"M.","non-dropping-particle":"","parse-names":false,"suffix":""},{"dropping-particle":"","family":"Ravelli","given":"F.","non-dropping-particle":"","parse-names":false,"suffix":""}],"container-title":"2010 Annual International Conference of the IEEE Engineering in Medicine and Biology Society, EMBC'10","id":"ITEM-1","issued":{"date-parts":[["2010"]]},"page":"2608-2611","title":"Automatic reconstruction of activation and velocity maps from electro-anatomic data by radial basis functions","type":"article-journal"},"uris":["http://www.mendeley.com/documents/?uuid=70940101-c9ea-447c-9367-4c0b5fddddae"]}],"mendeley":{"formattedCitation":"(Masè and Ravelli, 2010)","plainTextFormattedCitation":"(Masè and Ravelli, 2010)","previouslyFormattedCitation":"(Masè and Ravelli, 2010)"},"properties":{"noteIndex":0},"schema":"https://github.com/citation-style-language/schema/raw/master/csl-citation.json"}</w:instrText>
      </w:r>
      <w:r w:rsidR="00DA7C26">
        <w:fldChar w:fldCharType="separate"/>
      </w:r>
      <w:r w:rsidR="00DA7C26" w:rsidRPr="0039761F">
        <w:rPr>
          <w:noProof/>
        </w:rPr>
        <w:t>(Masè and Ravelli, 2010)</w:t>
      </w:r>
      <w:r w:rsidR="00DA7C26">
        <w:fldChar w:fldCharType="end"/>
      </w:r>
      <w:r w:rsidR="00DA7C26">
        <w:t xml:space="preserve">. Future work is planned to incorporate other conduction velocity measurement techniques within the </w:t>
      </w:r>
      <w:proofErr w:type="spellStart"/>
      <w:r w:rsidR="00DA7C26">
        <w:t>OpenEP</w:t>
      </w:r>
      <w:proofErr w:type="spellEnd"/>
      <w:r w:rsidR="00DA7C26">
        <w:t xml:space="preserve"> framework</w:t>
      </w:r>
      <w:r w:rsidR="006F25CD">
        <w:t>.</w:t>
      </w:r>
    </w:p>
    <w:p w14:paraId="766AD31F" w14:textId="1443D1AE" w:rsidR="006A71BE" w:rsidRDefault="006A71BE" w:rsidP="00213126">
      <w:r>
        <w:t xml:space="preserve">Related to conduction velocity is the concept of local activation time assignment. Currently, local activation time assignment within </w:t>
      </w:r>
      <w:proofErr w:type="spellStart"/>
      <w:r>
        <w:t>OpenEP</w:t>
      </w:r>
      <w:proofErr w:type="spellEnd"/>
      <w:r>
        <w:t xml:space="preserve"> is taken from the clinical mapping system. However, it could be useful to perform activation time assignment within </w:t>
      </w:r>
      <w:proofErr w:type="spellStart"/>
      <w:r>
        <w:t>OpenEP</w:t>
      </w:r>
      <w:proofErr w:type="spellEnd"/>
      <w:r>
        <w:t xml:space="preserve"> itself in order to create activation maps which are agnostic to the clinical system used for collecting electrogram data. Several </w:t>
      </w:r>
      <w:proofErr w:type="spellStart"/>
      <w:r>
        <w:t>OpenEP</w:t>
      </w:r>
      <w:proofErr w:type="spellEnd"/>
      <w:r>
        <w:t xml:space="preserve"> functions including </w:t>
      </w:r>
      <w:proofErr w:type="spellStart"/>
      <w:proofErr w:type="gramStart"/>
      <w:r w:rsidRPr="0040443C">
        <w:rPr>
          <w:rFonts w:ascii="Courier" w:hAnsi="Courier"/>
        </w:rPr>
        <w:t>getElectrogramX</w:t>
      </w:r>
      <w:proofErr w:type="spellEnd"/>
      <w:r w:rsidRPr="0040443C">
        <w:rPr>
          <w:rFonts w:ascii="Courier" w:hAnsi="Courier"/>
        </w:rPr>
        <w:t>(</w:t>
      </w:r>
      <w:proofErr w:type="gramEnd"/>
      <w:r w:rsidRPr="0040443C">
        <w:rPr>
          <w:rFonts w:ascii="Courier" w:hAnsi="Courier"/>
        </w:rPr>
        <w:t>…)</w:t>
      </w:r>
      <w:r>
        <w:t xml:space="preserve">, </w:t>
      </w:r>
      <w:proofErr w:type="spellStart"/>
      <w:r w:rsidRPr="0040443C">
        <w:rPr>
          <w:rFonts w:ascii="Courier" w:hAnsi="Courier"/>
        </w:rPr>
        <w:t>getEgmsAtPoints</w:t>
      </w:r>
      <w:proofErr w:type="spellEnd"/>
      <w:r w:rsidRPr="0040443C">
        <w:rPr>
          <w:rFonts w:ascii="Courier" w:hAnsi="Courier"/>
        </w:rPr>
        <w:t>(…)</w:t>
      </w:r>
      <w:r>
        <w:t xml:space="preserve"> and </w:t>
      </w:r>
      <w:proofErr w:type="spellStart"/>
      <w:r w:rsidRPr="0040443C">
        <w:rPr>
          <w:rFonts w:ascii="Courier" w:hAnsi="Courier"/>
        </w:rPr>
        <w:lastRenderedPageBreak/>
        <w:t>getWindowOfInterest</w:t>
      </w:r>
      <w:proofErr w:type="spellEnd"/>
      <w:r w:rsidRPr="0040443C">
        <w:rPr>
          <w:rFonts w:ascii="Courier" w:hAnsi="Courier"/>
        </w:rPr>
        <w:t>(…)</w:t>
      </w:r>
      <w:r>
        <w:t xml:space="preserve"> will be particularly useful for developing local activation time assignment functionality which is not yet part of </w:t>
      </w:r>
      <w:proofErr w:type="spellStart"/>
      <w:r>
        <w:t>OpenEP</w:t>
      </w:r>
      <w:proofErr w:type="spellEnd"/>
      <w:r>
        <w:t xml:space="preserve">. </w:t>
      </w:r>
    </w:p>
    <w:p w14:paraId="19AC16C9" w14:textId="1CAAF9FF" w:rsidR="00213126" w:rsidRDefault="00213126" w:rsidP="00213126">
      <w:r>
        <w:t xml:space="preserve">During the literature review process we identified </w:t>
      </w:r>
      <w:r w:rsidR="003B6481">
        <w:t>two</w:t>
      </w:r>
      <w:r>
        <w:t xml:space="preserve"> prior </w:t>
      </w:r>
      <w:r w:rsidR="003B6481">
        <w:t xml:space="preserve">studies </w:t>
      </w:r>
      <w:r w:rsidR="003B6481">
        <w:fldChar w:fldCharType="begin" w:fldLock="1"/>
      </w:r>
      <w:r w:rsidR="00AC2CF7">
        <w:instrText>ADDIN CSL_CITATION {"citationItems":[{"id":"ITEM-1","itemData":{"DOI":"10.1016/j.prro.2020.04.006","ISSN":"18798500","PMID":"32416269","abstract":"Purpose: A recent clinical trial has demonstrated that noninvasive radioablation (NIRA) has the potential to reduce recurrent ventricular tachycardia (VT) that is refractory to drugs and standard catheter ablation. Electroanatomic mapping (EAM) that would be useful for planning is obtained during catheter ablation, but incompatibility between EAM and DICOM formats required for radiation planning has impeded the use of existing catheter-based mapping to guide NIRA and is an important hurdle for its wider adoption. In this paper we define a process to facilitate the fusion of catheter-based EAM with DICOM imaging for radiation planning. Method and Materials: The raw data export of the CARTO3 EAM system (version 6.0.45.171, “.mesh” file) was processed with a MATLAB script to generate 3-dimensional (3D) visual took kit files containing X, Y, Z coordinates obtained during mapping and corresponding impedance, voltage, and other point-based information. The image could then be visualized with standard image processing software (3D Slicer) and the target outlined on the image surface. This structure was in turn converted to a DICOM image and fused with patient thoracic imaging using anatomic landmarks. Robustness of the workflow was assessed through implementation with a second magnetic resonance imaging based VT ablation planning system, ADAS-VT. Results: This process facilitated the fusion of EAM and DICOM imaging to inform selection of NIRA targets. The workflow was found to be robust and compatible with a second VT ablation planning system. Conclusions: The conversion of catheter-based EAM to a DICOM compatible format permits the fusion of images for radiation planning and provides an avenue for the wider application of NIRA. Further improvements in the compatibility of these imaging formats would be expected to improve quality and reproducibility of image fusion.","author":[{"dropping-particle":"","family":"Brett","given":"Christopher L.","non-dropping-particle":"","parse-names":false,"suffix":""},{"dropping-particle":"","family":"Cook","given":"Jason A.","non-dropping-particle":"","parse-names":false,"suffix":""},{"dropping-particle":"","family":"Aboud","given":"Asad A.","non-dropping-particle":"","parse-names":false,"suffix":""},{"dropping-particle":"","family":"Karim","given":"Rashed","non-dropping-particle":"","parse-names":false,"suffix":""},{"dropping-particle":"","family":"Shinohara","given":"Eric T.","non-dropping-particle":"","parse-names":false,"suffix":""},{"dropping-particle":"","family":"Stevenson","given":"William G.","non-dropping-particle":"","parse-names":false,"suffix":""}],"container-title":"Practical Radiation Oncology","id":"ITEM-1","issued":{"date-parts":[["2020"]]},"page":"1-5","publisher":"American Society for Radiation Oncology","title":"Novel Workflow for Conversion of Catheter-Based Electroanatomic Mapping to DICOM Imaging for Noninvasive Radioablation of Ventricular Tachycardia","type":"article-journal"},"uris":["http://www.mendeley.com/documents/?uuid=48ac7afe-d856-4363-a999-534dcc039a0b"]},{"id":"ITEM-2","itemData":{"DOI":"10.1111/jce.14660","ISBN":"0000000329","ISSN":"15408167","PMID":"32648343","abstract":"Introduction: Noninvasive ablative radiotherapy of cardiac arrhythmias (stereotactic ablative body radiation) has shown promising initial results. Precise targeting of the arrhythmogenic substrate is paramount to limit adverse effects to healthy myocardium, organs at risk, and cardiac implantable electronic devices. Using electroanatomic maps for treatment planning is technically challenging. Methods and Results: Using the free open-source 3D Slicer software platform we established a workflow for high-precision target definition based on electroanatomic maps. An import plug-in for 3D Slicer has been designed that reads electroanatomic maps generated with three mapping systems in widespread clinical use. Using our proposed workflow in a real-world patient case we were able to align the map to the computed tomography (CT) with a mean distance of 3.1 mm. Thus, points defined on the map were translated into CT space with high accuracy and a radiotherapy treatment volume was defined in CT space based on these map-derived points. Conclusion: We describe a novel high-precision target definition method for stereotactic ablation of cardiac arrhythmias. Multimodal integration of the electroanatomic map with the planning CT allows for highly accurate localization of previously identified electrophysiological features in CT space. It remains to be shown whether this novel planning workflow leads to superior ablation outcomes when compared with other approaches.","author":[{"dropping-particle":"","family":"Hohmann","given":"Stephan","non-dropping-particle":"","parse-names":false,"suffix":""},{"dropping-particle":"","family":"Henkenberens","given":"Christoph","non-dropping-particle":"","parse-names":false,"suffix":""},{"dropping-particle":"","family":"Zormpas","given":"Christos","non-dropping-particle":"","parse-names":false,"suffix":""},{"dropping-particle":"","family":"Christiansen","given":"Hans","non-dropping-particle":"","parse-names":false,"suffix":""},{"dropping-particle":"","family":"Bauersachs","given":"Johann","non-dropping-particle":"","parse-names":false,"suffix":""},{"dropping-particle":"","family":"Duncker","given":"David","non-dropping-particle":"","parse-names":false,"suffix":""},{"dropping-particle":"","family":"Veltmann","given":"Christian","non-dropping-particle":"","parse-names":false,"suffix":""}],"container-title":"Journal of Cardiovascular Electrophysiology","id":"ITEM-2","issue":"10","issued":{"date-parts":[["2020"]]},"page":"2689-2695","title":"A novel open-source software-based high-precision workflow for target definition in cardiac radioablation","type":"article-journal","volume":"31"},"uris":["http://www.mendeley.com/documents/?uuid=0e1304e3-6b55-47e7-a744-3ae0cd84e581"]}],"mendeley":{"formattedCitation":"(Brett et al., 2020; Hohmann et al., 2020)","plainTextFormattedCitation":"(Brett et al., 2020; Hohmann et al., 2020)","previouslyFormattedCitation":"(Brett et al., 2020; Hohmann et al., 2020)"},"properties":{"noteIndex":0},"schema":"https://github.com/citation-style-language/schema/raw/master/csl-citation.json"}</w:instrText>
      </w:r>
      <w:r w:rsidR="003B6481">
        <w:fldChar w:fldCharType="separate"/>
      </w:r>
      <w:r w:rsidR="003B6481" w:rsidRPr="003B6481">
        <w:rPr>
          <w:noProof/>
        </w:rPr>
        <w:t>(Brett et al., 2020; Hohmann et al., 2020)</w:t>
      </w:r>
      <w:r w:rsidR="003B6481">
        <w:fldChar w:fldCharType="end"/>
      </w:r>
      <w:r>
        <w:rPr>
          <w:vertAlign w:val="superscript"/>
        </w:rPr>
        <w:t xml:space="preserve"> </w:t>
      </w:r>
      <w:r>
        <w:t xml:space="preserve">that </w:t>
      </w:r>
      <w:r w:rsidR="003B6481">
        <w:t>have</w:t>
      </w:r>
      <w:r>
        <w:t xml:space="preserve"> made code available for accessing electroanatomic mapping data. In </w:t>
      </w:r>
      <w:r w:rsidR="003B6481">
        <w:t>these</w:t>
      </w:r>
      <w:r>
        <w:t xml:space="preserve"> study the system-created voltage maps alone were exported from clinical systems and a parser was written to import these data into the 3D Slicer programme. </w:t>
      </w:r>
      <w:r w:rsidR="003B6481">
        <w:t>These</w:t>
      </w:r>
      <w:r>
        <w:t xml:space="preserve"> c</w:t>
      </w:r>
      <w:r w:rsidR="003B6481">
        <w:t>omputer codes</w:t>
      </w:r>
      <w:r>
        <w:t xml:space="preserve"> do not therefore allow access to the full array of electroanatomic mapping/ablation data exposed by </w:t>
      </w:r>
      <w:proofErr w:type="spellStart"/>
      <w:r>
        <w:t>OpenEP</w:t>
      </w:r>
      <w:proofErr w:type="spellEnd"/>
      <w:r>
        <w:t xml:space="preserve">. Compared to this study the </w:t>
      </w:r>
      <w:proofErr w:type="spellStart"/>
      <w:r>
        <w:t>OpenEP</w:t>
      </w:r>
      <w:proofErr w:type="spellEnd"/>
      <w:r>
        <w:t xml:space="preserve"> framework provides access to all the individual datatypes available from the electroanatomic mapping platforms including raw electrogram data, ECG data, ablation data and interpolated electrophysiological maps and further provides methods to visualise and analyse mapping, electrogram and ablation data. In addition, through these series of analyses we have benchmarked and validated the current performance of the </w:t>
      </w:r>
      <w:proofErr w:type="spellStart"/>
      <w:r>
        <w:t>OpenEP</w:t>
      </w:r>
      <w:proofErr w:type="spellEnd"/>
      <w:r>
        <w:t xml:space="preserve"> framework and provided a roadmap for its future development.</w:t>
      </w:r>
    </w:p>
    <w:p w14:paraId="79F2D6C9" w14:textId="77777777" w:rsidR="00213126" w:rsidRDefault="00213126" w:rsidP="00213126">
      <w:pPr>
        <w:pStyle w:val="Heading2"/>
      </w:pPr>
      <w:r>
        <w:t>Limitations</w:t>
      </w:r>
    </w:p>
    <w:p w14:paraId="7426DEF1" w14:textId="77777777" w:rsidR="00213126" w:rsidRDefault="00213126" w:rsidP="00213126">
      <w:r>
        <w:t xml:space="preserve">The </w:t>
      </w:r>
      <w:proofErr w:type="spellStart"/>
      <w:r>
        <w:t>OpenEP</w:t>
      </w:r>
      <w:proofErr w:type="spellEnd"/>
      <w:r>
        <w:t xml:space="preserve"> framework will likely never be in a position where it could be considered ‘complete’. Indeed, electroanatomic mapping platforms are evolving all the time and the </w:t>
      </w:r>
      <w:proofErr w:type="spellStart"/>
      <w:r>
        <w:t>OpenEP</w:t>
      </w:r>
      <w:proofErr w:type="spellEnd"/>
      <w:r>
        <w:t xml:space="preserve"> framework will need to continually evolve in order to continue to represent contemporary data. However, we hope that by making the software available under an open-source licence we will encourage other researchers to become actively involved in this development process and we welcome them to do so. </w:t>
      </w:r>
    </w:p>
    <w:p w14:paraId="1243C28F" w14:textId="5EA08877" w:rsidR="00213126" w:rsidRDefault="00213126" w:rsidP="00213126">
      <w:r>
        <w:t xml:space="preserve">Based on our experience during the years of developing this framework, this code is entirely based on the </w:t>
      </w:r>
      <w:proofErr w:type="spellStart"/>
      <w:r>
        <w:t>Matlab</w:t>
      </w:r>
      <w:proofErr w:type="spellEnd"/>
      <w:r>
        <w:t xml:space="preserve"> software. This is a limitation which necessitates access to a </w:t>
      </w:r>
      <w:proofErr w:type="spellStart"/>
      <w:r>
        <w:t>Matlab</w:t>
      </w:r>
      <w:proofErr w:type="spellEnd"/>
      <w:r>
        <w:t xml:space="preserve"> executable in order to run the code. Whilst many researchers will have access to </w:t>
      </w:r>
      <w:proofErr w:type="spellStart"/>
      <w:r>
        <w:t>Matlab</w:t>
      </w:r>
      <w:proofErr w:type="spellEnd"/>
      <w:r>
        <w:t xml:space="preserve"> through their institution, this is not ubiquitous and may limit use of the code. One proposal within the roadmap for development is to create a standalone version of the platform which can be used with only the </w:t>
      </w:r>
      <w:proofErr w:type="spellStart"/>
      <w:r>
        <w:t>Matlab</w:t>
      </w:r>
      <w:proofErr w:type="spellEnd"/>
      <w:r>
        <w:t xml:space="preserve"> runtime environment which does not require a licence to access whilst a further development </w:t>
      </w:r>
      <w:r w:rsidR="00B54EF2">
        <w:t>could</w:t>
      </w:r>
      <w:r>
        <w:t xml:space="preserve"> modify the </w:t>
      </w:r>
      <w:proofErr w:type="spellStart"/>
      <w:r>
        <w:t>OpenEP</w:t>
      </w:r>
      <w:proofErr w:type="spellEnd"/>
      <w:r>
        <w:t xml:space="preserve"> framework</w:t>
      </w:r>
      <w:r w:rsidR="00B54EF2">
        <w:t xml:space="preserve"> </w:t>
      </w:r>
      <w:r>
        <w:t>to be able to use the open-source Octave platform.</w:t>
      </w:r>
      <w:r w:rsidR="00B54EF2">
        <w:t xml:space="preserve"> A more extensive refactoring to use Python, instead, would be more involved but likely lead to significant advantages in terms of usability and extensibility and is under active consideration.</w:t>
      </w:r>
    </w:p>
    <w:p w14:paraId="4C8B96EE" w14:textId="36AF744D" w:rsidR="00213126" w:rsidRDefault="00A87093" w:rsidP="00213126">
      <w:r>
        <w:t>The</w:t>
      </w:r>
      <w:r w:rsidR="00213126">
        <w:t xml:space="preserve"> literature review performed here highlighted a number of additional functionalities that may be useful for certain contemporary studies. Amongst these we have prioritised segmental analysis of the atria and ventricles as key targets and included these within the roadmap for development. However, to complete segmental analysis will currently require code functionality that is not currently available within </w:t>
      </w:r>
      <w:proofErr w:type="spellStart"/>
      <w:r w:rsidR="00213126">
        <w:t>OpenEP</w:t>
      </w:r>
      <w:proofErr w:type="spellEnd"/>
      <w:r w:rsidR="00213126">
        <w:t xml:space="preserve"> and will need to be developed.</w:t>
      </w:r>
    </w:p>
    <w:p w14:paraId="6978CE13" w14:textId="40B8EBF1" w:rsidR="00A87093" w:rsidRDefault="006A71BE" w:rsidP="00213126">
      <w:r>
        <w:t>The</w:t>
      </w:r>
      <w:r w:rsidR="00A87093">
        <w:t xml:space="preserve"> opportunity exists to improve the visualisation functions within </w:t>
      </w:r>
      <w:proofErr w:type="spellStart"/>
      <w:r w:rsidR="00A87093">
        <w:t>OpenEP</w:t>
      </w:r>
      <w:proofErr w:type="spellEnd"/>
      <w:r w:rsidR="00A87093">
        <w:t xml:space="preserve">. For example, the rendering of local activation time maps using the </w:t>
      </w:r>
      <w:proofErr w:type="spellStart"/>
      <w:r w:rsidR="00A87093" w:rsidRPr="0040443C">
        <w:rPr>
          <w:rFonts w:ascii="Courier" w:hAnsi="Courier"/>
        </w:rPr>
        <w:t>drawMap.m</w:t>
      </w:r>
      <w:proofErr w:type="spellEnd"/>
      <w:r w:rsidR="00A87093">
        <w:t xml:space="preserve"> function has currently been </w:t>
      </w:r>
      <w:r w:rsidR="00A87093">
        <w:lastRenderedPageBreak/>
        <w:t>implemented to closely resemble the maps created by the clinical electroanatomic mapping systems, using a modification of the rainbow colour map. However, it is recognised that the rainbow colour map has several limitations</w:t>
      </w:r>
      <w:r w:rsidR="00AC2CF7">
        <w:t>.</w:t>
      </w:r>
      <w:r w:rsidR="00AC2CF7">
        <w:fldChar w:fldCharType="begin" w:fldLock="1"/>
      </w:r>
      <w:r w:rsidR="004C5E7E">
        <w:instrText>ADDIN CSL_CITATION {"citationItems":[{"id":"ITEM-1","itemData":{"DOI":"10.1109/MCG.2007.323435","ISSN":"02721716","PMID":"17388198","abstract":"Despite much published research on its deficiencies, the rainbow color map is prevalent in the visualization community. The authors present survey results showing that the rainbow color map continues to appear in more than half of the relevant papers in IEEE Visualization Conference proceedings. Its use is encouraged by its selection as the default color map used in most visualization toolkits that the authors inspected. The visualization community must do better. In this article, the authors reiterate the characteristics that make the rainbow color map a poor choice, provide examples that clearly illustrate these deficiencies even on simple data sets, and recommend better color maps for several categories of display. © 2007 IEEE.","author":[{"dropping-particle":"","family":"Borland","given":"David","non-dropping-particle":"","parse-names":false,"suffix":""},{"dropping-particle":"","family":"Taylor","given":"Russell M.","non-dropping-particle":"","parse-names":false,"suffix":""}],"container-title":"IEEE Computer Graphics and Applications","id":"ITEM-1","issue":"2","issued":{"date-parts":[["2007"]]},"page":"14-17","title":"Rainbow color map (still) considered harmful","type":"article-journal","volume":"27"},"uris":["http://www.mendeley.com/documents/?uuid=02feb25b-96a1-4053-a557-518ae204d79f"]}],"mendeley":{"formattedCitation":"(Borland and Taylor, 2007)","plainTextFormattedCitation":"(Borland and Taylor, 2007)","previouslyFormattedCitation":"(Borland and Taylor, 2007)"},"properties":{"noteIndex":0},"schema":"https://github.com/citation-style-language/schema/raw/master/csl-citation.json"}</w:instrText>
      </w:r>
      <w:r w:rsidR="00AC2CF7">
        <w:fldChar w:fldCharType="separate"/>
      </w:r>
      <w:r w:rsidR="00AC2CF7" w:rsidRPr="00AC2CF7">
        <w:rPr>
          <w:noProof/>
        </w:rPr>
        <w:t>(Borland and Taylor, 2007)</w:t>
      </w:r>
      <w:r w:rsidR="00AC2CF7">
        <w:fldChar w:fldCharType="end"/>
      </w:r>
      <w:r w:rsidR="00AC2CF7">
        <w:t xml:space="preserve"> I</w:t>
      </w:r>
      <w:r w:rsidR="00A87093">
        <w:t xml:space="preserve">mprovements such as </w:t>
      </w:r>
      <w:r w:rsidR="00AC2CF7">
        <w:t xml:space="preserve">rendering </w:t>
      </w:r>
      <w:r w:rsidR="00A87093">
        <w:t xml:space="preserve">isochronal </w:t>
      </w:r>
      <w:r w:rsidR="00AC2CF7">
        <w:t>lines could improve the representation of continuous scale data such as local activation times. This objective has been included in the Roadmap for Development.</w:t>
      </w:r>
    </w:p>
    <w:p w14:paraId="2229FE08" w14:textId="77777777" w:rsidR="00213126" w:rsidRDefault="00213126" w:rsidP="00213126">
      <w:pPr>
        <w:pStyle w:val="Heading2"/>
      </w:pPr>
      <w:r>
        <w:t>Conclusions</w:t>
      </w:r>
    </w:p>
    <w:p w14:paraId="40033D04" w14:textId="77777777" w:rsidR="00213126" w:rsidRDefault="00213126" w:rsidP="00213126">
      <w:r>
        <w:t xml:space="preserve">In conclusion here we present the </w:t>
      </w:r>
      <w:proofErr w:type="spellStart"/>
      <w:r>
        <w:t>OpenEP</w:t>
      </w:r>
      <w:proofErr w:type="spellEnd"/>
      <w:r>
        <w:t xml:space="preserve"> framework for electrophysiology research, demonstrate its space-efficiency, benchmark its performance and validate the data exposed by the framework. By making the source code available to the research community along with a supporting website we hope that the </w:t>
      </w:r>
      <w:proofErr w:type="spellStart"/>
      <w:r>
        <w:t>OpenEP</w:t>
      </w:r>
      <w:proofErr w:type="spellEnd"/>
      <w:r>
        <w:t xml:space="preserve"> framework can provide the simultaneous benefits of lowering the barriers to conducting contemporary electrophysiology research whilst standardising the approach to many of the core data processing functions required to conduct such research.</w:t>
      </w:r>
    </w:p>
    <w:p w14:paraId="6926FD05" w14:textId="77777777" w:rsidR="00B61859" w:rsidRDefault="00B61859">
      <w:pPr>
        <w:spacing w:after="0" w:line="240" w:lineRule="auto"/>
        <w:jc w:val="left"/>
        <w:rPr>
          <w:rFonts w:eastAsiaTheme="majorEastAsia" w:cstheme="majorBidi"/>
          <w:b/>
          <w:color w:val="000000" w:themeColor="text1"/>
          <w:sz w:val="32"/>
          <w:szCs w:val="32"/>
        </w:rPr>
      </w:pPr>
      <w:r>
        <w:br w:type="page"/>
      </w:r>
    </w:p>
    <w:p w14:paraId="08D4EC25" w14:textId="77777777" w:rsidR="005B1044" w:rsidRDefault="005B1044" w:rsidP="005B1044">
      <w:pPr>
        <w:pStyle w:val="Heading1"/>
      </w:pPr>
      <w:r>
        <w:lastRenderedPageBreak/>
        <w:t>Acknowledgements</w:t>
      </w:r>
    </w:p>
    <w:p w14:paraId="60B8A17F" w14:textId="2B4B285D" w:rsidR="005B1044" w:rsidRPr="007F0B03" w:rsidRDefault="00377507" w:rsidP="007F0B03">
      <w:r>
        <w:t>Dr Williams acknowledges</w:t>
      </w:r>
      <w:r w:rsidR="005B1044">
        <w:t xml:space="preserve"> support</w:t>
      </w:r>
      <w:r>
        <w:t xml:space="preserve"> from</w:t>
      </w:r>
      <w:r w:rsidR="005B1044">
        <w:t xml:space="preserve"> the British Heart Foundation (FS/20/26/34952</w:t>
      </w:r>
      <w:r w:rsidR="006C0D54">
        <w:t xml:space="preserve"> and </w:t>
      </w:r>
      <w:r w:rsidR="006C0D54" w:rsidRPr="006C0D54">
        <w:t>PG/19/44/34368</w:t>
      </w:r>
      <w:r w:rsidR="006C0D54">
        <w:t>) and the Academy of Medical Sciences (</w:t>
      </w:r>
      <w:r w:rsidR="00E95462">
        <w:t>SGCL017\1053</w:t>
      </w:r>
      <w:r w:rsidR="006C0D54">
        <w:t>)</w:t>
      </w:r>
      <w:r>
        <w:t>. Dr Roney acknowledges support from the</w:t>
      </w:r>
      <w:r w:rsidR="007F0B03">
        <w:t xml:space="preserve"> Medical Research Council (MR/S015086/1)</w:t>
      </w:r>
      <w:r>
        <w:t xml:space="preserve">. Professor </w:t>
      </w:r>
      <w:proofErr w:type="spellStart"/>
      <w:r>
        <w:t>Niederer</w:t>
      </w:r>
      <w:proofErr w:type="spellEnd"/>
      <w:r>
        <w:t xml:space="preserve"> </w:t>
      </w:r>
      <w:r w:rsidRPr="00377507">
        <w:t>acknowledges support from the UK Engineering and Physical Sciences Research Council (EP/M012492/1, NS/A000049/1, and EP/P01268X/1), the British Heart Foundation (PG/15/91/31812, PG/13/37/30280, RG/20/4/34803), National Institutes of Health (NIH R01-HL152256), European Research Council (ERC PREDICT-HF 864055)</w:t>
      </w:r>
      <w:r w:rsidR="006C0D54">
        <w:t xml:space="preserve">. This work was supported </w:t>
      </w:r>
      <w:r w:rsidR="005B1044">
        <w:t xml:space="preserve">by the </w:t>
      </w:r>
      <w:proofErr w:type="spellStart"/>
      <w:r w:rsidR="005B1044">
        <w:t>Wellcome</w:t>
      </w:r>
      <w:proofErr w:type="spellEnd"/>
      <w:r w:rsidR="005B1044">
        <w:t>/EPSRC Centre for Medical Engineering (WT203148/Z/16/Z)</w:t>
      </w:r>
      <w:r w:rsidR="00E95462">
        <w:t xml:space="preserve"> at King’s College London</w:t>
      </w:r>
      <w:r w:rsidR="005B1044">
        <w:t>.</w:t>
      </w:r>
      <w:r w:rsidR="005B1044">
        <w:br w:type="page"/>
      </w:r>
    </w:p>
    <w:p w14:paraId="5748A090" w14:textId="58B2DC41" w:rsidR="00213126" w:rsidRDefault="00213126" w:rsidP="00213126">
      <w:pPr>
        <w:pStyle w:val="Heading1"/>
      </w:pPr>
      <w:r>
        <w:lastRenderedPageBreak/>
        <w:t>Contribution to the Field Statement</w:t>
      </w:r>
    </w:p>
    <w:p w14:paraId="1844938D" w14:textId="77777777" w:rsidR="00213126" w:rsidRDefault="00213126" w:rsidP="00213126">
      <w:r>
        <w:t xml:space="preserve">Cardiac arrhythmias are a major cause of morbidity and mortality including stroke, heart failure, hospitalisation and sudden death. Despite advances in the treatment of arrhythmias, the mechanisms underlying three major arrhythmias (atrial fibrillation, ventricular tachycardia and ventricular fibrillation) are poorly understood; and treatments for patients with these conditions are therefore limited in efficacy. </w:t>
      </w:r>
    </w:p>
    <w:p w14:paraId="19DD3688" w14:textId="040D8D6F" w:rsidR="00213126" w:rsidRDefault="00213126" w:rsidP="00213126">
      <w:r>
        <w:t xml:space="preserve">Significant research effort is therefore directed toward electrophysiology research. This research involves complex analysis </w:t>
      </w:r>
      <w:r w:rsidR="00634B86">
        <w:t xml:space="preserve">of data from electroanatomic mapping systems </w:t>
      </w:r>
      <w:r>
        <w:t>which is usually performed on a study-by-study basis, with bespoke computer software often written and re-written for every study. This presents a significant barrier to entry to research; is costly; and limits reproducibility of experiments.</w:t>
      </w:r>
    </w:p>
    <w:p w14:paraId="5681BC9F" w14:textId="4DDB6243" w:rsidR="00213126" w:rsidRDefault="00213126" w:rsidP="00213126">
      <w:proofErr w:type="spellStart"/>
      <w:r>
        <w:t>OpenEP</w:t>
      </w:r>
      <w:proofErr w:type="spellEnd"/>
      <w:r>
        <w:t xml:space="preserve"> is a software platform developed over the past 10 years which performs 95% of the core data analysis techniques required for contemporary research</w:t>
      </w:r>
      <w:r w:rsidR="00634B86">
        <w:t xml:space="preserve"> using data from electroanatomic mapping systems</w:t>
      </w:r>
      <w:r>
        <w:t>. It is designed to be extensible and permit the addition of future analysis techniques. It is fully documented and available under the open-</w:t>
      </w:r>
      <w:proofErr w:type="spellStart"/>
      <w:r>
        <w:t>sourcce</w:t>
      </w:r>
      <w:proofErr w:type="spellEnd"/>
      <w:r>
        <w:t xml:space="preserve"> Apache Licence 2.0.</w:t>
      </w:r>
    </w:p>
    <w:p w14:paraId="0F7D0461" w14:textId="68F75BE0" w:rsidR="00213126" w:rsidRDefault="00213126" w:rsidP="00CA1ACE">
      <w:r>
        <w:t xml:space="preserve">By making the source code available to the research community we hope that the </w:t>
      </w:r>
      <w:proofErr w:type="spellStart"/>
      <w:r>
        <w:t>OpenEP</w:t>
      </w:r>
      <w:proofErr w:type="spellEnd"/>
      <w:r>
        <w:t xml:space="preserve"> framework can provide the simultaneous benefits of lowering the barriers to conducting electrophysiology research whilst standardising the approach to many of the core data processing functions required to conduct such research.</w:t>
      </w:r>
      <w:r>
        <w:br w:type="page"/>
      </w:r>
    </w:p>
    <w:p w14:paraId="26BFBF3C" w14:textId="77777777" w:rsidR="00213126" w:rsidRDefault="00213126" w:rsidP="00B61859">
      <w:pPr>
        <w:pStyle w:val="Heading1"/>
      </w:pPr>
      <w:r>
        <w:lastRenderedPageBreak/>
        <w:t>Figure Captions</w:t>
      </w:r>
    </w:p>
    <w:p w14:paraId="251822BC" w14:textId="1C81D9FA" w:rsidR="00213126" w:rsidRPr="008B2EF7" w:rsidRDefault="00213126" w:rsidP="00627BDF">
      <w:bookmarkStart w:id="0" w:name="_Ref58994989"/>
      <w:r w:rsidRPr="00867848">
        <w:rPr>
          <w:b/>
          <w:bCs/>
        </w:rPr>
        <w:t xml:space="preserve">Figure </w:t>
      </w:r>
      <w:r w:rsidRPr="00867848">
        <w:rPr>
          <w:b/>
          <w:bCs/>
        </w:rPr>
        <w:fldChar w:fldCharType="begin"/>
      </w:r>
      <w:r w:rsidRPr="00867848">
        <w:rPr>
          <w:b/>
          <w:bCs/>
        </w:rPr>
        <w:instrText xml:space="preserve"> SEQ Figure \* ARABIC </w:instrText>
      </w:r>
      <w:r w:rsidRPr="00867848">
        <w:rPr>
          <w:b/>
          <w:bCs/>
        </w:rPr>
        <w:fldChar w:fldCharType="separate"/>
      </w:r>
      <w:r w:rsidR="0040443C">
        <w:rPr>
          <w:b/>
          <w:bCs/>
          <w:noProof/>
        </w:rPr>
        <w:t>1</w:t>
      </w:r>
      <w:r w:rsidRPr="00867848">
        <w:rPr>
          <w:b/>
          <w:bCs/>
        </w:rPr>
        <w:fldChar w:fldCharType="end"/>
      </w:r>
      <w:bookmarkEnd w:id="0"/>
      <w:r w:rsidRPr="00867848">
        <w:rPr>
          <w:b/>
          <w:bCs/>
        </w:rPr>
        <w:t xml:space="preserve">. </w:t>
      </w:r>
      <w:proofErr w:type="spellStart"/>
      <w:r w:rsidRPr="00867848">
        <w:rPr>
          <w:b/>
          <w:bCs/>
        </w:rPr>
        <w:t>OpenEP</w:t>
      </w:r>
      <w:proofErr w:type="spellEnd"/>
      <w:r w:rsidRPr="00867848">
        <w:rPr>
          <w:b/>
          <w:bCs/>
        </w:rPr>
        <w:t xml:space="preserve"> Overview</w:t>
      </w:r>
      <w:r>
        <w:t xml:space="preserve">. The core components of </w:t>
      </w:r>
      <w:proofErr w:type="spellStart"/>
      <w:r>
        <w:t>OpenEP</w:t>
      </w:r>
      <w:proofErr w:type="spellEnd"/>
      <w:r>
        <w:t xml:space="preserve"> are the data parsing modules (used to parse data from proprietary clinical system formats) and the data analytics modules (used to access and analyse the data stored in </w:t>
      </w:r>
      <w:proofErr w:type="spellStart"/>
      <w:r>
        <w:t>OpenEP</w:t>
      </w:r>
      <w:proofErr w:type="spellEnd"/>
      <w:r>
        <w:t xml:space="preserve"> format).</w:t>
      </w:r>
    </w:p>
    <w:p w14:paraId="29F95A25" w14:textId="77777777" w:rsidR="00213126" w:rsidRPr="00B1322C" w:rsidRDefault="00213126" w:rsidP="00627BDF"/>
    <w:p w14:paraId="5E03FABB" w14:textId="5721C40A" w:rsidR="00213126" w:rsidRDefault="00213126" w:rsidP="00627BDF">
      <w:bookmarkStart w:id="1" w:name="_Ref55915776"/>
      <w:r w:rsidRPr="00200BE9">
        <w:rPr>
          <w:b/>
        </w:rPr>
        <w:t xml:space="preserve">Figure </w:t>
      </w:r>
      <w:r w:rsidRPr="00200BE9">
        <w:rPr>
          <w:b/>
        </w:rPr>
        <w:fldChar w:fldCharType="begin"/>
      </w:r>
      <w:r w:rsidRPr="00200BE9">
        <w:rPr>
          <w:b/>
        </w:rPr>
        <w:instrText xml:space="preserve"> SEQ Figure \* ARABIC </w:instrText>
      </w:r>
      <w:r w:rsidRPr="00200BE9">
        <w:rPr>
          <w:b/>
        </w:rPr>
        <w:fldChar w:fldCharType="separate"/>
      </w:r>
      <w:r w:rsidR="0040443C">
        <w:rPr>
          <w:b/>
          <w:noProof/>
        </w:rPr>
        <w:t>2</w:t>
      </w:r>
      <w:r w:rsidRPr="00200BE9">
        <w:rPr>
          <w:b/>
        </w:rPr>
        <w:fldChar w:fldCharType="end"/>
      </w:r>
      <w:bookmarkEnd w:id="1"/>
      <w:r w:rsidRPr="00200BE9">
        <w:rPr>
          <w:b/>
        </w:rPr>
        <w:t>.</w:t>
      </w:r>
      <w:r>
        <w:t xml:space="preserve"> </w:t>
      </w:r>
      <w:r w:rsidRPr="00156A5F">
        <w:rPr>
          <w:b/>
          <w:bCs/>
        </w:rPr>
        <w:t>A</w:t>
      </w:r>
      <w:r>
        <w:t xml:space="preserve"> – Import time was proportional to the number of mapping points in the clinical dataset. </w:t>
      </w:r>
      <w:r w:rsidRPr="00F90573">
        <w:rPr>
          <w:b/>
          <w:bCs/>
        </w:rPr>
        <w:t>B</w:t>
      </w:r>
      <w:r>
        <w:t xml:space="preserve"> - </w:t>
      </w:r>
      <w:r w:rsidRPr="00F90573">
        <w:t>Storage</w:t>
      </w:r>
      <w:r>
        <w:t xml:space="preserve"> space required for electroanatomic mapping data was 3 orders of magnitude smaller than the uncompressed Carto data and 2 orders of magnitude less than the compressed Carto data.</w:t>
      </w:r>
    </w:p>
    <w:p w14:paraId="59B6C81A" w14:textId="77777777" w:rsidR="00213126" w:rsidRDefault="00213126" w:rsidP="00627BDF"/>
    <w:p w14:paraId="54276410" w14:textId="571B2A21" w:rsidR="00213126" w:rsidRDefault="00213126" w:rsidP="00627BDF">
      <w:pPr>
        <w:rPr>
          <w:rFonts w:eastAsiaTheme="majorEastAsia" w:cstheme="majorBidi"/>
          <w:u w:val="single"/>
        </w:rPr>
      </w:pPr>
      <w:bookmarkStart w:id="2" w:name="_Ref56420736"/>
      <w:r w:rsidRPr="005D629E">
        <w:rPr>
          <w:b/>
        </w:rPr>
        <w:t xml:space="preserve">Figure </w:t>
      </w:r>
      <w:r w:rsidRPr="005D629E">
        <w:rPr>
          <w:b/>
        </w:rPr>
        <w:fldChar w:fldCharType="begin"/>
      </w:r>
      <w:r w:rsidRPr="005D629E">
        <w:rPr>
          <w:b/>
        </w:rPr>
        <w:instrText xml:space="preserve"> SEQ Figure \* ARABIC </w:instrText>
      </w:r>
      <w:r w:rsidRPr="005D629E">
        <w:rPr>
          <w:b/>
        </w:rPr>
        <w:fldChar w:fldCharType="separate"/>
      </w:r>
      <w:r w:rsidR="0040443C">
        <w:rPr>
          <w:b/>
          <w:noProof/>
        </w:rPr>
        <w:t>3</w:t>
      </w:r>
      <w:r w:rsidRPr="005D629E">
        <w:rPr>
          <w:b/>
        </w:rPr>
        <w:fldChar w:fldCharType="end"/>
      </w:r>
      <w:bookmarkEnd w:id="2"/>
      <w:r w:rsidRPr="005D629E">
        <w:rPr>
          <w:b/>
        </w:rPr>
        <w:t>.</w:t>
      </w:r>
      <w:r>
        <w:t xml:space="preserve"> Geometric measurements compared between the original electroanatomic mapping system and </w:t>
      </w:r>
      <w:proofErr w:type="spellStart"/>
      <w:r>
        <w:t>OpenEP</w:t>
      </w:r>
      <w:proofErr w:type="spellEnd"/>
      <w:r>
        <w:t xml:space="preserve">. </w:t>
      </w:r>
      <w:r>
        <w:rPr>
          <w:b/>
          <w:bCs/>
        </w:rPr>
        <w:t>A</w:t>
      </w:r>
      <w:r>
        <w:t xml:space="preserve"> – Number of mapping points present in the original Carto map and subsequently identified by </w:t>
      </w:r>
      <w:proofErr w:type="spellStart"/>
      <w:r>
        <w:t>OpenEP</w:t>
      </w:r>
      <w:proofErr w:type="spellEnd"/>
      <w:r>
        <w:t xml:space="preserve">, using </w:t>
      </w:r>
      <w:r w:rsidRPr="001E5DB2">
        <w:rPr>
          <w:rStyle w:val="SubtleEmphasis"/>
        </w:rPr>
        <w:t>getNumPts(userdata)</w:t>
      </w:r>
      <w:r>
        <w:t xml:space="preserve">. </w:t>
      </w:r>
      <w:r>
        <w:rPr>
          <w:b/>
          <w:bCs/>
        </w:rPr>
        <w:t>B</w:t>
      </w:r>
      <w:r>
        <w:t xml:space="preserve"> – Chamber volume measured by Carto and </w:t>
      </w:r>
      <w:proofErr w:type="spellStart"/>
      <w:r>
        <w:t>OopenEP</w:t>
      </w:r>
      <w:proofErr w:type="spellEnd"/>
      <w:r>
        <w:t xml:space="preserve">, using </w:t>
      </w:r>
      <w:r w:rsidRPr="001E5DB2">
        <w:rPr>
          <w:rStyle w:val="SubtleEmphasis"/>
        </w:rPr>
        <w:t>getVolume(userdata)</w:t>
      </w:r>
      <w:r>
        <w:t xml:space="preserve">. </w:t>
      </w:r>
      <w:r>
        <w:rPr>
          <w:b/>
          <w:bCs/>
        </w:rPr>
        <w:t>C</w:t>
      </w:r>
      <w:r>
        <w:t xml:space="preserve"> – Chamber area measured by Carto and </w:t>
      </w:r>
      <w:proofErr w:type="spellStart"/>
      <w:r>
        <w:t>OpenEP</w:t>
      </w:r>
      <w:proofErr w:type="spellEnd"/>
      <w:r>
        <w:t xml:space="preserve">, using </w:t>
      </w:r>
      <w:r w:rsidRPr="001E5DB2">
        <w:rPr>
          <w:rStyle w:val="SubtleEmphasis"/>
        </w:rPr>
        <w:t>getArea(usredata, ‘method’, ‘nofill’)</w:t>
      </w:r>
      <w:r>
        <w:t xml:space="preserve">.  </w:t>
      </w:r>
      <w:r>
        <w:rPr>
          <w:b/>
          <w:bCs/>
        </w:rPr>
        <w:t>D</w:t>
      </w:r>
      <w:r>
        <w:t xml:space="preserve"> – Chamber area measured by Carto and </w:t>
      </w:r>
      <w:proofErr w:type="spellStart"/>
      <w:r>
        <w:t>OpenEP</w:t>
      </w:r>
      <w:proofErr w:type="spellEnd"/>
      <w:r>
        <w:t xml:space="preserve">, using </w:t>
      </w:r>
      <w:r w:rsidRPr="001E5DB2">
        <w:rPr>
          <w:rStyle w:val="SubtleEmphasis"/>
        </w:rPr>
        <w:t>getArea(usredata, ‘method’, ‘fill)</w:t>
      </w:r>
      <w:r>
        <w:t>.</w:t>
      </w:r>
    </w:p>
    <w:p w14:paraId="063692C2" w14:textId="77777777" w:rsidR="00213126" w:rsidRDefault="00213126" w:rsidP="00627BDF"/>
    <w:p w14:paraId="76A8C0E4" w14:textId="443AAC75" w:rsidR="00213126" w:rsidRDefault="00213126" w:rsidP="00627BDF">
      <w:bookmarkStart w:id="3" w:name="_Ref56420912"/>
      <w:r w:rsidRPr="005D629E">
        <w:rPr>
          <w:b/>
        </w:rPr>
        <w:t xml:space="preserve">Figure </w:t>
      </w:r>
      <w:r w:rsidRPr="00200BE9">
        <w:rPr>
          <w:b/>
        </w:rPr>
        <w:fldChar w:fldCharType="begin"/>
      </w:r>
      <w:r w:rsidRPr="00200BE9">
        <w:rPr>
          <w:b/>
        </w:rPr>
        <w:instrText xml:space="preserve"> SEQ Figure \* ARABIC </w:instrText>
      </w:r>
      <w:r w:rsidRPr="00200BE9">
        <w:rPr>
          <w:b/>
        </w:rPr>
        <w:fldChar w:fldCharType="separate"/>
      </w:r>
      <w:r w:rsidR="0040443C">
        <w:rPr>
          <w:b/>
          <w:noProof/>
        </w:rPr>
        <w:t>4</w:t>
      </w:r>
      <w:r w:rsidRPr="00200BE9">
        <w:rPr>
          <w:b/>
        </w:rPr>
        <w:fldChar w:fldCharType="end"/>
      </w:r>
      <w:bookmarkEnd w:id="3"/>
      <w:r w:rsidRPr="005D629E">
        <w:rPr>
          <w:b/>
          <w:bCs/>
        </w:rPr>
        <w:t>.</w:t>
      </w:r>
      <w:r>
        <w:t xml:space="preserve"> Local activation time mapping. </w:t>
      </w:r>
      <w:r>
        <w:rPr>
          <w:b/>
          <w:bCs/>
        </w:rPr>
        <w:t>A</w:t>
      </w:r>
      <w:r>
        <w:t xml:space="preserve"> – Activation maps exported from the Carto electroanatomic mapping platform. </w:t>
      </w:r>
      <w:r>
        <w:rPr>
          <w:b/>
          <w:bCs/>
        </w:rPr>
        <w:t>B</w:t>
      </w:r>
      <w:r>
        <w:t xml:space="preserve"> – Activation map created by </w:t>
      </w:r>
      <w:proofErr w:type="spellStart"/>
      <w:r>
        <w:t>OpenEP</w:t>
      </w:r>
      <w:proofErr w:type="spellEnd"/>
      <w:r>
        <w:t xml:space="preserve"> using the Carto electroanatomic mapping data. </w:t>
      </w:r>
      <w:proofErr w:type="spellStart"/>
      <w:r>
        <w:t>OpenEP</w:t>
      </w:r>
      <w:proofErr w:type="spellEnd"/>
      <w:r>
        <w:t xml:space="preserve"> command: </w:t>
      </w:r>
      <w:r w:rsidRPr="001E5DB2">
        <w:rPr>
          <w:rStyle w:val="SubtleEmphasis"/>
        </w:rPr>
        <w:t>drawMap(userdata, 'type', 'act', 'orientation', 'ap')</w:t>
      </w:r>
      <w:r>
        <w:t xml:space="preserve">. </w:t>
      </w:r>
      <w:r>
        <w:rPr>
          <w:b/>
          <w:bCs/>
        </w:rPr>
        <w:t>C</w:t>
      </w:r>
      <w:r>
        <w:t xml:space="preserve"> – Activation map created by </w:t>
      </w:r>
      <w:proofErr w:type="spellStart"/>
      <w:r>
        <w:t>OpenEP</w:t>
      </w:r>
      <w:proofErr w:type="spellEnd"/>
      <w:r>
        <w:t xml:space="preserve"> using the Carto electrogram data. </w:t>
      </w:r>
      <w:proofErr w:type="spellStart"/>
      <w:r>
        <w:t>OpenEP</w:t>
      </w:r>
      <w:proofErr w:type="spellEnd"/>
      <w:r>
        <w:t xml:space="preserve"> command: </w:t>
      </w:r>
      <w:r w:rsidRPr="001E5DB2">
        <w:rPr>
          <w:rStyle w:val="SubtleEmphasis"/>
        </w:rPr>
        <w:t>interpData = generateInterpData(userdata, 'lat-map'); drawMap(userdata, 'type', 'act', 'orientation', 'ap', 'data', interpData)</w:t>
      </w:r>
      <w:r>
        <w:t>.</w:t>
      </w:r>
      <w:r w:rsidR="00A316E2">
        <w:t xml:space="preserve"> AP = antero-posterior; PA = </w:t>
      </w:r>
      <w:proofErr w:type="spellStart"/>
      <w:r w:rsidR="00A316E2">
        <w:t>postero</w:t>
      </w:r>
      <w:proofErr w:type="spellEnd"/>
      <w:r w:rsidR="00A316E2">
        <w:t>-anterior; LAT = local activation time.</w:t>
      </w:r>
    </w:p>
    <w:p w14:paraId="42FCCF4F" w14:textId="77777777" w:rsidR="00213126" w:rsidRDefault="00213126" w:rsidP="00627BDF"/>
    <w:p w14:paraId="77A9D380" w14:textId="6DA14190" w:rsidR="00213126" w:rsidRDefault="00213126" w:rsidP="00627BDF">
      <w:bookmarkStart w:id="4" w:name="_Ref56611858"/>
      <w:r w:rsidRPr="005D629E">
        <w:rPr>
          <w:b/>
          <w:bCs/>
        </w:rPr>
        <w:t xml:space="preserve">Figure </w:t>
      </w:r>
      <w:r w:rsidRPr="005D629E">
        <w:rPr>
          <w:b/>
          <w:bCs/>
        </w:rPr>
        <w:fldChar w:fldCharType="begin"/>
      </w:r>
      <w:r w:rsidRPr="005D629E">
        <w:rPr>
          <w:b/>
          <w:bCs/>
        </w:rPr>
        <w:instrText xml:space="preserve"> SEQ Figure \* ARABIC </w:instrText>
      </w:r>
      <w:r w:rsidRPr="005D629E">
        <w:rPr>
          <w:b/>
          <w:bCs/>
        </w:rPr>
        <w:fldChar w:fldCharType="separate"/>
      </w:r>
      <w:r w:rsidR="0040443C">
        <w:rPr>
          <w:b/>
          <w:bCs/>
          <w:noProof/>
        </w:rPr>
        <w:t>5</w:t>
      </w:r>
      <w:r w:rsidRPr="005D629E">
        <w:rPr>
          <w:b/>
          <w:bCs/>
          <w:noProof/>
        </w:rPr>
        <w:fldChar w:fldCharType="end"/>
      </w:r>
      <w:bookmarkEnd w:id="4"/>
      <w:r w:rsidRPr="005D629E">
        <w:rPr>
          <w:b/>
          <w:bCs/>
        </w:rPr>
        <w:t>.</w:t>
      </w:r>
      <w:r>
        <w:t xml:space="preserve"> Quantification of </w:t>
      </w:r>
      <w:proofErr w:type="spellStart"/>
      <w:r>
        <w:t>OpenEP</w:t>
      </w:r>
      <w:proofErr w:type="spellEnd"/>
      <w:r>
        <w:t xml:space="preserve"> local activation time maps. </w:t>
      </w:r>
      <w:r w:rsidRPr="009B1987">
        <w:rPr>
          <w:b/>
          <w:bCs/>
        </w:rPr>
        <w:t>A</w:t>
      </w:r>
      <w:r>
        <w:t xml:space="preserve"> – Cross correlation matrix comparing Carto-defined total activation time with the six total activation time metrics available in </w:t>
      </w:r>
      <w:proofErr w:type="spellStart"/>
      <w:r>
        <w:t>OpenEP</w:t>
      </w:r>
      <w:proofErr w:type="spellEnd"/>
      <w:r>
        <w:t xml:space="preserve">. </w:t>
      </w:r>
      <w:r w:rsidRPr="009B1987">
        <w:rPr>
          <w:b/>
          <w:bCs/>
        </w:rPr>
        <w:t xml:space="preserve">B </w:t>
      </w:r>
      <w:r>
        <w:t xml:space="preserve">– Point-by-point comparison of Carto-defined local activation time and </w:t>
      </w:r>
      <w:proofErr w:type="spellStart"/>
      <w:r>
        <w:t>OpenEP</w:t>
      </w:r>
      <w:proofErr w:type="spellEnd"/>
      <w:r>
        <w:t>-defined local activation time maps.</w:t>
      </w:r>
    </w:p>
    <w:p w14:paraId="4923D27B" w14:textId="77777777" w:rsidR="00213126" w:rsidRDefault="00213126" w:rsidP="00627BDF"/>
    <w:p w14:paraId="7E4E919F" w14:textId="2EC4FEAC" w:rsidR="00213126" w:rsidRDefault="00213126" w:rsidP="00627BDF">
      <w:bookmarkStart w:id="5" w:name="_Ref56575451"/>
      <w:r w:rsidRPr="005D629E">
        <w:rPr>
          <w:b/>
          <w:bCs/>
        </w:rPr>
        <w:t xml:space="preserve">Figure </w:t>
      </w:r>
      <w:r w:rsidRPr="005D629E">
        <w:rPr>
          <w:b/>
          <w:bCs/>
        </w:rPr>
        <w:fldChar w:fldCharType="begin"/>
      </w:r>
      <w:r w:rsidRPr="005D629E">
        <w:rPr>
          <w:b/>
          <w:bCs/>
        </w:rPr>
        <w:instrText xml:space="preserve"> SEQ Figure \* ARABIC </w:instrText>
      </w:r>
      <w:r w:rsidRPr="005D629E">
        <w:rPr>
          <w:b/>
          <w:bCs/>
        </w:rPr>
        <w:fldChar w:fldCharType="separate"/>
      </w:r>
      <w:r w:rsidR="0040443C">
        <w:rPr>
          <w:b/>
          <w:bCs/>
          <w:noProof/>
        </w:rPr>
        <w:t>6</w:t>
      </w:r>
      <w:r w:rsidRPr="005D629E">
        <w:rPr>
          <w:b/>
          <w:bCs/>
          <w:noProof/>
        </w:rPr>
        <w:fldChar w:fldCharType="end"/>
      </w:r>
      <w:bookmarkEnd w:id="5"/>
      <w:r w:rsidRPr="005D629E">
        <w:rPr>
          <w:b/>
          <w:bCs/>
        </w:rPr>
        <w:t>.</w:t>
      </w:r>
      <w:r>
        <w:t xml:space="preserve"> Identification of the site of earliest activation. </w:t>
      </w:r>
      <w:r>
        <w:rPr>
          <w:b/>
          <w:bCs/>
        </w:rPr>
        <w:t>A</w:t>
      </w:r>
      <w:r>
        <w:t xml:space="preserve"> – Example activation map showing the site of earliest activation, defined as the earliest local activation time recorded by Carto shown in red, and the site of earliest activation using the </w:t>
      </w:r>
      <w:proofErr w:type="spellStart"/>
      <w:r>
        <w:t>OpenEP</w:t>
      </w:r>
      <w:proofErr w:type="spellEnd"/>
      <w:r>
        <w:t xml:space="preserve"> percentile method shown in blue. </w:t>
      </w:r>
      <w:r>
        <w:rPr>
          <w:b/>
          <w:bCs/>
        </w:rPr>
        <w:t>B</w:t>
      </w:r>
      <w:r>
        <w:t xml:space="preserve"> – Relationship between Carto earliest activation sites and </w:t>
      </w:r>
      <w:proofErr w:type="spellStart"/>
      <w:r>
        <w:t>OpenEP</w:t>
      </w:r>
      <w:proofErr w:type="spellEnd"/>
      <w:r>
        <w:t xml:space="preserve"> earliest activation sites for all 40 cases.</w:t>
      </w:r>
      <w:r w:rsidR="001A3A9A">
        <w:t xml:space="preserve"> The Carto-</w:t>
      </w:r>
      <w:r w:rsidR="001A3A9A">
        <w:lastRenderedPageBreak/>
        <w:t xml:space="preserve">defined earliest activation sites are shown with red spheres and the </w:t>
      </w:r>
      <w:proofErr w:type="spellStart"/>
      <w:r w:rsidR="001A3A9A">
        <w:t>OpenEP</w:t>
      </w:r>
      <w:proofErr w:type="spellEnd"/>
      <w:r w:rsidR="001A3A9A">
        <w:t xml:space="preserve">-defined earliest activation sites are shown with blue spheres. The connecting lines indicate the pairing of data points on a case-by-case basis. </w:t>
      </w:r>
      <w:r w:rsidR="00401B11">
        <w:t>LAO = left anterior oblique; LAT = local activation time.</w:t>
      </w:r>
    </w:p>
    <w:p w14:paraId="273571E8" w14:textId="77777777" w:rsidR="00213126" w:rsidRDefault="00213126" w:rsidP="00627BDF"/>
    <w:p w14:paraId="485F8F8C" w14:textId="23DA0B83" w:rsidR="00213126" w:rsidRPr="007753CD" w:rsidRDefault="00213126" w:rsidP="00627BDF">
      <w:bookmarkStart w:id="6" w:name="_Ref59699267"/>
      <w:r w:rsidRPr="00200BE9">
        <w:rPr>
          <w:b/>
          <w:bCs/>
        </w:rPr>
        <w:t xml:space="preserve">Figure </w:t>
      </w:r>
      <w:r w:rsidRPr="00200BE9">
        <w:rPr>
          <w:b/>
          <w:bCs/>
        </w:rPr>
        <w:fldChar w:fldCharType="begin"/>
      </w:r>
      <w:r w:rsidRPr="00200BE9">
        <w:rPr>
          <w:b/>
          <w:bCs/>
        </w:rPr>
        <w:instrText xml:space="preserve"> SEQ Figure \* ARABIC </w:instrText>
      </w:r>
      <w:r w:rsidRPr="00200BE9">
        <w:rPr>
          <w:b/>
          <w:bCs/>
        </w:rPr>
        <w:fldChar w:fldCharType="separate"/>
      </w:r>
      <w:r w:rsidR="0040443C">
        <w:rPr>
          <w:b/>
          <w:bCs/>
          <w:noProof/>
        </w:rPr>
        <w:t>7</w:t>
      </w:r>
      <w:r w:rsidRPr="00200BE9">
        <w:rPr>
          <w:b/>
          <w:bCs/>
          <w:noProof/>
        </w:rPr>
        <w:fldChar w:fldCharType="end"/>
      </w:r>
      <w:bookmarkEnd w:id="6"/>
      <w:r w:rsidRPr="00200BE9">
        <w:rPr>
          <w:b/>
          <w:bCs/>
        </w:rPr>
        <w:t>.</w:t>
      </w:r>
      <w:r w:rsidRPr="007753CD">
        <w:t xml:space="preserve"> Conduction velocity measurement using </w:t>
      </w:r>
      <w:proofErr w:type="spellStart"/>
      <w:r w:rsidRPr="007753CD">
        <w:t>OpenEP</w:t>
      </w:r>
      <w:proofErr w:type="spellEnd"/>
      <w:r w:rsidRPr="007753CD">
        <w:t xml:space="preserve"> software. A – Conduction velocity maps of two cases in anterior-posterior orientation (left) and </w:t>
      </w:r>
      <w:proofErr w:type="spellStart"/>
      <w:r w:rsidRPr="007753CD">
        <w:t>postero</w:t>
      </w:r>
      <w:proofErr w:type="spellEnd"/>
      <w:r w:rsidRPr="007753CD">
        <w:t xml:space="preserve">-anterior orientation (right). Maps created using the </w:t>
      </w:r>
      <w:proofErr w:type="spellStart"/>
      <w:r w:rsidRPr="007753CD">
        <w:t>OpenEP</w:t>
      </w:r>
      <w:proofErr w:type="spellEnd"/>
      <w:r w:rsidRPr="007753CD">
        <w:t xml:space="preserve"> function: </w:t>
      </w:r>
      <w:r w:rsidRPr="001E5DB2">
        <w:rPr>
          <w:rStyle w:val="SubtleEmphasis"/>
        </w:rPr>
        <w:t>drawMap(userdata, 'type', 'cv', 'coloraxis', [0 2], 'orientation', 'pa')</w:t>
      </w:r>
      <w:r w:rsidRPr="007753CD">
        <w:t xml:space="preserve">. B – Conduction velocity histograms corresponding to the maps in panel A; created using the </w:t>
      </w:r>
      <w:proofErr w:type="spellStart"/>
      <w:r w:rsidRPr="007753CD">
        <w:t>OpenEP</w:t>
      </w:r>
      <w:proofErr w:type="spellEnd"/>
      <w:r w:rsidRPr="007753CD">
        <w:t xml:space="preserve"> function call: </w:t>
      </w:r>
      <w:r w:rsidRPr="001E5DB2">
        <w:rPr>
          <w:rStyle w:val="SubtleEmphasis"/>
        </w:rPr>
        <w:t>cvHistogram(userdata)</w:t>
      </w:r>
      <w:r w:rsidRPr="007753CD">
        <w:t>.</w:t>
      </w:r>
      <w:r w:rsidR="00811D37">
        <w:t xml:space="preserve"> </w:t>
      </w:r>
      <w:r w:rsidR="00401B11">
        <w:t xml:space="preserve">CV = conduction velocity; AP = antero-posterior; PA = </w:t>
      </w:r>
      <w:proofErr w:type="spellStart"/>
      <w:r w:rsidR="00401B11">
        <w:t>postero</w:t>
      </w:r>
      <w:proofErr w:type="spellEnd"/>
      <w:r w:rsidR="00401B11">
        <w:t>-anterior.</w:t>
      </w:r>
    </w:p>
    <w:p w14:paraId="1512C587" w14:textId="77777777" w:rsidR="00213126" w:rsidRDefault="00213126" w:rsidP="00627BDF"/>
    <w:p w14:paraId="0C309374" w14:textId="676AECEF" w:rsidR="00213126" w:rsidRDefault="00213126" w:rsidP="00627BDF">
      <w:bookmarkStart w:id="7" w:name="_Ref56438426"/>
      <w:r w:rsidRPr="005D629E">
        <w:rPr>
          <w:b/>
        </w:rPr>
        <w:t xml:space="preserve">Figure </w:t>
      </w:r>
      <w:r w:rsidRPr="00200BE9">
        <w:rPr>
          <w:b/>
        </w:rPr>
        <w:fldChar w:fldCharType="begin"/>
      </w:r>
      <w:r w:rsidRPr="00200BE9">
        <w:rPr>
          <w:b/>
        </w:rPr>
        <w:instrText xml:space="preserve"> SEQ Figure \* ARABIC </w:instrText>
      </w:r>
      <w:r w:rsidRPr="00200BE9">
        <w:rPr>
          <w:b/>
        </w:rPr>
        <w:fldChar w:fldCharType="separate"/>
      </w:r>
      <w:r w:rsidR="0040443C">
        <w:rPr>
          <w:b/>
          <w:noProof/>
        </w:rPr>
        <w:t>8</w:t>
      </w:r>
      <w:r w:rsidRPr="00200BE9">
        <w:rPr>
          <w:b/>
        </w:rPr>
        <w:fldChar w:fldCharType="end"/>
      </w:r>
      <w:bookmarkEnd w:id="7"/>
      <w:r w:rsidRPr="00200BE9">
        <w:rPr>
          <w:b/>
        </w:rPr>
        <w:t>.</w:t>
      </w:r>
      <w:r>
        <w:t xml:space="preserve"> Bipolar voltage mapping. </w:t>
      </w:r>
      <w:r>
        <w:rPr>
          <w:b/>
          <w:bCs/>
        </w:rPr>
        <w:t xml:space="preserve">A </w:t>
      </w:r>
      <w:r>
        <w:t xml:space="preserve">– Voltage maps created using Carto, with a voltage threshold of 0.5mV. </w:t>
      </w:r>
      <w:r>
        <w:rPr>
          <w:b/>
          <w:bCs/>
        </w:rPr>
        <w:t>B</w:t>
      </w:r>
      <w:r>
        <w:t xml:space="preserve"> – Voltage maps created using </w:t>
      </w:r>
      <w:proofErr w:type="spellStart"/>
      <w:r>
        <w:t>OpenEP</w:t>
      </w:r>
      <w:proofErr w:type="spellEnd"/>
      <w:r>
        <w:t xml:space="preserve"> with a voltage threshold range of 0.4-0.6mV applied to the voltage mapping data exported by Carto. </w:t>
      </w:r>
      <w:proofErr w:type="spellStart"/>
      <w:r>
        <w:t>OpenEP</w:t>
      </w:r>
      <w:proofErr w:type="spellEnd"/>
      <w:r>
        <w:t xml:space="preserve"> command: </w:t>
      </w:r>
      <w:r w:rsidRPr="001E5DB2">
        <w:rPr>
          <w:rStyle w:val="SubtleEmphasis"/>
        </w:rPr>
        <w:t>drawMap(userdata, 'type', 'bip', 'coloraxis', [0.4 0.6], 'orientation', 'pa', 'colorfillthreshold', 10)</w:t>
      </w:r>
      <w:r w:rsidRPr="00D9508C">
        <w:t>;</w:t>
      </w:r>
      <w:r>
        <w:t xml:space="preserve">  </w:t>
      </w:r>
      <w:r>
        <w:rPr>
          <w:b/>
          <w:bCs/>
        </w:rPr>
        <w:t>C</w:t>
      </w:r>
      <w:r>
        <w:t xml:space="preserve"> – Voltage maps created using </w:t>
      </w:r>
      <w:proofErr w:type="spellStart"/>
      <w:r>
        <w:t>OpenEP</w:t>
      </w:r>
      <w:proofErr w:type="spellEnd"/>
      <w:r>
        <w:t xml:space="preserve"> with a voltage threshold range of 0.45-0.55mV, interpolated from the raw electrogram data at every mapping point and with a colour fill threshold of 10mm. </w:t>
      </w:r>
      <w:proofErr w:type="spellStart"/>
      <w:r>
        <w:t>OpenEP</w:t>
      </w:r>
      <w:proofErr w:type="spellEnd"/>
      <w:r>
        <w:t xml:space="preserve"> command: </w:t>
      </w:r>
      <w:r w:rsidRPr="001E5DB2">
        <w:rPr>
          <w:rStyle w:val="SubtleEmphasis"/>
        </w:rPr>
        <w:t>interpBip = generateInterpData(userdata, 'bip-map'); drawMap(userdata, 'data', interpBip, 'type', 'bip', 'coloraxis', [0.4 0.6], 'orientation', 'pa')</w:t>
      </w:r>
      <w:r>
        <w:t>.</w:t>
      </w:r>
      <w:r w:rsidR="00412D65">
        <w:t xml:space="preserve"> AP = antero-posterior; PA = </w:t>
      </w:r>
      <w:proofErr w:type="spellStart"/>
      <w:r w:rsidR="00412D65">
        <w:t>postero</w:t>
      </w:r>
      <w:proofErr w:type="spellEnd"/>
      <w:r w:rsidR="00412D65">
        <w:t>-anterior; Bi = bipolar voltage.</w:t>
      </w:r>
    </w:p>
    <w:p w14:paraId="3E958097" w14:textId="77777777" w:rsidR="00213126" w:rsidRDefault="00213126" w:rsidP="00627BDF"/>
    <w:p w14:paraId="0872E438" w14:textId="6AA07F15" w:rsidR="00213126" w:rsidRDefault="00213126" w:rsidP="00627BDF">
      <w:bookmarkStart w:id="8" w:name="_Ref56695391"/>
      <w:r w:rsidRPr="005D629E">
        <w:rPr>
          <w:b/>
          <w:bCs/>
        </w:rPr>
        <w:t xml:space="preserve">Figure </w:t>
      </w:r>
      <w:r w:rsidRPr="005D629E">
        <w:rPr>
          <w:b/>
          <w:bCs/>
        </w:rPr>
        <w:fldChar w:fldCharType="begin"/>
      </w:r>
      <w:r w:rsidRPr="005D629E">
        <w:rPr>
          <w:b/>
          <w:bCs/>
        </w:rPr>
        <w:instrText xml:space="preserve"> SEQ Figure \* ARABIC </w:instrText>
      </w:r>
      <w:r w:rsidRPr="005D629E">
        <w:rPr>
          <w:b/>
          <w:bCs/>
        </w:rPr>
        <w:fldChar w:fldCharType="separate"/>
      </w:r>
      <w:r w:rsidR="0040443C">
        <w:rPr>
          <w:b/>
          <w:bCs/>
          <w:noProof/>
        </w:rPr>
        <w:t>9</w:t>
      </w:r>
      <w:r w:rsidRPr="005D629E">
        <w:rPr>
          <w:b/>
          <w:bCs/>
          <w:noProof/>
        </w:rPr>
        <w:fldChar w:fldCharType="end"/>
      </w:r>
      <w:bookmarkEnd w:id="8"/>
      <w:r w:rsidRPr="005D629E">
        <w:rPr>
          <w:b/>
          <w:bCs/>
        </w:rPr>
        <w:t>.</w:t>
      </w:r>
      <w:r>
        <w:t xml:space="preserve"> Analysis of Carto and </w:t>
      </w:r>
      <w:proofErr w:type="spellStart"/>
      <w:r>
        <w:t>OpenEP</w:t>
      </w:r>
      <w:proofErr w:type="spellEnd"/>
      <w:r>
        <w:t xml:space="preserve"> voltage mapping data. </w:t>
      </w:r>
      <w:r>
        <w:rPr>
          <w:b/>
          <w:bCs/>
        </w:rPr>
        <w:t>A</w:t>
      </w:r>
      <w:r>
        <w:t xml:space="preserve"> – Assessment of mean chamber voltage using Carto and </w:t>
      </w:r>
      <w:proofErr w:type="spellStart"/>
      <w:r>
        <w:t>OpenEP</w:t>
      </w:r>
      <w:proofErr w:type="spellEnd"/>
      <w:r>
        <w:t xml:space="preserve">. </w:t>
      </w:r>
      <w:r>
        <w:rPr>
          <w:b/>
          <w:bCs/>
        </w:rPr>
        <w:t>B</w:t>
      </w:r>
      <w:r w:rsidRPr="00647C67">
        <w:t xml:space="preserve"> – </w:t>
      </w:r>
      <w:r>
        <w:t xml:space="preserve">Assessment of low voltage area using Carto and </w:t>
      </w:r>
      <w:proofErr w:type="spellStart"/>
      <w:r>
        <w:t>OpenEP</w:t>
      </w:r>
      <w:proofErr w:type="spellEnd"/>
      <w:r>
        <w:t xml:space="preserve">. The </w:t>
      </w:r>
      <w:proofErr w:type="spellStart"/>
      <w:r>
        <w:t>OpenEP</w:t>
      </w:r>
      <w:proofErr w:type="spellEnd"/>
      <w:r>
        <w:t xml:space="preserve"> commands: </w:t>
      </w:r>
      <w:r w:rsidRPr="00C54C81">
        <w:rPr>
          <w:rStyle w:val="SubtleEmphasis"/>
        </w:rPr>
        <w:t>getMeanVoltage(userdata, ‘method’, ‘map’); getMeanVoltage(userdata, ‘method’, ‘egm); getLowVoltageArea(userdata, ‘method’, ‘map’);</w:t>
      </w:r>
      <w:r>
        <w:t xml:space="preserve"> and </w:t>
      </w:r>
      <w:r w:rsidRPr="00C54C81">
        <w:rPr>
          <w:rStyle w:val="SubtleEmphasis"/>
        </w:rPr>
        <w:t>getLowVoltageArea(userdata, ‘method’, ‘egm’)</w:t>
      </w:r>
      <w:r>
        <w:t xml:space="preserve"> were used to create the data for these figures.</w:t>
      </w:r>
    </w:p>
    <w:p w14:paraId="3AA9F722" w14:textId="77777777" w:rsidR="00213126" w:rsidRDefault="00213126" w:rsidP="00627BDF"/>
    <w:p w14:paraId="257AB56F" w14:textId="512453AE" w:rsidR="00213126" w:rsidRPr="00BD7513" w:rsidRDefault="00213126" w:rsidP="00627BDF">
      <w:bookmarkStart w:id="9" w:name="_Ref59699443"/>
      <w:r w:rsidRPr="00C65DD6">
        <w:rPr>
          <w:b/>
          <w:bCs/>
        </w:rPr>
        <w:t xml:space="preserve">Figure </w:t>
      </w:r>
      <w:r w:rsidRPr="00C65DD6">
        <w:rPr>
          <w:b/>
          <w:bCs/>
        </w:rPr>
        <w:fldChar w:fldCharType="begin"/>
      </w:r>
      <w:r w:rsidRPr="00C65DD6">
        <w:rPr>
          <w:b/>
          <w:bCs/>
        </w:rPr>
        <w:instrText xml:space="preserve"> SEQ Figure \* ARABIC </w:instrText>
      </w:r>
      <w:r w:rsidRPr="00C65DD6">
        <w:rPr>
          <w:b/>
          <w:bCs/>
        </w:rPr>
        <w:fldChar w:fldCharType="separate"/>
      </w:r>
      <w:r w:rsidR="0040443C">
        <w:rPr>
          <w:b/>
          <w:bCs/>
          <w:noProof/>
        </w:rPr>
        <w:t>10</w:t>
      </w:r>
      <w:r w:rsidRPr="00C65DD6">
        <w:rPr>
          <w:b/>
          <w:bCs/>
        </w:rPr>
        <w:fldChar w:fldCharType="end"/>
      </w:r>
      <w:bookmarkEnd w:id="9"/>
      <w:r w:rsidRPr="00C65DD6">
        <w:rPr>
          <w:b/>
          <w:bCs/>
        </w:rPr>
        <w:t>.</w:t>
      </w:r>
      <w:r>
        <w:t xml:space="preserve"> Voltage histogram analysis. </w:t>
      </w:r>
      <w:r>
        <w:rPr>
          <w:b/>
          <w:bCs/>
        </w:rPr>
        <w:t>A</w:t>
      </w:r>
      <w:r>
        <w:t xml:space="preserve"> – Voltage histogram analysis performed using bipolar voltages exported from the clinical mapping system. </w:t>
      </w:r>
      <w:proofErr w:type="spellStart"/>
      <w:r>
        <w:t>OpenEP</w:t>
      </w:r>
      <w:proofErr w:type="spellEnd"/>
      <w:r>
        <w:t xml:space="preserve"> command: </w:t>
      </w:r>
      <w:r w:rsidRPr="00540A6B">
        <w:rPr>
          <w:rStyle w:val="SubtleEmphasis"/>
        </w:rPr>
        <w:t>voltageHistogramAnalysis(userdata, 'plot', true, 'method', 'map')</w:t>
      </w:r>
      <w:r>
        <w:t xml:space="preserve">. </w:t>
      </w:r>
      <w:r>
        <w:rPr>
          <w:b/>
          <w:bCs/>
        </w:rPr>
        <w:t>B</w:t>
      </w:r>
      <w:r>
        <w:t xml:space="preserve"> – Voltage histogram analysis performed using bipolar voltages re-interpolated from the exported electrogram voltage annotations using the </w:t>
      </w:r>
      <w:proofErr w:type="spellStart"/>
      <w:r>
        <w:t>OpenEP</w:t>
      </w:r>
      <w:proofErr w:type="spellEnd"/>
      <w:r>
        <w:t xml:space="preserve"> command </w:t>
      </w:r>
      <w:r w:rsidRPr="00540A6B">
        <w:rPr>
          <w:rStyle w:val="SubtleEmphasis"/>
        </w:rPr>
        <w:t>voltageHistogramAnalysis(userdata, 'plot', true, 'method', 'egm')</w:t>
      </w:r>
      <w:r>
        <w:t>. Inset in lower panel shows the comparison in areas between the two methods.</w:t>
      </w:r>
    </w:p>
    <w:p w14:paraId="6F8F343F" w14:textId="77777777" w:rsidR="00213126" w:rsidRDefault="00213126" w:rsidP="00627BDF"/>
    <w:p w14:paraId="63D43551" w14:textId="19D17F21" w:rsidR="00213126" w:rsidRDefault="00213126" w:rsidP="00627BDF">
      <w:bookmarkStart w:id="10" w:name="_Ref59699545"/>
      <w:r w:rsidRPr="005C60E4">
        <w:rPr>
          <w:b/>
          <w:bCs/>
        </w:rPr>
        <w:t xml:space="preserve">Figure </w:t>
      </w:r>
      <w:r w:rsidRPr="005C60E4">
        <w:rPr>
          <w:b/>
          <w:bCs/>
        </w:rPr>
        <w:fldChar w:fldCharType="begin"/>
      </w:r>
      <w:r w:rsidRPr="005C60E4">
        <w:rPr>
          <w:b/>
          <w:bCs/>
        </w:rPr>
        <w:instrText xml:space="preserve"> SEQ Figure \* ARABIC </w:instrText>
      </w:r>
      <w:r w:rsidRPr="005C60E4">
        <w:rPr>
          <w:b/>
          <w:bCs/>
        </w:rPr>
        <w:fldChar w:fldCharType="separate"/>
      </w:r>
      <w:r w:rsidR="0040443C">
        <w:rPr>
          <w:b/>
          <w:bCs/>
          <w:noProof/>
        </w:rPr>
        <w:t>11</w:t>
      </w:r>
      <w:r w:rsidRPr="005C60E4">
        <w:rPr>
          <w:b/>
          <w:bCs/>
        </w:rPr>
        <w:fldChar w:fldCharType="end"/>
      </w:r>
      <w:bookmarkEnd w:id="10"/>
      <w:r>
        <w:t xml:space="preserve">. Miscellaneous </w:t>
      </w:r>
      <w:proofErr w:type="spellStart"/>
      <w:r>
        <w:t>OpenEP</w:t>
      </w:r>
      <w:proofErr w:type="spellEnd"/>
      <w:r>
        <w:t xml:space="preserve"> functions. </w:t>
      </w:r>
      <w:r w:rsidRPr="00E91A67">
        <w:rPr>
          <w:b/>
          <w:bCs/>
        </w:rPr>
        <w:t>A</w:t>
      </w:r>
      <w:r>
        <w:t xml:space="preserve"> –</w:t>
      </w:r>
      <w:r w:rsidR="007F0B03">
        <w:t xml:space="preserve"> </w:t>
      </w:r>
      <w:r>
        <w:t xml:space="preserve">Identification of anatomical structures using the </w:t>
      </w:r>
      <w:proofErr w:type="spellStart"/>
      <w:r>
        <w:t>OpenEP</w:t>
      </w:r>
      <w:proofErr w:type="spellEnd"/>
      <w:r>
        <w:t xml:space="preserve"> command: </w:t>
      </w:r>
      <w:r w:rsidRPr="00540A6B">
        <w:rPr>
          <w:rStyle w:val="SubtleEmphasis"/>
        </w:rPr>
        <w:t>getAnatomicalStructures(userdata, 'plot', true)</w:t>
      </w:r>
      <w:r>
        <w:t xml:space="preserve">. </w:t>
      </w:r>
      <w:r w:rsidRPr="006A01BE">
        <w:rPr>
          <w:b/>
          <w:bCs/>
        </w:rPr>
        <w:t>B</w:t>
      </w:r>
      <w:r>
        <w:t xml:space="preserve"> –</w:t>
      </w:r>
      <w:r w:rsidR="007F0B03">
        <w:t xml:space="preserve"> </w:t>
      </w:r>
      <w:r>
        <w:t xml:space="preserve">Identification of point status for points referenced in </w:t>
      </w:r>
      <w:r w:rsidRPr="00540A6B">
        <w:rPr>
          <w:rStyle w:val="SubtleEmphasis"/>
        </w:rPr>
        <w:t>userdata</w:t>
      </w:r>
      <w:r>
        <w:t xml:space="preserve"> using </w:t>
      </w:r>
      <w:r w:rsidRPr="00540A6B">
        <w:rPr>
          <w:rStyle w:val="SubtleEmphasis"/>
        </w:rPr>
        <w:t>[inoutpts, meshrefpts] = pointStatus(userdata, 'plot', true)</w:t>
      </w:r>
      <w:r>
        <w:t>.</w:t>
      </w:r>
    </w:p>
    <w:p w14:paraId="5F0E5BEF" w14:textId="77777777" w:rsidR="00213126" w:rsidRDefault="00213126" w:rsidP="00627BDF"/>
    <w:p w14:paraId="44E9D529" w14:textId="015B6EDA" w:rsidR="00213126" w:rsidRDefault="00213126" w:rsidP="00627BDF">
      <w:bookmarkStart w:id="11" w:name="_Ref56694321"/>
      <w:r w:rsidRPr="008E443A">
        <w:rPr>
          <w:b/>
          <w:bCs/>
        </w:rPr>
        <w:t xml:space="preserve">Figure </w:t>
      </w:r>
      <w:r w:rsidRPr="008E443A">
        <w:rPr>
          <w:b/>
          <w:bCs/>
        </w:rPr>
        <w:fldChar w:fldCharType="begin"/>
      </w:r>
      <w:r w:rsidRPr="008E443A">
        <w:rPr>
          <w:b/>
          <w:bCs/>
        </w:rPr>
        <w:instrText xml:space="preserve"> SEQ Figure \* ARABIC </w:instrText>
      </w:r>
      <w:r w:rsidRPr="008E443A">
        <w:rPr>
          <w:b/>
          <w:bCs/>
        </w:rPr>
        <w:fldChar w:fldCharType="separate"/>
      </w:r>
      <w:r w:rsidR="0040443C">
        <w:rPr>
          <w:b/>
          <w:bCs/>
          <w:noProof/>
        </w:rPr>
        <w:t>12</w:t>
      </w:r>
      <w:r w:rsidRPr="008E443A">
        <w:rPr>
          <w:b/>
          <w:bCs/>
        </w:rPr>
        <w:fldChar w:fldCharType="end"/>
      </w:r>
      <w:bookmarkEnd w:id="11"/>
      <w:r w:rsidRPr="008E443A">
        <w:rPr>
          <w:b/>
          <w:bCs/>
        </w:rPr>
        <w:t>.</w:t>
      </w:r>
      <w:r>
        <w:t xml:space="preserve"> Display of electrogram data using </w:t>
      </w:r>
      <w:proofErr w:type="spellStart"/>
      <w:r>
        <w:t>OpenEP</w:t>
      </w:r>
      <w:proofErr w:type="spellEnd"/>
      <w:r>
        <w:t xml:space="preserve">. </w:t>
      </w:r>
      <w:r w:rsidRPr="00245BAA">
        <w:rPr>
          <w:b/>
          <w:bCs/>
        </w:rPr>
        <w:t>A</w:t>
      </w:r>
      <w:r>
        <w:t xml:space="preserve"> – Reference, bipolar and unipolar electrogram data at five selected sites on the posterior wall of a left atrium. </w:t>
      </w:r>
      <w:r w:rsidRPr="00245BAA">
        <w:rPr>
          <w:b/>
          <w:bCs/>
        </w:rPr>
        <w:t xml:space="preserve">B </w:t>
      </w:r>
      <w:r>
        <w:t xml:space="preserve">– Corresponding electrograms extracted and plotted using </w:t>
      </w:r>
      <w:proofErr w:type="spellStart"/>
      <w:r>
        <w:t>OpenEP</w:t>
      </w:r>
      <w:proofErr w:type="spellEnd"/>
      <w:r>
        <w:t xml:space="preserve">. Blue – bipolar electrogram; green – paired unipolar electrograms; red – reference coronary sinus electrogram. Red dots indicate the activation time annotations extracted from the clinical mapping platform. </w:t>
      </w:r>
      <w:proofErr w:type="spellStart"/>
      <w:r>
        <w:t>OpenEP</w:t>
      </w:r>
      <w:proofErr w:type="spellEnd"/>
      <w:r>
        <w:t xml:space="preserve"> function example: </w:t>
      </w:r>
      <w:r w:rsidRPr="00540A6B">
        <w:rPr>
          <w:rStyle w:val="SubtleEmphasis"/>
        </w:rPr>
        <w:t>plotOpenEPEgms(userdata, 'iegm', getIndexFromCartoPointNumber(userdata,1042))</w:t>
      </w:r>
      <w:r w:rsidR="00B7112E">
        <w:t>.</w:t>
      </w:r>
      <w:r w:rsidR="00B7112E">
        <w:rPr>
          <w:rStyle w:val="SubtleEmphasis"/>
        </w:rPr>
        <w:t xml:space="preserve"> </w:t>
      </w:r>
      <w:r w:rsidR="00B7112E">
        <w:t xml:space="preserve">LAT = local activation time; CS = coronary sinus; Pent = </w:t>
      </w:r>
      <w:proofErr w:type="spellStart"/>
      <w:r w:rsidR="00B7112E">
        <w:t>PentaRay</w:t>
      </w:r>
      <w:proofErr w:type="spellEnd"/>
      <w:r w:rsidR="00B7112E">
        <w:t xml:space="preserve">; Uni = </w:t>
      </w:r>
      <w:proofErr w:type="spellStart"/>
      <w:r w:rsidR="00B7112E">
        <w:t>Unipole</w:t>
      </w:r>
      <w:proofErr w:type="spellEnd"/>
      <w:r w:rsidR="00B7112E">
        <w:t xml:space="preserve">; </w:t>
      </w:r>
      <w:proofErr w:type="spellStart"/>
      <w:r w:rsidR="00B7112E">
        <w:t>Bip</w:t>
      </w:r>
      <w:proofErr w:type="spellEnd"/>
      <w:r w:rsidR="00B7112E">
        <w:t xml:space="preserve"> = </w:t>
      </w:r>
      <w:proofErr w:type="spellStart"/>
      <w:r w:rsidR="00B7112E">
        <w:t>Bipole</w:t>
      </w:r>
      <w:proofErr w:type="spellEnd"/>
      <w:r w:rsidR="00B7112E">
        <w:t>.</w:t>
      </w:r>
    </w:p>
    <w:p w14:paraId="59A370F7" w14:textId="77777777" w:rsidR="00213126" w:rsidRDefault="00213126" w:rsidP="00627BDF"/>
    <w:p w14:paraId="6E31A339" w14:textId="233F64F6" w:rsidR="00213126" w:rsidRPr="00E15564" w:rsidRDefault="00213126" w:rsidP="00627BDF">
      <w:bookmarkStart w:id="12" w:name="_Ref57782878"/>
      <w:r w:rsidRPr="002A63C0">
        <w:rPr>
          <w:b/>
          <w:bCs/>
        </w:rPr>
        <w:t xml:space="preserve">Figure </w:t>
      </w:r>
      <w:r w:rsidRPr="002A63C0">
        <w:rPr>
          <w:b/>
          <w:bCs/>
        </w:rPr>
        <w:fldChar w:fldCharType="begin"/>
      </w:r>
      <w:r w:rsidRPr="002A63C0">
        <w:rPr>
          <w:b/>
          <w:bCs/>
        </w:rPr>
        <w:instrText xml:space="preserve"> SEQ Figure \* ARABIC </w:instrText>
      </w:r>
      <w:r w:rsidRPr="002A63C0">
        <w:rPr>
          <w:b/>
          <w:bCs/>
        </w:rPr>
        <w:fldChar w:fldCharType="separate"/>
      </w:r>
      <w:r w:rsidR="0040443C">
        <w:rPr>
          <w:b/>
          <w:bCs/>
          <w:noProof/>
        </w:rPr>
        <w:t>13</w:t>
      </w:r>
      <w:r w:rsidRPr="002A63C0">
        <w:rPr>
          <w:b/>
          <w:bCs/>
        </w:rPr>
        <w:fldChar w:fldCharType="end"/>
      </w:r>
      <w:bookmarkEnd w:id="12"/>
      <w:r w:rsidRPr="002A63C0">
        <w:rPr>
          <w:b/>
          <w:bCs/>
        </w:rPr>
        <w:t>.</w:t>
      </w:r>
      <w:r>
        <w:t xml:space="preserve"> Representation of ablation points and quantification of ablation area using </w:t>
      </w:r>
      <w:proofErr w:type="spellStart"/>
      <w:r>
        <w:t>OpenEP</w:t>
      </w:r>
      <w:proofErr w:type="spellEnd"/>
      <w:r>
        <w:t xml:space="preserve">. </w:t>
      </w:r>
      <w:r>
        <w:rPr>
          <w:b/>
          <w:bCs/>
        </w:rPr>
        <w:t>A</w:t>
      </w:r>
      <w:r>
        <w:t xml:space="preserve"> – Ablation lesion representation in the Carto electroanatomic mapping platform. </w:t>
      </w:r>
      <w:r>
        <w:rPr>
          <w:b/>
          <w:bCs/>
        </w:rPr>
        <w:t>B</w:t>
      </w:r>
      <w:r>
        <w:t xml:space="preserve"> – Ablation lesion representation using </w:t>
      </w:r>
      <w:proofErr w:type="spellStart"/>
      <w:r>
        <w:t>OpenEP</w:t>
      </w:r>
      <w:proofErr w:type="spellEnd"/>
      <w:r>
        <w:t xml:space="preserve">. Ablation lesions are coloured according to the Ablation Index (low = white; high = red). </w:t>
      </w:r>
      <w:proofErr w:type="spellStart"/>
      <w:r>
        <w:t>OpenEP</w:t>
      </w:r>
      <w:proofErr w:type="spellEnd"/>
      <w:r>
        <w:t xml:space="preserve"> function call: </w:t>
      </w:r>
      <w:r w:rsidRPr="00540A6B">
        <w:rPr>
          <w:rStyle w:val="SubtleEmphasis"/>
        </w:rPr>
        <w:t>plotVisitags(userdata, 'colour', visitag.tag.index.value)</w:t>
      </w:r>
      <w:r>
        <w:t xml:space="preserve">. </w:t>
      </w:r>
      <w:r>
        <w:rPr>
          <w:b/>
          <w:bCs/>
        </w:rPr>
        <w:t>C</w:t>
      </w:r>
      <w:r>
        <w:t xml:space="preserve"> – Specifically for the Carto electroanatomic mapping platform the ‘grid’ of ablation positions is also exposed together with all ablation-related data (impedance, time, temperature, contact force). </w:t>
      </w:r>
      <w:proofErr w:type="spellStart"/>
      <w:r>
        <w:t>OpenEP</w:t>
      </w:r>
      <w:proofErr w:type="spellEnd"/>
      <w:r>
        <w:t xml:space="preserve"> function call: </w:t>
      </w:r>
      <w:r w:rsidRPr="00540A6B">
        <w:rPr>
          <w:rStyle w:val="SubtleEmphasis"/>
        </w:rPr>
        <w:t>plotVisitags(userdata, 'plot', 'grid')</w:t>
      </w:r>
      <w:r>
        <w:t xml:space="preserve">. </w:t>
      </w:r>
      <w:r>
        <w:rPr>
          <w:b/>
          <w:bCs/>
        </w:rPr>
        <w:t>D</w:t>
      </w:r>
      <w:r>
        <w:t xml:space="preserve"> – Ablation area can be calculated with the </w:t>
      </w:r>
      <w:proofErr w:type="spellStart"/>
      <w:r>
        <w:t>OpenEP</w:t>
      </w:r>
      <w:proofErr w:type="spellEnd"/>
      <w:r>
        <w:t xml:space="preserve"> function call: </w:t>
      </w:r>
      <w:r w:rsidRPr="00540A6B">
        <w:rPr>
          <w:rStyle w:val="SubtleEmphasis"/>
        </w:rPr>
        <w:t>ablArea = getAblationArea(userdata)</w:t>
      </w:r>
      <w:r>
        <w:t xml:space="preserve">. Ablation area can be added to an existing plot using the </w:t>
      </w:r>
      <w:proofErr w:type="spellStart"/>
      <w:r>
        <w:t>OpenEP</w:t>
      </w:r>
      <w:proofErr w:type="spellEnd"/>
      <w:r>
        <w:t xml:space="preserve"> function: </w:t>
      </w:r>
      <w:r w:rsidRPr="00540A6B">
        <w:rPr>
          <w:rStyle w:val="SubtleEmphasis"/>
        </w:rPr>
        <w:t>plotAblationArea(userdata)</w:t>
      </w:r>
      <w:r>
        <w:t>.</w:t>
      </w:r>
      <w:r w:rsidR="00B7112E">
        <w:t xml:space="preserve"> </w:t>
      </w:r>
    </w:p>
    <w:p w14:paraId="014FA657" w14:textId="77777777" w:rsidR="00213126" w:rsidRDefault="00213126" w:rsidP="00627BDF"/>
    <w:p w14:paraId="67AD08FB" w14:textId="74434569" w:rsidR="00213126" w:rsidRDefault="00213126" w:rsidP="00627BDF">
      <w:bookmarkStart w:id="13" w:name="_Ref57647901"/>
      <w:r w:rsidRPr="00333E94">
        <w:rPr>
          <w:b/>
          <w:bCs/>
        </w:rPr>
        <w:t xml:space="preserve">Figure </w:t>
      </w:r>
      <w:r w:rsidRPr="00333E94">
        <w:rPr>
          <w:b/>
          <w:bCs/>
        </w:rPr>
        <w:fldChar w:fldCharType="begin"/>
      </w:r>
      <w:r w:rsidRPr="00333E94">
        <w:rPr>
          <w:b/>
          <w:bCs/>
        </w:rPr>
        <w:instrText xml:space="preserve"> SEQ Figure \* ARABIC </w:instrText>
      </w:r>
      <w:r w:rsidRPr="00333E94">
        <w:rPr>
          <w:b/>
          <w:bCs/>
        </w:rPr>
        <w:fldChar w:fldCharType="separate"/>
      </w:r>
      <w:r w:rsidR="0040443C">
        <w:rPr>
          <w:b/>
          <w:bCs/>
          <w:noProof/>
        </w:rPr>
        <w:t>14</w:t>
      </w:r>
      <w:r w:rsidRPr="00333E94">
        <w:rPr>
          <w:b/>
          <w:bCs/>
        </w:rPr>
        <w:fldChar w:fldCharType="end"/>
      </w:r>
      <w:bookmarkEnd w:id="13"/>
      <w:r w:rsidRPr="00333E94">
        <w:rPr>
          <w:b/>
          <w:bCs/>
        </w:rPr>
        <w:t>.</w:t>
      </w:r>
      <w:r>
        <w:t xml:space="preserve"> Data types assessed by contemporary electroanatomic mapping studies.</w:t>
      </w:r>
      <w:r w:rsidR="00B7112E">
        <w:t xml:space="preserve"> Blue bars represent the data types currently accessible through </w:t>
      </w:r>
      <w:proofErr w:type="spellStart"/>
      <w:r w:rsidR="00B7112E">
        <w:t>OpenEP</w:t>
      </w:r>
      <w:proofErr w:type="spellEnd"/>
      <w:r w:rsidR="00B7112E">
        <w:t xml:space="preserve">. Orange bars represent the data types which are not currently accessible through </w:t>
      </w:r>
      <w:proofErr w:type="spellStart"/>
      <w:proofErr w:type="gramStart"/>
      <w:r w:rsidR="00B7112E">
        <w:t>OpenEP</w:t>
      </w:r>
      <w:proofErr w:type="spellEnd"/>
      <w:proofErr w:type="gramEnd"/>
      <w:r w:rsidR="00B7112E">
        <w:t xml:space="preserve"> but which form objectives in the Roadmap for Development (https://openep.io/roadmap).</w:t>
      </w:r>
    </w:p>
    <w:p w14:paraId="743E79EC" w14:textId="77777777" w:rsidR="00213126" w:rsidRDefault="00213126" w:rsidP="00213126">
      <w:pPr>
        <w:pStyle w:val="Heading3"/>
        <w:sectPr w:rsidR="00213126" w:rsidSect="0070743C">
          <w:footerReference w:type="default" r:id="rId11"/>
          <w:pgSz w:w="11900" w:h="16840"/>
          <w:pgMar w:top="720" w:right="720" w:bottom="816" w:left="1440" w:header="720" w:footer="720" w:gutter="0"/>
          <w:lnNumType w:countBy="1"/>
          <w:cols w:space="720"/>
          <w:titlePg/>
          <w:docGrid w:linePitch="360"/>
        </w:sectPr>
      </w:pPr>
    </w:p>
    <w:p w14:paraId="1BD837E4" w14:textId="77777777" w:rsidR="00213126" w:rsidRDefault="00213126" w:rsidP="00213126">
      <w:pPr>
        <w:pStyle w:val="Heading1"/>
      </w:pPr>
      <w:r>
        <w:lastRenderedPageBreak/>
        <w:t>References</w:t>
      </w:r>
    </w:p>
    <w:p w14:paraId="76DDAE5F" w14:textId="23D38077" w:rsidR="00C63C14" w:rsidRPr="00C63C14" w:rsidRDefault="00213126" w:rsidP="00C63C14">
      <w:pPr>
        <w:widowControl w:val="0"/>
        <w:autoSpaceDE w:val="0"/>
        <w:autoSpaceDN w:val="0"/>
        <w:adjustRightInd w:val="0"/>
        <w:ind w:left="480" w:hanging="480"/>
        <w:rPr>
          <w:rFonts w:cs="Times New Roman"/>
          <w:noProof/>
        </w:rPr>
      </w:pPr>
      <w:r>
        <w:fldChar w:fldCharType="begin" w:fldLock="1"/>
      </w:r>
      <w:r>
        <w:instrText xml:space="preserve">ADDIN Mendeley Bibliography CSL_BIBLIOGRAPHY </w:instrText>
      </w:r>
      <w:r>
        <w:fldChar w:fldCharType="separate"/>
      </w:r>
      <w:r w:rsidR="00C63C14" w:rsidRPr="00C63C14">
        <w:rPr>
          <w:rFonts w:cs="Times New Roman"/>
          <w:noProof/>
        </w:rPr>
        <w:t xml:space="preserve">Al-Kaisey, A. M., Parameswaran, R., Joseph, S. A., Kistler, P. M., Morton, J. B., and Kalman, J. M. (2020). Extensive right atrial free wall low-voltage zone as the substrate for atrial fibrillation: successful ablation by scar homogenization. </w:t>
      </w:r>
      <w:r w:rsidR="00C63C14" w:rsidRPr="00C63C14">
        <w:rPr>
          <w:rFonts w:cs="Times New Roman"/>
          <w:i/>
          <w:iCs/>
          <w:noProof/>
        </w:rPr>
        <w:t>EP Eur.</w:t>
      </w:r>
      <w:r w:rsidR="00C63C14" w:rsidRPr="00C63C14">
        <w:rPr>
          <w:rFonts w:cs="Times New Roman"/>
          <w:noProof/>
        </w:rPr>
        <w:t>, 1–6. doi:10.1093/europace/euaa233.</w:t>
      </w:r>
    </w:p>
    <w:p w14:paraId="31777C3B"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Almeida, T., Soriano, D., Mase, M., Ravelli, F., Bezerra, A., Li, X., et al. (2020). Unsupervised Classification of Atrial Electrograms for Electroanatomic Mapping of Human Persistent Atrial Fibrillation. </w:t>
      </w:r>
      <w:r w:rsidRPr="00C63C14">
        <w:rPr>
          <w:rFonts w:cs="Times New Roman"/>
          <w:i/>
          <w:iCs/>
          <w:noProof/>
        </w:rPr>
        <w:t>IEEE Trans. Biomed. Eng.</w:t>
      </w:r>
      <w:r w:rsidRPr="00C63C14">
        <w:rPr>
          <w:rFonts w:cs="Times New Roman"/>
          <w:noProof/>
        </w:rPr>
        <w:t>, 1–1. doi:10.1109/tbme.2020.3021480.</w:t>
      </w:r>
    </w:p>
    <w:p w14:paraId="4FE5B7E1"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Anter, E., Tschabrunn, C. M., Buxton, A. E., and Josephson, M. E. (2016). High-Resolution Mapping of Postinfarction Reentrant Ventricular Tachycardia: Electrophysiological Characterization of the Circuit. </w:t>
      </w:r>
      <w:r w:rsidRPr="00C63C14">
        <w:rPr>
          <w:rFonts w:cs="Times New Roman"/>
          <w:i/>
          <w:iCs/>
          <w:noProof/>
        </w:rPr>
        <w:t>Circulation</w:t>
      </w:r>
      <w:r w:rsidRPr="00C63C14">
        <w:rPr>
          <w:rFonts w:cs="Times New Roman"/>
          <w:noProof/>
        </w:rPr>
        <w:t xml:space="preserve"> 134, 314–327. doi:10.1161/CIRCULATIONAHA.116.021955.</w:t>
      </w:r>
    </w:p>
    <w:p w14:paraId="3ACC016A"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Aronis, K. N., Ali, R. L., Prakosa, A., Ashikaga, H., Berger, R. D., Hakim, J. B., et al. (2020). Accurate Conduction Velocity Maps and Their Association with Scar Distribution on Magnetic Resonance Imaging in Patients with Postinfarction Ventricular Tachycardias. </w:t>
      </w:r>
      <w:r w:rsidRPr="00C63C14">
        <w:rPr>
          <w:rFonts w:cs="Times New Roman"/>
          <w:i/>
          <w:iCs/>
          <w:noProof/>
        </w:rPr>
        <w:t>Circ. Arrhythmia Electrophysiol.</w:t>
      </w:r>
      <w:r w:rsidRPr="00C63C14">
        <w:rPr>
          <w:rFonts w:cs="Times New Roman"/>
          <w:noProof/>
        </w:rPr>
        <w:t>, 326–335. doi:10.1161/CIRCEP.119.007792.</w:t>
      </w:r>
    </w:p>
    <w:p w14:paraId="3F5F0EB5"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Aziz, Z., Shatz, D., Raiman, M., Upadhyay, G. A., Beaser, A. D., Besser, S. A., et al. (2019). Targeted Ablation of Ventricular Tachycardia Guided by Wavefront Discontinuities during Sinus Rhythm: A New Functional Substrate Mapping Strategy. </w:t>
      </w:r>
      <w:r w:rsidRPr="00C63C14">
        <w:rPr>
          <w:rFonts w:cs="Times New Roman"/>
          <w:i/>
          <w:iCs/>
          <w:noProof/>
        </w:rPr>
        <w:t>Circulation</w:t>
      </w:r>
      <w:r w:rsidRPr="00C63C14">
        <w:rPr>
          <w:rFonts w:cs="Times New Roman"/>
          <w:noProof/>
        </w:rPr>
        <w:t xml:space="preserve"> 140, 1383–1397. doi:10.1161/CIRCULATIONAHA.119.042423.</w:t>
      </w:r>
    </w:p>
    <w:p w14:paraId="3CC40F5E"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Borland, D., and Taylor, R. M. (2007). Rainbow color map (still) considered harmful. </w:t>
      </w:r>
      <w:r w:rsidRPr="00C63C14">
        <w:rPr>
          <w:rFonts w:cs="Times New Roman"/>
          <w:i/>
          <w:iCs/>
          <w:noProof/>
        </w:rPr>
        <w:t>IEEE Comput. Graph. Appl.</w:t>
      </w:r>
      <w:r w:rsidRPr="00C63C14">
        <w:rPr>
          <w:rFonts w:cs="Times New Roman"/>
          <w:noProof/>
        </w:rPr>
        <w:t xml:space="preserve"> 27, 14–17. doi:10.1109/MCG.2007.323435.</w:t>
      </w:r>
    </w:p>
    <w:p w14:paraId="488E6C47"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Brett, C. L., Cook, J. A., Aboud, A. A., Karim, R., Shinohara, E. T., and Stevenson, W. G. (2020). Novel Workflow for Conversion of Catheter-Based Electroanatomic Mapping to DICOM Imaging for Noninvasive Radioablation of Ventricular Tachycardia. </w:t>
      </w:r>
      <w:r w:rsidRPr="00C63C14">
        <w:rPr>
          <w:rFonts w:cs="Times New Roman"/>
          <w:i/>
          <w:iCs/>
          <w:noProof/>
        </w:rPr>
        <w:t>Pract. Radiat. Oncol.</w:t>
      </w:r>
      <w:r w:rsidRPr="00C63C14">
        <w:rPr>
          <w:rFonts w:cs="Times New Roman"/>
          <w:noProof/>
        </w:rPr>
        <w:t>, 1–5. doi:10.1016/j.prro.2020.04.006.</w:t>
      </w:r>
    </w:p>
    <w:p w14:paraId="1ADCC58C"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Cantwell, C. D., Roney, C. H., Ali, R. L., Qureshi, N. A., Lim, P. B., and Peters, N. S. (2014). A software platform for the comparative analysis of electroanatomic and imaging data including conduction velocity mapping. </w:t>
      </w:r>
      <w:r w:rsidRPr="00C63C14">
        <w:rPr>
          <w:rFonts w:cs="Times New Roman"/>
          <w:i/>
          <w:iCs/>
          <w:noProof/>
        </w:rPr>
        <w:t>2014 36th Annu. Int. Conf. IEEE Eng. Med. Biol. Soc. EMBC 2014</w:t>
      </w:r>
      <w:r w:rsidRPr="00C63C14">
        <w:rPr>
          <w:rFonts w:cs="Times New Roman"/>
          <w:noProof/>
        </w:rPr>
        <w:t>, 1591–1594. doi:10.1109/EMBC.2014.6943908.</w:t>
      </w:r>
    </w:p>
    <w:p w14:paraId="229358F6"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Cantwell, C. D., Roney, C. H., Ng, F. S., Siggers, J. H., Sherwin, S. J., and Peters, N. S. (2015). Techniques for automated local activation time annotation and conduction velocity estimation in cardiac mapping. </w:t>
      </w:r>
      <w:r w:rsidRPr="00C63C14">
        <w:rPr>
          <w:rFonts w:cs="Times New Roman"/>
          <w:i/>
          <w:iCs/>
          <w:noProof/>
        </w:rPr>
        <w:t>Comput. Biol. Med.</w:t>
      </w:r>
      <w:r w:rsidRPr="00C63C14">
        <w:rPr>
          <w:rFonts w:cs="Times New Roman"/>
          <w:noProof/>
        </w:rPr>
        <w:t xml:space="preserve"> 65, 229–242. doi:10.1016/j.compbiomed.2015.04.027.</w:t>
      </w:r>
    </w:p>
    <w:p w14:paraId="09C8ABB0"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Chang, S. L., Chen, Y. C., Hsu, C. P., Kao, Y. H., Lin, Y. K., Lin, Y. J., et al. (2013). Electrophysiological characteristics of complex fractionated electrograms and high frequency </w:t>
      </w:r>
      <w:r w:rsidRPr="00C63C14">
        <w:rPr>
          <w:rFonts w:cs="Times New Roman"/>
          <w:noProof/>
        </w:rPr>
        <w:lastRenderedPageBreak/>
        <w:t xml:space="preserve">activity in atrial fibrillation. </w:t>
      </w:r>
      <w:r w:rsidRPr="00C63C14">
        <w:rPr>
          <w:rFonts w:cs="Times New Roman"/>
          <w:i/>
          <w:iCs/>
          <w:noProof/>
        </w:rPr>
        <w:t>Int. J. Cardiol.</w:t>
      </w:r>
      <w:r w:rsidRPr="00C63C14">
        <w:rPr>
          <w:rFonts w:cs="Times New Roman"/>
          <w:noProof/>
        </w:rPr>
        <w:t xml:space="preserve"> 168, 2289–2299. doi:10.1016/j.ijcard.2013.01.194.</w:t>
      </w:r>
    </w:p>
    <w:p w14:paraId="726F3C00"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Child, N., Clayton, R. H., Roney, C. H., Laughner, J. I., Shuros, A., Neuzil, P., et al. (2018). Unraveling the Underlying Arrhythmia Mechanism in Persistent Atrial Fibrillation. </w:t>
      </w:r>
      <w:r w:rsidRPr="00C63C14">
        <w:rPr>
          <w:rFonts w:cs="Times New Roman"/>
          <w:i/>
          <w:iCs/>
          <w:noProof/>
        </w:rPr>
        <w:t>Circ. Arrhythmia Electrophysiol.</w:t>
      </w:r>
      <w:r w:rsidRPr="00C63C14">
        <w:rPr>
          <w:rFonts w:cs="Times New Roman"/>
          <w:noProof/>
        </w:rPr>
        <w:t xml:space="preserve"> 11, e005897. Available at: http://circep.ahajournals.org/content/11/6/e005897.abstract.</w:t>
      </w:r>
    </w:p>
    <w:p w14:paraId="305DCDA1"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Deno, D. C., Balachandran, R., Morgan, D., Ahmad, F., Masse, S., and Nanthakumar, K. (2017). Orientation-Independent Catheter-Based Characterization of Myocardial Activation. </w:t>
      </w:r>
      <w:r w:rsidRPr="00C63C14">
        <w:rPr>
          <w:rFonts w:cs="Times New Roman"/>
          <w:i/>
          <w:iCs/>
          <w:noProof/>
        </w:rPr>
        <w:t>IEEE Trans. Biomed. Eng.</w:t>
      </w:r>
      <w:r w:rsidRPr="00C63C14">
        <w:rPr>
          <w:rFonts w:cs="Times New Roman"/>
          <w:noProof/>
        </w:rPr>
        <w:t xml:space="preserve"> 64, 1067–1177. doi:10.1109/TBME.2016.2589158.</w:t>
      </w:r>
    </w:p>
    <w:p w14:paraId="19A65642"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El Haddad, M., Houben, R., Stroobandt, R., Van Heuverswyn, F., Tavernier, R., and Duytschaever, M. (2014). Novel Algorithmic Methods in Mapping of Atrial and Ventricular Tachycardia. </w:t>
      </w:r>
      <w:r w:rsidRPr="00C63C14">
        <w:rPr>
          <w:rFonts w:cs="Times New Roman"/>
          <w:i/>
          <w:iCs/>
          <w:noProof/>
        </w:rPr>
        <w:t>Circ. Arrhythmia Electrophysiol.</w:t>
      </w:r>
      <w:r w:rsidRPr="00C63C14">
        <w:rPr>
          <w:rFonts w:cs="Times New Roman"/>
          <w:noProof/>
        </w:rPr>
        <w:t xml:space="preserve"> 7, 463–472. doi:10.1161/CIRCEP.113.000833.</w:t>
      </w:r>
    </w:p>
    <w:p w14:paraId="1D47E15E"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Gaita, F., Caponi, D., Scaglione, M., Montefusco, A., Corleto, A., Di Monte, F., et al. (2008). Long-term clinical results of 2 different ablation strategies in patients with paroxysmal and persistent atrial fibrillation. </w:t>
      </w:r>
      <w:r w:rsidRPr="00C63C14">
        <w:rPr>
          <w:rFonts w:cs="Times New Roman"/>
          <w:i/>
          <w:iCs/>
          <w:noProof/>
        </w:rPr>
        <w:t>Circ. Arrhythm. Electrophysiol.</w:t>
      </w:r>
      <w:r w:rsidRPr="00C63C14">
        <w:rPr>
          <w:rFonts w:cs="Times New Roman"/>
          <w:noProof/>
        </w:rPr>
        <w:t xml:space="preserve"> 1, 269–275. doi:10.1161/CIRCEP.108.774885.</w:t>
      </w:r>
    </w:p>
    <w:p w14:paraId="699DA03F"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Hansen, B. J., Zhao, J., Li, N., Zolotarev, A., Zakharkin, S., Wang, Y., et al. (2018). Human Atrial Fibrillation Drivers Resolved With Integrated Functional and Structural Imaging to Benefit Clinical Mapping. </w:t>
      </w:r>
      <w:r w:rsidRPr="00C63C14">
        <w:rPr>
          <w:rFonts w:cs="Times New Roman"/>
          <w:i/>
          <w:iCs/>
          <w:noProof/>
        </w:rPr>
        <w:t>JACC Clin. Electrophysiol.</w:t>
      </w:r>
      <w:r w:rsidRPr="00C63C14">
        <w:rPr>
          <w:rFonts w:cs="Times New Roman"/>
          <w:noProof/>
        </w:rPr>
        <w:t xml:space="preserve"> 4, 1501–1515. doi:10.1016/j.jacep.2018.08.024.</w:t>
      </w:r>
    </w:p>
    <w:p w14:paraId="5F198D91"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Herczeg, S., Galvin, J., Keaney, J. J., Keelan, E., Byrne, R., Howard, C., et al. (2020a). The Value of Voltage Histogram Analysis Derived Right Atrial Scar Burden in the Prediction of Left Atrial Scar Burden. </w:t>
      </w:r>
      <w:r w:rsidRPr="00C63C14">
        <w:rPr>
          <w:rFonts w:cs="Times New Roman"/>
          <w:i/>
          <w:iCs/>
          <w:noProof/>
        </w:rPr>
        <w:t>Cardiol. Res. Pract.</w:t>
      </w:r>
      <w:r w:rsidRPr="00C63C14">
        <w:rPr>
          <w:rFonts w:cs="Times New Roman"/>
          <w:noProof/>
        </w:rPr>
        <w:t xml:space="preserve"> 2020. doi:10.1155/2020/3981684.</w:t>
      </w:r>
    </w:p>
    <w:p w14:paraId="7258D71A"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Herczeg, S., Walsh, K., Keaney, J. J., Keelan, E., Travers, J., Szeplaki, G., et al. (2020b). Quantitative assessment of left atrial scar using high-density voltage mapping and a novel automated voltage analysis tool. </w:t>
      </w:r>
      <w:r w:rsidRPr="00C63C14">
        <w:rPr>
          <w:rFonts w:cs="Times New Roman"/>
          <w:i/>
          <w:iCs/>
          <w:noProof/>
        </w:rPr>
        <w:t>J. Interv. Card. Electrophysiol.</w:t>
      </w:r>
      <w:r w:rsidRPr="00C63C14">
        <w:rPr>
          <w:rFonts w:cs="Times New Roman"/>
          <w:noProof/>
        </w:rPr>
        <w:t xml:space="preserve"> 59, 5–12. doi:10.1007/s10840-019-00570-7.</w:t>
      </w:r>
    </w:p>
    <w:p w14:paraId="55410212"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Hohmann, S., Henkenberens, C., Zormpas, C., Christiansen, H., Bauersachs, J., Duncker, D., et al. (2020). A novel open-source software-based high-precision workflow for target definition in cardiac radioablation. </w:t>
      </w:r>
      <w:r w:rsidRPr="00C63C14">
        <w:rPr>
          <w:rFonts w:cs="Times New Roman"/>
          <w:i/>
          <w:iCs/>
          <w:noProof/>
        </w:rPr>
        <w:t>J. Cardiovasc. Electrophysiol.</w:t>
      </w:r>
      <w:r w:rsidRPr="00C63C14">
        <w:rPr>
          <w:rFonts w:cs="Times New Roman"/>
          <w:noProof/>
        </w:rPr>
        <w:t xml:space="preserve"> 31, 2689–2695. doi:10.1111/jce.14660.</w:t>
      </w:r>
    </w:p>
    <w:p w14:paraId="39F94FAB"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Iwasaki, Y. K., Nishida, K., Kato, T., and Nattel, S. (2011). Atrial fibrillation pathophysiology: Implications for management. </w:t>
      </w:r>
      <w:r w:rsidRPr="00C63C14">
        <w:rPr>
          <w:rFonts w:cs="Times New Roman"/>
          <w:i/>
          <w:iCs/>
          <w:noProof/>
        </w:rPr>
        <w:t>Circulation</w:t>
      </w:r>
      <w:r w:rsidRPr="00C63C14">
        <w:rPr>
          <w:rFonts w:cs="Times New Roman"/>
          <w:noProof/>
        </w:rPr>
        <w:t xml:space="preserve"> 124, 2264–2274. doi:10.1161/CIRCULATIONAHA.111.019893.</w:t>
      </w:r>
    </w:p>
    <w:p w14:paraId="2C7238E0"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Jadidi, A. S., Lehrmann, H., Keyl, C., Sorrel, J., Markstein, V., Minners, J., et al. (2016). Ablation of Persistent Atrial Fibrillation Targeting Low-Voltage Areas With Selective Activation Characteristics. </w:t>
      </w:r>
      <w:r w:rsidRPr="00C63C14">
        <w:rPr>
          <w:rFonts w:cs="Times New Roman"/>
          <w:i/>
          <w:iCs/>
          <w:noProof/>
        </w:rPr>
        <w:t>Circ. Arrhythmia Electrophysiol.</w:t>
      </w:r>
      <w:r w:rsidRPr="00C63C14">
        <w:rPr>
          <w:rFonts w:cs="Times New Roman"/>
          <w:noProof/>
        </w:rPr>
        <w:t xml:space="preserve"> 9, e002962. doi:10.1161/CIRCEP.115.002962.</w:t>
      </w:r>
    </w:p>
    <w:p w14:paraId="34FCB67A"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Jamil-Copley, S., Linton, N. W., Koa-Wing, M., Kojodjojo, P., Lim, P. B., Malcolme-Lawes, L., et al. </w:t>
      </w:r>
      <w:r w:rsidRPr="00C63C14">
        <w:rPr>
          <w:rFonts w:cs="Times New Roman"/>
          <w:noProof/>
        </w:rPr>
        <w:lastRenderedPageBreak/>
        <w:t xml:space="preserve">(2013). Application of ripple mapping with an electroanatomic mapping system for diagnosis of atrial tachycardias. </w:t>
      </w:r>
      <w:r w:rsidRPr="00C63C14">
        <w:rPr>
          <w:rFonts w:cs="Times New Roman"/>
          <w:i/>
          <w:iCs/>
          <w:noProof/>
        </w:rPr>
        <w:t>J. Cardiovasc. Electrophysiol.</w:t>
      </w:r>
      <w:r w:rsidRPr="00C63C14">
        <w:rPr>
          <w:rFonts w:cs="Times New Roman"/>
          <w:noProof/>
        </w:rPr>
        <w:t xml:space="preserve"> 24, 1361–9. doi:10.1111/jce.12259.</w:t>
      </w:r>
    </w:p>
    <w:p w14:paraId="5DF13CA3"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Kadish, A., Johnson, D., Choe, W., Goldberger, J., and Horvath, G. (2003). Characterization of fibrillatory rhythms by ensemble vector directional analysis. </w:t>
      </w:r>
      <w:r w:rsidRPr="00C63C14">
        <w:rPr>
          <w:rFonts w:cs="Times New Roman"/>
          <w:i/>
          <w:iCs/>
          <w:noProof/>
        </w:rPr>
        <w:t>Am. J. Physiol. - Hear. Circ. Physiol.</w:t>
      </w:r>
      <w:r w:rsidRPr="00C63C14">
        <w:rPr>
          <w:rFonts w:cs="Times New Roman"/>
          <w:noProof/>
        </w:rPr>
        <w:t xml:space="preserve"> 285, 1705–1719. doi:10.1152/ajpheart.01108.2001.</w:t>
      </w:r>
    </w:p>
    <w:p w14:paraId="0AB01CA6"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Kim, Y. H., Chen, S. A., Ernst, S., Guzman, C. E., Han, S., Kalarus, Z., et al. (2020). 2019 APHRS expert consensus statement on three-dimensional mapping systems for tachycardia developed in collaboration with HRS, EHRA, and LAHRS. </w:t>
      </w:r>
      <w:r w:rsidRPr="00C63C14">
        <w:rPr>
          <w:rFonts w:cs="Times New Roman"/>
          <w:i/>
          <w:iCs/>
          <w:noProof/>
        </w:rPr>
        <w:t>J. Arrhythmia</w:t>
      </w:r>
      <w:r w:rsidRPr="00C63C14">
        <w:rPr>
          <w:rFonts w:cs="Times New Roman"/>
          <w:noProof/>
        </w:rPr>
        <w:t xml:space="preserve"> 36, 215–270. doi:10.1002/joa3.12308.</w:t>
      </w:r>
    </w:p>
    <w:p w14:paraId="2147C135"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Kistler, P. M., Sanders, P., Fynn, S. P., Stevenson, I. H., Spence, S. J., Vohra, J. K., et al. (2004). Electrophysiologic and electroanatomic changes in the human atrium associated with age. </w:t>
      </w:r>
      <w:r w:rsidRPr="00C63C14">
        <w:rPr>
          <w:rFonts w:cs="Times New Roman"/>
          <w:i/>
          <w:iCs/>
          <w:noProof/>
        </w:rPr>
        <w:t>J. Am. Coll. Cardiol.</w:t>
      </w:r>
      <w:r w:rsidRPr="00C63C14">
        <w:rPr>
          <w:rFonts w:cs="Times New Roman"/>
          <w:noProof/>
        </w:rPr>
        <w:t xml:space="preserve"> 44, 109–16. doi:10.1016/j.jacc.2004.03.044.</w:t>
      </w:r>
    </w:p>
    <w:p w14:paraId="58CBCADF"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Kojodjojo, P., Kanagaratnam, P., Markides, V., Davies, W., and Peters, N. (2006a). Age-related changes in human left and right atrial conduction. </w:t>
      </w:r>
      <w:r w:rsidRPr="00C63C14">
        <w:rPr>
          <w:rFonts w:cs="Times New Roman"/>
          <w:i/>
          <w:iCs/>
          <w:noProof/>
        </w:rPr>
        <w:t>J. Cardiovasc. Electrophysiol.</w:t>
      </w:r>
      <w:r w:rsidRPr="00C63C14">
        <w:rPr>
          <w:rFonts w:cs="Times New Roman"/>
          <w:noProof/>
        </w:rPr>
        <w:t xml:space="preserve"> 17, 120–127. doi:10.1111/j.1540-8167.2006.00293.x.</w:t>
      </w:r>
    </w:p>
    <w:p w14:paraId="1D32A4D5"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Kojodjojo, P., Kanagaratnam, P., Segal, O. R., Hussain, W., and Peters, N. S. (2006b). The Effects of Carbenoxolone on Human Myocardial Conduction. A Tool to Investigate the Role of Gap Junctional Uncoupling in Human Arrhythmogenesis. </w:t>
      </w:r>
      <w:r w:rsidRPr="00C63C14">
        <w:rPr>
          <w:rFonts w:cs="Times New Roman"/>
          <w:i/>
          <w:iCs/>
          <w:noProof/>
        </w:rPr>
        <w:t>J. Am. Coll. Cardiol.</w:t>
      </w:r>
      <w:r w:rsidRPr="00C63C14">
        <w:rPr>
          <w:rFonts w:cs="Times New Roman"/>
          <w:noProof/>
        </w:rPr>
        <w:t xml:space="preserve"> 48, 1242–1249. doi:10.1016/j.jacc.2006.04.093.</w:t>
      </w:r>
    </w:p>
    <w:p w14:paraId="3AEA2E5C"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Kojodjojo, P., Peters, N. S., Davies, D. W., and Kanagaratnam, P. (2007). Characterization of the Electroanatomical Substrate in Human Atrial Fibrillation: The Relationship between Changes in Atrial Volume, Refractoriness, Wavefront Propagation Velocities, and AF Burden. </w:t>
      </w:r>
      <w:r w:rsidRPr="00C63C14">
        <w:rPr>
          <w:rFonts w:cs="Times New Roman"/>
          <w:i/>
          <w:iCs/>
          <w:noProof/>
        </w:rPr>
        <w:t>J. Cardiovasc. Electrophysiol.</w:t>
      </w:r>
      <w:r w:rsidRPr="00C63C14">
        <w:rPr>
          <w:rFonts w:cs="Times New Roman"/>
          <w:noProof/>
        </w:rPr>
        <w:t xml:space="preserve"> 18, 269–275. doi:10.1111/j.1540-8167.2007.00723.x.</w:t>
      </w:r>
    </w:p>
    <w:p w14:paraId="450154FD"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Lau, D. H., Linz, D., and Sanders, P. (2019). New Findings in Atrial Fibrillation Mechanisms. </w:t>
      </w:r>
      <w:r w:rsidRPr="00C63C14">
        <w:rPr>
          <w:rFonts w:cs="Times New Roman"/>
          <w:i/>
          <w:iCs/>
          <w:noProof/>
        </w:rPr>
        <w:t>Card. Electrophysiol. Clin.</w:t>
      </w:r>
      <w:r w:rsidRPr="00C63C14">
        <w:rPr>
          <w:rFonts w:cs="Times New Roman"/>
          <w:noProof/>
        </w:rPr>
        <w:t xml:space="preserve"> 11, 563–571. doi:10.1016/j.ccep.2019.08.007.</w:t>
      </w:r>
    </w:p>
    <w:p w14:paraId="5F265862"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Linton, N. W., Koa-Wing, M., Francis, D. P., Kojodjojo, P., Lim, P. B., Salukhe, T. V, et al. (2009). Cardiac ripple mapping: a novel three-dimensional visualization method for use with electroanatomic mapping of cardiac arrhythmias. </w:t>
      </w:r>
      <w:r w:rsidRPr="00C63C14">
        <w:rPr>
          <w:rFonts w:cs="Times New Roman"/>
          <w:i/>
          <w:iCs/>
          <w:noProof/>
        </w:rPr>
        <w:t>Hear. Rhythm</w:t>
      </w:r>
      <w:r w:rsidRPr="00C63C14">
        <w:rPr>
          <w:rFonts w:cs="Times New Roman"/>
          <w:noProof/>
        </w:rPr>
        <w:t xml:space="preserve"> 6, 1754–62. doi:10.1016/j.hrthm.2009.08.038.</w:t>
      </w:r>
    </w:p>
    <w:p w14:paraId="5D1985B6"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Lucivero, F. (2020). Big Data, Big Waste? A Reflection on the Environmental Sustainability of Big Data Initiatives. </w:t>
      </w:r>
      <w:r w:rsidRPr="00C63C14">
        <w:rPr>
          <w:rFonts w:cs="Times New Roman"/>
          <w:i/>
          <w:iCs/>
          <w:noProof/>
        </w:rPr>
        <w:t>Sci. Eng. Ethics</w:t>
      </w:r>
      <w:r w:rsidRPr="00C63C14">
        <w:rPr>
          <w:rFonts w:cs="Times New Roman"/>
          <w:noProof/>
        </w:rPr>
        <w:t xml:space="preserve"> 26, 1009–1030. doi:10.1007/s11948-019-00171-7.</w:t>
      </w:r>
    </w:p>
    <w:p w14:paraId="372B765A"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Masè, M., and Ravelli, F. (2010). Automatic reconstruction of activation and velocity maps from electro-anatomic data by radial basis functions. </w:t>
      </w:r>
      <w:r w:rsidRPr="00C63C14">
        <w:rPr>
          <w:rFonts w:cs="Times New Roman"/>
          <w:i/>
          <w:iCs/>
          <w:noProof/>
        </w:rPr>
        <w:t xml:space="preserve">2010 Annu. Int. Conf. IEEE Eng. Med. Biol. Soc. </w:t>
      </w:r>
      <w:r w:rsidRPr="00C63C14">
        <w:rPr>
          <w:rFonts w:cs="Times New Roman"/>
          <w:i/>
          <w:iCs/>
          <w:noProof/>
        </w:rPr>
        <w:lastRenderedPageBreak/>
        <w:t>EMBC’10</w:t>
      </w:r>
      <w:r w:rsidRPr="00C63C14">
        <w:rPr>
          <w:rFonts w:cs="Times New Roman"/>
          <w:noProof/>
        </w:rPr>
        <w:t>, 2608–2611. doi:10.1109/IEMBS.2010.5626616.</w:t>
      </w:r>
    </w:p>
    <w:p w14:paraId="19682F5E"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Massé, S., Magtibay, K., Jackson, N., Asta, J., Kusha, M., Zhang, B., et al. (2016). Resolving myocardial activation with novel omnipolar electrograms. </w:t>
      </w:r>
      <w:r w:rsidRPr="00C63C14">
        <w:rPr>
          <w:rFonts w:cs="Times New Roman"/>
          <w:i/>
          <w:iCs/>
          <w:noProof/>
        </w:rPr>
        <w:t>Circ. Arrhythmia Electrophysiol.</w:t>
      </w:r>
      <w:r w:rsidRPr="00C63C14">
        <w:rPr>
          <w:rFonts w:cs="Times New Roman"/>
          <w:noProof/>
        </w:rPr>
        <w:t xml:space="preserve"> 9, 1–13. doi:10.1161/CIRCEP.116.004107.</w:t>
      </w:r>
    </w:p>
    <w:p w14:paraId="4CEDE65D"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Mourad, A., and Nash, M. (2007). Method for quantifiying conduction velocity during ventricular fibrillation. </w:t>
      </w:r>
      <w:r w:rsidRPr="00C63C14">
        <w:rPr>
          <w:rFonts w:cs="Times New Roman"/>
          <w:i/>
          <w:iCs/>
          <w:noProof/>
        </w:rPr>
        <w:t>Phys. Rev. E</w:t>
      </w:r>
      <w:r w:rsidRPr="00C63C14">
        <w:rPr>
          <w:rFonts w:cs="Times New Roman"/>
          <w:noProof/>
        </w:rPr>
        <w:t xml:space="preserve"> 75, 1–7. doi:10.1103/PhysRevE.75.011914.</w:t>
      </w:r>
    </w:p>
    <w:p w14:paraId="5DAB66FC"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Nalliah, C. J., Wong, G. R., Lee, G., Voskoboinik, A., Kee, K., Goldin, J., et al. (2021). Sleep apnoea has a dose-dependent effect on atrial remodelling in paroxysmal but not persistent atrial fibrillation: a high-density mapping study. </w:t>
      </w:r>
      <w:r w:rsidRPr="00C63C14">
        <w:rPr>
          <w:rFonts w:cs="Times New Roman"/>
          <w:i/>
          <w:iCs/>
          <w:noProof/>
        </w:rPr>
        <w:t>EP Eur.</w:t>
      </w:r>
      <w:r w:rsidRPr="00C63C14">
        <w:rPr>
          <w:rFonts w:cs="Times New Roman"/>
          <w:noProof/>
        </w:rPr>
        <w:t>, 1–10. doi:10.1093/europace/euaa275.</w:t>
      </w:r>
    </w:p>
    <w:p w14:paraId="139AAC4A"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O’Neill, L., Karim, R., Mukherjee, R. K., Whitaker, J., Sim, I., Harrison, J., et al. (2019). Pulmonary vein encirclement using an Ablation Index-guided point-by-point workflow: Cardiovascular magnetic resonance assessment of left atrial scar formation. </w:t>
      </w:r>
      <w:r w:rsidRPr="00C63C14">
        <w:rPr>
          <w:rFonts w:cs="Times New Roman"/>
          <w:i/>
          <w:iCs/>
          <w:noProof/>
        </w:rPr>
        <w:t>Europace</w:t>
      </w:r>
      <w:r w:rsidRPr="00C63C14">
        <w:rPr>
          <w:rFonts w:cs="Times New Roman"/>
          <w:noProof/>
        </w:rPr>
        <w:t xml:space="preserve"> 21, 1817–1823. doi:10.1093/europace/euz226.</w:t>
      </w:r>
    </w:p>
    <w:p w14:paraId="2FD04516"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Pak, H.-N., Oh, Y. S., Lim, H. E., Kim, Y.-H., and Hwang, C. (2011). Comparison of voltage map-guided left atrial anterior wall ablation versus left lateral mitral isthmus ablation in patients with persistent atrial fibrillation. </w:t>
      </w:r>
      <w:r w:rsidRPr="00C63C14">
        <w:rPr>
          <w:rFonts w:cs="Times New Roman"/>
          <w:i/>
          <w:iCs/>
          <w:noProof/>
        </w:rPr>
        <w:t>Hear. Rhythm</w:t>
      </w:r>
      <w:r w:rsidRPr="00C63C14">
        <w:rPr>
          <w:rFonts w:cs="Times New Roman"/>
          <w:noProof/>
        </w:rPr>
        <w:t xml:space="preserve"> 8, 199–206. doi:10.1016/j.hrthm.2010.10.015.</w:t>
      </w:r>
    </w:p>
    <w:p w14:paraId="63F72B4A"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Pappone, C., Mecarocci, V., Manguso, F., Ciconte, G., Vicedomini, G., Sturla, F., et al. (2020). New electromechanical substrate abnormalities in high-risk patients with Brugada syndrome. </w:t>
      </w:r>
      <w:r w:rsidRPr="00C63C14">
        <w:rPr>
          <w:rFonts w:cs="Times New Roman"/>
          <w:i/>
          <w:iCs/>
          <w:noProof/>
        </w:rPr>
        <w:t>Hear. Rhythm</w:t>
      </w:r>
      <w:r w:rsidRPr="00C63C14">
        <w:rPr>
          <w:rFonts w:cs="Times New Roman"/>
          <w:noProof/>
        </w:rPr>
        <w:t xml:space="preserve"> 17, 637–645. doi:10.1016/j.hrthm.2019.11.019.</w:t>
      </w:r>
    </w:p>
    <w:p w14:paraId="1C44AEF8"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Pokorney, S. D., Friedman, D. J., Calkins, H., Callans, D. J., Daoud, E. G., Della-Bella, P., et al. (2016). Catheter ablation of ventricular tachycardia: Lessons learned from past clinical trials and implications for future clinical trials. </w:t>
      </w:r>
      <w:r w:rsidRPr="00C63C14">
        <w:rPr>
          <w:rFonts w:cs="Times New Roman"/>
          <w:i/>
          <w:iCs/>
          <w:noProof/>
        </w:rPr>
        <w:t>Hear. Rhythm</w:t>
      </w:r>
      <w:r w:rsidRPr="00C63C14">
        <w:rPr>
          <w:rFonts w:cs="Times New Roman"/>
          <w:noProof/>
        </w:rPr>
        <w:t xml:space="preserve"> 13, 1748–1754. doi:10.1016/j.hrthm.2016.04.001.</w:t>
      </w:r>
    </w:p>
    <w:p w14:paraId="11F927F4"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Ravelli, F., Masè, M., Del Greco, M., Marini, M., and Disertori, M. (2011). Acute atrial dilatation slows conduction and increases AF vulnerability in the human atrium. </w:t>
      </w:r>
      <w:r w:rsidRPr="00C63C14">
        <w:rPr>
          <w:rFonts w:cs="Times New Roman"/>
          <w:i/>
          <w:iCs/>
          <w:noProof/>
        </w:rPr>
        <w:t>J. Cardiovasc. Electrophysiol.</w:t>
      </w:r>
      <w:r w:rsidRPr="00C63C14">
        <w:rPr>
          <w:rFonts w:cs="Times New Roman"/>
          <w:noProof/>
        </w:rPr>
        <w:t xml:space="preserve"> 22, 394–401. doi:10.1111/j.1540-8167.2010.01939.x.</w:t>
      </w:r>
    </w:p>
    <w:p w14:paraId="1E7E7689"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Ríos-Muñoz, G. R., Arenal, Á., and Artés-Rodríguez, A. (2018). Real-time rotational activity detection in atrial fibrillation. </w:t>
      </w:r>
      <w:r w:rsidRPr="00C63C14">
        <w:rPr>
          <w:rFonts w:cs="Times New Roman"/>
          <w:i/>
          <w:iCs/>
          <w:noProof/>
        </w:rPr>
        <w:t>Front. Physiol.</w:t>
      </w:r>
      <w:r w:rsidRPr="00C63C14">
        <w:rPr>
          <w:rFonts w:cs="Times New Roman"/>
          <w:noProof/>
        </w:rPr>
        <w:t xml:space="preserve"> 9, 1–17. doi:10.3389/fphys.2018.00208.</w:t>
      </w:r>
    </w:p>
    <w:p w14:paraId="749636C4"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Roney, C. H., Cantwell, C. D., Qureshi, N. A., Ali, R. L., Chang, E. T. Y., Lim, P. B., et al. (2014). An automated algorithm for determining conduction velocity, wavefront direction and origin of focal cardiac arrhythmias using a multipolar catheter. </w:t>
      </w:r>
      <w:r w:rsidRPr="00C63C14">
        <w:rPr>
          <w:rFonts w:cs="Times New Roman"/>
          <w:i/>
          <w:iCs/>
          <w:noProof/>
        </w:rPr>
        <w:t>2014 36th Annu. Int. Conf. IEEE Eng. Med. Biol. Soc. EMBC 2014</w:t>
      </w:r>
      <w:r w:rsidRPr="00C63C14">
        <w:rPr>
          <w:rFonts w:cs="Times New Roman"/>
          <w:noProof/>
        </w:rPr>
        <w:t>, 1583–1586. doi:10.1109/EMBC.2014.6943906.</w:t>
      </w:r>
    </w:p>
    <w:p w14:paraId="41BFE49B"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Roney, C. H., Whitaker, J., Sim, I., O’Neill, L., Mukherjee, R. K., Razeghi, O., et al. (2019). A </w:t>
      </w:r>
      <w:r w:rsidRPr="00C63C14">
        <w:rPr>
          <w:rFonts w:cs="Times New Roman"/>
          <w:noProof/>
        </w:rPr>
        <w:lastRenderedPageBreak/>
        <w:t xml:space="preserve">technique for measuring anisotropy in atrial conduction to estimate conduction velocity and atrial fibre direction. </w:t>
      </w:r>
      <w:r w:rsidRPr="00C63C14">
        <w:rPr>
          <w:rFonts w:cs="Times New Roman"/>
          <w:i/>
          <w:iCs/>
          <w:noProof/>
        </w:rPr>
        <w:t>Comput. Biol. Med.</w:t>
      </w:r>
      <w:r w:rsidRPr="00C63C14">
        <w:rPr>
          <w:rFonts w:cs="Times New Roman"/>
          <w:noProof/>
        </w:rPr>
        <w:t xml:space="preserve"> 104. doi:10.1016/j.compbiomed.2018.10.019.</w:t>
      </w:r>
    </w:p>
    <w:p w14:paraId="79B1DB42"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Sawa, A., Shimizu, A., Ueyama, T., Yoshiga, Y., Suzuki, S., Sugi, N., et al. (2008). Activation patterns and conduction velocity in posterolateral right atrium during typical atrial flutter using an electroanatomic mapping system. </w:t>
      </w:r>
      <w:r w:rsidRPr="00C63C14">
        <w:rPr>
          <w:rFonts w:cs="Times New Roman"/>
          <w:i/>
          <w:iCs/>
          <w:noProof/>
        </w:rPr>
        <w:t>Circ. J.</w:t>
      </w:r>
      <w:r w:rsidRPr="00C63C14">
        <w:rPr>
          <w:rFonts w:cs="Times New Roman"/>
          <w:noProof/>
        </w:rPr>
        <w:t xml:space="preserve"> 72, 384–391. doi:10.1253/circj.72.384.</w:t>
      </w:r>
    </w:p>
    <w:p w14:paraId="373561B9"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Taghji, P., El Haddad, M., Phlips, T., Wolf, M., Knecht, S., Vandekerckhove, Y., et al. (2018). Evaluation of a Strategy Aiming to Enclose the Pulmonary Veins With Contiguous and Optimized Radiofrequency Lesions in Paroxysmal Atrial Fibrillation. </w:t>
      </w:r>
      <w:r w:rsidRPr="00C63C14">
        <w:rPr>
          <w:rFonts w:cs="Times New Roman"/>
          <w:i/>
          <w:iCs/>
          <w:noProof/>
        </w:rPr>
        <w:t>JACC Clin. Electrophysiol.</w:t>
      </w:r>
      <w:r w:rsidRPr="00C63C14">
        <w:rPr>
          <w:rFonts w:cs="Times New Roman"/>
          <w:noProof/>
        </w:rPr>
        <w:t xml:space="preserve"> 4, 99–108. doi:10.1016/j.jacep.2017.06.023.</w:t>
      </w:r>
    </w:p>
    <w:p w14:paraId="15F2BBAB"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Vraka, A., Hornero, F., Bertomeu-González, V., Osca, J., Alcaraz, R., and Rieta, J. J. (2020). Short-time estimation of fractionation in atrial fibrillation with coarse-grained correlation dimension for mapping the atrial substrate. </w:t>
      </w:r>
      <w:r w:rsidRPr="00C63C14">
        <w:rPr>
          <w:rFonts w:cs="Times New Roman"/>
          <w:i/>
          <w:iCs/>
          <w:noProof/>
        </w:rPr>
        <w:t>Entropy</w:t>
      </w:r>
      <w:r w:rsidRPr="00C63C14">
        <w:rPr>
          <w:rFonts w:cs="Times New Roman"/>
          <w:noProof/>
        </w:rPr>
        <w:t xml:space="preserve"> 22, 1–20. doi:10.3390/e22020232.</w:t>
      </w:r>
    </w:p>
    <w:p w14:paraId="1C165136"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Weber, F. M., Luik, A., Schilling, C., Seemann, G., Krueger, M. W., Lorenz, C., et al. (2011). Conduction velocity restitution of the human atriuman-An efficient measurement protocol for clinical electrophysiological studies. </w:t>
      </w:r>
      <w:r w:rsidRPr="00C63C14">
        <w:rPr>
          <w:rFonts w:cs="Times New Roman"/>
          <w:i/>
          <w:iCs/>
          <w:noProof/>
        </w:rPr>
        <w:t>IEEE Trans. Biomed. Eng.</w:t>
      </w:r>
      <w:r w:rsidRPr="00C63C14">
        <w:rPr>
          <w:rFonts w:cs="Times New Roman"/>
          <w:noProof/>
        </w:rPr>
        <w:t xml:space="preserve"> 58, 2648–2655. doi:10.1109/TBME.2011.2160453.</w:t>
      </w:r>
    </w:p>
    <w:p w14:paraId="1F36400A"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Whitaker, J., Fish, J., Harrison, J. L., Chubb, H., Williams, S. E., Fastl, T., et al. (2018). Lesion Index-Guided Ablation Facilitates Continuous, Transmural, and Durable Lesions in a Porcine Recovery Model. </w:t>
      </w:r>
      <w:r w:rsidRPr="00C63C14">
        <w:rPr>
          <w:rFonts w:cs="Times New Roman"/>
          <w:i/>
          <w:iCs/>
          <w:noProof/>
        </w:rPr>
        <w:t>Circ. Arrhythmia Electrophysiol.</w:t>
      </w:r>
      <w:r w:rsidRPr="00C63C14">
        <w:rPr>
          <w:rFonts w:cs="Times New Roman"/>
          <w:noProof/>
        </w:rPr>
        <w:t xml:space="preserve"> 11, e005892. doi:10.1161/CIRCEP.117.005892.</w:t>
      </w:r>
    </w:p>
    <w:p w14:paraId="7F4374AE"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Williams, S. E., Harrison, J. L., Chubb, H., Whitaker, J., Kiedrowicz, R., Rinaldi, C. A. C. A., et al. (2018). Local Activation Time Sampling Density for Atrial Tachycardia Contact Mapping: How Much is Enough. </w:t>
      </w:r>
      <w:r w:rsidRPr="00C63C14">
        <w:rPr>
          <w:rFonts w:cs="Times New Roman"/>
          <w:i/>
          <w:iCs/>
          <w:noProof/>
        </w:rPr>
        <w:t>Europace</w:t>
      </w:r>
      <w:r w:rsidRPr="00C63C14">
        <w:rPr>
          <w:rFonts w:cs="Times New Roman"/>
          <w:noProof/>
        </w:rPr>
        <w:t xml:space="preserve"> 20, e11–e20. doi:10.1093/europace/eux037.</w:t>
      </w:r>
    </w:p>
    <w:p w14:paraId="59E02820"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Williams, S. E., and Linton, N. W. F. (2021). openep/openep-core: First OpenEP release (Version v1.0.0). doi:10.5281/zenodo.4471319.</w:t>
      </w:r>
    </w:p>
    <w:p w14:paraId="077049A4"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Williams, S. E., Linton, N. W., Harrison, J. L., Chubb, H., Whitaker, J., Gill, J. S., et al. (2017). Intra-Atrial Conduction Delay Revealed by Multisite Incremental Atrial Pacing is an Independent Marker of Remodeling in Human Atrial Fibrillation. </w:t>
      </w:r>
      <w:r w:rsidRPr="00C63C14">
        <w:rPr>
          <w:rFonts w:cs="Times New Roman"/>
          <w:i/>
          <w:iCs/>
          <w:noProof/>
        </w:rPr>
        <w:t>JACC Clin. Electrophysiol.</w:t>
      </w:r>
      <w:r w:rsidRPr="00C63C14">
        <w:rPr>
          <w:rFonts w:cs="Times New Roman"/>
          <w:noProof/>
        </w:rPr>
        <w:t xml:space="preserve"> 3, 1006–1017. doi:doi.org/10.1016/j.jacep.2017.02.012.</w:t>
      </w:r>
    </w:p>
    <w:p w14:paraId="79C5CF46" w14:textId="77777777" w:rsidR="00C63C14" w:rsidRPr="00C63C14" w:rsidRDefault="00C63C14" w:rsidP="00C63C14">
      <w:pPr>
        <w:widowControl w:val="0"/>
        <w:autoSpaceDE w:val="0"/>
        <w:autoSpaceDN w:val="0"/>
        <w:adjustRightInd w:val="0"/>
        <w:ind w:left="480" w:hanging="480"/>
        <w:rPr>
          <w:rFonts w:cs="Times New Roman"/>
          <w:noProof/>
        </w:rPr>
      </w:pPr>
      <w:r w:rsidRPr="00C63C14">
        <w:rPr>
          <w:rFonts w:cs="Times New Roman"/>
          <w:noProof/>
        </w:rPr>
        <w:t xml:space="preserve">Williams, S. E., O’Neill, L., Roney, C. H. C. H., Julia, J., Metzner, A., Reißmann, B., et al. (2019). Left Atrial Effective Conducting Size Predicts Atrial Fibrillation Vulnerability in Persistent but not Paroxysmal Atrial Fibrillation. </w:t>
      </w:r>
      <w:r w:rsidRPr="00C63C14">
        <w:rPr>
          <w:rFonts w:cs="Times New Roman"/>
          <w:i/>
          <w:iCs/>
          <w:noProof/>
        </w:rPr>
        <w:t>J. Cardiovasc. Electrophysiol.</w:t>
      </w:r>
      <w:r w:rsidRPr="00C63C14">
        <w:rPr>
          <w:rFonts w:cs="Times New Roman"/>
          <w:noProof/>
        </w:rPr>
        <w:t xml:space="preserve"> 30, 1416–27. doi:10.1111/jce.13990.</w:t>
      </w:r>
    </w:p>
    <w:p w14:paraId="5D6EF9EA" w14:textId="34ADA133" w:rsidR="00213126" w:rsidRDefault="00213126" w:rsidP="00C63C14">
      <w:pPr>
        <w:widowControl w:val="0"/>
        <w:autoSpaceDE w:val="0"/>
        <w:autoSpaceDN w:val="0"/>
        <w:adjustRightInd w:val="0"/>
        <w:ind w:left="480" w:hanging="480"/>
      </w:pPr>
      <w:r>
        <w:fldChar w:fldCharType="end"/>
      </w:r>
      <w:r>
        <w:br w:type="page"/>
      </w:r>
    </w:p>
    <w:p w14:paraId="794FE55B" w14:textId="6FF5B660" w:rsidR="00213126" w:rsidRDefault="00213126" w:rsidP="00EE496B">
      <w:pPr>
        <w:sectPr w:rsidR="00213126" w:rsidSect="00EA4051">
          <w:footerReference w:type="even" r:id="rId12"/>
          <w:footerReference w:type="default" r:id="rId13"/>
          <w:pgSz w:w="11900" w:h="16840"/>
          <w:pgMar w:top="720" w:right="720" w:bottom="816" w:left="1440" w:header="720" w:footer="720" w:gutter="0"/>
          <w:lnNumType w:countBy="1"/>
          <w:cols w:space="720"/>
          <w:docGrid w:linePitch="360"/>
        </w:sectPr>
      </w:pPr>
    </w:p>
    <w:p w14:paraId="4344522A" w14:textId="259804B6" w:rsidR="00BA1F74" w:rsidRDefault="00BA1F74" w:rsidP="00EA4051">
      <w:bookmarkStart w:id="14" w:name="_Ref56663567"/>
      <w:r w:rsidRPr="007C5862">
        <w:rPr>
          <w:b/>
          <w:bCs/>
        </w:rPr>
        <w:lastRenderedPageBreak/>
        <w:t xml:space="preserve">Table </w:t>
      </w:r>
      <w:r w:rsidRPr="007C5862">
        <w:rPr>
          <w:b/>
          <w:bCs/>
        </w:rPr>
        <w:fldChar w:fldCharType="begin"/>
      </w:r>
      <w:r w:rsidRPr="007C5862">
        <w:rPr>
          <w:b/>
          <w:bCs/>
        </w:rPr>
        <w:instrText xml:space="preserve"> SEQ Table \* ARABIC </w:instrText>
      </w:r>
      <w:r w:rsidRPr="007C5862">
        <w:rPr>
          <w:b/>
          <w:bCs/>
        </w:rPr>
        <w:fldChar w:fldCharType="separate"/>
      </w:r>
      <w:r w:rsidR="0040443C">
        <w:rPr>
          <w:b/>
          <w:bCs/>
          <w:noProof/>
        </w:rPr>
        <w:t>1</w:t>
      </w:r>
      <w:r w:rsidRPr="007C5862">
        <w:rPr>
          <w:b/>
          <w:bCs/>
        </w:rPr>
        <w:fldChar w:fldCharType="end"/>
      </w:r>
      <w:bookmarkEnd w:id="14"/>
      <w:r w:rsidRPr="007C5862">
        <w:rPr>
          <w:b/>
          <w:bCs/>
        </w:rPr>
        <w:t>.</w:t>
      </w:r>
      <w:r>
        <w:t xml:space="preserve"> </w:t>
      </w:r>
      <w:r>
        <w:rPr>
          <w:b/>
          <w:bCs/>
        </w:rPr>
        <w:t xml:space="preserve">Available </w:t>
      </w:r>
      <w:proofErr w:type="spellStart"/>
      <w:r w:rsidRPr="007C5862">
        <w:rPr>
          <w:b/>
          <w:bCs/>
        </w:rPr>
        <w:t>OpenEP</w:t>
      </w:r>
      <w:proofErr w:type="spellEnd"/>
      <w:r w:rsidRPr="007C5862">
        <w:rPr>
          <w:b/>
          <w:bCs/>
        </w:rPr>
        <w:t xml:space="preserve"> </w:t>
      </w:r>
      <w:r>
        <w:rPr>
          <w:b/>
          <w:bCs/>
        </w:rPr>
        <w:t>Functions for Data Processing</w:t>
      </w:r>
      <w:r>
        <w:t xml:space="preserve">. </w:t>
      </w:r>
      <w:r w:rsidR="00123B7C">
        <w:t xml:space="preserve">Where parameter-value pairs are to be provided as arguments to </w:t>
      </w:r>
      <w:r w:rsidR="00B12687">
        <w:t xml:space="preserve">a function, </w:t>
      </w:r>
      <w:r w:rsidR="002B70F5">
        <w:t xml:space="preserve">the available options for values are shown in a list separated by ‘|’. </w:t>
      </w:r>
      <w:r w:rsidR="00E81B3E">
        <w:t xml:space="preserve">The </w:t>
      </w:r>
      <w:proofErr w:type="spellStart"/>
      <w:r w:rsidR="00E81B3E">
        <w:t>OpenEP</w:t>
      </w:r>
      <w:proofErr w:type="spellEnd"/>
      <w:r w:rsidR="00E81B3E">
        <w:t xml:space="preserve"> functions contain internal defaults for all of these parameter-value pairs, with the default value indicated by curly braces ({}).</w:t>
      </w:r>
      <w:r w:rsidR="002B70F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1"/>
        <w:gridCol w:w="5213"/>
        <w:gridCol w:w="5950"/>
      </w:tblGrid>
      <w:tr w:rsidR="00BA1F74" w:rsidRPr="004F7B48" w14:paraId="4DA93B91" w14:textId="77777777" w:rsidTr="00861399">
        <w:tc>
          <w:tcPr>
            <w:tcW w:w="1353" w:type="pct"/>
            <w:tcBorders>
              <w:top w:val="single" w:sz="4" w:space="0" w:color="auto"/>
              <w:bottom w:val="single" w:sz="4" w:space="0" w:color="auto"/>
            </w:tcBorders>
          </w:tcPr>
          <w:p w14:paraId="2F10E476" w14:textId="245A97C0" w:rsidR="00BA1F74" w:rsidRPr="004F7B48" w:rsidRDefault="00BA1F74" w:rsidP="000C69EE">
            <w:pPr>
              <w:rPr>
                <w:rFonts w:asciiTheme="minorHAnsi" w:hAnsiTheme="minorHAnsi" w:cstheme="minorHAnsi"/>
                <w:b/>
                <w:bCs/>
                <w:sz w:val="20"/>
                <w:szCs w:val="20"/>
              </w:rPr>
            </w:pPr>
            <w:r>
              <w:rPr>
                <w:rFonts w:asciiTheme="minorHAnsi" w:hAnsiTheme="minorHAnsi" w:cstheme="minorHAnsi"/>
                <w:b/>
                <w:bCs/>
                <w:sz w:val="20"/>
                <w:szCs w:val="20"/>
              </w:rPr>
              <w:t>Function</w:t>
            </w:r>
          </w:p>
        </w:tc>
        <w:tc>
          <w:tcPr>
            <w:tcW w:w="1703" w:type="pct"/>
            <w:tcBorders>
              <w:top w:val="single" w:sz="4" w:space="0" w:color="auto"/>
              <w:bottom w:val="single" w:sz="4" w:space="0" w:color="auto"/>
            </w:tcBorders>
          </w:tcPr>
          <w:p w14:paraId="36194195" w14:textId="6E1E02EE" w:rsidR="00BA1F74" w:rsidRPr="004F7B48" w:rsidRDefault="00BA1F74" w:rsidP="000C69EE">
            <w:pPr>
              <w:rPr>
                <w:rFonts w:asciiTheme="minorHAnsi" w:hAnsiTheme="minorHAnsi" w:cstheme="minorHAnsi"/>
                <w:b/>
                <w:bCs/>
                <w:sz w:val="20"/>
                <w:szCs w:val="20"/>
              </w:rPr>
            </w:pPr>
            <w:r>
              <w:rPr>
                <w:rFonts w:asciiTheme="minorHAnsi" w:hAnsiTheme="minorHAnsi" w:cstheme="minorHAnsi"/>
                <w:b/>
                <w:bCs/>
                <w:sz w:val="20"/>
                <w:szCs w:val="20"/>
              </w:rPr>
              <w:t>Arguments</w:t>
            </w:r>
          </w:p>
        </w:tc>
        <w:tc>
          <w:tcPr>
            <w:tcW w:w="1944" w:type="pct"/>
            <w:tcBorders>
              <w:top w:val="single" w:sz="4" w:space="0" w:color="auto"/>
              <w:bottom w:val="single" w:sz="4" w:space="0" w:color="auto"/>
            </w:tcBorders>
          </w:tcPr>
          <w:p w14:paraId="01F5CC3F" w14:textId="77777777" w:rsidR="00BA1F74" w:rsidRPr="004F7B48" w:rsidRDefault="00BA1F74" w:rsidP="000C69EE">
            <w:pPr>
              <w:rPr>
                <w:rFonts w:asciiTheme="minorHAnsi" w:hAnsiTheme="minorHAnsi" w:cstheme="minorHAnsi"/>
                <w:b/>
                <w:bCs/>
                <w:sz w:val="20"/>
                <w:szCs w:val="20"/>
              </w:rPr>
            </w:pPr>
            <w:r w:rsidRPr="004F7B48">
              <w:rPr>
                <w:rFonts w:asciiTheme="minorHAnsi" w:hAnsiTheme="minorHAnsi" w:cstheme="minorHAnsi"/>
                <w:b/>
                <w:bCs/>
                <w:sz w:val="20"/>
                <w:szCs w:val="20"/>
              </w:rPr>
              <w:t>Description</w:t>
            </w:r>
          </w:p>
        </w:tc>
      </w:tr>
      <w:tr w:rsidR="003B6A64" w:rsidRPr="004F7B48" w14:paraId="28C26A71" w14:textId="77777777" w:rsidTr="00161929">
        <w:tc>
          <w:tcPr>
            <w:tcW w:w="5000" w:type="pct"/>
            <w:gridSpan w:val="3"/>
            <w:tcBorders>
              <w:top w:val="single" w:sz="4" w:space="0" w:color="auto"/>
            </w:tcBorders>
          </w:tcPr>
          <w:p w14:paraId="2DC990BD" w14:textId="12F1EB56" w:rsidR="003B6A64" w:rsidRPr="003B6A64" w:rsidRDefault="003B6A64" w:rsidP="003B6A64">
            <w:pPr>
              <w:jc w:val="center"/>
              <w:rPr>
                <w:rFonts w:asciiTheme="minorHAnsi" w:hAnsiTheme="minorHAnsi" w:cstheme="minorHAnsi"/>
                <w:b/>
                <w:bCs/>
                <w:sz w:val="20"/>
                <w:szCs w:val="20"/>
              </w:rPr>
            </w:pPr>
            <w:r w:rsidRPr="003B6A64">
              <w:rPr>
                <w:rFonts w:asciiTheme="minorHAnsi" w:hAnsiTheme="minorHAnsi" w:cstheme="minorHAnsi"/>
                <w:b/>
                <w:bCs/>
                <w:sz w:val="20"/>
                <w:szCs w:val="20"/>
              </w:rPr>
              <w:t>Geometry Functions</w:t>
            </w:r>
          </w:p>
        </w:tc>
      </w:tr>
      <w:tr w:rsidR="008910B6" w:rsidRPr="004F7B48" w14:paraId="194F61A2" w14:textId="77777777" w:rsidTr="00861399">
        <w:tc>
          <w:tcPr>
            <w:tcW w:w="1353" w:type="pct"/>
          </w:tcPr>
          <w:p w14:paraId="6F16C32A" w14:textId="49E9C74C" w:rsidR="008910B6" w:rsidRPr="006A0BFF" w:rsidRDefault="008910B6" w:rsidP="000C69EE">
            <w:pPr>
              <w:rPr>
                <w:rStyle w:val="SubtleEmphasis"/>
              </w:rPr>
            </w:pPr>
            <w:r w:rsidRPr="006A0BFF">
              <w:rPr>
                <w:rStyle w:val="SubtleEmphasis"/>
              </w:rPr>
              <w:t>distanceBetweenPoints(</w:t>
            </w:r>
            <w:r w:rsidR="001540EA">
              <w:rPr>
                <w:rStyle w:val="SubtleEmphasis"/>
              </w:rPr>
              <w:t>...</w:t>
            </w:r>
            <w:r w:rsidRPr="006A0BFF">
              <w:rPr>
                <w:rStyle w:val="SubtleEmphasis"/>
              </w:rPr>
              <w:t>)</w:t>
            </w:r>
          </w:p>
        </w:tc>
        <w:tc>
          <w:tcPr>
            <w:tcW w:w="1703" w:type="pct"/>
          </w:tcPr>
          <w:p w14:paraId="672D4D48" w14:textId="07687DBB" w:rsidR="008910B6" w:rsidRDefault="00595993" w:rsidP="00595993">
            <w:pPr>
              <w:pStyle w:val="Tabletext"/>
              <w:rPr>
                <w:u w:val="single"/>
              </w:rPr>
            </w:pPr>
            <w:r w:rsidRPr="00062252">
              <w:rPr>
                <w:u w:val="single"/>
              </w:rPr>
              <w:t>Mandatory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7D2ECF" w:rsidRPr="006C15AE" w14:paraId="6C58DF3A" w14:textId="77777777" w:rsidTr="00B54EF2">
              <w:tc>
                <w:tcPr>
                  <w:tcW w:w="1487" w:type="pct"/>
                </w:tcPr>
                <w:p w14:paraId="2CC3B1F1" w14:textId="77777777" w:rsidR="007D2ECF" w:rsidRPr="006C15AE" w:rsidRDefault="007D2ECF" w:rsidP="007D2ECF">
                  <w:pPr>
                    <w:rPr>
                      <w:rStyle w:val="SubtleEmphasis"/>
                    </w:rPr>
                  </w:pPr>
                  <w:r>
                    <w:rPr>
                      <w:rStyle w:val="SubtleEmphasis"/>
                    </w:rPr>
                    <w:t>1</w:t>
                  </w:r>
                </w:p>
              </w:tc>
              <w:tc>
                <w:tcPr>
                  <w:tcW w:w="3513" w:type="pct"/>
                </w:tcPr>
                <w:p w14:paraId="6A8E3374" w14:textId="77777777" w:rsidR="007D2ECF" w:rsidRPr="006C15AE" w:rsidRDefault="007D2ECF" w:rsidP="007D2ECF">
                  <w:pPr>
                    <w:pStyle w:val="Tabletext"/>
                    <w:rPr>
                      <w:rStyle w:val="SubtleEmphasis"/>
                    </w:rPr>
                  </w:pPr>
                  <w:r>
                    <w:rPr>
                      <w:rStyle w:val="SubtleEmphasis"/>
                    </w:rPr>
                    <w:t>userdata</w:t>
                  </w:r>
                </w:p>
              </w:tc>
            </w:tr>
            <w:tr w:rsidR="007D2ECF" w:rsidRPr="006C15AE" w14:paraId="63091D20" w14:textId="77777777" w:rsidTr="00B54EF2">
              <w:tc>
                <w:tcPr>
                  <w:tcW w:w="1487" w:type="pct"/>
                </w:tcPr>
                <w:p w14:paraId="245F8BEA" w14:textId="2559DE85" w:rsidR="007D2ECF" w:rsidRDefault="007D2ECF" w:rsidP="007D2ECF">
                  <w:pPr>
                    <w:rPr>
                      <w:rStyle w:val="SubtleEmphasis"/>
                    </w:rPr>
                  </w:pPr>
                  <w:r>
                    <w:rPr>
                      <w:rStyle w:val="SubtleEmphasis"/>
                    </w:rPr>
                    <w:t>2</w:t>
                  </w:r>
                </w:p>
              </w:tc>
              <w:tc>
                <w:tcPr>
                  <w:tcW w:w="3513" w:type="pct"/>
                </w:tcPr>
                <w:p w14:paraId="0087565F" w14:textId="00390970" w:rsidR="007D2ECF" w:rsidRDefault="007D2ECF" w:rsidP="007D2ECF">
                  <w:pPr>
                    <w:pStyle w:val="Tabletext"/>
                    <w:rPr>
                      <w:rStyle w:val="SubtleEmphasis"/>
                    </w:rPr>
                  </w:pPr>
                  <w:r>
                    <w:rPr>
                      <w:rStyle w:val="SubtleEmphasis"/>
                    </w:rPr>
                    <w:t>Point 1</w:t>
                  </w:r>
                </w:p>
              </w:tc>
            </w:tr>
            <w:tr w:rsidR="007D2ECF" w:rsidRPr="006C15AE" w14:paraId="7A6AB914" w14:textId="77777777" w:rsidTr="00B54EF2">
              <w:tc>
                <w:tcPr>
                  <w:tcW w:w="1487" w:type="pct"/>
                </w:tcPr>
                <w:p w14:paraId="41BA1837" w14:textId="3DCFC0DC" w:rsidR="007D2ECF" w:rsidRDefault="007D2ECF" w:rsidP="007D2ECF">
                  <w:pPr>
                    <w:rPr>
                      <w:rStyle w:val="SubtleEmphasis"/>
                    </w:rPr>
                  </w:pPr>
                  <w:r>
                    <w:rPr>
                      <w:rStyle w:val="SubtleEmphasis"/>
                    </w:rPr>
                    <w:t>3</w:t>
                  </w:r>
                </w:p>
              </w:tc>
              <w:tc>
                <w:tcPr>
                  <w:tcW w:w="3513" w:type="pct"/>
                </w:tcPr>
                <w:p w14:paraId="1B3FD212" w14:textId="17748327" w:rsidR="007D2ECF" w:rsidRDefault="007D2ECF" w:rsidP="007D2ECF">
                  <w:pPr>
                    <w:pStyle w:val="Tabletext"/>
                    <w:rPr>
                      <w:rStyle w:val="SubtleEmphasis"/>
                    </w:rPr>
                  </w:pPr>
                  <w:r>
                    <w:rPr>
                      <w:rStyle w:val="SubtleEmphasis"/>
                    </w:rPr>
                    <w:t>Point 2</w:t>
                  </w:r>
                </w:p>
              </w:tc>
            </w:tr>
          </w:tbl>
          <w:p w14:paraId="4EAC1718" w14:textId="77777777" w:rsidR="007D2ECF" w:rsidRPr="00062252" w:rsidRDefault="007D2ECF" w:rsidP="00595993">
            <w:pPr>
              <w:pStyle w:val="Tabletext"/>
              <w:rPr>
                <w:u w:val="single"/>
              </w:rPr>
            </w:pPr>
          </w:p>
          <w:p w14:paraId="4CD7712D" w14:textId="39077CC3" w:rsidR="00595993" w:rsidRPr="00062252" w:rsidRDefault="00595993" w:rsidP="00B12687">
            <w:pPr>
              <w:pStyle w:val="Tabletext"/>
              <w:rPr>
                <w:u w:val="single"/>
              </w:rPr>
            </w:pPr>
            <w:r w:rsidRPr="00062252">
              <w:rPr>
                <w:u w:val="single"/>
              </w:rPr>
              <w:t>Parameter-value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8"/>
              <w:gridCol w:w="2499"/>
            </w:tblGrid>
            <w:tr w:rsidR="00D456A8" w14:paraId="35A37BFB" w14:textId="77777777" w:rsidTr="00161929">
              <w:tc>
                <w:tcPr>
                  <w:tcW w:w="2499" w:type="pct"/>
                </w:tcPr>
                <w:p w14:paraId="4887795F" w14:textId="36D8990C" w:rsidR="00D456A8" w:rsidRPr="006C15AE" w:rsidRDefault="006C15AE" w:rsidP="006C15AE">
                  <w:pPr>
                    <w:rPr>
                      <w:rStyle w:val="SubtleEmphasis"/>
                    </w:rPr>
                  </w:pPr>
                  <w:r w:rsidRPr="006C15AE">
                    <w:rPr>
                      <w:rStyle w:val="SubtleEmphasis"/>
                    </w:rPr>
                    <w:t>‘method’</w:t>
                  </w:r>
                </w:p>
              </w:tc>
              <w:tc>
                <w:tcPr>
                  <w:tcW w:w="2501" w:type="pct"/>
                </w:tcPr>
                <w:p w14:paraId="104802E3" w14:textId="554486CD" w:rsidR="00D456A8" w:rsidRPr="006C15AE" w:rsidRDefault="006C15AE" w:rsidP="00B12687">
                  <w:pPr>
                    <w:pStyle w:val="Tabletext"/>
                    <w:rPr>
                      <w:rStyle w:val="SubtleEmphasis"/>
                    </w:rPr>
                  </w:pPr>
                  <w:r w:rsidRPr="006C15AE">
                    <w:rPr>
                      <w:rStyle w:val="SubtleEmphasis"/>
                    </w:rPr>
                    <w:t>{‘linear’}</w:t>
                  </w:r>
                  <w:r w:rsidR="008F4EBB">
                    <w:rPr>
                      <w:rStyle w:val="SubtleEmphasis"/>
                    </w:rPr>
                    <w:t xml:space="preserve"> </w:t>
                  </w:r>
                  <w:r w:rsidRPr="006C15AE">
                    <w:rPr>
                      <w:rStyle w:val="SubtleEmphasis"/>
                    </w:rPr>
                    <w:t>|</w:t>
                  </w:r>
                  <w:r w:rsidR="008F4EBB">
                    <w:rPr>
                      <w:rStyle w:val="SubtleEmphasis"/>
                    </w:rPr>
                    <w:t xml:space="preserve"> </w:t>
                  </w:r>
                  <w:r w:rsidRPr="006C15AE">
                    <w:rPr>
                      <w:rStyle w:val="SubtleEmphasis"/>
                    </w:rPr>
                    <w:t>’geodesic’</w:t>
                  </w:r>
                </w:p>
              </w:tc>
            </w:tr>
            <w:tr w:rsidR="00C80557" w14:paraId="09FA8F83" w14:textId="77777777" w:rsidTr="00161929">
              <w:tc>
                <w:tcPr>
                  <w:tcW w:w="2499" w:type="pct"/>
                </w:tcPr>
                <w:p w14:paraId="291E7D8C" w14:textId="7032B627" w:rsidR="00C80557" w:rsidRPr="006C15AE" w:rsidRDefault="00C80557" w:rsidP="006C15AE">
                  <w:pPr>
                    <w:rPr>
                      <w:rStyle w:val="SubtleEmphasis"/>
                    </w:rPr>
                  </w:pPr>
                  <w:r>
                    <w:rPr>
                      <w:rStyle w:val="SubtleEmphasis"/>
                    </w:rPr>
                    <w:t>‘plot’</w:t>
                  </w:r>
                </w:p>
              </w:tc>
              <w:tc>
                <w:tcPr>
                  <w:tcW w:w="2501" w:type="pct"/>
                </w:tcPr>
                <w:p w14:paraId="11C33CA7" w14:textId="0B4FB6FB" w:rsidR="00C80557" w:rsidRPr="006C15AE" w:rsidRDefault="00C80557" w:rsidP="00B12687">
                  <w:pPr>
                    <w:pStyle w:val="Tabletext"/>
                    <w:rPr>
                      <w:rStyle w:val="SubtleEmphasis"/>
                    </w:rPr>
                  </w:pPr>
                  <w:r>
                    <w:rPr>
                      <w:rStyle w:val="SubtleEmphasis"/>
                    </w:rPr>
                    <w:t>{‘false’} | true</w:t>
                  </w:r>
                </w:p>
              </w:tc>
            </w:tr>
          </w:tbl>
          <w:p w14:paraId="574A06E3" w14:textId="18D9B0C6" w:rsidR="00B341D1" w:rsidRPr="00983090" w:rsidRDefault="00B341D1" w:rsidP="00983090">
            <w:pPr>
              <w:pStyle w:val="Tabletext"/>
              <w:rPr>
                <w:rFonts w:ascii="Courier" w:hAnsi="Courier"/>
                <w:iCs/>
                <w:noProof/>
                <w:color w:val="000000" w:themeColor="text1"/>
              </w:rPr>
            </w:pPr>
          </w:p>
        </w:tc>
        <w:tc>
          <w:tcPr>
            <w:tcW w:w="1944" w:type="pct"/>
          </w:tcPr>
          <w:p w14:paraId="393773FE" w14:textId="77777777" w:rsidR="00726CB3" w:rsidRPr="00893BD2" w:rsidRDefault="00726CB3" w:rsidP="00726CB3">
            <w:pPr>
              <w:pStyle w:val="Tabletextheading"/>
            </w:pPr>
            <w:r>
              <w:t>Use case</w:t>
            </w:r>
          </w:p>
          <w:p w14:paraId="57CC8C01" w14:textId="77777777" w:rsidR="00726CB3" w:rsidRDefault="00726CB3" w:rsidP="008F4EBB">
            <w:pPr>
              <w:pStyle w:val="Tabletext"/>
            </w:pPr>
            <w:r>
              <w:t>Calculate the distance between two points in a straight line or across the surface of the geometry.</w:t>
            </w:r>
          </w:p>
          <w:p w14:paraId="3426FDEF" w14:textId="77777777" w:rsidR="00726CB3" w:rsidRDefault="00726CB3" w:rsidP="00726CB3">
            <w:pPr>
              <w:pStyle w:val="Tabletextheading"/>
            </w:pPr>
            <w:r>
              <w:t>Description</w:t>
            </w:r>
          </w:p>
          <w:p w14:paraId="48C7F3DC" w14:textId="77777777" w:rsidR="008F4EBB" w:rsidRDefault="008F4EBB" w:rsidP="008F4EBB">
            <w:pPr>
              <w:pStyle w:val="Tabletext"/>
            </w:pPr>
            <w:r>
              <w:t>Calculate the distance between two points in a straight line or across the surface of the geometry.</w:t>
            </w:r>
          </w:p>
          <w:p w14:paraId="31030EA0" w14:textId="77777777" w:rsidR="00726CB3" w:rsidRDefault="00726CB3" w:rsidP="00726CB3">
            <w:pPr>
              <w:pStyle w:val="Tabletextheading"/>
            </w:pPr>
            <w:r w:rsidRPr="00B035AB">
              <w:t>Example</w:t>
            </w:r>
            <w:r w:rsidRPr="00B341D1">
              <w:t xml:space="preserve"> function call</w:t>
            </w:r>
            <w:r>
              <w:t>(s)</w:t>
            </w:r>
          </w:p>
          <w:p w14:paraId="4DF70A35" w14:textId="0F8A577C" w:rsidR="00726CB3" w:rsidRPr="005A5C86" w:rsidRDefault="00726CB3" w:rsidP="00C80557">
            <w:pPr>
              <w:pStyle w:val="Code"/>
              <w:rPr>
                <w:rStyle w:val="SubtleEmphasis"/>
              </w:rPr>
            </w:pPr>
            <w:r w:rsidRPr="005A5C86">
              <w:rPr>
                <w:rStyle w:val="SubtleEmphasis"/>
              </w:rPr>
              <w:t>d = distanceBetweenPoints(userdata,</w:t>
            </w:r>
            <w:r w:rsidR="00C80557">
              <w:rPr>
                <w:rStyle w:val="SubtleEmphasis"/>
              </w:rPr>
              <w:t xml:space="preserve"> </w:t>
            </w:r>
            <w:r>
              <w:rPr>
                <w:rStyle w:val="SubtleEmphasis"/>
              </w:rPr>
              <w:t>1</w:t>
            </w:r>
            <w:r w:rsidRPr="005A5C86">
              <w:rPr>
                <w:rStyle w:val="SubtleEmphasis"/>
              </w:rPr>
              <w:t>,</w:t>
            </w:r>
            <w:r w:rsidR="00C80557">
              <w:rPr>
                <w:rStyle w:val="SubtleEmphasis"/>
              </w:rPr>
              <w:t xml:space="preserve"> </w:t>
            </w:r>
            <w:r>
              <w:rPr>
                <w:rStyle w:val="SubtleEmphasis"/>
              </w:rPr>
              <w:t>2</w:t>
            </w:r>
            <w:r w:rsidR="00C80557">
              <w:rPr>
                <w:rStyle w:val="SubtleEmphasis"/>
              </w:rPr>
              <w:t>, ’method’, ‘geodesic’, ‘plot’, ‘true’</w:t>
            </w:r>
            <w:r w:rsidRPr="005A5C86">
              <w:rPr>
                <w:rStyle w:val="SubtleEmphasis"/>
              </w:rPr>
              <w:t>)</w:t>
            </w:r>
          </w:p>
        </w:tc>
      </w:tr>
      <w:tr w:rsidR="00BA1F74" w:rsidRPr="004F7B48" w14:paraId="39C8B358" w14:textId="77777777" w:rsidTr="00861399">
        <w:tc>
          <w:tcPr>
            <w:tcW w:w="1353" w:type="pct"/>
          </w:tcPr>
          <w:p w14:paraId="457A4B57" w14:textId="3E87609A" w:rsidR="00BA1F74" w:rsidRPr="006A0BFF" w:rsidRDefault="001D7A36" w:rsidP="000C69EE">
            <w:pPr>
              <w:rPr>
                <w:rStyle w:val="SubtleEmphasis"/>
              </w:rPr>
            </w:pPr>
            <w:r w:rsidRPr="006A0BFF">
              <w:rPr>
                <w:rStyle w:val="SubtleEmphasis"/>
              </w:rPr>
              <w:t>getAnatomicalStructures(</w:t>
            </w:r>
            <w:r w:rsidR="001540EA">
              <w:rPr>
                <w:rStyle w:val="SubtleEmphasis"/>
              </w:rPr>
              <w:t>...</w:t>
            </w:r>
            <w:r w:rsidRPr="006A0BFF">
              <w:rPr>
                <w:rStyle w:val="SubtleEmphasis"/>
              </w:rPr>
              <w:t>)</w:t>
            </w:r>
          </w:p>
        </w:tc>
        <w:tc>
          <w:tcPr>
            <w:tcW w:w="1703" w:type="pct"/>
          </w:tcPr>
          <w:p w14:paraId="5FF1FF55" w14:textId="77777777" w:rsidR="00440CF6" w:rsidRDefault="00440CF6" w:rsidP="00440CF6">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440CF6" w14:paraId="70FAB8A1" w14:textId="77777777" w:rsidTr="00161929">
              <w:tc>
                <w:tcPr>
                  <w:tcW w:w="1487" w:type="pct"/>
                </w:tcPr>
                <w:p w14:paraId="61DD45DB" w14:textId="1DF0C4BB" w:rsidR="00440CF6" w:rsidRPr="006C15AE" w:rsidRDefault="008D0828" w:rsidP="00440CF6">
                  <w:pPr>
                    <w:rPr>
                      <w:rStyle w:val="SubtleEmphasis"/>
                    </w:rPr>
                  </w:pPr>
                  <w:r>
                    <w:rPr>
                      <w:rStyle w:val="SubtleEmphasis"/>
                    </w:rPr>
                    <w:t>1</w:t>
                  </w:r>
                </w:p>
              </w:tc>
              <w:tc>
                <w:tcPr>
                  <w:tcW w:w="3513" w:type="pct"/>
                </w:tcPr>
                <w:p w14:paraId="00CDC492" w14:textId="0F179D70" w:rsidR="00440CF6" w:rsidRPr="006C15AE" w:rsidRDefault="008D0828" w:rsidP="00440CF6">
                  <w:pPr>
                    <w:pStyle w:val="Tabletext"/>
                    <w:rPr>
                      <w:rStyle w:val="SubtleEmphasis"/>
                    </w:rPr>
                  </w:pPr>
                  <w:r>
                    <w:rPr>
                      <w:rStyle w:val="SubtleEmphasis"/>
                    </w:rPr>
                    <w:t>userdata</w:t>
                  </w:r>
                </w:p>
              </w:tc>
            </w:tr>
          </w:tbl>
          <w:p w14:paraId="5D89DD0B" w14:textId="77777777" w:rsidR="00440CF6" w:rsidRPr="00062252" w:rsidRDefault="00440CF6" w:rsidP="00440CF6">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440CF6" w14:paraId="4F687766" w14:textId="77777777" w:rsidTr="00161929">
              <w:tc>
                <w:tcPr>
                  <w:tcW w:w="1771" w:type="pct"/>
                </w:tcPr>
                <w:p w14:paraId="0CF1CB3C" w14:textId="4448EA09" w:rsidR="00440CF6" w:rsidRPr="006C15AE" w:rsidRDefault="008D0828" w:rsidP="00440CF6">
                  <w:pPr>
                    <w:rPr>
                      <w:rStyle w:val="SubtleEmphasis"/>
                    </w:rPr>
                  </w:pPr>
                  <w:r>
                    <w:rPr>
                      <w:rStyle w:val="SubtleEmphasis"/>
                    </w:rPr>
                    <w:t>‘plot’</w:t>
                  </w:r>
                </w:p>
              </w:tc>
              <w:tc>
                <w:tcPr>
                  <w:tcW w:w="3229" w:type="pct"/>
                </w:tcPr>
                <w:p w14:paraId="330E8747" w14:textId="2C5260C0" w:rsidR="00440CF6" w:rsidRPr="006C15AE" w:rsidRDefault="008D0828" w:rsidP="00440CF6">
                  <w:pPr>
                    <w:pStyle w:val="Tabletext"/>
                    <w:rPr>
                      <w:rStyle w:val="SubtleEmphasis"/>
                    </w:rPr>
                  </w:pPr>
                  <w:r>
                    <w:rPr>
                      <w:rStyle w:val="SubtleEmphasis"/>
                    </w:rPr>
                    <w:t>{false} | true</w:t>
                  </w:r>
                </w:p>
              </w:tc>
            </w:tr>
          </w:tbl>
          <w:p w14:paraId="75B95E44" w14:textId="77777777" w:rsidR="00440CF6" w:rsidRDefault="00440CF6" w:rsidP="00440CF6">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440CF6" w14:paraId="246669F6" w14:textId="77777777" w:rsidTr="00161929">
              <w:tc>
                <w:tcPr>
                  <w:tcW w:w="1771" w:type="pct"/>
                </w:tcPr>
                <w:p w14:paraId="63624B37" w14:textId="63A33E73" w:rsidR="00440CF6" w:rsidRPr="006C15AE" w:rsidRDefault="008D0828" w:rsidP="00440CF6">
                  <w:pPr>
                    <w:rPr>
                      <w:rStyle w:val="SubtleEmphasis"/>
                    </w:rPr>
                  </w:pPr>
                  <w:r>
                    <w:rPr>
                      <w:rStyle w:val="SubtleEmphasis"/>
                    </w:rPr>
                    <w:t>FF</w:t>
                  </w:r>
                </w:p>
              </w:tc>
              <w:tc>
                <w:tcPr>
                  <w:tcW w:w="3229" w:type="pct"/>
                </w:tcPr>
                <w:p w14:paraId="4CEC6834" w14:textId="6C8ADC31" w:rsidR="00440CF6" w:rsidRPr="00F65815" w:rsidRDefault="00EF7B48" w:rsidP="00F65815">
                  <w:pPr>
                    <w:pStyle w:val="Tabletext"/>
                    <w:rPr>
                      <w:rStyle w:val="SubtleEmphasis"/>
                      <w:rFonts w:asciiTheme="minorHAnsi" w:hAnsiTheme="minorHAnsi"/>
                      <w:iCs w:val="0"/>
                      <w:noProof w:val="0"/>
                      <w:color w:val="auto"/>
                    </w:rPr>
                  </w:pPr>
                  <w:r w:rsidRPr="00F65815">
                    <w:rPr>
                      <w:rStyle w:val="SubtleEmphasis"/>
                      <w:rFonts w:asciiTheme="minorHAnsi" w:hAnsiTheme="minorHAnsi"/>
                      <w:iCs w:val="0"/>
                      <w:noProof w:val="0"/>
                      <w:color w:val="auto"/>
                    </w:rPr>
                    <w:t xml:space="preserve">See </w:t>
                  </w:r>
                  <w:proofErr w:type="spellStart"/>
                  <w:r w:rsidRPr="00F65815">
                    <w:rPr>
                      <w:rStyle w:val="SubtleEmphasis"/>
                      <w:rFonts w:asciiTheme="minorHAnsi" w:hAnsiTheme="minorHAnsi"/>
                      <w:iCs w:val="0"/>
                      <w:noProof w:val="0"/>
                      <w:color w:val="auto"/>
                    </w:rPr>
                    <w:t>TriRep</w:t>
                  </w:r>
                  <w:proofErr w:type="spellEnd"/>
                  <w:r w:rsidRPr="00F65815">
                    <w:rPr>
                      <w:rStyle w:val="SubtleEmphasis"/>
                      <w:rFonts w:asciiTheme="minorHAnsi" w:hAnsiTheme="minorHAnsi"/>
                      <w:iCs w:val="0"/>
                      <w:noProof w:val="0"/>
                      <w:color w:val="auto"/>
                    </w:rPr>
                    <w:t>/</w:t>
                  </w:r>
                  <w:proofErr w:type="spellStart"/>
                  <w:r w:rsidRPr="00F65815">
                    <w:rPr>
                      <w:rStyle w:val="SubtleEmphasis"/>
                      <w:rFonts w:asciiTheme="minorHAnsi" w:hAnsiTheme="minorHAnsi"/>
                      <w:iCs w:val="0"/>
                      <w:noProof w:val="0"/>
                      <w:color w:val="auto"/>
                    </w:rPr>
                    <w:t>freeBoundary</w:t>
                  </w:r>
                  <w:proofErr w:type="spellEnd"/>
                  <w:r w:rsidR="00F65815">
                    <w:rPr>
                      <w:rStyle w:val="SubtleEmphasis"/>
                      <w:rFonts w:asciiTheme="minorHAnsi" w:hAnsiTheme="minorHAnsi"/>
                      <w:iCs w:val="0"/>
                      <w:noProof w:val="0"/>
                      <w:color w:val="auto"/>
                    </w:rPr>
                    <w:t>, cell array</w:t>
                  </w:r>
                </w:p>
              </w:tc>
            </w:tr>
            <w:tr w:rsidR="008D0828" w14:paraId="4A6F1A93" w14:textId="77777777" w:rsidTr="00161929">
              <w:tc>
                <w:tcPr>
                  <w:tcW w:w="1771" w:type="pct"/>
                </w:tcPr>
                <w:p w14:paraId="5E949767" w14:textId="787D935A" w:rsidR="008D0828" w:rsidRDefault="008D0828" w:rsidP="00440CF6">
                  <w:pPr>
                    <w:rPr>
                      <w:rStyle w:val="SubtleEmphasis"/>
                    </w:rPr>
                  </w:pPr>
                  <w:r>
                    <w:rPr>
                      <w:rStyle w:val="SubtleEmphasis"/>
                    </w:rPr>
                    <w:t>l</w:t>
                  </w:r>
                </w:p>
              </w:tc>
              <w:tc>
                <w:tcPr>
                  <w:tcW w:w="3229" w:type="pct"/>
                </w:tcPr>
                <w:p w14:paraId="05813F89" w14:textId="409DF2A4" w:rsidR="008D0828" w:rsidRPr="00F65815" w:rsidRDefault="00EF7B48" w:rsidP="00F65815">
                  <w:pPr>
                    <w:pStyle w:val="Tabletext"/>
                    <w:rPr>
                      <w:rStyle w:val="SubtleEmphasis"/>
                      <w:rFonts w:asciiTheme="minorHAnsi" w:hAnsiTheme="minorHAnsi"/>
                      <w:iCs w:val="0"/>
                      <w:noProof w:val="0"/>
                      <w:color w:val="auto"/>
                    </w:rPr>
                  </w:pPr>
                  <w:r w:rsidRPr="00F65815">
                    <w:rPr>
                      <w:rStyle w:val="SubtleEmphasis"/>
                      <w:rFonts w:asciiTheme="minorHAnsi" w:hAnsiTheme="minorHAnsi"/>
                      <w:iCs w:val="0"/>
                      <w:noProof w:val="0"/>
                      <w:color w:val="auto"/>
                    </w:rPr>
                    <w:t>Array of lengths</w:t>
                  </w:r>
                  <w:r w:rsidR="00D00D65" w:rsidRPr="00F65815">
                    <w:rPr>
                      <w:rStyle w:val="SubtleEmphasis"/>
                      <w:rFonts w:asciiTheme="minorHAnsi" w:hAnsiTheme="minorHAnsi"/>
                      <w:iCs w:val="0"/>
                      <w:noProof w:val="0"/>
                      <w:color w:val="auto"/>
                    </w:rPr>
                    <w:t xml:space="preserve"> (perimeters)</w:t>
                  </w:r>
                  <w:r w:rsidRPr="00F65815">
                    <w:rPr>
                      <w:rStyle w:val="SubtleEmphasis"/>
                      <w:rFonts w:asciiTheme="minorHAnsi" w:hAnsiTheme="minorHAnsi"/>
                      <w:iCs w:val="0"/>
                      <w:noProof w:val="0"/>
                      <w:color w:val="auto"/>
                    </w:rPr>
                    <w:t xml:space="preserve"> of each </w:t>
                  </w:r>
                  <w:r w:rsidR="00D00D65" w:rsidRPr="00F65815">
                    <w:rPr>
                      <w:rStyle w:val="SubtleEmphasis"/>
                      <w:rFonts w:asciiTheme="minorHAnsi" w:hAnsiTheme="minorHAnsi"/>
                      <w:iCs w:val="0"/>
                      <w:noProof w:val="0"/>
                      <w:color w:val="auto"/>
                    </w:rPr>
                    <w:t>anatomical structure</w:t>
                  </w:r>
                </w:p>
              </w:tc>
            </w:tr>
            <w:tr w:rsidR="008D0828" w14:paraId="3A1F4A13" w14:textId="77777777" w:rsidTr="00161929">
              <w:tc>
                <w:tcPr>
                  <w:tcW w:w="1771" w:type="pct"/>
                </w:tcPr>
                <w:p w14:paraId="67FA404D" w14:textId="7CF73B26" w:rsidR="008D0828" w:rsidRDefault="008D0828" w:rsidP="00440CF6">
                  <w:pPr>
                    <w:rPr>
                      <w:rStyle w:val="SubtleEmphasis"/>
                    </w:rPr>
                  </w:pPr>
                  <w:r>
                    <w:rPr>
                      <w:rStyle w:val="SubtleEmphasis"/>
                    </w:rPr>
                    <w:t>a</w:t>
                  </w:r>
                </w:p>
              </w:tc>
              <w:tc>
                <w:tcPr>
                  <w:tcW w:w="3229" w:type="pct"/>
                </w:tcPr>
                <w:p w14:paraId="0681BC3E" w14:textId="6EB0FB1A" w:rsidR="008D0828" w:rsidRPr="00F65815" w:rsidRDefault="00EF7B48" w:rsidP="00F65815">
                  <w:pPr>
                    <w:pStyle w:val="Tabletext"/>
                    <w:rPr>
                      <w:rStyle w:val="SubtleEmphasis"/>
                      <w:rFonts w:asciiTheme="minorHAnsi" w:hAnsiTheme="minorHAnsi"/>
                      <w:iCs w:val="0"/>
                      <w:noProof w:val="0"/>
                      <w:color w:val="auto"/>
                    </w:rPr>
                  </w:pPr>
                  <w:r w:rsidRPr="00F65815">
                    <w:rPr>
                      <w:rStyle w:val="SubtleEmphasis"/>
                      <w:rFonts w:asciiTheme="minorHAnsi" w:hAnsiTheme="minorHAnsi"/>
                      <w:iCs w:val="0"/>
                      <w:noProof w:val="0"/>
                      <w:color w:val="auto"/>
                    </w:rPr>
                    <w:t xml:space="preserve">Array of areas of each </w:t>
                  </w:r>
                  <w:r w:rsidR="008F32E7" w:rsidRPr="00F65815">
                    <w:rPr>
                      <w:rStyle w:val="SubtleEmphasis"/>
                      <w:rFonts w:asciiTheme="minorHAnsi" w:hAnsiTheme="minorHAnsi"/>
                      <w:iCs w:val="0"/>
                      <w:noProof w:val="0"/>
                      <w:color w:val="auto"/>
                    </w:rPr>
                    <w:t>anatomical structure</w:t>
                  </w:r>
                </w:p>
              </w:tc>
            </w:tr>
            <w:tr w:rsidR="008D0828" w14:paraId="3216027A" w14:textId="77777777" w:rsidTr="00161929">
              <w:tc>
                <w:tcPr>
                  <w:tcW w:w="1771" w:type="pct"/>
                </w:tcPr>
                <w:p w14:paraId="71469010" w14:textId="3A84C5EE" w:rsidR="008D0828" w:rsidRDefault="00EF7B48" w:rsidP="00440CF6">
                  <w:pPr>
                    <w:rPr>
                      <w:rStyle w:val="SubtleEmphasis"/>
                    </w:rPr>
                  </w:pPr>
                  <w:r>
                    <w:rPr>
                      <w:rStyle w:val="SubtleEmphasis"/>
                    </w:rPr>
                    <w:t>tr</w:t>
                  </w:r>
                </w:p>
              </w:tc>
              <w:tc>
                <w:tcPr>
                  <w:tcW w:w="3229" w:type="pct"/>
                </w:tcPr>
                <w:p w14:paraId="3B11B9E9" w14:textId="0609A5D5" w:rsidR="008D0828" w:rsidRPr="00F65815" w:rsidRDefault="00EF7B48" w:rsidP="00F65815">
                  <w:pPr>
                    <w:pStyle w:val="Tabletext"/>
                    <w:rPr>
                      <w:rStyle w:val="SubtleEmphasis"/>
                      <w:rFonts w:asciiTheme="minorHAnsi" w:hAnsiTheme="minorHAnsi"/>
                      <w:iCs w:val="0"/>
                      <w:noProof w:val="0"/>
                      <w:color w:val="auto"/>
                    </w:rPr>
                  </w:pPr>
                  <w:r w:rsidRPr="00F65815">
                    <w:rPr>
                      <w:rStyle w:val="SubtleEmphasis"/>
                      <w:rFonts w:asciiTheme="minorHAnsi" w:hAnsiTheme="minorHAnsi"/>
                      <w:iCs w:val="0"/>
                      <w:noProof w:val="0"/>
                      <w:color w:val="auto"/>
                    </w:rPr>
                    <w:t xml:space="preserve">Cell array of triangulations of each </w:t>
                  </w:r>
                  <w:r w:rsidR="004B651C">
                    <w:rPr>
                      <w:rStyle w:val="SubtleEmphasis"/>
                      <w:rFonts w:asciiTheme="minorHAnsi" w:hAnsiTheme="minorHAnsi"/>
                      <w:iCs w:val="0"/>
                      <w:noProof w:val="0"/>
                      <w:color w:val="auto"/>
                    </w:rPr>
                    <w:t>anatomical structure</w:t>
                  </w:r>
                </w:p>
              </w:tc>
            </w:tr>
          </w:tbl>
          <w:p w14:paraId="7FA91DB8" w14:textId="7C4BBF80" w:rsidR="00BA1F74" w:rsidRPr="000E07C4" w:rsidRDefault="00BA1F74" w:rsidP="000C69EE">
            <w:pPr>
              <w:rPr>
                <w:rFonts w:ascii="Consolas" w:hAnsi="Consolas" w:cs="Consolas"/>
                <w:sz w:val="18"/>
                <w:szCs w:val="18"/>
              </w:rPr>
            </w:pPr>
          </w:p>
        </w:tc>
        <w:tc>
          <w:tcPr>
            <w:tcW w:w="1944" w:type="pct"/>
          </w:tcPr>
          <w:p w14:paraId="2B42637B" w14:textId="77777777" w:rsidR="00D255C7" w:rsidRPr="00893BD2" w:rsidRDefault="00D255C7" w:rsidP="00D255C7">
            <w:pPr>
              <w:pStyle w:val="Tabletextheading"/>
            </w:pPr>
            <w:r>
              <w:t>Use case</w:t>
            </w:r>
          </w:p>
          <w:p w14:paraId="2CEF309D" w14:textId="3D2A6DA1" w:rsidR="00D255C7" w:rsidRDefault="00264C4D" w:rsidP="00D255C7">
            <w:pPr>
              <w:rPr>
                <w:rFonts w:asciiTheme="minorHAnsi" w:hAnsiTheme="minorHAnsi" w:cstheme="minorHAnsi"/>
                <w:sz w:val="20"/>
                <w:szCs w:val="20"/>
              </w:rPr>
            </w:pPr>
            <w:r>
              <w:rPr>
                <w:rFonts w:asciiTheme="minorHAnsi" w:hAnsiTheme="minorHAnsi" w:cstheme="minorHAnsi"/>
                <w:sz w:val="20"/>
                <w:szCs w:val="20"/>
              </w:rPr>
              <w:t>R</w:t>
            </w:r>
            <w:r>
              <w:rPr>
                <w:rFonts w:asciiTheme="minorHAnsi" w:hAnsiTheme="minorHAnsi" w:cstheme="minorHAnsi"/>
                <w:szCs w:val="20"/>
              </w:rPr>
              <w:t xml:space="preserve">eturns the free boundaries (anatomical structures) described in </w:t>
            </w:r>
            <w:r w:rsidRPr="00264C4D">
              <w:rPr>
                <w:rStyle w:val="SubtleEmphasis"/>
              </w:rPr>
              <w:t>userdata</w:t>
            </w:r>
            <w:r>
              <w:rPr>
                <w:rFonts w:asciiTheme="minorHAnsi" w:hAnsiTheme="minorHAnsi" w:cstheme="minorHAnsi"/>
                <w:szCs w:val="20"/>
              </w:rPr>
              <w:t>.</w:t>
            </w:r>
          </w:p>
          <w:p w14:paraId="6F28C316" w14:textId="77777777" w:rsidR="00D255C7" w:rsidRDefault="00D255C7" w:rsidP="00D255C7">
            <w:pPr>
              <w:pStyle w:val="Tabletextheading"/>
            </w:pPr>
            <w:r>
              <w:t>Description</w:t>
            </w:r>
          </w:p>
          <w:p w14:paraId="09CF2B8A" w14:textId="2683285F" w:rsidR="00264C4D" w:rsidRPr="00812239" w:rsidRDefault="003B323A" w:rsidP="00812239">
            <w:pPr>
              <w:pStyle w:val="Tabletext"/>
            </w:pPr>
            <w:r w:rsidRPr="003B323A">
              <w:rPr>
                <w:rStyle w:val="SubtleEmphasis"/>
              </w:rPr>
              <w:t>getAnatomicalStructures.m</w:t>
            </w:r>
            <w:r w:rsidR="00264C4D" w:rsidRPr="00812239">
              <w:t xml:space="preserve"> identifies all the anatomical structures of a given data set. Anatomical structures are boundary regions that have been added to an anatomical model in the clinical mapping system. For example, with respect of left atrial ablation, anatomical structures may represent the pulmonary vein ostia, mitral valve annulus or left atrial appendage ostium.</w:t>
            </w:r>
          </w:p>
          <w:p w14:paraId="3399D105" w14:textId="77777777" w:rsidR="00D255C7" w:rsidRDefault="00D255C7" w:rsidP="00D255C7">
            <w:pPr>
              <w:pStyle w:val="Tabletextheading"/>
            </w:pPr>
            <w:r w:rsidRPr="00B035AB">
              <w:t>Example</w:t>
            </w:r>
            <w:r w:rsidRPr="00B341D1">
              <w:t xml:space="preserve"> function call</w:t>
            </w:r>
            <w:r>
              <w:t>(s)</w:t>
            </w:r>
          </w:p>
          <w:p w14:paraId="15E6293D" w14:textId="5AD1DBDC" w:rsidR="00BA1F74" w:rsidRPr="00E00A74" w:rsidRDefault="00A808CB" w:rsidP="00E00A74">
            <w:pPr>
              <w:pStyle w:val="Code"/>
            </w:pPr>
            <w:r w:rsidRPr="00E00A74">
              <w:lastRenderedPageBreak/>
              <w:t>[FF, l, a, tr{</w:t>
            </w:r>
            <w:proofErr w:type="spellStart"/>
            <w:r w:rsidRPr="00E00A74">
              <w:t>i</w:t>
            </w:r>
            <w:proofErr w:type="spellEnd"/>
            <w:r w:rsidRPr="00E00A74">
              <w:t xml:space="preserve">}] = </w:t>
            </w:r>
            <w:proofErr w:type="spellStart"/>
            <w:proofErr w:type="gramStart"/>
            <w:r w:rsidRPr="00E00A74">
              <w:t>getAnatomicalStructures</w:t>
            </w:r>
            <w:proofErr w:type="spellEnd"/>
            <w:r w:rsidRPr="00E00A74">
              <w:t>(</w:t>
            </w:r>
            <w:proofErr w:type="spellStart"/>
            <w:proofErr w:type="gramEnd"/>
            <w:r w:rsidRPr="00E00A74">
              <w:t>userdata</w:t>
            </w:r>
            <w:proofErr w:type="spellEnd"/>
            <w:r w:rsidRPr="00E00A74">
              <w:t>, 'plot', false);</w:t>
            </w:r>
          </w:p>
        </w:tc>
      </w:tr>
      <w:tr w:rsidR="00BA1F74" w:rsidRPr="004F7B48" w14:paraId="09139305" w14:textId="77777777" w:rsidTr="00861399">
        <w:tc>
          <w:tcPr>
            <w:tcW w:w="1353" w:type="pct"/>
          </w:tcPr>
          <w:p w14:paraId="63951AEC" w14:textId="3624A6F3" w:rsidR="00BA1F74" w:rsidRPr="006A0BFF" w:rsidRDefault="001D7A36" w:rsidP="000C69EE">
            <w:pPr>
              <w:rPr>
                <w:rStyle w:val="SubtleEmphasis"/>
              </w:rPr>
            </w:pPr>
            <w:r w:rsidRPr="006A0BFF">
              <w:rPr>
                <w:rStyle w:val="SubtleEmphasis"/>
              </w:rPr>
              <w:lastRenderedPageBreak/>
              <w:t>getArea(</w:t>
            </w:r>
            <w:r w:rsidR="001540EA">
              <w:rPr>
                <w:rStyle w:val="SubtleEmphasis"/>
              </w:rPr>
              <w:t>...</w:t>
            </w:r>
            <w:r w:rsidRPr="006A0BFF">
              <w:rPr>
                <w:rStyle w:val="SubtleEmphasis"/>
              </w:rPr>
              <w:t>)</w:t>
            </w:r>
          </w:p>
        </w:tc>
        <w:tc>
          <w:tcPr>
            <w:tcW w:w="1703" w:type="pct"/>
          </w:tcPr>
          <w:p w14:paraId="173CE8E2" w14:textId="77777777" w:rsidR="00440CF6" w:rsidRDefault="00440CF6" w:rsidP="00440CF6">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440CF6" w14:paraId="6B6E23C3" w14:textId="77777777" w:rsidTr="00161929">
              <w:tc>
                <w:tcPr>
                  <w:tcW w:w="1487" w:type="pct"/>
                </w:tcPr>
                <w:p w14:paraId="16BED5AF" w14:textId="57220E0B" w:rsidR="00440CF6" w:rsidRPr="006C15AE" w:rsidRDefault="008D1673" w:rsidP="00440CF6">
                  <w:pPr>
                    <w:rPr>
                      <w:rStyle w:val="SubtleEmphasis"/>
                    </w:rPr>
                  </w:pPr>
                  <w:r>
                    <w:rPr>
                      <w:rStyle w:val="SubtleEmphasis"/>
                    </w:rPr>
                    <w:t>1</w:t>
                  </w:r>
                </w:p>
              </w:tc>
              <w:tc>
                <w:tcPr>
                  <w:tcW w:w="3513" w:type="pct"/>
                </w:tcPr>
                <w:p w14:paraId="32185B2A" w14:textId="60F0749A" w:rsidR="00440CF6" w:rsidRPr="006C15AE" w:rsidRDefault="008D1673" w:rsidP="00440CF6">
                  <w:pPr>
                    <w:pStyle w:val="Tabletext"/>
                    <w:rPr>
                      <w:rStyle w:val="SubtleEmphasis"/>
                    </w:rPr>
                  </w:pPr>
                  <w:r>
                    <w:rPr>
                      <w:rStyle w:val="SubtleEmphasis"/>
                    </w:rPr>
                    <w:t>userdata</w:t>
                  </w:r>
                </w:p>
              </w:tc>
            </w:tr>
          </w:tbl>
          <w:p w14:paraId="7B5ED0F2" w14:textId="77777777" w:rsidR="00440CF6" w:rsidRPr="00062252" w:rsidRDefault="00440CF6" w:rsidP="00440CF6">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440CF6" w14:paraId="6EEE5F9C" w14:textId="77777777" w:rsidTr="00161929">
              <w:tc>
                <w:tcPr>
                  <w:tcW w:w="1771" w:type="pct"/>
                </w:tcPr>
                <w:p w14:paraId="7F82BD56" w14:textId="25E5EF62" w:rsidR="00440CF6" w:rsidRPr="006C15AE" w:rsidRDefault="008D1673" w:rsidP="00440CF6">
                  <w:pPr>
                    <w:rPr>
                      <w:rStyle w:val="SubtleEmphasis"/>
                    </w:rPr>
                  </w:pPr>
                  <w:r>
                    <w:rPr>
                      <w:rStyle w:val="SubtleEmphasis"/>
                    </w:rPr>
                    <w:t>‘method’</w:t>
                  </w:r>
                </w:p>
              </w:tc>
              <w:tc>
                <w:tcPr>
                  <w:tcW w:w="3229" w:type="pct"/>
                </w:tcPr>
                <w:p w14:paraId="55A67BF6" w14:textId="38F5B1AD" w:rsidR="00440CF6" w:rsidRPr="006C15AE" w:rsidRDefault="00DB7715" w:rsidP="00440CF6">
                  <w:pPr>
                    <w:pStyle w:val="Tabletext"/>
                    <w:rPr>
                      <w:rStyle w:val="SubtleEmphasis"/>
                    </w:rPr>
                  </w:pPr>
                  <w:r>
                    <w:rPr>
                      <w:rStyle w:val="SubtleEmphasis"/>
                    </w:rPr>
                    <w:t>{‘nofill’} | ‘fill’</w:t>
                  </w:r>
                </w:p>
              </w:tc>
            </w:tr>
          </w:tbl>
          <w:p w14:paraId="49D6DC4E" w14:textId="77777777" w:rsidR="00440CF6" w:rsidRDefault="00440CF6" w:rsidP="00440CF6">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440CF6" w14:paraId="0A77DE48" w14:textId="77777777" w:rsidTr="00161929">
              <w:tc>
                <w:tcPr>
                  <w:tcW w:w="1771" w:type="pct"/>
                </w:tcPr>
                <w:p w14:paraId="52CE8742" w14:textId="5FE1E20E" w:rsidR="00440CF6" w:rsidRPr="006C15AE" w:rsidRDefault="00DB7715" w:rsidP="00440CF6">
                  <w:pPr>
                    <w:rPr>
                      <w:rStyle w:val="SubtleEmphasis"/>
                    </w:rPr>
                  </w:pPr>
                  <w:r>
                    <w:rPr>
                      <w:rStyle w:val="SubtleEmphasis"/>
                    </w:rPr>
                    <w:t>area</w:t>
                  </w:r>
                </w:p>
              </w:tc>
              <w:tc>
                <w:tcPr>
                  <w:tcW w:w="3229" w:type="pct"/>
                </w:tcPr>
                <w:p w14:paraId="5827D088" w14:textId="61F38802" w:rsidR="00440CF6" w:rsidRPr="00DB7715" w:rsidRDefault="00DB7715" w:rsidP="00DB7715">
                  <w:pPr>
                    <w:pStyle w:val="Tabletext"/>
                    <w:rPr>
                      <w:rStyle w:val="SubtleEmphasis"/>
                      <w:rFonts w:asciiTheme="minorHAnsi" w:hAnsiTheme="minorHAnsi"/>
                      <w:iCs w:val="0"/>
                      <w:noProof w:val="0"/>
                      <w:color w:val="auto"/>
                    </w:rPr>
                  </w:pPr>
                  <w:r w:rsidRPr="00DB7715">
                    <w:rPr>
                      <w:rStyle w:val="SubtleEmphasis"/>
                      <w:rFonts w:asciiTheme="minorHAnsi" w:hAnsiTheme="minorHAnsi"/>
                      <w:iCs w:val="0"/>
                      <w:noProof w:val="0"/>
                      <w:color w:val="auto"/>
                    </w:rPr>
                    <w:t>The surface area (cm</w:t>
                  </w:r>
                  <w:r w:rsidRPr="00DB7715">
                    <w:rPr>
                      <w:rStyle w:val="SubtleEmphasis"/>
                      <w:rFonts w:asciiTheme="minorHAnsi" w:hAnsiTheme="minorHAnsi"/>
                      <w:iCs w:val="0"/>
                      <w:noProof w:val="0"/>
                      <w:color w:val="auto"/>
                      <w:vertAlign w:val="superscript"/>
                    </w:rPr>
                    <w:t>2</w:t>
                  </w:r>
                  <w:r w:rsidRPr="00DB7715">
                    <w:rPr>
                      <w:rStyle w:val="SubtleEmphasis"/>
                      <w:rFonts w:asciiTheme="minorHAnsi" w:hAnsiTheme="minorHAnsi"/>
                      <w:iCs w:val="0"/>
                      <w:noProof w:val="0"/>
                      <w:color w:val="auto"/>
                    </w:rPr>
                    <w:t>)</w:t>
                  </w:r>
                </w:p>
              </w:tc>
            </w:tr>
          </w:tbl>
          <w:p w14:paraId="6A36B569" w14:textId="40C6BC89" w:rsidR="00BA1F74" w:rsidRPr="000E07C4" w:rsidRDefault="00BA1F74" w:rsidP="000C69EE">
            <w:pPr>
              <w:rPr>
                <w:rFonts w:ascii="Consolas" w:hAnsi="Consolas" w:cs="Consolas"/>
                <w:sz w:val="18"/>
                <w:szCs w:val="18"/>
              </w:rPr>
            </w:pPr>
          </w:p>
        </w:tc>
        <w:tc>
          <w:tcPr>
            <w:tcW w:w="1944" w:type="pct"/>
          </w:tcPr>
          <w:p w14:paraId="71D80BF9" w14:textId="77777777" w:rsidR="008D1673" w:rsidRPr="00893BD2" w:rsidRDefault="008D1673" w:rsidP="008D1673">
            <w:pPr>
              <w:pStyle w:val="Tabletextheading"/>
            </w:pPr>
            <w:r>
              <w:t>Use case</w:t>
            </w:r>
          </w:p>
          <w:p w14:paraId="08504134" w14:textId="3F078DB5" w:rsidR="008D1673" w:rsidRDefault="00DB7715" w:rsidP="008D1673">
            <w:pPr>
              <w:pStyle w:val="Tabletext"/>
            </w:pPr>
            <w:r>
              <w:t>Returns the surface area of an anatomical model.</w:t>
            </w:r>
          </w:p>
          <w:p w14:paraId="09E2112E" w14:textId="77777777" w:rsidR="008D1673" w:rsidRDefault="008D1673" w:rsidP="008D1673">
            <w:pPr>
              <w:pStyle w:val="Tabletextheading"/>
            </w:pPr>
            <w:r>
              <w:t>Description</w:t>
            </w:r>
          </w:p>
          <w:p w14:paraId="62E898DC" w14:textId="4CED47A1" w:rsidR="008D1673" w:rsidRPr="00F94F52" w:rsidRDefault="00F94F52" w:rsidP="00F94F52">
            <w:pPr>
              <w:pStyle w:val="Tabletext"/>
            </w:pPr>
            <w:r w:rsidRPr="00F94F52">
              <w:rPr>
                <w:rStyle w:val="SubtleEmphasis"/>
              </w:rPr>
              <w:t>getArea.m</w:t>
            </w:r>
            <w:r>
              <w:rPr>
                <w:color w:val="000000"/>
              </w:rPr>
              <w:t xml:space="preserve"> </w:t>
            </w:r>
            <w:r>
              <w:t>Returns</w:t>
            </w:r>
            <w:r>
              <w:rPr>
                <w:color w:val="000000"/>
              </w:rPr>
              <w:t xml:space="preserve"> </w:t>
            </w:r>
            <w:r>
              <w:t>the</w:t>
            </w:r>
            <w:r>
              <w:rPr>
                <w:color w:val="000000"/>
              </w:rPr>
              <w:t xml:space="preserve"> </w:t>
            </w:r>
            <w:r>
              <w:t>surface</w:t>
            </w:r>
            <w:r>
              <w:rPr>
                <w:color w:val="000000"/>
              </w:rPr>
              <w:t xml:space="preserve"> </w:t>
            </w:r>
            <w:r>
              <w:t>area</w:t>
            </w:r>
            <w:r>
              <w:rPr>
                <w:color w:val="000000"/>
              </w:rPr>
              <w:t xml:space="preserve"> </w:t>
            </w:r>
            <w:r>
              <w:t>of</w:t>
            </w:r>
            <w:r>
              <w:rPr>
                <w:color w:val="000000"/>
              </w:rPr>
              <w:t xml:space="preserve"> </w:t>
            </w:r>
            <w:r>
              <w:t>an</w:t>
            </w:r>
            <w:r>
              <w:rPr>
                <w:color w:val="000000"/>
              </w:rPr>
              <w:t xml:space="preserve"> </w:t>
            </w:r>
            <w:r>
              <w:t>anatomical</w:t>
            </w:r>
            <w:r>
              <w:rPr>
                <w:color w:val="000000"/>
              </w:rPr>
              <w:t xml:space="preserve"> </w:t>
            </w:r>
            <w:r>
              <w:t>model.</w:t>
            </w:r>
            <w:r>
              <w:rPr>
                <w:color w:val="000000"/>
              </w:rPr>
              <w:t xml:space="preserve"> </w:t>
            </w:r>
            <w:r>
              <w:t>The</w:t>
            </w:r>
            <w:r>
              <w:rPr>
                <w:color w:val="000000"/>
              </w:rPr>
              <w:t xml:space="preserve"> </w:t>
            </w:r>
            <w:r>
              <w:t xml:space="preserve">anatomical </w:t>
            </w:r>
            <w:r>
              <w:rPr>
                <w:color w:val="000000"/>
              </w:rPr>
              <w:t xml:space="preserve">model </w:t>
            </w:r>
            <w:r>
              <w:t>can</w:t>
            </w:r>
            <w:r>
              <w:rPr>
                <w:color w:val="000000"/>
              </w:rPr>
              <w:t xml:space="preserve"> </w:t>
            </w:r>
            <w:r>
              <w:t>first</w:t>
            </w:r>
            <w:r>
              <w:rPr>
                <w:color w:val="000000"/>
              </w:rPr>
              <w:t xml:space="preserve"> </w:t>
            </w:r>
            <w:r>
              <w:t>be</w:t>
            </w:r>
            <w:r>
              <w:rPr>
                <w:color w:val="000000"/>
              </w:rPr>
              <w:t xml:space="preserve"> </w:t>
            </w:r>
            <w:r>
              <w:t>closed</w:t>
            </w:r>
            <w:r>
              <w:rPr>
                <w:color w:val="000000"/>
              </w:rPr>
              <w:t xml:space="preserve"> </w:t>
            </w:r>
            <w:r>
              <w:t>(filling any holes)</w:t>
            </w:r>
            <w:r>
              <w:rPr>
                <w:color w:val="000000"/>
              </w:rPr>
              <w:t xml:space="preserve"> </w:t>
            </w:r>
            <w:r>
              <w:t>by</w:t>
            </w:r>
            <w:r>
              <w:rPr>
                <w:color w:val="000000"/>
              </w:rPr>
              <w:t xml:space="preserve"> </w:t>
            </w:r>
            <w:r>
              <w:t>specifying</w:t>
            </w:r>
            <w:r>
              <w:rPr>
                <w:color w:val="000000"/>
              </w:rPr>
              <w:t xml:space="preserve"> </w:t>
            </w:r>
            <w:r>
              <w:t>the</w:t>
            </w:r>
            <w:r>
              <w:rPr>
                <w:color w:val="000000"/>
              </w:rPr>
              <w:t xml:space="preserve"> </w:t>
            </w:r>
            <w:r w:rsidRPr="00F94F52">
              <w:rPr>
                <w:rStyle w:val="SubtleEmphasis"/>
              </w:rPr>
              <w:t>'method'</w:t>
            </w:r>
            <w:r>
              <w:rPr>
                <w:color w:val="000000"/>
              </w:rPr>
              <w:t xml:space="preserve">, </w:t>
            </w:r>
            <w:r w:rsidRPr="00F94F52">
              <w:rPr>
                <w:rStyle w:val="SubtleEmphasis"/>
              </w:rPr>
              <w:t>'fill'</w:t>
            </w:r>
            <w:r>
              <w:rPr>
                <w:color w:val="000000"/>
              </w:rPr>
              <w:t xml:space="preserve"> (</w:t>
            </w:r>
            <w:r w:rsidRPr="00F94F52">
              <w:rPr>
                <w:rStyle w:val="SubtleEmphasis"/>
              </w:rPr>
              <w:t>'</w:t>
            </w:r>
            <w:proofErr w:type="spellStart"/>
            <w:r w:rsidRPr="00F94F52">
              <w:rPr>
                <w:rStyle w:val="SubtleEmphasis"/>
              </w:rPr>
              <w:t>nofill</w:t>
            </w:r>
            <w:proofErr w:type="spellEnd"/>
            <w:r w:rsidRPr="00F94F52">
              <w:rPr>
                <w:rStyle w:val="SubtleEmphasis"/>
              </w:rPr>
              <w:t>'</w:t>
            </w:r>
            <w:r>
              <w:rPr>
                <w:color w:val="000000"/>
              </w:rPr>
              <w:t xml:space="preserve"> by default).</w:t>
            </w:r>
          </w:p>
          <w:p w14:paraId="103D0E43" w14:textId="77777777" w:rsidR="008D1673" w:rsidRDefault="008D1673" w:rsidP="008D1673">
            <w:pPr>
              <w:pStyle w:val="Tabletextheading"/>
            </w:pPr>
            <w:r w:rsidRPr="00B035AB">
              <w:t>Example</w:t>
            </w:r>
            <w:r w:rsidRPr="00B341D1">
              <w:t xml:space="preserve"> function call</w:t>
            </w:r>
            <w:r>
              <w:t>(s)</w:t>
            </w:r>
          </w:p>
          <w:p w14:paraId="4FDA69A4" w14:textId="51FCF517" w:rsidR="00BA1F74" w:rsidRPr="005D1AD0" w:rsidRDefault="005D1AD0" w:rsidP="005D1AD0">
            <w:pPr>
              <w:pStyle w:val="Code"/>
            </w:pPr>
            <w:r>
              <w:t xml:space="preserve">area = </w:t>
            </w:r>
            <w:proofErr w:type="spellStart"/>
            <w:proofErr w:type="gramStart"/>
            <w:r>
              <w:t>getArea</w:t>
            </w:r>
            <w:proofErr w:type="spellEnd"/>
            <w:r>
              <w:t xml:space="preserve">( </w:t>
            </w:r>
            <w:proofErr w:type="spellStart"/>
            <w:r>
              <w:t>userdata</w:t>
            </w:r>
            <w:proofErr w:type="spellEnd"/>
            <w:proofErr w:type="gramEnd"/>
            <w:r>
              <w:t>, 'method', 'fill' )</w:t>
            </w:r>
          </w:p>
        </w:tc>
      </w:tr>
      <w:tr w:rsidR="002701DD" w:rsidRPr="004F7B48" w14:paraId="31972193" w14:textId="77777777" w:rsidTr="00861399">
        <w:tc>
          <w:tcPr>
            <w:tcW w:w="1353" w:type="pct"/>
          </w:tcPr>
          <w:p w14:paraId="3695E634" w14:textId="380B2A32" w:rsidR="002701DD" w:rsidRPr="006A0BFF" w:rsidRDefault="002701DD" w:rsidP="002701DD">
            <w:pPr>
              <w:rPr>
                <w:rStyle w:val="SubtleEmphasis"/>
              </w:rPr>
            </w:pPr>
            <w:r>
              <w:rPr>
                <w:rStyle w:val="SubtleEmphasis"/>
              </w:rPr>
              <w:t>getCentreOfMass(...)</w:t>
            </w:r>
          </w:p>
        </w:tc>
        <w:tc>
          <w:tcPr>
            <w:tcW w:w="1703" w:type="pct"/>
          </w:tcPr>
          <w:p w14:paraId="3A8AC7F4"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4EDA1047" w14:textId="77777777" w:rsidTr="00161929">
              <w:tc>
                <w:tcPr>
                  <w:tcW w:w="1487" w:type="pct"/>
                </w:tcPr>
                <w:p w14:paraId="7925A1C5" w14:textId="3A97B140" w:rsidR="002701DD" w:rsidRPr="006C15AE" w:rsidRDefault="002701DD" w:rsidP="002701DD">
                  <w:pPr>
                    <w:rPr>
                      <w:rStyle w:val="SubtleEmphasis"/>
                    </w:rPr>
                  </w:pPr>
                  <w:r>
                    <w:rPr>
                      <w:rStyle w:val="SubtleEmphasis"/>
                    </w:rPr>
                    <w:t>1</w:t>
                  </w:r>
                </w:p>
              </w:tc>
              <w:tc>
                <w:tcPr>
                  <w:tcW w:w="3513" w:type="pct"/>
                </w:tcPr>
                <w:p w14:paraId="33BC035F" w14:textId="358DE9FD" w:rsidR="002701DD" w:rsidRPr="006C15AE" w:rsidRDefault="002701DD" w:rsidP="002701DD">
                  <w:pPr>
                    <w:pStyle w:val="Tabletext"/>
                    <w:rPr>
                      <w:rStyle w:val="SubtleEmphasis"/>
                    </w:rPr>
                  </w:pPr>
                  <w:r>
                    <w:rPr>
                      <w:rStyle w:val="SubtleEmphasis"/>
                    </w:rPr>
                    <w:t>userdata</w:t>
                  </w:r>
                </w:p>
              </w:tc>
            </w:tr>
          </w:tbl>
          <w:p w14:paraId="1EAF598C"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052C2002" w14:textId="77777777" w:rsidTr="00161929">
              <w:tc>
                <w:tcPr>
                  <w:tcW w:w="1771" w:type="pct"/>
                </w:tcPr>
                <w:p w14:paraId="480B1CF6" w14:textId="1B1B0361" w:rsidR="002701DD" w:rsidRPr="006C15AE" w:rsidRDefault="002701DD" w:rsidP="002701DD">
                  <w:pPr>
                    <w:rPr>
                      <w:rStyle w:val="SubtleEmphasis"/>
                    </w:rPr>
                  </w:pPr>
                  <w:r>
                    <w:rPr>
                      <w:rStyle w:val="SubtleEmphasis"/>
                    </w:rPr>
                    <w:t>‘plot’</w:t>
                  </w:r>
                </w:p>
              </w:tc>
              <w:tc>
                <w:tcPr>
                  <w:tcW w:w="3229" w:type="pct"/>
                </w:tcPr>
                <w:p w14:paraId="6D62DFAF" w14:textId="31B64CA5" w:rsidR="002701DD" w:rsidRPr="006C15AE" w:rsidRDefault="002701DD" w:rsidP="002701DD">
                  <w:pPr>
                    <w:pStyle w:val="Tabletext"/>
                    <w:rPr>
                      <w:rStyle w:val="SubtleEmphasis"/>
                    </w:rPr>
                  </w:pPr>
                  <w:r>
                    <w:rPr>
                      <w:rStyle w:val="SubtleEmphasis"/>
                    </w:rPr>
                    <w:t>{false} | true</w:t>
                  </w:r>
                </w:p>
              </w:tc>
            </w:tr>
          </w:tbl>
          <w:p w14:paraId="08D4A1B4"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5C4F40AB" w14:textId="77777777" w:rsidTr="00161929">
              <w:tc>
                <w:tcPr>
                  <w:tcW w:w="1771" w:type="pct"/>
                </w:tcPr>
                <w:p w14:paraId="604C39F9" w14:textId="39A72C2F" w:rsidR="002701DD" w:rsidRPr="006C15AE" w:rsidRDefault="002701DD" w:rsidP="002701DD">
                  <w:pPr>
                    <w:rPr>
                      <w:rStyle w:val="SubtleEmphasis"/>
                    </w:rPr>
                  </w:pPr>
                  <w:r>
                    <w:rPr>
                      <w:rStyle w:val="SubtleEmphasis"/>
                    </w:rPr>
                    <w:t>C</w:t>
                  </w:r>
                </w:p>
              </w:tc>
              <w:tc>
                <w:tcPr>
                  <w:tcW w:w="3229" w:type="pct"/>
                </w:tcPr>
                <w:p w14:paraId="6758FF83" w14:textId="50F9457A" w:rsidR="002701DD" w:rsidRPr="005A2C90" w:rsidRDefault="002701DD" w:rsidP="002701DD">
                  <w:pPr>
                    <w:pStyle w:val="Tabletext"/>
                    <w:rPr>
                      <w:rStyle w:val="SubtleEmphasis"/>
                      <w:rFonts w:asciiTheme="minorHAnsi" w:hAnsiTheme="minorHAnsi"/>
                      <w:iCs w:val="0"/>
                      <w:noProof w:val="0"/>
                      <w:color w:val="auto"/>
                    </w:rPr>
                  </w:pPr>
                  <w:r w:rsidRPr="005A2C90">
                    <w:rPr>
                      <w:rStyle w:val="SubtleEmphasis"/>
                      <w:rFonts w:asciiTheme="minorHAnsi" w:hAnsiTheme="minorHAnsi"/>
                      <w:iCs w:val="0"/>
                      <w:noProof w:val="0"/>
                      <w:color w:val="auto"/>
                    </w:rPr>
                    <w:t>The Cartesian co-ordinates of the centre of mass.</w:t>
                  </w:r>
                </w:p>
              </w:tc>
            </w:tr>
          </w:tbl>
          <w:p w14:paraId="2FAD3222" w14:textId="77777777" w:rsidR="002701DD" w:rsidRPr="000E07C4" w:rsidRDefault="002701DD" w:rsidP="002701DD">
            <w:pPr>
              <w:rPr>
                <w:rFonts w:ascii="Consolas" w:hAnsi="Consolas" w:cs="Consolas"/>
                <w:sz w:val="18"/>
                <w:szCs w:val="18"/>
              </w:rPr>
            </w:pPr>
          </w:p>
        </w:tc>
        <w:tc>
          <w:tcPr>
            <w:tcW w:w="1944" w:type="pct"/>
          </w:tcPr>
          <w:p w14:paraId="1BBBFEB5" w14:textId="77777777" w:rsidR="002701DD" w:rsidRPr="00893BD2" w:rsidRDefault="002701DD" w:rsidP="002701DD">
            <w:pPr>
              <w:pStyle w:val="Tabletextheading"/>
            </w:pPr>
            <w:r>
              <w:t>Use case</w:t>
            </w:r>
          </w:p>
          <w:p w14:paraId="16271DF4" w14:textId="5BA24899" w:rsidR="002701DD" w:rsidRDefault="00D96499" w:rsidP="002701DD">
            <w:pPr>
              <w:pStyle w:val="Tabletext"/>
            </w:pPr>
            <w:r>
              <w:t xml:space="preserve">Returns the centre of mass of the anatomical model defined in </w:t>
            </w:r>
            <w:r w:rsidRPr="00D96499">
              <w:rPr>
                <w:rStyle w:val="SubtleEmphasis"/>
              </w:rPr>
              <w:t>userdata</w:t>
            </w:r>
            <w:r>
              <w:t>.</w:t>
            </w:r>
          </w:p>
          <w:p w14:paraId="75B4D5F4" w14:textId="77777777" w:rsidR="002701DD" w:rsidRDefault="002701DD" w:rsidP="002701DD">
            <w:pPr>
              <w:pStyle w:val="Tabletextheading"/>
            </w:pPr>
            <w:r>
              <w:t>Description</w:t>
            </w:r>
          </w:p>
          <w:p w14:paraId="6E203425" w14:textId="42A1D584" w:rsidR="00D326B3" w:rsidRDefault="00D326B3" w:rsidP="00D326B3">
            <w:pPr>
              <w:pStyle w:val="Tabletext"/>
            </w:pPr>
            <w:r w:rsidRPr="00D326B3">
              <w:rPr>
                <w:rStyle w:val="SubtleEmphasis"/>
              </w:rPr>
              <w:t>getCenterOfMass.m</w:t>
            </w:r>
            <w:r>
              <w:rPr>
                <w:color w:val="000000"/>
              </w:rPr>
              <w:t xml:space="preserve"> </w:t>
            </w:r>
            <w:r>
              <w:t>calculates</w:t>
            </w:r>
            <w:r>
              <w:rPr>
                <w:color w:val="000000"/>
              </w:rPr>
              <w:t xml:space="preserve"> </w:t>
            </w:r>
            <w:r>
              <w:t>the</w:t>
            </w:r>
            <w:r>
              <w:rPr>
                <w:color w:val="000000"/>
              </w:rPr>
              <w:t xml:space="preserve"> </w:t>
            </w:r>
            <w:r>
              <w:t>centre</w:t>
            </w:r>
            <w:r>
              <w:rPr>
                <w:color w:val="000000"/>
              </w:rPr>
              <w:t xml:space="preserve"> </w:t>
            </w:r>
            <w:r>
              <w:t>of</w:t>
            </w:r>
            <w:r>
              <w:rPr>
                <w:color w:val="000000"/>
              </w:rPr>
              <w:t xml:space="preserve"> </w:t>
            </w:r>
            <w:r>
              <w:t>mass</w:t>
            </w:r>
            <w:r>
              <w:rPr>
                <w:color w:val="000000"/>
              </w:rPr>
              <w:t xml:space="preserve"> </w:t>
            </w:r>
            <w:r>
              <w:t>of</w:t>
            </w:r>
            <w:r>
              <w:rPr>
                <w:color w:val="000000"/>
              </w:rPr>
              <w:t xml:space="preserve"> </w:t>
            </w:r>
            <w:r>
              <w:t>the</w:t>
            </w:r>
            <w:r>
              <w:rPr>
                <w:color w:val="000000"/>
              </w:rPr>
              <w:t xml:space="preserve"> </w:t>
            </w:r>
            <w:r w:rsidRPr="00D326B3">
              <w:rPr>
                <w:rStyle w:val="SubtleEmphasis"/>
              </w:rPr>
              <w:t>userdata</w:t>
            </w:r>
            <w:r>
              <w:rPr>
                <w:color w:val="000000"/>
              </w:rPr>
              <w:t xml:space="preserve"> </w:t>
            </w:r>
            <w:r>
              <w:t xml:space="preserve">by </w:t>
            </w:r>
            <w:r>
              <w:rPr>
                <w:color w:val="000000"/>
              </w:rPr>
              <w:t xml:space="preserve">accessing </w:t>
            </w:r>
            <w:r>
              <w:t>a</w:t>
            </w:r>
            <w:r>
              <w:rPr>
                <w:color w:val="000000"/>
              </w:rPr>
              <w:t xml:space="preserve"> </w:t>
            </w:r>
            <w:r>
              <w:t>closed</w:t>
            </w:r>
            <w:r>
              <w:rPr>
                <w:color w:val="000000"/>
              </w:rPr>
              <w:t xml:space="preserve"> </w:t>
            </w:r>
            <w:r>
              <w:t>surface</w:t>
            </w:r>
            <w:r>
              <w:rPr>
                <w:color w:val="000000"/>
              </w:rPr>
              <w:t xml:space="preserve"> </w:t>
            </w:r>
            <w:r>
              <w:t>via</w:t>
            </w:r>
            <w:r>
              <w:rPr>
                <w:color w:val="000000"/>
              </w:rPr>
              <w:t xml:space="preserve"> </w:t>
            </w:r>
            <w:r>
              <w:t>the</w:t>
            </w:r>
            <w:r>
              <w:rPr>
                <w:color w:val="000000"/>
              </w:rPr>
              <w:t xml:space="preserve"> </w:t>
            </w:r>
            <w:proofErr w:type="spellStart"/>
            <w:r>
              <w:t>OpenEP</w:t>
            </w:r>
            <w:proofErr w:type="spellEnd"/>
            <w:r>
              <w:rPr>
                <w:color w:val="000000"/>
              </w:rPr>
              <w:t xml:space="preserve"> </w:t>
            </w:r>
            <w:r>
              <w:t>function</w:t>
            </w:r>
            <w:r>
              <w:rPr>
                <w:color w:val="000000"/>
              </w:rPr>
              <w:t xml:space="preserve"> </w:t>
            </w:r>
            <w:r w:rsidRPr="00D326B3">
              <w:rPr>
                <w:rStyle w:val="SubtleEmphasis"/>
              </w:rPr>
              <w:t>getClosedSurface.m</w:t>
            </w:r>
            <w:r>
              <w:rPr>
                <w:rStyle w:val="SubtleEmphasis"/>
              </w:rPr>
              <w:t xml:space="preserve"> </w:t>
            </w:r>
            <w:r>
              <w:rPr>
                <w:color w:val="000000"/>
              </w:rPr>
              <w:t xml:space="preserve">before </w:t>
            </w:r>
            <w:r>
              <w:t>using</w:t>
            </w:r>
            <w:r>
              <w:rPr>
                <w:color w:val="000000"/>
              </w:rPr>
              <w:t xml:space="preserve"> </w:t>
            </w:r>
            <w:r w:rsidRPr="00D326B3">
              <w:rPr>
                <w:rStyle w:val="SubtleEmphasis"/>
              </w:rPr>
              <w:t>centroidOfPolyhedron.m</w:t>
            </w:r>
            <w:r>
              <w:rPr>
                <w:color w:val="000000"/>
              </w:rPr>
              <w:t xml:space="preserve"> </w:t>
            </w:r>
            <w:r>
              <w:t>to</w:t>
            </w:r>
            <w:r>
              <w:rPr>
                <w:color w:val="000000"/>
              </w:rPr>
              <w:t xml:space="preserve"> </w:t>
            </w:r>
            <w:r>
              <w:t>calculate</w:t>
            </w:r>
            <w:r>
              <w:rPr>
                <w:color w:val="000000"/>
              </w:rPr>
              <w:t xml:space="preserve"> </w:t>
            </w:r>
            <w:r>
              <w:t>the</w:t>
            </w:r>
            <w:r>
              <w:rPr>
                <w:color w:val="000000"/>
              </w:rPr>
              <w:t xml:space="preserve"> </w:t>
            </w:r>
            <w:r>
              <w:t>centre</w:t>
            </w:r>
            <w:r>
              <w:rPr>
                <w:color w:val="000000"/>
              </w:rPr>
              <w:t xml:space="preserve"> </w:t>
            </w:r>
            <w:r>
              <w:t>of</w:t>
            </w:r>
            <w:r>
              <w:rPr>
                <w:color w:val="000000"/>
              </w:rPr>
              <w:t xml:space="preserve"> </w:t>
            </w:r>
            <w:r>
              <w:t>mass.</w:t>
            </w:r>
            <w:r>
              <w:rPr>
                <w:color w:val="000000"/>
              </w:rPr>
              <w:t xml:space="preserve"> </w:t>
            </w:r>
            <w:r>
              <w:t>The</w:t>
            </w:r>
          </w:p>
          <w:p w14:paraId="5F633577" w14:textId="35F38D29" w:rsidR="00D326B3" w:rsidRDefault="00D326B3" w:rsidP="00D326B3">
            <w:pPr>
              <w:pStyle w:val="Tabletext"/>
            </w:pPr>
            <w:r>
              <w:t>function</w:t>
            </w:r>
            <w:r>
              <w:rPr>
                <w:color w:val="000000"/>
              </w:rPr>
              <w:t xml:space="preserve"> </w:t>
            </w:r>
            <w:r w:rsidRPr="00D326B3">
              <w:rPr>
                <w:rStyle w:val="SubtleEmphasis"/>
              </w:rPr>
              <w:t>centroidOfPolyhedron.m</w:t>
            </w:r>
            <w:r>
              <w:rPr>
                <w:color w:val="000000"/>
              </w:rPr>
              <w:t xml:space="preserve"> was </w:t>
            </w:r>
            <w:r>
              <w:t>written</w:t>
            </w:r>
            <w:r>
              <w:rPr>
                <w:color w:val="000000"/>
              </w:rPr>
              <w:t xml:space="preserve"> </w:t>
            </w:r>
            <w:r>
              <w:t>by</w:t>
            </w:r>
            <w:r>
              <w:rPr>
                <w:color w:val="000000"/>
              </w:rPr>
              <w:t xml:space="preserve"> </w:t>
            </w:r>
            <w:proofErr w:type="spellStart"/>
            <w:r>
              <w:t>Isfandiyar</w:t>
            </w:r>
            <w:proofErr w:type="spellEnd"/>
            <w:r>
              <w:rPr>
                <w:color w:val="000000"/>
              </w:rPr>
              <w:t xml:space="preserve"> </w:t>
            </w:r>
            <w:r>
              <w:t>RASHIDZADE</w:t>
            </w:r>
            <w:r>
              <w:rPr>
                <w:color w:val="000000"/>
              </w:rPr>
              <w:t xml:space="preserve">, available </w:t>
            </w:r>
            <w:r>
              <w:t>through</w:t>
            </w:r>
            <w:r>
              <w:rPr>
                <w:color w:val="000000"/>
              </w:rPr>
              <w:t xml:space="preserve"> </w:t>
            </w:r>
            <w:r>
              <w:t>the</w:t>
            </w:r>
            <w:r>
              <w:rPr>
                <w:color w:val="000000"/>
              </w:rPr>
              <w:t xml:space="preserve"> </w:t>
            </w:r>
            <w:proofErr w:type="spellStart"/>
            <w:r>
              <w:t>Mathworks</w:t>
            </w:r>
            <w:proofErr w:type="spellEnd"/>
            <w:r>
              <w:rPr>
                <w:color w:val="000000"/>
              </w:rPr>
              <w:t xml:space="preserve"> </w:t>
            </w:r>
            <w:proofErr w:type="spellStart"/>
            <w:r>
              <w:t>FileExchange</w:t>
            </w:r>
            <w:proofErr w:type="spellEnd"/>
            <w:r>
              <w:t>:</w:t>
            </w:r>
          </w:p>
          <w:p w14:paraId="3580FA50" w14:textId="1EC6E5ED" w:rsidR="002701DD" w:rsidRDefault="002E26A9" w:rsidP="00D326B3">
            <w:pPr>
              <w:pStyle w:val="Tabletext"/>
              <w:rPr>
                <w:color w:val="000000"/>
              </w:rPr>
            </w:pPr>
            <w:hyperlink r:id="rId14" w:history="1">
              <w:r w:rsidR="00D326B3" w:rsidRPr="00BE4505">
                <w:rPr>
                  <w:rStyle w:val="Hyperlink"/>
                </w:rPr>
                <w:t>https://www.mathworks.com/matlabcentral/fileexchange/63614-centroid-of-triangulated-polyhedron</w:t>
              </w:r>
            </w:hyperlink>
          </w:p>
          <w:p w14:paraId="300F8E87" w14:textId="77777777" w:rsidR="002701DD" w:rsidRDefault="002701DD" w:rsidP="002701DD">
            <w:pPr>
              <w:pStyle w:val="Tabletextheading"/>
            </w:pPr>
            <w:r w:rsidRPr="00B035AB">
              <w:t>Example</w:t>
            </w:r>
            <w:r w:rsidRPr="00B341D1">
              <w:t xml:space="preserve"> function call</w:t>
            </w:r>
            <w:r>
              <w:t>(s)</w:t>
            </w:r>
          </w:p>
          <w:p w14:paraId="226902A4" w14:textId="176E4C13" w:rsidR="002701DD" w:rsidRPr="00476DAE" w:rsidRDefault="00476DAE" w:rsidP="00476DAE">
            <w:pPr>
              <w:pStyle w:val="Code"/>
              <w:rPr>
                <w:sz w:val="24"/>
              </w:rPr>
            </w:pPr>
            <w:r>
              <w:t xml:space="preserve">C = </w:t>
            </w:r>
            <w:proofErr w:type="spellStart"/>
            <w:proofErr w:type="gramStart"/>
            <w:r>
              <w:t>getCentreOfMass</w:t>
            </w:r>
            <w:proofErr w:type="spellEnd"/>
            <w:r>
              <w:t xml:space="preserve">( </w:t>
            </w:r>
            <w:proofErr w:type="spellStart"/>
            <w:r>
              <w:t>userdata</w:t>
            </w:r>
            <w:proofErr w:type="spellEnd"/>
            <w:proofErr w:type="gramEnd"/>
            <w:r>
              <w:t>, 'plot', true )</w:t>
            </w:r>
            <w:r w:rsidR="00E00A74">
              <w:t>;</w:t>
            </w:r>
          </w:p>
        </w:tc>
      </w:tr>
      <w:tr w:rsidR="002701DD" w:rsidRPr="004F7B48" w14:paraId="291EA002" w14:textId="77777777" w:rsidTr="00861399">
        <w:tc>
          <w:tcPr>
            <w:tcW w:w="1353" w:type="pct"/>
          </w:tcPr>
          <w:p w14:paraId="4EFBE382" w14:textId="3725932B" w:rsidR="002701DD" w:rsidRPr="006A0BFF" w:rsidRDefault="002701DD" w:rsidP="002701DD">
            <w:pPr>
              <w:rPr>
                <w:rStyle w:val="SubtleEmphasis"/>
              </w:rPr>
            </w:pPr>
            <w:r w:rsidRPr="006A0BFF">
              <w:rPr>
                <w:rStyle w:val="SubtleEmphasis"/>
              </w:rPr>
              <w:t>getClosedSurface(</w:t>
            </w:r>
            <w:r>
              <w:rPr>
                <w:rStyle w:val="SubtleEmphasis"/>
              </w:rPr>
              <w:t>...</w:t>
            </w:r>
            <w:r w:rsidRPr="006A0BFF">
              <w:rPr>
                <w:rStyle w:val="SubtleEmphasis"/>
              </w:rPr>
              <w:t>)</w:t>
            </w:r>
          </w:p>
        </w:tc>
        <w:tc>
          <w:tcPr>
            <w:tcW w:w="1703" w:type="pct"/>
          </w:tcPr>
          <w:p w14:paraId="08231CBB"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4A45DC56" w14:textId="77777777" w:rsidTr="00161929">
              <w:tc>
                <w:tcPr>
                  <w:tcW w:w="1487" w:type="pct"/>
                </w:tcPr>
                <w:p w14:paraId="4611EFAD" w14:textId="250ABB44" w:rsidR="002701DD" w:rsidRPr="006C15AE" w:rsidRDefault="002701DD" w:rsidP="002701DD">
                  <w:pPr>
                    <w:rPr>
                      <w:rStyle w:val="SubtleEmphasis"/>
                    </w:rPr>
                  </w:pPr>
                  <w:r>
                    <w:rPr>
                      <w:rStyle w:val="SubtleEmphasis"/>
                    </w:rPr>
                    <w:t>1</w:t>
                  </w:r>
                </w:p>
              </w:tc>
              <w:tc>
                <w:tcPr>
                  <w:tcW w:w="3513" w:type="pct"/>
                </w:tcPr>
                <w:p w14:paraId="39248D19" w14:textId="4EE0FE86" w:rsidR="002701DD" w:rsidRPr="006C15AE" w:rsidRDefault="002701DD" w:rsidP="002701DD">
                  <w:pPr>
                    <w:pStyle w:val="Tabletext"/>
                    <w:rPr>
                      <w:rStyle w:val="SubtleEmphasis"/>
                    </w:rPr>
                  </w:pPr>
                  <w:r>
                    <w:rPr>
                      <w:rStyle w:val="SubtleEmphasis"/>
                    </w:rPr>
                    <w:t>userdata</w:t>
                  </w:r>
                </w:p>
              </w:tc>
            </w:tr>
          </w:tbl>
          <w:p w14:paraId="7522AA6D"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479F94A9" w14:textId="77777777" w:rsidTr="00161929">
              <w:tc>
                <w:tcPr>
                  <w:tcW w:w="1771" w:type="pct"/>
                </w:tcPr>
                <w:p w14:paraId="4DF119F9" w14:textId="0B4459F6" w:rsidR="002701DD" w:rsidRPr="006C15AE" w:rsidRDefault="002701DD" w:rsidP="002701DD">
                  <w:pPr>
                    <w:rPr>
                      <w:rStyle w:val="SubtleEmphasis"/>
                    </w:rPr>
                  </w:pPr>
                  <w:r>
                    <w:rPr>
                      <w:rStyle w:val="SubtleEmphasis"/>
                    </w:rPr>
                    <w:lastRenderedPageBreak/>
                    <w:t>None</w:t>
                  </w:r>
                </w:p>
              </w:tc>
              <w:tc>
                <w:tcPr>
                  <w:tcW w:w="3229" w:type="pct"/>
                </w:tcPr>
                <w:p w14:paraId="357E4165" w14:textId="77777777" w:rsidR="002701DD" w:rsidRPr="006C15AE" w:rsidRDefault="002701DD" w:rsidP="002701DD">
                  <w:pPr>
                    <w:pStyle w:val="Tabletext"/>
                    <w:rPr>
                      <w:rStyle w:val="SubtleEmphasis"/>
                    </w:rPr>
                  </w:pPr>
                </w:p>
              </w:tc>
            </w:tr>
          </w:tbl>
          <w:p w14:paraId="5016F07C"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568FAFBE" w14:textId="77777777" w:rsidTr="00161929">
              <w:tc>
                <w:tcPr>
                  <w:tcW w:w="1771" w:type="pct"/>
                </w:tcPr>
                <w:p w14:paraId="1B149DC4" w14:textId="0E3DB203" w:rsidR="002701DD" w:rsidRPr="006C15AE" w:rsidRDefault="002701DD" w:rsidP="002701DD">
                  <w:pPr>
                    <w:rPr>
                      <w:rStyle w:val="SubtleEmphasis"/>
                    </w:rPr>
                  </w:pPr>
                  <w:r>
                    <w:rPr>
                      <w:rStyle w:val="SubtleEmphasis"/>
                    </w:rPr>
                    <w:t>tr</w:t>
                  </w:r>
                </w:p>
              </w:tc>
              <w:tc>
                <w:tcPr>
                  <w:tcW w:w="3229" w:type="pct"/>
                </w:tcPr>
                <w:p w14:paraId="00F51E15" w14:textId="77777777" w:rsidR="002701DD" w:rsidRPr="006C15AE" w:rsidRDefault="002701DD" w:rsidP="002701DD">
                  <w:pPr>
                    <w:pStyle w:val="Tabletext"/>
                    <w:rPr>
                      <w:rStyle w:val="SubtleEmphasis"/>
                    </w:rPr>
                  </w:pPr>
                </w:p>
              </w:tc>
            </w:tr>
          </w:tbl>
          <w:p w14:paraId="3053D103" w14:textId="427A8294" w:rsidR="002701DD" w:rsidRPr="000E07C4" w:rsidRDefault="002701DD" w:rsidP="002701DD">
            <w:pPr>
              <w:rPr>
                <w:rFonts w:ascii="Consolas" w:hAnsi="Consolas" w:cs="Consolas"/>
                <w:sz w:val="18"/>
                <w:szCs w:val="18"/>
              </w:rPr>
            </w:pPr>
          </w:p>
        </w:tc>
        <w:tc>
          <w:tcPr>
            <w:tcW w:w="1944" w:type="pct"/>
          </w:tcPr>
          <w:p w14:paraId="56F648B1" w14:textId="77777777" w:rsidR="002701DD" w:rsidRPr="00893BD2" w:rsidRDefault="002701DD" w:rsidP="002701DD">
            <w:pPr>
              <w:pStyle w:val="Tabletextheading"/>
            </w:pPr>
            <w:r>
              <w:lastRenderedPageBreak/>
              <w:t>Use case</w:t>
            </w:r>
          </w:p>
          <w:p w14:paraId="414F8FEF" w14:textId="5B4268A5" w:rsidR="002701DD" w:rsidRDefault="002701DD" w:rsidP="002701DD">
            <w:pPr>
              <w:pStyle w:val="Tabletext"/>
            </w:pPr>
            <w:r>
              <w:t xml:space="preserve">Fills all the holes in the </w:t>
            </w:r>
            <w:r w:rsidRPr="001B5AD4">
              <w:rPr>
                <w:rStyle w:val="SubtleEmphasis"/>
              </w:rPr>
              <w:t>userdata</w:t>
            </w:r>
            <w:r>
              <w:t xml:space="preserve"> surface</w:t>
            </w:r>
          </w:p>
          <w:p w14:paraId="2451914D" w14:textId="77777777" w:rsidR="002701DD" w:rsidRDefault="002701DD" w:rsidP="002701DD">
            <w:pPr>
              <w:pStyle w:val="Tabletextheading"/>
            </w:pPr>
            <w:r>
              <w:t>Description</w:t>
            </w:r>
          </w:p>
          <w:p w14:paraId="4A10678F" w14:textId="1953DB18" w:rsidR="002701DD" w:rsidRDefault="002701DD" w:rsidP="002701DD">
            <w:pPr>
              <w:pStyle w:val="Tabletext"/>
            </w:pPr>
            <w:r w:rsidRPr="001B5AD4">
              <w:rPr>
                <w:rStyle w:val="SubtleEmphasis"/>
              </w:rPr>
              <w:t>getClosedSurface</w:t>
            </w:r>
            <w:r>
              <w:rPr>
                <w:color w:val="000000"/>
              </w:rPr>
              <w:t xml:space="preserve"> </w:t>
            </w:r>
            <w:r>
              <w:t>Returns</w:t>
            </w:r>
            <w:r>
              <w:rPr>
                <w:color w:val="000000"/>
              </w:rPr>
              <w:t xml:space="preserve"> </w:t>
            </w:r>
            <w:r>
              <w:t>a</w:t>
            </w:r>
            <w:r>
              <w:rPr>
                <w:color w:val="000000"/>
              </w:rPr>
              <w:t xml:space="preserve"> </w:t>
            </w:r>
            <w:r>
              <w:t>new</w:t>
            </w:r>
            <w:r>
              <w:rPr>
                <w:color w:val="000000"/>
              </w:rPr>
              <w:t xml:space="preserve"> </w:t>
            </w:r>
            <w:r>
              <w:t>surface</w:t>
            </w:r>
            <w:r>
              <w:rPr>
                <w:color w:val="000000"/>
              </w:rPr>
              <w:t xml:space="preserve"> </w:t>
            </w:r>
            <w:r>
              <w:t>representation</w:t>
            </w:r>
            <w:r>
              <w:rPr>
                <w:color w:val="000000"/>
              </w:rPr>
              <w:t xml:space="preserve"> </w:t>
            </w:r>
            <w:r>
              <w:t>of</w:t>
            </w:r>
            <w:r>
              <w:rPr>
                <w:color w:val="000000"/>
              </w:rPr>
              <w:t xml:space="preserve"> </w:t>
            </w:r>
            <w:r>
              <w:t>the</w:t>
            </w:r>
            <w:r>
              <w:rPr>
                <w:color w:val="000000"/>
              </w:rPr>
              <w:t xml:space="preserve"> </w:t>
            </w:r>
            <w:r>
              <w:t>anatomical</w:t>
            </w:r>
            <w:r>
              <w:rPr>
                <w:color w:val="000000"/>
              </w:rPr>
              <w:t xml:space="preserve"> model </w:t>
            </w:r>
            <w:r>
              <w:t>with</w:t>
            </w:r>
            <w:r>
              <w:rPr>
                <w:color w:val="000000"/>
              </w:rPr>
              <w:t xml:space="preserve"> </w:t>
            </w:r>
            <w:r>
              <w:t>all</w:t>
            </w:r>
            <w:r>
              <w:rPr>
                <w:color w:val="000000"/>
              </w:rPr>
              <w:t xml:space="preserve"> </w:t>
            </w:r>
            <w:r>
              <w:t>the</w:t>
            </w:r>
            <w:r>
              <w:rPr>
                <w:color w:val="000000"/>
              </w:rPr>
              <w:t xml:space="preserve"> </w:t>
            </w:r>
            <w:r>
              <w:t>holes</w:t>
            </w:r>
            <w:r>
              <w:rPr>
                <w:color w:val="000000"/>
              </w:rPr>
              <w:t xml:space="preserve"> </w:t>
            </w:r>
            <w:r>
              <w:t>in</w:t>
            </w:r>
            <w:r>
              <w:rPr>
                <w:color w:val="000000"/>
              </w:rPr>
              <w:t xml:space="preserve"> </w:t>
            </w:r>
            <w:r>
              <w:t>the</w:t>
            </w:r>
            <w:r>
              <w:rPr>
                <w:color w:val="000000"/>
              </w:rPr>
              <w:t xml:space="preserve"> </w:t>
            </w:r>
            <w:r>
              <w:t>mesh</w:t>
            </w:r>
            <w:r>
              <w:rPr>
                <w:color w:val="000000"/>
              </w:rPr>
              <w:t xml:space="preserve"> </w:t>
            </w:r>
            <w:r>
              <w:t>filed.</w:t>
            </w:r>
            <w:r>
              <w:rPr>
                <w:color w:val="000000"/>
              </w:rPr>
              <w:t xml:space="preserve"> </w:t>
            </w:r>
            <w:r>
              <w:t>Closes</w:t>
            </w:r>
            <w:r>
              <w:rPr>
                <w:color w:val="000000"/>
              </w:rPr>
              <w:t xml:space="preserve"> </w:t>
            </w:r>
            <w:r>
              <w:t>the</w:t>
            </w:r>
            <w:r>
              <w:rPr>
                <w:color w:val="000000"/>
              </w:rPr>
              <w:t xml:space="preserve"> </w:t>
            </w:r>
            <w:r>
              <w:lastRenderedPageBreak/>
              <w:t>surface</w:t>
            </w:r>
            <w:r>
              <w:rPr>
                <w:color w:val="000000"/>
              </w:rPr>
              <w:t xml:space="preserve"> </w:t>
            </w:r>
            <w:r>
              <w:t>by</w:t>
            </w:r>
            <w:r>
              <w:rPr>
                <w:color w:val="000000"/>
              </w:rPr>
              <w:t xml:space="preserve"> </w:t>
            </w:r>
            <w:r>
              <w:t>the</w:t>
            </w:r>
            <w:r>
              <w:rPr>
                <w:color w:val="000000"/>
              </w:rPr>
              <w:t xml:space="preserve"> following </w:t>
            </w:r>
            <w:r>
              <w:t>algorithm.</w:t>
            </w:r>
            <w:r>
              <w:rPr>
                <w:color w:val="000000"/>
              </w:rPr>
              <w:t xml:space="preserve"> </w:t>
            </w:r>
            <w:r>
              <w:t>First</w:t>
            </w:r>
            <w:r>
              <w:rPr>
                <w:color w:val="000000"/>
              </w:rPr>
              <w:t xml:space="preserve">, every </w:t>
            </w:r>
            <w:r>
              <w:t>complete</w:t>
            </w:r>
            <w:r>
              <w:rPr>
                <w:color w:val="000000"/>
              </w:rPr>
              <w:t xml:space="preserve"> </w:t>
            </w:r>
            <w:r>
              <w:t>free</w:t>
            </w:r>
            <w:r>
              <w:rPr>
                <w:color w:val="000000"/>
              </w:rPr>
              <w:t xml:space="preserve"> </w:t>
            </w:r>
            <w:r>
              <w:t>boundary</w:t>
            </w:r>
            <w:r>
              <w:rPr>
                <w:color w:val="000000"/>
              </w:rPr>
              <w:t xml:space="preserve"> </w:t>
            </w:r>
            <w:r>
              <w:t>is</w:t>
            </w:r>
            <w:r>
              <w:rPr>
                <w:color w:val="000000"/>
              </w:rPr>
              <w:t xml:space="preserve"> </w:t>
            </w:r>
            <w:r>
              <w:t>identified.</w:t>
            </w:r>
            <w:r>
              <w:rPr>
                <w:color w:val="000000"/>
              </w:rPr>
              <w:t xml:space="preserve"> Second, the </w:t>
            </w:r>
            <w:r>
              <w:t>barycentre</w:t>
            </w:r>
            <w:r>
              <w:rPr>
                <w:color w:val="000000"/>
              </w:rPr>
              <w:t xml:space="preserve"> </w:t>
            </w:r>
            <w:r>
              <w:t>of</w:t>
            </w:r>
            <w:r>
              <w:rPr>
                <w:color w:val="000000"/>
              </w:rPr>
              <w:t xml:space="preserve"> </w:t>
            </w:r>
            <w:r>
              <w:t>the</w:t>
            </w:r>
            <w:r>
              <w:rPr>
                <w:color w:val="000000"/>
              </w:rPr>
              <w:t xml:space="preserve"> </w:t>
            </w:r>
            <w:r>
              <w:t>free</w:t>
            </w:r>
            <w:r>
              <w:rPr>
                <w:color w:val="000000"/>
              </w:rPr>
              <w:t xml:space="preserve"> </w:t>
            </w:r>
            <w:r>
              <w:t>boundary</w:t>
            </w:r>
            <w:r>
              <w:rPr>
                <w:color w:val="000000"/>
              </w:rPr>
              <w:t xml:space="preserve"> </w:t>
            </w:r>
            <w:r>
              <w:t>is</w:t>
            </w:r>
            <w:r>
              <w:rPr>
                <w:color w:val="000000"/>
              </w:rPr>
              <w:t xml:space="preserve"> </w:t>
            </w:r>
            <w:r>
              <w:t>identified.</w:t>
            </w:r>
            <w:r>
              <w:rPr>
                <w:color w:val="000000"/>
              </w:rPr>
              <w:t xml:space="preserve"> </w:t>
            </w:r>
            <w:r>
              <w:t>Third</w:t>
            </w:r>
            <w:r>
              <w:rPr>
                <w:color w:val="000000"/>
              </w:rPr>
              <w:t xml:space="preserve">, a triangulation </w:t>
            </w:r>
            <w:r>
              <w:t>is</w:t>
            </w:r>
            <w:r>
              <w:rPr>
                <w:color w:val="000000"/>
              </w:rPr>
              <w:t xml:space="preserve"> </w:t>
            </w:r>
            <w:r>
              <w:t>created</w:t>
            </w:r>
            <w:r>
              <w:rPr>
                <w:color w:val="000000"/>
              </w:rPr>
              <w:t xml:space="preserve"> </w:t>
            </w:r>
            <w:r>
              <w:t>covering</w:t>
            </w:r>
            <w:r>
              <w:rPr>
                <w:color w:val="000000"/>
              </w:rPr>
              <w:t xml:space="preserve"> </w:t>
            </w:r>
            <w:r>
              <w:t>this</w:t>
            </w:r>
            <w:r>
              <w:rPr>
                <w:color w:val="000000"/>
              </w:rPr>
              <w:t xml:space="preserve"> </w:t>
            </w:r>
            <w:r>
              <w:t>hole.</w:t>
            </w:r>
            <w:r>
              <w:rPr>
                <w:color w:val="000000"/>
              </w:rPr>
              <w:t xml:space="preserve"> </w:t>
            </w:r>
            <w:r>
              <w:t>Finally</w:t>
            </w:r>
            <w:r>
              <w:rPr>
                <w:color w:val="000000"/>
              </w:rPr>
              <w:t xml:space="preserve">, the </w:t>
            </w:r>
            <w:r>
              <w:t>additional</w:t>
            </w:r>
            <w:r>
              <w:rPr>
                <w:color w:val="000000"/>
              </w:rPr>
              <w:t xml:space="preserve"> triangles </w:t>
            </w:r>
            <w:r>
              <w:t>are</w:t>
            </w:r>
            <w:r>
              <w:rPr>
                <w:color w:val="000000"/>
              </w:rPr>
              <w:t xml:space="preserve"> </w:t>
            </w:r>
            <w:r>
              <w:t>added</w:t>
            </w:r>
            <w:r>
              <w:rPr>
                <w:color w:val="000000"/>
              </w:rPr>
              <w:t xml:space="preserve"> </w:t>
            </w:r>
            <w:r>
              <w:t>to</w:t>
            </w:r>
            <w:r>
              <w:rPr>
                <w:color w:val="000000"/>
              </w:rPr>
              <w:t xml:space="preserve"> </w:t>
            </w:r>
            <w:r>
              <w:t>the</w:t>
            </w:r>
            <w:r>
              <w:rPr>
                <w:color w:val="000000"/>
              </w:rPr>
              <w:t xml:space="preserve"> </w:t>
            </w:r>
            <w:proofErr w:type="spellStart"/>
            <w:r>
              <w:t>TriRep</w:t>
            </w:r>
            <w:proofErr w:type="spellEnd"/>
            <w:r>
              <w:t>.</w:t>
            </w:r>
          </w:p>
          <w:p w14:paraId="7BC39963" w14:textId="77777777" w:rsidR="002701DD" w:rsidRDefault="002701DD" w:rsidP="002701DD">
            <w:pPr>
              <w:pStyle w:val="Tabletextheading"/>
            </w:pPr>
            <w:r w:rsidRPr="00B035AB">
              <w:t>Example</w:t>
            </w:r>
            <w:r w:rsidRPr="00B341D1">
              <w:t xml:space="preserve"> function call</w:t>
            </w:r>
            <w:r>
              <w:t>(s)</w:t>
            </w:r>
          </w:p>
          <w:p w14:paraId="1A863151" w14:textId="7D693AF5" w:rsidR="002701DD" w:rsidRPr="00A75E74" w:rsidRDefault="002701DD" w:rsidP="002701DD">
            <w:pPr>
              <w:pStyle w:val="Code"/>
            </w:pPr>
            <w:r>
              <w:t xml:space="preserve">tr = </w:t>
            </w:r>
            <w:proofErr w:type="spellStart"/>
            <w:proofErr w:type="gramStart"/>
            <w:r>
              <w:t>getClosedSurface</w:t>
            </w:r>
            <w:proofErr w:type="spellEnd"/>
            <w:r>
              <w:t xml:space="preserve">( </w:t>
            </w:r>
            <w:proofErr w:type="spellStart"/>
            <w:r>
              <w:t>userdata</w:t>
            </w:r>
            <w:proofErr w:type="spellEnd"/>
            <w:proofErr w:type="gramEnd"/>
            <w:r>
              <w:t xml:space="preserve"> )</w:t>
            </w:r>
            <w:r w:rsidR="00E00A74">
              <w:t>;</w:t>
            </w:r>
          </w:p>
        </w:tc>
      </w:tr>
      <w:tr w:rsidR="002701DD" w:rsidRPr="004F7B48" w14:paraId="79967666" w14:textId="77777777" w:rsidTr="00861399">
        <w:tc>
          <w:tcPr>
            <w:tcW w:w="1353" w:type="pct"/>
          </w:tcPr>
          <w:p w14:paraId="36B2D043" w14:textId="378B98C3" w:rsidR="002701DD" w:rsidRPr="006A0BFF" w:rsidRDefault="002701DD" w:rsidP="002701DD">
            <w:pPr>
              <w:rPr>
                <w:rStyle w:val="SubtleEmphasis"/>
              </w:rPr>
            </w:pPr>
            <w:r w:rsidRPr="006A0BFF">
              <w:rPr>
                <w:rStyle w:val="SubtleEmphasis"/>
              </w:rPr>
              <w:lastRenderedPageBreak/>
              <w:t>getFaces(</w:t>
            </w:r>
            <w:r>
              <w:rPr>
                <w:rStyle w:val="SubtleEmphasis"/>
              </w:rPr>
              <w:t>...</w:t>
            </w:r>
            <w:r w:rsidRPr="006A0BFF">
              <w:rPr>
                <w:rStyle w:val="SubtleEmphasis"/>
              </w:rPr>
              <w:t>)</w:t>
            </w:r>
          </w:p>
        </w:tc>
        <w:tc>
          <w:tcPr>
            <w:tcW w:w="1703" w:type="pct"/>
          </w:tcPr>
          <w:p w14:paraId="50F11457"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51AE5CCC" w14:textId="77777777" w:rsidTr="00161929">
              <w:tc>
                <w:tcPr>
                  <w:tcW w:w="1487" w:type="pct"/>
                </w:tcPr>
                <w:p w14:paraId="4BA61CE1" w14:textId="4A3F4D30" w:rsidR="002701DD" w:rsidRPr="006C15AE" w:rsidRDefault="002701DD" w:rsidP="002701DD">
                  <w:pPr>
                    <w:rPr>
                      <w:rStyle w:val="SubtleEmphasis"/>
                    </w:rPr>
                  </w:pPr>
                  <w:r>
                    <w:rPr>
                      <w:rStyle w:val="SubtleEmphasis"/>
                    </w:rPr>
                    <w:t>1</w:t>
                  </w:r>
                </w:p>
              </w:tc>
              <w:tc>
                <w:tcPr>
                  <w:tcW w:w="3513" w:type="pct"/>
                </w:tcPr>
                <w:p w14:paraId="3EAEC452" w14:textId="1DD0B61F" w:rsidR="002701DD" w:rsidRPr="006C15AE" w:rsidRDefault="002701DD" w:rsidP="002701DD">
                  <w:pPr>
                    <w:pStyle w:val="Tabletext"/>
                    <w:rPr>
                      <w:rStyle w:val="SubtleEmphasis"/>
                    </w:rPr>
                  </w:pPr>
                  <w:r>
                    <w:rPr>
                      <w:rStyle w:val="SubtleEmphasis"/>
                    </w:rPr>
                    <w:t>userdata</w:t>
                  </w:r>
                </w:p>
              </w:tc>
            </w:tr>
          </w:tbl>
          <w:p w14:paraId="292AE43D"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1AE5ACAD" w14:textId="77777777" w:rsidTr="00161929">
              <w:tc>
                <w:tcPr>
                  <w:tcW w:w="1771" w:type="pct"/>
                </w:tcPr>
                <w:p w14:paraId="6D82C1BD" w14:textId="62BE3B43" w:rsidR="002701DD" w:rsidRPr="006C15AE" w:rsidRDefault="002701DD" w:rsidP="002701DD">
                  <w:pPr>
                    <w:rPr>
                      <w:rStyle w:val="SubtleEmphasis"/>
                    </w:rPr>
                  </w:pPr>
                  <w:r>
                    <w:rPr>
                      <w:rStyle w:val="SubtleEmphasis"/>
                    </w:rPr>
                    <w:t>None</w:t>
                  </w:r>
                </w:p>
              </w:tc>
              <w:tc>
                <w:tcPr>
                  <w:tcW w:w="3229" w:type="pct"/>
                </w:tcPr>
                <w:p w14:paraId="4C4F57BC" w14:textId="77777777" w:rsidR="002701DD" w:rsidRPr="006C15AE" w:rsidRDefault="002701DD" w:rsidP="002701DD">
                  <w:pPr>
                    <w:pStyle w:val="Tabletext"/>
                    <w:rPr>
                      <w:rStyle w:val="SubtleEmphasis"/>
                    </w:rPr>
                  </w:pPr>
                </w:p>
              </w:tc>
            </w:tr>
          </w:tbl>
          <w:p w14:paraId="781E3978"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74465FF7" w14:textId="77777777" w:rsidTr="00161929">
              <w:tc>
                <w:tcPr>
                  <w:tcW w:w="1771" w:type="pct"/>
                </w:tcPr>
                <w:p w14:paraId="3A8F9B84" w14:textId="7B238167" w:rsidR="002701DD" w:rsidRPr="006C15AE" w:rsidRDefault="002701DD" w:rsidP="002701DD">
                  <w:pPr>
                    <w:rPr>
                      <w:rStyle w:val="SubtleEmphasis"/>
                    </w:rPr>
                  </w:pPr>
                  <w:r>
                    <w:rPr>
                      <w:rStyle w:val="SubtleEmphasis"/>
                    </w:rPr>
                    <w:t>faces</w:t>
                  </w:r>
                </w:p>
              </w:tc>
              <w:tc>
                <w:tcPr>
                  <w:tcW w:w="3229" w:type="pct"/>
                </w:tcPr>
                <w:p w14:paraId="324DF896" w14:textId="1A85AD8F" w:rsidR="002701DD" w:rsidRPr="00223D21" w:rsidRDefault="002701DD" w:rsidP="002701DD">
                  <w:pPr>
                    <w:pStyle w:val="Tabletext"/>
                    <w:rPr>
                      <w:rStyle w:val="SubtleEmphasis"/>
                      <w:rFonts w:asciiTheme="minorHAnsi" w:hAnsiTheme="minorHAnsi"/>
                      <w:iCs w:val="0"/>
                      <w:noProof w:val="0"/>
                      <w:color w:val="auto"/>
                    </w:rPr>
                  </w:pPr>
                  <w:r w:rsidRPr="00223D21">
                    <w:rPr>
                      <w:rStyle w:val="SubtleEmphasis"/>
                      <w:rFonts w:asciiTheme="minorHAnsi" w:hAnsiTheme="minorHAnsi"/>
                      <w:iCs w:val="0"/>
                      <w:noProof w:val="0"/>
                      <w:color w:val="auto"/>
                    </w:rPr>
                    <w:t>All the faces</w:t>
                  </w:r>
                </w:p>
              </w:tc>
            </w:tr>
          </w:tbl>
          <w:p w14:paraId="04EC6007" w14:textId="77777777" w:rsidR="002701DD" w:rsidRPr="000E07C4" w:rsidRDefault="002701DD" w:rsidP="002701DD">
            <w:pPr>
              <w:rPr>
                <w:rFonts w:ascii="Consolas" w:hAnsi="Consolas" w:cs="Consolas"/>
                <w:sz w:val="18"/>
                <w:szCs w:val="18"/>
              </w:rPr>
            </w:pPr>
          </w:p>
        </w:tc>
        <w:tc>
          <w:tcPr>
            <w:tcW w:w="1944" w:type="pct"/>
          </w:tcPr>
          <w:p w14:paraId="573DDCC7" w14:textId="77777777" w:rsidR="002701DD" w:rsidRPr="00893BD2" w:rsidRDefault="002701DD" w:rsidP="002701DD">
            <w:pPr>
              <w:pStyle w:val="Tabletextheading"/>
            </w:pPr>
            <w:r>
              <w:t>Use case</w:t>
            </w:r>
          </w:p>
          <w:p w14:paraId="7B4B9FB2" w14:textId="1F870B3D" w:rsidR="002701DD" w:rsidRDefault="002701DD" w:rsidP="002701DD">
            <w:pPr>
              <w:pStyle w:val="Tabletext"/>
            </w:pPr>
            <w:r>
              <w:t xml:space="preserve">Returns the faces referenced by </w:t>
            </w:r>
            <w:r w:rsidRPr="00223D21">
              <w:rPr>
                <w:rStyle w:val="SubtleEmphasis"/>
              </w:rPr>
              <w:t>userdata</w:t>
            </w:r>
          </w:p>
          <w:p w14:paraId="1F3A74F7" w14:textId="77777777" w:rsidR="002701DD" w:rsidRDefault="002701DD" w:rsidP="002701DD">
            <w:pPr>
              <w:pStyle w:val="Tabletextheading"/>
            </w:pPr>
            <w:r>
              <w:t>Description</w:t>
            </w:r>
          </w:p>
          <w:p w14:paraId="298DEF12" w14:textId="77777777" w:rsidR="002701DD" w:rsidRDefault="002701DD" w:rsidP="002701DD">
            <w:pPr>
              <w:pStyle w:val="Tabletext"/>
            </w:pPr>
            <w:r>
              <w:t xml:space="preserve">Returns the faces referenced by </w:t>
            </w:r>
            <w:r w:rsidRPr="00223D21">
              <w:rPr>
                <w:rStyle w:val="SubtleEmphasis"/>
              </w:rPr>
              <w:t>userdata</w:t>
            </w:r>
          </w:p>
          <w:p w14:paraId="16A6489E" w14:textId="77777777" w:rsidR="002701DD" w:rsidRDefault="002701DD" w:rsidP="002701DD">
            <w:pPr>
              <w:pStyle w:val="Tabletextheading"/>
            </w:pPr>
            <w:r w:rsidRPr="00B035AB">
              <w:t>Example</w:t>
            </w:r>
            <w:r w:rsidRPr="00B341D1">
              <w:t xml:space="preserve"> function call</w:t>
            </w:r>
            <w:r>
              <w:t>(s)</w:t>
            </w:r>
          </w:p>
          <w:p w14:paraId="7B2C9D2B" w14:textId="4907C2D6" w:rsidR="002701DD" w:rsidRPr="00223D21" w:rsidRDefault="002701DD" w:rsidP="002701DD">
            <w:pPr>
              <w:pStyle w:val="Code"/>
            </w:pPr>
            <w:r>
              <w:t xml:space="preserve">faces = </w:t>
            </w:r>
            <w:proofErr w:type="spellStart"/>
            <w:proofErr w:type="gramStart"/>
            <w:r>
              <w:t>getFaces</w:t>
            </w:r>
            <w:proofErr w:type="spellEnd"/>
            <w:r>
              <w:t xml:space="preserve">( </w:t>
            </w:r>
            <w:proofErr w:type="spellStart"/>
            <w:r>
              <w:t>userdata</w:t>
            </w:r>
            <w:proofErr w:type="spellEnd"/>
            <w:proofErr w:type="gramEnd"/>
            <w:r>
              <w:t xml:space="preserve"> )</w:t>
            </w:r>
            <w:r w:rsidR="00E00A74">
              <w:t>;</w:t>
            </w:r>
          </w:p>
        </w:tc>
      </w:tr>
      <w:tr w:rsidR="002701DD" w:rsidRPr="004F7B48" w14:paraId="09B58840" w14:textId="77777777" w:rsidTr="00861399">
        <w:tc>
          <w:tcPr>
            <w:tcW w:w="1353" w:type="pct"/>
          </w:tcPr>
          <w:p w14:paraId="2EB7C030" w14:textId="017036E7" w:rsidR="002701DD" w:rsidRPr="006A0BFF" w:rsidRDefault="002701DD" w:rsidP="002701DD">
            <w:pPr>
              <w:rPr>
                <w:rStyle w:val="SubtleEmphasis"/>
              </w:rPr>
            </w:pPr>
            <w:r w:rsidRPr="006A0BFF">
              <w:rPr>
                <w:rStyle w:val="SubtleEmphasis"/>
              </w:rPr>
              <w:t>getMesh(</w:t>
            </w:r>
            <w:r>
              <w:rPr>
                <w:rStyle w:val="SubtleEmphasis"/>
              </w:rPr>
              <w:t>...</w:t>
            </w:r>
            <w:r w:rsidRPr="006A0BFF">
              <w:rPr>
                <w:rStyle w:val="SubtleEmphasis"/>
              </w:rPr>
              <w:t>)</w:t>
            </w:r>
          </w:p>
        </w:tc>
        <w:tc>
          <w:tcPr>
            <w:tcW w:w="1703" w:type="pct"/>
          </w:tcPr>
          <w:p w14:paraId="27603069"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177737FF" w14:textId="77777777" w:rsidTr="00161929">
              <w:tc>
                <w:tcPr>
                  <w:tcW w:w="1487" w:type="pct"/>
                </w:tcPr>
                <w:p w14:paraId="302DF979" w14:textId="43AD27F3" w:rsidR="002701DD" w:rsidRPr="006C15AE" w:rsidRDefault="002701DD" w:rsidP="002701DD">
                  <w:pPr>
                    <w:rPr>
                      <w:rStyle w:val="SubtleEmphasis"/>
                    </w:rPr>
                  </w:pPr>
                  <w:r>
                    <w:rPr>
                      <w:rStyle w:val="SubtleEmphasis"/>
                    </w:rPr>
                    <w:t>1</w:t>
                  </w:r>
                </w:p>
              </w:tc>
              <w:tc>
                <w:tcPr>
                  <w:tcW w:w="3513" w:type="pct"/>
                </w:tcPr>
                <w:p w14:paraId="6EC85BD0" w14:textId="337DFEE2" w:rsidR="002701DD" w:rsidRPr="006C15AE" w:rsidRDefault="002701DD" w:rsidP="002701DD">
                  <w:pPr>
                    <w:pStyle w:val="Tabletext"/>
                    <w:rPr>
                      <w:rStyle w:val="SubtleEmphasis"/>
                    </w:rPr>
                  </w:pPr>
                  <w:r>
                    <w:rPr>
                      <w:rStyle w:val="SubtleEmphasis"/>
                    </w:rPr>
                    <w:t>Userdata</w:t>
                  </w:r>
                </w:p>
              </w:tc>
            </w:tr>
          </w:tbl>
          <w:p w14:paraId="53ABE7CF"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6D29A477" w14:textId="77777777" w:rsidTr="00161929">
              <w:tc>
                <w:tcPr>
                  <w:tcW w:w="1771" w:type="pct"/>
                </w:tcPr>
                <w:p w14:paraId="04E8D68E" w14:textId="3F52B9AF" w:rsidR="002701DD" w:rsidRPr="006C15AE" w:rsidRDefault="002701DD" w:rsidP="002701DD">
                  <w:pPr>
                    <w:rPr>
                      <w:rStyle w:val="SubtleEmphasis"/>
                    </w:rPr>
                  </w:pPr>
                  <w:r>
                    <w:rPr>
                      <w:rStyle w:val="SubtleEmphasis"/>
                    </w:rPr>
                    <w:t>‘type’</w:t>
                  </w:r>
                </w:p>
              </w:tc>
              <w:tc>
                <w:tcPr>
                  <w:tcW w:w="3229" w:type="pct"/>
                </w:tcPr>
                <w:p w14:paraId="737BBDB4" w14:textId="21F29D3B" w:rsidR="002701DD" w:rsidRPr="006C15AE" w:rsidRDefault="002701DD" w:rsidP="002701DD">
                  <w:pPr>
                    <w:pStyle w:val="Tabletext"/>
                    <w:rPr>
                      <w:rStyle w:val="SubtleEmphasis"/>
                    </w:rPr>
                  </w:pPr>
                  <w:r>
                    <w:rPr>
                      <w:rStyle w:val="SubtleEmphasis"/>
                    </w:rPr>
                    <w:t>{‘trirep’} | ‘triangulation’</w:t>
                  </w:r>
                </w:p>
              </w:tc>
            </w:tr>
          </w:tbl>
          <w:p w14:paraId="71974FA8"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72BB86C6" w14:textId="77777777" w:rsidTr="00161929">
              <w:tc>
                <w:tcPr>
                  <w:tcW w:w="1771" w:type="pct"/>
                </w:tcPr>
                <w:p w14:paraId="54D7C58F" w14:textId="1C1B815F" w:rsidR="002701DD" w:rsidRPr="006C15AE" w:rsidRDefault="002701DD" w:rsidP="002701DD">
                  <w:pPr>
                    <w:rPr>
                      <w:rStyle w:val="SubtleEmphasis"/>
                    </w:rPr>
                  </w:pPr>
                  <w:r>
                    <w:rPr>
                      <w:rStyle w:val="SubtleEmphasis"/>
                    </w:rPr>
                    <w:t>tr</w:t>
                  </w:r>
                </w:p>
              </w:tc>
              <w:tc>
                <w:tcPr>
                  <w:tcW w:w="3229" w:type="pct"/>
                </w:tcPr>
                <w:p w14:paraId="74C2DD95" w14:textId="38934DBD" w:rsidR="002701DD" w:rsidRPr="00EF2ED4" w:rsidRDefault="002701DD" w:rsidP="002701DD">
                  <w:pPr>
                    <w:pStyle w:val="Tabletext"/>
                    <w:rPr>
                      <w:rStyle w:val="SubtleEmphasis"/>
                      <w:rFonts w:asciiTheme="minorHAnsi" w:hAnsiTheme="minorHAnsi"/>
                      <w:iCs w:val="0"/>
                      <w:noProof w:val="0"/>
                      <w:color w:val="auto"/>
                    </w:rPr>
                  </w:pPr>
                  <w:r w:rsidRPr="00EF2ED4">
                    <w:rPr>
                      <w:rStyle w:val="SubtleEmphasis"/>
                      <w:rFonts w:asciiTheme="minorHAnsi" w:hAnsiTheme="minorHAnsi"/>
                      <w:iCs w:val="0"/>
                      <w:noProof w:val="0"/>
                      <w:color w:val="auto"/>
                    </w:rPr>
                    <w:t xml:space="preserve">A </w:t>
                  </w:r>
                  <w:proofErr w:type="spellStart"/>
                  <w:r w:rsidRPr="00EF2ED4">
                    <w:rPr>
                      <w:rStyle w:val="SubtleEmphasis"/>
                      <w:rFonts w:asciiTheme="minorHAnsi" w:hAnsiTheme="minorHAnsi"/>
                      <w:iCs w:val="0"/>
                      <w:noProof w:val="0"/>
                      <w:color w:val="auto"/>
                    </w:rPr>
                    <w:t>TriRep</w:t>
                  </w:r>
                  <w:proofErr w:type="spellEnd"/>
                  <w:r w:rsidRPr="00EF2ED4">
                    <w:rPr>
                      <w:rStyle w:val="SubtleEmphasis"/>
                      <w:rFonts w:asciiTheme="minorHAnsi" w:hAnsiTheme="minorHAnsi"/>
                      <w:iCs w:val="0"/>
                      <w:noProof w:val="0"/>
                      <w:color w:val="auto"/>
                    </w:rPr>
                    <w:t>, or Triangulation, object</w:t>
                  </w:r>
                </w:p>
              </w:tc>
            </w:tr>
          </w:tbl>
          <w:p w14:paraId="5A54AD61" w14:textId="77777777" w:rsidR="002701DD" w:rsidRPr="000E07C4" w:rsidRDefault="002701DD" w:rsidP="002701DD">
            <w:pPr>
              <w:rPr>
                <w:rFonts w:ascii="Consolas" w:hAnsi="Consolas" w:cs="Consolas"/>
                <w:sz w:val="18"/>
                <w:szCs w:val="18"/>
              </w:rPr>
            </w:pPr>
          </w:p>
        </w:tc>
        <w:tc>
          <w:tcPr>
            <w:tcW w:w="1944" w:type="pct"/>
          </w:tcPr>
          <w:p w14:paraId="1DC8ACA3" w14:textId="77777777" w:rsidR="002701DD" w:rsidRPr="00893BD2" w:rsidRDefault="002701DD" w:rsidP="002701DD">
            <w:pPr>
              <w:pStyle w:val="Tabletextheading"/>
            </w:pPr>
            <w:r>
              <w:t>Use case</w:t>
            </w:r>
          </w:p>
          <w:p w14:paraId="3693A8D4" w14:textId="1B41475C" w:rsidR="002701DD" w:rsidRDefault="002701DD" w:rsidP="002701DD">
            <w:pPr>
              <w:pStyle w:val="Tabletext"/>
            </w:pPr>
            <w:r>
              <w:t xml:space="preserve">Returns the triangulation-based mesh from </w:t>
            </w:r>
            <w:r w:rsidRPr="00972830">
              <w:rPr>
                <w:rStyle w:val="SubtleEmphasis"/>
              </w:rPr>
              <w:t>userdata</w:t>
            </w:r>
          </w:p>
          <w:p w14:paraId="59C0AF05" w14:textId="77777777" w:rsidR="002701DD" w:rsidRDefault="002701DD" w:rsidP="002701DD">
            <w:pPr>
              <w:pStyle w:val="Tabletextheading"/>
            </w:pPr>
            <w:r>
              <w:t>Description</w:t>
            </w:r>
          </w:p>
          <w:p w14:paraId="50074322" w14:textId="26938540" w:rsidR="002701DD" w:rsidRDefault="002701DD" w:rsidP="002701DD">
            <w:pPr>
              <w:pStyle w:val="Tabletext"/>
            </w:pPr>
            <w:r>
              <w:t xml:space="preserve">Returns a face/vertex representation of the anatomical model. Supported data types include instances of the </w:t>
            </w:r>
            <w:proofErr w:type="spellStart"/>
            <w:r>
              <w:t>Matlab</w:t>
            </w:r>
            <w:proofErr w:type="spellEnd"/>
            <w:r>
              <w:t xml:space="preserve"> objects </w:t>
            </w:r>
            <w:proofErr w:type="spellStart"/>
            <w:r>
              <w:t>Trirep</w:t>
            </w:r>
            <w:proofErr w:type="spellEnd"/>
            <w:r>
              <w:t xml:space="preserve"> and Triangulation.</w:t>
            </w:r>
          </w:p>
          <w:p w14:paraId="41A753E8" w14:textId="77777777" w:rsidR="002701DD" w:rsidRDefault="002701DD" w:rsidP="002701DD">
            <w:pPr>
              <w:pStyle w:val="Tabletextheading"/>
            </w:pPr>
            <w:r w:rsidRPr="00B035AB">
              <w:t>Example</w:t>
            </w:r>
            <w:r w:rsidRPr="00B341D1">
              <w:t xml:space="preserve"> function call</w:t>
            </w:r>
            <w:r>
              <w:t>(s)</w:t>
            </w:r>
          </w:p>
          <w:p w14:paraId="4B4ABBFB" w14:textId="49CA7311" w:rsidR="002701DD" w:rsidRDefault="002701DD" w:rsidP="002701DD">
            <w:pPr>
              <w:pStyle w:val="Code"/>
            </w:pPr>
            <w:r>
              <w:t xml:space="preserve">[vertices, </w:t>
            </w:r>
            <w:proofErr w:type="spellStart"/>
            <w:r>
              <w:t>isVertUsed</w:t>
            </w:r>
            <w:proofErr w:type="spellEnd"/>
            <w:r>
              <w:t xml:space="preserve">] = </w:t>
            </w:r>
            <w:proofErr w:type="spellStart"/>
            <w:proofErr w:type="gramStart"/>
            <w:r>
              <w:t>getVertices</w:t>
            </w:r>
            <w:proofErr w:type="spellEnd"/>
            <w:r>
              <w:t xml:space="preserve">( </w:t>
            </w:r>
            <w:proofErr w:type="spellStart"/>
            <w:r>
              <w:t>userdata</w:t>
            </w:r>
            <w:proofErr w:type="spellEnd"/>
            <w:proofErr w:type="gramEnd"/>
            <w:r>
              <w:t xml:space="preserve"> )</w:t>
            </w:r>
            <w:r w:rsidR="00E00A74">
              <w:t>;</w:t>
            </w:r>
          </w:p>
          <w:p w14:paraId="7D8C4810" w14:textId="34E0E861" w:rsidR="002701DD" w:rsidRPr="004F7B48" w:rsidRDefault="002701DD" w:rsidP="002701DD">
            <w:pPr>
              <w:rPr>
                <w:rFonts w:asciiTheme="minorHAnsi" w:hAnsiTheme="minorHAnsi" w:cstheme="minorHAnsi"/>
                <w:sz w:val="20"/>
                <w:szCs w:val="20"/>
              </w:rPr>
            </w:pPr>
          </w:p>
        </w:tc>
      </w:tr>
      <w:tr w:rsidR="002701DD" w:rsidRPr="004F7B48" w14:paraId="73513290" w14:textId="77777777" w:rsidTr="00861399">
        <w:tc>
          <w:tcPr>
            <w:tcW w:w="1353" w:type="pct"/>
          </w:tcPr>
          <w:p w14:paraId="72DB1D7E" w14:textId="48F6E906" w:rsidR="002701DD" w:rsidRPr="006A0BFF" w:rsidRDefault="002701DD" w:rsidP="002701DD">
            <w:pPr>
              <w:rPr>
                <w:rStyle w:val="SubtleEmphasis"/>
              </w:rPr>
            </w:pPr>
            <w:r w:rsidRPr="006A0BFF">
              <w:rPr>
                <w:rStyle w:val="SubtleEmphasis"/>
              </w:rPr>
              <w:t>getVertices(</w:t>
            </w:r>
            <w:r>
              <w:rPr>
                <w:rStyle w:val="SubtleEmphasis"/>
              </w:rPr>
              <w:t>...</w:t>
            </w:r>
            <w:r w:rsidRPr="006A0BFF">
              <w:rPr>
                <w:rStyle w:val="SubtleEmphasis"/>
              </w:rPr>
              <w:t>)</w:t>
            </w:r>
          </w:p>
        </w:tc>
        <w:tc>
          <w:tcPr>
            <w:tcW w:w="1703" w:type="pct"/>
          </w:tcPr>
          <w:p w14:paraId="1A7387A3"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023CC578" w14:textId="77777777" w:rsidTr="00161929">
              <w:tc>
                <w:tcPr>
                  <w:tcW w:w="1487" w:type="pct"/>
                </w:tcPr>
                <w:p w14:paraId="5D273C66" w14:textId="5EC034D3" w:rsidR="002701DD" w:rsidRPr="006C15AE" w:rsidRDefault="002701DD" w:rsidP="002701DD">
                  <w:pPr>
                    <w:rPr>
                      <w:rStyle w:val="SubtleEmphasis"/>
                    </w:rPr>
                  </w:pPr>
                  <w:r>
                    <w:rPr>
                      <w:rStyle w:val="SubtleEmphasis"/>
                    </w:rPr>
                    <w:t>1</w:t>
                  </w:r>
                </w:p>
              </w:tc>
              <w:tc>
                <w:tcPr>
                  <w:tcW w:w="3513" w:type="pct"/>
                </w:tcPr>
                <w:p w14:paraId="4544FA22" w14:textId="091B2107" w:rsidR="002701DD" w:rsidRPr="006C15AE" w:rsidRDefault="002701DD" w:rsidP="002701DD">
                  <w:pPr>
                    <w:pStyle w:val="Tabletext"/>
                    <w:rPr>
                      <w:rStyle w:val="SubtleEmphasis"/>
                    </w:rPr>
                  </w:pPr>
                  <w:r>
                    <w:rPr>
                      <w:rStyle w:val="SubtleEmphasis"/>
                    </w:rPr>
                    <w:t>userdata</w:t>
                  </w:r>
                </w:p>
              </w:tc>
            </w:tr>
          </w:tbl>
          <w:p w14:paraId="70703B45"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11A3D725" w14:textId="77777777" w:rsidTr="00161929">
              <w:tc>
                <w:tcPr>
                  <w:tcW w:w="1771" w:type="pct"/>
                </w:tcPr>
                <w:p w14:paraId="1C9ECC7E" w14:textId="0F3784BD" w:rsidR="002701DD" w:rsidRPr="006C15AE" w:rsidRDefault="002701DD" w:rsidP="002701DD">
                  <w:pPr>
                    <w:rPr>
                      <w:rStyle w:val="SubtleEmphasis"/>
                    </w:rPr>
                  </w:pPr>
                  <w:r>
                    <w:rPr>
                      <w:rStyle w:val="SubtleEmphasis"/>
                    </w:rPr>
                    <w:lastRenderedPageBreak/>
                    <w:t>None</w:t>
                  </w:r>
                </w:p>
              </w:tc>
              <w:tc>
                <w:tcPr>
                  <w:tcW w:w="3229" w:type="pct"/>
                </w:tcPr>
                <w:p w14:paraId="1317C316" w14:textId="77777777" w:rsidR="002701DD" w:rsidRPr="006C15AE" w:rsidRDefault="002701DD" w:rsidP="002701DD">
                  <w:pPr>
                    <w:pStyle w:val="Tabletext"/>
                    <w:rPr>
                      <w:rStyle w:val="SubtleEmphasis"/>
                    </w:rPr>
                  </w:pPr>
                </w:p>
              </w:tc>
            </w:tr>
          </w:tbl>
          <w:p w14:paraId="55816A1A"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790840FC" w14:textId="77777777" w:rsidTr="00161929">
              <w:tc>
                <w:tcPr>
                  <w:tcW w:w="1771" w:type="pct"/>
                </w:tcPr>
                <w:p w14:paraId="60D0421B" w14:textId="7C46931B" w:rsidR="002701DD" w:rsidRPr="006C15AE" w:rsidRDefault="002701DD" w:rsidP="002701DD">
                  <w:pPr>
                    <w:rPr>
                      <w:rStyle w:val="SubtleEmphasis"/>
                    </w:rPr>
                  </w:pPr>
                  <w:r>
                    <w:rPr>
                      <w:rStyle w:val="SubtleEmphasis"/>
                    </w:rPr>
                    <w:t>vertices</w:t>
                  </w:r>
                </w:p>
              </w:tc>
              <w:tc>
                <w:tcPr>
                  <w:tcW w:w="3229" w:type="pct"/>
                </w:tcPr>
                <w:p w14:paraId="3084FDC5" w14:textId="5391BFF3" w:rsidR="002701DD" w:rsidRPr="009C73D6" w:rsidRDefault="002701DD" w:rsidP="002701DD">
                  <w:pPr>
                    <w:pStyle w:val="Tabletext"/>
                    <w:rPr>
                      <w:rStyle w:val="SubtleEmphasis"/>
                      <w:rFonts w:asciiTheme="minorHAnsi" w:hAnsiTheme="minorHAnsi"/>
                      <w:iCs w:val="0"/>
                      <w:noProof w:val="0"/>
                      <w:color w:val="auto"/>
                    </w:rPr>
                  </w:pPr>
                  <w:r w:rsidRPr="009C73D6">
                    <w:rPr>
                      <w:rStyle w:val="SubtleEmphasis"/>
                      <w:rFonts w:asciiTheme="minorHAnsi" w:hAnsiTheme="minorHAnsi"/>
                      <w:iCs w:val="0"/>
                      <w:noProof w:val="0"/>
                      <w:color w:val="auto"/>
                    </w:rPr>
                    <w:t>All the vertices.</w:t>
                  </w:r>
                </w:p>
              </w:tc>
            </w:tr>
            <w:tr w:rsidR="002701DD" w14:paraId="0C3B5979" w14:textId="77777777" w:rsidTr="00161929">
              <w:tc>
                <w:tcPr>
                  <w:tcW w:w="1771" w:type="pct"/>
                </w:tcPr>
                <w:p w14:paraId="3D053434" w14:textId="17F45A24" w:rsidR="002701DD" w:rsidRDefault="002701DD" w:rsidP="002701DD">
                  <w:pPr>
                    <w:rPr>
                      <w:rStyle w:val="SubtleEmphasis"/>
                    </w:rPr>
                  </w:pPr>
                  <w:r>
                    <w:rPr>
                      <w:rStyle w:val="SubtleEmphasis"/>
                    </w:rPr>
                    <w:t>isVertUsed</w:t>
                  </w:r>
                </w:p>
              </w:tc>
              <w:tc>
                <w:tcPr>
                  <w:tcW w:w="3229" w:type="pct"/>
                </w:tcPr>
                <w:p w14:paraId="0BB079BF" w14:textId="5E0727E1" w:rsidR="002701DD" w:rsidRPr="009C73D6" w:rsidRDefault="002701DD" w:rsidP="002701DD">
                  <w:pPr>
                    <w:pStyle w:val="Tabletext"/>
                    <w:rPr>
                      <w:rStyle w:val="SubtleEmphasis"/>
                      <w:rFonts w:asciiTheme="minorHAnsi" w:hAnsiTheme="minorHAnsi"/>
                      <w:iCs w:val="0"/>
                      <w:noProof w:val="0"/>
                      <w:color w:val="auto"/>
                    </w:rPr>
                  </w:pPr>
                  <w:r w:rsidRPr="009C73D6">
                    <w:rPr>
                      <w:rStyle w:val="SubtleEmphasis"/>
                      <w:rFonts w:asciiTheme="minorHAnsi" w:hAnsiTheme="minorHAnsi"/>
                      <w:iCs w:val="0"/>
                      <w:noProof w:val="0"/>
                      <w:color w:val="auto"/>
                    </w:rPr>
                    <w:t>Whether the vertex is referenced by the triangulation.</w:t>
                  </w:r>
                </w:p>
              </w:tc>
            </w:tr>
          </w:tbl>
          <w:p w14:paraId="5B0769ED" w14:textId="77777777" w:rsidR="002701DD" w:rsidRPr="000E07C4" w:rsidRDefault="002701DD" w:rsidP="002701DD">
            <w:pPr>
              <w:rPr>
                <w:rFonts w:ascii="Consolas" w:hAnsi="Consolas" w:cs="Consolas"/>
                <w:sz w:val="18"/>
                <w:szCs w:val="18"/>
              </w:rPr>
            </w:pPr>
          </w:p>
        </w:tc>
        <w:tc>
          <w:tcPr>
            <w:tcW w:w="1944" w:type="pct"/>
          </w:tcPr>
          <w:p w14:paraId="1C29F326" w14:textId="77777777" w:rsidR="002701DD" w:rsidRPr="00893BD2" w:rsidRDefault="002701DD" w:rsidP="002701DD">
            <w:pPr>
              <w:pStyle w:val="Tabletextheading"/>
            </w:pPr>
            <w:r>
              <w:lastRenderedPageBreak/>
              <w:t>Use case</w:t>
            </w:r>
          </w:p>
          <w:p w14:paraId="1061B98C" w14:textId="25970270" w:rsidR="002701DD" w:rsidRDefault="002701DD" w:rsidP="002701DD">
            <w:pPr>
              <w:pStyle w:val="Tabletext"/>
            </w:pPr>
            <w:r>
              <w:t xml:space="preserve">Returns the vertices referenced by </w:t>
            </w:r>
            <w:r w:rsidRPr="00972830">
              <w:rPr>
                <w:rStyle w:val="SubtleEmphasis"/>
              </w:rPr>
              <w:t>userdata</w:t>
            </w:r>
          </w:p>
          <w:p w14:paraId="1017EF54" w14:textId="77777777" w:rsidR="002701DD" w:rsidRDefault="002701DD" w:rsidP="002701DD">
            <w:pPr>
              <w:pStyle w:val="Tabletextheading"/>
            </w:pPr>
            <w:r>
              <w:t>Description</w:t>
            </w:r>
          </w:p>
          <w:p w14:paraId="04393417" w14:textId="77777777" w:rsidR="002701DD" w:rsidRDefault="002701DD" w:rsidP="002701DD">
            <w:pPr>
              <w:pStyle w:val="Tabletext"/>
            </w:pPr>
            <w:r>
              <w:t xml:space="preserve">Returns the vertices referenced by </w:t>
            </w:r>
            <w:r w:rsidRPr="00972830">
              <w:rPr>
                <w:rStyle w:val="SubtleEmphasis"/>
              </w:rPr>
              <w:t>userdata</w:t>
            </w:r>
          </w:p>
          <w:p w14:paraId="5298B7E7" w14:textId="77777777" w:rsidR="002701DD" w:rsidRDefault="002701DD" w:rsidP="002701DD">
            <w:pPr>
              <w:pStyle w:val="Tabletextheading"/>
            </w:pPr>
            <w:r w:rsidRPr="00B035AB">
              <w:lastRenderedPageBreak/>
              <w:t>Example</w:t>
            </w:r>
            <w:r w:rsidRPr="00B341D1">
              <w:t xml:space="preserve"> function call</w:t>
            </w:r>
            <w:r>
              <w:t>(s)</w:t>
            </w:r>
          </w:p>
          <w:p w14:paraId="6E62C8DA" w14:textId="76AD3F85" w:rsidR="002701DD" w:rsidRDefault="002701DD" w:rsidP="002701DD">
            <w:pPr>
              <w:pStyle w:val="Code"/>
            </w:pPr>
            <w:r>
              <w:t xml:space="preserve">[vertices, </w:t>
            </w:r>
            <w:proofErr w:type="spellStart"/>
            <w:r>
              <w:t>isVertUsed</w:t>
            </w:r>
            <w:proofErr w:type="spellEnd"/>
            <w:r>
              <w:t xml:space="preserve">] = </w:t>
            </w:r>
            <w:proofErr w:type="spellStart"/>
            <w:proofErr w:type="gramStart"/>
            <w:r>
              <w:t>getVertices</w:t>
            </w:r>
            <w:proofErr w:type="spellEnd"/>
            <w:r>
              <w:t xml:space="preserve">( </w:t>
            </w:r>
            <w:proofErr w:type="spellStart"/>
            <w:r>
              <w:t>userdata</w:t>
            </w:r>
            <w:proofErr w:type="spellEnd"/>
            <w:proofErr w:type="gramEnd"/>
            <w:r>
              <w:t xml:space="preserve"> )</w:t>
            </w:r>
            <w:r w:rsidR="00E00A74">
              <w:t>;</w:t>
            </w:r>
          </w:p>
          <w:p w14:paraId="46778C61" w14:textId="76C7E9D7" w:rsidR="002701DD" w:rsidRPr="004F7B48" w:rsidRDefault="002701DD" w:rsidP="002701DD">
            <w:pPr>
              <w:rPr>
                <w:rFonts w:asciiTheme="minorHAnsi" w:hAnsiTheme="minorHAnsi" w:cstheme="minorHAnsi"/>
                <w:sz w:val="20"/>
                <w:szCs w:val="20"/>
              </w:rPr>
            </w:pPr>
          </w:p>
        </w:tc>
      </w:tr>
      <w:tr w:rsidR="002701DD" w:rsidRPr="004F7B48" w14:paraId="45FE501A" w14:textId="77777777" w:rsidTr="00861399">
        <w:tc>
          <w:tcPr>
            <w:tcW w:w="1353" w:type="pct"/>
          </w:tcPr>
          <w:p w14:paraId="16ED2D51" w14:textId="4356725B" w:rsidR="002701DD" w:rsidRPr="006A0BFF" w:rsidRDefault="002701DD" w:rsidP="002701DD">
            <w:pPr>
              <w:rPr>
                <w:rStyle w:val="SubtleEmphasis"/>
              </w:rPr>
            </w:pPr>
            <w:r w:rsidRPr="006A0BFF">
              <w:rPr>
                <w:rStyle w:val="SubtleEmphasis"/>
              </w:rPr>
              <w:lastRenderedPageBreak/>
              <w:t>getVolume(</w:t>
            </w:r>
            <w:r>
              <w:rPr>
                <w:rStyle w:val="SubtleEmphasis"/>
              </w:rPr>
              <w:t>...</w:t>
            </w:r>
            <w:r w:rsidRPr="006A0BFF">
              <w:rPr>
                <w:rStyle w:val="SubtleEmphasis"/>
              </w:rPr>
              <w:t>)</w:t>
            </w:r>
          </w:p>
        </w:tc>
        <w:tc>
          <w:tcPr>
            <w:tcW w:w="1703" w:type="pct"/>
          </w:tcPr>
          <w:p w14:paraId="0A54FB81"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0FAA4CC5" w14:textId="77777777" w:rsidTr="00161929">
              <w:tc>
                <w:tcPr>
                  <w:tcW w:w="1487" w:type="pct"/>
                </w:tcPr>
                <w:p w14:paraId="7941273A" w14:textId="43D73024" w:rsidR="002701DD" w:rsidRPr="006C15AE" w:rsidRDefault="002701DD" w:rsidP="002701DD">
                  <w:pPr>
                    <w:rPr>
                      <w:rStyle w:val="SubtleEmphasis"/>
                    </w:rPr>
                  </w:pPr>
                  <w:r>
                    <w:rPr>
                      <w:rStyle w:val="SubtleEmphasis"/>
                    </w:rPr>
                    <w:t>1</w:t>
                  </w:r>
                </w:p>
              </w:tc>
              <w:tc>
                <w:tcPr>
                  <w:tcW w:w="3513" w:type="pct"/>
                </w:tcPr>
                <w:p w14:paraId="538AD215" w14:textId="6F65BE9F" w:rsidR="002701DD" w:rsidRPr="006C15AE" w:rsidRDefault="002701DD" w:rsidP="002701DD">
                  <w:pPr>
                    <w:pStyle w:val="Tabletext"/>
                    <w:rPr>
                      <w:rStyle w:val="SubtleEmphasis"/>
                    </w:rPr>
                  </w:pPr>
                  <w:r>
                    <w:rPr>
                      <w:rStyle w:val="SubtleEmphasis"/>
                    </w:rPr>
                    <w:t>userdata</w:t>
                  </w:r>
                </w:p>
              </w:tc>
            </w:tr>
          </w:tbl>
          <w:p w14:paraId="134FCC94"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3C8E95E7" w14:textId="77777777" w:rsidTr="00161929">
              <w:tc>
                <w:tcPr>
                  <w:tcW w:w="1771" w:type="pct"/>
                </w:tcPr>
                <w:p w14:paraId="77680747" w14:textId="6565E5CD" w:rsidR="002701DD" w:rsidRPr="006C15AE" w:rsidRDefault="002701DD" w:rsidP="002701DD">
                  <w:pPr>
                    <w:rPr>
                      <w:rStyle w:val="SubtleEmphasis"/>
                    </w:rPr>
                  </w:pPr>
                  <w:r>
                    <w:rPr>
                      <w:rStyle w:val="SubtleEmphasis"/>
                    </w:rPr>
                    <w:t>None</w:t>
                  </w:r>
                </w:p>
              </w:tc>
              <w:tc>
                <w:tcPr>
                  <w:tcW w:w="3229" w:type="pct"/>
                </w:tcPr>
                <w:p w14:paraId="6CEC33DD" w14:textId="77777777" w:rsidR="002701DD" w:rsidRPr="006C15AE" w:rsidRDefault="002701DD" w:rsidP="002701DD">
                  <w:pPr>
                    <w:pStyle w:val="Tabletext"/>
                    <w:rPr>
                      <w:rStyle w:val="SubtleEmphasis"/>
                    </w:rPr>
                  </w:pPr>
                </w:p>
              </w:tc>
            </w:tr>
          </w:tbl>
          <w:p w14:paraId="4519990F"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3C1C0834" w14:textId="77777777" w:rsidTr="00161929">
              <w:tc>
                <w:tcPr>
                  <w:tcW w:w="1771" w:type="pct"/>
                </w:tcPr>
                <w:p w14:paraId="02119BA3" w14:textId="08BCDF4C" w:rsidR="002701DD" w:rsidRPr="006C15AE" w:rsidRDefault="002701DD" w:rsidP="002701DD">
                  <w:pPr>
                    <w:rPr>
                      <w:rStyle w:val="SubtleEmphasis"/>
                    </w:rPr>
                  </w:pPr>
                  <w:r>
                    <w:rPr>
                      <w:rStyle w:val="SubtleEmphasis"/>
                    </w:rPr>
                    <w:t>volume</w:t>
                  </w:r>
                </w:p>
              </w:tc>
              <w:tc>
                <w:tcPr>
                  <w:tcW w:w="3229" w:type="pct"/>
                </w:tcPr>
                <w:p w14:paraId="788C5EC1" w14:textId="73B2F453" w:rsidR="002701DD" w:rsidRPr="00344A6F" w:rsidRDefault="002701DD" w:rsidP="002701DD">
                  <w:pPr>
                    <w:pStyle w:val="Tabletext"/>
                    <w:rPr>
                      <w:rStyle w:val="SubtleEmphasis"/>
                      <w:rFonts w:asciiTheme="minorHAnsi" w:hAnsiTheme="minorHAnsi"/>
                      <w:iCs w:val="0"/>
                      <w:noProof w:val="0"/>
                      <w:color w:val="auto"/>
                    </w:rPr>
                  </w:pPr>
                  <w:r w:rsidRPr="00344A6F">
                    <w:rPr>
                      <w:rStyle w:val="SubtleEmphasis"/>
                      <w:rFonts w:asciiTheme="minorHAnsi" w:hAnsiTheme="minorHAnsi"/>
                      <w:iCs w:val="0"/>
                      <w:noProof w:val="0"/>
                      <w:color w:val="auto"/>
                    </w:rPr>
                    <w:t>The volume, in cm</w:t>
                  </w:r>
                  <w:r w:rsidRPr="001B427B">
                    <w:rPr>
                      <w:rStyle w:val="SubtleEmphasis"/>
                      <w:rFonts w:asciiTheme="minorHAnsi" w:hAnsiTheme="minorHAnsi"/>
                      <w:iCs w:val="0"/>
                      <w:noProof w:val="0"/>
                      <w:color w:val="auto"/>
                      <w:vertAlign w:val="superscript"/>
                    </w:rPr>
                    <w:t>3</w:t>
                  </w:r>
                </w:p>
              </w:tc>
            </w:tr>
          </w:tbl>
          <w:p w14:paraId="23F045EF" w14:textId="49824677" w:rsidR="002701DD" w:rsidRPr="000E07C4" w:rsidRDefault="002701DD" w:rsidP="002701DD">
            <w:pPr>
              <w:rPr>
                <w:rFonts w:ascii="Consolas" w:hAnsi="Consolas" w:cs="Consolas"/>
                <w:sz w:val="18"/>
                <w:szCs w:val="18"/>
              </w:rPr>
            </w:pPr>
          </w:p>
        </w:tc>
        <w:tc>
          <w:tcPr>
            <w:tcW w:w="1944" w:type="pct"/>
          </w:tcPr>
          <w:p w14:paraId="29512AA3" w14:textId="77777777" w:rsidR="002701DD" w:rsidRPr="00893BD2" w:rsidRDefault="002701DD" w:rsidP="002701DD">
            <w:pPr>
              <w:pStyle w:val="Tabletextheading"/>
            </w:pPr>
            <w:r>
              <w:t>Use case</w:t>
            </w:r>
          </w:p>
          <w:p w14:paraId="5CAD35D2" w14:textId="25B6029F" w:rsidR="002701DD" w:rsidRDefault="002701DD" w:rsidP="002701DD">
            <w:pPr>
              <w:pStyle w:val="Tabletext"/>
            </w:pPr>
            <w:r>
              <w:t xml:space="preserve">Calculates the volume of the chamber described in </w:t>
            </w:r>
            <w:r w:rsidRPr="00CE37C1">
              <w:rPr>
                <w:rStyle w:val="SubtleEmphasis"/>
              </w:rPr>
              <w:t>userdata</w:t>
            </w:r>
          </w:p>
          <w:p w14:paraId="2E818211" w14:textId="77777777" w:rsidR="002701DD" w:rsidRDefault="002701DD" w:rsidP="002701DD">
            <w:pPr>
              <w:pStyle w:val="Tabletextheading"/>
            </w:pPr>
            <w:r>
              <w:t>Description</w:t>
            </w:r>
          </w:p>
          <w:p w14:paraId="3EF754CC" w14:textId="77777777" w:rsidR="002701DD" w:rsidRDefault="002701DD" w:rsidP="002701DD">
            <w:pPr>
              <w:pStyle w:val="Tabletext"/>
            </w:pPr>
            <w:r>
              <w:t xml:space="preserve">Calculates the volume of the chamber described in </w:t>
            </w:r>
            <w:r w:rsidRPr="00CE37C1">
              <w:rPr>
                <w:rStyle w:val="SubtleEmphasis"/>
              </w:rPr>
              <w:t>userdata</w:t>
            </w:r>
          </w:p>
          <w:p w14:paraId="5627F9FF" w14:textId="77777777" w:rsidR="002701DD" w:rsidRDefault="002701DD" w:rsidP="002701DD">
            <w:pPr>
              <w:pStyle w:val="Tabletextheading"/>
            </w:pPr>
            <w:r w:rsidRPr="00B035AB">
              <w:t>Example</w:t>
            </w:r>
            <w:r w:rsidRPr="00B341D1">
              <w:t xml:space="preserve"> function call</w:t>
            </w:r>
            <w:r>
              <w:t>(s)</w:t>
            </w:r>
          </w:p>
          <w:p w14:paraId="53B79C91" w14:textId="66851560" w:rsidR="002701DD" w:rsidRPr="004F7B48" w:rsidRDefault="002701DD" w:rsidP="002701DD">
            <w:pPr>
              <w:pStyle w:val="Code"/>
              <w:rPr>
                <w:rFonts w:asciiTheme="minorHAnsi" w:hAnsiTheme="minorHAnsi" w:cstheme="minorHAnsi"/>
                <w:szCs w:val="20"/>
              </w:rPr>
            </w:pPr>
            <w:r>
              <w:t xml:space="preserve">volume = </w:t>
            </w:r>
            <w:proofErr w:type="spellStart"/>
            <w:proofErr w:type="gramStart"/>
            <w:r>
              <w:t>getVolume</w:t>
            </w:r>
            <w:proofErr w:type="spellEnd"/>
            <w:r>
              <w:t>(</w:t>
            </w:r>
            <w:r w:rsidR="00CE37C1">
              <w:t xml:space="preserve"> </w:t>
            </w:r>
            <w:proofErr w:type="spellStart"/>
            <w:r>
              <w:t>userdata</w:t>
            </w:r>
            <w:proofErr w:type="spellEnd"/>
            <w:proofErr w:type="gramEnd"/>
            <w:r w:rsidR="00CE37C1">
              <w:t xml:space="preserve"> </w:t>
            </w:r>
            <w:r>
              <w:t>)</w:t>
            </w:r>
            <w:r w:rsidR="00CE37C1">
              <w:t>;</w:t>
            </w:r>
          </w:p>
        </w:tc>
      </w:tr>
      <w:tr w:rsidR="002701DD" w:rsidRPr="004F7B48" w14:paraId="260B1337" w14:textId="77777777" w:rsidTr="00161929">
        <w:tc>
          <w:tcPr>
            <w:tcW w:w="5000" w:type="pct"/>
            <w:gridSpan w:val="3"/>
          </w:tcPr>
          <w:p w14:paraId="6158C85A" w14:textId="65789305" w:rsidR="002701DD" w:rsidRPr="00A50765" w:rsidRDefault="002701DD" w:rsidP="002701DD">
            <w:pPr>
              <w:jc w:val="center"/>
              <w:rPr>
                <w:rFonts w:asciiTheme="minorHAnsi" w:hAnsiTheme="minorHAnsi" w:cstheme="minorHAnsi"/>
                <w:b/>
                <w:bCs/>
                <w:sz w:val="20"/>
                <w:szCs w:val="20"/>
              </w:rPr>
            </w:pPr>
            <w:r w:rsidRPr="00A50765">
              <w:rPr>
                <w:rFonts w:asciiTheme="minorHAnsi" w:hAnsiTheme="minorHAnsi" w:cstheme="minorHAnsi"/>
                <w:b/>
                <w:bCs/>
                <w:sz w:val="20"/>
                <w:szCs w:val="20"/>
              </w:rPr>
              <w:t>General Data Functions</w:t>
            </w:r>
          </w:p>
        </w:tc>
      </w:tr>
      <w:tr w:rsidR="002701DD" w:rsidRPr="004F7B48" w14:paraId="61A5CBFC" w14:textId="77777777" w:rsidTr="00861399">
        <w:tc>
          <w:tcPr>
            <w:tcW w:w="1353" w:type="pct"/>
          </w:tcPr>
          <w:p w14:paraId="41C411CB" w14:textId="666DF6EE" w:rsidR="002701DD" w:rsidRPr="006A0BFF" w:rsidRDefault="002701DD" w:rsidP="002701DD">
            <w:pPr>
              <w:rPr>
                <w:rStyle w:val="SubtleEmphasis"/>
              </w:rPr>
            </w:pPr>
            <w:r w:rsidRPr="006A0BFF">
              <w:rPr>
                <w:rStyle w:val="SubtleEmphasis"/>
              </w:rPr>
              <w:t>generateInterpData(</w:t>
            </w:r>
            <w:r>
              <w:rPr>
                <w:rStyle w:val="SubtleEmphasis"/>
              </w:rPr>
              <w:t>...</w:t>
            </w:r>
            <w:r w:rsidRPr="006A0BFF">
              <w:rPr>
                <w:rStyle w:val="SubtleEmphasis"/>
              </w:rPr>
              <w:t>)</w:t>
            </w:r>
          </w:p>
        </w:tc>
        <w:tc>
          <w:tcPr>
            <w:tcW w:w="1703" w:type="pct"/>
          </w:tcPr>
          <w:p w14:paraId="1EF1EC6A"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4922C91E" w14:textId="77777777" w:rsidTr="00161929">
              <w:tc>
                <w:tcPr>
                  <w:tcW w:w="1487" w:type="pct"/>
                </w:tcPr>
                <w:p w14:paraId="420766F7" w14:textId="5D3BE106" w:rsidR="002701DD" w:rsidRPr="006C15AE" w:rsidRDefault="002701DD" w:rsidP="002701DD">
                  <w:pPr>
                    <w:rPr>
                      <w:rStyle w:val="SubtleEmphasis"/>
                    </w:rPr>
                  </w:pPr>
                  <w:r>
                    <w:rPr>
                      <w:rStyle w:val="SubtleEmphasis"/>
                    </w:rPr>
                    <w:t>1</w:t>
                  </w:r>
                </w:p>
              </w:tc>
              <w:tc>
                <w:tcPr>
                  <w:tcW w:w="3513" w:type="pct"/>
                </w:tcPr>
                <w:p w14:paraId="3105DE02" w14:textId="5BFFE1B7" w:rsidR="002701DD" w:rsidRPr="006C15AE" w:rsidRDefault="002701DD" w:rsidP="002701DD">
                  <w:pPr>
                    <w:pStyle w:val="Tabletext"/>
                    <w:rPr>
                      <w:rStyle w:val="SubtleEmphasis"/>
                    </w:rPr>
                  </w:pPr>
                  <w:r>
                    <w:rPr>
                      <w:rStyle w:val="SubtleEmphasis"/>
                    </w:rPr>
                    <w:t>userdata</w:t>
                  </w:r>
                </w:p>
              </w:tc>
            </w:tr>
            <w:tr w:rsidR="002701DD" w14:paraId="36DECEA1" w14:textId="77777777" w:rsidTr="00161929">
              <w:tc>
                <w:tcPr>
                  <w:tcW w:w="1487" w:type="pct"/>
                </w:tcPr>
                <w:p w14:paraId="063BFABB" w14:textId="1CA9BCD9" w:rsidR="002701DD" w:rsidRDefault="002701DD" w:rsidP="002701DD">
                  <w:pPr>
                    <w:rPr>
                      <w:rStyle w:val="SubtleEmphasis"/>
                    </w:rPr>
                  </w:pPr>
                  <w:r>
                    <w:rPr>
                      <w:rStyle w:val="SubtleEmphasis"/>
                    </w:rPr>
                    <w:t>2</w:t>
                  </w:r>
                </w:p>
              </w:tc>
              <w:tc>
                <w:tcPr>
                  <w:tcW w:w="3513" w:type="pct"/>
                </w:tcPr>
                <w:p w14:paraId="7016B8E6" w14:textId="24AA7D28" w:rsidR="002701DD" w:rsidRDefault="002701DD" w:rsidP="002701DD">
                  <w:pPr>
                    <w:pStyle w:val="Tabletext"/>
                    <w:rPr>
                      <w:rStyle w:val="SubtleEmphasis"/>
                    </w:rPr>
                  </w:pPr>
                  <w:r>
                    <w:rPr>
                      <w:rStyle w:val="SubtleEmphasis"/>
                    </w:rPr>
                    <w:t>datatype</w:t>
                  </w:r>
                </w:p>
                <w:p w14:paraId="460E8A5C" w14:textId="0EA8782B" w:rsidR="002701DD" w:rsidRDefault="002701DD" w:rsidP="002701DD">
                  <w:pPr>
                    <w:pStyle w:val="Tabletext"/>
                    <w:rPr>
                      <w:rStyle w:val="SubtleEmphasis"/>
                    </w:rPr>
                  </w:pPr>
                </w:p>
              </w:tc>
            </w:tr>
          </w:tbl>
          <w:p w14:paraId="568A6E4C"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728"/>
            </w:tblGrid>
            <w:tr w:rsidR="002701DD" w14:paraId="17C4F51B" w14:textId="77777777" w:rsidTr="00161929">
              <w:tc>
                <w:tcPr>
                  <w:tcW w:w="2270" w:type="pct"/>
                </w:tcPr>
                <w:p w14:paraId="17B630C1" w14:textId="0B46D501" w:rsidR="002701DD" w:rsidRPr="006C15AE" w:rsidRDefault="002701DD" w:rsidP="002701DD">
                  <w:pPr>
                    <w:rPr>
                      <w:rStyle w:val="SubtleEmphasis"/>
                    </w:rPr>
                  </w:pPr>
                  <w:r>
                    <w:rPr>
                      <w:rStyle w:val="SubtleEmphasis"/>
                    </w:rPr>
                    <w:t>‘interMethod’</w:t>
                  </w:r>
                </w:p>
              </w:tc>
              <w:tc>
                <w:tcPr>
                  <w:tcW w:w="2730" w:type="pct"/>
                </w:tcPr>
                <w:p w14:paraId="4379191B" w14:textId="18B4F727" w:rsidR="002701DD" w:rsidRPr="006C15AE" w:rsidRDefault="002701DD" w:rsidP="002701DD">
                  <w:pPr>
                    <w:pStyle w:val="Tabletext"/>
                    <w:rPr>
                      <w:rStyle w:val="SubtleEmphasis"/>
                    </w:rPr>
                  </w:pPr>
                  <w:r>
                    <w:rPr>
                      <w:rStyle w:val="SubtleEmphasis"/>
                    </w:rPr>
                    <w:t>‘nearest’ | ‘linear’ | {‘natural’}</w:t>
                  </w:r>
                </w:p>
              </w:tc>
            </w:tr>
            <w:tr w:rsidR="002701DD" w14:paraId="28B2648E" w14:textId="77777777" w:rsidTr="00161929">
              <w:tc>
                <w:tcPr>
                  <w:tcW w:w="2270" w:type="pct"/>
                </w:tcPr>
                <w:p w14:paraId="343027FE" w14:textId="5E469F96" w:rsidR="002701DD" w:rsidRDefault="002701DD" w:rsidP="002701DD">
                  <w:pPr>
                    <w:rPr>
                      <w:rStyle w:val="SubtleEmphasis"/>
                    </w:rPr>
                  </w:pPr>
                  <w:r>
                    <w:rPr>
                      <w:rStyle w:val="SubtleEmphasis"/>
                    </w:rPr>
                    <w:t>‘exterMethod’</w:t>
                  </w:r>
                </w:p>
              </w:tc>
              <w:tc>
                <w:tcPr>
                  <w:tcW w:w="2730" w:type="pct"/>
                </w:tcPr>
                <w:p w14:paraId="367B066D" w14:textId="7DBDD79A" w:rsidR="002701DD" w:rsidRPr="006C15AE" w:rsidRDefault="002701DD" w:rsidP="002701DD">
                  <w:pPr>
                    <w:pStyle w:val="Tabletext"/>
                    <w:rPr>
                      <w:rStyle w:val="SubtleEmphasis"/>
                    </w:rPr>
                  </w:pPr>
                  <w:r>
                    <w:rPr>
                      <w:rStyle w:val="SubtleEmphasis"/>
                    </w:rPr>
                    <w:t>{‘nearest’} | ‘linear’ | ‘none’</w:t>
                  </w:r>
                </w:p>
              </w:tc>
            </w:tr>
            <w:tr w:rsidR="002701DD" w14:paraId="5DD19A95" w14:textId="77777777" w:rsidTr="00161929">
              <w:tc>
                <w:tcPr>
                  <w:tcW w:w="2270" w:type="pct"/>
                </w:tcPr>
                <w:p w14:paraId="415859CD" w14:textId="5CDE882A" w:rsidR="002701DD" w:rsidRDefault="002701DD" w:rsidP="002701DD">
                  <w:pPr>
                    <w:rPr>
                      <w:rStyle w:val="SubtleEmphasis"/>
                    </w:rPr>
                  </w:pPr>
                  <w:r>
                    <w:rPr>
                      <w:rStyle w:val="SubtleEmphasis"/>
                    </w:rPr>
                    <w:t>‘distanceThresh’</w:t>
                  </w:r>
                </w:p>
              </w:tc>
              <w:tc>
                <w:tcPr>
                  <w:tcW w:w="2730" w:type="pct"/>
                </w:tcPr>
                <w:p w14:paraId="7579D447" w14:textId="7135ECED" w:rsidR="002701DD" w:rsidRPr="006C15AE" w:rsidRDefault="002701DD" w:rsidP="002701DD">
                  <w:pPr>
                    <w:pStyle w:val="Tabletext"/>
                    <w:rPr>
                      <w:rStyle w:val="SubtleEmphasis"/>
                    </w:rPr>
                  </w:pPr>
                  <w:r>
                    <w:rPr>
                      <w:rStyle w:val="SubtleEmphasis"/>
                    </w:rPr>
                    <w:t>{10}|double</w:t>
                  </w:r>
                </w:p>
              </w:tc>
            </w:tr>
          </w:tbl>
          <w:p w14:paraId="79FBCD8B"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164258CA" w14:textId="77777777" w:rsidTr="00161929">
              <w:tc>
                <w:tcPr>
                  <w:tcW w:w="1771" w:type="pct"/>
                </w:tcPr>
                <w:p w14:paraId="4C094B4D" w14:textId="70398DC2" w:rsidR="002701DD" w:rsidRPr="006C15AE" w:rsidRDefault="002701DD" w:rsidP="002701DD">
                  <w:pPr>
                    <w:rPr>
                      <w:rStyle w:val="SubtleEmphasis"/>
                    </w:rPr>
                  </w:pPr>
                  <w:r>
                    <w:rPr>
                      <w:rStyle w:val="SubtleEmphasis"/>
                    </w:rPr>
                    <w:t>interpData</w:t>
                  </w:r>
                </w:p>
              </w:tc>
              <w:tc>
                <w:tcPr>
                  <w:tcW w:w="3229" w:type="pct"/>
                </w:tcPr>
                <w:p w14:paraId="1B9AA1EA" w14:textId="2428FA5F" w:rsidR="002701DD" w:rsidRPr="00285DFB" w:rsidRDefault="002701DD" w:rsidP="002701DD">
                  <w:pPr>
                    <w:pStyle w:val="Tabletext"/>
                    <w:rPr>
                      <w:rStyle w:val="SubtleEmphasis"/>
                      <w:rFonts w:asciiTheme="minorHAnsi" w:hAnsiTheme="minorHAnsi"/>
                      <w:iCs w:val="0"/>
                      <w:noProof w:val="0"/>
                      <w:color w:val="auto"/>
                    </w:rPr>
                  </w:pPr>
                  <w:r w:rsidRPr="00285DFB">
                    <w:rPr>
                      <w:rStyle w:val="SubtleEmphasis"/>
                      <w:rFonts w:asciiTheme="minorHAnsi" w:hAnsiTheme="minorHAnsi"/>
                      <w:iCs w:val="0"/>
                      <w:noProof w:val="0"/>
                      <w:color w:val="auto"/>
                    </w:rPr>
                    <w:t>The interpolated data</w:t>
                  </w:r>
                </w:p>
              </w:tc>
            </w:tr>
          </w:tbl>
          <w:p w14:paraId="19EB6972" w14:textId="77777777" w:rsidR="002701DD" w:rsidRPr="000E07C4" w:rsidRDefault="002701DD" w:rsidP="002701DD">
            <w:pPr>
              <w:rPr>
                <w:rFonts w:ascii="Consolas" w:hAnsi="Consolas" w:cs="Consolas"/>
                <w:sz w:val="18"/>
                <w:szCs w:val="18"/>
              </w:rPr>
            </w:pPr>
          </w:p>
        </w:tc>
        <w:tc>
          <w:tcPr>
            <w:tcW w:w="1944" w:type="pct"/>
          </w:tcPr>
          <w:p w14:paraId="33CA3A4F" w14:textId="77777777" w:rsidR="002701DD" w:rsidRPr="00893BD2" w:rsidRDefault="002701DD" w:rsidP="002701DD">
            <w:pPr>
              <w:pStyle w:val="Tabletextheading"/>
            </w:pPr>
            <w:r>
              <w:t>Use case</w:t>
            </w:r>
          </w:p>
          <w:p w14:paraId="702BB74C" w14:textId="071612AE" w:rsidR="002701DD" w:rsidRDefault="002701DD" w:rsidP="002701DD">
            <w:pPr>
              <w:pStyle w:val="Tabletext"/>
            </w:pPr>
            <w:r>
              <w:t>Performs spatial interpolation of scalar data.</w:t>
            </w:r>
          </w:p>
          <w:p w14:paraId="5823CD34" w14:textId="77777777" w:rsidR="002701DD" w:rsidRDefault="002701DD" w:rsidP="002701DD">
            <w:pPr>
              <w:pStyle w:val="Tabletextheading"/>
            </w:pPr>
            <w:r>
              <w:t>Description</w:t>
            </w:r>
          </w:p>
          <w:p w14:paraId="54C6A9DD" w14:textId="3C2F8BE1" w:rsidR="002701DD" w:rsidRDefault="002701DD" w:rsidP="002701DD">
            <w:pPr>
              <w:pStyle w:val="Tabletext"/>
            </w:pPr>
            <w:r w:rsidRPr="00B530D9">
              <w:rPr>
                <w:rStyle w:val="SubtleEmphasis"/>
              </w:rPr>
              <w:t>generateInterpData</w:t>
            </w:r>
            <w:r>
              <w:t xml:space="preserve"> performs spatial interpolation of scalar data. </w:t>
            </w:r>
            <w:r w:rsidRPr="00B530D9">
              <w:rPr>
                <w:rStyle w:val="SubtleEmphasis"/>
              </w:rPr>
              <w:t>Userdata</w:t>
            </w:r>
            <w:r>
              <w:t xml:space="preserve"> and datatype are mandatory arguments. Datatype may be one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713"/>
            </w:tblGrid>
            <w:tr w:rsidR="002701DD" w:rsidRPr="00285DFB" w14:paraId="09ED6E18" w14:textId="77777777" w:rsidTr="00444ED1">
              <w:tc>
                <w:tcPr>
                  <w:tcW w:w="1762" w:type="pct"/>
                </w:tcPr>
                <w:p w14:paraId="31CBCCB0" w14:textId="1B0225BB" w:rsidR="002701DD" w:rsidRPr="006C15AE" w:rsidRDefault="002701DD" w:rsidP="002701DD">
                  <w:pPr>
                    <w:pStyle w:val="Code"/>
                    <w:rPr>
                      <w:rStyle w:val="SubtleEmphasis"/>
                    </w:rPr>
                  </w:pPr>
                  <w:r>
                    <w:t>'</w:t>
                  </w:r>
                  <w:proofErr w:type="spellStart"/>
                  <w:r>
                    <w:t>bip</w:t>
                  </w:r>
                  <w:proofErr w:type="spellEnd"/>
                  <w:r>
                    <w:t>-map'</w:t>
                  </w:r>
                </w:p>
              </w:tc>
              <w:tc>
                <w:tcPr>
                  <w:tcW w:w="3238" w:type="pct"/>
                </w:tcPr>
                <w:p w14:paraId="72783DF2" w14:textId="7CF62EAE" w:rsidR="002701DD" w:rsidRPr="00285DFB" w:rsidRDefault="002701DD" w:rsidP="002701DD">
                  <w:pPr>
                    <w:pStyle w:val="Tabletext"/>
                    <w:rPr>
                      <w:rStyle w:val="SubtleEmphasis"/>
                      <w:rFonts w:asciiTheme="minorHAnsi" w:hAnsiTheme="minorHAnsi"/>
                      <w:iCs w:val="0"/>
                      <w:noProof w:val="0"/>
                      <w:color w:val="auto"/>
                    </w:rPr>
                  </w:pPr>
                  <w:r>
                    <w:t>bipolar voltage; from the exported voltage values</w:t>
                  </w:r>
                </w:p>
              </w:tc>
            </w:tr>
            <w:tr w:rsidR="002701DD" w:rsidRPr="00285DFB" w14:paraId="41C5F5BF" w14:textId="77777777" w:rsidTr="00444ED1">
              <w:tc>
                <w:tcPr>
                  <w:tcW w:w="1762" w:type="pct"/>
                </w:tcPr>
                <w:p w14:paraId="1E0A6EE2" w14:textId="57FE2106" w:rsidR="002701DD" w:rsidRDefault="002701DD" w:rsidP="002701DD">
                  <w:pPr>
                    <w:pStyle w:val="Code"/>
                  </w:pPr>
                  <w:r>
                    <w:t>'</w:t>
                  </w:r>
                  <w:proofErr w:type="spellStart"/>
                  <w:r>
                    <w:t>uni</w:t>
                  </w:r>
                  <w:proofErr w:type="spellEnd"/>
                  <w:r>
                    <w:t>-map'</w:t>
                  </w:r>
                </w:p>
              </w:tc>
              <w:tc>
                <w:tcPr>
                  <w:tcW w:w="3238" w:type="pct"/>
                </w:tcPr>
                <w:p w14:paraId="114C9392" w14:textId="0619D7F2" w:rsidR="002701DD" w:rsidRDefault="002701DD" w:rsidP="002701DD">
                  <w:pPr>
                    <w:pStyle w:val="Tabletext"/>
                  </w:pPr>
                  <w:r>
                    <w:t>unipolar voltage; from the exported voltage values</w:t>
                  </w:r>
                </w:p>
              </w:tc>
            </w:tr>
            <w:tr w:rsidR="002701DD" w:rsidRPr="00285DFB" w14:paraId="57509E69" w14:textId="77777777" w:rsidTr="00444ED1">
              <w:tc>
                <w:tcPr>
                  <w:tcW w:w="1762" w:type="pct"/>
                </w:tcPr>
                <w:p w14:paraId="4B622591" w14:textId="0C780897" w:rsidR="002701DD" w:rsidRDefault="002701DD" w:rsidP="002701DD">
                  <w:pPr>
                    <w:pStyle w:val="Code"/>
                  </w:pPr>
                  <w:r>
                    <w:t>'</w:t>
                  </w:r>
                  <w:proofErr w:type="spellStart"/>
                  <w:r>
                    <w:t>lat</w:t>
                  </w:r>
                  <w:proofErr w:type="spellEnd"/>
                  <w:r>
                    <w:t>-map'</w:t>
                  </w:r>
                </w:p>
              </w:tc>
              <w:tc>
                <w:tcPr>
                  <w:tcW w:w="3238" w:type="pct"/>
                </w:tcPr>
                <w:p w14:paraId="0F47FA0E" w14:textId="6B1F08E4" w:rsidR="002701DD" w:rsidRDefault="002701DD" w:rsidP="002701DD">
                  <w:pPr>
                    <w:pStyle w:val="Tabletext"/>
                  </w:pPr>
                  <w:r>
                    <w:t>local activation time; from the annotated electrograms</w:t>
                  </w:r>
                </w:p>
              </w:tc>
            </w:tr>
            <w:tr w:rsidR="002701DD" w:rsidRPr="00285DFB" w14:paraId="2C83FA95" w14:textId="77777777" w:rsidTr="00444ED1">
              <w:tc>
                <w:tcPr>
                  <w:tcW w:w="1762" w:type="pct"/>
                </w:tcPr>
                <w:p w14:paraId="70B83401" w14:textId="6D394628" w:rsidR="002701DD" w:rsidRDefault="002701DD" w:rsidP="002701DD">
                  <w:pPr>
                    <w:pStyle w:val="Code"/>
                  </w:pPr>
                  <w:r>
                    <w:t>'</w:t>
                  </w:r>
                  <w:proofErr w:type="spellStart"/>
                  <w:r>
                    <w:t>bip-egm</w:t>
                  </w:r>
                  <w:proofErr w:type="spellEnd"/>
                  <w:r>
                    <w:t>'</w:t>
                  </w:r>
                </w:p>
              </w:tc>
              <w:tc>
                <w:tcPr>
                  <w:tcW w:w="3238" w:type="pct"/>
                </w:tcPr>
                <w:p w14:paraId="65B00385" w14:textId="0E78E926" w:rsidR="002701DD" w:rsidRDefault="002701DD" w:rsidP="002701DD">
                  <w:pPr>
                    <w:pStyle w:val="Tabletext"/>
                  </w:pPr>
                  <w:r>
                    <w:t xml:space="preserve">bipolar voltage; measured by </w:t>
                  </w:r>
                  <w:proofErr w:type="spellStart"/>
                  <w:r>
                    <w:t>OpenEP</w:t>
                  </w:r>
                  <w:proofErr w:type="spellEnd"/>
                  <w:r>
                    <w:t xml:space="preserve"> on the </w:t>
                  </w:r>
                  <w:proofErr w:type="spellStart"/>
                  <w:r>
                    <w:t>egms</w:t>
                  </w:r>
                  <w:proofErr w:type="spellEnd"/>
                </w:p>
              </w:tc>
            </w:tr>
            <w:tr w:rsidR="002701DD" w:rsidRPr="00285DFB" w14:paraId="42B694CB" w14:textId="77777777" w:rsidTr="00444ED1">
              <w:tc>
                <w:tcPr>
                  <w:tcW w:w="1762" w:type="pct"/>
                </w:tcPr>
                <w:p w14:paraId="402A8198" w14:textId="7424EBBE" w:rsidR="002701DD" w:rsidRDefault="002701DD" w:rsidP="002701DD">
                  <w:pPr>
                    <w:pStyle w:val="Code"/>
                  </w:pPr>
                  <w:r>
                    <w:t>'</w:t>
                  </w:r>
                  <w:proofErr w:type="spellStart"/>
                  <w:r>
                    <w:t>uni-egm</w:t>
                  </w:r>
                  <w:proofErr w:type="spellEnd"/>
                  <w:r>
                    <w:t>'</w:t>
                  </w:r>
                </w:p>
              </w:tc>
              <w:tc>
                <w:tcPr>
                  <w:tcW w:w="3238" w:type="pct"/>
                </w:tcPr>
                <w:p w14:paraId="39BA7F68" w14:textId="5D3C77F1" w:rsidR="002701DD" w:rsidRDefault="002701DD" w:rsidP="002701DD">
                  <w:pPr>
                    <w:pStyle w:val="Tabletext"/>
                  </w:pPr>
                  <w:r>
                    <w:t xml:space="preserve">unipolar voltage; measured by </w:t>
                  </w:r>
                  <w:proofErr w:type="spellStart"/>
                  <w:r>
                    <w:t>OpenEP</w:t>
                  </w:r>
                  <w:proofErr w:type="spellEnd"/>
                  <w:r>
                    <w:t xml:space="preserve"> on the </w:t>
                  </w:r>
                  <w:proofErr w:type="spellStart"/>
                  <w:r>
                    <w:t>egms</w:t>
                  </w:r>
                  <w:proofErr w:type="spellEnd"/>
                </w:p>
              </w:tc>
            </w:tr>
            <w:tr w:rsidR="002701DD" w:rsidRPr="00285DFB" w14:paraId="64270806" w14:textId="77777777" w:rsidTr="00444ED1">
              <w:tc>
                <w:tcPr>
                  <w:tcW w:w="1762" w:type="pct"/>
                </w:tcPr>
                <w:p w14:paraId="1B41520C" w14:textId="47FEC0B4" w:rsidR="002701DD" w:rsidRDefault="002701DD" w:rsidP="002701DD">
                  <w:pPr>
                    <w:pStyle w:val="Code"/>
                  </w:pPr>
                  <w:r>
                    <w:lastRenderedPageBreak/>
                    <w:t>'</w:t>
                  </w:r>
                  <w:proofErr w:type="spellStart"/>
                  <w:r>
                    <w:t>lat-egm</w:t>
                  </w:r>
                  <w:proofErr w:type="spellEnd"/>
                  <w:r>
                    <w:t>'</w:t>
                  </w:r>
                </w:p>
              </w:tc>
              <w:tc>
                <w:tcPr>
                  <w:tcW w:w="3238" w:type="pct"/>
                </w:tcPr>
                <w:p w14:paraId="33F54A10" w14:textId="714A08D2" w:rsidR="002701DD" w:rsidRDefault="002701DD" w:rsidP="002701DD">
                  <w:pPr>
                    <w:pStyle w:val="Tabletext"/>
                  </w:pPr>
                  <w:r>
                    <w:t xml:space="preserve">local activation time; measured by </w:t>
                  </w:r>
                  <w:proofErr w:type="spellStart"/>
                  <w:r>
                    <w:t>OpenEP</w:t>
                  </w:r>
                  <w:proofErr w:type="spellEnd"/>
                  <w:r>
                    <w:t xml:space="preserve"> on the </w:t>
                  </w:r>
                  <w:proofErr w:type="spellStart"/>
                  <w:r>
                    <w:t>egms</w:t>
                  </w:r>
                  <w:proofErr w:type="spellEnd"/>
                </w:p>
              </w:tc>
            </w:tr>
            <w:tr w:rsidR="002701DD" w:rsidRPr="00285DFB" w14:paraId="60315E9B" w14:textId="77777777" w:rsidTr="00444ED1">
              <w:tc>
                <w:tcPr>
                  <w:tcW w:w="1762" w:type="pct"/>
                </w:tcPr>
                <w:p w14:paraId="05ED3685" w14:textId="69523903" w:rsidR="002701DD" w:rsidRDefault="002701DD" w:rsidP="002701DD">
                  <w:pPr>
                    <w:pStyle w:val="Code"/>
                  </w:pPr>
                  <w:r>
                    <w:t>'cv’</w:t>
                  </w:r>
                </w:p>
              </w:tc>
              <w:tc>
                <w:tcPr>
                  <w:tcW w:w="3238" w:type="pct"/>
                </w:tcPr>
                <w:p w14:paraId="785140D7" w14:textId="569E4D03" w:rsidR="002701DD" w:rsidRDefault="002701DD" w:rsidP="002701DD">
                  <w:pPr>
                    <w:pStyle w:val="Tabletext"/>
                  </w:pPr>
                  <w:r>
                    <w:t>conduction velocity</w:t>
                  </w:r>
                </w:p>
              </w:tc>
            </w:tr>
          </w:tbl>
          <w:p w14:paraId="64C567F3" w14:textId="5278D0DD" w:rsidR="002701DD" w:rsidRDefault="002701DD" w:rsidP="002701DD">
            <w:pPr>
              <w:pStyle w:val="Tabletext"/>
            </w:pPr>
            <w:r w:rsidRPr="00B530D9">
              <w:rPr>
                <w:rStyle w:val="SubtleEmphasis"/>
              </w:rPr>
              <w:t>generateInterpData</w:t>
            </w:r>
            <w:r>
              <w:t xml:space="preserve"> removes any </w:t>
            </w:r>
            <w:proofErr w:type="spellStart"/>
            <w:r>
              <w:t>NaN</w:t>
            </w:r>
            <w:proofErr w:type="spellEnd"/>
            <w:r>
              <w:t xml:space="preserve"> values in data (and </w:t>
            </w:r>
            <w:proofErr w:type="gramStart"/>
            <w:r>
              <w:t>their</w:t>
            </w:r>
            <w:proofErr w:type="gramEnd"/>
          </w:p>
          <w:p w14:paraId="05425398" w14:textId="6E63944D" w:rsidR="002701DD" w:rsidRDefault="002701DD" w:rsidP="002701DD">
            <w:pPr>
              <w:pStyle w:val="Tabletext"/>
            </w:pPr>
            <w:r>
              <w:t xml:space="preserve">corresponding location(s) in </w:t>
            </w:r>
            <w:proofErr w:type="spellStart"/>
            <w:r>
              <w:t>coords</w:t>
            </w:r>
            <w:proofErr w:type="spellEnd"/>
            <w:r>
              <w:t xml:space="preserve">) before calling </w:t>
            </w:r>
            <w:proofErr w:type="spellStart"/>
            <w:r w:rsidRPr="00B530D9">
              <w:rPr>
                <w:rStyle w:val="SubtleEmphasis"/>
              </w:rPr>
              <w:t>scatteredInterpolant</w:t>
            </w:r>
            <w:r>
              <w:t>.m</w:t>
            </w:r>
            <w:proofErr w:type="spellEnd"/>
            <w:r>
              <w:t xml:space="preserve"> with the interpolation/extrapolation methods specified. Any values greater than </w:t>
            </w:r>
            <w:r w:rsidRPr="00B530D9">
              <w:rPr>
                <w:rStyle w:val="SubtleEmphasis"/>
              </w:rPr>
              <w:t>distanceThresh</w:t>
            </w:r>
            <w:r>
              <w:t xml:space="preserve"> are removed.</w:t>
            </w:r>
          </w:p>
          <w:p w14:paraId="180AD9E2" w14:textId="5C8DA6DD" w:rsidR="002701DD" w:rsidRDefault="002701DD" w:rsidP="002701DD">
            <w:pPr>
              <w:pStyle w:val="Tabletextheading"/>
            </w:pPr>
            <w:r>
              <w:t xml:space="preserve">than </w:t>
            </w:r>
            <w:proofErr w:type="spellStart"/>
            <w:r>
              <w:t>distancethresh</w:t>
            </w:r>
            <w:proofErr w:type="spellEnd"/>
            <w:r>
              <w:t xml:space="preserve"> are </w:t>
            </w:r>
            <w:proofErr w:type="spellStart"/>
            <w:proofErr w:type="gramStart"/>
            <w:r>
              <w:t>removed.</w:t>
            </w:r>
            <w:r w:rsidRPr="00B035AB">
              <w:t>Example</w:t>
            </w:r>
            <w:proofErr w:type="spellEnd"/>
            <w:proofErr w:type="gramEnd"/>
            <w:r w:rsidRPr="00B341D1">
              <w:t xml:space="preserve"> function call</w:t>
            </w:r>
            <w:r>
              <w:t>(s)</w:t>
            </w:r>
          </w:p>
          <w:p w14:paraId="0E0A8401" w14:textId="0B021DAF" w:rsidR="002701DD" w:rsidRDefault="002701DD" w:rsidP="002701DD">
            <w:pPr>
              <w:pStyle w:val="Code"/>
            </w:pPr>
            <w:proofErr w:type="spellStart"/>
            <w:r w:rsidRPr="0009476A">
              <w:t>interpData</w:t>
            </w:r>
            <w:proofErr w:type="spellEnd"/>
            <w:r w:rsidRPr="0009476A">
              <w:t xml:space="preserve"> = </w:t>
            </w:r>
            <w:proofErr w:type="spellStart"/>
            <w:proofErr w:type="gramStart"/>
            <w:r w:rsidRPr="0009476A">
              <w:t>generateInterpData</w:t>
            </w:r>
            <w:proofErr w:type="spellEnd"/>
            <w:r w:rsidRPr="0009476A">
              <w:t>(</w:t>
            </w:r>
            <w:proofErr w:type="spellStart"/>
            <w:proofErr w:type="gramEnd"/>
            <w:r w:rsidRPr="0009476A">
              <w:t>userdata</w:t>
            </w:r>
            <w:proofErr w:type="spellEnd"/>
            <w:r w:rsidRPr="0009476A">
              <w:t>,</w:t>
            </w:r>
            <w:r>
              <w:t xml:space="preserve"> </w:t>
            </w:r>
            <w:r w:rsidRPr="0009476A">
              <w:t>'</w:t>
            </w:r>
            <w:proofErr w:type="spellStart"/>
            <w:r w:rsidRPr="0009476A">
              <w:t>bip</w:t>
            </w:r>
            <w:proofErr w:type="spellEnd"/>
            <w:r w:rsidRPr="0009476A">
              <w:t>-map');</w:t>
            </w:r>
          </w:p>
          <w:p w14:paraId="773905F0" w14:textId="73D78197" w:rsidR="002701DD" w:rsidRPr="004F7B48" w:rsidRDefault="002701DD" w:rsidP="002701DD">
            <w:pPr>
              <w:pStyle w:val="Code"/>
            </w:pPr>
            <w:proofErr w:type="spellStart"/>
            <w:r w:rsidRPr="003C1BA0">
              <w:t>interpData</w:t>
            </w:r>
            <w:proofErr w:type="spellEnd"/>
            <w:r w:rsidRPr="003C1BA0">
              <w:t xml:space="preserve"> = </w:t>
            </w:r>
            <w:proofErr w:type="spellStart"/>
            <w:proofErr w:type="gramStart"/>
            <w:r w:rsidRPr="003C1BA0">
              <w:t>generateInterpData</w:t>
            </w:r>
            <w:proofErr w:type="spellEnd"/>
            <w:r w:rsidRPr="003C1BA0">
              <w:t>(</w:t>
            </w:r>
            <w:proofErr w:type="spellStart"/>
            <w:proofErr w:type="gramEnd"/>
            <w:r w:rsidRPr="003C1BA0">
              <w:t>userdata</w:t>
            </w:r>
            <w:proofErr w:type="spellEnd"/>
            <w:r w:rsidRPr="003C1BA0">
              <w:t>, '</w:t>
            </w:r>
            <w:proofErr w:type="spellStart"/>
            <w:r w:rsidRPr="003C1BA0">
              <w:t>lat</w:t>
            </w:r>
            <w:proofErr w:type="spellEnd"/>
            <w:r w:rsidRPr="003C1BA0">
              <w:t>-map');</w:t>
            </w:r>
          </w:p>
        </w:tc>
      </w:tr>
      <w:tr w:rsidR="002701DD" w:rsidRPr="004F7B48" w14:paraId="4256BBFE" w14:textId="77777777" w:rsidTr="00861399">
        <w:tc>
          <w:tcPr>
            <w:tcW w:w="1353" w:type="pct"/>
          </w:tcPr>
          <w:p w14:paraId="496885F1" w14:textId="23A6FB8E" w:rsidR="002701DD" w:rsidRPr="006A0BFF" w:rsidRDefault="002701DD" w:rsidP="002701DD">
            <w:pPr>
              <w:rPr>
                <w:rStyle w:val="SubtleEmphasis"/>
              </w:rPr>
            </w:pPr>
            <w:r w:rsidRPr="006A0BFF">
              <w:rPr>
                <w:rStyle w:val="SubtleEmphasis"/>
              </w:rPr>
              <w:lastRenderedPageBreak/>
              <w:t>getIndexFromCartoPointNumber(</w:t>
            </w:r>
            <w:r>
              <w:rPr>
                <w:rStyle w:val="SubtleEmphasis"/>
              </w:rPr>
              <w:t>...</w:t>
            </w:r>
            <w:r w:rsidRPr="006A0BFF">
              <w:rPr>
                <w:rStyle w:val="SubtleEmphasis"/>
              </w:rPr>
              <w:t>)</w:t>
            </w:r>
          </w:p>
        </w:tc>
        <w:tc>
          <w:tcPr>
            <w:tcW w:w="1703" w:type="pct"/>
          </w:tcPr>
          <w:p w14:paraId="5730FF71"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62D60C6F" w14:textId="77777777" w:rsidTr="00161929">
              <w:tc>
                <w:tcPr>
                  <w:tcW w:w="1487" w:type="pct"/>
                </w:tcPr>
                <w:p w14:paraId="0DC466B9" w14:textId="14D1537F" w:rsidR="002701DD" w:rsidRPr="006C15AE" w:rsidRDefault="00F41B42" w:rsidP="002701DD">
                  <w:pPr>
                    <w:rPr>
                      <w:rStyle w:val="SubtleEmphasis"/>
                    </w:rPr>
                  </w:pPr>
                  <w:r>
                    <w:rPr>
                      <w:rStyle w:val="SubtleEmphasis"/>
                    </w:rPr>
                    <w:t>1</w:t>
                  </w:r>
                </w:p>
              </w:tc>
              <w:tc>
                <w:tcPr>
                  <w:tcW w:w="3513" w:type="pct"/>
                </w:tcPr>
                <w:p w14:paraId="42A5846C" w14:textId="3D3F4B6C" w:rsidR="002701DD" w:rsidRPr="006C15AE" w:rsidRDefault="00F41B42" w:rsidP="002701DD">
                  <w:pPr>
                    <w:pStyle w:val="Tabletext"/>
                    <w:rPr>
                      <w:rStyle w:val="SubtleEmphasis"/>
                    </w:rPr>
                  </w:pPr>
                  <w:r>
                    <w:rPr>
                      <w:rStyle w:val="SubtleEmphasis"/>
                    </w:rPr>
                    <w:t>userdata</w:t>
                  </w:r>
                </w:p>
              </w:tc>
            </w:tr>
            <w:tr w:rsidR="00F41B42" w14:paraId="28F14098" w14:textId="77777777" w:rsidTr="00161929">
              <w:tc>
                <w:tcPr>
                  <w:tcW w:w="1487" w:type="pct"/>
                </w:tcPr>
                <w:p w14:paraId="22E14BA3" w14:textId="403D447A" w:rsidR="00F41B42" w:rsidRDefault="00F41B42" w:rsidP="002701DD">
                  <w:pPr>
                    <w:rPr>
                      <w:rStyle w:val="SubtleEmphasis"/>
                    </w:rPr>
                  </w:pPr>
                  <w:r>
                    <w:rPr>
                      <w:rStyle w:val="SubtleEmphasis"/>
                    </w:rPr>
                    <w:t>2</w:t>
                  </w:r>
                </w:p>
              </w:tc>
              <w:tc>
                <w:tcPr>
                  <w:tcW w:w="3513" w:type="pct"/>
                </w:tcPr>
                <w:p w14:paraId="381F6EFA" w14:textId="38267A73" w:rsidR="00F41B42" w:rsidRDefault="00F41B42" w:rsidP="002701DD">
                  <w:pPr>
                    <w:pStyle w:val="Tabletext"/>
                    <w:rPr>
                      <w:rStyle w:val="SubtleEmphasis"/>
                    </w:rPr>
                  </w:pPr>
                  <w:r>
                    <w:rPr>
                      <w:rStyle w:val="SubtleEmphasis"/>
                    </w:rPr>
                    <w:t>pointNumber</w:t>
                  </w:r>
                </w:p>
              </w:tc>
            </w:tr>
          </w:tbl>
          <w:p w14:paraId="48A7D910"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2C8706DB" w14:textId="77777777" w:rsidTr="00161929">
              <w:tc>
                <w:tcPr>
                  <w:tcW w:w="1771" w:type="pct"/>
                </w:tcPr>
                <w:p w14:paraId="6A3F1360" w14:textId="0440A593" w:rsidR="002701DD" w:rsidRPr="006C15AE" w:rsidRDefault="00843974" w:rsidP="002701DD">
                  <w:pPr>
                    <w:rPr>
                      <w:rStyle w:val="SubtleEmphasis"/>
                    </w:rPr>
                  </w:pPr>
                  <w:r>
                    <w:rPr>
                      <w:rStyle w:val="SubtleEmphasis"/>
                    </w:rPr>
                    <w:t>None</w:t>
                  </w:r>
                </w:p>
              </w:tc>
              <w:tc>
                <w:tcPr>
                  <w:tcW w:w="3229" w:type="pct"/>
                </w:tcPr>
                <w:p w14:paraId="10D73E8B" w14:textId="77777777" w:rsidR="002701DD" w:rsidRPr="006C15AE" w:rsidRDefault="002701DD" w:rsidP="002701DD">
                  <w:pPr>
                    <w:pStyle w:val="Tabletext"/>
                    <w:rPr>
                      <w:rStyle w:val="SubtleEmphasis"/>
                    </w:rPr>
                  </w:pPr>
                </w:p>
              </w:tc>
            </w:tr>
          </w:tbl>
          <w:p w14:paraId="531EC76A"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6F25F9ED" w14:textId="77777777" w:rsidTr="00161929">
              <w:tc>
                <w:tcPr>
                  <w:tcW w:w="1771" w:type="pct"/>
                </w:tcPr>
                <w:p w14:paraId="5ED50EC3" w14:textId="77FAFF43" w:rsidR="002701DD" w:rsidRPr="006C15AE" w:rsidRDefault="00843974" w:rsidP="002701DD">
                  <w:pPr>
                    <w:rPr>
                      <w:rStyle w:val="SubtleEmphasis"/>
                    </w:rPr>
                  </w:pPr>
                  <w:r>
                    <w:rPr>
                      <w:rStyle w:val="SubtleEmphasis"/>
                    </w:rPr>
                    <w:t>index</w:t>
                  </w:r>
                </w:p>
              </w:tc>
              <w:tc>
                <w:tcPr>
                  <w:tcW w:w="3229" w:type="pct"/>
                </w:tcPr>
                <w:p w14:paraId="2EA44634" w14:textId="1A9197FE" w:rsidR="002701DD" w:rsidRPr="00B954C2" w:rsidRDefault="002417D6" w:rsidP="00B954C2">
                  <w:pPr>
                    <w:pStyle w:val="Tabletext"/>
                    <w:rPr>
                      <w:rStyle w:val="SubtleEmphasis"/>
                      <w:rFonts w:asciiTheme="minorHAnsi" w:hAnsiTheme="minorHAnsi"/>
                      <w:iCs w:val="0"/>
                      <w:noProof w:val="0"/>
                      <w:color w:val="auto"/>
                    </w:rPr>
                  </w:pPr>
                  <w:r w:rsidRPr="00B954C2">
                    <w:rPr>
                      <w:rStyle w:val="SubtleEmphasis"/>
                      <w:rFonts w:asciiTheme="minorHAnsi" w:hAnsiTheme="minorHAnsi"/>
                      <w:iCs w:val="0"/>
                      <w:noProof w:val="0"/>
                      <w:color w:val="auto"/>
                    </w:rPr>
                    <w:t>An index (or array of indices) for referencing into the data fields</w:t>
                  </w:r>
                  <w:r w:rsidR="00B954C2" w:rsidRPr="00B954C2">
                    <w:rPr>
                      <w:rStyle w:val="SubtleEmphasis"/>
                      <w:rFonts w:asciiTheme="minorHAnsi" w:hAnsiTheme="minorHAnsi"/>
                      <w:iCs w:val="0"/>
                      <w:noProof w:val="0"/>
                      <w:color w:val="auto"/>
                    </w:rPr>
                    <w:t xml:space="preserve"> within </w:t>
                  </w:r>
                  <w:r w:rsidR="00B954C2" w:rsidRPr="00B954C2">
                    <w:rPr>
                      <w:rStyle w:val="SubtleEmphasis"/>
                    </w:rPr>
                    <w:t>userdata.electric</w:t>
                  </w:r>
                </w:p>
              </w:tc>
            </w:tr>
          </w:tbl>
          <w:p w14:paraId="49E7586D" w14:textId="77777777" w:rsidR="002701DD" w:rsidRPr="000E07C4" w:rsidRDefault="002701DD" w:rsidP="002701DD">
            <w:pPr>
              <w:rPr>
                <w:rFonts w:ascii="Consolas" w:hAnsi="Consolas" w:cs="Consolas"/>
                <w:sz w:val="18"/>
                <w:szCs w:val="18"/>
              </w:rPr>
            </w:pPr>
          </w:p>
        </w:tc>
        <w:tc>
          <w:tcPr>
            <w:tcW w:w="1944" w:type="pct"/>
          </w:tcPr>
          <w:p w14:paraId="595648B2" w14:textId="77777777" w:rsidR="008929A9" w:rsidRPr="00893BD2" w:rsidRDefault="008929A9" w:rsidP="008929A9">
            <w:pPr>
              <w:pStyle w:val="Tabletextheading"/>
            </w:pPr>
            <w:r>
              <w:t>Use case</w:t>
            </w:r>
          </w:p>
          <w:p w14:paraId="5E2FC85A" w14:textId="043CC9E7" w:rsidR="008929A9" w:rsidRDefault="00F71B94" w:rsidP="008929A9">
            <w:pPr>
              <w:rPr>
                <w:rFonts w:asciiTheme="minorHAnsi" w:hAnsiTheme="minorHAnsi" w:cstheme="minorHAnsi"/>
                <w:sz w:val="20"/>
                <w:szCs w:val="20"/>
              </w:rPr>
            </w:pPr>
            <w:r>
              <w:rPr>
                <w:rFonts w:asciiTheme="minorHAnsi" w:hAnsiTheme="minorHAnsi" w:cstheme="minorHAnsi"/>
                <w:sz w:val="20"/>
                <w:szCs w:val="20"/>
              </w:rPr>
              <w:t xml:space="preserve">Finds the index of the mapping point </w:t>
            </w:r>
            <w:r w:rsidR="00FB164B">
              <w:rPr>
                <w:rFonts w:asciiTheme="minorHAnsi" w:hAnsiTheme="minorHAnsi" w:cstheme="minorHAnsi"/>
                <w:sz w:val="20"/>
                <w:szCs w:val="20"/>
              </w:rPr>
              <w:t>at the point number displayed on the Carto mapping system</w:t>
            </w:r>
            <w:r w:rsidR="008523C5">
              <w:rPr>
                <w:rFonts w:asciiTheme="minorHAnsi" w:hAnsiTheme="minorHAnsi" w:cstheme="minorHAnsi"/>
                <w:sz w:val="20"/>
                <w:szCs w:val="20"/>
              </w:rPr>
              <w:t>.</w:t>
            </w:r>
          </w:p>
          <w:p w14:paraId="6A260FEA" w14:textId="77777777" w:rsidR="008929A9" w:rsidRDefault="008929A9" w:rsidP="008929A9">
            <w:pPr>
              <w:pStyle w:val="Tabletextheading"/>
            </w:pPr>
            <w:r>
              <w:t>Description</w:t>
            </w:r>
          </w:p>
          <w:p w14:paraId="187EABD7" w14:textId="77777777" w:rsidR="00050C77" w:rsidRDefault="00050C77" w:rsidP="00050C77">
            <w:pPr>
              <w:rPr>
                <w:rFonts w:asciiTheme="minorHAnsi" w:hAnsiTheme="minorHAnsi" w:cstheme="minorHAnsi"/>
                <w:sz w:val="20"/>
                <w:szCs w:val="20"/>
              </w:rPr>
            </w:pPr>
            <w:r>
              <w:rPr>
                <w:rFonts w:asciiTheme="minorHAnsi" w:hAnsiTheme="minorHAnsi" w:cstheme="minorHAnsi"/>
                <w:sz w:val="20"/>
                <w:szCs w:val="20"/>
              </w:rPr>
              <w:t>Finds the index of the mapping point at the point number displayed on the Carto mapping system.</w:t>
            </w:r>
          </w:p>
          <w:p w14:paraId="3F9B8213" w14:textId="77777777" w:rsidR="008929A9" w:rsidRDefault="008929A9" w:rsidP="008929A9">
            <w:pPr>
              <w:pStyle w:val="Tabletextheading"/>
            </w:pPr>
            <w:r w:rsidRPr="00B035AB">
              <w:t>Example</w:t>
            </w:r>
            <w:r w:rsidRPr="00B341D1">
              <w:t xml:space="preserve"> function call</w:t>
            </w:r>
            <w:r>
              <w:t>(s)</w:t>
            </w:r>
          </w:p>
          <w:p w14:paraId="4B381A53" w14:textId="1A91EC2E" w:rsidR="002701DD" w:rsidRPr="001250E1" w:rsidRDefault="001250E1" w:rsidP="001250E1">
            <w:pPr>
              <w:pStyle w:val="Code"/>
              <w:rPr>
                <w:sz w:val="24"/>
              </w:rPr>
            </w:pPr>
            <w:r>
              <w:t xml:space="preserve">index = </w:t>
            </w:r>
            <w:proofErr w:type="spellStart"/>
            <w:proofErr w:type="gramStart"/>
            <w:r>
              <w:t>getIndexFromCartoPointNumber</w:t>
            </w:r>
            <w:proofErr w:type="spellEnd"/>
            <w:r>
              <w:t>(</w:t>
            </w:r>
            <w:proofErr w:type="spellStart"/>
            <w:proofErr w:type="gramEnd"/>
            <w:r>
              <w:t>userdata</w:t>
            </w:r>
            <w:proofErr w:type="spellEnd"/>
            <w:r>
              <w:t>, 1)</w:t>
            </w:r>
            <w:r w:rsidR="00CE37C1">
              <w:t>;</w:t>
            </w:r>
          </w:p>
        </w:tc>
      </w:tr>
      <w:tr w:rsidR="002701DD" w:rsidRPr="004F7B48" w14:paraId="3AB9DAEB" w14:textId="77777777" w:rsidTr="00861399">
        <w:tc>
          <w:tcPr>
            <w:tcW w:w="1353" w:type="pct"/>
          </w:tcPr>
          <w:p w14:paraId="0ABBD725" w14:textId="6228636F" w:rsidR="002701DD" w:rsidRPr="006A0BFF" w:rsidRDefault="002701DD" w:rsidP="002701DD">
            <w:pPr>
              <w:rPr>
                <w:rStyle w:val="SubtleEmphasis"/>
              </w:rPr>
            </w:pPr>
            <w:r w:rsidRPr="006A0BFF">
              <w:rPr>
                <w:rStyle w:val="SubtleEmphasis"/>
              </w:rPr>
              <w:t>getNumPts(</w:t>
            </w:r>
            <w:r>
              <w:rPr>
                <w:rStyle w:val="SubtleEmphasis"/>
              </w:rPr>
              <w:t>...</w:t>
            </w:r>
            <w:r w:rsidRPr="006A0BFF">
              <w:rPr>
                <w:rStyle w:val="SubtleEmphasis"/>
              </w:rPr>
              <w:t>)</w:t>
            </w:r>
          </w:p>
        </w:tc>
        <w:tc>
          <w:tcPr>
            <w:tcW w:w="1703" w:type="pct"/>
          </w:tcPr>
          <w:p w14:paraId="6D52EEBA" w14:textId="77777777" w:rsidR="002701DD" w:rsidRDefault="002701DD" w:rsidP="002701DD">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2701DD" w14:paraId="009E9F75" w14:textId="77777777" w:rsidTr="00161929">
              <w:tc>
                <w:tcPr>
                  <w:tcW w:w="1487" w:type="pct"/>
                </w:tcPr>
                <w:p w14:paraId="219D4D62" w14:textId="1B04F144" w:rsidR="002701DD" w:rsidRPr="006C15AE" w:rsidRDefault="002701DD" w:rsidP="002701DD">
                  <w:pPr>
                    <w:rPr>
                      <w:rStyle w:val="SubtleEmphasis"/>
                    </w:rPr>
                  </w:pPr>
                  <w:r>
                    <w:rPr>
                      <w:rStyle w:val="SubtleEmphasis"/>
                    </w:rPr>
                    <w:t>1</w:t>
                  </w:r>
                </w:p>
              </w:tc>
              <w:tc>
                <w:tcPr>
                  <w:tcW w:w="3513" w:type="pct"/>
                </w:tcPr>
                <w:p w14:paraId="2AAE6D2A" w14:textId="4FB9E94D" w:rsidR="002701DD" w:rsidRPr="006C15AE" w:rsidRDefault="002701DD" w:rsidP="002701DD">
                  <w:pPr>
                    <w:pStyle w:val="Tabletext"/>
                    <w:rPr>
                      <w:rStyle w:val="SubtleEmphasis"/>
                    </w:rPr>
                  </w:pPr>
                  <w:r>
                    <w:rPr>
                      <w:rStyle w:val="SubtleEmphasis"/>
                    </w:rPr>
                    <w:t>userdata</w:t>
                  </w:r>
                </w:p>
              </w:tc>
            </w:tr>
          </w:tbl>
          <w:p w14:paraId="6057EBA6" w14:textId="77777777" w:rsidR="002701DD" w:rsidRPr="00062252" w:rsidRDefault="002701DD" w:rsidP="002701DD">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12C94668" w14:textId="77777777" w:rsidTr="00161929">
              <w:tc>
                <w:tcPr>
                  <w:tcW w:w="1771" w:type="pct"/>
                </w:tcPr>
                <w:p w14:paraId="27F81639" w14:textId="1FB86A1E" w:rsidR="002701DD" w:rsidRPr="006C15AE" w:rsidRDefault="002701DD" w:rsidP="002701DD">
                  <w:pPr>
                    <w:rPr>
                      <w:rStyle w:val="SubtleEmphasis"/>
                    </w:rPr>
                  </w:pPr>
                  <w:r>
                    <w:rPr>
                      <w:rStyle w:val="SubtleEmphasis"/>
                    </w:rPr>
                    <w:t>None</w:t>
                  </w:r>
                </w:p>
              </w:tc>
              <w:tc>
                <w:tcPr>
                  <w:tcW w:w="3229" w:type="pct"/>
                </w:tcPr>
                <w:p w14:paraId="7379629E" w14:textId="77777777" w:rsidR="002701DD" w:rsidRPr="006C15AE" w:rsidRDefault="002701DD" w:rsidP="002701DD">
                  <w:pPr>
                    <w:pStyle w:val="Tabletext"/>
                    <w:rPr>
                      <w:rStyle w:val="SubtleEmphasis"/>
                    </w:rPr>
                  </w:pPr>
                </w:p>
              </w:tc>
            </w:tr>
          </w:tbl>
          <w:p w14:paraId="4E9EB2C3" w14:textId="77777777" w:rsidR="002701DD" w:rsidRDefault="002701DD" w:rsidP="002701DD">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2701DD" w14:paraId="3BF593B9" w14:textId="77777777" w:rsidTr="00161929">
              <w:tc>
                <w:tcPr>
                  <w:tcW w:w="1771" w:type="pct"/>
                </w:tcPr>
                <w:p w14:paraId="393CB869" w14:textId="37B2C853" w:rsidR="002701DD" w:rsidRPr="006C15AE" w:rsidRDefault="002701DD" w:rsidP="002701DD">
                  <w:pPr>
                    <w:rPr>
                      <w:rStyle w:val="SubtleEmphasis"/>
                    </w:rPr>
                  </w:pPr>
                  <w:r>
                    <w:rPr>
                      <w:rStyle w:val="SubtleEmphasis"/>
                    </w:rPr>
                    <w:lastRenderedPageBreak/>
                    <w:t>numpts</w:t>
                  </w:r>
                </w:p>
              </w:tc>
              <w:tc>
                <w:tcPr>
                  <w:tcW w:w="3229" w:type="pct"/>
                </w:tcPr>
                <w:p w14:paraId="697B5841" w14:textId="579E2A1D" w:rsidR="002701DD" w:rsidRPr="00AE7187" w:rsidRDefault="002701DD" w:rsidP="002701DD">
                  <w:pPr>
                    <w:pStyle w:val="Tabletext"/>
                    <w:rPr>
                      <w:rStyle w:val="SubtleEmphasis"/>
                      <w:rFonts w:asciiTheme="minorHAnsi" w:hAnsiTheme="minorHAnsi"/>
                      <w:iCs w:val="0"/>
                      <w:noProof w:val="0"/>
                      <w:color w:val="auto"/>
                    </w:rPr>
                  </w:pPr>
                  <w:r w:rsidRPr="00AE7187">
                    <w:rPr>
                      <w:rStyle w:val="SubtleEmphasis"/>
                      <w:rFonts w:asciiTheme="minorHAnsi" w:hAnsiTheme="minorHAnsi"/>
                      <w:iCs w:val="0"/>
                      <w:noProof w:val="0"/>
                      <w:color w:val="auto"/>
                    </w:rPr>
                    <w:t>The number of mapping points</w:t>
                  </w:r>
                </w:p>
              </w:tc>
            </w:tr>
          </w:tbl>
          <w:p w14:paraId="633958DE" w14:textId="77777777" w:rsidR="002701DD" w:rsidRPr="000E07C4" w:rsidRDefault="002701DD" w:rsidP="002701DD">
            <w:pPr>
              <w:rPr>
                <w:rFonts w:ascii="Consolas" w:hAnsi="Consolas" w:cs="Consolas"/>
                <w:sz w:val="18"/>
                <w:szCs w:val="18"/>
              </w:rPr>
            </w:pPr>
          </w:p>
        </w:tc>
        <w:tc>
          <w:tcPr>
            <w:tcW w:w="1944" w:type="pct"/>
          </w:tcPr>
          <w:p w14:paraId="0A477C22" w14:textId="77777777" w:rsidR="002701DD" w:rsidRPr="00893BD2" w:rsidRDefault="002701DD" w:rsidP="002701DD">
            <w:pPr>
              <w:pStyle w:val="Tabletextheading"/>
            </w:pPr>
            <w:r>
              <w:lastRenderedPageBreak/>
              <w:t>Use case</w:t>
            </w:r>
          </w:p>
          <w:p w14:paraId="07067535" w14:textId="601B2074" w:rsidR="002701DD" w:rsidRDefault="002701DD" w:rsidP="002701DD">
            <w:pPr>
              <w:rPr>
                <w:rFonts w:asciiTheme="minorHAnsi" w:hAnsiTheme="minorHAnsi" w:cstheme="minorHAnsi"/>
                <w:sz w:val="20"/>
                <w:szCs w:val="20"/>
              </w:rPr>
            </w:pPr>
            <w:r>
              <w:rPr>
                <w:rFonts w:asciiTheme="minorHAnsi" w:hAnsiTheme="minorHAnsi" w:cstheme="minorHAnsi"/>
                <w:sz w:val="20"/>
                <w:szCs w:val="20"/>
              </w:rPr>
              <w:t xml:space="preserve">Returns the number of mapping points available in the </w:t>
            </w:r>
            <w:proofErr w:type="spellStart"/>
            <w:r>
              <w:rPr>
                <w:rFonts w:asciiTheme="minorHAnsi" w:hAnsiTheme="minorHAnsi" w:cstheme="minorHAnsi"/>
                <w:sz w:val="20"/>
                <w:szCs w:val="20"/>
              </w:rPr>
              <w:t>OpenEP</w:t>
            </w:r>
            <w:proofErr w:type="spellEnd"/>
            <w:r>
              <w:rPr>
                <w:rFonts w:asciiTheme="minorHAnsi" w:hAnsiTheme="minorHAnsi" w:cstheme="minorHAnsi"/>
                <w:sz w:val="20"/>
                <w:szCs w:val="20"/>
              </w:rPr>
              <w:t xml:space="preserve"> dataset.</w:t>
            </w:r>
          </w:p>
          <w:p w14:paraId="715AB2B8" w14:textId="77777777" w:rsidR="002701DD" w:rsidRDefault="002701DD" w:rsidP="002701DD">
            <w:pPr>
              <w:pStyle w:val="Tabletextheading"/>
            </w:pPr>
            <w:r>
              <w:t>Description</w:t>
            </w:r>
          </w:p>
          <w:p w14:paraId="74D1C6F7" w14:textId="77777777" w:rsidR="002701DD" w:rsidRDefault="002701DD" w:rsidP="002701DD">
            <w:pPr>
              <w:rPr>
                <w:rFonts w:asciiTheme="minorHAnsi" w:hAnsiTheme="minorHAnsi" w:cstheme="minorHAnsi"/>
                <w:sz w:val="20"/>
                <w:szCs w:val="20"/>
              </w:rPr>
            </w:pPr>
            <w:r>
              <w:rPr>
                <w:rFonts w:asciiTheme="minorHAnsi" w:hAnsiTheme="minorHAnsi" w:cstheme="minorHAnsi"/>
                <w:sz w:val="20"/>
                <w:szCs w:val="20"/>
              </w:rPr>
              <w:t xml:space="preserve">Returns the number of mapping points available in the </w:t>
            </w:r>
            <w:proofErr w:type="spellStart"/>
            <w:r>
              <w:rPr>
                <w:rFonts w:asciiTheme="minorHAnsi" w:hAnsiTheme="minorHAnsi" w:cstheme="minorHAnsi"/>
                <w:sz w:val="20"/>
                <w:szCs w:val="20"/>
              </w:rPr>
              <w:t>OpenEP</w:t>
            </w:r>
            <w:proofErr w:type="spellEnd"/>
            <w:r>
              <w:rPr>
                <w:rFonts w:asciiTheme="minorHAnsi" w:hAnsiTheme="minorHAnsi" w:cstheme="minorHAnsi"/>
                <w:sz w:val="20"/>
                <w:szCs w:val="20"/>
              </w:rPr>
              <w:t xml:space="preserve"> dataset.</w:t>
            </w:r>
          </w:p>
          <w:p w14:paraId="416350EF" w14:textId="77777777" w:rsidR="002701DD" w:rsidRDefault="002701DD" w:rsidP="002701DD">
            <w:pPr>
              <w:pStyle w:val="Tabletextheading"/>
            </w:pPr>
            <w:r w:rsidRPr="00B035AB">
              <w:t>Example</w:t>
            </w:r>
            <w:r w:rsidRPr="00B341D1">
              <w:t xml:space="preserve"> function call</w:t>
            </w:r>
            <w:r>
              <w:t>(s)</w:t>
            </w:r>
          </w:p>
          <w:p w14:paraId="2A131FDB" w14:textId="6B1E4E31" w:rsidR="002701DD" w:rsidRPr="004F7B48" w:rsidRDefault="002701DD" w:rsidP="002701DD">
            <w:pPr>
              <w:pStyle w:val="Code"/>
              <w:rPr>
                <w:rFonts w:asciiTheme="minorHAnsi" w:hAnsiTheme="minorHAnsi"/>
              </w:rPr>
            </w:pPr>
            <w:proofErr w:type="spellStart"/>
            <w:r>
              <w:lastRenderedPageBreak/>
              <w:t>numpts</w:t>
            </w:r>
            <w:proofErr w:type="spellEnd"/>
            <w:r>
              <w:t xml:space="preserve"> = </w:t>
            </w:r>
            <w:proofErr w:type="spellStart"/>
            <w:r>
              <w:t>getNumPts</w:t>
            </w:r>
            <w:proofErr w:type="spellEnd"/>
            <w:r>
              <w:t>(</w:t>
            </w:r>
            <w:proofErr w:type="spellStart"/>
            <w:r>
              <w:t>userdata</w:t>
            </w:r>
            <w:proofErr w:type="spellEnd"/>
            <w:r>
              <w:t>)</w:t>
            </w:r>
            <w:r w:rsidR="00CE37C1">
              <w:t>;</w:t>
            </w:r>
          </w:p>
        </w:tc>
      </w:tr>
      <w:tr w:rsidR="00174F87" w:rsidRPr="004F7B48" w14:paraId="1659D3CF" w14:textId="77777777" w:rsidTr="00861399">
        <w:tc>
          <w:tcPr>
            <w:tcW w:w="1353" w:type="pct"/>
          </w:tcPr>
          <w:p w14:paraId="1E5D70AB" w14:textId="796FD2E6" w:rsidR="00174F87" w:rsidRPr="006A0BFF" w:rsidRDefault="00174F87" w:rsidP="00174F87">
            <w:pPr>
              <w:rPr>
                <w:rStyle w:val="SubtleEmphasis"/>
              </w:rPr>
            </w:pPr>
            <w:r w:rsidRPr="006A0BFF">
              <w:rPr>
                <w:rStyle w:val="SubtleEmphasis"/>
              </w:rPr>
              <w:lastRenderedPageBreak/>
              <w:t>getSurfaceData(</w:t>
            </w:r>
            <w:r>
              <w:rPr>
                <w:rStyle w:val="SubtleEmphasis"/>
              </w:rPr>
              <w:t>...</w:t>
            </w:r>
            <w:r w:rsidRPr="006A0BFF">
              <w:rPr>
                <w:rStyle w:val="SubtleEmphasis"/>
              </w:rPr>
              <w:t>)</w:t>
            </w:r>
          </w:p>
        </w:tc>
        <w:tc>
          <w:tcPr>
            <w:tcW w:w="1703" w:type="pct"/>
          </w:tcPr>
          <w:p w14:paraId="0653354E"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24FE4301" w14:textId="77777777" w:rsidTr="00161929">
              <w:tc>
                <w:tcPr>
                  <w:tcW w:w="1487" w:type="pct"/>
                </w:tcPr>
                <w:p w14:paraId="4130AB1B" w14:textId="0563850C" w:rsidR="00174F87" w:rsidRPr="006C15AE" w:rsidRDefault="00174F87" w:rsidP="00174F87">
                  <w:pPr>
                    <w:rPr>
                      <w:rStyle w:val="SubtleEmphasis"/>
                    </w:rPr>
                  </w:pPr>
                  <w:r>
                    <w:rPr>
                      <w:rStyle w:val="SubtleEmphasis"/>
                    </w:rPr>
                    <w:t>1</w:t>
                  </w:r>
                </w:p>
              </w:tc>
              <w:tc>
                <w:tcPr>
                  <w:tcW w:w="3513" w:type="pct"/>
                </w:tcPr>
                <w:p w14:paraId="03210660" w14:textId="72770153" w:rsidR="00174F87" w:rsidRPr="006C15AE" w:rsidRDefault="00174F87" w:rsidP="00174F87">
                  <w:pPr>
                    <w:pStyle w:val="Tabletext"/>
                    <w:rPr>
                      <w:rStyle w:val="SubtleEmphasis"/>
                    </w:rPr>
                  </w:pPr>
                  <w:r>
                    <w:rPr>
                      <w:rStyle w:val="SubtleEmphasis"/>
                    </w:rPr>
                    <w:t>userdata</w:t>
                  </w:r>
                </w:p>
              </w:tc>
            </w:tr>
            <w:tr w:rsidR="00174F87" w14:paraId="542575C6" w14:textId="77777777" w:rsidTr="00161929">
              <w:tc>
                <w:tcPr>
                  <w:tcW w:w="1487" w:type="pct"/>
                </w:tcPr>
                <w:p w14:paraId="5BBF870E" w14:textId="3C24044C" w:rsidR="00174F87" w:rsidRDefault="00174F87" w:rsidP="00174F87">
                  <w:pPr>
                    <w:rPr>
                      <w:rStyle w:val="SubtleEmphasis"/>
                    </w:rPr>
                  </w:pPr>
                  <w:r>
                    <w:rPr>
                      <w:rStyle w:val="SubtleEmphasis"/>
                    </w:rPr>
                    <w:t>2</w:t>
                  </w:r>
                </w:p>
              </w:tc>
              <w:tc>
                <w:tcPr>
                  <w:tcW w:w="3513" w:type="pct"/>
                </w:tcPr>
                <w:p w14:paraId="5DAD15AD" w14:textId="37EC9F11" w:rsidR="00174F87" w:rsidRDefault="00174F87" w:rsidP="00174F87">
                  <w:pPr>
                    <w:pStyle w:val="Tabletext"/>
                    <w:rPr>
                      <w:rStyle w:val="SubtleEmphasis"/>
                    </w:rPr>
                  </w:pPr>
                  <w:r>
                    <w:rPr>
                      <w:rStyle w:val="SubtleEmphasis"/>
                    </w:rPr>
                    <w:t>datatype</w:t>
                  </w:r>
                </w:p>
              </w:tc>
            </w:tr>
          </w:tbl>
          <w:p w14:paraId="495D44B2"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10CC29F8" w14:textId="77777777" w:rsidTr="00161929">
              <w:tc>
                <w:tcPr>
                  <w:tcW w:w="1771" w:type="pct"/>
                </w:tcPr>
                <w:p w14:paraId="1A214E83" w14:textId="2C4EF72C" w:rsidR="00174F87" w:rsidRPr="006C15AE" w:rsidRDefault="00174F87" w:rsidP="00174F87">
                  <w:pPr>
                    <w:rPr>
                      <w:rStyle w:val="SubtleEmphasis"/>
                    </w:rPr>
                  </w:pPr>
                  <w:r>
                    <w:rPr>
                      <w:rStyle w:val="SubtleEmphasis"/>
                    </w:rPr>
                    <w:t>None</w:t>
                  </w:r>
                </w:p>
              </w:tc>
              <w:tc>
                <w:tcPr>
                  <w:tcW w:w="3229" w:type="pct"/>
                </w:tcPr>
                <w:p w14:paraId="0ACDB602" w14:textId="77777777" w:rsidR="00174F87" w:rsidRPr="006C15AE" w:rsidRDefault="00174F87" w:rsidP="00174F87">
                  <w:pPr>
                    <w:pStyle w:val="Tabletext"/>
                    <w:rPr>
                      <w:rStyle w:val="SubtleEmphasis"/>
                    </w:rPr>
                  </w:pPr>
                </w:p>
              </w:tc>
            </w:tr>
          </w:tbl>
          <w:p w14:paraId="0372CE43"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4843F815" w14:textId="77777777" w:rsidTr="00161929">
              <w:tc>
                <w:tcPr>
                  <w:tcW w:w="1771" w:type="pct"/>
                </w:tcPr>
                <w:p w14:paraId="665F9889" w14:textId="11F38364" w:rsidR="00174F87" w:rsidRPr="006C15AE" w:rsidRDefault="00174F87" w:rsidP="00174F87">
                  <w:pPr>
                    <w:rPr>
                      <w:rStyle w:val="SubtleEmphasis"/>
                    </w:rPr>
                  </w:pPr>
                  <w:r>
                    <w:rPr>
                      <w:rStyle w:val="SubtleEmphasis"/>
                    </w:rPr>
                    <w:t>data</w:t>
                  </w:r>
                </w:p>
              </w:tc>
              <w:tc>
                <w:tcPr>
                  <w:tcW w:w="3229" w:type="pct"/>
                </w:tcPr>
                <w:p w14:paraId="7C6BA272" w14:textId="51DE8BF2" w:rsidR="00174F87" w:rsidRPr="00BC24B4" w:rsidRDefault="00174F87" w:rsidP="00174F87">
                  <w:pPr>
                    <w:pStyle w:val="Tabletext"/>
                    <w:rPr>
                      <w:rStyle w:val="SubtleEmphasis"/>
                      <w:iCs w:val="0"/>
                      <w:noProof w:val="0"/>
                      <w:color w:val="auto"/>
                      <w:sz w:val="24"/>
                    </w:rPr>
                  </w:pPr>
                  <w:r>
                    <w:t>The returned surface mapping data</w:t>
                  </w:r>
                </w:p>
              </w:tc>
            </w:tr>
          </w:tbl>
          <w:p w14:paraId="01B80E04" w14:textId="77777777" w:rsidR="00174F87" w:rsidRPr="000E07C4" w:rsidRDefault="00174F87" w:rsidP="00174F87">
            <w:pPr>
              <w:rPr>
                <w:rFonts w:ascii="Consolas" w:hAnsi="Consolas" w:cs="Consolas"/>
                <w:sz w:val="18"/>
                <w:szCs w:val="18"/>
              </w:rPr>
            </w:pPr>
          </w:p>
        </w:tc>
        <w:tc>
          <w:tcPr>
            <w:tcW w:w="1944" w:type="pct"/>
          </w:tcPr>
          <w:p w14:paraId="218951BD" w14:textId="77777777" w:rsidR="00174F87" w:rsidRPr="00893BD2" w:rsidRDefault="00174F87" w:rsidP="00174F87">
            <w:pPr>
              <w:pStyle w:val="Tabletextheading"/>
            </w:pPr>
            <w:r>
              <w:t>Use case</w:t>
            </w:r>
          </w:p>
          <w:p w14:paraId="2C1177B5" w14:textId="1402EF41" w:rsidR="00174F87" w:rsidRDefault="00FF16E5" w:rsidP="00174F87">
            <w:pPr>
              <w:pStyle w:val="Tabletext"/>
            </w:pPr>
            <w:r>
              <w:t xml:space="preserve">Returns surface mapping data from </w:t>
            </w:r>
            <w:r w:rsidRPr="00FF16E5">
              <w:rPr>
                <w:rStyle w:val="SubtleEmphasis"/>
              </w:rPr>
              <w:t>userdata</w:t>
            </w:r>
          </w:p>
          <w:p w14:paraId="352A2F80" w14:textId="77777777" w:rsidR="00174F87" w:rsidRDefault="00174F87" w:rsidP="00174F87">
            <w:pPr>
              <w:pStyle w:val="Tabletextheading"/>
            </w:pPr>
            <w:r>
              <w:t>Description</w:t>
            </w:r>
          </w:p>
          <w:p w14:paraId="3AA2A214" w14:textId="6BD3E334" w:rsidR="00FF16E5" w:rsidRDefault="00FF16E5" w:rsidP="00FF16E5">
            <w:pPr>
              <w:pStyle w:val="Tabletext"/>
            </w:pPr>
            <w:r>
              <w:t xml:space="preserve">Returns surface mapping data from </w:t>
            </w:r>
            <w:r w:rsidRPr="00FF16E5">
              <w:rPr>
                <w:rStyle w:val="SubtleEmphasis"/>
              </w:rPr>
              <w:t>userdata</w:t>
            </w:r>
            <w:r w:rsidR="004129F5" w:rsidRPr="004129F5">
              <w:t xml:space="preserve">. </w:t>
            </w:r>
            <w:r w:rsidR="004129F5">
              <w:t xml:space="preserve">Data type is specified by the </w:t>
            </w:r>
            <w:r w:rsidR="004129F5" w:rsidRPr="004129F5">
              <w:rPr>
                <w:rStyle w:val="SubtleEmphasis"/>
              </w:rPr>
              <w:t>‘datatype’</w:t>
            </w:r>
            <w:r w:rsidR="004129F5">
              <w:t xml:space="preserve"> argument: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713"/>
            </w:tblGrid>
            <w:tr w:rsidR="004129F5" w:rsidRPr="00285DFB" w14:paraId="3C6C2F02" w14:textId="77777777" w:rsidTr="00B54EF2">
              <w:tc>
                <w:tcPr>
                  <w:tcW w:w="1762" w:type="pct"/>
                </w:tcPr>
                <w:p w14:paraId="7A7B098D" w14:textId="26BA5207" w:rsidR="004129F5" w:rsidRPr="006C15AE" w:rsidRDefault="004129F5" w:rsidP="004129F5">
                  <w:pPr>
                    <w:pStyle w:val="Code"/>
                    <w:rPr>
                      <w:rStyle w:val="SubtleEmphasis"/>
                    </w:rPr>
                  </w:pPr>
                  <w:r>
                    <w:t>'act'</w:t>
                  </w:r>
                </w:p>
              </w:tc>
              <w:tc>
                <w:tcPr>
                  <w:tcW w:w="3238" w:type="pct"/>
                </w:tcPr>
                <w:p w14:paraId="5D2A5783" w14:textId="7A59BAEE" w:rsidR="004129F5" w:rsidRPr="00285DFB" w:rsidRDefault="004129F5" w:rsidP="004129F5">
                  <w:pPr>
                    <w:pStyle w:val="Tabletext"/>
                    <w:rPr>
                      <w:rStyle w:val="SubtleEmphasis"/>
                      <w:rFonts w:asciiTheme="minorHAnsi" w:hAnsiTheme="minorHAnsi"/>
                      <w:iCs w:val="0"/>
                      <w:noProof w:val="0"/>
                      <w:color w:val="auto"/>
                    </w:rPr>
                  </w:pPr>
                  <w:r>
                    <w:t>Activation time</w:t>
                  </w:r>
                </w:p>
              </w:tc>
            </w:tr>
            <w:tr w:rsidR="004129F5" w:rsidRPr="00285DFB" w14:paraId="54405E41" w14:textId="77777777" w:rsidTr="00B54EF2">
              <w:tc>
                <w:tcPr>
                  <w:tcW w:w="1762" w:type="pct"/>
                </w:tcPr>
                <w:p w14:paraId="1D542137" w14:textId="05CDF1F4" w:rsidR="004129F5" w:rsidRDefault="004129F5" w:rsidP="004129F5">
                  <w:pPr>
                    <w:pStyle w:val="Code"/>
                  </w:pPr>
                  <w:r>
                    <w:t>'</w:t>
                  </w:r>
                  <w:proofErr w:type="spellStart"/>
                  <w:r>
                    <w:t>bip</w:t>
                  </w:r>
                  <w:proofErr w:type="spellEnd"/>
                  <w:r>
                    <w:t>'</w:t>
                  </w:r>
                </w:p>
              </w:tc>
              <w:tc>
                <w:tcPr>
                  <w:tcW w:w="3238" w:type="pct"/>
                </w:tcPr>
                <w:p w14:paraId="3F8B0B61" w14:textId="60DBB221" w:rsidR="004129F5" w:rsidRDefault="004129F5" w:rsidP="004129F5">
                  <w:pPr>
                    <w:pStyle w:val="Tabletext"/>
                  </w:pPr>
                  <w:r>
                    <w:t>Bipolar voltage</w:t>
                  </w:r>
                </w:p>
              </w:tc>
            </w:tr>
            <w:tr w:rsidR="004129F5" w:rsidRPr="00285DFB" w14:paraId="6656CBA6" w14:textId="77777777" w:rsidTr="00B54EF2">
              <w:tc>
                <w:tcPr>
                  <w:tcW w:w="1762" w:type="pct"/>
                </w:tcPr>
                <w:p w14:paraId="446CD188" w14:textId="064167C2" w:rsidR="004129F5" w:rsidRDefault="004129F5" w:rsidP="004129F5">
                  <w:pPr>
                    <w:pStyle w:val="Code"/>
                  </w:pPr>
                  <w:r>
                    <w:t>'</w:t>
                  </w:r>
                  <w:proofErr w:type="spellStart"/>
                  <w:r>
                    <w:t>uni</w:t>
                  </w:r>
                  <w:proofErr w:type="spellEnd"/>
                  <w:r>
                    <w:t>'</w:t>
                  </w:r>
                </w:p>
              </w:tc>
              <w:tc>
                <w:tcPr>
                  <w:tcW w:w="3238" w:type="pct"/>
                </w:tcPr>
                <w:p w14:paraId="1DAF3A28" w14:textId="34B01224" w:rsidR="004129F5" w:rsidRDefault="004129F5" w:rsidP="004129F5">
                  <w:pPr>
                    <w:pStyle w:val="Tabletext"/>
                  </w:pPr>
                  <w:r>
                    <w:t>Unipolar voltage</w:t>
                  </w:r>
                </w:p>
              </w:tc>
            </w:tr>
            <w:tr w:rsidR="004129F5" w:rsidRPr="00285DFB" w14:paraId="150E9453" w14:textId="77777777" w:rsidTr="00B54EF2">
              <w:tc>
                <w:tcPr>
                  <w:tcW w:w="1762" w:type="pct"/>
                </w:tcPr>
                <w:p w14:paraId="2ACF8535" w14:textId="30E70446" w:rsidR="004129F5" w:rsidRDefault="004129F5" w:rsidP="004129F5">
                  <w:pPr>
                    <w:pStyle w:val="Code"/>
                  </w:pPr>
                  <w:r>
                    <w:t>'imp'</w:t>
                  </w:r>
                </w:p>
              </w:tc>
              <w:tc>
                <w:tcPr>
                  <w:tcW w:w="3238" w:type="pct"/>
                </w:tcPr>
                <w:p w14:paraId="76361D4A" w14:textId="48E4B65D" w:rsidR="004129F5" w:rsidRDefault="004129F5" w:rsidP="004129F5">
                  <w:pPr>
                    <w:pStyle w:val="Tabletext"/>
                  </w:pPr>
                  <w:r>
                    <w:t>Impedance</w:t>
                  </w:r>
                </w:p>
              </w:tc>
            </w:tr>
            <w:tr w:rsidR="004129F5" w:rsidRPr="00285DFB" w14:paraId="7D693020" w14:textId="77777777" w:rsidTr="00B54EF2">
              <w:tc>
                <w:tcPr>
                  <w:tcW w:w="1762" w:type="pct"/>
                </w:tcPr>
                <w:p w14:paraId="6B5CF21E" w14:textId="032A69BD" w:rsidR="004129F5" w:rsidRDefault="004129F5" w:rsidP="004129F5">
                  <w:pPr>
                    <w:pStyle w:val="Code"/>
                  </w:pPr>
                  <w:r>
                    <w:t>'</w:t>
                  </w:r>
                  <w:proofErr w:type="spellStart"/>
                  <w:r>
                    <w:t>frc</w:t>
                  </w:r>
                  <w:proofErr w:type="spellEnd"/>
                  <w:r>
                    <w:t>'</w:t>
                  </w:r>
                </w:p>
              </w:tc>
              <w:tc>
                <w:tcPr>
                  <w:tcW w:w="3238" w:type="pct"/>
                </w:tcPr>
                <w:p w14:paraId="67C14B0D" w14:textId="6C98ECE8" w:rsidR="004129F5" w:rsidRDefault="004129F5" w:rsidP="004129F5">
                  <w:pPr>
                    <w:pStyle w:val="Tabletext"/>
                  </w:pPr>
                  <w:r>
                    <w:t>Force</w:t>
                  </w:r>
                </w:p>
              </w:tc>
            </w:tr>
          </w:tbl>
          <w:p w14:paraId="277FEFA8" w14:textId="77777777" w:rsidR="00174F87" w:rsidRDefault="00174F87" w:rsidP="00174F87">
            <w:pPr>
              <w:pStyle w:val="Tabletextheading"/>
            </w:pPr>
            <w:r w:rsidRPr="00B035AB">
              <w:t>Example</w:t>
            </w:r>
            <w:r w:rsidRPr="00B341D1">
              <w:t xml:space="preserve"> function call</w:t>
            </w:r>
            <w:r>
              <w:t>(s)</w:t>
            </w:r>
          </w:p>
          <w:p w14:paraId="0CFE6448" w14:textId="04AA9176" w:rsidR="00174F87" w:rsidRPr="0058524B" w:rsidRDefault="0058524B" w:rsidP="0058524B">
            <w:pPr>
              <w:pStyle w:val="Code"/>
              <w:rPr>
                <w:sz w:val="24"/>
              </w:rPr>
            </w:pPr>
            <w:r>
              <w:t xml:space="preserve">data = </w:t>
            </w:r>
            <w:proofErr w:type="spellStart"/>
            <w:proofErr w:type="gramStart"/>
            <w:r>
              <w:t>getSurfaceData</w:t>
            </w:r>
            <w:proofErr w:type="spellEnd"/>
            <w:r>
              <w:t>(</w:t>
            </w:r>
            <w:proofErr w:type="spellStart"/>
            <w:proofErr w:type="gramEnd"/>
            <w:r>
              <w:t>userdata</w:t>
            </w:r>
            <w:proofErr w:type="spellEnd"/>
            <w:r>
              <w:t>, '</w:t>
            </w:r>
            <w:proofErr w:type="spellStart"/>
            <w:r>
              <w:t>bip</w:t>
            </w:r>
            <w:proofErr w:type="spellEnd"/>
            <w:r>
              <w:t>')</w:t>
            </w:r>
            <w:r w:rsidR="00CE37C1">
              <w:t>;</w:t>
            </w:r>
          </w:p>
        </w:tc>
      </w:tr>
      <w:tr w:rsidR="00174F87" w:rsidRPr="004F7B48" w14:paraId="6D28DAA7" w14:textId="77777777" w:rsidTr="00861399">
        <w:tc>
          <w:tcPr>
            <w:tcW w:w="1353" w:type="pct"/>
          </w:tcPr>
          <w:p w14:paraId="5FF8BC54" w14:textId="51FAC14F" w:rsidR="00174F87" w:rsidRPr="006A0BFF" w:rsidRDefault="00174F87" w:rsidP="00174F87">
            <w:pPr>
              <w:rPr>
                <w:rStyle w:val="SubtleEmphasis"/>
              </w:rPr>
            </w:pPr>
            <w:r w:rsidRPr="006A0BFF">
              <w:rPr>
                <w:rStyle w:val="SubtleEmphasis"/>
              </w:rPr>
              <w:t>openEP2VTK(</w:t>
            </w:r>
            <w:r>
              <w:rPr>
                <w:rStyle w:val="SubtleEmphasis"/>
              </w:rPr>
              <w:t>...</w:t>
            </w:r>
            <w:r w:rsidRPr="006A0BFF">
              <w:rPr>
                <w:rStyle w:val="SubtleEmphasis"/>
              </w:rPr>
              <w:t>)</w:t>
            </w:r>
          </w:p>
        </w:tc>
        <w:tc>
          <w:tcPr>
            <w:tcW w:w="1703" w:type="pct"/>
          </w:tcPr>
          <w:p w14:paraId="7A617FBE"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49ECFC91" w14:textId="77777777" w:rsidTr="00161929">
              <w:tc>
                <w:tcPr>
                  <w:tcW w:w="1487" w:type="pct"/>
                </w:tcPr>
                <w:p w14:paraId="096E8CDE" w14:textId="1F5D36F2" w:rsidR="00174F87" w:rsidRPr="006C15AE" w:rsidRDefault="001A6EA2" w:rsidP="00174F87">
                  <w:pPr>
                    <w:rPr>
                      <w:rStyle w:val="SubtleEmphasis"/>
                    </w:rPr>
                  </w:pPr>
                  <w:r>
                    <w:rPr>
                      <w:rStyle w:val="SubtleEmphasis"/>
                    </w:rPr>
                    <w:t>1</w:t>
                  </w:r>
                </w:p>
              </w:tc>
              <w:tc>
                <w:tcPr>
                  <w:tcW w:w="3513" w:type="pct"/>
                </w:tcPr>
                <w:p w14:paraId="711EE967" w14:textId="7F73985F" w:rsidR="00174F87" w:rsidRPr="006C15AE" w:rsidRDefault="001A6EA2" w:rsidP="00174F87">
                  <w:pPr>
                    <w:pStyle w:val="Tabletext"/>
                    <w:rPr>
                      <w:rStyle w:val="SubtleEmphasis"/>
                    </w:rPr>
                  </w:pPr>
                  <w:r>
                    <w:rPr>
                      <w:rStyle w:val="SubtleEmphasis"/>
                    </w:rPr>
                    <w:t>userdata</w:t>
                  </w:r>
                </w:p>
              </w:tc>
            </w:tr>
          </w:tbl>
          <w:p w14:paraId="23A23319"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6078B076" w14:textId="77777777" w:rsidTr="00161929">
              <w:tc>
                <w:tcPr>
                  <w:tcW w:w="1771" w:type="pct"/>
                </w:tcPr>
                <w:p w14:paraId="208F198E" w14:textId="16C1CC29" w:rsidR="00174F87" w:rsidRPr="006C15AE" w:rsidRDefault="001A6EA2" w:rsidP="00174F87">
                  <w:pPr>
                    <w:rPr>
                      <w:rStyle w:val="SubtleEmphasis"/>
                    </w:rPr>
                  </w:pPr>
                  <w:r>
                    <w:rPr>
                      <w:rStyle w:val="SubtleEmphasis"/>
                    </w:rPr>
                    <w:t>‘datatype’</w:t>
                  </w:r>
                </w:p>
              </w:tc>
              <w:tc>
                <w:tcPr>
                  <w:tcW w:w="3229" w:type="pct"/>
                </w:tcPr>
                <w:p w14:paraId="2CD41D67" w14:textId="2EBBADCC" w:rsidR="00174F87" w:rsidRPr="006C15AE" w:rsidRDefault="006F07D0" w:rsidP="00174F87">
                  <w:pPr>
                    <w:pStyle w:val="Tabletext"/>
                    <w:rPr>
                      <w:rStyle w:val="SubtleEmphasis"/>
                    </w:rPr>
                  </w:pPr>
                  <w:r>
                    <w:rPr>
                      <w:rStyle w:val="SubtleEmphasis"/>
                    </w:rPr>
                    <w:t>{‘bip’} | ‘uni’ | ‘lat’</w:t>
                  </w:r>
                </w:p>
              </w:tc>
            </w:tr>
            <w:tr w:rsidR="001A6EA2" w14:paraId="2CC4ECD7" w14:textId="77777777" w:rsidTr="00161929">
              <w:tc>
                <w:tcPr>
                  <w:tcW w:w="1771" w:type="pct"/>
                </w:tcPr>
                <w:p w14:paraId="4C5573B3" w14:textId="15133BA9" w:rsidR="001A6EA2" w:rsidRDefault="001A6EA2" w:rsidP="00174F87">
                  <w:pPr>
                    <w:rPr>
                      <w:rStyle w:val="SubtleEmphasis"/>
                    </w:rPr>
                  </w:pPr>
                  <w:r>
                    <w:rPr>
                      <w:rStyle w:val="SubtleEmphasis"/>
                    </w:rPr>
                    <w:t>‘method’</w:t>
                  </w:r>
                </w:p>
              </w:tc>
              <w:tc>
                <w:tcPr>
                  <w:tcW w:w="3229" w:type="pct"/>
                </w:tcPr>
                <w:p w14:paraId="05446AE1" w14:textId="36615BE4" w:rsidR="001A6EA2" w:rsidRPr="006C15AE" w:rsidRDefault="006F07D0" w:rsidP="00174F87">
                  <w:pPr>
                    <w:pStyle w:val="Tabletext"/>
                    <w:rPr>
                      <w:rStyle w:val="SubtleEmphasis"/>
                    </w:rPr>
                  </w:pPr>
                  <w:r>
                    <w:rPr>
                      <w:rStyle w:val="SubtleEmphasis"/>
                    </w:rPr>
                    <w:t>{‘map’} | ‘egm’</w:t>
                  </w:r>
                </w:p>
              </w:tc>
            </w:tr>
            <w:tr w:rsidR="001A6EA2" w14:paraId="378BF5BB" w14:textId="77777777" w:rsidTr="00161929">
              <w:tc>
                <w:tcPr>
                  <w:tcW w:w="1771" w:type="pct"/>
                </w:tcPr>
                <w:p w14:paraId="1642C2F0" w14:textId="23D59250" w:rsidR="001A6EA2" w:rsidRDefault="001A6EA2" w:rsidP="00174F87">
                  <w:pPr>
                    <w:rPr>
                      <w:rStyle w:val="SubtleEmphasis"/>
                    </w:rPr>
                  </w:pPr>
                  <w:r>
                    <w:rPr>
                      <w:rStyle w:val="SubtleEmphasis"/>
                    </w:rPr>
                    <w:t>‘outputfile’</w:t>
                  </w:r>
                </w:p>
              </w:tc>
              <w:tc>
                <w:tcPr>
                  <w:tcW w:w="3229" w:type="pct"/>
                </w:tcPr>
                <w:p w14:paraId="1A3D2A49" w14:textId="60E17103" w:rsidR="001A6EA2" w:rsidRPr="006C15AE" w:rsidRDefault="00F83D65" w:rsidP="00174F87">
                  <w:pPr>
                    <w:pStyle w:val="Tabletext"/>
                    <w:rPr>
                      <w:rStyle w:val="SubtleEmphasis"/>
                    </w:rPr>
                  </w:pPr>
                  <w:r>
                    <w:rPr>
                      <w:rStyle w:val="SubtleEmphasis"/>
                    </w:rPr>
                    <w:t>{[]} | string | ‘openfile’</w:t>
                  </w:r>
                </w:p>
              </w:tc>
            </w:tr>
          </w:tbl>
          <w:p w14:paraId="111699FA"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6B751929" w14:textId="77777777" w:rsidTr="00161929">
              <w:tc>
                <w:tcPr>
                  <w:tcW w:w="1771" w:type="pct"/>
                </w:tcPr>
                <w:p w14:paraId="2B1DD002" w14:textId="5B30BBDC" w:rsidR="00174F87" w:rsidRPr="006C15AE" w:rsidRDefault="00426BDE" w:rsidP="00174F87">
                  <w:pPr>
                    <w:rPr>
                      <w:rStyle w:val="SubtleEmphasis"/>
                    </w:rPr>
                  </w:pPr>
                  <w:r>
                    <w:rPr>
                      <w:rStyle w:val="SubtleEmphasis"/>
                    </w:rPr>
                    <w:t>Path2VTKfile</w:t>
                  </w:r>
                </w:p>
              </w:tc>
              <w:tc>
                <w:tcPr>
                  <w:tcW w:w="3229" w:type="pct"/>
                </w:tcPr>
                <w:p w14:paraId="31C19B71" w14:textId="3E9D5DBC" w:rsidR="00174F87" w:rsidRPr="00426BDE" w:rsidRDefault="00426BDE" w:rsidP="00426BDE">
                  <w:pPr>
                    <w:pStyle w:val="Tabletext"/>
                    <w:rPr>
                      <w:rStyle w:val="SubtleEmphasis"/>
                      <w:rFonts w:asciiTheme="minorHAnsi" w:hAnsiTheme="minorHAnsi"/>
                      <w:iCs w:val="0"/>
                      <w:noProof w:val="0"/>
                      <w:color w:val="auto"/>
                    </w:rPr>
                  </w:pPr>
                  <w:r w:rsidRPr="00426BDE">
                    <w:rPr>
                      <w:rStyle w:val="SubtleEmphasis"/>
                      <w:rFonts w:asciiTheme="minorHAnsi" w:hAnsiTheme="minorHAnsi"/>
                      <w:iCs w:val="0"/>
                      <w:noProof w:val="0"/>
                      <w:color w:val="auto"/>
                    </w:rPr>
                    <w:t>The path to the file that was written</w:t>
                  </w:r>
                </w:p>
              </w:tc>
            </w:tr>
          </w:tbl>
          <w:p w14:paraId="645DC0EC" w14:textId="77777777" w:rsidR="00174F87" w:rsidRPr="000E07C4" w:rsidRDefault="00174F87" w:rsidP="00174F87">
            <w:pPr>
              <w:rPr>
                <w:rFonts w:ascii="Consolas" w:hAnsi="Consolas" w:cs="Consolas"/>
                <w:sz w:val="18"/>
                <w:szCs w:val="18"/>
              </w:rPr>
            </w:pPr>
          </w:p>
        </w:tc>
        <w:tc>
          <w:tcPr>
            <w:tcW w:w="1944" w:type="pct"/>
          </w:tcPr>
          <w:p w14:paraId="09CFA8B7" w14:textId="77777777" w:rsidR="00174F87" w:rsidRPr="00893BD2" w:rsidRDefault="00174F87" w:rsidP="00174F87">
            <w:pPr>
              <w:pStyle w:val="Tabletextheading"/>
            </w:pPr>
            <w:r>
              <w:t>Use case</w:t>
            </w:r>
          </w:p>
          <w:p w14:paraId="4025CEE4" w14:textId="77777777" w:rsidR="00714F26" w:rsidRDefault="00714F26" w:rsidP="00714F26">
            <w:pPr>
              <w:rPr>
                <w:rFonts w:asciiTheme="minorHAnsi" w:hAnsiTheme="minorHAnsi" w:cstheme="minorHAnsi"/>
                <w:sz w:val="20"/>
                <w:szCs w:val="20"/>
              </w:rPr>
            </w:pPr>
            <w:r>
              <w:rPr>
                <w:rFonts w:asciiTheme="minorHAnsi" w:hAnsiTheme="minorHAnsi" w:cstheme="minorHAnsi"/>
                <w:sz w:val="20"/>
                <w:szCs w:val="20"/>
              </w:rPr>
              <w:t xml:space="preserve">Converts the </w:t>
            </w:r>
            <w:proofErr w:type="spellStart"/>
            <w:r>
              <w:rPr>
                <w:rFonts w:asciiTheme="minorHAnsi" w:hAnsiTheme="minorHAnsi" w:cstheme="minorHAnsi"/>
                <w:sz w:val="20"/>
                <w:szCs w:val="20"/>
              </w:rPr>
              <w:t>OpenEP</w:t>
            </w:r>
            <w:proofErr w:type="spellEnd"/>
            <w:r>
              <w:rPr>
                <w:rFonts w:asciiTheme="minorHAnsi" w:hAnsiTheme="minorHAnsi" w:cstheme="minorHAnsi"/>
                <w:sz w:val="20"/>
                <w:szCs w:val="20"/>
              </w:rPr>
              <w:t xml:space="preserve"> format to VTK format. </w:t>
            </w:r>
          </w:p>
          <w:p w14:paraId="48915241" w14:textId="77777777" w:rsidR="00174F87" w:rsidRDefault="00174F87" w:rsidP="00174F87">
            <w:pPr>
              <w:pStyle w:val="Tabletextheading"/>
            </w:pPr>
            <w:r>
              <w:t>Description</w:t>
            </w:r>
          </w:p>
          <w:p w14:paraId="03E2EC0F" w14:textId="0FEFEB2F" w:rsidR="00510754" w:rsidRDefault="00510754" w:rsidP="00510754">
            <w:pPr>
              <w:pStyle w:val="Tabletext"/>
            </w:pPr>
            <w:r>
              <w:t xml:space="preserve">Converts between </w:t>
            </w:r>
            <w:proofErr w:type="spellStart"/>
            <w:r>
              <w:t>OpenEP</w:t>
            </w:r>
            <w:proofErr w:type="spellEnd"/>
            <w:r>
              <w:t xml:space="preserve"> format and VTK format. This function takes map data and writes it to the VTK file, or if </w:t>
            </w:r>
            <w:r w:rsidRPr="00510754">
              <w:rPr>
                <w:rStyle w:val="SubtleEmphasis"/>
              </w:rPr>
              <w:t>'method'</w:t>
            </w:r>
            <w:r>
              <w:t xml:space="preserve"> is set to </w:t>
            </w:r>
            <w:r w:rsidRPr="00510754">
              <w:rPr>
                <w:rStyle w:val="SubtleEmphasis"/>
              </w:rPr>
              <w:t>'egm'</w:t>
            </w:r>
            <w:r>
              <w:t xml:space="preserve"> it first uses </w:t>
            </w:r>
            <w:r w:rsidRPr="00510754">
              <w:rPr>
                <w:rStyle w:val="SubtleEmphasis"/>
              </w:rPr>
              <w:t>generateInterpData</w:t>
            </w:r>
            <w:r>
              <w:rPr>
                <w:rStyle w:val="SubtleEmphasis"/>
              </w:rPr>
              <w:t>.m</w:t>
            </w:r>
            <w:r>
              <w:t xml:space="preserve"> to create interpolated data.</w:t>
            </w:r>
          </w:p>
          <w:p w14:paraId="3D46BD7D" w14:textId="77777777" w:rsidR="00174F87" w:rsidRDefault="00174F87" w:rsidP="00174F87">
            <w:pPr>
              <w:pStyle w:val="Tabletextheading"/>
            </w:pPr>
            <w:r w:rsidRPr="00B035AB">
              <w:t>Example</w:t>
            </w:r>
            <w:r w:rsidRPr="00B341D1">
              <w:t xml:space="preserve"> function call</w:t>
            </w:r>
            <w:r>
              <w:t>(s)</w:t>
            </w:r>
          </w:p>
          <w:p w14:paraId="7BBF18D7" w14:textId="1E9AFF76" w:rsidR="00174F87" w:rsidRPr="001B427B" w:rsidRDefault="001B427B" w:rsidP="001B427B">
            <w:pPr>
              <w:pStyle w:val="Code"/>
              <w:rPr>
                <w:sz w:val="24"/>
              </w:rPr>
            </w:pPr>
            <w:r>
              <w:t>% path2VTKfile = openEP2</w:t>
            </w:r>
            <w:proofErr w:type="gramStart"/>
            <w:r>
              <w:t>VTK(</w:t>
            </w:r>
            <w:proofErr w:type="spellStart"/>
            <w:proofErr w:type="gramEnd"/>
            <w:r>
              <w:t>userdata</w:t>
            </w:r>
            <w:proofErr w:type="spellEnd"/>
            <w:r>
              <w:t>, 'datatype', '</w:t>
            </w:r>
            <w:proofErr w:type="spellStart"/>
            <w:r>
              <w:t>lat</w:t>
            </w:r>
            <w:proofErr w:type="spellEnd"/>
            <w:r>
              <w:t>', '</w:t>
            </w:r>
            <w:proofErr w:type="spellStart"/>
            <w:r>
              <w:t>outputfile</w:t>
            </w:r>
            <w:proofErr w:type="spellEnd"/>
            <w:r>
              <w:t>', '</w:t>
            </w:r>
            <w:proofErr w:type="spellStart"/>
            <w:r>
              <w:t>openfile</w:t>
            </w:r>
            <w:proofErr w:type="spellEnd"/>
            <w:r>
              <w:t>')</w:t>
            </w:r>
            <w:r w:rsidR="00CE37C1">
              <w:t>;</w:t>
            </w:r>
          </w:p>
        </w:tc>
      </w:tr>
      <w:tr w:rsidR="00174F87" w:rsidRPr="004F7B48" w14:paraId="34068CE4" w14:textId="77777777" w:rsidTr="00161929">
        <w:tc>
          <w:tcPr>
            <w:tcW w:w="5000" w:type="pct"/>
            <w:gridSpan w:val="3"/>
          </w:tcPr>
          <w:p w14:paraId="01EE74E1" w14:textId="2F99AF67" w:rsidR="00174F87" w:rsidRPr="009326DB" w:rsidRDefault="00174F87" w:rsidP="00174F87">
            <w:pPr>
              <w:jc w:val="center"/>
              <w:rPr>
                <w:rFonts w:asciiTheme="minorHAnsi" w:hAnsiTheme="minorHAnsi" w:cstheme="minorHAnsi"/>
                <w:b/>
                <w:bCs/>
                <w:sz w:val="20"/>
                <w:szCs w:val="20"/>
              </w:rPr>
            </w:pPr>
            <w:r w:rsidRPr="009326DB">
              <w:rPr>
                <w:rFonts w:asciiTheme="minorHAnsi" w:hAnsiTheme="minorHAnsi" w:cstheme="minorHAnsi"/>
                <w:b/>
                <w:bCs/>
                <w:sz w:val="20"/>
                <w:szCs w:val="20"/>
              </w:rPr>
              <w:t xml:space="preserve">Activation </w:t>
            </w:r>
            <w:r>
              <w:rPr>
                <w:rFonts w:asciiTheme="minorHAnsi" w:hAnsiTheme="minorHAnsi" w:cstheme="minorHAnsi"/>
                <w:b/>
                <w:bCs/>
                <w:sz w:val="20"/>
                <w:szCs w:val="20"/>
              </w:rPr>
              <w:t>Data</w:t>
            </w:r>
          </w:p>
        </w:tc>
      </w:tr>
      <w:tr w:rsidR="00174F87" w:rsidRPr="004F7B48" w14:paraId="062BEA1D" w14:textId="77777777" w:rsidTr="00861399">
        <w:tc>
          <w:tcPr>
            <w:tcW w:w="1353" w:type="pct"/>
          </w:tcPr>
          <w:p w14:paraId="476FE656" w14:textId="1C4CE526" w:rsidR="00174F87" w:rsidRPr="006A0BFF" w:rsidRDefault="00174F87" w:rsidP="00174F87">
            <w:pPr>
              <w:rPr>
                <w:rStyle w:val="SubtleEmphasis"/>
              </w:rPr>
            </w:pPr>
            <w:r w:rsidRPr="006A0BFF">
              <w:rPr>
                <w:rStyle w:val="SubtleEmphasis"/>
              </w:rPr>
              <w:t>cvHistogram(</w:t>
            </w:r>
            <w:r>
              <w:rPr>
                <w:rStyle w:val="SubtleEmphasis"/>
              </w:rPr>
              <w:t>...</w:t>
            </w:r>
            <w:r w:rsidRPr="006A0BFF">
              <w:rPr>
                <w:rStyle w:val="SubtleEmphasis"/>
              </w:rPr>
              <w:t>)</w:t>
            </w:r>
          </w:p>
        </w:tc>
        <w:tc>
          <w:tcPr>
            <w:tcW w:w="1703" w:type="pct"/>
          </w:tcPr>
          <w:p w14:paraId="66C27754"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5A0433B3" w14:textId="77777777" w:rsidTr="00161929">
              <w:tc>
                <w:tcPr>
                  <w:tcW w:w="1487" w:type="pct"/>
                </w:tcPr>
                <w:p w14:paraId="4D68AD27" w14:textId="51A73051" w:rsidR="00174F87" w:rsidRPr="006C15AE" w:rsidRDefault="00254CAD" w:rsidP="00174F87">
                  <w:pPr>
                    <w:rPr>
                      <w:rStyle w:val="SubtleEmphasis"/>
                    </w:rPr>
                  </w:pPr>
                  <w:r>
                    <w:rPr>
                      <w:rStyle w:val="SubtleEmphasis"/>
                    </w:rPr>
                    <w:lastRenderedPageBreak/>
                    <w:t>1</w:t>
                  </w:r>
                </w:p>
              </w:tc>
              <w:tc>
                <w:tcPr>
                  <w:tcW w:w="3513" w:type="pct"/>
                </w:tcPr>
                <w:p w14:paraId="43C790A0" w14:textId="440F113A" w:rsidR="00174F87" w:rsidRPr="006C15AE" w:rsidRDefault="00254CAD" w:rsidP="00174F87">
                  <w:pPr>
                    <w:pStyle w:val="Tabletext"/>
                    <w:rPr>
                      <w:rStyle w:val="SubtleEmphasis"/>
                    </w:rPr>
                  </w:pPr>
                  <w:r>
                    <w:rPr>
                      <w:rStyle w:val="SubtleEmphasis"/>
                    </w:rPr>
                    <w:t>userdata</w:t>
                  </w:r>
                </w:p>
              </w:tc>
            </w:tr>
          </w:tbl>
          <w:p w14:paraId="6E40313E"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5A8197B5" w14:textId="77777777" w:rsidTr="00161929">
              <w:tc>
                <w:tcPr>
                  <w:tcW w:w="1771" w:type="pct"/>
                </w:tcPr>
                <w:p w14:paraId="2FAE01D9" w14:textId="1AB6E558" w:rsidR="00174F87" w:rsidRPr="006C15AE" w:rsidRDefault="00254CAD" w:rsidP="00174F87">
                  <w:pPr>
                    <w:rPr>
                      <w:rStyle w:val="SubtleEmphasis"/>
                    </w:rPr>
                  </w:pPr>
                  <w:r>
                    <w:rPr>
                      <w:rStyle w:val="SubtleEmphasis"/>
                    </w:rPr>
                    <w:t>‘limits’</w:t>
                  </w:r>
                </w:p>
              </w:tc>
              <w:tc>
                <w:tcPr>
                  <w:tcW w:w="3229" w:type="pct"/>
                </w:tcPr>
                <w:p w14:paraId="4189B215" w14:textId="63F2B8B6" w:rsidR="00174F87" w:rsidRPr="006C15AE" w:rsidRDefault="00254CAD" w:rsidP="00174F87">
                  <w:pPr>
                    <w:pStyle w:val="Tabletext"/>
                    <w:rPr>
                      <w:rStyle w:val="SubtleEmphasis"/>
                    </w:rPr>
                  </w:pPr>
                  <w:r>
                    <w:rPr>
                      <w:rStyle w:val="SubtleEmphasis"/>
                    </w:rPr>
                    <w:t>{[0 5]} | array</w:t>
                  </w:r>
                </w:p>
              </w:tc>
            </w:tr>
            <w:tr w:rsidR="00254CAD" w14:paraId="684DCD51" w14:textId="77777777" w:rsidTr="00161929">
              <w:tc>
                <w:tcPr>
                  <w:tcW w:w="1771" w:type="pct"/>
                </w:tcPr>
                <w:p w14:paraId="43DB15D9" w14:textId="60C9BFD1" w:rsidR="00254CAD" w:rsidRDefault="00254CAD" w:rsidP="00174F87">
                  <w:pPr>
                    <w:rPr>
                      <w:rStyle w:val="SubtleEmphasis"/>
                    </w:rPr>
                  </w:pPr>
                  <w:r>
                    <w:rPr>
                      <w:rStyle w:val="SubtleEmphasis"/>
                    </w:rPr>
                    <w:t>‘binwidth’</w:t>
                  </w:r>
                </w:p>
              </w:tc>
              <w:tc>
                <w:tcPr>
                  <w:tcW w:w="3229" w:type="pct"/>
                </w:tcPr>
                <w:p w14:paraId="46E207B0" w14:textId="421DF268" w:rsidR="00254CAD" w:rsidRPr="006C15AE" w:rsidRDefault="00254CAD" w:rsidP="00174F87">
                  <w:pPr>
                    <w:pStyle w:val="Tabletext"/>
                    <w:rPr>
                      <w:rStyle w:val="SubtleEmphasis"/>
                    </w:rPr>
                  </w:pPr>
                  <w:r>
                    <w:rPr>
                      <w:rStyle w:val="SubtleEmphasis"/>
                    </w:rPr>
                    <w:t>{0.1} | double</w:t>
                  </w:r>
                </w:p>
              </w:tc>
            </w:tr>
          </w:tbl>
          <w:p w14:paraId="38A5F0EB"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37778F37" w14:textId="77777777" w:rsidTr="00161929">
              <w:tc>
                <w:tcPr>
                  <w:tcW w:w="1771" w:type="pct"/>
                </w:tcPr>
                <w:p w14:paraId="51182C01" w14:textId="52E5E506" w:rsidR="00174F87" w:rsidRPr="006C15AE" w:rsidRDefault="00254CAD" w:rsidP="00174F87">
                  <w:pPr>
                    <w:rPr>
                      <w:rStyle w:val="SubtleEmphasis"/>
                    </w:rPr>
                  </w:pPr>
                  <w:r>
                    <w:rPr>
                      <w:rStyle w:val="SubtleEmphasis"/>
                    </w:rPr>
                    <w:t>None</w:t>
                  </w:r>
                </w:p>
              </w:tc>
              <w:tc>
                <w:tcPr>
                  <w:tcW w:w="3229" w:type="pct"/>
                </w:tcPr>
                <w:p w14:paraId="275D0AE4" w14:textId="77777777" w:rsidR="00174F87" w:rsidRPr="006C15AE" w:rsidRDefault="00174F87" w:rsidP="00174F87">
                  <w:pPr>
                    <w:pStyle w:val="Tabletext"/>
                    <w:rPr>
                      <w:rStyle w:val="SubtleEmphasis"/>
                    </w:rPr>
                  </w:pPr>
                </w:p>
              </w:tc>
            </w:tr>
          </w:tbl>
          <w:p w14:paraId="2AE44517" w14:textId="77777777" w:rsidR="00174F87" w:rsidRPr="009326DB" w:rsidRDefault="00174F87" w:rsidP="00174F87">
            <w:pPr>
              <w:rPr>
                <w:rFonts w:ascii="Consolas" w:hAnsi="Consolas" w:cs="Consolas"/>
                <w:sz w:val="18"/>
                <w:szCs w:val="18"/>
              </w:rPr>
            </w:pPr>
          </w:p>
        </w:tc>
        <w:tc>
          <w:tcPr>
            <w:tcW w:w="1944" w:type="pct"/>
          </w:tcPr>
          <w:p w14:paraId="00BE0847" w14:textId="77777777" w:rsidR="00174F87" w:rsidRPr="00893BD2" w:rsidRDefault="00174F87" w:rsidP="00174F87">
            <w:pPr>
              <w:pStyle w:val="Tabletextheading"/>
            </w:pPr>
            <w:r>
              <w:lastRenderedPageBreak/>
              <w:t>Use case</w:t>
            </w:r>
          </w:p>
          <w:p w14:paraId="1550305C" w14:textId="11C4EB0D" w:rsidR="00174F87" w:rsidRDefault="00254CAD" w:rsidP="00174F87">
            <w:pPr>
              <w:pStyle w:val="Tabletext"/>
            </w:pPr>
            <w:r>
              <w:t>Draws a conduction velocity histogram</w:t>
            </w:r>
          </w:p>
          <w:p w14:paraId="405C057A" w14:textId="77777777" w:rsidR="00174F87" w:rsidRDefault="00174F87" w:rsidP="00174F87">
            <w:pPr>
              <w:pStyle w:val="Tabletextheading"/>
            </w:pPr>
            <w:r>
              <w:lastRenderedPageBreak/>
              <w:t>Description</w:t>
            </w:r>
          </w:p>
          <w:p w14:paraId="254AE650" w14:textId="185F6974" w:rsidR="00174F87" w:rsidRPr="00254CAD" w:rsidRDefault="00254CAD" w:rsidP="00254CAD">
            <w:pPr>
              <w:pStyle w:val="Tabletext"/>
            </w:pPr>
            <w:r w:rsidRPr="00254CAD">
              <w:rPr>
                <w:rStyle w:val="SubtleEmphasis"/>
              </w:rPr>
              <w:t>cvHistogram.m</w:t>
            </w:r>
            <w:r w:rsidRPr="00254CAD">
              <w:t xml:space="preserve"> displays a histogram of conduction velocities. Limits are set to exclude non-</w:t>
            </w:r>
            <w:r w:rsidR="001A6EA2">
              <w:t>p</w:t>
            </w:r>
            <w:r w:rsidRPr="00254CAD">
              <w:t>hysiological conduction velocities</w:t>
            </w:r>
          </w:p>
          <w:p w14:paraId="457243B5" w14:textId="77777777" w:rsidR="00174F87" w:rsidRDefault="00174F87" w:rsidP="00174F87">
            <w:pPr>
              <w:pStyle w:val="Tabletextheading"/>
            </w:pPr>
            <w:r w:rsidRPr="00B035AB">
              <w:t>Example</w:t>
            </w:r>
            <w:r w:rsidRPr="00B341D1">
              <w:t xml:space="preserve"> function call</w:t>
            </w:r>
            <w:r>
              <w:t>(s)</w:t>
            </w:r>
          </w:p>
          <w:p w14:paraId="123B40A6" w14:textId="3B47100F" w:rsidR="00174F87" w:rsidRPr="00254CAD" w:rsidRDefault="00254CAD" w:rsidP="00254CAD">
            <w:pPr>
              <w:pStyle w:val="Code"/>
            </w:pPr>
            <w:proofErr w:type="spellStart"/>
            <w:proofErr w:type="gramStart"/>
            <w:r>
              <w:t>cvHistogram</w:t>
            </w:r>
            <w:proofErr w:type="spellEnd"/>
            <w:r>
              <w:t xml:space="preserve">( </w:t>
            </w:r>
            <w:proofErr w:type="spellStart"/>
            <w:r>
              <w:t>userdata</w:t>
            </w:r>
            <w:proofErr w:type="spellEnd"/>
            <w:proofErr w:type="gramEnd"/>
            <w:r>
              <w:t xml:space="preserve"> )</w:t>
            </w:r>
            <w:r w:rsidR="00CE37C1">
              <w:t>;</w:t>
            </w:r>
          </w:p>
        </w:tc>
      </w:tr>
      <w:tr w:rsidR="00174F87" w:rsidRPr="004F7B48" w14:paraId="3A00B6B1" w14:textId="77777777" w:rsidTr="00861399">
        <w:tc>
          <w:tcPr>
            <w:tcW w:w="1353" w:type="pct"/>
          </w:tcPr>
          <w:p w14:paraId="59E0A268" w14:textId="4CFFAF9B" w:rsidR="00174F87" w:rsidRPr="006A0BFF" w:rsidRDefault="00174F87" w:rsidP="00174F87">
            <w:pPr>
              <w:rPr>
                <w:rStyle w:val="SubtleEmphasis"/>
                <w:highlight w:val="yellow"/>
              </w:rPr>
            </w:pPr>
            <w:r w:rsidRPr="006A0BFF">
              <w:rPr>
                <w:rStyle w:val="SubtleEmphasis"/>
              </w:rPr>
              <w:lastRenderedPageBreak/>
              <w:t>getConductionVelocity(</w:t>
            </w:r>
            <w:r>
              <w:rPr>
                <w:rStyle w:val="SubtleEmphasis"/>
              </w:rPr>
              <w:t>...</w:t>
            </w:r>
            <w:r w:rsidRPr="006A0BFF">
              <w:rPr>
                <w:rStyle w:val="SubtleEmphasis"/>
              </w:rPr>
              <w:t>)</w:t>
            </w:r>
          </w:p>
        </w:tc>
        <w:tc>
          <w:tcPr>
            <w:tcW w:w="1703" w:type="pct"/>
          </w:tcPr>
          <w:p w14:paraId="5FC34557"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3AA6E0E2" w14:textId="77777777" w:rsidTr="00161929">
              <w:tc>
                <w:tcPr>
                  <w:tcW w:w="1487" w:type="pct"/>
                </w:tcPr>
                <w:p w14:paraId="6147F6D7" w14:textId="381ADB2B" w:rsidR="00174F87" w:rsidRPr="006C15AE" w:rsidRDefault="00C340FC" w:rsidP="00174F87">
                  <w:pPr>
                    <w:rPr>
                      <w:rStyle w:val="SubtleEmphasis"/>
                    </w:rPr>
                  </w:pPr>
                  <w:r>
                    <w:rPr>
                      <w:rStyle w:val="SubtleEmphasis"/>
                    </w:rPr>
                    <w:t>1</w:t>
                  </w:r>
                </w:p>
              </w:tc>
              <w:tc>
                <w:tcPr>
                  <w:tcW w:w="3513" w:type="pct"/>
                </w:tcPr>
                <w:p w14:paraId="20D586F3" w14:textId="05A75CC4" w:rsidR="00174F87" w:rsidRPr="006C15AE" w:rsidRDefault="00C340FC" w:rsidP="00174F87">
                  <w:pPr>
                    <w:pStyle w:val="Tabletext"/>
                    <w:rPr>
                      <w:rStyle w:val="SubtleEmphasis"/>
                    </w:rPr>
                  </w:pPr>
                  <w:r>
                    <w:rPr>
                      <w:rStyle w:val="SubtleEmphasis"/>
                    </w:rPr>
                    <w:t>userdata</w:t>
                  </w:r>
                </w:p>
              </w:tc>
            </w:tr>
          </w:tbl>
          <w:p w14:paraId="2F0E1851"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5C488C52" w14:textId="77777777" w:rsidTr="00161929">
              <w:tc>
                <w:tcPr>
                  <w:tcW w:w="1771" w:type="pct"/>
                </w:tcPr>
                <w:p w14:paraId="4AC7A993" w14:textId="0A87ACCF" w:rsidR="00174F87" w:rsidRPr="006C15AE" w:rsidRDefault="001B7650" w:rsidP="00174F87">
                  <w:pPr>
                    <w:rPr>
                      <w:rStyle w:val="SubtleEmphasis"/>
                    </w:rPr>
                  </w:pPr>
                  <w:r>
                    <w:rPr>
                      <w:rStyle w:val="SubtleEmphasis"/>
                    </w:rPr>
                    <w:t>None</w:t>
                  </w:r>
                </w:p>
              </w:tc>
              <w:tc>
                <w:tcPr>
                  <w:tcW w:w="3229" w:type="pct"/>
                </w:tcPr>
                <w:p w14:paraId="68C1578C" w14:textId="77777777" w:rsidR="00174F87" w:rsidRPr="006C15AE" w:rsidRDefault="00174F87" w:rsidP="00174F87">
                  <w:pPr>
                    <w:pStyle w:val="Tabletext"/>
                    <w:rPr>
                      <w:rStyle w:val="SubtleEmphasis"/>
                    </w:rPr>
                  </w:pPr>
                </w:p>
              </w:tc>
            </w:tr>
          </w:tbl>
          <w:p w14:paraId="663C064B"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1849E3CB" w14:textId="77777777" w:rsidTr="001B7650">
              <w:trPr>
                <w:trHeight w:val="86"/>
              </w:trPr>
              <w:tc>
                <w:tcPr>
                  <w:tcW w:w="1771" w:type="pct"/>
                </w:tcPr>
                <w:p w14:paraId="27CA69A7" w14:textId="5BF3E4BA" w:rsidR="00174F87" w:rsidRPr="006C15AE" w:rsidRDefault="001B7650" w:rsidP="00174F87">
                  <w:pPr>
                    <w:rPr>
                      <w:rStyle w:val="SubtleEmphasis"/>
                    </w:rPr>
                  </w:pPr>
                  <w:r>
                    <w:rPr>
                      <w:rStyle w:val="SubtleEmphasis"/>
                    </w:rPr>
                    <w:t>cvdata</w:t>
                  </w:r>
                </w:p>
              </w:tc>
              <w:tc>
                <w:tcPr>
                  <w:tcW w:w="3229" w:type="pct"/>
                </w:tcPr>
                <w:p w14:paraId="1B43EF8E" w14:textId="640E8FC9" w:rsidR="00174F87" w:rsidRPr="001B7650" w:rsidRDefault="001B7650" w:rsidP="001B7650">
                  <w:pPr>
                    <w:pStyle w:val="Tabletext"/>
                    <w:rPr>
                      <w:rStyle w:val="SubtleEmphasis"/>
                      <w:rFonts w:asciiTheme="minorHAnsi" w:hAnsiTheme="minorHAnsi"/>
                      <w:iCs w:val="0"/>
                      <w:noProof w:val="0"/>
                      <w:color w:val="auto"/>
                    </w:rPr>
                  </w:pPr>
                  <w:r w:rsidRPr="001B7650">
                    <w:rPr>
                      <w:rStyle w:val="SubtleEmphasis"/>
                      <w:rFonts w:asciiTheme="minorHAnsi" w:hAnsiTheme="minorHAnsi"/>
                      <w:iCs w:val="0"/>
                      <w:noProof w:val="0"/>
                      <w:color w:val="auto"/>
                    </w:rPr>
                    <w:t>The conduction velocities, in m/s</w:t>
                  </w:r>
                </w:p>
              </w:tc>
            </w:tr>
          </w:tbl>
          <w:p w14:paraId="19C356A9" w14:textId="77777777" w:rsidR="00174F87" w:rsidRPr="009326DB" w:rsidRDefault="00174F87" w:rsidP="00174F87">
            <w:pPr>
              <w:rPr>
                <w:rFonts w:ascii="Consolas" w:hAnsi="Consolas" w:cs="Consolas"/>
                <w:sz w:val="18"/>
                <w:szCs w:val="18"/>
              </w:rPr>
            </w:pPr>
          </w:p>
        </w:tc>
        <w:tc>
          <w:tcPr>
            <w:tcW w:w="1944" w:type="pct"/>
          </w:tcPr>
          <w:p w14:paraId="65B4A7FA" w14:textId="77777777" w:rsidR="00174F87" w:rsidRPr="00893BD2" w:rsidRDefault="00174F87" w:rsidP="00174F87">
            <w:pPr>
              <w:pStyle w:val="Tabletextheading"/>
            </w:pPr>
            <w:r>
              <w:t>Use case</w:t>
            </w:r>
          </w:p>
          <w:p w14:paraId="5E9D1BBA" w14:textId="090646EA" w:rsidR="00174F87" w:rsidRDefault="001B7650" w:rsidP="00174F87">
            <w:pPr>
              <w:pStyle w:val="Tabletext"/>
            </w:pPr>
            <w:r>
              <w:t>Returns the conduction velocity map of the chamber</w:t>
            </w:r>
          </w:p>
          <w:p w14:paraId="72B1F2C4" w14:textId="64DFDB3D" w:rsidR="00174F87" w:rsidRDefault="00174F87" w:rsidP="003F6C45">
            <w:pPr>
              <w:pStyle w:val="Tabletextheading"/>
            </w:pPr>
            <w:r>
              <w:t>Description</w:t>
            </w:r>
          </w:p>
          <w:p w14:paraId="7AEAAD5D" w14:textId="4F6F86EB" w:rsidR="003F6C45" w:rsidRPr="003F6C45" w:rsidRDefault="003F6C45" w:rsidP="003F6C45">
            <w:pPr>
              <w:pStyle w:val="Tabletext"/>
            </w:pPr>
            <w:r w:rsidRPr="00CE37C1">
              <w:rPr>
                <w:rStyle w:val="SubtleEmphasis"/>
              </w:rPr>
              <w:t>getConductionVelocity.m</w:t>
            </w:r>
            <w:r>
              <w:rPr>
                <w:color w:val="000000"/>
              </w:rPr>
              <w:t xml:space="preserve"> </w:t>
            </w:r>
            <w:r>
              <w:t>Calculate</w:t>
            </w:r>
            <w:r>
              <w:rPr>
                <w:color w:val="000000"/>
              </w:rPr>
              <w:t xml:space="preserve"> </w:t>
            </w:r>
            <w:r>
              <w:t>conduction</w:t>
            </w:r>
            <w:r>
              <w:rPr>
                <w:color w:val="000000"/>
              </w:rPr>
              <w:t xml:space="preserve"> </w:t>
            </w:r>
            <w:r>
              <w:t>velocities</w:t>
            </w:r>
            <w:r>
              <w:rPr>
                <w:color w:val="000000"/>
              </w:rPr>
              <w:t xml:space="preserve"> </w:t>
            </w:r>
            <w:r>
              <w:t>by</w:t>
            </w:r>
            <w:r>
              <w:rPr>
                <w:color w:val="000000"/>
              </w:rPr>
              <w:t xml:space="preserve"> </w:t>
            </w:r>
            <w:r>
              <w:t xml:space="preserve">calculating </w:t>
            </w:r>
            <w:r>
              <w:rPr>
                <w:color w:val="000000"/>
              </w:rPr>
              <w:t xml:space="preserve">gradients </w:t>
            </w:r>
            <w:r>
              <w:t>of</w:t>
            </w:r>
            <w:r>
              <w:rPr>
                <w:color w:val="000000"/>
              </w:rPr>
              <w:t xml:space="preserve"> </w:t>
            </w:r>
            <w:r>
              <w:t>interpolated</w:t>
            </w:r>
            <w:r>
              <w:rPr>
                <w:color w:val="000000"/>
              </w:rPr>
              <w:t xml:space="preserve"> </w:t>
            </w:r>
            <w:r>
              <w:t>local</w:t>
            </w:r>
            <w:r>
              <w:rPr>
                <w:color w:val="000000"/>
              </w:rPr>
              <w:t xml:space="preserve"> </w:t>
            </w:r>
            <w:r>
              <w:t>activation</w:t>
            </w:r>
            <w:r>
              <w:rPr>
                <w:color w:val="000000"/>
              </w:rPr>
              <w:t xml:space="preserve"> </w:t>
            </w:r>
            <w:r>
              <w:t>times.</w:t>
            </w:r>
            <w:r>
              <w:rPr>
                <w:color w:val="000000"/>
              </w:rPr>
              <w:t xml:space="preserve"> </w:t>
            </w:r>
            <w:r w:rsidRPr="00CE37C1">
              <w:rPr>
                <w:rStyle w:val="SubtleEmphasis"/>
              </w:rPr>
              <w:t>getConductionVelocity.m</w:t>
            </w:r>
            <w:r>
              <w:rPr>
                <w:color w:val="000000"/>
              </w:rPr>
              <w:t xml:space="preserve"> makes </w:t>
            </w:r>
            <w:r>
              <w:t>use</w:t>
            </w:r>
            <w:r>
              <w:rPr>
                <w:color w:val="000000"/>
              </w:rPr>
              <w:t xml:space="preserve"> </w:t>
            </w:r>
            <w:r>
              <w:t>of</w:t>
            </w:r>
            <w:r>
              <w:rPr>
                <w:color w:val="000000"/>
              </w:rPr>
              <w:t xml:space="preserve"> </w:t>
            </w:r>
            <w:r>
              <w:t>a</w:t>
            </w:r>
            <w:r>
              <w:rPr>
                <w:color w:val="000000"/>
              </w:rPr>
              <w:t xml:space="preserve"> </w:t>
            </w:r>
            <w:r>
              <w:t>modified</w:t>
            </w:r>
            <w:r>
              <w:rPr>
                <w:color w:val="000000"/>
              </w:rPr>
              <w:t xml:space="preserve"> </w:t>
            </w:r>
            <w:r>
              <w:t>version</w:t>
            </w:r>
            <w:r>
              <w:rPr>
                <w:color w:val="000000"/>
              </w:rPr>
              <w:t xml:space="preserve"> </w:t>
            </w:r>
            <w:r>
              <w:t>of</w:t>
            </w:r>
            <w:r>
              <w:rPr>
                <w:color w:val="000000"/>
              </w:rPr>
              <w:t xml:space="preserve"> </w:t>
            </w:r>
            <w:r>
              <w:t>"Scattered</w:t>
            </w:r>
            <w:r>
              <w:rPr>
                <w:color w:val="000000"/>
              </w:rPr>
              <w:t xml:space="preserve"> </w:t>
            </w:r>
            <w:r>
              <w:t>Data</w:t>
            </w:r>
            <w:r>
              <w:rPr>
                <w:color w:val="000000"/>
              </w:rPr>
              <w:t xml:space="preserve"> </w:t>
            </w:r>
            <w:r>
              <w:t>Interpolation</w:t>
            </w:r>
            <w:r>
              <w:rPr>
                <w:color w:val="000000"/>
              </w:rPr>
              <w:t xml:space="preserve"> </w:t>
            </w:r>
            <w:r>
              <w:t>and</w:t>
            </w:r>
            <w:r>
              <w:rPr>
                <w:color w:val="000000"/>
              </w:rPr>
              <w:t xml:space="preserve"> Approximation </w:t>
            </w:r>
            <w:r>
              <w:t>using</w:t>
            </w:r>
            <w:r>
              <w:rPr>
                <w:color w:val="000000"/>
              </w:rPr>
              <w:t xml:space="preserve"> </w:t>
            </w:r>
            <w:r>
              <w:t>Radial</w:t>
            </w:r>
            <w:r>
              <w:rPr>
                <w:color w:val="000000"/>
              </w:rPr>
              <w:t xml:space="preserve"> </w:t>
            </w:r>
            <w:r>
              <w:t>Base</w:t>
            </w:r>
            <w:r>
              <w:rPr>
                <w:color w:val="000000"/>
              </w:rPr>
              <w:t xml:space="preserve"> </w:t>
            </w:r>
            <w:r>
              <w:t>Functions"</w:t>
            </w:r>
            <w:r>
              <w:rPr>
                <w:color w:val="000000"/>
              </w:rPr>
              <w:t xml:space="preserve"> </w:t>
            </w:r>
            <w:r>
              <w:t>available</w:t>
            </w:r>
            <w:r>
              <w:rPr>
                <w:color w:val="000000"/>
              </w:rPr>
              <w:t xml:space="preserve"> </w:t>
            </w:r>
            <w:r>
              <w:t>from</w:t>
            </w:r>
            <w:r>
              <w:rPr>
                <w:color w:val="000000"/>
              </w:rPr>
              <w:t xml:space="preserve"> </w:t>
            </w:r>
            <w:r>
              <w:t>the</w:t>
            </w:r>
            <w:r>
              <w:rPr>
                <w:color w:val="000000"/>
              </w:rPr>
              <w:t xml:space="preserve"> </w:t>
            </w:r>
            <w:proofErr w:type="spellStart"/>
            <w:r>
              <w:t>Matlab</w:t>
            </w:r>
            <w:proofErr w:type="spellEnd"/>
            <w:r>
              <w:t xml:space="preserve"> </w:t>
            </w:r>
            <w:proofErr w:type="spellStart"/>
            <w:r>
              <w:rPr>
                <w:color w:val="000000"/>
              </w:rPr>
              <w:t>FileExchange</w:t>
            </w:r>
            <w:proofErr w:type="spellEnd"/>
            <w:r>
              <w:rPr>
                <w:color w:val="000000"/>
              </w:rPr>
              <w:t xml:space="preserve">: Alex </w:t>
            </w:r>
            <w:proofErr w:type="spellStart"/>
            <w:r>
              <w:rPr>
                <w:color w:val="000000"/>
              </w:rPr>
              <w:t>Chirokov</w:t>
            </w:r>
            <w:proofErr w:type="spellEnd"/>
            <w:r>
              <w:rPr>
                <w:color w:val="000000"/>
              </w:rPr>
              <w:t xml:space="preserve"> (2020). Scattered Data </w:t>
            </w:r>
            <w:r>
              <w:t>Interpolation</w:t>
            </w:r>
            <w:r>
              <w:rPr>
                <w:color w:val="000000"/>
              </w:rPr>
              <w:t xml:space="preserve"> </w:t>
            </w:r>
            <w:r>
              <w:t>and</w:t>
            </w:r>
            <w:r>
              <w:rPr>
                <w:color w:val="000000"/>
              </w:rPr>
              <w:t xml:space="preserve"> Approximation </w:t>
            </w:r>
            <w:r>
              <w:t>using</w:t>
            </w:r>
            <w:r>
              <w:rPr>
                <w:color w:val="000000"/>
              </w:rPr>
              <w:t xml:space="preserve"> </w:t>
            </w:r>
            <w:r>
              <w:t>Radial</w:t>
            </w:r>
            <w:r>
              <w:rPr>
                <w:color w:val="000000"/>
              </w:rPr>
              <w:t xml:space="preserve"> </w:t>
            </w:r>
            <w:r>
              <w:t>Base</w:t>
            </w:r>
            <w:r>
              <w:rPr>
                <w:color w:val="000000"/>
              </w:rPr>
              <w:t xml:space="preserve"> </w:t>
            </w:r>
            <w:r>
              <w:t>Functions</w:t>
            </w:r>
            <w:r>
              <w:rPr>
                <w:color w:val="000000"/>
              </w:rPr>
              <w:t xml:space="preserve"> (</w:t>
            </w:r>
            <w:hyperlink r:id="rId15" w:history="1">
              <w:r w:rsidRPr="00BE4505">
                <w:rPr>
                  <w:rStyle w:val="Hyperlink"/>
                </w:rPr>
                <w:t>https://www.mathworks.com/matlabcentral/fileexchange/10056-scattered-data-interpolation-and-approximation-using-radial-base-functions</w:t>
              </w:r>
            </w:hyperlink>
            <w:r>
              <w:rPr>
                <w:color w:val="000000"/>
              </w:rPr>
              <w:t xml:space="preserve">), MATLAB </w:t>
            </w:r>
            <w:r>
              <w:t>Central</w:t>
            </w:r>
            <w:r>
              <w:rPr>
                <w:color w:val="000000"/>
              </w:rPr>
              <w:t xml:space="preserve"> </w:t>
            </w:r>
            <w:r>
              <w:t>File</w:t>
            </w:r>
            <w:r>
              <w:rPr>
                <w:color w:val="000000"/>
              </w:rPr>
              <w:t xml:space="preserve"> </w:t>
            </w:r>
            <w:r>
              <w:t>Exchange.</w:t>
            </w:r>
            <w:r>
              <w:rPr>
                <w:color w:val="000000"/>
              </w:rPr>
              <w:t xml:space="preserve"> </w:t>
            </w:r>
            <w:r>
              <w:t>Retrieved</w:t>
            </w:r>
            <w:r>
              <w:rPr>
                <w:color w:val="000000"/>
              </w:rPr>
              <w:t xml:space="preserve"> </w:t>
            </w:r>
            <w:r>
              <w:t>November</w:t>
            </w:r>
            <w:r>
              <w:rPr>
                <w:color w:val="000000"/>
              </w:rPr>
              <w:t xml:space="preserve"> </w:t>
            </w:r>
            <w:r>
              <w:t>24</w:t>
            </w:r>
            <w:r>
              <w:rPr>
                <w:color w:val="000000"/>
              </w:rPr>
              <w:t>, 2020.</w:t>
            </w:r>
          </w:p>
          <w:p w14:paraId="2FBB44B0" w14:textId="77777777" w:rsidR="00174F87" w:rsidRDefault="00174F87" w:rsidP="00174F87">
            <w:pPr>
              <w:pStyle w:val="Tabletextheading"/>
            </w:pPr>
            <w:r w:rsidRPr="00B035AB">
              <w:t>Example</w:t>
            </w:r>
            <w:r w:rsidRPr="00B341D1">
              <w:t xml:space="preserve"> function call</w:t>
            </w:r>
            <w:r>
              <w:t>(s)</w:t>
            </w:r>
          </w:p>
          <w:p w14:paraId="75E053EE" w14:textId="303FE026" w:rsidR="00174F87" w:rsidRPr="001B7650" w:rsidRDefault="001B7650" w:rsidP="001B7650">
            <w:pPr>
              <w:pStyle w:val="Code"/>
              <w:rPr>
                <w:sz w:val="24"/>
              </w:rPr>
            </w:pPr>
            <w:proofErr w:type="spellStart"/>
            <w:r>
              <w:t>cvdata</w:t>
            </w:r>
            <w:proofErr w:type="spellEnd"/>
            <w:r>
              <w:t xml:space="preserve"> = </w:t>
            </w:r>
            <w:proofErr w:type="spellStart"/>
            <w:proofErr w:type="gramStart"/>
            <w:r>
              <w:t>getConductionVelocity</w:t>
            </w:r>
            <w:proofErr w:type="spellEnd"/>
            <w:r>
              <w:t xml:space="preserve">( </w:t>
            </w:r>
            <w:proofErr w:type="spellStart"/>
            <w:r>
              <w:t>userdata</w:t>
            </w:r>
            <w:proofErr w:type="spellEnd"/>
            <w:proofErr w:type="gramEnd"/>
            <w:r>
              <w:t xml:space="preserve"> )</w:t>
            </w:r>
            <w:r w:rsidR="00CE37C1">
              <w:t>;</w:t>
            </w:r>
          </w:p>
        </w:tc>
      </w:tr>
      <w:tr w:rsidR="00174F87" w:rsidRPr="004F7B48" w14:paraId="43DD437B" w14:textId="77777777" w:rsidTr="00861399">
        <w:tc>
          <w:tcPr>
            <w:tcW w:w="1353" w:type="pct"/>
          </w:tcPr>
          <w:p w14:paraId="268958EB" w14:textId="0800AE1F" w:rsidR="00174F87" w:rsidRPr="006A0BFF" w:rsidRDefault="00174F87" w:rsidP="00174F87">
            <w:pPr>
              <w:rPr>
                <w:rStyle w:val="SubtleEmphasis"/>
              </w:rPr>
            </w:pPr>
            <w:r w:rsidRPr="006A0BFF">
              <w:rPr>
                <w:rStyle w:val="SubtleEmphasis"/>
              </w:rPr>
              <w:t>getEarliesActivationSite(</w:t>
            </w:r>
            <w:r>
              <w:rPr>
                <w:rStyle w:val="SubtleEmphasis"/>
              </w:rPr>
              <w:t>...</w:t>
            </w:r>
            <w:r w:rsidRPr="006A0BFF">
              <w:rPr>
                <w:rStyle w:val="SubtleEmphasis"/>
              </w:rPr>
              <w:t>)</w:t>
            </w:r>
          </w:p>
        </w:tc>
        <w:tc>
          <w:tcPr>
            <w:tcW w:w="1703" w:type="pct"/>
          </w:tcPr>
          <w:p w14:paraId="417DCF42"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5A161D" w14:paraId="7E40CE93" w14:textId="77777777" w:rsidTr="00161929">
              <w:tc>
                <w:tcPr>
                  <w:tcW w:w="1487" w:type="pct"/>
                </w:tcPr>
                <w:p w14:paraId="1284E98D" w14:textId="47D9CD5A" w:rsidR="005A161D" w:rsidRPr="006C15AE" w:rsidRDefault="005A161D" w:rsidP="005A161D">
                  <w:pPr>
                    <w:rPr>
                      <w:rStyle w:val="SubtleEmphasis"/>
                    </w:rPr>
                  </w:pPr>
                  <w:r>
                    <w:rPr>
                      <w:rStyle w:val="SubtleEmphasis"/>
                    </w:rPr>
                    <w:t>1</w:t>
                  </w:r>
                </w:p>
              </w:tc>
              <w:tc>
                <w:tcPr>
                  <w:tcW w:w="3513" w:type="pct"/>
                </w:tcPr>
                <w:p w14:paraId="10008025" w14:textId="09A7C606" w:rsidR="005A161D" w:rsidRPr="006C15AE" w:rsidRDefault="005A161D" w:rsidP="005A161D">
                  <w:pPr>
                    <w:pStyle w:val="Tabletext"/>
                    <w:rPr>
                      <w:rStyle w:val="SubtleEmphasis"/>
                    </w:rPr>
                  </w:pPr>
                  <w:r>
                    <w:rPr>
                      <w:rStyle w:val="SubtleEmphasis"/>
                    </w:rPr>
                    <w:t>userdata</w:t>
                  </w:r>
                </w:p>
              </w:tc>
            </w:tr>
          </w:tbl>
          <w:p w14:paraId="1741D404"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5A161D" w14:paraId="7276F790" w14:textId="77777777" w:rsidTr="00161929">
              <w:tc>
                <w:tcPr>
                  <w:tcW w:w="1771" w:type="pct"/>
                </w:tcPr>
                <w:p w14:paraId="536F659C" w14:textId="7DD501C2" w:rsidR="005A161D" w:rsidRPr="006C15AE" w:rsidRDefault="005A161D" w:rsidP="005A161D">
                  <w:pPr>
                    <w:rPr>
                      <w:rStyle w:val="SubtleEmphasis"/>
                    </w:rPr>
                  </w:pPr>
                  <w:r>
                    <w:rPr>
                      <w:rStyle w:val="SubtleEmphasis"/>
                    </w:rPr>
                    <w:t>‘method’</w:t>
                  </w:r>
                </w:p>
              </w:tc>
              <w:tc>
                <w:tcPr>
                  <w:tcW w:w="3229" w:type="pct"/>
                </w:tcPr>
                <w:p w14:paraId="7399E870" w14:textId="6FB16350" w:rsidR="005A161D" w:rsidRPr="006C15AE" w:rsidRDefault="005A161D" w:rsidP="005A161D">
                  <w:pPr>
                    <w:pStyle w:val="Code"/>
                    <w:rPr>
                      <w:rStyle w:val="SubtleEmphasis"/>
                    </w:rPr>
                  </w:pPr>
                  <w:r>
                    <w:t>{'</w:t>
                  </w:r>
                  <w:proofErr w:type="spellStart"/>
                  <w:r>
                    <w:t>ptbased</w:t>
                  </w:r>
                  <w:proofErr w:type="spellEnd"/>
                  <w:r>
                    <w:t>'} | '</w:t>
                  </w:r>
                  <w:proofErr w:type="spellStart"/>
                  <w:r>
                    <w:t>ptbasedprct</w:t>
                  </w:r>
                  <w:proofErr w:type="spellEnd"/>
                  <w:r>
                    <w:t>' | '</w:t>
                  </w:r>
                  <w:proofErr w:type="spellStart"/>
                  <w:r>
                    <w:t>clinmap</w:t>
                  </w:r>
                  <w:proofErr w:type="spellEnd"/>
                  <w:r>
                    <w:t>' | '</w:t>
                  </w:r>
                  <w:proofErr w:type="spellStart"/>
                  <w:r>
                    <w:t>clinmapprct</w:t>
                  </w:r>
                  <w:proofErr w:type="spellEnd"/>
                  <w:r>
                    <w:t xml:space="preserve">' | </w:t>
                  </w:r>
                  <w:r>
                    <w:lastRenderedPageBreak/>
                    <w:t>'</w:t>
                  </w:r>
                  <w:proofErr w:type="spellStart"/>
                  <w:r>
                    <w:t>openepmap</w:t>
                  </w:r>
                  <w:proofErr w:type="spellEnd"/>
                  <w:r>
                    <w:t>' | '</w:t>
                  </w:r>
                  <w:proofErr w:type="spellStart"/>
                  <w:r>
                    <w:t>openmapprct</w:t>
                  </w:r>
                  <w:proofErr w:type="spellEnd"/>
                  <w:r>
                    <w:t>'</w:t>
                  </w:r>
                </w:p>
              </w:tc>
            </w:tr>
            <w:tr w:rsidR="005A161D" w14:paraId="34C7C60A" w14:textId="77777777" w:rsidTr="00161929">
              <w:tc>
                <w:tcPr>
                  <w:tcW w:w="1771" w:type="pct"/>
                </w:tcPr>
                <w:p w14:paraId="5717653C" w14:textId="54124B2D" w:rsidR="005A161D" w:rsidRDefault="005A161D" w:rsidP="005A161D">
                  <w:pPr>
                    <w:rPr>
                      <w:rStyle w:val="SubtleEmphasis"/>
                    </w:rPr>
                  </w:pPr>
                  <w:r>
                    <w:rPr>
                      <w:rStyle w:val="SubtleEmphasis"/>
                    </w:rPr>
                    <w:lastRenderedPageBreak/>
                    <w:t>‘prct’</w:t>
                  </w:r>
                </w:p>
              </w:tc>
              <w:tc>
                <w:tcPr>
                  <w:tcW w:w="3229" w:type="pct"/>
                </w:tcPr>
                <w:p w14:paraId="37939BAB" w14:textId="5CDAE2A6" w:rsidR="005A161D" w:rsidRDefault="005A161D" w:rsidP="005A161D">
                  <w:pPr>
                    <w:pStyle w:val="Code"/>
                  </w:pPr>
                  <w:r>
                    <w:t>{2.5} | double</w:t>
                  </w:r>
                </w:p>
              </w:tc>
            </w:tr>
          </w:tbl>
          <w:p w14:paraId="59043849"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5A161D" w14:paraId="1B0B3437" w14:textId="77777777" w:rsidTr="00161929">
              <w:tc>
                <w:tcPr>
                  <w:tcW w:w="1771" w:type="pct"/>
                </w:tcPr>
                <w:p w14:paraId="11F034CB" w14:textId="03E2CC64" w:rsidR="005A161D" w:rsidRPr="006C15AE" w:rsidRDefault="005A161D" w:rsidP="005A161D">
                  <w:pPr>
                    <w:rPr>
                      <w:rStyle w:val="SubtleEmphasis"/>
                    </w:rPr>
                  </w:pPr>
                  <w:r>
                    <w:rPr>
                      <w:rStyle w:val="SubtleEmphasis"/>
                    </w:rPr>
                    <w:t>X</w:t>
                  </w:r>
                </w:p>
              </w:tc>
              <w:tc>
                <w:tcPr>
                  <w:tcW w:w="3229" w:type="pct"/>
                </w:tcPr>
                <w:p w14:paraId="47261548" w14:textId="61E9E09B" w:rsidR="005A161D" w:rsidRPr="006C15AE" w:rsidRDefault="005A161D" w:rsidP="005A161D">
                  <w:pPr>
                    <w:pStyle w:val="Tabletext"/>
                    <w:rPr>
                      <w:rStyle w:val="SubtleEmphasis"/>
                    </w:rPr>
                  </w:pPr>
                  <w:r w:rsidRPr="007307D3">
                    <w:rPr>
                      <w:rStyle w:val="SubtleEmphasis"/>
                      <w:rFonts w:asciiTheme="minorHAnsi" w:hAnsiTheme="minorHAnsi"/>
                      <w:iCs w:val="0"/>
                      <w:noProof w:val="0"/>
                      <w:color w:val="auto"/>
                    </w:rPr>
                    <w:t xml:space="preserve">Cartesian co-ordinates of the </w:t>
                  </w:r>
                  <w:r>
                    <w:rPr>
                      <w:rStyle w:val="SubtleEmphasis"/>
                      <w:rFonts w:asciiTheme="minorHAnsi" w:hAnsiTheme="minorHAnsi"/>
                      <w:iCs w:val="0"/>
                      <w:noProof w:val="0"/>
                      <w:color w:val="auto"/>
                    </w:rPr>
                    <w:t>e</w:t>
                  </w:r>
                  <w:r>
                    <w:rPr>
                      <w:rStyle w:val="SubtleEmphasis"/>
                      <w:rFonts w:asciiTheme="minorHAnsi" w:hAnsiTheme="minorHAnsi"/>
                      <w:color w:val="auto"/>
                    </w:rPr>
                    <w:t>arliest</w:t>
                  </w:r>
                  <w:r w:rsidRPr="007307D3">
                    <w:rPr>
                      <w:rStyle w:val="SubtleEmphasis"/>
                      <w:rFonts w:asciiTheme="minorHAnsi" w:hAnsiTheme="minorHAnsi"/>
                      <w:iCs w:val="0"/>
                      <w:noProof w:val="0"/>
                      <w:color w:val="auto"/>
                    </w:rPr>
                    <w:t xml:space="preserve"> activation site. For map-based methods (</w:t>
                  </w:r>
                  <w:proofErr w:type="gramStart"/>
                  <w:r w:rsidRPr="007307D3">
                    <w:rPr>
                      <w:rStyle w:val="SubtleEmphasis"/>
                      <w:rFonts w:asciiTheme="minorHAnsi" w:hAnsiTheme="minorHAnsi"/>
                      <w:iCs w:val="0"/>
                      <w:noProof w:val="0"/>
                      <w:color w:val="auto"/>
                    </w:rPr>
                    <w:t>i.e.</w:t>
                  </w:r>
                  <w:proofErr w:type="gramEnd"/>
                  <w:r w:rsidRPr="007307D3">
                    <w:rPr>
                      <w:rStyle w:val="SubtleEmphasis"/>
                      <w:rFonts w:asciiTheme="minorHAnsi" w:hAnsiTheme="minorHAnsi"/>
                      <w:iCs w:val="0"/>
                      <w:noProof w:val="0"/>
                      <w:color w:val="auto"/>
                    </w:rPr>
                    <w:t xml:space="preserve"> ‘</w:t>
                  </w:r>
                  <w:proofErr w:type="spellStart"/>
                  <w:r w:rsidRPr="007307D3">
                    <w:rPr>
                      <w:rStyle w:val="SubtleEmphasis"/>
                    </w:rPr>
                    <w:t>clinmap</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clinmapprct</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openepmap</w:t>
                  </w:r>
                  <w:proofErr w:type="spellEnd"/>
                  <w:r w:rsidRPr="007307D3">
                    <w:rPr>
                      <w:rStyle w:val="SubtleEmphasis"/>
                    </w:rPr>
                    <w:t>’</w:t>
                  </w:r>
                  <w:r w:rsidRPr="007307D3">
                    <w:rPr>
                      <w:rStyle w:val="SubtleEmphasis"/>
                      <w:rFonts w:asciiTheme="minorHAnsi" w:hAnsiTheme="minorHAnsi"/>
                      <w:iCs w:val="0"/>
                      <w:noProof w:val="0"/>
                      <w:color w:val="auto"/>
                    </w:rPr>
                    <w:t xml:space="preserve"> and ‘</w:t>
                  </w:r>
                  <w:proofErr w:type="spellStart"/>
                  <w:r w:rsidRPr="007307D3">
                    <w:rPr>
                      <w:rStyle w:val="SubtleEmphasis"/>
                    </w:rPr>
                    <w:t>openepmapprct</w:t>
                  </w:r>
                  <w:proofErr w:type="spellEnd"/>
                  <w:r w:rsidRPr="007307D3">
                    <w:rPr>
                      <w:rStyle w:val="SubtleEmphasis"/>
                    </w:rPr>
                    <w:t>’</w:t>
                  </w:r>
                  <w:r w:rsidRPr="007307D3">
                    <w:rPr>
                      <w:rStyle w:val="SubtleEmphasis"/>
                      <w:rFonts w:asciiTheme="minorHAnsi" w:hAnsiTheme="minorHAnsi"/>
                      <w:iCs w:val="0"/>
                      <w:noProof w:val="0"/>
                      <w:color w:val="auto"/>
                    </w:rPr>
                    <w:t xml:space="preserve">), </w:t>
                  </w:r>
                  <w:r w:rsidRPr="007307D3">
                    <w:rPr>
                      <w:rStyle w:val="SubtleEmphasis"/>
                    </w:rPr>
                    <w:t>X</w:t>
                  </w:r>
                  <w:r w:rsidRPr="007307D3">
                    <w:rPr>
                      <w:rStyle w:val="SubtleEmphasis"/>
                      <w:rFonts w:asciiTheme="minorHAnsi" w:hAnsiTheme="minorHAnsi"/>
                      <w:iCs w:val="0"/>
                      <w:noProof w:val="0"/>
                      <w:color w:val="auto"/>
                    </w:rPr>
                    <w:t xml:space="preserve"> is identical to </w:t>
                  </w:r>
                  <w:r w:rsidRPr="007307D3">
                    <w:rPr>
                      <w:rStyle w:val="SubtleEmphasis"/>
                    </w:rPr>
                    <w:t>surfX</w:t>
                  </w:r>
                  <w:r w:rsidRPr="007307D3">
                    <w:rPr>
                      <w:rStyle w:val="SubtleEmphasis"/>
                      <w:rFonts w:asciiTheme="minorHAnsi" w:hAnsiTheme="minorHAnsi"/>
                      <w:iCs w:val="0"/>
                      <w:noProof w:val="0"/>
                      <w:color w:val="auto"/>
                    </w:rPr>
                    <w:t>.</w:t>
                  </w:r>
                </w:p>
              </w:tc>
            </w:tr>
            <w:tr w:rsidR="005A161D" w14:paraId="7D163F8F" w14:textId="77777777" w:rsidTr="00161929">
              <w:tc>
                <w:tcPr>
                  <w:tcW w:w="1771" w:type="pct"/>
                </w:tcPr>
                <w:p w14:paraId="62E0FA11" w14:textId="4107F956" w:rsidR="005A161D" w:rsidRPr="006C15AE" w:rsidRDefault="005A161D" w:rsidP="005A161D">
                  <w:pPr>
                    <w:rPr>
                      <w:rStyle w:val="SubtleEmphasis"/>
                    </w:rPr>
                  </w:pPr>
                  <w:r>
                    <w:rPr>
                      <w:rStyle w:val="SubtleEmphasis"/>
                    </w:rPr>
                    <w:t>surfX</w:t>
                  </w:r>
                </w:p>
              </w:tc>
              <w:tc>
                <w:tcPr>
                  <w:tcW w:w="3229" w:type="pct"/>
                </w:tcPr>
                <w:p w14:paraId="6BE64C9E" w14:textId="1B4BE9CC" w:rsidR="005A161D" w:rsidRPr="006C15AE" w:rsidRDefault="005A161D" w:rsidP="005A161D">
                  <w:pPr>
                    <w:pStyle w:val="Tabletext"/>
                    <w:rPr>
                      <w:rStyle w:val="SubtleEmphasis"/>
                    </w:rPr>
                  </w:pPr>
                  <w:r w:rsidRPr="007307D3">
                    <w:rPr>
                      <w:rStyle w:val="SubtleEmphasis"/>
                      <w:rFonts w:asciiTheme="minorHAnsi" w:hAnsiTheme="minorHAnsi"/>
                      <w:iCs w:val="0"/>
                      <w:noProof w:val="0"/>
                      <w:color w:val="auto"/>
                    </w:rPr>
                    <w:t xml:space="preserve">The surface projection of the </w:t>
                  </w:r>
                  <w:r>
                    <w:rPr>
                      <w:rStyle w:val="SubtleEmphasis"/>
                      <w:rFonts w:asciiTheme="minorHAnsi" w:hAnsiTheme="minorHAnsi"/>
                      <w:iCs w:val="0"/>
                      <w:noProof w:val="0"/>
                      <w:color w:val="auto"/>
                    </w:rPr>
                    <w:t>e</w:t>
                  </w:r>
                  <w:r>
                    <w:rPr>
                      <w:rStyle w:val="SubtleEmphasis"/>
                      <w:rFonts w:asciiTheme="minorHAnsi" w:hAnsiTheme="minorHAnsi"/>
                      <w:color w:val="auto"/>
                    </w:rPr>
                    <w:t>arliest</w:t>
                  </w:r>
                  <w:r w:rsidRPr="007307D3">
                    <w:rPr>
                      <w:rStyle w:val="SubtleEmphasis"/>
                      <w:rFonts w:asciiTheme="minorHAnsi" w:hAnsiTheme="minorHAnsi"/>
                      <w:iCs w:val="0"/>
                      <w:noProof w:val="0"/>
                      <w:color w:val="auto"/>
                    </w:rPr>
                    <w:t xml:space="preserve"> activation site</w:t>
                  </w:r>
                </w:p>
              </w:tc>
            </w:tr>
            <w:tr w:rsidR="005A161D" w14:paraId="4E1D52AF" w14:textId="77777777" w:rsidTr="00161929">
              <w:tc>
                <w:tcPr>
                  <w:tcW w:w="1771" w:type="pct"/>
                </w:tcPr>
                <w:p w14:paraId="47624A33" w14:textId="7F6F5736" w:rsidR="005A161D" w:rsidRPr="006C15AE" w:rsidRDefault="005A161D" w:rsidP="005A161D">
                  <w:pPr>
                    <w:rPr>
                      <w:rStyle w:val="SubtleEmphasis"/>
                    </w:rPr>
                  </w:pPr>
                  <w:r>
                    <w:rPr>
                      <w:rStyle w:val="SubtleEmphasis"/>
                    </w:rPr>
                    <w:t>iPoint</w:t>
                  </w:r>
                </w:p>
              </w:tc>
              <w:tc>
                <w:tcPr>
                  <w:tcW w:w="3229" w:type="pct"/>
                </w:tcPr>
                <w:p w14:paraId="20C55A13" w14:textId="26682357" w:rsidR="005A161D" w:rsidRPr="006C15AE" w:rsidRDefault="005A161D" w:rsidP="005A161D">
                  <w:pPr>
                    <w:pStyle w:val="Tabletext"/>
                    <w:rPr>
                      <w:rStyle w:val="SubtleEmphasis"/>
                    </w:rPr>
                  </w:pPr>
                  <w:r w:rsidRPr="007307D3">
                    <w:rPr>
                      <w:rStyle w:val="SubtleEmphasis"/>
                      <w:rFonts w:asciiTheme="minorHAnsi" w:hAnsiTheme="minorHAnsi"/>
                      <w:iCs w:val="0"/>
                      <w:noProof w:val="0"/>
                      <w:color w:val="auto"/>
                    </w:rPr>
                    <w:t xml:space="preserve">The closest mapping point to the </w:t>
                  </w:r>
                  <w:r>
                    <w:rPr>
                      <w:rStyle w:val="SubtleEmphasis"/>
                      <w:rFonts w:asciiTheme="minorHAnsi" w:hAnsiTheme="minorHAnsi"/>
                      <w:iCs w:val="0"/>
                      <w:noProof w:val="0"/>
                      <w:color w:val="auto"/>
                    </w:rPr>
                    <w:t>e</w:t>
                  </w:r>
                  <w:r>
                    <w:rPr>
                      <w:rStyle w:val="SubtleEmphasis"/>
                      <w:rFonts w:asciiTheme="minorHAnsi" w:hAnsiTheme="minorHAnsi"/>
                      <w:color w:val="auto"/>
                    </w:rPr>
                    <w:t>arliest</w:t>
                  </w:r>
                  <w:r w:rsidRPr="007307D3">
                    <w:rPr>
                      <w:rStyle w:val="SubtleEmphasis"/>
                      <w:rFonts w:asciiTheme="minorHAnsi" w:hAnsiTheme="minorHAnsi"/>
                      <w:iCs w:val="0"/>
                      <w:noProof w:val="0"/>
                      <w:color w:val="auto"/>
                    </w:rPr>
                    <w:t xml:space="preserve"> activation site. For point-based methods (</w:t>
                  </w:r>
                  <w:proofErr w:type="gramStart"/>
                  <w:r w:rsidRPr="007307D3">
                    <w:rPr>
                      <w:rStyle w:val="SubtleEmphasis"/>
                      <w:rFonts w:asciiTheme="minorHAnsi" w:hAnsiTheme="minorHAnsi"/>
                      <w:iCs w:val="0"/>
                      <w:noProof w:val="0"/>
                      <w:color w:val="auto"/>
                    </w:rPr>
                    <w:t>i.e.</w:t>
                  </w:r>
                  <w:proofErr w:type="gramEnd"/>
                  <w:r w:rsidRPr="007307D3">
                    <w:rPr>
                      <w:rStyle w:val="SubtleEmphasis"/>
                      <w:rFonts w:asciiTheme="minorHAnsi" w:hAnsiTheme="minorHAnsi"/>
                      <w:iCs w:val="0"/>
                      <w:noProof w:val="0"/>
                      <w:color w:val="auto"/>
                    </w:rPr>
                    <w:t xml:space="preserve"> ‘</w:t>
                  </w:r>
                  <w:proofErr w:type="spellStart"/>
                  <w:r w:rsidRPr="007307D3">
                    <w:rPr>
                      <w:rStyle w:val="SubtleEmphasis"/>
                    </w:rPr>
                    <w:t>clinmap</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clinmapprct</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openepmap</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openepmapprct</w:t>
                  </w:r>
                  <w:proofErr w:type="spellEnd"/>
                  <w:r w:rsidRPr="007307D3">
                    <w:rPr>
                      <w:rStyle w:val="SubtleEmphasis"/>
                    </w:rPr>
                    <w:t>’</w:t>
                  </w:r>
                  <w:r w:rsidRPr="007307D3">
                    <w:rPr>
                      <w:rStyle w:val="SubtleEmphasis"/>
                      <w:rFonts w:asciiTheme="minorHAnsi" w:hAnsiTheme="minorHAnsi"/>
                      <w:iCs w:val="0"/>
                      <w:noProof w:val="0"/>
                      <w:color w:val="auto"/>
                    </w:rPr>
                    <w:t xml:space="preserve">), </w:t>
                  </w:r>
                  <w:r w:rsidRPr="007307D3">
                    <w:rPr>
                      <w:rStyle w:val="SubtleEmphasis"/>
                    </w:rPr>
                    <w:t>iPoint</w:t>
                  </w:r>
                  <w:r w:rsidRPr="007307D3">
                    <w:rPr>
                      <w:rStyle w:val="SubtleEmphasis"/>
                      <w:rFonts w:asciiTheme="minorHAnsi" w:hAnsiTheme="minorHAnsi"/>
                      <w:iCs w:val="0"/>
                      <w:noProof w:val="0"/>
                      <w:color w:val="auto"/>
                    </w:rPr>
                    <w:t xml:space="preserve"> indexes into </w:t>
                  </w:r>
                  <w:r w:rsidRPr="007307D3">
                    <w:rPr>
                      <w:rStyle w:val="SubtleEmphasis"/>
                    </w:rPr>
                    <w:t>userdata.surface.triRep.X</w:t>
                  </w:r>
                  <w:r w:rsidRPr="007307D3">
                    <w:rPr>
                      <w:rStyle w:val="SubtleEmphasis"/>
                      <w:rFonts w:asciiTheme="minorHAnsi" w:hAnsiTheme="minorHAnsi"/>
                      <w:iCs w:val="0"/>
                      <w:noProof w:val="0"/>
                      <w:color w:val="auto"/>
                    </w:rPr>
                    <w:t>. For percentile methods (</w:t>
                  </w:r>
                  <w:proofErr w:type="gramStart"/>
                  <w:r w:rsidRPr="007307D3">
                    <w:rPr>
                      <w:rStyle w:val="SubtleEmphasis"/>
                      <w:rFonts w:asciiTheme="minorHAnsi" w:hAnsiTheme="minorHAnsi"/>
                      <w:iCs w:val="0"/>
                      <w:noProof w:val="0"/>
                      <w:color w:val="auto"/>
                    </w:rPr>
                    <w:t>i.e.</w:t>
                  </w:r>
                  <w:proofErr w:type="gramEnd"/>
                  <w:r w:rsidRPr="007307D3">
                    <w:rPr>
                      <w:rStyle w:val="SubtleEmphasis"/>
                      <w:rFonts w:asciiTheme="minorHAnsi" w:hAnsiTheme="minorHAnsi"/>
                      <w:iCs w:val="0"/>
                      <w:noProof w:val="0"/>
                      <w:color w:val="auto"/>
                    </w:rPr>
                    <w:t xml:space="preserve"> ‘</w:t>
                  </w:r>
                  <w:proofErr w:type="spellStart"/>
                  <w:r w:rsidRPr="007307D3">
                    <w:rPr>
                      <w:rStyle w:val="SubtleEmphasis"/>
                    </w:rPr>
                    <w:t>ptbasedprct</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clinmapprct</w:t>
                  </w:r>
                  <w:proofErr w:type="spellEnd"/>
                  <w:r w:rsidRPr="007307D3">
                    <w:rPr>
                      <w:rStyle w:val="SubtleEmphasis"/>
                    </w:rPr>
                    <w:t>’</w:t>
                  </w:r>
                  <w:r w:rsidRPr="007307D3">
                    <w:rPr>
                      <w:rStyle w:val="SubtleEmphasis"/>
                      <w:rFonts w:asciiTheme="minorHAnsi" w:hAnsiTheme="minorHAnsi"/>
                      <w:iCs w:val="0"/>
                      <w:noProof w:val="0"/>
                      <w:color w:val="auto"/>
                    </w:rPr>
                    <w:t xml:space="preserve"> or ‘</w:t>
                  </w:r>
                  <w:proofErr w:type="spellStart"/>
                  <w:r w:rsidRPr="007307D3">
                    <w:rPr>
                      <w:rStyle w:val="SubtleEmphasis"/>
                    </w:rPr>
                    <w:t>openepmapprct</w:t>
                  </w:r>
                  <w:proofErr w:type="spellEnd"/>
                  <w:r w:rsidRPr="007307D3">
                    <w:rPr>
                      <w:rStyle w:val="SubtleEmphasis"/>
                    </w:rPr>
                    <w:t>’</w:t>
                  </w:r>
                  <w:r w:rsidRPr="007307D3">
                    <w:rPr>
                      <w:rStyle w:val="SubtleEmphasis"/>
                      <w:rFonts w:asciiTheme="minorHAnsi" w:hAnsiTheme="minorHAnsi"/>
                      <w:iCs w:val="0"/>
                      <w:noProof w:val="0"/>
                      <w:color w:val="auto"/>
                    </w:rPr>
                    <w:t xml:space="preserve">) </w:t>
                  </w:r>
                  <w:r w:rsidRPr="007307D3">
                    <w:rPr>
                      <w:rStyle w:val="SubtleEmphasis"/>
                    </w:rPr>
                    <w:t>iPoint</w:t>
                  </w:r>
                  <w:r w:rsidRPr="007307D3">
                    <w:rPr>
                      <w:rStyle w:val="SubtleEmphasis"/>
                      <w:rFonts w:asciiTheme="minorHAnsi" w:hAnsiTheme="minorHAnsi"/>
                      <w:iCs w:val="0"/>
                      <w:noProof w:val="0"/>
                      <w:color w:val="auto"/>
                    </w:rPr>
                    <w:t xml:space="preserve"> returns all the points that were identified within the relevant percentile.</w:t>
                  </w:r>
                </w:p>
              </w:tc>
            </w:tr>
            <w:tr w:rsidR="005A161D" w14:paraId="536FA452" w14:textId="77777777" w:rsidTr="00161929">
              <w:tc>
                <w:tcPr>
                  <w:tcW w:w="1771" w:type="pct"/>
                </w:tcPr>
                <w:p w14:paraId="29372272" w14:textId="3BA70DE7" w:rsidR="005A161D" w:rsidRPr="006C15AE" w:rsidRDefault="005A161D" w:rsidP="005A161D">
                  <w:pPr>
                    <w:rPr>
                      <w:rStyle w:val="SubtleEmphasis"/>
                    </w:rPr>
                  </w:pPr>
                  <w:r>
                    <w:rPr>
                      <w:rStyle w:val="SubtleEmphasis"/>
                    </w:rPr>
                    <w:t>t</w:t>
                  </w:r>
                </w:p>
              </w:tc>
              <w:tc>
                <w:tcPr>
                  <w:tcW w:w="3229" w:type="pct"/>
                </w:tcPr>
                <w:p w14:paraId="43313FF6" w14:textId="5D680E49" w:rsidR="005A161D" w:rsidRPr="006C15AE" w:rsidRDefault="005A161D" w:rsidP="005A161D">
                  <w:pPr>
                    <w:pStyle w:val="Tabletext"/>
                    <w:rPr>
                      <w:rStyle w:val="SubtleEmphasis"/>
                    </w:rPr>
                  </w:pPr>
                  <w:r w:rsidRPr="007307D3">
                    <w:rPr>
                      <w:rStyle w:val="SubtleEmphasis"/>
                      <w:rFonts w:asciiTheme="minorHAnsi" w:hAnsiTheme="minorHAnsi"/>
                      <w:iCs w:val="0"/>
                      <w:noProof w:val="0"/>
                      <w:color w:val="auto"/>
                    </w:rPr>
                    <w:t xml:space="preserve">The calculated </w:t>
                  </w:r>
                  <w:r>
                    <w:rPr>
                      <w:rStyle w:val="SubtleEmphasis"/>
                      <w:rFonts w:asciiTheme="minorHAnsi" w:hAnsiTheme="minorHAnsi"/>
                      <w:iCs w:val="0"/>
                      <w:noProof w:val="0"/>
                      <w:color w:val="auto"/>
                    </w:rPr>
                    <w:t>e</w:t>
                  </w:r>
                  <w:r>
                    <w:rPr>
                      <w:rStyle w:val="SubtleEmphasis"/>
                      <w:rFonts w:asciiTheme="minorHAnsi" w:hAnsiTheme="minorHAnsi"/>
                      <w:color w:val="auto"/>
                    </w:rPr>
                    <w:t>arliest</w:t>
                  </w:r>
                  <w:r w:rsidRPr="007307D3">
                    <w:rPr>
                      <w:rStyle w:val="SubtleEmphasis"/>
                      <w:rFonts w:asciiTheme="minorHAnsi" w:hAnsiTheme="minorHAnsi"/>
                      <w:iCs w:val="0"/>
                      <w:noProof w:val="0"/>
                      <w:color w:val="auto"/>
                    </w:rPr>
                    <w:t xml:space="preserve"> activation time, relative to the reference annotation.</w:t>
                  </w:r>
                </w:p>
              </w:tc>
            </w:tr>
          </w:tbl>
          <w:p w14:paraId="7E24FC18" w14:textId="77777777" w:rsidR="00174F87" w:rsidRPr="009326DB" w:rsidRDefault="00174F87" w:rsidP="00174F87">
            <w:pPr>
              <w:rPr>
                <w:rFonts w:ascii="Consolas" w:hAnsi="Consolas" w:cs="Consolas"/>
                <w:sz w:val="18"/>
                <w:szCs w:val="18"/>
              </w:rPr>
            </w:pPr>
          </w:p>
        </w:tc>
        <w:tc>
          <w:tcPr>
            <w:tcW w:w="1944" w:type="pct"/>
          </w:tcPr>
          <w:p w14:paraId="17DED948" w14:textId="77777777" w:rsidR="00174F87" w:rsidRPr="00893BD2" w:rsidRDefault="00174F87" w:rsidP="00174F87">
            <w:pPr>
              <w:pStyle w:val="Tabletextheading"/>
            </w:pPr>
            <w:r>
              <w:lastRenderedPageBreak/>
              <w:t>Use case</w:t>
            </w:r>
          </w:p>
          <w:p w14:paraId="1F18EF6D" w14:textId="43A3CE63" w:rsidR="005A161D" w:rsidRDefault="005A161D" w:rsidP="005A161D">
            <w:pPr>
              <w:pStyle w:val="Tabletext"/>
            </w:pPr>
            <w:r>
              <w:t xml:space="preserve">Returns the </w:t>
            </w:r>
            <w:r w:rsidR="00200B2B">
              <w:t>earliest</w:t>
            </w:r>
            <w:r>
              <w:t xml:space="preserve"> activation site.</w:t>
            </w:r>
          </w:p>
          <w:p w14:paraId="1AB39F2A" w14:textId="77777777" w:rsidR="00174F87" w:rsidRDefault="00174F87" w:rsidP="00174F87">
            <w:pPr>
              <w:pStyle w:val="Tabletextheading"/>
            </w:pPr>
            <w:r>
              <w:t>Description</w:t>
            </w:r>
          </w:p>
          <w:p w14:paraId="29A9F99C" w14:textId="43F70B07" w:rsidR="003B0E59" w:rsidRDefault="003B0E59" w:rsidP="003B0E59">
            <w:pPr>
              <w:pStyle w:val="Tabletext"/>
            </w:pPr>
            <w:r>
              <w:t>By</w:t>
            </w:r>
            <w:r>
              <w:rPr>
                <w:color w:val="000000"/>
              </w:rPr>
              <w:t xml:space="preserve"> </w:t>
            </w:r>
            <w:r w:rsidRPr="00CE37C1">
              <w:t xml:space="preserve">identifying the latest activating site, this function can be used, for example, to </w:t>
            </w:r>
            <w:r w:rsidR="00481376" w:rsidRPr="00CE37C1">
              <w:t>identify the site in the chamber closest to the pacing site</w:t>
            </w:r>
            <w:r w:rsidRPr="00CE37C1">
              <w:t xml:space="preserve">. Several alternative methods are provided for calculating the </w:t>
            </w:r>
            <w:r w:rsidR="00481376" w:rsidRPr="00CE37C1">
              <w:t>earliest</w:t>
            </w:r>
            <w:r>
              <w:rPr>
                <w:color w:val="000000"/>
              </w:rPr>
              <w:t xml:space="preserve"> </w:t>
            </w:r>
            <w:r>
              <w:rPr>
                <w:color w:val="000000"/>
              </w:rPr>
              <w:lastRenderedPageBreak/>
              <w:t xml:space="preserve">activation </w:t>
            </w:r>
            <w:r>
              <w:t>site</w:t>
            </w:r>
            <w:r>
              <w:rPr>
                <w:color w:val="000000"/>
              </w:rPr>
              <w:t xml:space="preserve">, specified </w:t>
            </w:r>
            <w:r>
              <w:t>by</w:t>
            </w:r>
            <w:r>
              <w:rPr>
                <w:color w:val="000000"/>
              </w:rPr>
              <w:t xml:space="preserve"> </w:t>
            </w:r>
            <w:r>
              <w:t>setting</w:t>
            </w:r>
            <w:r>
              <w:rPr>
                <w:color w:val="000000"/>
              </w:rPr>
              <w:t xml:space="preserve"> </w:t>
            </w:r>
            <w:r>
              <w:t>the</w:t>
            </w:r>
            <w:r>
              <w:rPr>
                <w:color w:val="000000"/>
              </w:rPr>
              <w:t xml:space="preserve"> </w:t>
            </w:r>
            <w:r w:rsidRPr="006F45F6">
              <w:rPr>
                <w:rStyle w:val="SubtleEmphasis"/>
              </w:rPr>
              <w:t>'method'</w:t>
            </w:r>
            <w:r>
              <w:rPr>
                <w:color w:val="000000"/>
              </w:rPr>
              <w:t xml:space="preserve"> </w:t>
            </w:r>
            <w:r>
              <w:t>parameter-value</w:t>
            </w:r>
            <w:r>
              <w:rPr>
                <w:color w:val="000000"/>
              </w:rPr>
              <w:t xml:space="preserve"> </w:t>
            </w:r>
            <w:r>
              <w:t>pair</w:t>
            </w:r>
            <w:r>
              <w:rPr>
                <w:color w:val="000000"/>
              </w:rPr>
              <w:t xml:space="preserve"> to </w:t>
            </w:r>
            <w:r>
              <w:t>one</w:t>
            </w:r>
            <w:r>
              <w:rPr>
                <w:color w:val="000000"/>
              </w:rPr>
              <w:t xml:space="preserve"> </w:t>
            </w:r>
            <w:r>
              <w:t>of</w:t>
            </w:r>
            <w:r>
              <w:rPr>
                <w:color w:val="000000"/>
              </w:rPr>
              <w:t xml:space="preserve"> </w:t>
            </w:r>
            <w:r>
              <w:t>the</w:t>
            </w:r>
            <w:r>
              <w:rPr>
                <w:color w:val="000000"/>
              </w:rPr>
              <w:t xml:space="preserve"> </w:t>
            </w:r>
            <w:r>
              <w:t>following</w:t>
            </w:r>
            <w:r>
              <w:rPr>
                <w:color w:val="000000"/>
              </w:rPr>
              <w:t xml:space="preserve"> </w:t>
            </w:r>
            <w:r>
              <w:t>options:</w:t>
            </w:r>
          </w:p>
          <w:p w14:paraId="78D98BEB" w14:textId="7CBFE9B0" w:rsidR="003B0E59" w:rsidRDefault="003B0E59" w:rsidP="003B0E59">
            <w:pPr>
              <w:pStyle w:val="Tabletext"/>
            </w:pPr>
            <w:r w:rsidRPr="0038157B">
              <w:rPr>
                <w:rStyle w:val="SubtleEmphasis"/>
              </w:rPr>
              <w:t>'ptbased'</w:t>
            </w:r>
            <w:r>
              <w:rPr>
                <w:color w:val="000000"/>
              </w:rPr>
              <w:t xml:space="preserve">    - Calculates the </w:t>
            </w:r>
            <w:r w:rsidR="00481376">
              <w:t>earliest</w:t>
            </w:r>
            <w:r>
              <w:rPr>
                <w:color w:val="000000"/>
              </w:rPr>
              <w:t xml:space="preserve"> </w:t>
            </w:r>
            <w:r>
              <w:t>activation</w:t>
            </w:r>
            <w:r>
              <w:rPr>
                <w:color w:val="000000"/>
              </w:rPr>
              <w:t xml:space="preserve"> </w:t>
            </w:r>
            <w:r>
              <w:t>time</w:t>
            </w:r>
            <w:r>
              <w:rPr>
                <w:color w:val="000000"/>
              </w:rPr>
              <w:t xml:space="preserve"> </w:t>
            </w:r>
            <w:r>
              <w:t>using the</w:t>
            </w:r>
          </w:p>
          <w:p w14:paraId="4CD9A3B1" w14:textId="77777777" w:rsidR="003B0E59" w:rsidRDefault="003B0E59" w:rsidP="003B0E59">
            <w:pPr>
              <w:pStyle w:val="Tabletext"/>
            </w:pPr>
            <w:r>
              <w:t xml:space="preserve">                     </w:t>
            </w:r>
            <w:r>
              <w:rPr>
                <w:color w:val="000000"/>
              </w:rPr>
              <w:t xml:space="preserve"> </w:t>
            </w:r>
            <w:r>
              <w:t>mapping</w:t>
            </w:r>
            <w:r>
              <w:rPr>
                <w:color w:val="000000"/>
              </w:rPr>
              <w:t xml:space="preserve"> points </w:t>
            </w:r>
            <w:r>
              <w:t>exported</w:t>
            </w:r>
            <w:r>
              <w:rPr>
                <w:color w:val="000000"/>
              </w:rPr>
              <w:t xml:space="preserve"> </w:t>
            </w:r>
            <w:r>
              <w:t>by</w:t>
            </w:r>
            <w:r>
              <w:rPr>
                <w:color w:val="000000"/>
              </w:rPr>
              <w:t xml:space="preserve"> </w:t>
            </w:r>
            <w:r>
              <w:t>the</w:t>
            </w:r>
            <w:r>
              <w:rPr>
                <w:color w:val="000000"/>
              </w:rPr>
              <w:t xml:space="preserve"> </w:t>
            </w:r>
            <w:r>
              <w:t>clinical</w:t>
            </w:r>
            <w:r>
              <w:rPr>
                <w:color w:val="000000"/>
              </w:rPr>
              <w:t xml:space="preserve"> </w:t>
            </w:r>
            <w:r>
              <w:t>system.</w:t>
            </w:r>
          </w:p>
          <w:p w14:paraId="7F739D30" w14:textId="3423F830" w:rsidR="00A14E21" w:rsidRDefault="003B0E59" w:rsidP="003B0E59">
            <w:pPr>
              <w:pStyle w:val="Tabletext"/>
              <w:rPr>
                <w:color w:val="000000"/>
              </w:rPr>
            </w:pPr>
            <w:r w:rsidRPr="0038157B">
              <w:rPr>
                <w:rStyle w:val="SubtleEmphasis"/>
              </w:rPr>
              <w:t>'ptbasedprct'</w:t>
            </w:r>
            <w:r>
              <w:rPr>
                <w:color w:val="000000"/>
              </w:rPr>
              <w:t xml:space="preserve">- Calculates the </w:t>
            </w:r>
            <w:r w:rsidR="00B94CFA">
              <w:t>0-</w:t>
            </w:r>
            <w:r>
              <w:t>2.5th</w:t>
            </w:r>
            <w:r>
              <w:rPr>
                <w:color w:val="000000"/>
              </w:rPr>
              <w:t xml:space="preserve"> </w:t>
            </w:r>
            <w:r>
              <w:t>percentile</w:t>
            </w:r>
            <w:r>
              <w:rPr>
                <w:color w:val="000000"/>
              </w:rPr>
              <w:t xml:space="preserve"> </w:t>
            </w:r>
            <w:r>
              <w:t>mapping</w:t>
            </w:r>
            <w:r>
              <w:rPr>
                <w:color w:val="000000"/>
              </w:rPr>
              <w:t xml:space="preserve"> </w:t>
            </w:r>
          </w:p>
          <w:p w14:paraId="19613B45" w14:textId="77777777" w:rsidR="00A14E21" w:rsidRDefault="00A14E21" w:rsidP="003B0E59">
            <w:pPr>
              <w:pStyle w:val="Tabletext"/>
              <w:rPr>
                <w:color w:val="000000"/>
              </w:rPr>
            </w:pPr>
            <w:r>
              <w:rPr>
                <w:color w:val="000000"/>
              </w:rPr>
              <w:t xml:space="preserve">                      </w:t>
            </w:r>
            <w:r w:rsidR="003B0E59">
              <w:t>times</w:t>
            </w:r>
            <w:r w:rsidR="003B0E59">
              <w:rPr>
                <w:color w:val="000000"/>
              </w:rPr>
              <w:t xml:space="preserve"> </w:t>
            </w:r>
            <w:r w:rsidR="003B0E59">
              <w:t>on</w:t>
            </w:r>
            <w:r>
              <w:t xml:space="preserve"> t</w:t>
            </w:r>
            <w:r w:rsidR="003B0E59">
              <w:t xml:space="preserve">he </w:t>
            </w:r>
            <w:r w:rsidR="003B0E59">
              <w:rPr>
                <w:color w:val="000000"/>
              </w:rPr>
              <w:t xml:space="preserve">exported </w:t>
            </w:r>
            <w:r w:rsidR="003B0E59">
              <w:t>electrogram</w:t>
            </w:r>
            <w:r w:rsidR="003B0E59">
              <w:rPr>
                <w:color w:val="000000"/>
              </w:rPr>
              <w:t xml:space="preserve"> </w:t>
            </w:r>
            <w:r w:rsidR="003B0E59">
              <w:t>annotations</w:t>
            </w:r>
            <w:r w:rsidR="003B0E59">
              <w:rPr>
                <w:color w:val="000000"/>
              </w:rPr>
              <w:t xml:space="preserve">, then </w:t>
            </w:r>
          </w:p>
          <w:p w14:paraId="7B611B43" w14:textId="0B12F3ED" w:rsidR="003B0E59" w:rsidRDefault="00A14E21" w:rsidP="003B0E59">
            <w:pPr>
              <w:pStyle w:val="Tabletext"/>
            </w:pPr>
            <w:r>
              <w:rPr>
                <w:color w:val="000000"/>
              </w:rPr>
              <w:t xml:space="preserve">                      </w:t>
            </w:r>
            <w:r w:rsidR="003B0E59">
              <w:t>calculates</w:t>
            </w:r>
            <w:r w:rsidR="003B0E59">
              <w:rPr>
                <w:color w:val="000000"/>
              </w:rPr>
              <w:t xml:space="preserve"> the </w:t>
            </w:r>
            <w:r w:rsidR="003B0E59">
              <w:t>mean</w:t>
            </w:r>
            <w:r w:rsidR="003B0E59">
              <w:rPr>
                <w:color w:val="000000"/>
              </w:rPr>
              <w:t xml:space="preserve"> </w:t>
            </w:r>
            <w:r w:rsidR="003B0E59">
              <w:t>of</w:t>
            </w:r>
            <w:r w:rsidR="003B0E59">
              <w:rPr>
                <w:color w:val="000000"/>
              </w:rPr>
              <w:t xml:space="preserve"> this </w:t>
            </w:r>
            <w:r w:rsidR="003B0E59">
              <w:t>set</w:t>
            </w:r>
            <w:r w:rsidR="003B0E59">
              <w:rPr>
                <w:color w:val="000000"/>
              </w:rPr>
              <w:t xml:space="preserve"> </w:t>
            </w:r>
            <w:r w:rsidR="003B0E59">
              <w:t xml:space="preserve">of </w:t>
            </w:r>
            <w:r w:rsidR="003B0E59">
              <w:rPr>
                <w:color w:val="000000"/>
              </w:rPr>
              <w:t xml:space="preserve">activation </w:t>
            </w:r>
            <w:r w:rsidR="003B0E59">
              <w:t>times.</w:t>
            </w:r>
          </w:p>
          <w:p w14:paraId="575FD100" w14:textId="1E2195B5" w:rsidR="003B0E59" w:rsidRDefault="003B0E59" w:rsidP="003B0E59">
            <w:pPr>
              <w:pStyle w:val="Tabletext"/>
              <w:rPr>
                <w:color w:val="000000"/>
              </w:rPr>
            </w:pPr>
            <w:r w:rsidRPr="0038157B">
              <w:rPr>
                <w:rStyle w:val="SubtleEmphasis"/>
              </w:rPr>
              <w:t>'clinmap'</w:t>
            </w:r>
            <w:r>
              <w:rPr>
                <w:color w:val="000000"/>
              </w:rPr>
              <w:t xml:space="preserve">    - Calculates the </w:t>
            </w:r>
            <w:r w:rsidR="00A14E21">
              <w:t>earliest</w:t>
            </w:r>
            <w:r w:rsidR="00A14E21">
              <w:rPr>
                <w:color w:val="000000"/>
              </w:rPr>
              <w:t xml:space="preserve"> </w:t>
            </w:r>
            <w:r>
              <w:t>activation</w:t>
            </w:r>
            <w:r>
              <w:rPr>
                <w:color w:val="000000"/>
              </w:rPr>
              <w:t xml:space="preserve"> </w:t>
            </w:r>
            <w:r>
              <w:t>time</w:t>
            </w:r>
            <w:r>
              <w:rPr>
                <w:color w:val="000000"/>
              </w:rPr>
              <w:t xml:space="preserve"> </w:t>
            </w:r>
            <w:r>
              <w:t>on</w:t>
            </w:r>
            <w:r>
              <w:rPr>
                <w:color w:val="000000"/>
              </w:rPr>
              <w:t xml:space="preserve"> </w:t>
            </w:r>
            <w:r>
              <w:t>the</w:t>
            </w:r>
            <w:r>
              <w:rPr>
                <w:color w:val="000000"/>
              </w:rPr>
              <w:t xml:space="preserve"> </w:t>
            </w:r>
            <w:r>
              <w:t>local</w:t>
            </w:r>
            <w:r>
              <w:rPr>
                <w:color w:val="000000"/>
              </w:rPr>
              <w:t xml:space="preserve"> </w:t>
            </w:r>
          </w:p>
          <w:p w14:paraId="11E1C9FD" w14:textId="77777777" w:rsidR="003B0E59" w:rsidRDefault="003B0E59" w:rsidP="003B0E59">
            <w:pPr>
              <w:pStyle w:val="Tabletext"/>
              <w:rPr>
                <w:color w:val="000000"/>
              </w:rPr>
            </w:pPr>
            <w:r>
              <w:rPr>
                <w:color w:val="000000"/>
              </w:rPr>
              <w:t xml:space="preserve">                      </w:t>
            </w:r>
            <w:r>
              <w:t>activation</w:t>
            </w:r>
            <w:r>
              <w:rPr>
                <w:color w:val="000000"/>
              </w:rPr>
              <w:t xml:space="preserve"> time </w:t>
            </w:r>
            <w:r>
              <w:t>map</w:t>
            </w:r>
            <w:r>
              <w:rPr>
                <w:color w:val="000000"/>
              </w:rPr>
              <w:t xml:space="preserve"> </w:t>
            </w:r>
            <w:r>
              <w:t>created</w:t>
            </w:r>
            <w:r>
              <w:rPr>
                <w:color w:val="000000"/>
              </w:rPr>
              <w:t xml:space="preserve"> </w:t>
            </w:r>
            <w:r>
              <w:t>by</w:t>
            </w:r>
            <w:r>
              <w:rPr>
                <w:color w:val="000000"/>
              </w:rPr>
              <w:t xml:space="preserve"> </w:t>
            </w:r>
            <w:r>
              <w:t>the</w:t>
            </w:r>
            <w:r>
              <w:rPr>
                <w:color w:val="000000"/>
              </w:rPr>
              <w:t xml:space="preserve"> </w:t>
            </w:r>
            <w:r>
              <w:t>clinical</w:t>
            </w:r>
            <w:r>
              <w:rPr>
                <w:color w:val="000000"/>
              </w:rPr>
              <w:t xml:space="preserve"> </w:t>
            </w:r>
            <w:r>
              <w:t>mapping</w:t>
            </w:r>
            <w:r>
              <w:rPr>
                <w:color w:val="000000"/>
              </w:rPr>
              <w:t xml:space="preserve"> </w:t>
            </w:r>
          </w:p>
          <w:p w14:paraId="1E0EB259" w14:textId="77777777" w:rsidR="003B0E59" w:rsidRDefault="003B0E59" w:rsidP="003B0E59">
            <w:pPr>
              <w:pStyle w:val="Tabletext"/>
            </w:pPr>
            <w:r>
              <w:rPr>
                <w:color w:val="000000"/>
              </w:rPr>
              <w:t xml:space="preserve">                      </w:t>
            </w:r>
            <w:r>
              <w:t>system</w:t>
            </w:r>
          </w:p>
          <w:p w14:paraId="4CB5BEF6" w14:textId="6DA29724" w:rsidR="00B94CFA" w:rsidRDefault="003B0E59" w:rsidP="003B0E59">
            <w:pPr>
              <w:pStyle w:val="Tabletext"/>
              <w:rPr>
                <w:color w:val="000000"/>
              </w:rPr>
            </w:pPr>
            <w:r w:rsidRPr="0038157B">
              <w:rPr>
                <w:rStyle w:val="SubtleEmphasis"/>
              </w:rPr>
              <w:t>'clinmapprct'</w:t>
            </w:r>
            <w:r>
              <w:rPr>
                <w:color w:val="000000"/>
              </w:rPr>
              <w:t xml:space="preserve">- First calculates </w:t>
            </w:r>
            <w:r>
              <w:t>the</w:t>
            </w:r>
            <w:r>
              <w:rPr>
                <w:color w:val="000000"/>
              </w:rPr>
              <w:t xml:space="preserve"> </w:t>
            </w:r>
            <w:r w:rsidR="00B94CFA">
              <w:t>0-</w:t>
            </w:r>
            <w:r>
              <w:t>2.5th</w:t>
            </w:r>
            <w:r w:rsidR="00B94CFA">
              <w:t xml:space="preserve"> percentile</w:t>
            </w:r>
            <w:r>
              <w:rPr>
                <w:color w:val="000000"/>
              </w:rPr>
              <w:t xml:space="preserve"> </w:t>
            </w:r>
            <w:r>
              <w:t>mapping</w:t>
            </w:r>
            <w:r>
              <w:rPr>
                <w:color w:val="000000"/>
              </w:rPr>
              <w:t xml:space="preserve"> </w:t>
            </w:r>
          </w:p>
          <w:p w14:paraId="265B0B4D" w14:textId="1BEBECA7" w:rsidR="00B94CFA" w:rsidRDefault="00B94CFA" w:rsidP="003B0E59">
            <w:pPr>
              <w:pStyle w:val="Tabletext"/>
              <w:rPr>
                <w:color w:val="000000"/>
              </w:rPr>
            </w:pPr>
            <w:r>
              <w:rPr>
                <w:color w:val="000000"/>
              </w:rPr>
              <w:t xml:space="preserve">                      </w:t>
            </w:r>
            <w:r>
              <w:t>t</w:t>
            </w:r>
            <w:r w:rsidR="003B0E59">
              <w:t>imes</w:t>
            </w:r>
            <w:r>
              <w:t xml:space="preserve"> </w:t>
            </w:r>
            <w:r w:rsidR="003B0E59">
              <w:t>on</w:t>
            </w:r>
            <w:r w:rsidR="003B0E59">
              <w:rPr>
                <w:color w:val="000000"/>
              </w:rPr>
              <w:t xml:space="preserve"> t</w:t>
            </w:r>
            <w:r w:rsidR="003B0E59">
              <w:t xml:space="preserve">he </w:t>
            </w:r>
            <w:r w:rsidR="003B0E59">
              <w:rPr>
                <w:color w:val="000000"/>
              </w:rPr>
              <w:t xml:space="preserve">clinical </w:t>
            </w:r>
            <w:r w:rsidR="003B0E59">
              <w:t>local</w:t>
            </w:r>
            <w:r w:rsidR="003B0E59">
              <w:rPr>
                <w:color w:val="000000"/>
              </w:rPr>
              <w:t xml:space="preserve"> </w:t>
            </w:r>
            <w:r w:rsidR="003B0E59">
              <w:t>activation</w:t>
            </w:r>
            <w:r w:rsidR="003B0E59">
              <w:rPr>
                <w:color w:val="000000"/>
              </w:rPr>
              <w:t xml:space="preserve"> </w:t>
            </w:r>
            <w:r w:rsidR="003B0E59">
              <w:t>time</w:t>
            </w:r>
            <w:r w:rsidR="003B0E59">
              <w:rPr>
                <w:color w:val="000000"/>
              </w:rPr>
              <w:t xml:space="preserve"> </w:t>
            </w:r>
            <w:r w:rsidR="003B0E59">
              <w:t>map</w:t>
            </w:r>
            <w:r w:rsidR="003B0E59">
              <w:rPr>
                <w:color w:val="000000"/>
              </w:rPr>
              <w:t>, then</w:t>
            </w:r>
          </w:p>
          <w:p w14:paraId="156B7ABA" w14:textId="43E7861B" w:rsidR="003B0E59" w:rsidRDefault="00B94CFA" w:rsidP="003B0E59">
            <w:pPr>
              <w:pStyle w:val="Tabletext"/>
            </w:pPr>
            <w:r>
              <w:rPr>
                <w:color w:val="000000"/>
              </w:rPr>
              <w:t xml:space="preserve">                     </w:t>
            </w:r>
            <w:r w:rsidR="003B0E59">
              <w:rPr>
                <w:color w:val="000000"/>
              </w:rPr>
              <w:t xml:space="preserve"> </w:t>
            </w:r>
            <w:r w:rsidR="003B0E59">
              <w:t>calculates</w:t>
            </w:r>
            <w:r>
              <w:rPr>
                <w:color w:val="000000"/>
              </w:rPr>
              <w:t xml:space="preserve"> </w:t>
            </w:r>
            <w:r w:rsidR="003B0E59">
              <w:rPr>
                <w:color w:val="000000"/>
              </w:rPr>
              <w:t xml:space="preserve">the </w:t>
            </w:r>
            <w:r w:rsidR="003B0E59">
              <w:t>mean</w:t>
            </w:r>
            <w:r w:rsidR="003B0E59">
              <w:rPr>
                <w:color w:val="000000"/>
              </w:rPr>
              <w:t xml:space="preserve"> </w:t>
            </w:r>
            <w:r w:rsidR="003B0E59">
              <w:t>of</w:t>
            </w:r>
            <w:r w:rsidR="003B0E59">
              <w:rPr>
                <w:color w:val="000000"/>
              </w:rPr>
              <w:t xml:space="preserve"> </w:t>
            </w:r>
            <w:r w:rsidR="003B0E59">
              <w:t>this</w:t>
            </w:r>
            <w:r w:rsidR="003B0E59">
              <w:rPr>
                <w:color w:val="000000"/>
              </w:rPr>
              <w:t xml:space="preserve"> </w:t>
            </w:r>
            <w:r w:rsidR="003B0E59">
              <w:t>set</w:t>
            </w:r>
            <w:r w:rsidR="003B0E59">
              <w:rPr>
                <w:color w:val="000000"/>
              </w:rPr>
              <w:t xml:space="preserve"> </w:t>
            </w:r>
            <w:r w:rsidR="003B0E59">
              <w:t>of</w:t>
            </w:r>
            <w:r w:rsidR="003B0E59">
              <w:rPr>
                <w:color w:val="000000"/>
              </w:rPr>
              <w:t xml:space="preserve"> activation </w:t>
            </w:r>
            <w:r w:rsidR="003B0E59">
              <w:t>times.</w:t>
            </w:r>
          </w:p>
          <w:p w14:paraId="574FE81E" w14:textId="224E21F6" w:rsidR="003B0E59" w:rsidRDefault="003B0E59" w:rsidP="003B0E59">
            <w:pPr>
              <w:pStyle w:val="Tabletext"/>
              <w:rPr>
                <w:color w:val="000000"/>
              </w:rPr>
            </w:pPr>
            <w:r w:rsidRPr="0038157B">
              <w:rPr>
                <w:rStyle w:val="SubtleEmphasis"/>
              </w:rPr>
              <w:t>'openepmap</w:t>
            </w:r>
            <w:proofErr w:type="gramStart"/>
            <w:r w:rsidRPr="0038157B">
              <w:rPr>
                <w:rStyle w:val="SubtleEmphasis"/>
              </w:rPr>
              <w:t>'</w:t>
            </w:r>
            <w:r>
              <w:rPr>
                <w:color w:val="000000"/>
              </w:rPr>
              <w:t xml:space="preserve">  -</w:t>
            </w:r>
            <w:proofErr w:type="gramEnd"/>
            <w:r>
              <w:rPr>
                <w:color w:val="000000"/>
              </w:rPr>
              <w:t xml:space="preserve"> Calculates the </w:t>
            </w:r>
            <w:r w:rsidR="00A14E21">
              <w:t>earliest</w:t>
            </w:r>
            <w:r w:rsidR="00A14E21">
              <w:rPr>
                <w:color w:val="000000"/>
              </w:rPr>
              <w:t xml:space="preserve"> </w:t>
            </w:r>
            <w:r>
              <w:t>activation</w:t>
            </w:r>
            <w:r>
              <w:rPr>
                <w:color w:val="000000"/>
              </w:rPr>
              <w:t xml:space="preserve"> </w:t>
            </w:r>
            <w:r>
              <w:t>time</w:t>
            </w:r>
            <w:r>
              <w:rPr>
                <w:color w:val="000000"/>
              </w:rPr>
              <w:t xml:space="preserve"> </w:t>
            </w:r>
            <w:r>
              <w:t>on</w:t>
            </w:r>
            <w:r>
              <w:rPr>
                <w:color w:val="000000"/>
              </w:rPr>
              <w:t xml:space="preserve"> </w:t>
            </w:r>
            <w:r>
              <w:t>the</w:t>
            </w:r>
            <w:r>
              <w:rPr>
                <w:color w:val="000000"/>
              </w:rPr>
              <w:t xml:space="preserve"> </w:t>
            </w:r>
            <w:r>
              <w:t>local</w:t>
            </w:r>
            <w:r>
              <w:rPr>
                <w:color w:val="000000"/>
              </w:rPr>
              <w:t xml:space="preserve"> </w:t>
            </w:r>
          </w:p>
          <w:p w14:paraId="2F88A9BB" w14:textId="77777777" w:rsidR="003B0E59" w:rsidRDefault="003B0E59" w:rsidP="003B0E59">
            <w:pPr>
              <w:pStyle w:val="Tabletext"/>
              <w:rPr>
                <w:color w:val="000000"/>
              </w:rPr>
            </w:pPr>
            <w:r>
              <w:rPr>
                <w:color w:val="000000"/>
              </w:rPr>
              <w:t xml:space="preserve">                      </w:t>
            </w:r>
            <w:r>
              <w:t>activation</w:t>
            </w:r>
            <w:r>
              <w:rPr>
                <w:color w:val="000000"/>
              </w:rPr>
              <w:t xml:space="preserve"> time </w:t>
            </w:r>
            <w:r>
              <w:t>map</w:t>
            </w:r>
            <w:r>
              <w:rPr>
                <w:color w:val="000000"/>
              </w:rPr>
              <w:t xml:space="preserve"> </w:t>
            </w:r>
            <w:r>
              <w:t>created</w:t>
            </w:r>
            <w:r>
              <w:rPr>
                <w:color w:val="000000"/>
              </w:rPr>
              <w:t xml:space="preserve"> </w:t>
            </w:r>
            <w:r>
              <w:t>by</w:t>
            </w:r>
            <w:r>
              <w:rPr>
                <w:color w:val="000000"/>
              </w:rPr>
              <w:t xml:space="preserve"> </w:t>
            </w:r>
            <w:proofErr w:type="spellStart"/>
            <w:r>
              <w:t>OpenEP</w:t>
            </w:r>
            <w:proofErr w:type="spellEnd"/>
            <w:r>
              <w:rPr>
                <w:color w:val="000000"/>
              </w:rPr>
              <w:t xml:space="preserve"> </w:t>
            </w:r>
            <w:r>
              <w:t>from</w:t>
            </w:r>
            <w:r>
              <w:rPr>
                <w:color w:val="000000"/>
              </w:rPr>
              <w:t xml:space="preserve"> </w:t>
            </w:r>
            <w:r>
              <w:t>the</w:t>
            </w:r>
            <w:r>
              <w:rPr>
                <w:color w:val="000000"/>
              </w:rPr>
              <w:t xml:space="preserve"> </w:t>
            </w:r>
          </w:p>
          <w:p w14:paraId="28E434D1" w14:textId="77777777" w:rsidR="003B0E59" w:rsidRDefault="003B0E59" w:rsidP="003B0E59">
            <w:pPr>
              <w:pStyle w:val="Tabletext"/>
            </w:pPr>
            <w:r>
              <w:rPr>
                <w:color w:val="000000"/>
              </w:rPr>
              <w:t xml:space="preserve">                      e</w:t>
            </w:r>
            <w:r>
              <w:t>xported</w:t>
            </w:r>
            <w:r>
              <w:rPr>
                <w:color w:val="000000"/>
              </w:rPr>
              <w:t xml:space="preserve"> electrogram </w:t>
            </w:r>
            <w:r>
              <w:t>annotations.</w:t>
            </w:r>
          </w:p>
          <w:p w14:paraId="55CAED26" w14:textId="2A7E9EAB" w:rsidR="003B0E59" w:rsidRDefault="003B0E59" w:rsidP="003B0E59">
            <w:pPr>
              <w:pStyle w:val="Tabletext"/>
              <w:rPr>
                <w:color w:val="000000"/>
              </w:rPr>
            </w:pPr>
            <w:r w:rsidRPr="0038157B">
              <w:rPr>
                <w:rStyle w:val="SubtleEmphasis"/>
              </w:rPr>
              <w:t>'openepmapprct'</w:t>
            </w:r>
            <w:r>
              <w:rPr>
                <w:color w:val="000000"/>
              </w:rPr>
              <w:t xml:space="preserve">- First calculates </w:t>
            </w:r>
            <w:r>
              <w:t>the</w:t>
            </w:r>
            <w:r>
              <w:rPr>
                <w:color w:val="000000"/>
              </w:rPr>
              <w:t xml:space="preserve"> </w:t>
            </w:r>
            <w:r w:rsidR="00B94CFA">
              <w:rPr>
                <w:color w:val="000000"/>
              </w:rPr>
              <w:t>0-</w:t>
            </w:r>
            <w:r>
              <w:t>2.5th</w:t>
            </w:r>
            <w:r>
              <w:rPr>
                <w:color w:val="000000"/>
              </w:rPr>
              <w:t xml:space="preserve"> </w:t>
            </w:r>
            <w:r>
              <w:t>percentile</w:t>
            </w:r>
            <w:r>
              <w:rPr>
                <w:color w:val="000000"/>
              </w:rPr>
              <w:t xml:space="preserve"> </w:t>
            </w:r>
          </w:p>
          <w:p w14:paraId="64F89F9F" w14:textId="77777777" w:rsidR="003B0E59" w:rsidRDefault="003B0E59" w:rsidP="003B0E59">
            <w:pPr>
              <w:pStyle w:val="Tabletext"/>
              <w:rPr>
                <w:color w:val="000000"/>
              </w:rPr>
            </w:pPr>
            <w:r>
              <w:rPr>
                <w:color w:val="000000"/>
              </w:rPr>
              <w:t xml:space="preserve">                      </w:t>
            </w:r>
            <w:r>
              <w:t>mapping</w:t>
            </w:r>
            <w:r>
              <w:rPr>
                <w:color w:val="000000"/>
              </w:rPr>
              <w:t xml:space="preserve"> </w:t>
            </w:r>
            <w:r>
              <w:t>times</w:t>
            </w:r>
            <w:r>
              <w:rPr>
                <w:color w:val="000000"/>
              </w:rPr>
              <w:t xml:space="preserve"> </w:t>
            </w:r>
            <w:r>
              <w:t>on</w:t>
            </w:r>
            <w:r>
              <w:rPr>
                <w:color w:val="000000"/>
              </w:rPr>
              <w:t xml:space="preserve"> </w:t>
            </w:r>
            <w:r>
              <w:t>the</w:t>
            </w:r>
            <w:r>
              <w:rPr>
                <w:color w:val="000000"/>
              </w:rPr>
              <w:t xml:space="preserve"> </w:t>
            </w:r>
            <w:r>
              <w:t>local</w:t>
            </w:r>
            <w:r>
              <w:rPr>
                <w:color w:val="000000"/>
              </w:rPr>
              <w:t xml:space="preserve"> activation </w:t>
            </w:r>
            <w:r>
              <w:t>time</w:t>
            </w:r>
            <w:r>
              <w:rPr>
                <w:color w:val="000000"/>
              </w:rPr>
              <w:t xml:space="preserve"> </w:t>
            </w:r>
            <w:r>
              <w:t>map</w:t>
            </w:r>
            <w:r>
              <w:rPr>
                <w:color w:val="000000"/>
              </w:rPr>
              <w:t xml:space="preserve"> </w:t>
            </w:r>
            <w:r>
              <w:t>created</w:t>
            </w:r>
            <w:r>
              <w:rPr>
                <w:color w:val="000000"/>
              </w:rPr>
              <w:t xml:space="preserve">  </w:t>
            </w:r>
          </w:p>
          <w:p w14:paraId="41D71B19" w14:textId="77777777" w:rsidR="00A14E21" w:rsidRDefault="003B0E59" w:rsidP="00A14E21">
            <w:pPr>
              <w:pStyle w:val="Tabletext"/>
              <w:rPr>
                <w:color w:val="000000"/>
              </w:rPr>
            </w:pPr>
            <w:r>
              <w:rPr>
                <w:color w:val="000000"/>
              </w:rPr>
              <w:t xml:space="preserve">                      </w:t>
            </w:r>
            <w:r>
              <w:t>by</w:t>
            </w:r>
            <w:r>
              <w:rPr>
                <w:color w:val="000000"/>
              </w:rPr>
              <w:t xml:space="preserve"> </w:t>
            </w:r>
            <w:proofErr w:type="spellStart"/>
            <w:r>
              <w:t>OpenEP</w:t>
            </w:r>
            <w:proofErr w:type="spellEnd"/>
            <w:r>
              <w:rPr>
                <w:color w:val="000000"/>
              </w:rPr>
              <w:t xml:space="preserve"> </w:t>
            </w:r>
            <w:r>
              <w:t>from</w:t>
            </w:r>
            <w:r>
              <w:rPr>
                <w:color w:val="000000"/>
              </w:rPr>
              <w:t xml:space="preserve"> </w:t>
            </w:r>
            <w:r>
              <w:t>the</w:t>
            </w:r>
            <w:r>
              <w:rPr>
                <w:color w:val="000000"/>
              </w:rPr>
              <w:t xml:space="preserve"> exported </w:t>
            </w:r>
            <w:r>
              <w:t>electrogram</w:t>
            </w:r>
            <w:r>
              <w:rPr>
                <w:color w:val="000000"/>
              </w:rPr>
              <w:t xml:space="preserve"> </w:t>
            </w:r>
            <w:r>
              <w:t>annotations.</w:t>
            </w:r>
            <w:r>
              <w:rPr>
                <w:color w:val="000000"/>
              </w:rPr>
              <w:t xml:space="preserve"> </w:t>
            </w:r>
          </w:p>
          <w:p w14:paraId="69159C7A" w14:textId="77777777" w:rsidR="00A14E21" w:rsidRDefault="00A14E21" w:rsidP="00A14E21">
            <w:pPr>
              <w:pStyle w:val="Tabletext"/>
              <w:rPr>
                <w:color w:val="000000"/>
              </w:rPr>
            </w:pPr>
            <w:r>
              <w:t xml:space="preserve">                      t</w:t>
            </w:r>
            <w:r w:rsidR="003B0E59">
              <w:t>hen</w:t>
            </w:r>
            <w:r w:rsidR="003B0E59">
              <w:rPr>
                <w:color w:val="000000"/>
              </w:rPr>
              <w:t xml:space="preserve"> </w:t>
            </w:r>
            <w:r w:rsidR="003B0E59">
              <w:t>calculates</w:t>
            </w:r>
            <w:r w:rsidR="003B0E59">
              <w:rPr>
                <w:color w:val="000000"/>
              </w:rPr>
              <w:t xml:space="preserve"> the mea</w:t>
            </w:r>
            <w:r w:rsidR="003B0E59">
              <w:t>n</w:t>
            </w:r>
            <w:r w:rsidR="003B0E59">
              <w:rPr>
                <w:color w:val="000000"/>
              </w:rPr>
              <w:t xml:space="preserve"> </w:t>
            </w:r>
            <w:r w:rsidR="003B0E59">
              <w:t>of</w:t>
            </w:r>
            <w:r w:rsidR="003B0E59">
              <w:rPr>
                <w:color w:val="000000"/>
              </w:rPr>
              <w:t xml:space="preserve"> </w:t>
            </w:r>
            <w:r w:rsidR="003B0E59">
              <w:t>this</w:t>
            </w:r>
            <w:r w:rsidR="003B0E59">
              <w:rPr>
                <w:color w:val="000000"/>
              </w:rPr>
              <w:t xml:space="preserve"> </w:t>
            </w:r>
            <w:r w:rsidR="003B0E59">
              <w:t>set</w:t>
            </w:r>
            <w:r w:rsidR="003B0E59">
              <w:rPr>
                <w:color w:val="000000"/>
              </w:rPr>
              <w:t xml:space="preserve"> </w:t>
            </w:r>
            <w:r w:rsidR="003B0E59">
              <w:t>of</w:t>
            </w:r>
            <w:r w:rsidR="003B0E59">
              <w:rPr>
                <w:color w:val="000000"/>
              </w:rPr>
              <w:t xml:space="preserve"> activation </w:t>
            </w:r>
          </w:p>
          <w:p w14:paraId="784D8E08" w14:textId="7454823F" w:rsidR="00174F87" w:rsidRDefault="00174F87" w:rsidP="00A14E21">
            <w:pPr>
              <w:pStyle w:val="Tabletextheading"/>
            </w:pPr>
            <w:r w:rsidRPr="00B035AB">
              <w:t>Example</w:t>
            </w:r>
            <w:r w:rsidRPr="00B341D1">
              <w:t xml:space="preserve"> function call</w:t>
            </w:r>
            <w:r>
              <w:t>(s)</w:t>
            </w:r>
          </w:p>
          <w:p w14:paraId="6BE824EB" w14:textId="1D86DD56" w:rsidR="00174F87" w:rsidRPr="009326DB" w:rsidRDefault="00A14E21" w:rsidP="00A14E21">
            <w:pPr>
              <w:pStyle w:val="Code"/>
              <w:rPr>
                <w:rFonts w:asciiTheme="minorHAnsi" w:hAnsiTheme="minorHAnsi" w:cstheme="minorHAnsi"/>
                <w:szCs w:val="20"/>
              </w:rPr>
            </w:pPr>
            <w:r>
              <w:t xml:space="preserve">[X, </w:t>
            </w:r>
            <w:proofErr w:type="spellStart"/>
            <w:r>
              <w:t>surfX</w:t>
            </w:r>
            <w:proofErr w:type="spellEnd"/>
            <w:r>
              <w:t xml:space="preserve">, </w:t>
            </w:r>
            <w:proofErr w:type="spellStart"/>
            <w:r>
              <w:t>iPoint</w:t>
            </w:r>
            <w:proofErr w:type="spellEnd"/>
            <w:r>
              <w:t xml:space="preserve">, t] = </w:t>
            </w:r>
            <w:proofErr w:type="spellStart"/>
            <w:proofErr w:type="gramStart"/>
            <w:r>
              <w:t>getEarliestActivationSite</w:t>
            </w:r>
            <w:proofErr w:type="spellEnd"/>
            <w:r>
              <w:t xml:space="preserve">( </w:t>
            </w:r>
            <w:proofErr w:type="spellStart"/>
            <w:r>
              <w:t>userdata</w:t>
            </w:r>
            <w:proofErr w:type="spellEnd"/>
            <w:proofErr w:type="gramEnd"/>
            <w:r>
              <w:t xml:space="preserve"> )</w:t>
            </w:r>
            <w:r w:rsidR="00CE37C1">
              <w:t>;</w:t>
            </w:r>
          </w:p>
        </w:tc>
      </w:tr>
      <w:tr w:rsidR="00174F87" w:rsidRPr="004F7B48" w14:paraId="6F069E7F" w14:textId="77777777" w:rsidTr="00861399">
        <w:tc>
          <w:tcPr>
            <w:tcW w:w="1353" w:type="pct"/>
          </w:tcPr>
          <w:p w14:paraId="0989A927" w14:textId="1D248274" w:rsidR="00174F87" w:rsidRPr="006A0BFF" w:rsidRDefault="00174F87" w:rsidP="00174F87">
            <w:pPr>
              <w:rPr>
                <w:rStyle w:val="SubtleEmphasis"/>
              </w:rPr>
            </w:pPr>
            <w:r w:rsidRPr="006A0BFF">
              <w:rPr>
                <w:rStyle w:val="SubtleEmphasis"/>
              </w:rPr>
              <w:lastRenderedPageBreak/>
              <w:t>getLatestActivationSite(</w:t>
            </w:r>
            <w:r>
              <w:rPr>
                <w:rStyle w:val="SubtleEmphasis"/>
              </w:rPr>
              <w:t>...</w:t>
            </w:r>
            <w:r w:rsidRPr="006A0BFF">
              <w:rPr>
                <w:rStyle w:val="SubtleEmphasis"/>
              </w:rPr>
              <w:t>)</w:t>
            </w:r>
          </w:p>
        </w:tc>
        <w:tc>
          <w:tcPr>
            <w:tcW w:w="1703" w:type="pct"/>
          </w:tcPr>
          <w:p w14:paraId="71AB1CF3"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2B933A0D" w14:textId="77777777" w:rsidTr="00161929">
              <w:tc>
                <w:tcPr>
                  <w:tcW w:w="1487" w:type="pct"/>
                </w:tcPr>
                <w:p w14:paraId="4C829535" w14:textId="3D893853" w:rsidR="00174F87" w:rsidRPr="006C15AE" w:rsidRDefault="00BE5BA6" w:rsidP="00174F87">
                  <w:pPr>
                    <w:rPr>
                      <w:rStyle w:val="SubtleEmphasis"/>
                    </w:rPr>
                  </w:pPr>
                  <w:r>
                    <w:rPr>
                      <w:rStyle w:val="SubtleEmphasis"/>
                    </w:rPr>
                    <w:t>1</w:t>
                  </w:r>
                </w:p>
              </w:tc>
              <w:tc>
                <w:tcPr>
                  <w:tcW w:w="3513" w:type="pct"/>
                </w:tcPr>
                <w:p w14:paraId="48A2E0B4" w14:textId="5F54AE28" w:rsidR="00174F87" w:rsidRPr="006C15AE" w:rsidRDefault="00BE5BA6" w:rsidP="00174F87">
                  <w:pPr>
                    <w:pStyle w:val="Tabletext"/>
                    <w:rPr>
                      <w:rStyle w:val="SubtleEmphasis"/>
                    </w:rPr>
                  </w:pPr>
                  <w:r>
                    <w:rPr>
                      <w:rStyle w:val="SubtleEmphasis"/>
                    </w:rPr>
                    <w:t>userdata</w:t>
                  </w:r>
                </w:p>
              </w:tc>
            </w:tr>
          </w:tbl>
          <w:p w14:paraId="4A26C456"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BE5BA6" w14:paraId="552A6D72" w14:textId="77777777" w:rsidTr="00161929">
              <w:tc>
                <w:tcPr>
                  <w:tcW w:w="1771" w:type="pct"/>
                </w:tcPr>
                <w:p w14:paraId="4C46F93F" w14:textId="0E25796A" w:rsidR="00BE5BA6" w:rsidRPr="006C15AE" w:rsidRDefault="00BE5BA6" w:rsidP="00BE5BA6">
                  <w:pPr>
                    <w:pStyle w:val="Code"/>
                    <w:rPr>
                      <w:rStyle w:val="SubtleEmphasis"/>
                    </w:rPr>
                  </w:pPr>
                  <w:r>
                    <w:rPr>
                      <w:rStyle w:val="SubtleEmphasis"/>
                    </w:rPr>
                    <w:t>‘method’</w:t>
                  </w:r>
                </w:p>
              </w:tc>
              <w:tc>
                <w:tcPr>
                  <w:tcW w:w="3229" w:type="pct"/>
                </w:tcPr>
                <w:p w14:paraId="59D4D634" w14:textId="404B4D85" w:rsidR="00BE5BA6" w:rsidRPr="006C15AE" w:rsidRDefault="00BE5BA6" w:rsidP="00BE5BA6">
                  <w:pPr>
                    <w:pStyle w:val="Code"/>
                    <w:rPr>
                      <w:rStyle w:val="SubtleEmphasis"/>
                    </w:rPr>
                  </w:pPr>
                  <w:r>
                    <w:t>{'</w:t>
                  </w:r>
                  <w:proofErr w:type="spellStart"/>
                  <w:r>
                    <w:t>ptbased</w:t>
                  </w:r>
                  <w:proofErr w:type="spellEnd"/>
                  <w:r>
                    <w:t>'} | '</w:t>
                  </w:r>
                  <w:proofErr w:type="spellStart"/>
                  <w:r>
                    <w:t>ptbasedprct</w:t>
                  </w:r>
                  <w:proofErr w:type="spellEnd"/>
                  <w:r>
                    <w:t>' | '</w:t>
                  </w:r>
                  <w:proofErr w:type="spellStart"/>
                  <w:r>
                    <w:t>clinmap</w:t>
                  </w:r>
                  <w:proofErr w:type="spellEnd"/>
                  <w:r>
                    <w:t>' | '</w:t>
                  </w:r>
                  <w:proofErr w:type="spellStart"/>
                  <w:r>
                    <w:t>clinmapprct</w:t>
                  </w:r>
                  <w:proofErr w:type="spellEnd"/>
                  <w:r>
                    <w:t xml:space="preserve">' | </w:t>
                  </w:r>
                  <w:r>
                    <w:lastRenderedPageBreak/>
                    <w:t>'</w:t>
                  </w:r>
                  <w:proofErr w:type="spellStart"/>
                  <w:r>
                    <w:t>openepmap</w:t>
                  </w:r>
                  <w:proofErr w:type="spellEnd"/>
                  <w:r>
                    <w:t>' | '</w:t>
                  </w:r>
                  <w:proofErr w:type="spellStart"/>
                  <w:r>
                    <w:t>openmapprct</w:t>
                  </w:r>
                  <w:proofErr w:type="spellEnd"/>
                  <w:r>
                    <w:t>'</w:t>
                  </w:r>
                </w:p>
              </w:tc>
            </w:tr>
            <w:tr w:rsidR="00BE5BA6" w14:paraId="481D8260" w14:textId="77777777" w:rsidTr="00161929">
              <w:tc>
                <w:tcPr>
                  <w:tcW w:w="1771" w:type="pct"/>
                </w:tcPr>
                <w:p w14:paraId="7EEAB6FE" w14:textId="23E9BE89" w:rsidR="00BE5BA6" w:rsidRDefault="00BE5BA6" w:rsidP="00BE5BA6">
                  <w:pPr>
                    <w:pStyle w:val="Code"/>
                    <w:rPr>
                      <w:rStyle w:val="SubtleEmphasis"/>
                    </w:rPr>
                  </w:pPr>
                  <w:r>
                    <w:rPr>
                      <w:rStyle w:val="SubtleEmphasis"/>
                    </w:rPr>
                    <w:lastRenderedPageBreak/>
                    <w:t>‘prct’</w:t>
                  </w:r>
                </w:p>
              </w:tc>
              <w:tc>
                <w:tcPr>
                  <w:tcW w:w="3229" w:type="pct"/>
                </w:tcPr>
                <w:p w14:paraId="0D7B23EA" w14:textId="593F51BA" w:rsidR="00BE5BA6" w:rsidRDefault="00BE5BA6" w:rsidP="00BE5BA6">
                  <w:pPr>
                    <w:pStyle w:val="Code"/>
                  </w:pPr>
                  <w:r>
                    <w:t>{2.5} | double</w:t>
                  </w:r>
                </w:p>
              </w:tc>
            </w:tr>
          </w:tbl>
          <w:p w14:paraId="57B57F1C"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6607422" w14:textId="77777777" w:rsidTr="00161929">
              <w:tc>
                <w:tcPr>
                  <w:tcW w:w="1771" w:type="pct"/>
                </w:tcPr>
                <w:p w14:paraId="68DA4710" w14:textId="3074C4A7" w:rsidR="00174F87" w:rsidRPr="006C15AE" w:rsidRDefault="00BE5BA6" w:rsidP="00174F87">
                  <w:pPr>
                    <w:rPr>
                      <w:rStyle w:val="SubtleEmphasis"/>
                    </w:rPr>
                  </w:pPr>
                  <w:r>
                    <w:rPr>
                      <w:rStyle w:val="SubtleEmphasis"/>
                    </w:rPr>
                    <w:t>X</w:t>
                  </w:r>
                </w:p>
              </w:tc>
              <w:tc>
                <w:tcPr>
                  <w:tcW w:w="3229" w:type="pct"/>
                </w:tcPr>
                <w:p w14:paraId="18E50E40" w14:textId="35C0DC87" w:rsidR="00174F87" w:rsidRPr="007307D3" w:rsidRDefault="00BE5BA6" w:rsidP="007307D3">
                  <w:pPr>
                    <w:pStyle w:val="Tabletext"/>
                    <w:rPr>
                      <w:rStyle w:val="SubtleEmphasis"/>
                      <w:rFonts w:asciiTheme="minorHAnsi" w:hAnsiTheme="minorHAnsi"/>
                      <w:iCs w:val="0"/>
                      <w:noProof w:val="0"/>
                      <w:color w:val="auto"/>
                    </w:rPr>
                  </w:pPr>
                  <w:r w:rsidRPr="007307D3">
                    <w:rPr>
                      <w:rStyle w:val="SubtleEmphasis"/>
                      <w:rFonts w:asciiTheme="minorHAnsi" w:hAnsiTheme="minorHAnsi"/>
                      <w:iCs w:val="0"/>
                      <w:noProof w:val="0"/>
                      <w:color w:val="auto"/>
                    </w:rPr>
                    <w:t>Cartesian co-ordinates of the latest activation site.</w:t>
                  </w:r>
                  <w:r w:rsidR="006E0FCE" w:rsidRPr="007307D3">
                    <w:rPr>
                      <w:rStyle w:val="SubtleEmphasis"/>
                      <w:rFonts w:asciiTheme="minorHAnsi" w:hAnsiTheme="minorHAnsi"/>
                      <w:iCs w:val="0"/>
                      <w:noProof w:val="0"/>
                      <w:color w:val="auto"/>
                    </w:rPr>
                    <w:t xml:space="preserve"> For map-based methods (</w:t>
                  </w:r>
                  <w:proofErr w:type="gramStart"/>
                  <w:r w:rsidR="006E0FCE" w:rsidRPr="007307D3">
                    <w:rPr>
                      <w:rStyle w:val="SubtleEmphasis"/>
                      <w:rFonts w:asciiTheme="minorHAnsi" w:hAnsiTheme="minorHAnsi"/>
                      <w:iCs w:val="0"/>
                      <w:noProof w:val="0"/>
                      <w:color w:val="auto"/>
                    </w:rPr>
                    <w:t>i.e.</w:t>
                  </w:r>
                  <w:proofErr w:type="gramEnd"/>
                  <w:r w:rsidR="006E0FCE" w:rsidRPr="007307D3">
                    <w:rPr>
                      <w:rStyle w:val="SubtleEmphasis"/>
                      <w:rFonts w:asciiTheme="minorHAnsi" w:hAnsiTheme="minorHAnsi"/>
                      <w:iCs w:val="0"/>
                      <w:noProof w:val="0"/>
                      <w:color w:val="auto"/>
                    </w:rPr>
                    <w:t xml:space="preserve"> ‘</w:t>
                  </w:r>
                  <w:proofErr w:type="spellStart"/>
                  <w:r w:rsidR="006E0FCE" w:rsidRPr="007307D3">
                    <w:rPr>
                      <w:rStyle w:val="SubtleEmphasis"/>
                    </w:rPr>
                    <w:t>clinmap</w:t>
                  </w:r>
                  <w:proofErr w:type="spellEnd"/>
                  <w:r w:rsidR="006E0FCE" w:rsidRPr="007307D3">
                    <w:rPr>
                      <w:rStyle w:val="SubtleEmphasis"/>
                    </w:rPr>
                    <w:t>’</w:t>
                  </w:r>
                  <w:r w:rsidR="006E0FCE" w:rsidRPr="007307D3">
                    <w:rPr>
                      <w:rStyle w:val="SubtleEmphasis"/>
                      <w:rFonts w:asciiTheme="minorHAnsi" w:hAnsiTheme="minorHAnsi"/>
                      <w:iCs w:val="0"/>
                      <w:noProof w:val="0"/>
                      <w:color w:val="auto"/>
                    </w:rPr>
                    <w:t>, ‘</w:t>
                  </w:r>
                  <w:proofErr w:type="spellStart"/>
                  <w:r w:rsidR="006E0FCE" w:rsidRPr="007307D3">
                    <w:rPr>
                      <w:rStyle w:val="SubtleEmphasis"/>
                    </w:rPr>
                    <w:t>clinmapprct</w:t>
                  </w:r>
                  <w:proofErr w:type="spellEnd"/>
                  <w:r w:rsidR="006E0FCE" w:rsidRPr="007307D3">
                    <w:rPr>
                      <w:rStyle w:val="SubtleEmphasis"/>
                    </w:rPr>
                    <w:t>’</w:t>
                  </w:r>
                  <w:r w:rsidR="006E0FCE" w:rsidRPr="007307D3">
                    <w:rPr>
                      <w:rStyle w:val="SubtleEmphasis"/>
                      <w:rFonts w:asciiTheme="minorHAnsi" w:hAnsiTheme="minorHAnsi"/>
                      <w:iCs w:val="0"/>
                      <w:noProof w:val="0"/>
                      <w:color w:val="auto"/>
                    </w:rPr>
                    <w:t>, ‘</w:t>
                  </w:r>
                  <w:proofErr w:type="spellStart"/>
                  <w:r w:rsidR="006E0FCE" w:rsidRPr="007307D3">
                    <w:rPr>
                      <w:rStyle w:val="SubtleEmphasis"/>
                    </w:rPr>
                    <w:t>openepmap</w:t>
                  </w:r>
                  <w:proofErr w:type="spellEnd"/>
                  <w:r w:rsidR="006E0FCE" w:rsidRPr="007307D3">
                    <w:rPr>
                      <w:rStyle w:val="SubtleEmphasis"/>
                    </w:rPr>
                    <w:t>’</w:t>
                  </w:r>
                  <w:r w:rsidR="006E0FCE" w:rsidRPr="007307D3">
                    <w:rPr>
                      <w:rStyle w:val="SubtleEmphasis"/>
                      <w:rFonts w:asciiTheme="minorHAnsi" w:hAnsiTheme="minorHAnsi"/>
                      <w:iCs w:val="0"/>
                      <w:noProof w:val="0"/>
                      <w:color w:val="auto"/>
                    </w:rPr>
                    <w:t xml:space="preserve"> and ‘</w:t>
                  </w:r>
                  <w:proofErr w:type="spellStart"/>
                  <w:r w:rsidR="006E0FCE" w:rsidRPr="007307D3">
                    <w:rPr>
                      <w:rStyle w:val="SubtleEmphasis"/>
                    </w:rPr>
                    <w:t>openepmapprct</w:t>
                  </w:r>
                  <w:proofErr w:type="spellEnd"/>
                  <w:r w:rsidR="006E0FCE" w:rsidRPr="007307D3">
                    <w:rPr>
                      <w:rStyle w:val="SubtleEmphasis"/>
                    </w:rPr>
                    <w:t>’</w:t>
                  </w:r>
                  <w:r w:rsidR="006E0FCE" w:rsidRPr="007307D3">
                    <w:rPr>
                      <w:rStyle w:val="SubtleEmphasis"/>
                      <w:rFonts w:asciiTheme="minorHAnsi" w:hAnsiTheme="minorHAnsi"/>
                      <w:iCs w:val="0"/>
                      <w:noProof w:val="0"/>
                      <w:color w:val="auto"/>
                    </w:rPr>
                    <w:t xml:space="preserve">), </w:t>
                  </w:r>
                  <w:r w:rsidR="006E0FCE" w:rsidRPr="007307D3">
                    <w:rPr>
                      <w:rStyle w:val="SubtleEmphasis"/>
                    </w:rPr>
                    <w:t>X</w:t>
                  </w:r>
                  <w:r w:rsidR="006E0FCE" w:rsidRPr="007307D3">
                    <w:rPr>
                      <w:rStyle w:val="SubtleEmphasis"/>
                      <w:rFonts w:asciiTheme="minorHAnsi" w:hAnsiTheme="minorHAnsi"/>
                      <w:iCs w:val="0"/>
                      <w:noProof w:val="0"/>
                      <w:color w:val="auto"/>
                    </w:rPr>
                    <w:t xml:space="preserve"> is identical to </w:t>
                  </w:r>
                  <w:r w:rsidR="006E0FCE" w:rsidRPr="007307D3">
                    <w:rPr>
                      <w:rStyle w:val="SubtleEmphasis"/>
                    </w:rPr>
                    <w:t>surfX</w:t>
                  </w:r>
                  <w:r w:rsidR="006E0FCE" w:rsidRPr="007307D3">
                    <w:rPr>
                      <w:rStyle w:val="SubtleEmphasis"/>
                      <w:rFonts w:asciiTheme="minorHAnsi" w:hAnsiTheme="minorHAnsi"/>
                      <w:iCs w:val="0"/>
                      <w:noProof w:val="0"/>
                      <w:color w:val="auto"/>
                    </w:rPr>
                    <w:t>.</w:t>
                  </w:r>
                </w:p>
              </w:tc>
            </w:tr>
            <w:tr w:rsidR="00BE5BA6" w14:paraId="249B6E3F" w14:textId="77777777" w:rsidTr="00161929">
              <w:tc>
                <w:tcPr>
                  <w:tcW w:w="1771" w:type="pct"/>
                </w:tcPr>
                <w:p w14:paraId="68CDA75C" w14:textId="29C36DE0" w:rsidR="00BE5BA6" w:rsidRDefault="00BE5BA6" w:rsidP="00174F87">
                  <w:pPr>
                    <w:rPr>
                      <w:rStyle w:val="SubtleEmphasis"/>
                    </w:rPr>
                  </w:pPr>
                  <w:r>
                    <w:rPr>
                      <w:rStyle w:val="SubtleEmphasis"/>
                    </w:rPr>
                    <w:t>surfX</w:t>
                  </w:r>
                </w:p>
              </w:tc>
              <w:tc>
                <w:tcPr>
                  <w:tcW w:w="3229" w:type="pct"/>
                </w:tcPr>
                <w:p w14:paraId="349A7586" w14:textId="43647961" w:rsidR="00BE5BA6" w:rsidRPr="007307D3" w:rsidRDefault="006E0FCE" w:rsidP="007307D3">
                  <w:pPr>
                    <w:pStyle w:val="Tabletext"/>
                    <w:rPr>
                      <w:rStyle w:val="SubtleEmphasis"/>
                      <w:rFonts w:asciiTheme="minorHAnsi" w:hAnsiTheme="minorHAnsi"/>
                      <w:iCs w:val="0"/>
                      <w:noProof w:val="0"/>
                      <w:color w:val="auto"/>
                    </w:rPr>
                  </w:pPr>
                  <w:r w:rsidRPr="007307D3">
                    <w:rPr>
                      <w:rStyle w:val="SubtleEmphasis"/>
                      <w:rFonts w:asciiTheme="minorHAnsi" w:hAnsiTheme="minorHAnsi"/>
                      <w:iCs w:val="0"/>
                      <w:noProof w:val="0"/>
                      <w:color w:val="auto"/>
                    </w:rPr>
                    <w:t>The surface projection of the latest activation site</w:t>
                  </w:r>
                </w:p>
              </w:tc>
            </w:tr>
            <w:tr w:rsidR="00BE5BA6" w14:paraId="2B9AE419" w14:textId="77777777" w:rsidTr="00161929">
              <w:tc>
                <w:tcPr>
                  <w:tcW w:w="1771" w:type="pct"/>
                </w:tcPr>
                <w:p w14:paraId="628E7CE9" w14:textId="758AD080" w:rsidR="00BE5BA6" w:rsidRDefault="00BE5BA6" w:rsidP="00174F87">
                  <w:pPr>
                    <w:rPr>
                      <w:rStyle w:val="SubtleEmphasis"/>
                    </w:rPr>
                  </w:pPr>
                  <w:r>
                    <w:rPr>
                      <w:rStyle w:val="SubtleEmphasis"/>
                    </w:rPr>
                    <w:t>iPoint</w:t>
                  </w:r>
                </w:p>
              </w:tc>
              <w:tc>
                <w:tcPr>
                  <w:tcW w:w="3229" w:type="pct"/>
                </w:tcPr>
                <w:p w14:paraId="0F5ADB47" w14:textId="77A6604D" w:rsidR="00BE5BA6" w:rsidRPr="007307D3" w:rsidRDefault="006E0FCE" w:rsidP="007307D3">
                  <w:pPr>
                    <w:pStyle w:val="Tabletext"/>
                    <w:rPr>
                      <w:rStyle w:val="SubtleEmphasis"/>
                      <w:rFonts w:asciiTheme="minorHAnsi" w:hAnsiTheme="minorHAnsi"/>
                      <w:iCs w:val="0"/>
                      <w:noProof w:val="0"/>
                      <w:color w:val="auto"/>
                    </w:rPr>
                  </w:pPr>
                  <w:r w:rsidRPr="007307D3">
                    <w:rPr>
                      <w:rStyle w:val="SubtleEmphasis"/>
                      <w:rFonts w:asciiTheme="minorHAnsi" w:hAnsiTheme="minorHAnsi"/>
                      <w:iCs w:val="0"/>
                      <w:noProof w:val="0"/>
                      <w:color w:val="auto"/>
                    </w:rPr>
                    <w:t>The closest mapping point to the latest activation site. For point-based methods (</w:t>
                  </w:r>
                  <w:proofErr w:type="gramStart"/>
                  <w:r w:rsidRPr="007307D3">
                    <w:rPr>
                      <w:rStyle w:val="SubtleEmphasis"/>
                      <w:rFonts w:asciiTheme="minorHAnsi" w:hAnsiTheme="minorHAnsi"/>
                      <w:iCs w:val="0"/>
                      <w:noProof w:val="0"/>
                      <w:color w:val="auto"/>
                    </w:rPr>
                    <w:t>i.e.</w:t>
                  </w:r>
                  <w:proofErr w:type="gramEnd"/>
                  <w:r w:rsidRPr="007307D3">
                    <w:rPr>
                      <w:rStyle w:val="SubtleEmphasis"/>
                      <w:rFonts w:asciiTheme="minorHAnsi" w:hAnsiTheme="minorHAnsi"/>
                      <w:iCs w:val="0"/>
                      <w:noProof w:val="0"/>
                      <w:color w:val="auto"/>
                    </w:rPr>
                    <w:t xml:space="preserve"> ‘</w:t>
                  </w:r>
                  <w:proofErr w:type="spellStart"/>
                  <w:r w:rsidRPr="007307D3">
                    <w:rPr>
                      <w:rStyle w:val="SubtleEmphasis"/>
                    </w:rPr>
                    <w:t>clinmap</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clinmapprct</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openepmap</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openepmapprct</w:t>
                  </w:r>
                  <w:proofErr w:type="spellEnd"/>
                  <w:r w:rsidRPr="007307D3">
                    <w:rPr>
                      <w:rStyle w:val="SubtleEmphasis"/>
                    </w:rPr>
                    <w:t>’</w:t>
                  </w:r>
                  <w:r w:rsidRPr="007307D3">
                    <w:rPr>
                      <w:rStyle w:val="SubtleEmphasis"/>
                      <w:rFonts w:asciiTheme="minorHAnsi" w:hAnsiTheme="minorHAnsi"/>
                      <w:iCs w:val="0"/>
                      <w:noProof w:val="0"/>
                      <w:color w:val="auto"/>
                    </w:rPr>
                    <w:t xml:space="preserve">), </w:t>
                  </w:r>
                  <w:r w:rsidRPr="007307D3">
                    <w:rPr>
                      <w:rStyle w:val="SubtleEmphasis"/>
                    </w:rPr>
                    <w:t>iPoint</w:t>
                  </w:r>
                  <w:r w:rsidRPr="007307D3">
                    <w:rPr>
                      <w:rStyle w:val="SubtleEmphasis"/>
                      <w:rFonts w:asciiTheme="minorHAnsi" w:hAnsiTheme="minorHAnsi"/>
                      <w:iCs w:val="0"/>
                      <w:noProof w:val="0"/>
                      <w:color w:val="auto"/>
                    </w:rPr>
                    <w:t xml:space="preserve"> indexes into </w:t>
                  </w:r>
                  <w:r w:rsidRPr="007307D3">
                    <w:rPr>
                      <w:rStyle w:val="SubtleEmphasis"/>
                    </w:rPr>
                    <w:t>userdata.surface.triRep.X</w:t>
                  </w:r>
                  <w:r w:rsidRPr="007307D3">
                    <w:rPr>
                      <w:rStyle w:val="SubtleEmphasis"/>
                      <w:rFonts w:asciiTheme="minorHAnsi" w:hAnsiTheme="minorHAnsi"/>
                      <w:iCs w:val="0"/>
                      <w:noProof w:val="0"/>
                      <w:color w:val="auto"/>
                    </w:rPr>
                    <w:t>. For percentile methods (</w:t>
                  </w:r>
                  <w:proofErr w:type="gramStart"/>
                  <w:r w:rsidRPr="007307D3">
                    <w:rPr>
                      <w:rStyle w:val="SubtleEmphasis"/>
                      <w:rFonts w:asciiTheme="minorHAnsi" w:hAnsiTheme="minorHAnsi"/>
                      <w:iCs w:val="0"/>
                      <w:noProof w:val="0"/>
                      <w:color w:val="auto"/>
                    </w:rPr>
                    <w:t>i.e.</w:t>
                  </w:r>
                  <w:proofErr w:type="gramEnd"/>
                  <w:r w:rsidRPr="007307D3">
                    <w:rPr>
                      <w:rStyle w:val="SubtleEmphasis"/>
                      <w:rFonts w:asciiTheme="minorHAnsi" w:hAnsiTheme="minorHAnsi"/>
                      <w:iCs w:val="0"/>
                      <w:noProof w:val="0"/>
                      <w:color w:val="auto"/>
                    </w:rPr>
                    <w:t xml:space="preserve"> ‘</w:t>
                  </w:r>
                  <w:proofErr w:type="spellStart"/>
                  <w:r w:rsidRPr="007307D3">
                    <w:rPr>
                      <w:rStyle w:val="SubtleEmphasis"/>
                    </w:rPr>
                    <w:t>ptbasedprct</w:t>
                  </w:r>
                  <w:proofErr w:type="spellEnd"/>
                  <w:r w:rsidRPr="007307D3">
                    <w:rPr>
                      <w:rStyle w:val="SubtleEmphasis"/>
                    </w:rPr>
                    <w:t>’</w:t>
                  </w:r>
                  <w:r w:rsidRPr="007307D3">
                    <w:rPr>
                      <w:rStyle w:val="SubtleEmphasis"/>
                      <w:rFonts w:asciiTheme="minorHAnsi" w:hAnsiTheme="minorHAnsi"/>
                      <w:iCs w:val="0"/>
                      <w:noProof w:val="0"/>
                      <w:color w:val="auto"/>
                    </w:rPr>
                    <w:t>, ‘</w:t>
                  </w:r>
                  <w:proofErr w:type="spellStart"/>
                  <w:r w:rsidRPr="007307D3">
                    <w:rPr>
                      <w:rStyle w:val="SubtleEmphasis"/>
                    </w:rPr>
                    <w:t>clinmapprct</w:t>
                  </w:r>
                  <w:proofErr w:type="spellEnd"/>
                  <w:r w:rsidRPr="007307D3">
                    <w:rPr>
                      <w:rStyle w:val="SubtleEmphasis"/>
                    </w:rPr>
                    <w:t>’</w:t>
                  </w:r>
                  <w:r w:rsidRPr="007307D3">
                    <w:rPr>
                      <w:rStyle w:val="SubtleEmphasis"/>
                      <w:rFonts w:asciiTheme="minorHAnsi" w:hAnsiTheme="minorHAnsi"/>
                      <w:iCs w:val="0"/>
                      <w:noProof w:val="0"/>
                      <w:color w:val="auto"/>
                    </w:rPr>
                    <w:t xml:space="preserve"> or ‘</w:t>
                  </w:r>
                  <w:proofErr w:type="spellStart"/>
                  <w:r w:rsidRPr="007307D3">
                    <w:rPr>
                      <w:rStyle w:val="SubtleEmphasis"/>
                    </w:rPr>
                    <w:t>openepmapprct</w:t>
                  </w:r>
                  <w:proofErr w:type="spellEnd"/>
                  <w:r w:rsidRPr="007307D3">
                    <w:rPr>
                      <w:rStyle w:val="SubtleEmphasis"/>
                    </w:rPr>
                    <w:t>’</w:t>
                  </w:r>
                  <w:r w:rsidRPr="007307D3">
                    <w:rPr>
                      <w:rStyle w:val="SubtleEmphasis"/>
                      <w:rFonts w:asciiTheme="minorHAnsi" w:hAnsiTheme="minorHAnsi"/>
                      <w:iCs w:val="0"/>
                      <w:noProof w:val="0"/>
                      <w:color w:val="auto"/>
                    </w:rPr>
                    <w:t xml:space="preserve">) </w:t>
                  </w:r>
                  <w:r w:rsidRPr="007307D3">
                    <w:rPr>
                      <w:rStyle w:val="SubtleEmphasis"/>
                    </w:rPr>
                    <w:t>iPoint</w:t>
                  </w:r>
                  <w:r w:rsidRPr="007307D3">
                    <w:rPr>
                      <w:rStyle w:val="SubtleEmphasis"/>
                      <w:rFonts w:asciiTheme="minorHAnsi" w:hAnsiTheme="minorHAnsi"/>
                      <w:iCs w:val="0"/>
                      <w:noProof w:val="0"/>
                      <w:color w:val="auto"/>
                    </w:rPr>
                    <w:t xml:space="preserve"> returns</w:t>
                  </w:r>
                  <w:r w:rsidR="007307D3" w:rsidRPr="007307D3">
                    <w:rPr>
                      <w:rStyle w:val="SubtleEmphasis"/>
                      <w:rFonts w:asciiTheme="minorHAnsi" w:hAnsiTheme="minorHAnsi"/>
                      <w:iCs w:val="0"/>
                      <w:noProof w:val="0"/>
                      <w:color w:val="auto"/>
                    </w:rPr>
                    <w:t xml:space="preserve"> all the points that were identified within the relevant percentile.</w:t>
                  </w:r>
                </w:p>
              </w:tc>
            </w:tr>
            <w:tr w:rsidR="00BE5BA6" w14:paraId="35BDC454" w14:textId="77777777" w:rsidTr="00161929">
              <w:tc>
                <w:tcPr>
                  <w:tcW w:w="1771" w:type="pct"/>
                </w:tcPr>
                <w:p w14:paraId="574D7273" w14:textId="4C2188C8" w:rsidR="00BE5BA6" w:rsidRDefault="00BE5BA6" w:rsidP="00174F87">
                  <w:pPr>
                    <w:rPr>
                      <w:rStyle w:val="SubtleEmphasis"/>
                    </w:rPr>
                  </w:pPr>
                  <w:r>
                    <w:rPr>
                      <w:rStyle w:val="SubtleEmphasis"/>
                    </w:rPr>
                    <w:t>t</w:t>
                  </w:r>
                </w:p>
              </w:tc>
              <w:tc>
                <w:tcPr>
                  <w:tcW w:w="3229" w:type="pct"/>
                </w:tcPr>
                <w:p w14:paraId="512C90D9" w14:textId="14B62D35" w:rsidR="00BE5BA6" w:rsidRPr="007307D3" w:rsidRDefault="007307D3" w:rsidP="007307D3">
                  <w:pPr>
                    <w:pStyle w:val="Tabletext"/>
                    <w:rPr>
                      <w:rStyle w:val="SubtleEmphasis"/>
                      <w:rFonts w:asciiTheme="minorHAnsi" w:hAnsiTheme="minorHAnsi"/>
                      <w:iCs w:val="0"/>
                      <w:noProof w:val="0"/>
                      <w:color w:val="auto"/>
                    </w:rPr>
                  </w:pPr>
                  <w:r w:rsidRPr="007307D3">
                    <w:rPr>
                      <w:rStyle w:val="SubtleEmphasis"/>
                      <w:rFonts w:asciiTheme="minorHAnsi" w:hAnsiTheme="minorHAnsi"/>
                      <w:iCs w:val="0"/>
                      <w:noProof w:val="0"/>
                      <w:color w:val="auto"/>
                    </w:rPr>
                    <w:t>The calculated latest activation time, relative to the reference annotation.</w:t>
                  </w:r>
                </w:p>
              </w:tc>
            </w:tr>
          </w:tbl>
          <w:p w14:paraId="012B01BB" w14:textId="77777777" w:rsidR="00174F87" w:rsidRPr="009326DB" w:rsidRDefault="00174F87" w:rsidP="00174F87">
            <w:pPr>
              <w:rPr>
                <w:rFonts w:ascii="Consolas" w:hAnsi="Consolas" w:cs="Consolas"/>
                <w:sz w:val="18"/>
                <w:szCs w:val="18"/>
              </w:rPr>
            </w:pPr>
          </w:p>
        </w:tc>
        <w:tc>
          <w:tcPr>
            <w:tcW w:w="1944" w:type="pct"/>
          </w:tcPr>
          <w:p w14:paraId="5D540FBF" w14:textId="77777777" w:rsidR="00174F87" w:rsidRPr="00893BD2" w:rsidRDefault="00174F87" w:rsidP="00174F87">
            <w:pPr>
              <w:pStyle w:val="Tabletextheading"/>
            </w:pPr>
            <w:r>
              <w:lastRenderedPageBreak/>
              <w:t>Use case</w:t>
            </w:r>
          </w:p>
          <w:p w14:paraId="7CECF297" w14:textId="6699EC97" w:rsidR="00174F87" w:rsidRDefault="007307D3" w:rsidP="00174F87">
            <w:pPr>
              <w:pStyle w:val="Tabletext"/>
            </w:pPr>
            <w:r>
              <w:t>Returns the latest activation site.</w:t>
            </w:r>
          </w:p>
          <w:p w14:paraId="292393C0" w14:textId="77777777" w:rsidR="00174F87" w:rsidRDefault="00174F87" w:rsidP="00174F87">
            <w:pPr>
              <w:pStyle w:val="Tabletextheading"/>
            </w:pPr>
            <w:r>
              <w:t>Description</w:t>
            </w:r>
          </w:p>
          <w:p w14:paraId="500E055E" w14:textId="2FD1B4DB" w:rsidR="006F45F6" w:rsidRDefault="006F45F6" w:rsidP="006F45F6">
            <w:pPr>
              <w:pStyle w:val="Tabletext"/>
            </w:pPr>
            <w:r>
              <w:t>By</w:t>
            </w:r>
            <w:r>
              <w:rPr>
                <w:color w:val="000000"/>
              </w:rPr>
              <w:t xml:space="preserve"> </w:t>
            </w:r>
            <w:r>
              <w:t>identifying</w:t>
            </w:r>
            <w:r>
              <w:rPr>
                <w:color w:val="000000"/>
              </w:rPr>
              <w:t xml:space="preserve"> </w:t>
            </w:r>
            <w:r>
              <w:t>the</w:t>
            </w:r>
            <w:r>
              <w:rPr>
                <w:color w:val="000000"/>
              </w:rPr>
              <w:t xml:space="preserve"> </w:t>
            </w:r>
            <w:r w:rsidRPr="00CE37C1">
              <w:t>latest activating site, this function can be used, for example, to calculate the total activation time. Several alternative methods are provided for calculating the latest activation site,</w:t>
            </w:r>
            <w:r>
              <w:rPr>
                <w:color w:val="000000"/>
              </w:rPr>
              <w:t xml:space="preserve"> </w:t>
            </w:r>
            <w:r>
              <w:rPr>
                <w:color w:val="000000"/>
              </w:rPr>
              <w:lastRenderedPageBreak/>
              <w:t xml:space="preserve">specified </w:t>
            </w:r>
            <w:r>
              <w:t>by</w:t>
            </w:r>
            <w:r>
              <w:rPr>
                <w:color w:val="000000"/>
              </w:rPr>
              <w:t xml:space="preserve"> </w:t>
            </w:r>
            <w:r>
              <w:t>setting</w:t>
            </w:r>
            <w:r>
              <w:rPr>
                <w:color w:val="000000"/>
              </w:rPr>
              <w:t xml:space="preserve"> </w:t>
            </w:r>
            <w:r>
              <w:t>the</w:t>
            </w:r>
            <w:r>
              <w:rPr>
                <w:color w:val="000000"/>
              </w:rPr>
              <w:t xml:space="preserve"> </w:t>
            </w:r>
            <w:r w:rsidRPr="006F45F6">
              <w:rPr>
                <w:rStyle w:val="SubtleEmphasis"/>
              </w:rPr>
              <w:t>'method'</w:t>
            </w:r>
            <w:r>
              <w:rPr>
                <w:color w:val="000000"/>
              </w:rPr>
              <w:t xml:space="preserve"> </w:t>
            </w:r>
            <w:r>
              <w:t>parameter-value</w:t>
            </w:r>
            <w:r>
              <w:rPr>
                <w:color w:val="000000"/>
              </w:rPr>
              <w:t xml:space="preserve"> </w:t>
            </w:r>
            <w:r>
              <w:t>pair</w:t>
            </w:r>
            <w:r>
              <w:rPr>
                <w:color w:val="000000"/>
              </w:rPr>
              <w:t xml:space="preserve"> to </w:t>
            </w:r>
            <w:r>
              <w:t>one</w:t>
            </w:r>
            <w:r>
              <w:rPr>
                <w:color w:val="000000"/>
              </w:rPr>
              <w:t xml:space="preserve"> </w:t>
            </w:r>
            <w:r>
              <w:t>of</w:t>
            </w:r>
            <w:r>
              <w:rPr>
                <w:color w:val="000000"/>
              </w:rPr>
              <w:t xml:space="preserve"> </w:t>
            </w:r>
            <w:r>
              <w:t>the</w:t>
            </w:r>
            <w:r>
              <w:rPr>
                <w:color w:val="000000"/>
              </w:rPr>
              <w:t xml:space="preserve"> </w:t>
            </w:r>
            <w:r>
              <w:t>following</w:t>
            </w:r>
            <w:r>
              <w:rPr>
                <w:color w:val="000000"/>
              </w:rPr>
              <w:t xml:space="preserve"> </w:t>
            </w:r>
            <w:r>
              <w:t>options:</w:t>
            </w:r>
          </w:p>
          <w:p w14:paraId="075320BB" w14:textId="77777777" w:rsidR="00ED7428" w:rsidRDefault="00AB4C13" w:rsidP="00AB4C13">
            <w:pPr>
              <w:pStyle w:val="Tabletext"/>
            </w:pPr>
            <w:r w:rsidRPr="0038157B">
              <w:rPr>
                <w:rStyle w:val="SubtleEmphasis"/>
              </w:rPr>
              <w:t>'ptbased'</w:t>
            </w:r>
            <w:r>
              <w:rPr>
                <w:color w:val="000000"/>
              </w:rPr>
              <w:t xml:space="preserve">    - Calculates the </w:t>
            </w:r>
            <w:r>
              <w:t>latest</w:t>
            </w:r>
            <w:r>
              <w:rPr>
                <w:color w:val="000000"/>
              </w:rPr>
              <w:t xml:space="preserve"> </w:t>
            </w:r>
            <w:r>
              <w:t>activation</w:t>
            </w:r>
            <w:r>
              <w:rPr>
                <w:color w:val="000000"/>
              </w:rPr>
              <w:t xml:space="preserve"> </w:t>
            </w:r>
            <w:r>
              <w:t>time</w:t>
            </w:r>
            <w:r>
              <w:rPr>
                <w:color w:val="000000"/>
              </w:rPr>
              <w:t xml:space="preserve"> </w:t>
            </w:r>
            <w:r>
              <w:t>using the</w:t>
            </w:r>
          </w:p>
          <w:p w14:paraId="27491C27" w14:textId="20570B10" w:rsidR="00AB4C13" w:rsidRDefault="00ED7428" w:rsidP="00AB4C13">
            <w:pPr>
              <w:pStyle w:val="Tabletext"/>
            </w:pPr>
            <w:r>
              <w:t xml:space="preserve">                     </w:t>
            </w:r>
            <w:r w:rsidR="00AB4C13">
              <w:rPr>
                <w:color w:val="000000"/>
              </w:rPr>
              <w:t xml:space="preserve"> </w:t>
            </w:r>
            <w:r w:rsidR="00AB4C13">
              <w:t>mapping</w:t>
            </w:r>
            <w:r w:rsidR="00AB4C13">
              <w:rPr>
                <w:color w:val="000000"/>
              </w:rPr>
              <w:t xml:space="preserve"> points </w:t>
            </w:r>
            <w:r w:rsidR="00AB4C13">
              <w:t>exported</w:t>
            </w:r>
            <w:r w:rsidR="00AB4C13">
              <w:rPr>
                <w:color w:val="000000"/>
              </w:rPr>
              <w:t xml:space="preserve"> </w:t>
            </w:r>
            <w:r w:rsidR="00AB4C13">
              <w:t>by</w:t>
            </w:r>
            <w:r w:rsidR="00AB4C13">
              <w:rPr>
                <w:color w:val="000000"/>
              </w:rPr>
              <w:t xml:space="preserve"> </w:t>
            </w:r>
            <w:r w:rsidR="00AB4C13">
              <w:t>the</w:t>
            </w:r>
            <w:r w:rsidR="00AB4C13">
              <w:rPr>
                <w:color w:val="000000"/>
              </w:rPr>
              <w:t xml:space="preserve"> </w:t>
            </w:r>
            <w:r w:rsidR="00AB4C13">
              <w:t>clinical</w:t>
            </w:r>
            <w:r w:rsidR="00AB4C13">
              <w:rPr>
                <w:color w:val="000000"/>
              </w:rPr>
              <w:t xml:space="preserve"> </w:t>
            </w:r>
            <w:r w:rsidR="00AB4C13">
              <w:t>system.</w:t>
            </w:r>
          </w:p>
          <w:p w14:paraId="60AB2FF3" w14:textId="5699D505" w:rsidR="00B94CFA" w:rsidRDefault="00AB4C13" w:rsidP="00AB4C13">
            <w:pPr>
              <w:pStyle w:val="Tabletext"/>
              <w:rPr>
                <w:color w:val="000000"/>
              </w:rPr>
            </w:pPr>
            <w:r w:rsidRPr="0038157B">
              <w:rPr>
                <w:rStyle w:val="SubtleEmphasis"/>
              </w:rPr>
              <w:t>'ptbasedprct'</w:t>
            </w:r>
            <w:r>
              <w:rPr>
                <w:color w:val="000000"/>
              </w:rPr>
              <w:t xml:space="preserve">- </w:t>
            </w:r>
            <w:r w:rsidR="00ED7428">
              <w:rPr>
                <w:color w:val="000000"/>
              </w:rPr>
              <w:t>Calculates the</w:t>
            </w:r>
            <w:r>
              <w:rPr>
                <w:color w:val="000000"/>
              </w:rPr>
              <w:t xml:space="preserve"> </w:t>
            </w:r>
            <w:r w:rsidR="00B94CFA">
              <w:rPr>
                <w:color w:val="000000"/>
              </w:rPr>
              <w:t>97.5-100th</w:t>
            </w:r>
            <w:r>
              <w:rPr>
                <w:color w:val="000000"/>
              </w:rPr>
              <w:t xml:space="preserve"> </w:t>
            </w:r>
            <w:r>
              <w:t>percentile</w:t>
            </w:r>
            <w:r>
              <w:rPr>
                <w:color w:val="000000"/>
              </w:rPr>
              <w:t xml:space="preserve"> </w:t>
            </w:r>
            <w:r>
              <w:t>mapping</w:t>
            </w:r>
            <w:r>
              <w:rPr>
                <w:color w:val="000000"/>
              </w:rPr>
              <w:t xml:space="preserve"> </w:t>
            </w:r>
          </w:p>
          <w:p w14:paraId="3325B855" w14:textId="6F308B38" w:rsidR="00B94CFA" w:rsidRDefault="00B94CFA" w:rsidP="00AB4C13">
            <w:pPr>
              <w:pStyle w:val="Tabletext"/>
              <w:rPr>
                <w:color w:val="000000"/>
              </w:rPr>
            </w:pPr>
            <w:r>
              <w:t xml:space="preserve">                      </w:t>
            </w:r>
            <w:r w:rsidR="00AB4C13">
              <w:t>times</w:t>
            </w:r>
            <w:r w:rsidR="00AB4C13">
              <w:rPr>
                <w:color w:val="000000"/>
              </w:rPr>
              <w:t xml:space="preserve"> </w:t>
            </w:r>
            <w:r w:rsidR="00AB4C13">
              <w:t>on</w:t>
            </w:r>
            <w:r>
              <w:t xml:space="preserve"> t</w:t>
            </w:r>
            <w:r w:rsidR="00AB4C13">
              <w:t>he</w:t>
            </w:r>
            <w:r w:rsidR="00303D53">
              <w:t xml:space="preserve"> </w:t>
            </w:r>
            <w:r w:rsidR="00AB4C13">
              <w:rPr>
                <w:color w:val="000000"/>
              </w:rPr>
              <w:t xml:space="preserve">exported </w:t>
            </w:r>
            <w:r w:rsidR="00AB4C13">
              <w:t>electrogram</w:t>
            </w:r>
            <w:r w:rsidR="00AB4C13">
              <w:rPr>
                <w:color w:val="000000"/>
              </w:rPr>
              <w:t xml:space="preserve"> </w:t>
            </w:r>
            <w:r w:rsidR="00AB4C13">
              <w:t>annotations</w:t>
            </w:r>
            <w:r w:rsidR="00AB4C13">
              <w:rPr>
                <w:color w:val="000000"/>
              </w:rPr>
              <w:t xml:space="preserve">, then </w:t>
            </w:r>
          </w:p>
          <w:p w14:paraId="3CEEF129" w14:textId="779DC20D" w:rsidR="00AB4C13" w:rsidRDefault="00B94CFA" w:rsidP="00AB4C13">
            <w:pPr>
              <w:pStyle w:val="Tabletext"/>
            </w:pPr>
            <w:r>
              <w:t xml:space="preserve">                      </w:t>
            </w:r>
            <w:r w:rsidR="00AB4C13">
              <w:t>calculates</w:t>
            </w:r>
            <w:r w:rsidR="00AB4C13">
              <w:rPr>
                <w:color w:val="000000"/>
              </w:rPr>
              <w:t xml:space="preserve"> the </w:t>
            </w:r>
            <w:r w:rsidR="00303D53">
              <w:t>m</w:t>
            </w:r>
            <w:r w:rsidR="00AB4C13">
              <w:t>ean</w:t>
            </w:r>
            <w:r w:rsidR="00AB4C13">
              <w:rPr>
                <w:color w:val="000000"/>
              </w:rPr>
              <w:t xml:space="preserve"> </w:t>
            </w:r>
            <w:r w:rsidR="00AB4C13">
              <w:t>of</w:t>
            </w:r>
            <w:r w:rsidR="00AB4C13">
              <w:rPr>
                <w:color w:val="000000"/>
              </w:rPr>
              <w:t xml:space="preserve"> </w:t>
            </w:r>
            <w:r w:rsidR="00303D53">
              <w:rPr>
                <w:color w:val="000000"/>
              </w:rPr>
              <w:t>this</w:t>
            </w:r>
            <w:r w:rsidR="00AB4C13">
              <w:rPr>
                <w:color w:val="000000"/>
              </w:rPr>
              <w:t xml:space="preserve"> </w:t>
            </w:r>
            <w:r w:rsidR="00AB4C13">
              <w:t>set</w:t>
            </w:r>
            <w:r w:rsidR="00AB4C13">
              <w:rPr>
                <w:color w:val="000000"/>
              </w:rPr>
              <w:t xml:space="preserve"> </w:t>
            </w:r>
            <w:r w:rsidR="00AB4C13">
              <w:t>of</w:t>
            </w:r>
            <w:r w:rsidR="00303D53">
              <w:t xml:space="preserve"> </w:t>
            </w:r>
            <w:r w:rsidR="00AB4C13">
              <w:rPr>
                <w:color w:val="000000"/>
              </w:rPr>
              <w:t xml:space="preserve">activation </w:t>
            </w:r>
            <w:r w:rsidR="00AB4C13">
              <w:t>times.</w:t>
            </w:r>
          </w:p>
          <w:p w14:paraId="0CC23E11" w14:textId="77777777" w:rsidR="008C7292" w:rsidRDefault="00AB4C13" w:rsidP="00AB4C13">
            <w:pPr>
              <w:pStyle w:val="Tabletext"/>
              <w:rPr>
                <w:color w:val="000000"/>
              </w:rPr>
            </w:pPr>
            <w:r w:rsidRPr="0038157B">
              <w:rPr>
                <w:rStyle w:val="SubtleEmphasis"/>
              </w:rPr>
              <w:t>'clinmap'</w:t>
            </w:r>
            <w:r>
              <w:rPr>
                <w:color w:val="000000"/>
              </w:rPr>
              <w:t xml:space="preserve">    - Calculates the latest </w:t>
            </w:r>
            <w:r>
              <w:t>activation</w:t>
            </w:r>
            <w:r>
              <w:rPr>
                <w:color w:val="000000"/>
              </w:rPr>
              <w:t xml:space="preserve"> </w:t>
            </w:r>
            <w:r>
              <w:t>time</w:t>
            </w:r>
            <w:r>
              <w:rPr>
                <w:color w:val="000000"/>
              </w:rPr>
              <w:t xml:space="preserve"> </w:t>
            </w:r>
            <w:r>
              <w:t>on</w:t>
            </w:r>
            <w:r>
              <w:rPr>
                <w:color w:val="000000"/>
              </w:rPr>
              <w:t xml:space="preserve"> </w:t>
            </w:r>
            <w:r>
              <w:t>the</w:t>
            </w:r>
            <w:r>
              <w:rPr>
                <w:color w:val="000000"/>
              </w:rPr>
              <w:t xml:space="preserve"> </w:t>
            </w:r>
            <w:r>
              <w:t>local</w:t>
            </w:r>
            <w:r>
              <w:rPr>
                <w:color w:val="000000"/>
              </w:rPr>
              <w:t xml:space="preserve"> </w:t>
            </w:r>
          </w:p>
          <w:p w14:paraId="6D5E2B6C" w14:textId="77777777" w:rsidR="008C7292" w:rsidRDefault="008C7292" w:rsidP="00AB4C13">
            <w:pPr>
              <w:pStyle w:val="Tabletext"/>
              <w:rPr>
                <w:color w:val="000000"/>
              </w:rPr>
            </w:pPr>
            <w:r>
              <w:rPr>
                <w:color w:val="000000"/>
              </w:rPr>
              <w:t xml:space="preserve">                      </w:t>
            </w:r>
            <w:r w:rsidR="00AB4C13">
              <w:t>activation</w:t>
            </w:r>
            <w:r w:rsidR="00AB4C13">
              <w:rPr>
                <w:color w:val="000000"/>
              </w:rPr>
              <w:t xml:space="preserve"> time </w:t>
            </w:r>
            <w:r w:rsidR="00AB4C13">
              <w:t>map</w:t>
            </w:r>
            <w:r w:rsidR="00AB4C13">
              <w:rPr>
                <w:color w:val="000000"/>
              </w:rPr>
              <w:t xml:space="preserve"> </w:t>
            </w:r>
            <w:r w:rsidR="00AB4C13">
              <w:t>created</w:t>
            </w:r>
            <w:r w:rsidR="00AB4C13">
              <w:rPr>
                <w:color w:val="000000"/>
              </w:rPr>
              <w:t xml:space="preserve"> </w:t>
            </w:r>
            <w:r w:rsidR="00AB4C13">
              <w:t>by</w:t>
            </w:r>
            <w:r w:rsidR="00AB4C13">
              <w:rPr>
                <w:color w:val="000000"/>
              </w:rPr>
              <w:t xml:space="preserve"> </w:t>
            </w:r>
            <w:r w:rsidR="00AB4C13">
              <w:t>the</w:t>
            </w:r>
            <w:r w:rsidR="00AB4C13">
              <w:rPr>
                <w:color w:val="000000"/>
              </w:rPr>
              <w:t xml:space="preserve"> </w:t>
            </w:r>
            <w:r w:rsidR="00AB4C13">
              <w:t>clinical</w:t>
            </w:r>
            <w:r w:rsidR="00AB4C13">
              <w:rPr>
                <w:color w:val="000000"/>
              </w:rPr>
              <w:t xml:space="preserve"> </w:t>
            </w:r>
            <w:r w:rsidR="00AB4C13">
              <w:t>mapping</w:t>
            </w:r>
            <w:r w:rsidR="00AB4C13">
              <w:rPr>
                <w:color w:val="000000"/>
              </w:rPr>
              <w:t xml:space="preserve"> </w:t>
            </w:r>
          </w:p>
          <w:p w14:paraId="073FEB69" w14:textId="6EB2B527" w:rsidR="00AB4C13" w:rsidRDefault="008C7292" w:rsidP="00AB4C13">
            <w:pPr>
              <w:pStyle w:val="Tabletext"/>
            </w:pPr>
            <w:r>
              <w:rPr>
                <w:color w:val="000000"/>
              </w:rPr>
              <w:t xml:space="preserve">                      </w:t>
            </w:r>
            <w:r w:rsidR="00AB4C13">
              <w:t>system</w:t>
            </w:r>
          </w:p>
          <w:p w14:paraId="31C99034" w14:textId="32A09071" w:rsidR="00B94CFA" w:rsidRDefault="00AB4C13" w:rsidP="00AB4C13">
            <w:pPr>
              <w:pStyle w:val="Tabletext"/>
              <w:rPr>
                <w:color w:val="000000"/>
              </w:rPr>
            </w:pPr>
            <w:r w:rsidRPr="0038157B">
              <w:rPr>
                <w:rStyle w:val="SubtleEmphasis"/>
              </w:rPr>
              <w:t>'clinmapprct'</w:t>
            </w:r>
            <w:r>
              <w:rPr>
                <w:color w:val="000000"/>
              </w:rPr>
              <w:t xml:space="preserve">- First calculates </w:t>
            </w:r>
            <w:r>
              <w:t>the</w:t>
            </w:r>
            <w:r>
              <w:rPr>
                <w:color w:val="000000"/>
              </w:rPr>
              <w:t xml:space="preserve"> </w:t>
            </w:r>
            <w:r w:rsidR="00B94CFA">
              <w:rPr>
                <w:color w:val="000000"/>
              </w:rPr>
              <w:t>97.5-100th</w:t>
            </w:r>
            <w:r>
              <w:rPr>
                <w:color w:val="000000"/>
              </w:rPr>
              <w:t xml:space="preserve"> </w:t>
            </w:r>
            <w:r w:rsidR="00B94CFA">
              <w:rPr>
                <w:color w:val="000000"/>
              </w:rPr>
              <w:t xml:space="preserve">percentile </w:t>
            </w:r>
          </w:p>
          <w:p w14:paraId="6AA47998" w14:textId="24E6E611" w:rsidR="00B94CFA" w:rsidRDefault="00B94CFA" w:rsidP="00AB4C13">
            <w:pPr>
              <w:pStyle w:val="Tabletext"/>
              <w:rPr>
                <w:color w:val="000000"/>
              </w:rPr>
            </w:pPr>
            <w:r>
              <w:t xml:space="preserve">                      </w:t>
            </w:r>
            <w:r w:rsidR="00AB4C13">
              <w:t>mapping</w:t>
            </w:r>
            <w:r w:rsidR="00AB4C13">
              <w:rPr>
                <w:color w:val="000000"/>
              </w:rPr>
              <w:t xml:space="preserve"> </w:t>
            </w:r>
            <w:r w:rsidR="00AB4C13">
              <w:t>times</w:t>
            </w:r>
            <w:r w:rsidR="00AB4C13">
              <w:rPr>
                <w:color w:val="000000"/>
              </w:rPr>
              <w:t xml:space="preserve"> </w:t>
            </w:r>
            <w:r w:rsidR="00AB4C13">
              <w:t>on</w:t>
            </w:r>
            <w:r>
              <w:t xml:space="preserve"> </w:t>
            </w:r>
            <w:r w:rsidR="002038D5">
              <w:rPr>
                <w:color w:val="000000"/>
              </w:rPr>
              <w:t>t</w:t>
            </w:r>
            <w:r w:rsidR="00AB4C13">
              <w:t>he</w:t>
            </w:r>
            <w:r w:rsidR="002038D5">
              <w:t xml:space="preserve"> </w:t>
            </w:r>
            <w:r w:rsidR="00AB4C13">
              <w:rPr>
                <w:color w:val="000000"/>
              </w:rPr>
              <w:t xml:space="preserve">clinical </w:t>
            </w:r>
            <w:r w:rsidR="00AB4C13">
              <w:t>local</w:t>
            </w:r>
            <w:r w:rsidR="00AB4C13">
              <w:rPr>
                <w:color w:val="000000"/>
              </w:rPr>
              <w:t xml:space="preserve"> </w:t>
            </w:r>
            <w:r w:rsidR="00AB4C13">
              <w:t>activation</w:t>
            </w:r>
            <w:r w:rsidR="00AB4C13">
              <w:rPr>
                <w:color w:val="000000"/>
              </w:rPr>
              <w:t xml:space="preserve"> </w:t>
            </w:r>
            <w:r w:rsidR="00AB4C13">
              <w:t>time</w:t>
            </w:r>
            <w:r w:rsidR="00AB4C13">
              <w:rPr>
                <w:color w:val="000000"/>
              </w:rPr>
              <w:t xml:space="preserve"> </w:t>
            </w:r>
            <w:r w:rsidR="00AB4C13">
              <w:t>map</w:t>
            </w:r>
            <w:r w:rsidR="00AB4C13">
              <w:rPr>
                <w:color w:val="000000"/>
              </w:rPr>
              <w:t xml:space="preserve">, </w:t>
            </w:r>
          </w:p>
          <w:p w14:paraId="31E27D5E" w14:textId="3E5BCEC1" w:rsidR="00AB4C13" w:rsidRDefault="00B94CFA" w:rsidP="00AB4C13">
            <w:pPr>
              <w:pStyle w:val="Tabletext"/>
            </w:pPr>
            <w:r>
              <w:rPr>
                <w:color w:val="000000"/>
              </w:rPr>
              <w:t xml:space="preserve">                      </w:t>
            </w:r>
            <w:r w:rsidR="00AB4C13">
              <w:rPr>
                <w:color w:val="000000"/>
              </w:rPr>
              <w:t xml:space="preserve">then </w:t>
            </w:r>
            <w:r w:rsidR="00AB4C13">
              <w:t>calculates</w:t>
            </w:r>
            <w:r w:rsidR="00AB4C13">
              <w:rPr>
                <w:color w:val="000000"/>
              </w:rPr>
              <w:t xml:space="preserve"> the </w:t>
            </w:r>
            <w:r w:rsidR="00AB4C13">
              <w:t>mean</w:t>
            </w:r>
            <w:r w:rsidR="00AB4C13">
              <w:rPr>
                <w:color w:val="000000"/>
              </w:rPr>
              <w:t xml:space="preserve"> </w:t>
            </w:r>
            <w:r w:rsidR="00AB4C13">
              <w:t>of</w:t>
            </w:r>
            <w:r w:rsidR="00AB4C13">
              <w:rPr>
                <w:color w:val="000000"/>
              </w:rPr>
              <w:t xml:space="preserve"> </w:t>
            </w:r>
            <w:r w:rsidR="00201DAA">
              <w:t>this</w:t>
            </w:r>
            <w:r w:rsidR="00AB4C13">
              <w:rPr>
                <w:color w:val="000000"/>
              </w:rPr>
              <w:t xml:space="preserve"> </w:t>
            </w:r>
            <w:r w:rsidR="00201DAA">
              <w:t>set</w:t>
            </w:r>
            <w:r w:rsidR="00AB4C13">
              <w:rPr>
                <w:color w:val="000000"/>
              </w:rPr>
              <w:t xml:space="preserve"> </w:t>
            </w:r>
            <w:r w:rsidR="00AB4C13">
              <w:t>of</w:t>
            </w:r>
            <w:r w:rsidR="00AB4C13">
              <w:rPr>
                <w:color w:val="000000"/>
              </w:rPr>
              <w:t xml:space="preserve"> activation </w:t>
            </w:r>
            <w:r w:rsidR="00AB4C13">
              <w:t>times.</w:t>
            </w:r>
          </w:p>
          <w:p w14:paraId="550F353A" w14:textId="77777777" w:rsidR="00201DAA" w:rsidRDefault="00AB4C13" w:rsidP="00AB4C13">
            <w:pPr>
              <w:pStyle w:val="Tabletext"/>
              <w:rPr>
                <w:color w:val="000000"/>
              </w:rPr>
            </w:pPr>
            <w:r w:rsidRPr="0038157B">
              <w:rPr>
                <w:rStyle w:val="SubtleEmphasis"/>
              </w:rPr>
              <w:t>'openepmap</w:t>
            </w:r>
            <w:proofErr w:type="gramStart"/>
            <w:r w:rsidRPr="0038157B">
              <w:rPr>
                <w:rStyle w:val="SubtleEmphasis"/>
              </w:rPr>
              <w:t>'</w:t>
            </w:r>
            <w:r>
              <w:rPr>
                <w:color w:val="000000"/>
              </w:rPr>
              <w:t xml:space="preserve">  -</w:t>
            </w:r>
            <w:proofErr w:type="gramEnd"/>
            <w:r>
              <w:rPr>
                <w:color w:val="000000"/>
              </w:rPr>
              <w:t xml:space="preserve"> Calculates the latest </w:t>
            </w:r>
            <w:r>
              <w:t>activation</w:t>
            </w:r>
            <w:r>
              <w:rPr>
                <w:color w:val="000000"/>
              </w:rPr>
              <w:t xml:space="preserve"> </w:t>
            </w:r>
            <w:r w:rsidR="00201DAA">
              <w:t>time</w:t>
            </w:r>
            <w:r>
              <w:rPr>
                <w:color w:val="000000"/>
              </w:rPr>
              <w:t xml:space="preserve"> </w:t>
            </w:r>
            <w:r>
              <w:t>on</w:t>
            </w:r>
            <w:r>
              <w:rPr>
                <w:color w:val="000000"/>
              </w:rPr>
              <w:t xml:space="preserve"> </w:t>
            </w:r>
            <w:r>
              <w:t>the</w:t>
            </w:r>
            <w:r>
              <w:rPr>
                <w:color w:val="000000"/>
              </w:rPr>
              <w:t xml:space="preserve"> </w:t>
            </w:r>
            <w:r>
              <w:t>local</w:t>
            </w:r>
            <w:r>
              <w:rPr>
                <w:color w:val="000000"/>
              </w:rPr>
              <w:t xml:space="preserve"> </w:t>
            </w:r>
          </w:p>
          <w:p w14:paraId="22298893" w14:textId="77777777" w:rsidR="00201DAA" w:rsidRDefault="00201DAA" w:rsidP="00AB4C13">
            <w:pPr>
              <w:pStyle w:val="Tabletext"/>
              <w:rPr>
                <w:color w:val="000000"/>
              </w:rPr>
            </w:pPr>
            <w:r>
              <w:rPr>
                <w:color w:val="000000"/>
              </w:rPr>
              <w:t xml:space="preserve">                      </w:t>
            </w:r>
            <w:r w:rsidR="00AB4C13">
              <w:t>activation</w:t>
            </w:r>
            <w:r w:rsidR="00AB4C13">
              <w:rPr>
                <w:color w:val="000000"/>
              </w:rPr>
              <w:t xml:space="preserve"> time </w:t>
            </w:r>
            <w:r w:rsidR="00AB4C13">
              <w:t>map</w:t>
            </w:r>
            <w:r w:rsidR="00AB4C13">
              <w:rPr>
                <w:color w:val="000000"/>
              </w:rPr>
              <w:t xml:space="preserve"> </w:t>
            </w:r>
            <w:r w:rsidR="00AB4C13">
              <w:t>created</w:t>
            </w:r>
            <w:r w:rsidR="00AB4C13">
              <w:rPr>
                <w:color w:val="000000"/>
              </w:rPr>
              <w:t xml:space="preserve"> </w:t>
            </w:r>
            <w:r w:rsidR="00AB4C13">
              <w:t>by</w:t>
            </w:r>
            <w:r w:rsidR="00AB4C13">
              <w:rPr>
                <w:color w:val="000000"/>
              </w:rPr>
              <w:t xml:space="preserve"> </w:t>
            </w:r>
            <w:proofErr w:type="spellStart"/>
            <w:r w:rsidR="00AB4C13">
              <w:t>OpenEP</w:t>
            </w:r>
            <w:proofErr w:type="spellEnd"/>
            <w:r w:rsidR="00AB4C13">
              <w:rPr>
                <w:color w:val="000000"/>
              </w:rPr>
              <w:t xml:space="preserve"> </w:t>
            </w:r>
            <w:r w:rsidR="00AB4C13">
              <w:t>from</w:t>
            </w:r>
            <w:r w:rsidR="00AB4C13">
              <w:rPr>
                <w:color w:val="000000"/>
              </w:rPr>
              <w:t xml:space="preserve"> </w:t>
            </w:r>
            <w:r w:rsidR="00AB4C13">
              <w:t>the</w:t>
            </w:r>
            <w:r w:rsidR="00AB4C13">
              <w:rPr>
                <w:color w:val="000000"/>
              </w:rPr>
              <w:t xml:space="preserve"> </w:t>
            </w:r>
          </w:p>
          <w:p w14:paraId="295A028D" w14:textId="3E434BA9" w:rsidR="00AB4C13" w:rsidRDefault="00201DAA" w:rsidP="00AB4C13">
            <w:pPr>
              <w:pStyle w:val="Tabletext"/>
            </w:pPr>
            <w:r>
              <w:rPr>
                <w:color w:val="000000"/>
              </w:rPr>
              <w:t xml:space="preserve">                      e</w:t>
            </w:r>
            <w:r w:rsidR="00AB4C13">
              <w:t>xported</w:t>
            </w:r>
            <w:r w:rsidR="00AB4C13">
              <w:rPr>
                <w:color w:val="000000"/>
              </w:rPr>
              <w:t xml:space="preserve"> electrogram </w:t>
            </w:r>
            <w:r w:rsidR="00AB4C13">
              <w:t>annotations.</w:t>
            </w:r>
          </w:p>
          <w:p w14:paraId="395BD1D7" w14:textId="1ADAFBEB" w:rsidR="00201DAA" w:rsidRDefault="00AB4C13" w:rsidP="00AB4C13">
            <w:pPr>
              <w:pStyle w:val="Tabletext"/>
              <w:rPr>
                <w:color w:val="000000"/>
              </w:rPr>
            </w:pPr>
            <w:r w:rsidRPr="0038157B">
              <w:rPr>
                <w:rStyle w:val="SubtleEmphasis"/>
              </w:rPr>
              <w:t>'openepmapprct'</w:t>
            </w:r>
            <w:r>
              <w:rPr>
                <w:color w:val="000000"/>
              </w:rPr>
              <w:t xml:space="preserve">- First calculates </w:t>
            </w:r>
            <w:r>
              <w:t>the</w:t>
            </w:r>
            <w:r>
              <w:rPr>
                <w:color w:val="000000"/>
              </w:rPr>
              <w:t xml:space="preserve"> </w:t>
            </w:r>
            <w:r w:rsidR="00B94CFA">
              <w:t>97.5-100</w:t>
            </w:r>
            <w:r>
              <w:t>th</w:t>
            </w:r>
            <w:r>
              <w:rPr>
                <w:color w:val="000000"/>
              </w:rPr>
              <w:t xml:space="preserve"> </w:t>
            </w:r>
            <w:r>
              <w:t>percentile</w:t>
            </w:r>
            <w:r>
              <w:rPr>
                <w:color w:val="000000"/>
              </w:rPr>
              <w:t xml:space="preserve"> </w:t>
            </w:r>
          </w:p>
          <w:p w14:paraId="079DCD41" w14:textId="77777777" w:rsidR="00CC22D1" w:rsidRDefault="00201DAA" w:rsidP="00AB4C13">
            <w:pPr>
              <w:pStyle w:val="Tabletext"/>
              <w:rPr>
                <w:color w:val="000000"/>
              </w:rPr>
            </w:pPr>
            <w:r>
              <w:rPr>
                <w:color w:val="000000"/>
              </w:rPr>
              <w:t xml:space="preserve">                      </w:t>
            </w:r>
            <w:r w:rsidR="00AB4C13">
              <w:t>mapping</w:t>
            </w:r>
            <w:r w:rsidR="00AB4C13">
              <w:rPr>
                <w:color w:val="000000"/>
              </w:rPr>
              <w:t xml:space="preserve"> </w:t>
            </w:r>
            <w:r w:rsidR="00AB4C13">
              <w:t>times</w:t>
            </w:r>
            <w:r w:rsidR="00AB4C13">
              <w:rPr>
                <w:color w:val="000000"/>
              </w:rPr>
              <w:t xml:space="preserve"> </w:t>
            </w:r>
            <w:r w:rsidR="00AB4C13">
              <w:t>on</w:t>
            </w:r>
            <w:r w:rsidR="00AB4C13">
              <w:rPr>
                <w:color w:val="000000"/>
              </w:rPr>
              <w:t xml:space="preserve"> </w:t>
            </w:r>
            <w:r w:rsidR="00AB4C13">
              <w:t>the</w:t>
            </w:r>
            <w:r w:rsidR="00AB4C13">
              <w:rPr>
                <w:color w:val="000000"/>
              </w:rPr>
              <w:t xml:space="preserve"> </w:t>
            </w:r>
            <w:r w:rsidR="00AB4C13">
              <w:t>local</w:t>
            </w:r>
            <w:r w:rsidR="00AB4C13">
              <w:rPr>
                <w:color w:val="000000"/>
              </w:rPr>
              <w:t xml:space="preserve"> activation </w:t>
            </w:r>
            <w:r w:rsidR="00AB4C13">
              <w:t>time</w:t>
            </w:r>
            <w:r w:rsidR="00AB4C13">
              <w:rPr>
                <w:color w:val="000000"/>
              </w:rPr>
              <w:t xml:space="preserve"> </w:t>
            </w:r>
            <w:r w:rsidR="00AB4C13">
              <w:t>map</w:t>
            </w:r>
            <w:r w:rsidR="00AB4C13">
              <w:rPr>
                <w:color w:val="000000"/>
              </w:rPr>
              <w:t xml:space="preserve"> </w:t>
            </w:r>
            <w:r w:rsidR="00AB4C13">
              <w:t>created</w:t>
            </w:r>
            <w:r w:rsidR="00AB4C13">
              <w:rPr>
                <w:color w:val="000000"/>
              </w:rPr>
              <w:t xml:space="preserve"> </w:t>
            </w:r>
            <w:r w:rsidR="00CC22D1">
              <w:rPr>
                <w:color w:val="000000"/>
              </w:rPr>
              <w:t xml:space="preserve"> </w:t>
            </w:r>
          </w:p>
          <w:p w14:paraId="023F5518" w14:textId="77777777" w:rsidR="00CC22D1" w:rsidRDefault="00CC22D1" w:rsidP="00AB4C13">
            <w:pPr>
              <w:pStyle w:val="Tabletext"/>
              <w:rPr>
                <w:color w:val="000000"/>
              </w:rPr>
            </w:pPr>
            <w:r>
              <w:rPr>
                <w:color w:val="000000"/>
              </w:rPr>
              <w:t xml:space="preserve">                      </w:t>
            </w:r>
            <w:r w:rsidR="00AB4C13">
              <w:t>by</w:t>
            </w:r>
            <w:r w:rsidR="00AB4C13">
              <w:rPr>
                <w:color w:val="000000"/>
              </w:rPr>
              <w:t xml:space="preserve"> </w:t>
            </w:r>
            <w:proofErr w:type="spellStart"/>
            <w:r w:rsidR="00AB4C13">
              <w:t>OpenEP</w:t>
            </w:r>
            <w:proofErr w:type="spellEnd"/>
            <w:r w:rsidR="00AB4C13">
              <w:rPr>
                <w:color w:val="000000"/>
              </w:rPr>
              <w:t xml:space="preserve"> </w:t>
            </w:r>
            <w:r w:rsidR="00AB4C13">
              <w:t>from</w:t>
            </w:r>
            <w:r w:rsidR="00AB4C13">
              <w:rPr>
                <w:color w:val="000000"/>
              </w:rPr>
              <w:t xml:space="preserve"> </w:t>
            </w:r>
            <w:r w:rsidR="00AB4C13">
              <w:t>the</w:t>
            </w:r>
            <w:r w:rsidR="00AB4C13">
              <w:rPr>
                <w:color w:val="000000"/>
              </w:rPr>
              <w:t xml:space="preserve"> exported </w:t>
            </w:r>
            <w:r w:rsidR="00AB4C13">
              <w:t>electrogram</w:t>
            </w:r>
            <w:r w:rsidR="00AB4C13">
              <w:rPr>
                <w:color w:val="000000"/>
              </w:rPr>
              <w:t xml:space="preserve"> </w:t>
            </w:r>
            <w:r w:rsidR="00AB4C13">
              <w:t>annotations.</w:t>
            </w:r>
            <w:r w:rsidR="00AB4C13">
              <w:rPr>
                <w:color w:val="000000"/>
              </w:rPr>
              <w:t xml:space="preserve"> </w:t>
            </w:r>
          </w:p>
          <w:p w14:paraId="1B13F327" w14:textId="66A167FE" w:rsidR="00AB4C13" w:rsidRDefault="00CC22D1" w:rsidP="006F45F6">
            <w:pPr>
              <w:pStyle w:val="Tabletext"/>
            </w:pPr>
            <w:r>
              <w:rPr>
                <w:color w:val="000000"/>
              </w:rPr>
              <w:t xml:space="preserve">                      </w:t>
            </w:r>
            <w:r w:rsidR="00AB4C13">
              <w:t>Then</w:t>
            </w:r>
            <w:r w:rsidR="00AB4C13">
              <w:rPr>
                <w:color w:val="000000"/>
              </w:rPr>
              <w:t xml:space="preserve"> </w:t>
            </w:r>
            <w:r w:rsidR="00AB4C13">
              <w:t>calculates</w:t>
            </w:r>
            <w:r w:rsidR="00AB4C13">
              <w:rPr>
                <w:color w:val="000000"/>
              </w:rPr>
              <w:t xml:space="preserve"> </w:t>
            </w:r>
            <w:r>
              <w:rPr>
                <w:color w:val="000000"/>
              </w:rPr>
              <w:t>the mea</w:t>
            </w:r>
            <w:r w:rsidR="00AB4C13">
              <w:t>n</w:t>
            </w:r>
            <w:r w:rsidR="00AB4C13">
              <w:rPr>
                <w:color w:val="000000"/>
              </w:rPr>
              <w:t xml:space="preserve"> </w:t>
            </w:r>
            <w:r w:rsidR="00AB4C13">
              <w:t>of</w:t>
            </w:r>
            <w:r w:rsidR="00AB4C13">
              <w:rPr>
                <w:color w:val="000000"/>
              </w:rPr>
              <w:t xml:space="preserve"> </w:t>
            </w:r>
            <w:r>
              <w:t>this</w:t>
            </w:r>
            <w:r w:rsidR="00AB4C13">
              <w:rPr>
                <w:color w:val="000000"/>
              </w:rPr>
              <w:t xml:space="preserve"> </w:t>
            </w:r>
            <w:r>
              <w:t>set</w:t>
            </w:r>
            <w:r w:rsidR="00AB4C13">
              <w:rPr>
                <w:color w:val="000000"/>
              </w:rPr>
              <w:t xml:space="preserve"> </w:t>
            </w:r>
            <w:r w:rsidR="00AB4C13">
              <w:t>of</w:t>
            </w:r>
            <w:r w:rsidR="00AB4C13">
              <w:rPr>
                <w:color w:val="000000"/>
              </w:rPr>
              <w:t xml:space="preserve"> activation </w:t>
            </w:r>
            <w:r w:rsidR="00AB4C13">
              <w:t>times.</w:t>
            </w:r>
          </w:p>
          <w:p w14:paraId="6382A9D6" w14:textId="77777777" w:rsidR="00174F87" w:rsidRDefault="00174F87" w:rsidP="00174F87">
            <w:pPr>
              <w:pStyle w:val="Tabletextheading"/>
            </w:pPr>
            <w:r w:rsidRPr="00B035AB">
              <w:t>Example</w:t>
            </w:r>
            <w:r w:rsidRPr="00B341D1">
              <w:t xml:space="preserve"> function call</w:t>
            </w:r>
            <w:r>
              <w:t>(s)</w:t>
            </w:r>
          </w:p>
          <w:p w14:paraId="69EE1E20" w14:textId="59E5E350" w:rsidR="00174F87" w:rsidRPr="00F25595" w:rsidRDefault="00F25595" w:rsidP="00F25595">
            <w:pPr>
              <w:pStyle w:val="Code"/>
              <w:rPr>
                <w:sz w:val="24"/>
              </w:rPr>
            </w:pPr>
            <w:r>
              <w:t xml:space="preserve">[X, </w:t>
            </w:r>
            <w:proofErr w:type="spellStart"/>
            <w:r>
              <w:t>surfX</w:t>
            </w:r>
            <w:proofErr w:type="spellEnd"/>
            <w:r>
              <w:t xml:space="preserve">, </w:t>
            </w:r>
            <w:proofErr w:type="spellStart"/>
            <w:r>
              <w:t>iPoint</w:t>
            </w:r>
            <w:proofErr w:type="spellEnd"/>
            <w:r>
              <w:t xml:space="preserve">, t] = </w:t>
            </w:r>
            <w:proofErr w:type="spellStart"/>
            <w:proofErr w:type="gramStart"/>
            <w:r>
              <w:t>getLatestActivationSite</w:t>
            </w:r>
            <w:proofErr w:type="spellEnd"/>
            <w:r>
              <w:t xml:space="preserve">( </w:t>
            </w:r>
            <w:proofErr w:type="spellStart"/>
            <w:r>
              <w:t>userdata</w:t>
            </w:r>
            <w:proofErr w:type="spellEnd"/>
            <w:proofErr w:type="gramEnd"/>
            <w:r>
              <w:t xml:space="preserve"> )</w:t>
            </w:r>
            <w:r w:rsidR="00CE37C1">
              <w:t>;</w:t>
            </w:r>
          </w:p>
        </w:tc>
      </w:tr>
      <w:tr w:rsidR="00174F87" w:rsidRPr="004F7B48" w14:paraId="473ABAAE" w14:textId="77777777" w:rsidTr="00861399">
        <w:tc>
          <w:tcPr>
            <w:tcW w:w="1353" w:type="pct"/>
          </w:tcPr>
          <w:p w14:paraId="0B3C225C" w14:textId="1CAD4F8B" w:rsidR="00174F87" w:rsidRPr="006A0BFF" w:rsidRDefault="00174F87" w:rsidP="00174F87">
            <w:pPr>
              <w:rPr>
                <w:rStyle w:val="SubtleEmphasis"/>
              </w:rPr>
            </w:pPr>
            <w:r w:rsidRPr="006A0BFF">
              <w:rPr>
                <w:rStyle w:val="SubtleEmphasis"/>
              </w:rPr>
              <w:lastRenderedPageBreak/>
              <w:t>getMappingPointsWithinWoI(</w:t>
            </w:r>
            <w:r>
              <w:rPr>
                <w:rStyle w:val="SubtleEmphasis"/>
              </w:rPr>
              <w:t>...</w:t>
            </w:r>
            <w:r w:rsidRPr="006A0BFF">
              <w:rPr>
                <w:rStyle w:val="SubtleEmphasis"/>
              </w:rPr>
              <w:t>)</w:t>
            </w:r>
          </w:p>
        </w:tc>
        <w:tc>
          <w:tcPr>
            <w:tcW w:w="1703" w:type="pct"/>
          </w:tcPr>
          <w:p w14:paraId="54D6F08A"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1A29F2A8" w14:textId="77777777" w:rsidTr="00161929">
              <w:tc>
                <w:tcPr>
                  <w:tcW w:w="1487" w:type="pct"/>
                </w:tcPr>
                <w:p w14:paraId="54D6B0ED" w14:textId="115A3BF9" w:rsidR="00174F87" w:rsidRPr="006C15AE" w:rsidRDefault="003C63CA" w:rsidP="00174F87">
                  <w:pPr>
                    <w:rPr>
                      <w:rStyle w:val="SubtleEmphasis"/>
                    </w:rPr>
                  </w:pPr>
                  <w:r>
                    <w:rPr>
                      <w:rStyle w:val="SubtleEmphasis"/>
                    </w:rPr>
                    <w:t>1</w:t>
                  </w:r>
                </w:p>
              </w:tc>
              <w:tc>
                <w:tcPr>
                  <w:tcW w:w="3513" w:type="pct"/>
                </w:tcPr>
                <w:p w14:paraId="4B4E6949" w14:textId="022E9854" w:rsidR="00174F87" w:rsidRPr="006C15AE" w:rsidRDefault="003C63CA" w:rsidP="00174F87">
                  <w:pPr>
                    <w:pStyle w:val="Tabletext"/>
                    <w:rPr>
                      <w:rStyle w:val="SubtleEmphasis"/>
                    </w:rPr>
                  </w:pPr>
                  <w:r>
                    <w:rPr>
                      <w:rStyle w:val="SubtleEmphasis"/>
                    </w:rPr>
                    <w:t>userdata</w:t>
                  </w:r>
                </w:p>
              </w:tc>
            </w:tr>
          </w:tbl>
          <w:p w14:paraId="564EE867"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3903C10B" w14:textId="77777777" w:rsidTr="00161929">
              <w:tc>
                <w:tcPr>
                  <w:tcW w:w="1771" w:type="pct"/>
                </w:tcPr>
                <w:p w14:paraId="2C369B4D" w14:textId="24171E94" w:rsidR="00174F87" w:rsidRPr="006C15AE" w:rsidRDefault="00F53847" w:rsidP="00174F87">
                  <w:pPr>
                    <w:rPr>
                      <w:rStyle w:val="SubtleEmphasis"/>
                    </w:rPr>
                  </w:pPr>
                  <w:r>
                    <w:rPr>
                      <w:rStyle w:val="SubtleEmphasis"/>
                    </w:rPr>
                    <w:t>None</w:t>
                  </w:r>
                </w:p>
              </w:tc>
              <w:tc>
                <w:tcPr>
                  <w:tcW w:w="3229" w:type="pct"/>
                </w:tcPr>
                <w:p w14:paraId="45F09152" w14:textId="77777777" w:rsidR="00174F87" w:rsidRPr="006C15AE" w:rsidRDefault="00174F87" w:rsidP="00174F87">
                  <w:pPr>
                    <w:pStyle w:val="Tabletext"/>
                    <w:rPr>
                      <w:rStyle w:val="SubtleEmphasis"/>
                    </w:rPr>
                  </w:pPr>
                </w:p>
              </w:tc>
            </w:tr>
          </w:tbl>
          <w:p w14:paraId="60119D0F"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4F536C63" w14:textId="77777777" w:rsidTr="00161929">
              <w:tc>
                <w:tcPr>
                  <w:tcW w:w="1771" w:type="pct"/>
                </w:tcPr>
                <w:p w14:paraId="1EC32F07" w14:textId="583D7A46" w:rsidR="00174F87" w:rsidRPr="006C15AE" w:rsidRDefault="00F53847" w:rsidP="00174F87">
                  <w:pPr>
                    <w:rPr>
                      <w:rStyle w:val="SubtleEmphasis"/>
                    </w:rPr>
                  </w:pPr>
                  <w:r>
                    <w:rPr>
                      <w:rStyle w:val="SubtleEmphasis"/>
                    </w:rPr>
                    <w:lastRenderedPageBreak/>
                    <w:t>iPoint</w:t>
                  </w:r>
                </w:p>
              </w:tc>
              <w:tc>
                <w:tcPr>
                  <w:tcW w:w="3229" w:type="pct"/>
                </w:tcPr>
                <w:p w14:paraId="40EFEC92" w14:textId="77777777" w:rsidR="00174F87" w:rsidRPr="006C15AE" w:rsidRDefault="00174F87" w:rsidP="00174F87">
                  <w:pPr>
                    <w:pStyle w:val="Tabletext"/>
                    <w:rPr>
                      <w:rStyle w:val="SubtleEmphasis"/>
                    </w:rPr>
                  </w:pPr>
                </w:p>
              </w:tc>
            </w:tr>
          </w:tbl>
          <w:p w14:paraId="1CFEDB8C" w14:textId="77777777" w:rsidR="00174F87" w:rsidRPr="009326DB" w:rsidRDefault="00174F87" w:rsidP="00174F87">
            <w:pPr>
              <w:rPr>
                <w:rFonts w:ascii="Consolas" w:hAnsi="Consolas" w:cs="Consolas"/>
                <w:sz w:val="18"/>
                <w:szCs w:val="18"/>
              </w:rPr>
            </w:pPr>
          </w:p>
        </w:tc>
        <w:tc>
          <w:tcPr>
            <w:tcW w:w="1944" w:type="pct"/>
          </w:tcPr>
          <w:p w14:paraId="4E71F984" w14:textId="77777777" w:rsidR="00174F87" w:rsidRPr="00893BD2" w:rsidRDefault="00174F87" w:rsidP="00174F87">
            <w:pPr>
              <w:pStyle w:val="Tabletextheading"/>
            </w:pPr>
            <w:r>
              <w:lastRenderedPageBreak/>
              <w:t>Use case</w:t>
            </w:r>
          </w:p>
          <w:p w14:paraId="057E17D8" w14:textId="7E91BFB0" w:rsidR="00174F87" w:rsidRDefault="00F53847" w:rsidP="00174F87">
            <w:pPr>
              <w:pStyle w:val="Tabletext"/>
            </w:pPr>
            <w:r>
              <w:t>Returns the indices of the mapping points with annotated local activation time within the window of interest.</w:t>
            </w:r>
          </w:p>
          <w:p w14:paraId="5165799B" w14:textId="77777777" w:rsidR="00174F87" w:rsidRDefault="00174F87" w:rsidP="00174F87">
            <w:pPr>
              <w:pStyle w:val="Tabletextheading"/>
            </w:pPr>
            <w:r>
              <w:t>Description</w:t>
            </w:r>
          </w:p>
          <w:p w14:paraId="0BDC0842" w14:textId="77777777" w:rsidR="00F53847" w:rsidRDefault="00F53847" w:rsidP="00F53847">
            <w:pPr>
              <w:pStyle w:val="Tabletext"/>
            </w:pPr>
            <w:r>
              <w:t>Returns the indices of the mapping points with annotated local activation time within the window of interest.</w:t>
            </w:r>
          </w:p>
          <w:p w14:paraId="6EEFA867" w14:textId="77777777" w:rsidR="00174F87" w:rsidRDefault="00174F87" w:rsidP="00174F87">
            <w:pPr>
              <w:pStyle w:val="Tabletextheading"/>
            </w:pPr>
            <w:r w:rsidRPr="00B035AB">
              <w:t>Example</w:t>
            </w:r>
            <w:r w:rsidRPr="00B341D1">
              <w:t xml:space="preserve"> function call</w:t>
            </w:r>
            <w:r>
              <w:t>(s)</w:t>
            </w:r>
          </w:p>
          <w:p w14:paraId="78393F35" w14:textId="7F1FF7BD" w:rsidR="00174F87" w:rsidRPr="00F53847" w:rsidRDefault="00F53847" w:rsidP="00F53847">
            <w:pPr>
              <w:pStyle w:val="Code"/>
              <w:rPr>
                <w:sz w:val="24"/>
              </w:rPr>
            </w:pPr>
            <w:proofErr w:type="spellStart"/>
            <w:r>
              <w:lastRenderedPageBreak/>
              <w:t>iPoint</w:t>
            </w:r>
            <w:proofErr w:type="spellEnd"/>
            <w:r>
              <w:t xml:space="preserve"> = </w:t>
            </w:r>
            <w:proofErr w:type="spellStart"/>
            <w:proofErr w:type="gramStart"/>
            <w:r>
              <w:t>getMappingPointsWithinWoI</w:t>
            </w:r>
            <w:proofErr w:type="spellEnd"/>
            <w:r>
              <w:t xml:space="preserve">( </w:t>
            </w:r>
            <w:proofErr w:type="spellStart"/>
            <w:r>
              <w:t>userdata</w:t>
            </w:r>
            <w:proofErr w:type="spellEnd"/>
            <w:proofErr w:type="gramEnd"/>
            <w:r>
              <w:t xml:space="preserve"> );</w:t>
            </w:r>
          </w:p>
        </w:tc>
      </w:tr>
      <w:tr w:rsidR="00174F87" w:rsidRPr="004F7B48" w14:paraId="03B8E331" w14:textId="77777777" w:rsidTr="00861399">
        <w:tc>
          <w:tcPr>
            <w:tcW w:w="1353" w:type="pct"/>
          </w:tcPr>
          <w:p w14:paraId="0C009E00" w14:textId="3FD15233" w:rsidR="00174F87" w:rsidRPr="006A0BFF" w:rsidRDefault="00174F87" w:rsidP="00174F87">
            <w:pPr>
              <w:rPr>
                <w:rStyle w:val="SubtleEmphasis"/>
              </w:rPr>
            </w:pPr>
            <w:r w:rsidRPr="006A0BFF">
              <w:rPr>
                <w:rStyle w:val="SubtleEmphasis"/>
              </w:rPr>
              <w:lastRenderedPageBreak/>
              <w:t>getTotalActivationTime(</w:t>
            </w:r>
            <w:r>
              <w:rPr>
                <w:rStyle w:val="SubtleEmphasis"/>
              </w:rPr>
              <w:t>...</w:t>
            </w:r>
            <w:r w:rsidRPr="006A0BFF">
              <w:rPr>
                <w:rStyle w:val="SubtleEmphasis"/>
              </w:rPr>
              <w:t>)</w:t>
            </w:r>
          </w:p>
        </w:tc>
        <w:tc>
          <w:tcPr>
            <w:tcW w:w="1703" w:type="pct"/>
          </w:tcPr>
          <w:p w14:paraId="312BBF5C"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64BC75A0" w14:textId="77777777" w:rsidTr="00161929">
              <w:tc>
                <w:tcPr>
                  <w:tcW w:w="1487" w:type="pct"/>
                </w:tcPr>
                <w:p w14:paraId="76590176" w14:textId="5D018FF4" w:rsidR="00174F87" w:rsidRPr="006C15AE" w:rsidRDefault="00D03337" w:rsidP="00174F87">
                  <w:pPr>
                    <w:rPr>
                      <w:rStyle w:val="SubtleEmphasis"/>
                    </w:rPr>
                  </w:pPr>
                  <w:r>
                    <w:rPr>
                      <w:rStyle w:val="SubtleEmphasis"/>
                    </w:rPr>
                    <w:t>1</w:t>
                  </w:r>
                </w:p>
              </w:tc>
              <w:tc>
                <w:tcPr>
                  <w:tcW w:w="3513" w:type="pct"/>
                </w:tcPr>
                <w:p w14:paraId="4F9A124A" w14:textId="4D1C1694" w:rsidR="00174F87" w:rsidRPr="006C15AE" w:rsidRDefault="00D03337" w:rsidP="00174F87">
                  <w:pPr>
                    <w:pStyle w:val="Tabletext"/>
                    <w:rPr>
                      <w:rStyle w:val="SubtleEmphasis"/>
                    </w:rPr>
                  </w:pPr>
                  <w:r>
                    <w:rPr>
                      <w:rStyle w:val="SubtleEmphasis"/>
                    </w:rPr>
                    <w:t>userdata</w:t>
                  </w:r>
                </w:p>
              </w:tc>
            </w:tr>
          </w:tbl>
          <w:p w14:paraId="2CF965AD"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7C7BB9A3" w14:textId="77777777" w:rsidTr="00161929">
              <w:tc>
                <w:tcPr>
                  <w:tcW w:w="1771" w:type="pct"/>
                </w:tcPr>
                <w:p w14:paraId="76BE5C8F" w14:textId="2242E88B" w:rsidR="00174F87" w:rsidRPr="006C15AE" w:rsidRDefault="00DD6E64" w:rsidP="00174F87">
                  <w:pPr>
                    <w:rPr>
                      <w:rStyle w:val="SubtleEmphasis"/>
                    </w:rPr>
                  </w:pPr>
                  <w:r>
                    <w:rPr>
                      <w:rStyle w:val="SubtleEmphasis"/>
                    </w:rPr>
                    <w:t>‘method’</w:t>
                  </w:r>
                </w:p>
              </w:tc>
              <w:tc>
                <w:tcPr>
                  <w:tcW w:w="3229" w:type="pct"/>
                </w:tcPr>
                <w:p w14:paraId="7FF1DB6C" w14:textId="3B521C6C" w:rsidR="00174F87" w:rsidRPr="00DD6E64" w:rsidRDefault="00DD6E64" w:rsidP="00DD6E64">
                  <w:pPr>
                    <w:pStyle w:val="Code"/>
                    <w:rPr>
                      <w:rStyle w:val="SubtleEmphasis"/>
                      <w:iCs w:val="0"/>
                      <w:noProof w:val="0"/>
                      <w:color w:val="auto"/>
                      <w:sz w:val="24"/>
                    </w:rPr>
                  </w:pPr>
                  <w:r>
                    <w:t>{'</w:t>
                  </w:r>
                  <w:proofErr w:type="spellStart"/>
                  <w:r>
                    <w:t>ptbased</w:t>
                  </w:r>
                  <w:proofErr w:type="spellEnd"/>
                  <w:r>
                    <w:t>'} | '</w:t>
                  </w:r>
                  <w:proofErr w:type="spellStart"/>
                  <w:r>
                    <w:t>ptbasedprct</w:t>
                  </w:r>
                  <w:proofErr w:type="spellEnd"/>
                  <w:r>
                    <w:t>' | '</w:t>
                  </w:r>
                  <w:proofErr w:type="spellStart"/>
                  <w:r>
                    <w:t>clinmap</w:t>
                  </w:r>
                  <w:proofErr w:type="spellEnd"/>
                  <w:r>
                    <w:t>' | '</w:t>
                  </w:r>
                  <w:proofErr w:type="spellStart"/>
                  <w:r>
                    <w:t>clinmapprct</w:t>
                  </w:r>
                  <w:proofErr w:type="spellEnd"/>
                  <w:r>
                    <w:t>' | '</w:t>
                  </w:r>
                  <w:proofErr w:type="spellStart"/>
                  <w:r>
                    <w:t>openepmap</w:t>
                  </w:r>
                  <w:proofErr w:type="spellEnd"/>
                  <w:r>
                    <w:t>' | '</w:t>
                  </w:r>
                  <w:proofErr w:type="spellStart"/>
                  <w:r>
                    <w:t>openmapprct</w:t>
                  </w:r>
                  <w:proofErr w:type="spellEnd"/>
                  <w:r>
                    <w:t>'</w:t>
                  </w:r>
                </w:p>
              </w:tc>
            </w:tr>
            <w:tr w:rsidR="00DD6E64" w14:paraId="59B937C2" w14:textId="77777777" w:rsidTr="00161929">
              <w:tc>
                <w:tcPr>
                  <w:tcW w:w="1771" w:type="pct"/>
                </w:tcPr>
                <w:p w14:paraId="0C3A9143" w14:textId="70FD4404" w:rsidR="00DD6E64" w:rsidRDefault="00DD6E64" w:rsidP="00174F87">
                  <w:pPr>
                    <w:rPr>
                      <w:rStyle w:val="SubtleEmphasis"/>
                    </w:rPr>
                  </w:pPr>
                  <w:r>
                    <w:rPr>
                      <w:rStyle w:val="SubtleEmphasis"/>
                    </w:rPr>
                    <w:t>‘prct’</w:t>
                  </w:r>
                </w:p>
              </w:tc>
              <w:tc>
                <w:tcPr>
                  <w:tcW w:w="3229" w:type="pct"/>
                </w:tcPr>
                <w:p w14:paraId="3DE372D5" w14:textId="7193A62A" w:rsidR="00DD6E64" w:rsidRDefault="00DD6E64" w:rsidP="00DD6E64">
                  <w:pPr>
                    <w:pStyle w:val="Code"/>
                  </w:pPr>
                  <w:r>
                    <w:t>{2.5}</w:t>
                  </w:r>
                  <w:r w:rsidR="00A50FC0">
                    <w:t xml:space="preserve"> | double</w:t>
                  </w:r>
                </w:p>
              </w:tc>
            </w:tr>
          </w:tbl>
          <w:p w14:paraId="318DA8B6"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5A56BA9D" w14:textId="77777777" w:rsidTr="00161929">
              <w:tc>
                <w:tcPr>
                  <w:tcW w:w="1771" w:type="pct"/>
                </w:tcPr>
                <w:p w14:paraId="228E29C2" w14:textId="34A29A2D" w:rsidR="00174F87" w:rsidRPr="006C15AE" w:rsidRDefault="00D03337" w:rsidP="00174F87">
                  <w:pPr>
                    <w:rPr>
                      <w:rStyle w:val="SubtleEmphasis"/>
                    </w:rPr>
                  </w:pPr>
                  <w:r>
                    <w:rPr>
                      <w:rStyle w:val="SubtleEmphasis"/>
                    </w:rPr>
                    <w:t>tat</w:t>
                  </w:r>
                </w:p>
              </w:tc>
              <w:tc>
                <w:tcPr>
                  <w:tcW w:w="3229" w:type="pct"/>
                </w:tcPr>
                <w:p w14:paraId="42E4B092" w14:textId="0D78D0F8" w:rsidR="00174F87" w:rsidRPr="00A50FC0" w:rsidRDefault="00A50FC0" w:rsidP="00A50FC0">
                  <w:pPr>
                    <w:pStyle w:val="Tabletext"/>
                    <w:rPr>
                      <w:rStyle w:val="SubtleEmphasis"/>
                      <w:rFonts w:asciiTheme="minorHAnsi" w:hAnsiTheme="minorHAnsi"/>
                      <w:iCs w:val="0"/>
                      <w:noProof w:val="0"/>
                      <w:color w:val="auto"/>
                    </w:rPr>
                  </w:pPr>
                  <w:r w:rsidRPr="00A50FC0">
                    <w:rPr>
                      <w:rStyle w:val="SubtleEmphasis"/>
                      <w:rFonts w:asciiTheme="minorHAnsi" w:hAnsiTheme="minorHAnsi"/>
                      <w:iCs w:val="0"/>
                      <w:noProof w:val="0"/>
                      <w:color w:val="auto"/>
                    </w:rPr>
                    <w:t xml:space="preserve">The total activation time, in </w:t>
                  </w:r>
                  <w:proofErr w:type="spellStart"/>
                  <w:r w:rsidRPr="00A50FC0">
                    <w:rPr>
                      <w:rStyle w:val="SubtleEmphasis"/>
                      <w:rFonts w:asciiTheme="minorHAnsi" w:hAnsiTheme="minorHAnsi"/>
                      <w:iCs w:val="0"/>
                      <w:noProof w:val="0"/>
                      <w:color w:val="auto"/>
                    </w:rPr>
                    <w:t>ms</w:t>
                  </w:r>
                  <w:proofErr w:type="spellEnd"/>
                </w:p>
              </w:tc>
            </w:tr>
          </w:tbl>
          <w:p w14:paraId="0EBA0ED7" w14:textId="77777777" w:rsidR="00174F87" w:rsidRPr="009326DB" w:rsidRDefault="00174F87" w:rsidP="00174F87">
            <w:pPr>
              <w:rPr>
                <w:rFonts w:ascii="Consolas" w:hAnsi="Consolas" w:cs="Consolas"/>
                <w:sz w:val="18"/>
                <w:szCs w:val="18"/>
              </w:rPr>
            </w:pPr>
          </w:p>
        </w:tc>
        <w:tc>
          <w:tcPr>
            <w:tcW w:w="1944" w:type="pct"/>
          </w:tcPr>
          <w:p w14:paraId="4C41F040" w14:textId="77777777" w:rsidR="00174F87" w:rsidRPr="00893BD2" w:rsidRDefault="00174F87" w:rsidP="00174F87">
            <w:pPr>
              <w:pStyle w:val="Tabletextheading"/>
            </w:pPr>
            <w:r>
              <w:t>Use case</w:t>
            </w:r>
          </w:p>
          <w:p w14:paraId="18AAB193" w14:textId="0FF4BC1E" w:rsidR="00174F87" w:rsidRDefault="00A50FC0" w:rsidP="00174F87">
            <w:pPr>
              <w:pStyle w:val="Tabletext"/>
            </w:pPr>
            <w:r>
              <w:t>Returns the total activation time of the chamber</w:t>
            </w:r>
          </w:p>
          <w:p w14:paraId="676B2493" w14:textId="77777777" w:rsidR="00174F87" w:rsidRDefault="00174F87" w:rsidP="00174F87">
            <w:pPr>
              <w:pStyle w:val="Tabletextheading"/>
            </w:pPr>
            <w:r>
              <w:t>Description</w:t>
            </w:r>
          </w:p>
          <w:p w14:paraId="146702E2" w14:textId="36DDC41C" w:rsidR="00174F87" w:rsidRDefault="004A0B9E" w:rsidP="00BD67E4">
            <w:pPr>
              <w:pStyle w:val="Tabletext"/>
            </w:pPr>
            <w:r>
              <w:t>Returns the total activation time of the chamber.</w:t>
            </w:r>
            <w:r w:rsidR="00BD67E4">
              <w:t xml:space="preserve"> Several alternative methods are provided, and specified by setting the 'method' parameter-value pair to one of the following options:</w:t>
            </w:r>
          </w:p>
          <w:p w14:paraId="3ECD2093" w14:textId="7B7E3614" w:rsidR="0038157B" w:rsidRDefault="0038157B" w:rsidP="0038157B">
            <w:pPr>
              <w:pStyle w:val="Tabletext"/>
            </w:pPr>
            <w:r w:rsidRPr="0038157B">
              <w:rPr>
                <w:rStyle w:val="SubtleEmphasis"/>
              </w:rPr>
              <w:t>'ptbased'</w:t>
            </w:r>
            <w:r>
              <w:rPr>
                <w:color w:val="000000"/>
              </w:rPr>
              <w:t xml:space="preserve">    - Calculates the </w:t>
            </w:r>
            <w:r>
              <w:t>difference</w:t>
            </w:r>
            <w:r>
              <w:rPr>
                <w:color w:val="000000"/>
              </w:rPr>
              <w:t xml:space="preserve"> </w:t>
            </w:r>
            <w:r>
              <w:t>in</w:t>
            </w:r>
            <w:r>
              <w:rPr>
                <w:color w:val="000000"/>
              </w:rPr>
              <w:t xml:space="preserve"> </w:t>
            </w:r>
            <w:r>
              <w:t>activation</w:t>
            </w:r>
            <w:r>
              <w:rPr>
                <w:color w:val="000000"/>
              </w:rPr>
              <w:t xml:space="preserve"> </w:t>
            </w:r>
            <w:r>
              <w:t>time</w:t>
            </w:r>
            <w:r>
              <w:rPr>
                <w:color w:val="000000"/>
              </w:rPr>
              <w:t xml:space="preserve"> </w:t>
            </w:r>
            <w:r>
              <w:t>between</w:t>
            </w:r>
            <w:r>
              <w:rPr>
                <w:color w:val="000000"/>
              </w:rPr>
              <w:t xml:space="preserve"> </w:t>
            </w:r>
          </w:p>
          <w:p w14:paraId="5E677494" w14:textId="77777777" w:rsidR="0038157B" w:rsidRDefault="0038157B" w:rsidP="0038157B">
            <w:pPr>
              <w:pStyle w:val="Tabletext"/>
            </w:pPr>
            <w:r>
              <w:rPr>
                <w:color w:val="000000"/>
              </w:rPr>
              <w:t xml:space="preserve">                      the </w:t>
            </w:r>
            <w:r>
              <w:t>earliest</w:t>
            </w:r>
            <w:r>
              <w:rPr>
                <w:color w:val="000000"/>
              </w:rPr>
              <w:t xml:space="preserve"> </w:t>
            </w:r>
            <w:r>
              <w:t>and</w:t>
            </w:r>
            <w:r>
              <w:rPr>
                <w:color w:val="000000"/>
              </w:rPr>
              <w:t xml:space="preserve"> </w:t>
            </w:r>
            <w:r>
              <w:t>latest</w:t>
            </w:r>
            <w:r>
              <w:rPr>
                <w:color w:val="000000"/>
              </w:rPr>
              <w:t xml:space="preserve"> </w:t>
            </w:r>
            <w:r>
              <w:t>activation</w:t>
            </w:r>
            <w:r>
              <w:rPr>
                <w:color w:val="000000"/>
              </w:rPr>
              <w:t xml:space="preserve"> </w:t>
            </w:r>
            <w:r>
              <w:t>time</w:t>
            </w:r>
            <w:r>
              <w:rPr>
                <w:color w:val="000000"/>
              </w:rPr>
              <w:t xml:space="preserve"> </w:t>
            </w:r>
            <w:r>
              <w:t>mapping</w:t>
            </w:r>
            <w:r>
              <w:rPr>
                <w:color w:val="000000"/>
              </w:rPr>
              <w:t xml:space="preserve"> </w:t>
            </w:r>
          </w:p>
          <w:p w14:paraId="41F02F0D" w14:textId="77777777" w:rsidR="0038157B" w:rsidRDefault="0038157B" w:rsidP="0038157B">
            <w:pPr>
              <w:pStyle w:val="Tabletext"/>
            </w:pPr>
            <w:r>
              <w:rPr>
                <w:color w:val="000000"/>
              </w:rPr>
              <w:t xml:space="preserve">                      points </w:t>
            </w:r>
            <w:r>
              <w:t>exported</w:t>
            </w:r>
            <w:r>
              <w:rPr>
                <w:color w:val="000000"/>
              </w:rPr>
              <w:t xml:space="preserve"> </w:t>
            </w:r>
            <w:r>
              <w:t>by</w:t>
            </w:r>
            <w:r>
              <w:rPr>
                <w:color w:val="000000"/>
              </w:rPr>
              <w:t xml:space="preserve"> </w:t>
            </w:r>
            <w:r>
              <w:t>the</w:t>
            </w:r>
            <w:r>
              <w:rPr>
                <w:color w:val="000000"/>
              </w:rPr>
              <w:t xml:space="preserve"> </w:t>
            </w:r>
            <w:r>
              <w:t>clinical</w:t>
            </w:r>
            <w:r>
              <w:rPr>
                <w:color w:val="000000"/>
              </w:rPr>
              <w:t xml:space="preserve"> </w:t>
            </w:r>
            <w:r>
              <w:t>system.</w:t>
            </w:r>
          </w:p>
          <w:p w14:paraId="3649E508" w14:textId="232436BE" w:rsidR="0038157B" w:rsidRDefault="0038157B" w:rsidP="0038157B">
            <w:pPr>
              <w:pStyle w:val="Tabletext"/>
            </w:pPr>
            <w:r w:rsidRPr="0038157B">
              <w:rPr>
                <w:rStyle w:val="SubtleEmphasis"/>
              </w:rPr>
              <w:t>'ptbasedprct'</w:t>
            </w:r>
            <w:r>
              <w:rPr>
                <w:color w:val="000000"/>
              </w:rPr>
              <w:t xml:space="preserve">- First calculates </w:t>
            </w:r>
            <w:r>
              <w:t>the</w:t>
            </w:r>
            <w:r>
              <w:rPr>
                <w:color w:val="000000"/>
              </w:rPr>
              <w:t xml:space="preserve"> </w:t>
            </w:r>
            <w:r w:rsidR="00DA5EF6">
              <w:t>0-</w:t>
            </w:r>
            <w:r>
              <w:t>2.5th</w:t>
            </w:r>
            <w:r>
              <w:rPr>
                <w:color w:val="000000"/>
              </w:rPr>
              <w:t xml:space="preserve"> </w:t>
            </w:r>
            <w:r>
              <w:t>percentile</w:t>
            </w:r>
            <w:r>
              <w:rPr>
                <w:color w:val="000000"/>
              </w:rPr>
              <w:t xml:space="preserve"> </w:t>
            </w:r>
            <w:r>
              <w:t>and</w:t>
            </w:r>
            <w:r>
              <w:rPr>
                <w:color w:val="000000"/>
              </w:rPr>
              <w:t xml:space="preserve"> </w:t>
            </w:r>
          </w:p>
          <w:p w14:paraId="4BE43F8B" w14:textId="10F5F669" w:rsidR="0038157B" w:rsidRDefault="0038157B" w:rsidP="0038157B">
            <w:pPr>
              <w:pStyle w:val="Tabletext"/>
            </w:pPr>
            <w:r>
              <w:rPr>
                <w:color w:val="000000"/>
              </w:rPr>
              <w:t xml:space="preserve">                      the </w:t>
            </w:r>
            <w:r w:rsidR="00DA5EF6">
              <w:rPr>
                <w:color w:val="000000"/>
              </w:rPr>
              <w:t>97.5-100th</w:t>
            </w:r>
            <w:r>
              <w:rPr>
                <w:color w:val="000000"/>
              </w:rPr>
              <w:t xml:space="preserve"> </w:t>
            </w:r>
            <w:r>
              <w:t>percentile</w:t>
            </w:r>
            <w:r>
              <w:rPr>
                <w:color w:val="000000"/>
              </w:rPr>
              <w:t xml:space="preserve"> </w:t>
            </w:r>
            <w:r>
              <w:t>mapping</w:t>
            </w:r>
            <w:r>
              <w:rPr>
                <w:color w:val="000000"/>
              </w:rPr>
              <w:t xml:space="preserve"> </w:t>
            </w:r>
            <w:r>
              <w:t>times</w:t>
            </w:r>
            <w:r>
              <w:rPr>
                <w:color w:val="000000"/>
              </w:rPr>
              <w:t xml:space="preserve"> </w:t>
            </w:r>
            <w:r>
              <w:t>on</w:t>
            </w:r>
            <w:r>
              <w:rPr>
                <w:color w:val="000000"/>
              </w:rPr>
              <w:t xml:space="preserve"> </w:t>
            </w:r>
            <w:r>
              <w:t>the</w:t>
            </w:r>
            <w:r>
              <w:rPr>
                <w:color w:val="000000"/>
              </w:rPr>
              <w:t xml:space="preserve"> </w:t>
            </w:r>
          </w:p>
          <w:p w14:paraId="0E6696F5" w14:textId="77777777" w:rsidR="0038157B" w:rsidRDefault="0038157B" w:rsidP="0038157B">
            <w:pPr>
              <w:pStyle w:val="Tabletext"/>
            </w:pPr>
            <w:r>
              <w:rPr>
                <w:color w:val="000000"/>
              </w:rPr>
              <w:t xml:space="preserve">                      exported </w:t>
            </w:r>
            <w:r>
              <w:t>electrogram</w:t>
            </w:r>
            <w:r>
              <w:rPr>
                <w:color w:val="000000"/>
              </w:rPr>
              <w:t xml:space="preserve"> </w:t>
            </w:r>
            <w:r>
              <w:t>annotations</w:t>
            </w:r>
            <w:r>
              <w:rPr>
                <w:color w:val="000000"/>
              </w:rPr>
              <w:t xml:space="preserve">, then </w:t>
            </w:r>
            <w:r>
              <w:t>calculates</w:t>
            </w:r>
            <w:r>
              <w:rPr>
                <w:color w:val="000000"/>
              </w:rPr>
              <w:t xml:space="preserve"> </w:t>
            </w:r>
          </w:p>
          <w:p w14:paraId="10B9F838" w14:textId="77777777" w:rsidR="0038157B" w:rsidRDefault="0038157B" w:rsidP="0038157B">
            <w:pPr>
              <w:pStyle w:val="Tabletext"/>
            </w:pPr>
            <w:r>
              <w:rPr>
                <w:color w:val="000000"/>
              </w:rPr>
              <w:t xml:space="preserve">                      the </w:t>
            </w:r>
            <w:r>
              <w:t>difference</w:t>
            </w:r>
            <w:r>
              <w:rPr>
                <w:color w:val="000000"/>
              </w:rPr>
              <w:t xml:space="preserve"> </w:t>
            </w:r>
            <w:r>
              <w:t>between</w:t>
            </w:r>
            <w:r>
              <w:rPr>
                <w:color w:val="000000"/>
              </w:rPr>
              <w:t xml:space="preserve"> </w:t>
            </w:r>
            <w:r>
              <w:t>the</w:t>
            </w:r>
            <w:r>
              <w:rPr>
                <w:color w:val="000000"/>
              </w:rPr>
              <w:t xml:space="preserve"> </w:t>
            </w:r>
            <w:r>
              <w:t>means</w:t>
            </w:r>
            <w:r>
              <w:rPr>
                <w:color w:val="000000"/>
              </w:rPr>
              <w:t xml:space="preserve"> </w:t>
            </w:r>
            <w:r>
              <w:t>of</w:t>
            </w:r>
            <w:r>
              <w:rPr>
                <w:color w:val="000000"/>
              </w:rPr>
              <w:t xml:space="preserve"> </w:t>
            </w:r>
            <w:r>
              <w:t>these</w:t>
            </w:r>
            <w:r>
              <w:rPr>
                <w:color w:val="000000"/>
              </w:rPr>
              <w:t xml:space="preserve"> </w:t>
            </w:r>
            <w:r>
              <w:t>sets</w:t>
            </w:r>
            <w:r>
              <w:rPr>
                <w:color w:val="000000"/>
              </w:rPr>
              <w:t xml:space="preserve"> </w:t>
            </w:r>
            <w:r>
              <w:t>of</w:t>
            </w:r>
            <w:r>
              <w:rPr>
                <w:color w:val="000000"/>
              </w:rPr>
              <w:t xml:space="preserve"> </w:t>
            </w:r>
          </w:p>
          <w:p w14:paraId="49742D32" w14:textId="77777777" w:rsidR="0038157B" w:rsidRDefault="0038157B" w:rsidP="0038157B">
            <w:pPr>
              <w:pStyle w:val="Tabletext"/>
            </w:pPr>
            <w:r>
              <w:rPr>
                <w:color w:val="000000"/>
              </w:rPr>
              <w:t xml:space="preserve">                      activation </w:t>
            </w:r>
            <w:r>
              <w:t>times.</w:t>
            </w:r>
          </w:p>
          <w:p w14:paraId="08F6C17E" w14:textId="0F1AEC72" w:rsidR="0038157B" w:rsidRDefault="0038157B" w:rsidP="0038157B">
            <w:pPr>
              <w:pStyle w:val="Tabletext"/>
            </w:pPr>
            <w:r w:rsidRPr="0038157B">
              <w:rPr>
                <w:rStyle w:val="SubtleEmphasis"/>
              </w:rPr>
              <w:t>'clinmap'</w:t>
            </w:r>
            <w:r>
              <w:rPr>
                <w:color w:val="000000"/>
              </w:rPr>
              <w:t xml:space="preserve">    - Calculates the </w:t>
            </w:r>
            <w:r>
              <w:t>difference</w:t>
            </w:r>
            <w:r>
              <w:rPr>
                <w:color w:val="000000"/>
              </w:rPr>
              <w:t xml:space="preserve"> </w:t>
            </w:r>
            <w:r>
              <w:t>between</w:t>
            </w:r>
            <w:r>
              <w:rPr>
                <w:color w:val="000000"/>
              </w:rPr>
              <w:t xml:space="preserve"> </w:t>
            </w:r>
            <w:r>
              <w:t>the</w:t>
            </w:r>
            <w:r>
              <w:rPr>
                <w:color w:val="000000"/>
              </w:rPr>
              <w:t xml:space="preserve"> </w:t>
            </w:r>
            <w:r>
              <w:t>earliest</w:t>
            </w:r>
            <w:r>
              <w:rPr>
                <w:color w:val="000000"/>
              </w:rPr>
              <w:t xml:space="preserve"> </w:t>
            </w:r>
            <w:r>
              <w:t>and</w:t>
            </w:r>
            <w:r>
              <w:rPr>
                <w:color w:val="000000"/>
              </w:rPr>
              <w:t xml:space="preserve"> </w:t>
            </w:r>
          </w:p>
          <w:p w14:paraId="7D69A894" w14:textId="77777777" w:rsidR="0038157B" w:rsidRDefault="0038157B" w:rsidP="0038157B">
            <w:pPr>
              <w:pStyle w:val="Tabletext"/>
            </w:pPr>
            <w:r>
              <w:rPr>
                <w:color w:val="000000"/>
              </w:rPr>
              <w:t xml:space="preserve">                      latest </w:t>
            </w:r>
            <w:r>
              <w:t>activation</w:t>
            </w:r>
            <w:r>
              <w:rPr>
                <w:color w:val="000000"/>
              </w:rPr>
              <w:t xml:space="preserve"> </w:t>
            </w:r>
            <w:r>
              <w:t>times</w:t>
            </w:r>
            <w:r>
              <w:rPr>
                <w:color w:val="000000"/>
              </w:rPr>
              <w:t xml:space="preserve"> </w:t>
            </w:r>
            <w:r>
              <w:t>on</w:t>
            </w:r>
            <w:r>
              <w:rPr>
                <w:color w:val="000000"/>
              </w:rPr>
              <w:t xml:space="preserve"> </w:t>
            </w:r>
            <w:r>
              <w:t>the</w:t>
            </w:r>
            <w:r>
              <w:rPr>
                <w:color w:val="000000"/>
              </w:rPr>
              <w:t xml:space="preserve"> </w:t>
            </w:r>
            <w:r>
              <w:t>local</w:t>
            </w:r>
            <w:r>
              <w:rPr>
                <w:color w:val="000000"/>
              </w:rPr>
              <w:t xml:space="preserve"> </w:t>
            </w:r>
            <w:r>
              <w:t>activation</w:t>
            </w:r>
            <w:r>
              <w:rPr>
                <w:color w:val="000000"/>
              </w:rPr>
              <w:t xml:space="preserve"> </w:t>
            </w:r>
          </w:p>
          <w:p w14:paraId="5975439B" w14:textId="77777777" w:rsidR="0038157B" w:rsidRDefault="0038157B" w:rsidP="0038157B">
            <w:pPr>
              <w:pStyle w:val="Tabletext"/>
            </w:pPr>
            <w:r>
              <w:rPr>
                <w:color w:val="000000"/>
              </w:rPr>
              <w:t xml:space="preserve">                      time </w:t>
            </w:r>
            <w:r>
              <w:t>map</w:t>
            </w:r>
            <w:r>
              <w:rPr>
                <w:color w:val="000000"/>
              </w:rPr>
              <w:t xml:space="preserve"> </w:t>
            </w:r>
            <w:r>
              <w:t>created</w:t>
            </w:r>
            <w:r>
              <w:rPr>
                <w:color w:val="000000"/>
              </w:rPr>
              <w:t xml:space="preserve"> </w:t>
            </w:r>
            <w:r>
              <w:t>by</w:t>
            </w:r>
            <w:r>
              <w:rPr>
                <w:color w:val="000000"/>
              </w:rPr>
              <w:t xml:space="preserve"> </w:t>
            </w:r>
            <w:r>
              <w:t>the</w:t>
            </w:r>
            <w:r>
              <w:rPr>
                <w:color w:val="000000"/>
              </w:rPr>
              <w:t xml:space="preserve"> </w:t>
            </w:r>
            <w:r>
              <w:t>clinical</w:t>
            </w:r>
            <w:r>
              <w:rPr>
                <w:color w:val="000000"/>
              </w:rPr>
              <w:t xml:space="preserve"> </w:t>
            </w:r>
            <w:r>
              <w:t>mapping</w:t>
            </w:r>
            <w:r>
              <w:rPr>
                <w:color w:val="000000"/>
              </w:rPr>
              <w:t xml:space="preserve"> </w:t>
            </w:r>
            <w:r>
              <w:t>system</w:t>
            </w:r>
          </w:p>
          <w:p w14:paraId="02AF654F" w14:textId="218C1D75" w:rsidR="0038157B" w:rsidRDefault="0038157B" w:rsidP="0038157B">
            <w:pPr>
              <w:pStyle w:val="Tabletext"/>
            </w:pPr>
            <w:r w:rsidRPr="0038157B">
              <w:rPr>
                <w:rStyle w:val="SubtleEmphasis"/>
              </w:rPr>
              <w:t>'clinmapprct'</w:t>
            </w:r>
            <w:r>
              <w:rPr>
                <w:color w:val="000000"/>
              </w:rPr>
              <w:t xml:space="preserve">- First calculates </w:t>
            </w:r>
            <w:r>
              <w:t>the</w:t>
            </w:r>
            <w:r>
              <w:rPr>
                <w:color w:val="000000"/>
              </w:rPr>
              <w:t xml:space="preserve"> </w:t>
            </w:r>
            <w:r w:rsidR="00DA5EF6">
              <w:rPr>
                <w:color w:val="000000"/>
              </w:rPr>
              <w:t>0-</w:t>
            </w:r>
            <w:r>
              <w:t>2.5th</w:t>
            </w:r>
            <w:r>
              <w:rPr>
                <w:color w:val="000000"/>
              </w:rPr>
              <w:t xml:space="preserve"> </w:t>
            </w:r>
            <w:r>
              <w:t>percentile</w:t>
            </w:r>
            <w:r>
              <w:rPr>
                <w:color w:val="000000"/>
              </w:rPr>
              <w:t xml:space="preserve"> </w:t>
            </w:r>
            <w:r>
              <w:t>and</w:t>
            </w:r>
            <w:r>
              <w:rPr>
                <w:color w:val="000000"/>
              </w:rPr>
              <w:t xml:space="preserve"> </w:t>
            </w:r>
          </w:p>
          <w:p w14:paraId="1DCE2C91" w14:textId="0167AD9B" w:rsidR="0038157B" w:rsidRDefault="0038157B" w:rsidP="0038157B">
            <w:pPr>
              <w:pStyle w:val="Tabletext"/>
            </w:pPr>
            <w:r>
              <w:rPr>
                <w:color w:val="000000"/>
              </w:rPr>
              <w:t xml:space="preserve">                      </w:t>
            </w:r>
            <w:r w:rsidR="00DA5EF6">
              <w:rPr>
                <w:color w:val="000000"/>
              </w:rPr>
              <w:t xml:space="preserve">the 97.5-100th </w:t>
            </w:r>
            <w:r>
              <w:t>percentile</w:t>
            </w:r>
            <w:r>
              <w:rPr>
                <w:color w:val="000000"/>
              </w:rPr>
              <w:t xml:space="preserve"> </w:t>
            </w:r>
            <w:r>
              <w:t>mapping</w:t>
            </w:r>
            <w:r>
              <w:rPr>
                <w:color w:val="000000"/>
              </w:rPr>
              <w:t xml:space="preserve"> </w:t>
            </w:r>
            <w:r>
              <w:t>times</w:t>
            </w:r>
            <w:r>
              <w:rPr>
                <w:color w:val="000000"/>
              </w:rPr>
              <w:t xml:space="preserve"> </w:t>
            </w:r>
            <w:r>
              <w:t>on</w:t>
            </w:r>
            <w:r>
              <w:rPr>
                <w:color w:val="000000"/>
              </w:rPr>
              <w:t xml:space="preserve"> </w:t>
            </w:r>
            <w:r>
              <w:t>the</w:t>
            </w:r>
            <w:r>
              <w:rPr>
                <w:color w:val="000000"/>
              </w:rPr>
              <w:t xml:space="preserve"> </w:t>
            </w:r>
          </w:p>
          <w:p w14:paraId="0990783E" w14:textId="77777777" w:rsidR="0038157B" w:rsidRDefault="0038157B" w:rsidP="0038157B">
            <w:pPr>
              <w:pStyle w:val="Tabletext"/>
            </w:pPr>
            <w:r>
              <w:rPr>
                <w:color w:val="000000"/>
              </w:rPr>
              <w:t xml:space="preserve">                      clinical </w:t>
            </w:r>
            <w:r>
              <w:t>local</w:t>
            </w:r>
            <w:r>
              <w:rPr>
                <w:color w:val="000000"/>
              </w:rPr>
              <w:t xml:space="preserve"> </w:t>
            </w:r>
            <w:r>
              <w:t>activation</w:t>
            </w:r>
            <w:r>
              <w:rPr>
                <w:color w:val="000000"/>
              </w:rPr>
              <w:t xml:space="preserve"> </w:t>
            </w:r>
            <w:r>
              <w:t>time</w:t>
            </w:r>
            <w:r>
              <w:rPr>
                <w:color w:val="000000"/>
              </w:rPr>
              <w:t xml:space="preserve"> </w:t>
            </w:r>
            <w:r>
              <w:t>map</w:t>
            </w:r>
            <w:r>
              <w:rPr>
                <w:color w:val="000000"/>
              </w:rPr>
              <w:t xml:space="preserve">, then </w:t>
            </w:r>
            <w:r>
              <w:t>calculates</w:t>
            </w:r>
            <w:r>
              <w:rPr>
                <w:color w:val="000000"/>
              </w:rPr>
              <w:t xml:space="preserve"> </w:t>
            </w:r>
          </w:p>
          <w:p w14:paraId="0661AA89" w14:textId="77777777" w:rsidR="0038157B" w:rsidRDefault="0038157B" w:rsidP="0038157B">
            <w:pPr>
              <w:pStyle w:val="Tabletext"/>
            </w:pPr>
            <w:r>
              <w:rPr>
                <w:color w:val="000000"/>
              </w:rPr>
              <w:t xml:space="preserve">                      the </w:t>
            </w:r>
            <w:r>
              <w:t>difference</w:t>
            </w:r>
            <w:r>
              <w:rPr>
                <w:color w:val="000000"/>
              </w:rPr>
              <w:t xml:space="preserve"> </w:t>
            </w:r>
            <w:r>
              <w:t>between</w:t>
            </w:r>
            <w:r>
              <w:rPr>
                <w:color w:val="000000"/>
              </w:rPr>
              <w:t xml:space="preserve"> </w:t>
            </w:r>
            <w:r>
              <w:t>the</w:t>
            </w:r>
            <w:r>
              <w:rPr>
                <w:color w:val="000000"/>
              </w:rPr>
              <w:t xml:space="preserve"> </w:t>
            </w:r>
            <w:r>
              <w:t>means</w:t>
            </w:r>
            <w:r>
              <w:rPr>
                <w:color w:val="000000"/>
              </w:rPr>
              <w:t xml:space="preserve"> </w:t>
            </w:r>
            <w:r>
              <w:t>of</w:t>
            </w:r>
            <w:r>
              <w:rPr>
                <w:color w:val="000000"/>
              </w:rPr>
              <w:t xml:space="preserve"> </w:t>
            </w:r>
            <w:r>
              <w:t>these</w:t>
            </w:r>
            <w:r>
              <w:rPr>
                <w:color w:val="000000"/>
              </w:rPr>
              <w:t xml:space="preserve"> </w:t>
            </w:r>
            <w:r>
              <w:t>sets</w:t>
            </w:r>
            <w:r>
              <w:rPr>
                <w:color w:val="000000"/>
              </w:rPr>
              <w:t xml:space="preserve"> </w:t>
            </w:r>
            <w:r>
              <w:t>of</w:t>
            </w:r>
            <w:r>
              <w:rPr>
                <w:color w:val="000000"/>
              </w:rPr>
              <w:t xml:space="preserve"> </w:t>
            </w:r>
          </w:p>
          <w:p w14:paraId="6BD7EC3C" w14:textId="77777777" w:rsidR="0038157B" w:rsidRDefault="0038157B" w:rsidP="0038157B">
            <w:pPr>
              <w:pStyle w:val="Tabletext"/>
            </w:pPr>
            <w:r>
              <w:rPr>
                <w:color w:val="000000"/>
              </w:rPr>
              <w:t xml:space="preserve">                      activation </w:t>
            </w:r>
            <w:r>
              <w:t>times.</w:t>
            </w:r>
          </w:p>
          <w:p w14:paraId="558EA8EA" w14:textId="019C5ADA" w:rsidR="0038157B" w:rsidRDefault="0038157B" w:rsidP="0038157B">
            <w:pPr>
              <w:pStyle w:val="Tabletext"/>
            </w:pPr>
            <w:r w:rsidRPr="0038157B">
              <w:rPr>
                <w:rStyle w:val="SubtleEmphasis"/>
              </w:rPr>
              <w:t>'openepmap</w:t>
            </w:r>
            <w:proofErr w:type="gramStart"/>
            <w:r w:rsidRPr="0038157B">
              <w:rPr>
                <w:rStyle w:val="SubtleEmphasis"/>
              </w:rPr>
              <w:t>'</w:t>
            </w:r>
            <w:r>
              <w:rPr>
                <w:color w:val="000000"/>
              </w:rPr>
              <w:t xml:space="preserve">  -</w:t>
            </w:r>
            <w:proofErr w:type="gramEnd"/>
            <w:r>
              <w:rPr>
                <w:color w:val="000000"/>
              </w:rPr>
              <w:t xml:space="preserve"> Calculates the </w:t>
            </w:r>
            <w:r>
              <w:t>difference</w:t>
            </w:r>
            <w:r>
              <w:rPr>
                <w:color w:val="000000"/>
              </w:rPr>
              <w:t xml:space="preserve"> </w:t>
            </w:r>
            <w:r>
              <w:t>between</w:t>
            </w:r>
            <w:r>
              <w:rPr>
                <w:color w:val="000000"/>
              </w:rPr>
              <w:t xml:space="preserve"> </w:t>
            </w:r>
            <w:r>
              <w:t>the</w:t>
            </w:r>
            <w:r>
              <w:rPr>
                <w:color w:val="000000"/>
              </w:rPr>
              <w:t xml:space="preserve"> </w:t>
            </w:r>
            <w:r>
              <w:t>earliest</w:t>
            </w:r>
            <w:r>
              <w:rPr>
                <w:color w:val="000000"/>
              </w:rPr>
              <w:t xml:space="preserve"> </w:t>
            </w:r>
            <w:r>
              <w:t>and</w:t>
            </w:r>
            <w:r>
              <w:rPr>
                <w:color w:val="000000"/>
              </w:rPr>
              <w:t xml:space="preserve"> </w:t>
            </w:r>
          </w:p>
          <w:p w14:paraId="5CF3013B" w14:textId="77777777" w:rsidR="0038157B" w:rsidRDefault="0038157B" w:rsidP="0038157B">
            <w:pPr>
              <w:pStyle w:val="Tabletext"/>
            </w:pPr>
            <w:r>
              <w:rPr>
                <w:color w:val="000000"/>
              </w:rPr>
              <w:t xml:space="preserve">                      latest </w:t>
            </w:r>
            <w:r>
              <w:t>activation</w:t>
            </w:r>
            <w:r>
              <w:rPr>
                <w:color w:val="000000"/>
              </w:rPr>
              <w:t xml:space="preserve"> </w:t>
            </w:r>
            <w:r>
              <w:t>times</w:t>
            </w:r>
            <w:r>
              <w:rPr>
                <w:color w:val="000000"/>
              </w:rPr>
              <w:t xml:space="preserve"> </w:t>
            </w:r>
            <w:r>
              <w:t>on</w:t>
            </w:r>
            <w:r>
              <w:rPr>
                <w:color w:val="000000"/>
              </w:rPr>
              <w:t xml:space="preserve"> </w:t>
            </w:r>
            <w:r>
              <w:t>the</w:t>
            </w:r>
            <w:r>
              <w:rPr>
                <w:color w:val="000000"/>
              </w:rPr>
              <w:t xml:space="preserve"> </w:t>
            </w:r>
            <w:r>
              <w:t>local</w:t>
            </w:r>
            <w:r>
              <w:rPr>
                <w:color w:val="000000"/>
              </w:rPr>
              <w:t xml:space="preserve"> </w:t>
            </w:r>
            <w:r>
              <w:t>activation</w:t>
            </w:r>
            <w:r>
              <w:rPr>
                <w:color w:val="000000"/>
              </w:rPr>
              <w:t xml:space="preserve"> </w:t>
            </w:r>
          </w:p>
          <w:p w14:paraId="718327AC" w14:textId="77777777" w:rsidR="0038157B" w:rsidRDefault="0038157B" w:rsidP="0038157B">
            <w:pPr>
              <w:pStyle w:val="Tabletext"/>
            </w:pPr>
            <w:r>
              <w:rPr>
                <w:color w:val="000000"/>
              </w:rPr>
              <w:t xml:space="preserve">                      time </w:t>
            </w:r>
            <w:r>
              <w:t>map</w:t>
            </w:r>
            <w:r>
              <w:rPr>
                <w:color w:val="000000"/>
              </w:rPr>
              <w:t xml:space="preserve"> </w:t>
            </w:r>
            <w:r>
              <w:t>created</w:t>
            </w:r>
            <w:r>
              <w:rPr>
                <w:color w:val="000000"/>
              </w:rPr>
              <w:t xml:space="preserve"> </w:t>
            </w:r>
            <w:r>
              <w:t>by</w:t>
            </w:r>
            <w:r>
              <w:rPr>
                <w:color w:val="000000"/>
              </w:rPr>
              <w:t xml:space="preserve"> </w:t>
            </w:r>
            <w:proofErr w:type="spellStart"/>
            <w:r>
              <w:t>OpenEP</w:t>
            </w:r>
            <w:proofErr w:type="spellEnd"/>
            <w:r>
              <w:rPr>
                <w:color w:val="000000"/>
              </w:rPr>
              <w:t xml:space="preserve"> </w:t>
            </w:r>
            <w:r>
              <w:t>from</w:t>
            </w:r>
            <w:r>
              <w:rPr>
                <w:color w:val="000000"/>
              </w:rPr>
              <w:t xml:space="preserve"> </w:t>
            </w:r>
            <w:r>
              <w:t>the</w:t>
            </w:r>
            <w:r>
              <w:rPr>
                <w:color w:val="000000"/>
              </w:rPr>
              <w:t xml:space="preserve"> </w:t>
            </w:r>
            <w:r>
              <w:t>exported</w:t>
            </w:r>
            <w:r>
              <w:rPr>
                <w:color w:val="000000"/>
              </w:rPr>
              <w:t xml:space="preserve"> </w:t>
            </w:r>
          </w:p>
          <w:p w14:paraId="4F95D942" w14:textId="77777777" w:rsidR="0038157B" w:rsidRDefault="0038157B" w:rsidP="0038157B">
            <w:pPr>
              <w:pStyle w:val="Tabletext"/>
            </w:pPr>
            <w:r>
              <w:rPr>
                <w:color w:val="000000"/>
              </w:rPr>
              <w:t xml:space="preserve">                      electrogram </w:t>
            </w:r>
            <w:r>
              <w:t>annotations.</w:t>
            </w:r>
          </w:p>
          <w:p w14:paraId="2E9D7F24" w14:textId="02A8B42A" w:rsidR="003A2F71" w:rsidRDefault="0038157B" w:rsidP="0038157B">
            <w:pPr>
              <w:pStyle w:val="Tabletext"/>
            </w:pPr>
            <w:r w:rsidRPr="0038157B">
              <w:rPr>
                <w:rStyle w:val="SubtleEmphasis"/>
              </w:rPr>
              <w:t>'openepmapprct'</w:t>
            </w:r>
            <w:r>
              <w:rPr>
                <w:color w:val="000000"/>
              </w:rPr>
              <w:t xml:space="preserve">- First calculates </w:t>
            </w:r>
            <w:r>
              <w:t>the</w:t>
            </w:r>
            <w:r>
              <w:rPr>
                <w:color w:val="000000"/>
              </w:rPr>
              <w:t xml:space="preserve"> </w:t>
            </w:r>
            <w:r w:rsidR="00DA5EF6">
              <w:t>0-</w:t>
            </w:r>
            <w:r>
              <w:t>2.5th</w:t>
            </w:r>
            <w:r>
              <w:rPr>
                <w:color w:val="000000"/>
              </w:rPr>
              <w:t xml:space="preserve"> </w:t>
            </w:r>
            <w:r>
              <w:t>percentile</w:t>
            </w:r>
          </w:p>
          <w:p w14:paraId="5AA64793" w14:textId="08773271" w:rsidR="0038157B" w:rsidRDefault="003A2F71" w:rsidP="0038157B">
            <w:pPr>
              <w:pStyle w:val="Tabletext"/>
            </w:pPr>
            <w:r>
              <w:rPr>
                <w:color w:val="000000"/>
              </w:rPr>
              <w:t xml:space="preserve">                      </w:t>
            </w:r>
            <w:r w:rsidR="0038157B">
              <w:rPr>
                <w:color w:val="000000"/>
              </w:rPr>
              <w:t xml:space="preserve"> </w:t>
            </w:r>
            <w:r>
              <w:rPr>
                <w:color w:val="000000"/>
              </w:rPr>
              <w:t>a</w:t>
            </w:r>
            <w:r w:rsidR="0038157B">
              <w:t>nd</w:t>
            </w:r>
            <w:r>
              <w:t xml:space="preserve"> </w:t>
            </w:r>
            <w:r w:rsidR="00DA5EF6">
              <w:t xml:space="preserve">the 97.5-100th </w:t>
            </w:r>
            <w:r w:rsidR="0038157B">
              <w:t>percentile</w:t>
            </w:r>
            <w:r w:rsidR="0038157B">
              <w:rPr>
                <w:color w:val="000000"/>
              </w:rPr>
              <w:t xml:space="preserve"> </w:t>
            </w:r>
            <w:r w:rsidR="0038157B">
              <w:t>mapping</w:t>
            </w:r>
            <w:r w:rsidR="0038157B">
              <w:rPr>
                <w:color w:val="000000"/>
              </w:rPr>
              <w:t xml:space="preserve"> </w:t>
            </w:r>
            <w:r w:rsidR="0038157B">
              <w:t>times</w:t>
            </w:r>
            <w:r w:rsidR="0038157B">
              <w:rPr>
                <w:color w:val="000000"/>
              </w:rPr>
              <w:t xml:space="preserve"> </w:t>
            </w:r>
            <w:r w:rsidR="0038157B">
              <w:t>on</w:t>
            </w:r>
            <w:r w:rsidR="0038157B">
              <w:rPr>
                <w:color w:val="000000"/>
              </w:rPr>
              <w:t xml:space="preserve"> </w:t>
            </w:r>
            <w:r w:rsidR="0038157B">
              <w:t>the</w:t>
            </w:r>
            <w:r w:rsidR="0038157B">
              <w:rPr>
                <w:color w:val="000000"/>
              </w:rPr>
              <w:t xml:space="preserve"> </w:t>
            </w:r>
            <w:r w:rsidR="0038157B">
              <w:t>local</w:t>
            </w:r>
            <w:r w:rsidR="0038157B">
              <w:rPr>
                <w:color w:val="000000"/>
              </w:rPr>
              <w:t xml:space="preserve"> </w:t>
            </w:r>
          </w:p>
          <w:p w14:paraId="3814BBD4" w14:textId="77777777" w:rsidR="0038157B" w:rsidRDefault="0038157B" w:rsidP="0038157B">
            <w:pPr>
              <w:pStyle w:val="Tabletext"/>
            </w:pPr>
            <w:r>
              <w:rPr>
                <w:color w:val="000000"/>
              </w:rPr>
              <w:t xml:space="preserve">                      activation </w:t>
            </w:r>
            <w:r>
              <w:t>time</w:t>
            </w:r>
            <w:r>
              <w:rPr>
                <w:color w:val="000000"/>
              </w:rPr>
              <w:t xml:space="preserve"> </w:t>
            </w:r>
            <w:r>
              <w:t>map</w:t>
            </w:r>
            <w:r>
              <w:rPr>
                <w:color w:val="000000"/>
              </w:rPr>
              <w:t xml:space="preserve"> </w:t>
            </w:r>
            <w:r>
              <w:t>created</w:t>
            </w:r>
            <w:r>
              <w:rPr>
                <w:color w:val="000000"/>
              </w:rPr>
              <w:t xml:space="preserve"> </w:t>
            </w:r>
            <w:r>
              <w:t>by</w:t>
            </w:r>
            <w:r>
              <w:rPr>
                <w:color w:val="000000"/>
              </w:rPr>
              <w:t xml:space="preserve"> </w:t>
            </w:r>
            <w:proofErr w:type="spellStart"/>
            <w:r>
              <w:t>OpenEP</w:t>
            </w:r>
            <w:proofErr w:type="spellEnd"/>
            <w:r>
              <w:rPr>
                <w:color w:val="000000"/>
              </w:rPr>
              <w:t xml:space="preserve"> </w:t>
            </w:r>
            <w:r>
              <w:t>from</w:t>
            </w:r>
            <w:r>
              <w:rPr>
                <w:color w:val="000000"/>
              </w:rPr>
              <w:t xml:space="preserve"> </w:t>
            </w:r>
            <w:r>
              <w:t>the</w:t>
            </w:r>
            <w:r>
              <w:rPr>
                <w:color w:val="000000"/>
              </w:rPr>
              <w:t xml:space="preserve"> </w:t>
            </w:r>
          </w:p>
          <w:p w14:paraId="0E767D4D" w14:textId="77777777" w:rsidR="0038157B" w:rsidRDefault="0038157B" w:rsidP="0038157B">
            <w:pPr>
              <w:pStyle w:val="Tabletext"/>
            </w:pPr>
            <w:r>
              <w:rPr>
                <w:color w:val="000000"/>
              </w:rPr>
              <w:t xml:space="preserve">                      exported </w:t>
            </w:r>
            <w:r>
              <w:t>electrogram</w:t>
            </w:r>
            <w:r>
              <w:rPr>
                <w:color w:val="000000"/>
              </w:rPr>
              <w:t xml:space="preserve"> </w:t>
            </w:r>
            <w:r>
              <w:t>annotations.</w:t>
            </w:r>
            <w:r>
              <w:rPr>
                <w:color w:val="000000"/>
              </w:rPr>
              <w:t xml:space="preserve"> </w:t>
            </w:r>
            <w:r>
              <w:t>Then</w:t>
            </w:r>
            <w:r>
              <w:rPr>
                <w:color w:val="000000"/>
              </w:rPr>
              <w:t xml:space="preserve"> </w:t>
            </w:r>
            <w:r>
              <w:t>calculates</w:t>
            </w:r>
            <w:r>
              <w:rPr>
                <w:color w:val="000000"/>
              </w:rPr>
              <w:t xml:space="preserve"> </w:t>
            </w:r>
          </w:p>
          <w:p w14:paraId="72B198CF" w14:textId="77777777" w:rsidR="0038157B" w:rsidRDefault="0038157B" w:rsidP="0038157B">
            <w:pPr>
              <w:pStyle w:val="Tabletext"/>
            </w:pPr>
            <w:r>
              <w:rPr>
                <w:color w:val="000000"/>
              </w:rPr>
              <w:t xml:space="preserve">                      the </w:t>
            </w:r>
            <w:r>
              <w:t>difference</w:t>
            </w:r>
            <w:r>
              <w:rPr>
                <w:color w:val="000000"/>
              </w:rPr>
              <w:t xml:space="preserve"> </w:t>
            </w:r>
            <w:r>
              <w:t>between</w:t>
            </w:r>
            <w:r>
              <w:rPr>
                <w:color w:val="000000"/>
              </w:rPr>
              <w:t xml:space="preserve"> </w:t>
            </w:r>
            <w:r>
              <w:t>the</w:t>
            </w:r>
            <w:r>
              <w:rPr>
                <w:color w:val="000000"/>
              </w:rPr>
              <w:t xml:space="preserve"> </w:t>
            </w:r>
            <w:r>
              <w:t>means</w:t>
            </w:r>
            <w:r>
              <w:rPr>
                <w:color w:val="000000"/>
              </w:rPr>
              <w:t xml:space="preserve"> </w:t>
            </w:r>
            <w:r>
              <w:t>of</w:t>
            </w:r>
            <w:r>
              <w:rPr>
                <w:color w:val="000000"/>
              </w:rPr>
              <w:t xml:space="preserve"> </w:t>
            </w:r>
            <w:r>
              <w:t>these</w:t>
            </w:r>
            <w:r>
              <w:rPr>
                <w:color w:val="000000"/>
              </w:rPr>
              <w:t xml:space="preserve"> </w:t>
            </w:r>
            <w:r>
              <w:t>sets</w:t>
            </w:r>
            <w:r>
              <w:rPr>
                <w:color w:val="000000"/>
              </w:rPr>
              <w:t xml:space="preserve"> </w:t>
            </w:r>
            <w:r>
              <w:t>of</w:t>
            </w:r>
            <w:r>
              <w:rPr>
                <w:color w:val="000000"/>
              </w:rPr>
              <w:t xml:space="preserve"> </w:t>
            </w:r>
          </w:p>
          <w:p w14:paraId="74B933CB" w14:textId="439E844E" w:rsidR="00BD67E4" w:rsidRPr="00BD67E4" w:rsidRDefault="0038157B" w:rsidP="00BD67E4">
            <w:pPr>
              <w:pStyle w:val="Tabletext"/>
            </w:pPr>
            <w:r>
              <w:rPr>
                <w:color w:val="000000"/>
              </w:rPr>
              <w:t xml:space="preserve">                      activation </w:t>
            </w:r>
            <w:r>
              <w:t>times.</w:t>
            </w:r>
          </w:p>
          <w:p w14:paraId="4EE645A8" w14:textId="77777777" w:rsidR="00174F87" w:rsidRDefault="00174F87" w:rsidP="00174F87">
            <w:pPr>
              <w:pStyle w:val="Tabletextheading"/>
            </w:pPr>
            <w:r w:rsidRPr="00B035AB">
              <w:t>Example</w:t>
            </w:r>
            <w:r w:rsidRPr="00B341D1">
              <w:t xml:space="preserve"> function call</w:t>
            </w:r>
            <w:r>
              <w:t>(s)</w:t>
            </w:r>
          </w:p>
          <w:p w14:paraId="12D8015C" w14:textId="634E614E" w:rsidR="00174F87" w:rsidRPr="009A6DEC" w:rsidRDefault="009A6DEC" w:rsidP="009A6DEC">
            <w:pPr>
              <w:pStyle w:val="Code"/>
              <w:rPr>
                <w:sz w:val="24"/>
              </w:rPr>
            </w:pPr>
            <w:r>
              <w:t xml:space="preserve">tat = </w:t>
            </w:r>
            <w:proofErr w:type="spellStart"/>
            <w:proofErr w:type="gramStart"/>
            <w:r>
              <w:t>getTotalActivationTime</w:t>
            </w:r>
            <w:proofErr w:type="spellEnd"/>
            <w:r>
              <w:t xml:space="preserve">( </w:t>
            </w:r>
            <w:proofErr w:type="spellStart"/>
            <w:r>
              <w:t>userdata</w:t>
            </w:r>
            <w:proofErr w:type="spellEnd"/>
            <w:proofErr w:type="gramEnd"/>
            <w:r>
              <w:t xml:space="preserve"> )</w:t>
            </w:r>
            <w:r w:rsidR="00CE37C1">
              <w:t>;</w:t>
            </w:r>
          </w:p>
        </w:tc>
      </w:tr>
      <w:tr w:rsidR="00174F87" w:rsidRPr="004F7B48" w14:paraId="1C4C7ECB" w14:textId="77777777" w:rsidTr="00161929">
        <w:tc>
          <w:tcPr>
            <w:tcW w:w="5000" w:type="pct"/>
            <w:gridSpan w:val="3"/>
          </w:tcPr>
          <w:p w14:paraId="2FE9180D" w14:textId="2024E76B" w:rsidR="00174F87" w:rsidRPr="00C60E3B" w:rsidRDefault="00174F87" w:rsidP="00174F87">
            <w:pPr>
              <w:jc w:val="center"/>
              <w:rPr>
                <w:rFonts w:asciiTheme="minorHAnsi" w:hAnsiTheme="minorHAnsi" w:cstheme="minorHAnsi"/>
                <w:b/>
                <w:bCs/>
                <w:sz w:val="20"/>
                <w:szCs w:val="20"/>
              </w:rPr>
            </w:pPr>
            <w:r w:rsidRPr="00C60E3B">
              <w:rPr>
                <w:rFonts w:asciiTheme="minorHAnsi" w:hAnsiTheme="minorHAnsi" w:cstheme="minorHAnsi"/>
                <w:b/>
                <w:bCs/>
                <w:sz w:val="20"/>
                <w:szCs w:val="20"/>
              </w:rPr>
              <w:lastRenderedPageBreak/>
              <w:t xml:space="preserve">Voltage </w:t>
            </w:r>
            <w:r>
              <w:rPr>
                <w:rFonts w:asciiTheme="minorHAnsi" w:hAnsiTheme="minorHAnsi" w:cstheme="minorHAnsi"/>
                <w:b/>
                <w:bCs/>
                <w:sz w:val="20"/>
                <w:szCs w:val="20"/>
              </w:rPr>
              <w:t>Data</w:t>
            </w:r>
          </w:p>
        </w:tc>
      </w:tr>
      <w:tr w:rsidR="00174F87" w:rsidRPr="004F7B48" w14:paraId="7AC35856" w14:textId="77777777" w:rsidTr="00861399">
        <w:tc>
          <w:tcPr>
            <w:tcW w:w="1353" w:type="pct"/>
          </w:tcPr>
          <w:p w14:paraId="5B6E2113" w14:textId="5C36D597" w:rsidR="00174F87" w:rsidRPr="006A0BFF" w:rsidRDefault="00174F87" w:rsidP="00174F87">
            <w:pPr>
              <w:rPr>
                <w:rStyle w:val="SubtleEmphasis"/>
              </w:rPr>
            </w:pPr>
            <w:r w:rsidRPr="006A0BFF">
              <w:rPr>
                <w:rStyle w:val="SubtleEmphasis"/>
              </w:rPr>
              <w:t>getLowVoltageArea(</w:t>
            </w:r>
            <w:r>
              <w:rPr>
                <w:rStyle w:val="SubtleEmphasis"/>
              </w:rPr>
              <w:t>...</w:t>
            </w:r>
            <w:r w:rsidRPr="006A0BFF">
              <w:rPr>
                <w:rStyle w:val="SubtleEmphasis"/>
              </w:rPr>
              <w:t>)</w:t>
            </w:r>
          </w:p>
        </w:tc>
        <w:tc>
          <w:tcPr>
            <w:tcW w:w="1703" w:type="pct"/>
          </w:tcPr>
          <w:p w14:paraId="4A6D2A5E"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60B15ED1" w14:textId="77777777" w:rsidTr="00161929">
              <w:tc>
                <w:tcPr>
                  <w:tcW w:w="1487" w:type="pct"/>
                </w:tcPr>
                <w:p w14:paraId="58FF3535" w14:textId="6E6EAA6E" w:rsidR="00174F87" w:rsidRPr="006C15AE" w:rsidRDefault="00D602E0" w:rsidP="00174F87">
                  <w:pPr>
                    <w:rPr>
                      <w:rStyle w:val="SubtleEmphasis"/>
                    </w:rPr>
                  </w:pPr>
                  <w:r>
                    <w:rPr>
                      <w:rStyle w:val="SubtleEmphasis"/>
                    </w:rPr>
                    <w:t>1</w:t>
                  </w:r>
                </w:p>
              </w:tc>
              <w:tc>
                <w:tcPr>
                  <w:tcW w:w="3513" w:type="pct"/>
                </w:tcPr>
                <w:p w14:paraId="51A92305" w14:textId="7526D1E6" w:rsidR="00174F87" w:rsidRPr="006C15AE" w:rsidRDefault="00D602E0" w:rsidP="00174F87">
                  <w:pPr>
                    <w:pStyle w:val="Tabletext"/>
                    <w:rPr>
                      <w:rStyle w:val="SubtleEmphasis"/>
                    </w:rPr>
                  </w:pPr>
                  <w:r>
                    <w:rPr>
                      <w:rStyle w:val="SubtleEmphasis"/>
                    </w:rPr>
                    <w:t>userdata</w:t>
                  </w:r>
                </w:p>
              </w:tc>
            </w:tr>
          </w:tbl>
          <w:p w14:paraId="0F8F5644"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6C095C" w14:paraId="7649C097" w14:textId="77777777" w:rsidTr="00161929">
              <w:tc>
                <w:tcPr>
                  <w:tcW w:w="1771" w:type="pct"/>
                </w:tcPr>
                <w:p w14:paraId="08ED161E" w14:textId="1ABEBD7F" w:rsidR="006C095C" w:rsidRPr="006C15AE" w:rsidRDefault="006C095C" w:rsidP="006C095C">
                  <w:pPr>
                    <w:rPr>
                      <w:rStyle w:val="SubtleEmphasis"/>
                    </w:rPr>
                  </w:pPr>
                  <w:r>
                    <w:rPr>
                      <w:rStyle w:val="SubtleEmphasis"/>
                    </w:rPr>
                    <w:t>‘method’</w:t>
                  </w:r>
                </w:p>
              </w:tc>
              <w:tc>
                <w:tcPr>
                  <w:tcW w:w="3229" w:type="pct"/>
                </w:tcPr>
                <w:p w14:paraId="0A764535" w14:textId="2276F05D" w:rsidR="006C095C" w:rsidRPr="006C15AE" w:rsidRDefault="006C095C" w:rsidP="006C095C">
                  <w:pPr>
                    <w:pStyle w:val="Tabletext"/>
                    <w:rPr>
                      <w:rStyle w:val="SubtleEmphasis"/>
                    </w:rPr>
                  </w:pPr>
                  <w:r>
                    <w:rPr>
                      <w:rStyle w:val="SubtleEmphasis"/>
                    </w:rPr>
                    <w:t>{‘map’} | ‘egm’</w:t>
                  </w:r>
                </w:p>
              </w:tc>
            </w:tr>
            <w:tr w:rsidR="006C095C" w14:paraId="62707CBE" w14:textId="77777777" w:rsidTr="00161929">
              <w:tc>
                <w:tcPr>
                  <w:tcW w:w="1771" w:type="pct"/>
                </w:tcPr>
                <w:p w14:paraId="662E6FD2" w14:textId="0B70E9CB" w:rsidR="006C095C" w:rsidRDefault="006C095C" w:rsidP="006C095C">
                  <w:pPr>
                    <w:rPr>
                      <w:rStyle w:val="SubtleEmphasis"/>
                    </w:rPr>
                  </w:pPr>
                  <w:r>
                    <w:rPr>
                      <w:rStyle w:val="SubtleEmphasis"/>
                    </w:rPr>
                    <w:t>‘type’</w:t>
                  </w:r>
                </w:p>
              </w:tc>
              <w:tc>
                <w:tcPr>
                  <w:tcW w:w="3229" w:type="pct"/>
                </w:tcPr>
                <w:p w14:paraId="1E84A9BD" w14:textId="47EFD85B" w:rsidR="006C095C" w:rsidRPr="006C15AE" w:rsidRDefault="006C095C" w:rsidP="006C095C">
                  <w:pPr>
                    <w:pStyle w:val="Tabletext"/>
                    <w:rPr>
                      <w:rStyle w:val="SubtleEmphasis"/>
                    </w:rPr>
                  </w:pPr>
                  <w:r>
                    <w:rPr>
                      <w:rStyle w:val="SubtleEmphasis"/>
                    </w:rPr>
                    <w:t>{‘bip’} | ‘uni’</w:t>
                  </w:r>
                </w:p>
              </w:tc>
            </w:tr>
            <w:tr w:rsidR="006C095C" w14:paraId="38E82771" w14:textId="77777777" w:rsidTr="00161929">
              <w:tc>
                <w:tcPr>
                  <w:tcW w:w="1771" w:type="pct"/>
                </w:tcPr>
                <w:p w14:paraId="2841ECCA" w14:textId="12FD73C3" w:rsidR="006C095C" w:rsidRDefault="006C095C" w:rsidP="00174F87">
                  <w:pPr>
                    <w:rPr>
                      <w:rStyle w:val="SubtleEmphasis"/>
                    </w:rPr>
                  </w:pPr>
                  <w:r>
                    <w:rPr>
                      <w:rStyle w:val="SubtleEmphasis"/>
                    </w:rPr>
                    <w:t>‘threshold’</w:t>
                  </w:r>
                </w:p>
              </w:tc>
              <w:tc>
                <w:tcPr>
                  <w:tcW w:w="3229" w:type="pct"/>
                </w:tcPr>
                <w:p w14:paraId="0425CAF7" w14:textId="62ADA4E2" w:rsidR="006C095C" w:rsidRPr="006C15AE" w:rsidRDefault="006C095C" w:rsidP="00174F87">
                  <w:pPr>
                    <w:pStyle w:val="Tabletext"/>
                    <w:rPr>
                      <w:rStyle w:val="SubtleEmphasis"/>
                    </w:rPr>
                  </w:pPr>
                  <w:r>
                    <w:rPr>
                      <w:rStyle w:val="SubtleEmphasis"/>
                    </w:rPr>
                    <w:t>{[</w:t>
                  </w:r>
                  <w:r w:rsidR="00934C53">
                    <w:rPr>
                      <w:rStyle w:val="SubtleEmphasis"/>
                    </w:rPr>
                    <w:t>.0 .5</w:t>
                  </w:r>
                  <w:r>
                    <w:rPr>
                      <w:rStyle w:val="SubtleEmphasis"/>
                    </w:rPr>
                    <w:t>]}</w:t>
                  </w:r>
                  <w:r w:rsidR="00934C53">
                    <w:rPr>
                      <w:rStyle w:val="SubtleEmphasis"/>
                    </w:rPr>
                    <w:t xml:space="preserve"> | array</w:t>
                  </w:r>
                </w:p>
              </w:tc>
            </w:tr>
          </w:tbl>
          <w:p w14:paraId="066E65DB"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6E04FC3" w14:textId="77777777" w:rsidTr="00161929">
              <w:tc>
                <w:tcPr>
                  <w:tcW w:w="1771" w:type="pct"/>
                </w:tcPr>
                <w:p w14:paraId="544645EB" w14:textId="29659A84" w:rsidR="00174F87" w:rsidRPr="006C15AE" w:rsidRDefault="005A11C7" w:rsidP="00174F87">
                  <w:pPr>
                    <w:rPr>
                      <w:rStyle w:val="SubtleEmphasis"/>
                    </w:rPr>
                  </w:pPr>
                  <w:r>
                    <w:rPr>
                      <w:rStyle w:val="SubtleEmphasis"/>
                    </w:rPr>
                    <w:t>lowVArea</w:t>
                  </w:r>
                </w:p>
              </w:tc>
              <w:tc>
                <w:tcPr>
                  <w:tcW w:w="3229" w:type="pct"/>
                </w:tcPr>
                <w:p w14:paraId="26F52D87" w14:textId="5B5C33DC" w:rsidR="00174F87" w:rsidRPr="005A11C7" w:rsidRDefault="005A11C7" w:rsidP="005A11C7">
                  <w:pPr>
                    <w:pStyle w:val="Tabletext"/>
                    <w:rPr>
                      <w:rStyle w:val="SubtleEmphasis"/>
                      <w:rFonts w:asciiTheme="minorHAnsi" w:hAnsiTheme="minorHAnsi"/>
                      <w:iCs w:val="0"/>
                      <w:noProof w:val="0"/>
                      <w:color w:val="auto"/>
                    </w:rPr>
                  </w:pPr>
                  <w:r w:rsidRPr="005A11C7">
                    <w:rPr>
                      <w:rStyle w:val="SubtleEmphasis"/>
                      <w:rFonts w:asciiTheme="minorHAnsi" w:hAnsiTheme="minorHAnsi"/>
                      <w:iCs w:val="0"/>
                      <w:noProof w:val="0"/>
                      <w:color w:val="auto"/>
                    </w:rPr>
                    <w:t>The low voltage area (cm</w:t>
                  </w:r>
                  <w:r w:rsidRPr="005A11C7">
                    <w:rPr>
                      <w:rStyle w:val="SubtleEmphasis"/>
                      <w:rFonts w:asciiTheme="minorHAnsi" w:hAnsiTheme="minorHAnsi"/>
                      <w:iCs w:val="0"/>
                      <w:noProof w:val="0"/>
                      <w:color w:val="auto"/>
                      <w:vertAlign w:val="superscript"/>
                    </w:rPr>
                    <w:t>2</w:t>
                  </w:r>
                  <w:r w:rsidRPr="005A11C7">
                    <w:rPr>
                      <w:rStyle w:val="SubtleEmphasis"/>
                      <w:rFonts w:asciiTheme="minorHAnsi" w:hAnsiTheme="minorHAnsi"/>
                      <w:iCs w:val="0"/>
                      <w:noProof w:val="0"/>
                      <w:color w:val="auto"/>
                    </w:rPr>
                    <w:t>)</w:t>
                  </w:r>
                </w:p>
              </w:tc>
            </w:tr>
            <w:tr w:rsidR="005A11C7" w14:paraId="1EBEF770" w14:textId="77777777" w:rsidTr="00161929">
              <w:tc>
                <w:tcPr>
                  <w:tcW w:w="1771" w:type="pct"/>
                </w:tcPr>
                <w:p w14:paraId="7DE4ACD4" w14:textId="7C21E364" w:rsidR="005A11C7" w:rsidRDefault="005A11C7" w:rsidP="00174F87">
                  <w:pPr>
                    <w:rPr>
                      <w:rStyle w:val="SubtleEmphasis"/>
                    </w:rPr>
                  </w:pPr>
                  <w:r>
                    <w:rPr>
                      <w:rStyle w:val="SubtleEmphasis"/>
                    </w:rPr>
                    <w:t>voltages</w:t>
                  </w:r>
                </w:p>
              </w:tc>
              <w:tc>
                <w:tcPr>
                  <w:tcW w:w="3229" w:type="pct"/>
                </w:tcPr>
                <w:p w14:paraId="48C73EBF" w14:textId="07A2F3D6" w:rsidR="005A11C7" w:rsidRPr="005A11C7" w:rsidRDefault="005A11C7" w:rsidP="005A11C7">
                  <w:pPr>
                    <w:pStyle w:val="Tabletext"/>
                    <w:rPr>
                      <w:rStyle w:val="SubtleEmphasis"/>
                      <w:rFonts w:asciiTheme="minorHAnsi" w:hAnsiTheme="minorHAnsi"/>
                      <w:iCs w:val="0"/>
                      <w:noProof w:val="0"/>
                      <w:color w:val="auto"/>
                    </w:rPr>
                  </w:pPr>
                  <w:r w:rsidRPr="005A11C7">
                    <w:rPr>
                      <w:rStyle w:val="SubtleEmphasis"/>
                      <w:rFonts w:asciiTheme="minorHAnsi" w:hAnsiTheme="minorHAnsi"/>
                      <w:iCs w:val="0"/>
                      <w:noProof w:val="0"/>
                      <w:color w:val="auto"/>
                    </w:rPr>
                    <w:t>The voltages point values used to calculate areas</w:t>
                  </w:r>
                </w:p>
              </w:tc>
            </w:tr>
            <w:tr w:rsidR="005A11C7" w14:paraId="7B6FD3E9" w14:textId="77777777" w:rsidTr="00161929">
              <w:tc>
                <w:tcPr>
                  <w:tcW w:w="1771" w:type="pct"/>
                </w:tcPr>
                <w:p w14:paraId="3D8282B2" w14:textId="6E65E36E" w:rsidR="005A11C7" w:rsidRDefault="005A11C7" w:rsidP="00174F87">
                  <w:pPr>
                    <w:rPr>
                      <w:rStyle w:val="SubtleEmphasis"/>
                    </w:rPr>
                  </w:pPr>
                  <w:r>
                    <w:rPr>
                      <w:rStyle w:val="SubtleEmphasis"/>
                    </w:rPr>
                    <w:t>iTri</w:t>
                  </w:r>
                </w:p>
              </w:tc>
              <w:tc>
                <w:tcPr>
                  <w:tcW w:w="3229" w:type="pct"/>
                </w:tcPr>
                <w:p w14:paraId="52DCCB4B" w14:textId="0F6CCAA7" w:rsidR="005A11C7" w:rsidRPr="005A11C7" w:rsidRDefault="005A11C7" w:rsidP="005A11C7">
                  <w:pPr>
                    <w:pStyle w:val="Tabletext"/>
                    <w:rPr>
                      <w:rStyle w:val="SubtleEmphasis"/>
                      <w:rFonts w:asciiTheme="minorHAnsi" w:hAnsiTheme="minorHAnsi"/>
                      <w:iCs w:val="0"/>
                      <w:noProof w:val="0"/>
                      <w:color w:val="auto"/>
                    </w:rPr>
                  </w:pPr>
                  <w:r w:rsidRPr="005A11C7">
                    <w:rPr>
                      <w:rStyle w:val="SubtleEmphasis"/>
                      <w:rFonts w:asciiTheme="minorHAnsi" w:hAnsiTheme="minorHAnsi"/>
                      <w:iCs w:val="0"/>
                      <w:noProof w:val="0"/>
                      <w:color w:val="auto"/>
                    </w:rPr>
                    <w:t xml:space="preserve">Indexes into </w:t>
                  </w:r>
                  <w:r w:rsidRPr="005A11C7">
                    <w:rPr>
                      <w:rStyle w:val="SubtleEmphasis"/>
                    </w:rPr>
                    <w:t>userdata.surface.triRep.Triangulation</w:t>
                  </w:r>
                  <w:r w:rsidRPr="005A11C7">
                    <w:rPr>
                      <w:rStyle w:val="SubtleEmphasis"/>
                      <w:rFonts w:asciiTheme="minorHAnsi" w:hAnsiTheme="minorHAnsi"/>
                      <w:iCs w:val="0"/>
                      <w:noProof w:val="0"/>
                      <w:color w:val="auto"/>
                    </w:rPr>
                    <w:t xml:space="preserve"> and refers to the triangles that have voltage values within the range specified by ‘</w:t>
                  </w:r>
                  <w:r w:rsidRPr="005A11C7">
                    <w:rPr>
                      <w:rStyle w:val="SubtleEmphasis"/>
                    </w:rPr>
                    <w:t>threshold’</w:t>
                  </w:r>
                </w:p>
              </w:tc>
            </w:tr>
            <w:tr w:rsidR="005A11C7" w14:paraId="722BE2DD" w14:textId="77777777" w:rsidTr="00161929">
              <w:tc>
                <w:tcPr>
                  <w:tcW w:w="1771" w:type="pct"/>
                </w:tcPr>
                <w:p w14:paraId="05D921FA" w14:textId="370BD805" w:rsidR="005A11C7" w:rsidRDefault="005A11C7" w:rsidP="00174F87">
                  <w:pPr>
                    <w:rPr>
                      <w:rStyle w:val="SubtleEmphasis"/>
                    </w:rPr>
                  </w:pPr>
                  <w:r>
                    <w:rPr>
                      <w:rStyle w:val="SubtleEmphasis"/>
                    </w:rPr>
                    <w:t>tr2</w:t>
                  </w:r>
                </w:p>
              </w:tc>
              <w:tc>
                <w:tcPr>
                  <w:tcW w:w="3229" w:type="pct"/>
                </w:tcPr>
                <w:p w14:paraId="75F925CB" w14:textId="2E716A8F" w:rsidR="005A11C7" w:rsidRPr="005A11C7" w:rsidRDefault="005A11C7" w:rsidP="005A11C7">
                  <w:pPr>
                    <w:pStyle w:val="Tabletext"/>
                    <w:rPr>
                      <w:rStyle w:val="SubtleEmphasis"/>
                      <w:rFonts w:asciiTheme="minorHAnsi" w:hAnsiTheme="minorHAnsi"/>
                      <w:iCs w:val="0"/>
                      <w:noProof w:val="0"/>
                      <w:color w:val="auto"/>
                    </w:rPr>
                  </w:pPr>
                  <w:r w:rsidRPr="005A11C7">
                    <w:rPr>
                      <w:rStyle w:val="SubtleEmphasis"/>
                      <w:rFonts w:asciiTheme="minorHAnsi" w:hAnsiTheme="minorHAnsi"/>
                      <w:iCs w:val="0"/>
                      <w:noProof w:val="0"/>
                      <w:color w:val="auto"/>
                    </w:rPr>
                    <w:t xml:space="preserve">A triangulation of all the triangles referenced in </w:t>
                  </w:r>
                  <w:r w:rsidRPr="005A11C7">
                    <w:rPr>
                      <w:rStyle w:val="SubtleEmphasis"/>
                    </w:rPr>
                    <w:t>iTri</w:t>
                  </w:r>
                  <w:r w:rsidRPr="005A11C7">
                    <w:rPr>
                      <w:rStyle w:val="SubtleEmphasis"/>
                      <w:rFonts w:asciiTheme="minorHAnsi" w:hAnsiTheme="minorHAnsi"/>
                      <w:iCs w:val="0"/>
                      <w:noProof w:val="0"/>
                      <w:color w:val="auto"/>
                    </w:rPr>
                    <w:t>.</w:t>
                  </w:r>
                </w:p>
              </w:tc>
            </w:tr>
          </w:tbl>
          <w:p w14:paraId="2AF7B716" w14:textId="77777777" w:rsidR="00174F87" w:rsidRPr="009326DB" w:rsidRDefault="00174F87" w:rsidP="00174F87">
            <w:pPr>
              <w:rPr>
                <w:rFonts w:ascii="Consolas" w:hAnsi="Consolas" w:cs="Consolas"/>
                <w:sz w:val="18"/>
                <w:szCs w:val="18"/>
              </w:rPr>
            </w:pPr>
          </w:p>
        </w:tc>
        <w:tc>
          <w:tcPr>
            <w:tcW w:w="1944" w:type="pct"/>
          </w:tcPr>
          <w:p w14:paraId="0660BCC4" w14:textId="77777777" w:rsidR="00174F87" w:rsidRPr="00893BD2" w:rsidRDefault="00174F87" w:rsidP="00174F87">
            <w:pPr>
              <w:pStyle w:val="Tabletextheading"/>
            </w:pPr>
            <w:r>
              <w:t>Use case</w:t>
            </w:r>
          </w:p>
          <w:p w14:paraId="48366546" w14:textId="263E01E7" w:rsidR="00174F87" w:rsidRDefault="00934C53" w:rsidP="00174F87">
            <w:pPr>
              <w:pStyle w:val="Tabletext"/>
            </w:pPr>
            <w:r>
              <w:t>Returns the low voltage area</w:t>
            </w:r>
          </w:p>
          <w:p w14:paraId="69D7FF80" w14:textId="77777777" w:rsidR="00174F87" w:rsidRDefault="00174F87" w:rsidP="00174F87">
            <w:pPr>
              <w:pStyle w:val="Tabletextheading"/>
            </w:pPr>
            <w:r>
              <w:t>Description</w:t>
            </w:r>
          </w:p>
          <w:p w14:paraId="5EE31667" w14:textId="67E04D75" w:rsidR="00535F52" w:rsidRDefault="00535F52" w:rsidP="00535F52">
            <w:pPr>
              <w:pStyle w:val="Tabletext"/>
              <w:rPr>
                <w:rFonts w:ascii="Courier" w:hAnsi="Courier"/>
              </w:rPr>
            </w:pPr>
            <w:r w:rsidRPr="00535F52">
              <w:rPr>
                <w:rStyle w:val="SubtleEmphasis"/>
              </w:rPr>
              <w:t>getLowVoltageArea</w:t>
            </w:r>
            <w:r>
              <w:t>.m</w:t>
            </w:r>
            <w:r>
              <w:rPr>
                <w:color w:val="000000"/>
              </w:rPr>
              <w:t xml:space="preserve"> </w:t>
            </w:r>
            <w:r>
              <w:t>Returns</w:t>
            </w:r>
            <w:r>
              <w:rPr>
                <w:color w:val="000000"/>
              </w:rPr>
              <w:t xml:space="preserve"> </w:t>
            </w:r>
            <w:r>
              <w:t>the</w:t>
            </w:r>
            <w:r>
              <w:rPr>
                <w:color w:val="000000"/>
              </w:rPr>
              <w:t xml:space="preserve"> </w:t>
            </w:r>
            <w:r>
              <w:t>surface</w:t>
            </w:r>
            <w:r>
              <w:rPr>
                <w:color w:val="000000"/>
              </w:rPr>
              <w:t xml:space="preserve"> </w:t>
            </w:r>
            <w:r>
              <w:t>area</w:t>
            </w:r>
            <w:r>
              <w:rPr>
                <w:color w:val="000000"/>
              </w:rPr>
              <w:t xml:space="preserve"> </w:t>
            </w:r>
            <w:r>
              <w:t>of</w:t>
            </w:r>
            <w:r>
              <w:rPr>
                <w:color w:val="000000"/>
              </w:rPr>
              <w:t xml:space="preserve"> </w:t>
            </w:r>
            <w:r>
              <w:t>the</w:t>
            </w:r>
            <w:r>
              <w:rPr>
                <w:color w:val="000000"/>
              </w:rPr>
              <w:t xml:space="preserve"> </w:t>
            </w:r>
            <w:r>
              <w:t>chamber</w:t>
            </w:r>
            <w:r>
              <w:rPr>
                <w:color w:val="000000"/>
              </w:rPr>
              <w:t xml:space="preserve"> </w:t>
            </w:r>
            <w:r>
              <w:t>with</w:t>
            </w:r>
            <w:r>
              <w:rPr>
                <w:color w:val="000000"/>
              </w:rPr>
              <w:t xml:space="preserve"> </w:t>
            </w:r>
            <w:r>
              <w:t xml:space="preserve">voltage </w:t>
            </w:r>
            <w:r>
              <w:rPr>
                <w:color w:val="000000"/>
              </w:rPr>
              <w:t xml:space="preserve">less </w:t>
            </w:r>
            <w:r>
              <w:t>than</w:t>
            </w:r>
            <w:r>
              <w:rPr>
                <w:color w:val="000000"/>
              </w:rPr>
              <w:t xml:space="preserve"> </w:t>
            </w:r>
            <w:r>
              <w:t>the</w:t>
            </w:r>
            <w:r>
              <w:rPr>
                <w:color w:val="000000"/>
              </w:rPr>
              <w:t xml:space="preserve"> </w:t>
            </w:r>
            <w:r>
              <w:t>specified</w:t>
            </w:r>
            <w:r>
              <w:rPr>
                <w:color w:val="000000"/>
              </w:rPr>
              <w:t xml:space="preserve"> </w:t>
            </w:r>
            <w:r>
              <w:t>threshold</w:t>
            </w:r>
            <w:r>
              <w:rPr>
                <w:color w:val="000000"/>
              </w:rPr>
              <w:t xml:space="preserve">, 0.5mV by </w:t>
            </w:r>
            <w:r>
              <w:t>default.</w:t>
            </w:r>
            <w:r>
              <w:rPr>
                <w:color w:val="000000"/>
              </w:rPr>
              <w:t xml:space="preserve"> </w:t>
            </w:r>
            <w:r>
              <w:t>By</w:t>
            </w:r>
            <w:r>
              <w:rPr>
                <w:color w:val="000000"/>
              </w:rPr>
              <w:t xml:space="preserve"> </w:t>
            </w:r>
            <w:r>
              <w:t>default,</w:t>
            </w:r>
            <w:r>
              <w:rPr>
                <w:color w:val="000000"/>
              </w:rPr>
              <w:t xml:space="preserve"> </w:t>
            </w:r>
            <w:r>
              <w:t xml:space="preserve">low </w:t>
            </w:r>
            <w:r>
              <w:rPr>
                <w:color w:val="000000"/>
              </w:rPr>
              <w:t xml:space="preserve">voltage </w:t>
            </w:r>
            <w:r>
              <w:t>area</w:t>
            </w:r>
            <w:r>
              <w:rPr>
                <w:color w:val="000000"/>
              </w:rPr>
              <w:t xml:space="preserve"> </w:t>
            </w:r>
            <w:r>
              <w:t>is</w:t>
            </w:r>
            <w:r>
              <w:rPr>
                <w:color w:val="000000"/>
              </w:rPr>
              <w:t xml:space="preserve"> </w:t>
            </w:r>
            <w:r>
              <w:t>calculated</w:t>
            </w:r>
            <w:r>
              <w:rPr>
                <w:color w:val="000000"/>
              </w:rPr>
              <w:t xml:space="preserve"> </w:t>
            </w:r>
            <w:r>
              <w:t>using</w:t>
            </w:r>
            <w:r>
              <w:rPr>
                <w:color w:val="000000"/>
              </w:rPr>
              <w:t xml:space="preserve"> </w:t>
            </w:r>
            <w:r>
              <w:t>the</w:t>
            </w:r>
            <w:r>
              <w:rPr>
                <w:color w:val="000000"/>
              </w:rPr>
              <w:t xml:space="preserve"> </w:t>
            </w:r>
            <w:r>
              <w:t>surface</w:t>
            </w:r>
            <w:r>
              <w:rPr>
                <w:color w:val="000000"/>
              </w:rPr>
              <w:t xml:space="preserve"> </w:t>
            </w:r>
            <w:r>
              <w:t>data</w:t>
            </w:r>
            <w:r>
              <w:rPr>
                <w:color w:val="000000"/>
              </w:rPr>
              <w:t xml:space="preserve"> </w:t>
            </w:r>
            <w:r>
              <w:t xml:space="preserve">(stored in </w:t>
            </w:r>
            <w:r w:rsidRPr="00535F52">
              <w:rPr>
                <w:rStyle w:val="SubtleEmphasis"/>
              </w:rPr>
              <w:t>userdat.surface</w:t>
            </w:r>
            <w:r>
              <w:rPr>
                <w:color w:val="000000"/>
              </w:rPr>
              <w:t xml:space="preserve">). If </w:t>
            </w:r>
            <w:r>
              <w:t>'method'</w:t>
            </w:r>
            <w:r>
              <w:rPr>
                <w:color w:val="000000"/>
              </w:rPr>
              <w:t xml:space="preserve"> is </w:t>
            </w:r>
            <w:r>
              <w:t>set</w:t>
            </w:r>
            <w:r>
              <w:rPr>
                <w:color w:val="000000"/>
              </w:rPr>
              <w:t xml:space="preserve"> </w:t>
            </w:r>
            <w:r>
              <w:t>to</w:t>
            </w:r>
            <w:r>
              <w:rPr>
                <w:color w:val="000000"/>
              </w:rPr>
              <w:t xml:space="preserve"> </w:t>
            </w:r>
            <w:r w:rsidRPr="00535F52">
              <w:rPr>
                <w:rStyle w:val="SubtleEmphasis"/>
              </w:rPr>
              <w:t>'egm'</w:t>
            </w:r>
            <w:r>
              <w:rPr>
                <w:color w:val="000000"/>
              </w:rPr>
              <w:t xml:space="preserve"> </w:t>
            </w:r>
            <w:r>
              <w:t>then</w:t>
            </w:r>
            <w:r>
              <w:rPr>
                <w:color w:val="000000"/>
              </w:rPr>
              <w:t xml:space="preserve"> </w:t>
            </w:r>
            <w:r>
              <w:t>the</w:t>
            </w:r>
            <w:r>
              <w:rPr>
                <w:color w:val="000000"/>
              </w:rPr>
              <w:t xml:space="preserve"> </w:t>
            </w:r>
            <w:r>
              <w:t>bipolar</w:t>
            </w:r>
            <w:r>
              <w:rPr>
                <w:color w:val="000000"/>
              </w:rPr>
              <w:t xml:space="preserve"> </w:t>
            </w:r>
            <w:r>
              <w:t>voltage</w:t>
            </w:r>
            <w:r>
              <w:rPr>
                <w:color w:val="000000"/>
              </w:rPr>
              <w:t xml:space="preserve"> </w:t>
            </w:r>
            <w:r>
              <w:t>is</w:t>
            </w:r>
            <w:r>
              <w:rPr>
                <w:color w:val="000000"/>
              </w:rPr>
              <w:t xml:space="preserve"> first </w:t>
            </w:r>
            <w:r>
              <w:t>interpolated</w:t>
            </w:r>
            <w:r>
              <w:rPr>
                <w:color w:val="000000"/>
              </w:rPr>
              <w:t xml:space="preserve"> </w:t>
            </w:r>
            <w:r>
              <w:t>from</w:t>
            </w:r>
            <w:r>
              <w:rPr>
                <w:color w:val="000000"/>
              </w:rPr>
              <w:t xml:space="preserve"> </w:t>
            </w:r>
            <w:r>
              <w:t>the</w:t>
            </w:r>
            <w:r>
              <w:rPr>
                <w:color w:val="000000"/>
              </w:rPr>
              <w:t xml:space="preserve"> </w:t>
            </w:r>
            <w:r>
              <w:t>bipolar</w:t>
            </w:r>
            <w:r>
              <w:rPr>
                <w:color w:val="000000"/>
              </w:rPr>
              <w:t xml:space="preserve"> </w:t>
            </w:r>
            <w:r>
              <w:t>electrogram</w:t>
            </w:r>
            <w:r>
              <w:rPr>
                <w:color w:val="000000"/>
              </w:rPr>
              <w:t xml:space="preserve"> </w:t>
            </w:r>
            <w:r>
              <w:t>data</w:t>
            </w:r>
            <w:r>
              <w:rPr>
                <w:color w:val="000000"/>
              </w:rPr>
              <w:t xml:space="preserve"> </w:t>
            </w:r>
            <w:r>
              <w:t xml:space="preserve">(stored in </w:t>
            </w:r>
            <w:r w:rsidRPr="00535F52">
              <w:rPr>
                <w:rStyle w:val="SubtleEmphasis"/>
              </w:rPr>
              <w:t>userdata.electric</w:t>
            </w:r>
            <w:r>
              <w:rPr>
                <w:color w:val="000000"/>
              </w:rPr>
              <w:t xml:space="preserve">). If </w:t>
            </w:r>
            <w:r>
              <w:t>'type'</w:t>
            </w:r>
            <w:r>
              <w:rPr>
                <w:color w:val="000000"/>
              </w:rPr>
              <w:t xml:space="preserve"> is </w:t>
            </w:r>
            <w:r>
              <w:t>set</w:t>
            </w:r>
            <w:r>
              <w:rPr>
                <w:color w:val="000000"/>
              </w:rPr>
              <w:t xml:space="preserve"> </w:t>
            </w:r>
            <w:r>
              <w:t>to</w:t>
            </w:r>
            <w:r>
              <w:rPr>
                <w:color w:val="000000"/>
              </w:rPr>
              <w:t xml:space="preserve"> </w:t>
            </w:r>
            <w:r w:rsidRPr="00535F52">
              <w:rPr>
                <w:rStyle w:val="SubtleEmphasis"/>
              </w:rPr>
              <w:t>'uni'</w:t>
            </w:r>
            <w:r>
              <w:rPr>
                <w:color w:val="000000"/>
              </w:rPr>
              <w:t xml:space="preserve"> </w:t>
            </w:r>
            <w:r>
              <w:t>then</w:t>
            </w:r>
            <w:r>
              <w:rPr>
                <w:color w:val="000000"/>
              </w:rPr>
              <w:t xml:space="preserve"> </w:t>
            </w:r>
            <w:r>
              <w:t>unipolar</w:t>
            </w:r>
            <w:r>
              <w:rPr>
                <w:color w:val="000000"/>
              </w:rPr>
              <w:t xml:space="preserve"> </w:t>
            </w:r>
            <w:r>
              <w:t>voltages</w:t>
            </w:r>
            <w:r>
              <w:rPr>
                <w:color w:val="000000"/>
              </w:rPr>
              <w:t xml:space="preserve"> </w:t>
            </w:r>
            <w:r>
              <w:t xml:space="preserve">are </w:t>
            </w:r>
            <w:r>
              <w:rPr>
                <w:color w:val="000000"/>
              </w:rPr>
              <w:t xml:space="preserve">used </w:t>
            </w:r>
            <w:r>
              <w:t>for</w:t>
            </w:r>
            <w:r>
              <w:rPr>
                <w:color w:val="000000"/>
              </w:rPr>
              <w:t xml:space="preserve"> </w:t>
            </w:r>
            <w:r>
              <w:t>surface</w:t>
            </w:r>
            <w:r>
              <w:rPr>
                <w:color w:val="000000"/>
              </w:rPr>
              <w:t xml:space="preserve"> </w:t>
            </w:r>
            <w:r>
              <w:t>area</w:t>
            </w:r>
            <w:r>
              <w:rPr>
                <w:color w:val="000000"/>
              </w:rPr>
              <w:t xml:space="preserve"> </w:t>
            </w:r>
            <w:r>
              <w:t>calculation.</w:t>
            </w:r>
          </w:p>
          <w:p w14:paraId="0CDA96D8" w14:textId="48DF4994" w:rsidR="00174F87" w:rsidRDefault="00174F87" w:rsidP="00174F87">
            <w:pPr>
              <w:pStyle w:val="Tabletextheading"/>
            </w:pPr>
            <w:r w:rsidRPr="00B035AB">
              <w:t>Example</w:t>
            </w:r>
            <w:r w:rsidRPr="00B341D1">
              <w:t xml:space="preserve"> function call</w:t>
            </w:r>
            <w:r>
              <w:t>(s)</w:t>
            </w:r>
          </w:p>
          <w:p w14:paraId="7C379105" w14:textId="50F7E718" w:rsidR="00174F87" w:rsidRPr="005A11C7" w:rsidRDefault="005A11C7" w:rsidP="005A11C7">
            <w:pPr>
              <w:pStyle w:val="Code"/>
            </w:pPr>
            <w:r>
              <w:t>[</w:t>
            </w:r>
            <w:proofErr w:type="spellStart"/>
            <w:r>
              <w:t>lowVArea</w:t>
            </w:r>
            <w:proofErr w:type="spellEnd"/>
            <w:r>
              <w:t xml:space="preserve">, voltages, </w:t>
            </w:r>
            <w:proofErr w:type="spellStart"/>
            <w:r>
              <w:t>iTri</w:t>
            </w:r>
            <w:proofErr w:type="spellEnd"/>
            <w:r>
              <w:t xml:space="preserve">, tr2] = </w:t>
            </w:r>
            <w:proofErr w:type="spellStart"/>
            <w:proofErr w:type="gramStart"/>
            <w:r>
              <w:t>getLowVoltageArea</w:t>
            </w:r>
            <w:proofErr w:type="spellEnd"/>
            <w:r>
              <w:t>(</w:t>
            </w:r>
            <w:proofErr w:type="spellStart"/>
            <w:proofErr w:type="gramEnd"/>
            <w:r>
              <w:t>userdata</w:t>
            </w:r>
            <w:proofErr w:type="spellEnd"/>
            <w:r>
              <w:t>, 'method', '</w:t>
            </w:r>
            <w:proofErr w:type="spellStart"/>
            <w:r>
              <w:t>egm</w:t>
            </w:r>
            <w:proofErr w:type="spellEnd"/>
            <w:r>
              <w:t>')</w:t>
            </w:r>
            <w:r w:rsidR="00CE37C1">
              <w:t>;</w:t>
            </w:r>
          </w:p>
        </w:tc>
      </w:tr>
      <w:tr w:rsidR="00174F87" w:rsidRPr="004F7B48" w14:paraId="1A5C3E39" w14:textId="77777777" w:rsidTr="00861399">
        <w:tc>
          <w:tcPr>
            <w:tcW w:w="1353" w:type="pct"/>
          </w:tcPr>
          <w:p w14:paraId="25C228A3" w14:textId="3EACF6F8" w:rsidR="00174F87" w:rsidRPr="006A0BFF" w:rsidRDefault="00174F87" w:rsidP="00174F87">
            <w:pPr>
              <w:rPr>
                <w:rStyle w:val="SubtleEmphasis"/>
              </w:rPr>
            </w:pPr>
            <w:r w:rsidRPr="006A0BFF">
              <w:rPr>
                <w:rStyle w:val="SubtleEmphasis"/>
              </w:rPr>
              <w:t>getMeanVoltage(</w:t>
            </w:r>
            <w:r>
              <w:rPr>
                <w:rStyle w:val="SubtleEmphasis"/>
              </w:rPr>
              <w:t>...</w:t>
            </w:r>
            <w:r w:rsidRPr="006A0BFF">
              <w:rPr>
                <w:rStyle w:val="SubtleEmphasis"/>
              </w:rPr>
              <w:t>)</w:t>
            </w:r>
          </w:p>
        </w:tc>
        <w:tc>
          <w:tcPr>
            <w:tcW w:w="1703" w:type="pct"/>
          </w:tcPr>
          <w:p w14:paraId="4BDD1A19"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498F4865" w14:textId="77777777" w:rsidTr="00161929">
              <w:tc>
                <w:tcPr>
                  <w:tcW w:w="1487" w:type="pct"/>
                </w:tcPr>
                <w:p w14:paraId="7C3F1F60" w14:textId="07CE194F" w:rsidR="00174F87" w:rsidRPr="006C15AE" w:rsidRDefault="005439B5" w:rsidP="00174F87">
                  <w:pPr>
                    <w:rPr>
                      <w:rStyle w:val="SubtleEmphasis"/>
                    </w:rPr>
                  </w:pPr>
                  <w:r>
                    <w:rPr>
                      <w:rStyle w:val="SubtleEmphasis"/>
                    </w:rPr>
                    <w:t>1</w:t>
                  </w:r>
                </w:p>
              </w:tc>
              <w:tc>
                <w:tcPr>
                  <w:tcW w:w="3513" w:type="pct"/>
                </w:tcPr>
                <w:p w14:paraId="1CA38E1A" w14:textId="011BCB6A" w:rsidR="00174F87" w:rsidRPr="006C15AE" w:rsidRDefault="005439B5" w:rsidP="00174F87">
                  <w:pPr>
                    <w:pStyle w:val="Tabletext"/>
                    <w:rPr>
                      <w:rStyle w:val="SubtleEmphasis"/>
                    </w:rPr>
                  </w:pPr>
                  <w:r>
                    <w:rPr>
                      <w:rStyle w:val="SubtleEmphasis"/>
                    </w:rPr>
                    <w:t>userdata</w:t>
                  </w:r>
                </w:p>
              </w:tc>
            </w:tr>
          </w:tbl>
          <w:p w14:paraId="18D93970"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8B20C2" w14:paraId="0B389AD5" w14:textId="77777777" w:rsidTr="00161929">
              <w:tc>
                <w:tcPr>
                  <w:tcW w:w="1771" w:type="pct"/>
                </w:tcPr>
                <w:p w14:paraId="607D42FF" w14:textId="28628F42" w:rsidR="008B20C2" w:rsidRPr="006C15AE" w:rsidRDefault="008B20C2" w:rsidP="008B20C2">
                  <w:pPr>
                    <w:rPr>
                      <w:rStyle w:val="SubtleEmphasis"/>
                    </w:rPr>
                  </w:pPr>
                  <w:r>
                    <w:rPr>
                      <w:rStyle w:val="SubtleEmphasis"/>
                    </w:rPr>
                    <w:t>‘method’</w:t>
                  </w:r>
                </w:p>
              </w:tc>
              <w:tc>
                <w:tcPr>
                  <w:tcW w:w="3229" w:type="pct"/>
                </w:tcPr>
                <w:p w14:paraId="40800B26" w14:textId="2CD37708" w:rsidR="008B20C2" w:rsidRPr="006C15AE" w:rsidRDefault="008B20C2" w:rsidP="008B20C2">
                  <w:pPr>
                    <w:pStyle w:val="Tabletext"/>
                    <w:rPr>
                      <w:rStyle w:val="SubtleEmphasis"/>
                    </w:rPr>
                  </w:pPr>
                  <w:r>
                    <w:rPr>
                      <w:rStyle w:val="SubtleEmphasis"/>
                    </w:rPr>
                    <w:t>{‘map’} | ‘egm’</w:t>
                  </w:r>
                </w:p>
              </w:tc>
            </w:tr>
            <w:tr w:rsidR="008B20C2" w14:paraId="459F87C5" w14:textId="77777777" w:rsidTr="00161929">
              <w:tc>
                <w:tcPr>
                  <w:tcW w:w="1771" w:type="pct"/>
                </w:tcPr>
                <w:p w14:paraId="1419B749" w14:textId="36D407B0" w:rsidR="008B20C2" w:rsidRDefault="008B20C2" w:rsidP="008B20C2">
                  <w:pPr>
                    <w:rPr>
                      <w:rStyle w:val="SubtleEmphasis"/>
                    </w:rPr>
                  </w:pPr>
                  <w:r>
                    <w:rPr>
                      <w:rStyle w:val="SubtleEmphasis"/>
                    </w:rPr>
                    <w:t>‘type’</w:t>
                  </w:r>
                </w:p>
              </w:tc>
              <w:tc>
                <w:tcPr>
                  <w:tcW w:w="3229" w:type="pct"/>
                </w:tcPr>
                <w:p w14:paraId="39993553" w14:textId="478A2846" w:rsidR="008B20C2" w:rsidRPr="006C15AE" w:rsidRDefault="008B20C2" w:rsidP="008B20C2">
                  <w:pPr>
                    <w:pStyle w:val="Tabletext"/>
                    <w:rPr>
                      <w:rStyle w:val="SubtleEmphasis"/>
                    </w:rPr>
                  </w:pPr>
                  <w:r>
                    <w:rPr>
                      <w:rStyle w:val="SubtleEmphasis"/>
                    </w:rPr>
                    <w:t>{‘bip’} | ‘uni’</w:t>
                  </w:r>
                </w:p>
              </w:tc>
            </w:tr>
          </w:tbl>
          <w:p w14:paraId="159891AF"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401B9A1C" w14:textId="77777777" w:rsidTr="00161929">
              <w:tc>
                <w:tcPr>
                  <w:tcW w:w="1771" w:type="pct"/>
                </w:tcPr>
                <w:p w14:paraId="191991D0" w14:textId="7D7CF670" w:rsidR="00174F87" w:rsidRPr="006C15AE" w:rsidRDefault="008B20C2" w:rsidP="00174F87">
                  <w:pPr>
                    <w:rPr>
                      <w:rStyle w:val="SubtleEmphasis"/>
                    </w:rPr>
                  </w:pPr>
                  <w:r>
                    <w:rPr>
                      <w:rStyle w:val="SubtleEmphasis"/>
                    </w:rPr>
                    <w:lastRenderedPageBreak/>
                    <w:t>meanVoltage</w:t>
                  </w:r>
                </w:p>
              </w:tc>
              <w:tc>
                <w:tcPr>
                  <w:tcW w:w="3229" w:type="pct"/>
                </w:tcPr>
                <w:p w14:paraId="04FB84A0" w14:textId="24A6B14E" w:rsidR="00174F87" w:rsidRPr="008B20C2" w:rsidRDefault="008B20C2" w:rsidP="008B20C2">
                  <w:pPr>
                    <w:pStyle w:val="Tabletext"/>
                    <w:rPr>
                      <w:rStyle w:val="SubtleEmphasis"/>
                      <w:rFonts w:asciiTheme="minorHAnsi" w:hAnsiTheme="minorHAnsi"/>
                      <w:iCs w:val="0"/>
                      <w:noProof w:val="0"/>
                      <w:color w:val="auto"/>
                    </w:rPr>
                  </w:pPr>
                  <w:r w:rsidRPr="008B20C2">
                    <w:rPr>
                      <w:rStyle w:val="SubtleEmphasis"/>
                      <w:rFonts w:asciiTheme="minorHAnsi" w:hAnsiTheme="minorHAnsi"/>
                      <w:iCs w:val="0"/>
                      <w:noProof w:val="0"/>
                      <w:color w:val="auto"/>
                    </w:rPr>
                    <w:t>The mean chamber voltage (in mV)</w:t>
                  </w:r>
                </w:p>
              </w:tc>
            </w:tr>
          </w:tbl>
          <w:p w14:paraId="249DC1CB" w14:textId="77777777" w:rsidR="00174F87" w:rsidRPr="009326DB" w:rsidRDefault="00174F87" w:rsidP="00174F87">
            <w:pPr>
              <w:rPr>
                <w:rFonts w:ascii="Consolas" w:hAnsi="Consolas" w:cs="Consolas"/>
                <w:sz w:val="18"/>
                <w:szCs w:val="18"/>
              </w:rPr>
            </w:pPr>
          </w:p>
        </w:tc>
        <w:tc>
          <w:tcPr>
            <w:tcW w:w="1944" w:type="pct"/>
          </w:tcPr>
          <w:p w14:paraId="7DF3EF8C" w14:textId="77777777" w:rsidR="00174F87" w:rsidRPr="00893BD2" w:rsidRDefault="00174F87" w:rsidP="00174F87">
            <w:pPr>
              <w:pStyle w:val="Tabletextheading"/>
            </w:pPr>
            <w:r>
              <w:lastRenderedPageBreak/>
              <w:t>Use case</w:t>
            </w:r>
          </w:p>
          <w:p w14:paraId="1239C3BA" w14:textId="0D2768EA" w:rsidR="00174F87" w:rsidRDefault="008B20C2" w:rsidP="00174F87">
            <w:pPr>
              <w:pStyle w:val="Tabletext"/>
            </w:pPr>
            <w:r>
              <w:t>Returns the mean voltage</w:t>
            </w:r>
            <w:r w:rsidR="006B3B10">
              <w:t xml:space="preserve"> of the chamber in </w:t>
            </w:r>
            <w:r w:rsidR="006B3B10" w:rsidRPr="00CB09DD">
              <w:rPr>
                <w:rStyle w:val="SubtleEmphasis"/>
              </w:rPr>
              <w:t>userdata</w:t>
            </w:r>
          </w:p>
          <w:p w14:paraId="4D165F68" w14:textId="77777777" w:rsidR="00174F87" w:rsidRDefault="00174F87" w:rsidP="00174F87">
            <w:pPr>
              <w:pStyle w:val="Tabletextheading"/>
            </w:pPr>
            <w:r>
              <w:t>Description</w:t>
            </w:r>
          </w:p>
          <w:p w14:paraId="57D2231C" w14:textId="045BBA2E" w:rsidR="00CB09DD" w:rsidRDefault="00CB09DD" w:rsidP="00CB09DD">
            <w:pPr>
              <w:pStyle w:val="Tabletext"/>
            </w:pPr>
            <w:r w:rsidRPr="00CB09DD">
              <w:rPr>
                <w:rStyle w:val="SubtleEmphasis"/>
              </w:rPr>
              <w:t>getMeanVoltage.m</w:t>
            </w:r>
            <w:r>
              <w:rPr>
                <w:color w:val="000000"/>
              </w:rPr>
              <w:t xml:space="preserve"> </w:t>
            </w:r>
            <w:r>
              <w:t>Returns</w:t>
            </w:r>
            <w:r>
              <w:rPr>
                <w:color w:val="000000"/>
              </w:rPr>
              <w:t xml:space="preserve"> </w:t>
            </w:r>
            <w:r>
              <w:t>the</w:t>
            </w:r>
            <w:r>
              <w:rPr>
                <w:color w:val="000000"/>
              </w:rPr>
              <w:t xml:space="preserve"> </w:t>
            </w:r>
            <w:r>
              <w:t>mean</w:t>
            </w:r>
            <w:r>
              <w:rPr>
                <w:color w:val="000000"/>
              </w:rPr>
              <w:t xml:space="preserve"> </w:t>
            </w:r>
            <w:r>
              <w:t>voltage</w:t>
            </w:r>
            <w:r>
              <w:rPr>
                <w:color w:val="000000"/>
              </w:rPr>
              <w:t xml:space="preserve"> </w:t>
            </w:r>
            <w:r>
              <w:t>of</w:t>
            </w:r>
            <w:r>
              <w:rPr>
                <w:color w:val="000000"/>
              </w:rPr>
              <w:t xml:space="preserve"> </w:t>
            </w:r>
            <w:r>
              <w:t>a</w:t>
            </w:r>
            <w:r>
              <w:rPr>
                <w:color w:val="000000"/>
              </w:rPr>
              <w:t xml:space="preserve"> </w:t>
            </w:r>
            <w:r>
              <w:t>chamber.</w:t>
            </w:r>
            <w:r>
              <w:rPr>
                <w:color w:val="000000"/>
              </w:rPr>
              <w:t xml:space="preserve"> </w:t>
            </w:r>
            <w:r>
              <w:t>By</w:t>
            </w:r>
            <w:r>
              <w:rPr>
                <w:color w:val="000000"/>
              </w:rPr>
              <w:t xml:space="preserve"> </w:t>
            </w:r>
            <w:r>
              <w:t>default</w:t>
            </w:r>
            <w:r>
              <w:rPr>
                <w:color w:val="000000"/>
              </w:rPr>
              <w:t xml:space="preserve">, the mean </w:t>
            </w:r>
            <w:r>
              <w:t>bipolar</w:t>
            </w:r>
            <w:r>
              <w:rPr>
                <w:color w:val="000000"/>
              </w:rPr>
              <w:t xml:space="preserve"> </w:t>
            </w:r>
            <w:r>
              <w:t>voltage</w:t>
            </w:r>
            <w:r>
              <w:rPr>
                <w:color w:val="000000"/>
              </w:rPr>
              <w:t xml:space="preserve"> </w:t>
            </w:r>
            <w:r>
              <w:t>is</w:t>
            </w:r>
            <w:r>
              <w:rPr>
                <w:color w:val="000000"/>
              </w:rPr>
              <w:t xml:space="preserve"> </w:t>
            </w:r>
            <w:r>
              <w:t>calculated</w:t>
            </w:r>
            <w:r>
              <w:rPr>
                <w:color w:val="000000"/>
              </w:rPr>
              <w:t xml:space="preserve"> </w:t>
            </w:r>
            <w:r>
              <w:t>using</w:t>
            </w:r>
            <w:r>
              <w:rPr>
                <w:color w:val="000000"/>
              </w:rPr>
              <w:t xml:space="preserve"> </w:t>
            </w:r>
            <w:r>
              <w:t>the</w:t>
            </w:r>
            <w:r>
              <w:rPr>
                <w:color w:val="000000"/>
              </w:rPr>
              <w:t xml:space="preserve"> </w:t>
            </w:r>
            <w:r>
              <w:t>interpolated</w:t>
            </w:r>
            <w:r>
              <w:rPr>
                <w:color w:val="000000"/>
              </w:rPr>
              <w:t xml:space="preserve"> </w:t>
            </w:r>
            <w:r>
              <w:t>mapping</w:t>
            </w:r>
            <w:r>
              <w:rPr>
                <w:color w:val="000000"/>
              </w:rPr>
              <w:t xml:space="preserve"> </w:t>
            </w:r>
            <w:r>
              <w:t xml:space="preserve">data </w:t>
            </w:r>
            <w:r>
              <w:rPr>
                <w:color w:val="000000"/>
              </w:rPr>
              <w:t xml:space="preserve">from </w:t>
            </w:r>
            <w:r>
              <w:t>the</w:t>
            </w:r>
            <w:r>
              <w:rPr>
                <w:color w:val="000000"/>
              </w:rPr>
              <w:t xml:space="preserve"> </w:t>
            </w:r>
            <w:r>
              <w:t>clinical</w:t>
            </w:r>
            <w:r>
              <w:rPr>
                <w:color w:val="000000"/>
              </w:rPr>
              <w:t xml:space="preserve"> </w:t>
            </w:r>
            <w:r>
              <w:t>mapping</w:t>
            </w:r>
            <w:r>
              <w:rPr>
                <w:color w:val="000000"/>
              </w:rPr>
              <w:t xml:space="preserve"> </w:t>
            </w:r>
            <w:r>
              <w:t>system</w:t>
            </w:r>
            <w:r>
              <w:rPr>
                <w:color w:val="000000"/>
              </w:rPr>
              <w:t xml:space="preserve"> </w:t>
            </w:r>
            <w:r>
              <w:t xml:space="preserve">(stored in </w:t>
            </w:r>
            <w:r w:rsidRPr="00CB09DD">
              <w:rPr>
                <w:rStyle w:val="SubtleEmphasis"/>
              </w:rPr>
              <w:t>userdata.surface.act_bip</w:t>
            </w:r>
            <w:r>
              <w:t>).</w:t>
            </w:r>
            <w:r>
              <w:rPr>
                <w:color w:val="000000"/>
              </w:rPr>
              <w:t xml:space="preserve"> </w:t>
            </w:r>
            <w:r>
              <w:t xml:space="preserve">If </w:t>
            </w:r>
            <w:r w:rsidRPr="00CB09DD">
              <w:rPr>
                <w:rStyle w:val="SubtleEmphasis"/>
              </w:rPr>
              <w:t>'method'</w:t>
            </w:r>
            <w:r>
              <w:rPr>
                <w:color w:val="000000"/>
              </w:rPr>
              <w:t xml:space="preserve"> is </w:t>
            </w:r>
            <w:r>
              <w:t>set</w:t>
            </w:r>
            <w:r>
              <w:rPr>
                <w:color w:val="000000"/>
              </w:rPr>
              <w:t xml:space="preserve"> </w:t>
            </w:r>
            <w:r>
              <w:t>to</w:t>
            </w:r>
            <w:r>
              <w:rPr>
                <w:color w:val="000000"/>
              </w:rPr>
              <w:t xml:space="preserve"> </w:t>
            </w:r>
            <w:r w:rsidRPr="00CB09DD">
              <w:rPr>
                <w:rStyle w:val="SubtleEmphasis"/>
              </w:rPr>
              <w:t>'egm'</w:t>
            </w:r>
            <w:r>
              <w:rPr>
                <w:color w:val="000000"/>
              </w:rPr>
              <w:t xml:space="preserve"> </w:t>
            </w:r>
            <w:r>
              <w:t>then</w:t>
            </w:r>
            <w:r>
              <w:rPr>
                <w:color w:val="000000"/>
              </w:rPr>
              <w:t xml:space="preserve"> </w:t>
            </w:r>
            <w:r>
              <w:t>the</w:t>
            </w:r>
            <w:r>
              <w:rPr>
                <w:color w:val="000000"/>
              </w:rPr>
              <w:t xml:space="preserve"> </w:t>
            </w:r>
            <w:r>
              <w:t>bipolar</w:t>
            </w:r>
            <w:r>
              <w:rPr>
                <w:color w:val="000000"/>
              </w:rPr>
              <w:t xml:space="preserve"> </w:t>
            </w:r>
            <w:r>
              <w:t>voltage</w:t>
            </w:r>
            <w:r>
              <w:rPr>
                <w:color w:val="000000"/>
              </w:rPr>
              <w:t xml:space="preserve"> </w:t>
            </w:r>
            <w:r>
              <w:t>is</w:t>
            </w:r>
            <w:r>
              <w:rPr>
                <w:color w:val="000000"/>
              </w:rPr>
              <w:t xml:space="preserve"> </w:t>
            </w:r>
            <w:r>
              <w:t>first</w:t>
            </w:r>
            <w:r>
              <w:rPr>
                <w:color w:val="000000"/>
              </w:rPr>
              <w:t xml:space="preserve"> </w:t>
            </w:r>
            <w:r>
              <w:t>interpolated</w:t>
            </w:r>
            <w:r>
              <w:rPr>
                <w:color w:val="000000"/>
              </w:rPr>
              <w:t xml:space="preserve"> from </w:t>
            </w:r>
            <w:r>
              <w:t>the</w:t>
            </w:r>
            <w:r>
              <w:rPr>
                <w:color w:val="000000"/>
              </w:rPr>
              <w:t xml:space="preserve"> </w:t>
            </w:r>
            <w:r>
              <w:t>bipolar</w:t>
            </w:r>
            <w:r>
              <w:rPr>
                <w:color w:val="000000"/>
              </w:rPr>
              <w:t xml:space="preserve"> </w:t>
            </w:r>
            <w:r>
              <w:t>electrogram</w:t>
            </w:r>
            <w:r>
              <w:rPr>
                <w:color w:val="000000"/>
              </w:rPr>
              <w:t xml:space="preserve"> </w:t>
            </w:r>
            <w:r>
              <w:t>data</w:t>
            </w:r>
            <w:r>
              <w:rPr>
                <w:color w:val="000000"/>
              </w:rPr>
              <w:t xml:space="preserve"> </w:t>
            </w:r>
            <w:r>
              <w:t xml:space="preserve">(stored in </w:t>
            </w:r>
            <w:r w:rsidRPr="00CB09DD">
              <w:rPr>
                <w:rStyle w:val="SubtleEmphasis"/>
              </w:rPr>
              <w:t>userdata.electric</w:t>
            </w:r>
            <w:r>
              <w:t>).</w:t>
            </w:r>
            <w:r>
              <w:rPr>
                <w:color w:val="000000"/>
              </w:rPr>
              <w:t xml:space="preserve"> </w:t>
            </w:r>
            <w:r>
              <w:t>If</w:t>
            </w:r>
            <w:r>
              <w:rPr>
                <w:color w:val="000000"/>
              </w:rPr>
              <w:t xml:space="preserve"> </w:t>
            </w:r>
            <w:r>
              <w:t>'type'</w:t>
            </w:r>
            <w:r>
              <w:rPr>
                <w:color w:val="000000"/>
              </w:rPr>
              <w:t xml:space="preserve"> is </w:t>
            </w:r>
            <w:r>
              <w:t>set</w:t>
            </w:r>
            <w:r>
              <w:rPr>
                <w:color w:val="000000"/>
              </w:rPr>
              <w:t xml:space="preserve"> </w:t>
            </w:r>
            <w:r>
              <w:t>to</w:t>
            </w:r>
            <w:r>
              <w:rPr>
                <w:color w:val="000000"/>
              </w:rPr>
              <w:t xml:space="preserve"> </w:t>
            </w:r>
            <w:r w:rsidRPr="00CB09DD">
              <w:rPr>
                <w:rStyle w:val="SubtleEmphasis"/>
              </w:rPr>
              <w:t>'uni'</w:t>
            </w:r>
            <w:r>
              <w:rPr>
                <w:color w:val="000000"/>
              </w:rPr>
              <w:t xml:space="preserve"> </w:t>
            </w:r>
            <w:r>
              <w:t>then</w:t>
            </w:r>
            <w:r>
              <w:rPr>
                <w:color w:val="000000"/>
              </w:rPr>
              <w:t xml:space="preserve"> </w:t>
            </w:r>
            <w:r>
              <w:t>unipolar</w:t>
            </w:r>
            <w:r>
              <w:rPr>
                <w:color w:val="000000"/>
              </w:rPr>
              <w:t xml:space="preserve"> </w:t>
            </w:r>
            <w:r>
              <w:t>voltages</w:t>
            </w:r>
            <w:r>
              <w:rPr>
                <w:color w:val="000000"/>
              </w:rPr>
              <w:t xml:space="preserve"> </w:t>
            </w:r>
            <w:r>
              <w:t>are</w:t>
            </w:r>
            <w:r>
              <w:rPr>
                <w:color w:val="000000"/>
              </w:rPr>
              <w:t xml:space="preserve"> </w:t>
            </w:r>
            <w:r>
              <w:t>returned.</w:t>
            </w:r>
          </w:p>
          <w:p w14:paraId="189DEFD3" w14:textId="77777777" w:rsidR="00174F87" w:rsidRDefault="00174F87" w:rsidP="00174F87">
            <w:pPr>
              <w:pStyle w:val="Tabletextheading"/>
            </w:pPr>
            <w:r w:rsidRPr="00B035AB">
              <w:lastRenderedPageBreak/>
              <w:t>Example</w:t>
            </w:r>
            <w:r w:rsidRPr="00B341D1">
              <w:t xml:space="preserve"> function call</w:t>
            </w:r>
            <w:r>
              <w:t>(s)</w:t>
            </w:r>
          </w:p>
          <w:p w14:paraId="532054A6" w14:textId="516963ED" w:rsidR="00174F87" w:rsidRPr="009326DB" w:rsidRDefault="005439B5" w:rsidP="00CB09DD">
            <w:pPr>
              <w:pStyle w:val="Code"/>
              <w:rPr>
                <w:rFonts w:asciiTheme="minorHAnsi" w:hAnsiTheme="minorHAnsi" w:cstheme="minorHAnsi"/>
                <w:szCs w:val="20"/>
              </w:rPr>
            </w:pPr>
            <w:proofErr w:type="spellStart"/>
            <w:r>
              <w:t>meanVoltage</w:t>
            </w:r>
            <w:proofErr w:type="spellEnd"/>
            <w:r>
              <w:t xml:space="preserve"> = </w:t>
            </w:r>
            <w:proofErr w:type="spellStart"/>
            <w:proofErr w:type="gramStart"/>
            <w:r>
              <w:t>getMeanVoltage</w:t>
            </w:r>
            <w:proofErr w:type="spellEnd"/>
            <w:r>
              <w:t xml:space="preserve">( </w:t>
            </w:r>
            <w:proofErr w:type="spellStart"/>
            <w:r>
              <w:t>userdata</w:t>
            </w:r>
            <w:proofErr w:type="spellEnd"/>
            <w:proofErr w:type="gramEnd"/>
            <w:r>
              <w:t xml:space="preserve"> )</w:t>
            </w:r>
            <w:r w:rsidR="00CE37C1">
              <w:t>;</w:t>
            </w:r>
          </w:p>
        </w:tc>
      </w:tr>
      <w:tr w:rsidR="00174F87" w:rsidRPr="004F7B48" w14:paraId="4A357E14" w14:textId="77777777" w:rsidTr="00861399">
        <w:tc>
          <w:tcPr>
            <w:tcW w:w="1353" w:type="pct"/>
          </w:tcPr>
          <w:p w14:paraId="6C48B048" w14:textId="0C8B5E44" w:rsidR="00174F87" w:rsidRPr="006A0BFF" w:rsidRDefault="00174F87" w:rsidP="00174F87">
            <w:pPr>
              <w:rPr>
                <w:rStyle w:val="SubtleEmphasis"/>
              </w:rPr>
            </w:pPr>
            <w:r w:rsidRPr="006A0BFF">
              <w:rPr>
                <w:rStyle w:val="SubtleEmphasis"/>
              </w:rPr>
              <w:lastRenderedPageBreak/>
              <w:t>getImpedanceValue(</w:t>
            </w:r>
            <w:r>
              <w:rPr>
                <w:rStyle w:val="SubtleEmphasis"/>
              </w:rPr>
              <w:t>...</w:t>
            </w:r>
            <w:r w:rsidRPr="006A0BFF">
              <w:rPr>
                <w:rStyle w:val="SubtleEmphasis"/>
              </w:rPr>
              <w:t>)</w:t>
            </w:r>
          </w:p>
        </w:tc>
        <w:tc>
          <w:tcPr>
            <w:tcW w:w="1703" w:type="pct"/>
          </w:tcPr>
          <w:p w14:paraId="72FD5939"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4D9F1141" w14:textId="77777777" w:rsidTr="00161929">
              <w:tc>
                <w:tcPr>
                  <w:tcW w:w="1487" w:type="pct"/>
                </w:tcPr>
                <w:p w14:paraId="7C54D3EB" w14:textId="5DBC1F54" w:rsidR="00174F87" w:rsidRPr="006C15AE" w:rsidRDefault="00687DEE" w:rsidP="00174F87">
                  <w:pPr>
                    <w:rPr>
                      <w:rStyle w:val="SubtleEmphasis"/>
                    </w:rPr>
                  </w:pPr>
                  <w:r>
                    <w:rPr>
                      <w:rStyle w:val="SubtleEmphasis"/>
                    </w:rPr>
                    <w:t>1</w:t>
                  </w:r>
                </w:p>
              </w:tc>
              <w:tc>
                <w:tcPr>
                  <w:tcW w:w="3513" w:type="pct"/>
                </w:tcPr>
                <w:p w14:paraId="5D52D415" w14:textId="659533F3" w:rsidR="00174F87" w:rsidRPr="006C15AE" w:rsidRDefault="00687DEE" w:rsidP="00174F87">
                  <w:pPr>
                    <w:pStyle w:val="Tabletext"/>
                    <w:rPr>
                      <w:rStyle w:val="SubtleEmphasis"/>
                    </w:rPr>
                  </w:pPr>
                  <w:r>
                    <w:rPr>
                      <w:rStyle w:val="SubtleEmphasis"/>
                    </w:rPr>
                    <w:t>userdata</w:t>
                  </w:r>
                </w:p>
              </w:tc>
            </w:tr>
          </w:tbl>
          <w:p w14:paraId="6A65CC78"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8263790" w14:textId="77777777" w:rsidTr="00161929">
              <w:tc>
                <w:tcPr>
                  <w:tcW w:w="1771" w:type="pct"/>
                </w:tcPr>
                <w:p w14:paraId="5E61F9F9" w14:textId="784CBDBF" w:rsidR="00174F87" w:rsidRPr="006C15AE" w:rsidRDefault="00991D77" w:rsidP="00174F87">
                  <w:pPr>
                    <w:rPr>
                      <w:rStyle w:val="SubtleEmphasis"/>
                    </w:rPr>
                  </w:pPr>
                  <w:r>
                    <w:rPr>
                      <w:rStyle w:val="SubtleEmphasis"/>
                    </w:rPr>
                    <w:t>‘method’</w:t>
                  </w:r>
                </w:p>
              </w:tc>
              <w:tc>
                <w:tcPr>
                  <w:tcW w:w="3229" w:type="pct"/>
                </w:tcPr>
                <w:p w14:paraId="6FBFB240" w14:textId="2A779934" w:rsidR="00174F87" w:rsidRPr="006C15AE" w:rsidRDefault="00991D77" w:rsidP="00174F87">
                  <w:pPr>
                    <w:pStyle w:val="Tabletext"/>
                    <w:rPr>
                      <w:rStyle w:val="SubtleEmphasis"/>
                    </w:rPr>
                  </w:pPr>
                  <w:r>
                    <w:rPr>
                      <w:rStyle w:val="SubtleEmphasis"/>
                    </w:rPr>
                    <w:t>{‘map’} | ‘egm’</w:t>
                  </w:r>
                </w:p>
              </w:tc>
            </w:tr>
            <w:tr w:rsidR="00991D77" w14:paraId="6A3247AA" w14:textId="77777777" w:rsidTr="00161929">
              <w:tc>
                <w:tcPr>
                  <w:tcW w:w="1771" w:type="pct"/>
                </w:tcPr>
                <w:p w14:paraId="4610F0DE" w14:textId="024E1BC6" w:rsidR="00991D77" w:rsidRDefault="00991D77" w:rsidP="00174F87">
                  <w:pPr>
                    <w:rPr>
                      <w:rStyle w:val="SubtleEmphasis"/>
                    </w:rPr>
                  </w:pPr>
                  <w:r>
                    <w:rPr>
                      <w:rStyle w:val="SubtleEmphasis"/>
                    </w:rPr>
                    <w:t>‘points’</w:t>
                  </w:r>
                </w:p>
              </w:tc>
              <w:tc>
                <w:tcPr>
                  <w:tcW w:w="3229" w:type="pct"/>
                </w:tcPr>
                <w:p w14:paraId="12F55E60" w14:textId="3B9221E7" w:rsidR="00991D77" w:rsidRDefault="00991D77" w:rsidP="00174F87">
                  <w:pPr>
                    <w:pStyle w:val="Tabletext"/>
                    <w:rPr>
                      <w:rStyle w:val="SubtleEmphasis"/>
                    </w:rPr>
                  </w:pPr>
                  <w:r>
                    <w:rPr>
                      <w:rStyle w:val="SubtleEmphasis"/>
                    </w:rPr>
                    <w:t>{‘:’} | int array</w:t>
                  </w:r>
                </w:p>
              </w:tc>
            </w:tr>
            <w:tr w:rsidR="00991D77" w14:paraId="0E046106" w14:textId="77777777" w:rsidTr="00161929">
              <w:tc>
                <w:tcPr>
                  <w:tcW w:w="1771" w:type="pct"/>
                </w:tcPr>
                <w:p w14:paraId="35270BC6" w14:textId="50FF81FB" w:rsidR="00991D77" w:rsidRDefault="00991D77" w:rsidP="00174F87">
                  <w:pPr>
                    <w:rPr>
                      <w:rStyle w:val="SubtleEmphasis"/>
                    </w:rPr>
                  </w:pPr>
                  <w:r>
                    <w:rPr>
                      <w:rStyle w:val="SubtleEmphasis"/>
                    </w:rPr>
                    <w:t>‘vertices’</w:t>
                  </w:r>
                </w:p>
              </w:tc>
              <w:tc>
                <w:tcPr>
                  <w:tcW w:w="3229" w:type="pct"/>
                </w:tcPr>
                <w:p w14:paraId="35FB8AB0" w14:textId="046AA584" w:rsidR="00991D77" w:rsidRDefault="00991D77" w:rsidP="00174F87">
                  <w:pPr>
                    <w:pStyle w:val="Tabletext"/>
                    <w:rPr>
                      <w:rStyle w:val="SubtleEmphasis"/>
                    </w:rPr>
                  </w:pPr>
                  <w:r>
                    <w:rPr>
                      <w:rStyle w:val="SubtleEmphasis"/>
                    </w:rPr>
                    <w:t>{‘:’} | int array</w:t>
                  </w:r>
                </w:p>
              </w:tc>
            </w:tr>
          </w:tbl>
          <w:p w14:paraId="5D2E61F5"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CC2ADE6" w14:textId="77777777" w:rsidTr="00161929">
              <w:tc>
                <w:tcPr>
                  <w:tcW w:w="1771" w:type="pct"/>
                </w:tcPr>
                <w:p w14:paraId="5770DB41" w14:textId="4490E795" w:rsidR="00174F87" w:rsidRPr="006C15AE" w:rsidRDefault="00991D77" w:rsidP="00174F87">
                  <w:pPr>
                    <w:rPr>
                      <w:rStyle w:val="SubtleEmphasis"/>
                    </w:rPr>
                  </w:pPr>
                  <w:r>
                    <w:rPr>
                      <w:rStyle w:val="SubtleEmphasis"/>
                    </w:rPr>
                    <w:t>imp</w:t>
                  </w:r>
                </w:p>
              </w:tc>
              <w:tc>
                <w:tcPr>
                  <w:tcW w:w="3229" w:type="pct"/>
                </w:tcPr>
                <w:p w14:paraId="1F9831FE" w14:textId="6F6966BD" w:rsidR="00174F87" w:rsidRPr="00991D77" w:rsidRDefault="00991D77" w:rsidP="00991D77">
                  <w:pPr>
                    <w:pStyle w:val="Tabletext"/>
                    <w:rPr>
                      <w:rStyle w:val="SubtleEmphasis"/>
                      <w:rFonts w:asciiTheme="minorHAnsi" w:hAnsiTheme="minorHAnsi"/>
                      <w:iCs w:val="0"/>
                      <w:noProof w:val="0"/>
                      <w:color w:val="auto"/>
                    </w:rPr>
                  </w:pPr>
                  <w:r w:rsidRPr="00991D77">
                    <w:rPr>
                      <w:rStyle w:val="SubtleEmphasis"/>
                      <w:rFonts w:asciiTheme="minorHAnsi" w:hAnsiTheme="minorHAnsi"/>
                      <w:iCs w:val="0"/>
                      <w:noProof w:val="0"/>
                      <w:color w:val="auto"/>
                    </w:rPr>
                    <w:t>The impedance values (Ohms)</w:t>
                  </w:r>
                </w:p>
              </w:tc>
            </w:tr>
          </w:tbl>
          <w:p w14:paraId="3B9FB14B" w14:textId="77777777" w:rsidR="00174F87" w:rsidRPr="009326DB" w:rsidRDefault="00174F87" w:rsidP="00174F87">
            <w:pPr>
              <w:rPr>
                <w:rFonts w:ascii="Consolas" w:hAnsi="Consolas" w:cs="Consolas"/>
                <w:sz w:val="18"/>
                <w:szCs w:val="18"/>
              </w:rPr>
            </w:pPr>
          </w:p>
        </w:tc>
        <w:tc>
          <w:tcPr>
            <w:tcW w:w="1944" w:type="pct"/>
          </w:tcPr>
          <w:p w14:paraId="4396151D" w14:textId="77777777" w:rsidR="00174F87" w:rsidRPr="00893BD2" w:rsidRDefault="00174F87" w:rsidP="00174F87">
            <w:pPr>
              <w:pStyle w:val="Tabletextheading"/>
            </w:pPr>
            <w:r>
              <w:t>Use case</w:t>
            </w:r>
          </w:p>
          <w:p w14:paraId="6FB4DB17" w14:textId="3F4A8493" w:rsidR="00174F87" w:rsidRDefault="00740628" w:rsidP="00174F87">
            <w:pPr>
              <w:pStyle w:val="Tabletext"/>
            </w:pPr>
            <w:r>
              <w:t>Returns the impedance values of given point(s)</w:t>
            </w:r>
          </w:p>
          <w:p w14:paraId="0845EE3B" w14:textId="77777777" w:rsidR="00174F87" w:rsidRDefault="00174F87" w:rsidP="00174F87">
            <w:pPr>
              <w:pStyle w:val="Tabletextheading"/>
            </w:pPr>
            <w:r>
              <w:t>Description</w:t>
            </w:r>
          </w:p>
          <w:p w14:paraId="6E957FB7" w14:textId="4D05551E" w:rsidR="00740628" w:rsidRDefault="00740628" w:rsidP="00740628">
            <w:pPr>
              <w:pStyle w:val="Tabletext"/>
            </w:pPr>
            <w:r w:rsidRPr="00740628">
              <w:rPr>
                <w:rStyle w:val="SubtleEmphasis"/>
              </w:rPr>
              <w:t>getImpedanceValues.m</w:t>
            </w:r>
            <w:r>
              <w:rPr>
                <w:color w:val="000000"/>
              </w:rPr>
              <w:t xml:space="preserve"> r</w:t>
            </w:r>
            <w:r>
              <w:t>eturns</w:t>
            </w:r>
            <w:r>
              <w:rPr>
                <w:color w:val="000000"/>
              </w:rPr>
              <w:t xml:space="preserve"> </w:t>
            </w:r>
            <w:r>
              <w:t>the</w:t>
            </w:r>
            <w:r>
              <w:rPr>
                <w:color w:val="000000"/>
              </w:rPr>
              <w:t xml:space="preserve"> </w:t>
            </w:r>
            <w:r>
              <w:t>impedance</w:t>
            </w:r>
            <w:r>
              <w:rPr>
                <w:color w:val="000000"/>
              </w:rPr>
              <w:t xml:space="preserve"> </w:t>
            </w:r>
            <w:r>
              <w:t>values.</w:t>
            </w:r>
            <w:r>
              <w:rPr>
                <w:color w:val="000000"/>
              </w:rPr>
              <w:t xml:space="preserve"> </w:t>
            </w:r>
            <w:r>
              <w:t>By</w:t>
            </w:r>
            <w:r>
              <w:rPr>
                <w:color w:val="000000"/>
              </w:rPr>
              <w:t xml:space="preserve"> </w:t>
            </w:r>
            <w:r>
              <w:t>default</w:t>
            </w:r>
            <w:r>
              <w:rPr>
                <w:color w:val="000000"/>
              </w:rPr>
              <w:t xml:space="preserve">, impedance values </w:t>
            </w:r>
            <w:r>
              <w:t>are</w:t>
            </w:r>
            <w:r>
              <w:rPr>
                <w:color w:val="000000"/>
              </w:rPr>
              <w:t xml:space="preserve"> </w:t>
            </w:r>
            <w:r>
              <w:t>returned</w:t>
            </w:r>
            <w:r>
              <w:rPr>
                <w:color w:val="000000"/>
              </w:rPr>
              <w:t xml:space="preserve"> </w:t>
            </w:r>
            <w:r>
              <w:t>for</w:t>
            </w:r>
            <w:r>
              <w:rPr>
                <w:color w:val="000000"/>
              </w:rPr>
              <w:t xml:space="preserve"> </w:t>
            </w:r>
            <w:r>
              <w:t>all</w:t>
            </w:r>
            <w:r>
              <w:rPr>
                <w:color w:val="000000"/>
              </w:rPr>
              <w:t xml:space="preserve"> </w:t>
            </w:r>
            <w:r>
              <w:t>the</w:t>
            </w:r>
            <w:r>
              <w:rPr>
                <w:color w:val="000000"/>
              </w:rPr>
              <w:t xml:space="preserve"> </w:t>
            </w:r>
            <w:r>
              <w:t>points</w:t>
            </w:r>
            <w:r>
              <w:rPr>
                <w:color w:val="000000"/>
              </w:rPr>
              <w:t xml:space="preserve"> </w:t>
            </w:r>
            <w:r>
              <w:t>in</w:t>
            </w:r>
            <w:r>
              <w:rPr>
                <w:color w:val="000000"/>
              </w:rPr>
              <w:t xml:space="preserve"> </w:t>
            </w:r>
            <w:r>
              <w:t>the</w:t>
            </w:r>
            <w:r>
              <w:rPr>
                <w:color w:val="000000"/>
              </w:rPr>
              <w:t xml:space="preserve"> </w:t>
            </w:r>
            <w:r>
              <w:t>map.</w:t>
            </w:r>
            <w:r>
              <w:rPr>
                <w:color w:val="000000"/>
              </w:rPr>
              <w:t xml:space="preserve"> </w:t>
            </w:r>
            <w:r>
              <w:t>If</w:t>
            </w:r>
            <w:r>
              <w:rPr>
                <w:color w:val="000000"/>
              </w:rPr>
              <w:t xml:space="preserve"> </w:t>
            </w:r>
            <w:r w:rsidRPr="00740628">
              <w:rPr>
                <w:rStyle w:val="SubtleEmphasis"/>
              </w:rPr>
              <w:t>'method'</w:t>
            </w:r>
            <w:r>
              <w:rPr>
                <w:color w:val="000000"/>
              </w:rPr>
              <w:t xml:space="preserve"> </w:t>
            </w:r>
            <w:r>
              <w:t xml:space="preserve">is </w:t>
            </w:r>
            <w:r>
              <w:rPr>
                <w:color w:val="000000"/>
              </w:rPr>
              <w:t xml:space="preserve">specified </w:t>
            </w:r>
            <w:r>
              <w:t>to</w:t>
            </w:r>
            <w:r>
              <w:rPr>
                <w:color w:val="000000"/>
              </w:rPr>
              <w:t xml:space="preserve"> </w:t>
            </w:r>
            <w:r>
              <w:t>be</w:t>
            </w:r>
            <w:r>
              <w:rPr>
                <w:color w:val="000000"/>
              </w:rPr>
              <w:t xml:space="preserve"> </w:t>
            </w:r>
            <w:r w:rsidRPr="00740628">
              <w:rPr>
                <w:rStyle w:val="SubtleEmphasis"/>
              </w:rPr>
              <w:t>'egm'</w:t>
            </w:r>
            <w:r>
              <w:rPr>
                <w:color w:val="000000"/>
              </w:rPr>
              <w:t xml:space="preserve"> </w:t>
            </w:r>
            <w:r>
              <w:t>then</w:t>
            </w:r>
            <w:r>
              <w:rPr>
                <w:color w:val="000000"/>
              </w:rPr>
              <w:t xml:space="preserve"> </w:t>
            </w:r>
            <w:r>
              <w:t>impedance</w:t>
            </w:r>
            <w:r>
              <w:rPr>
                <w:color w:val="000000"/>
              </w:rPr>
              <w:t xml:space="preserve"> </w:t>
            </w:r>
            <w:r>
              <w:t>transients</w:t>
            </w:r>
            <w:r>
              <w:rPr>
                <w:color w:val="000000"/>
              </w:rPr>
              <w:t xml:space="preserve"> </w:t>
            </w:r>
            <w:r>
              <w:t>are</w:t>
            </w:r>
            <w:r>
              <w:rPr>
                <w:color w:val="000000"/>
              </w:rPr>
              <w:t xml:space="preserve"> </w:t>
            </w:r>
            <w:r>
              <w:t>returned</w:t>
            </w:r>
            <w:r>
              <w:rPr>
                <w:color w:val="000000"/>
              </w:rPr>
              <w:t xml:space="preserve"> </w:t>
            </w:r>
            <w:r>
              <w:t>for</w:t>
            </w:r>
            <w:r>
              <w:rPr>
                <w:color w:val="000000"/>
              </w:rPr>
              <w:t xml:space="preserve"> </w:t>
            </w:r>
            <w:r>
              <w:t xml:space="preserve">each </w:t>
            </w:r>
            <w:r>
              <w:rPr>
                <w:color w:val="000000"/>
              </w:rPr>
              <w:t xml:space="preserve">individual </w:t>
            </w:r>
            <w:r>
              <w:t>mapping</w:t>
            </w:r>
            <w:r>
              <w:rPr>
                <w:color w:val="000000"/>
              </w:rPr>
              <w:t xml:space="preserve"> </w:t>
            </w:r>
            <w:r>
              <w:t>point</w:t>
            </w:r>
            <w:r>
              <w:rPr>
                <w:color w:val="000000"/>
              </w:rPr>
              <w:t xml:space="preserve">, along </w:t>
            </w:r>
            <w:r>
              <w:t>with</w:t>
            </w:r>
            <w:r>
              <w:rPr>
                <w:color w:val="000000"/>
              </w:rPr>
              <w:t xml:space="preserve"> </w:t>
            </w:r>
            <w:r>
              <w:t>time</w:t>
            </w:r>
            <w:r>
              <w:rPr>
                <w:color w:val="000000"/>
              </w:rPr>
              <w:t xml:space="preserve"> </w:t>
            </w:r>
            <w:r w:rsidR="009456DF">
              <w:t>intervals</w:t>
            </w:r>
            <w:r>
              <w:rPr>
                <w:color w:val="000000"/>
              </w:rPr>
              <w:t xml:space="preserve"> </w:t>
            </w:r>
            <w:r>
              <w:t>for</w:t>
            </w:r>
            <w:r>
              <w:rPr>
                <w:color w:val="000000"/>
              </w:rPr>
              <w:t xml:space="preserve"> </w:t>
            </w:r>
            <w:r>
              <w:t>the</w:t>
            </w:r>
            <w:r>
              <w:rPr>
                <w:color w:val="000000"/>
              </w:rPr>
              <w:t xml:space="preserve"> </w:t>
            </w:r>
            <w:r>
              <w:t xml:space="preserve">impedances. </w:t>
            </w:r>
            <w:r>
              <w:rPr>
                <w:color w:val="000000"/>
              </w:rPr>
              <w:t xml:space="preserve">If </w:t>
            </w:r>
            <w:r>
              <w:t>one</w:t>
            </w:r>
            <w:r>
              <w:rPr>
                <w:color w:val="000000"/>
              </w:rPr>
              <w:t xml:space="preserve"> </w:t>
            </w:r>
            <w:r>
              <w:t>or</w:t>
            </w:r>
            <w:r>
              <w:rPr>
                <w:color w:val="000000"/>
              </w:rPr>
              <w:t xml:space="preserve"> </w:t>
            </w:r>
            <w:r>
              <w:t>more</w:t>
            </w:r>
            <w:r>
              <w:rPr>
                <w:color w:val="000000"/>
              </w:rPr>
              <w:t xml:space="preserve"> </w:t>
            </w:r>
            <w:r w:rsidRPr="00740628">
              <w:rPr>
                <w:rStyle w:val="SubtleEmphasis"/>
              </w:rPr>
              <w:t>'vertices'</w:t>
            </w:r>
            <w:r>
              <w:rPr>
                <w:color w:val="000000"/>
              </w:rPr>
              <w:t xml:space="preserve"> </w:t>
            </w:r>
            <w:r>
              <w:t>are</w:t>
            </w:r>
            <w:r>
              <w:rPr>
                <w:color w:val="000000"/>
              </w:rPr>
              <w:t xml:space="preserve"> </w:t>
            </w:r>
            <w:r w:rsidR="009456DF">
              <w:t>specified,</w:t>
            </w:r>
            <w:r>
              <w:rPr>
                <w:color w:val="000000"/>
              </w:rPr>
              <w:t xml:space="preserve"> </w:t>
            </w:r>
            <w:r>
              <w:t>then</w:t>
            </w:r>
            <w:r>
              <w:rPr>
                <w:color w:val="000000"/>
              </w:rPr>
              <w:t xml:space="preserve"> </w:t>
            </w:r>
            <w:r>
              <w:t>impedance</w:t>
            </w:r>
            <w:r>
              <w:rPr>
                <w:color w:val="000000"/>
              </w:rPr>
              <w:t xml:space="preserve"> </w:t>
            </w:r>
            <w:r>
              <w:t>values</w:t>
            </w:r>
            <w:r>
              <w:rPr>
                <w:color w:val="000000"/>
              </w:rPr>
              <w:t xml:space="preserve"> </w:t>
            </w:r>
            <w:r>
              <w:t>are</w:t>
            </w:r>
            <w:r>
              <w:rPr>
                <w:color w:val="000000"/>
              </w:rPr>
              <w:t xml:space="preserve"> </w:t>
            </w:r>
            <w:r>
              <w:t>only</w:t>
            </w:r>
            <w:r>
              <w:rPr>
                <w:color w:val="000000"/>
              </w:rPr>
              <w:t xml:space="preserve"> returned </w:t>
            </w:r>
            <w:r>
              <w:t>for</w:t>
            </w:r>
            <w:r>
              <w:rPr>
                <w:color w:val="000000"/>
              </w:rPr>
              <w:t xml:space="preserve"> </w:t>
            </w:r>
            <w:r>
              <w:t>those</w:t>
            </w:r>
            <w:r>
              <w:rPr>
                <w:color w:val="000000"/>
              </w:rPr>
              <w:t xml:space="preserve"> </w:t>
            </w:r>
            <w:r>
              <w:t>vertices</w:t>
            </w:r>
            <w:r>
              <w:rPr>
                <w:color w:val="000000"/>
              </w:rPr>
              <w:t xml:space="preserve"> </w:t>
            </w:r>
            <w:r>
              <w:t xml:space="preserve">(only valid if </w:t>
            </w:r>
            <w:r w:rsidRPr="00740628">
              <w:rPr>
                <w:rStyle w:val="SubtleEmphasis"/>
              </w:rPr>
              <w:t>'method'</w:t>
            </w:r>
            <w:r>
              <w:t xml:space="preserve"> is </w:t>
            </w:r>
            <w:r w:rsidRPr="00740628">
              <w:rPr>
                <w:rStyle w:val="SubtleEmphasis"/>
              </w:rPr>
              <w:t>'map'</w:t>
            </w:r>
            <w:r>
              <w:t>).</w:t>
            </w:r>
            <w:r>
              <w:rPr>
                <w:color w:val="000000"/>
              </w:rPr>
              <w:t xml:space="preserve"> If </w:t>
            </w:r>
            <w:r>
              <w:t>one</w:t>
            </w:r>
            <w:r>
              <w:rPr>
                <w:color w:val="000000"/>
              </w:rPr>
              <w:t xml:space="preserve"> </w:t>
            </w:r>
            <w:r>
              <w:t>or</w:t>
            </w:r>
            <w:r>
              <w:rPr>
                <w:color w:val="000000"/>
              </w:rPr>
              <w:t xml:space="preserve"> </w:t>
            </w:r>
            <w:r>
              <w:t>more</w:t>
            </w:r>
            <w:r>
              <w:rPr>
                <w:color w:val="000000"/>
              </w:rPr>
              <w:t xml:space="preserve"> </w:t>
            </w:r>
            <w:r>
              <w:t>'points'</w:t>
            </w:r>
            <w:r>
              <w:rPr>
                <w:color w:val="000000"/>
              </w:rPr>
              <w:t xml:space="preserve"> </w:t>
            </w:r>
            <w:r>
              <w:t>is</w:t>
            </w:r>
            <w:r>
              <w:rPr>
                <w:color w:val="000000"/>
              </w:rPr>
              <w:t xml:space="preserve"> </w:t>
            </w:r>
            <w:r w:rsidR="009456DF">
              <w:t>specified,</w:t>
            </w:r>
            <w:r>
              <w:rPr>
                <w:color w:val="000000"/>
              </w:rPr>
              <w:t xml:space="preserve"> </w:t>
            </w:r>
            <w:r>
              <w:t>then</w:t>
            </w:r>
            <w:r>
              <w:rPr>
                <w:color w:val="000000"/>
              </w:rPr>
              <w:t xml:space="preserve"> </w:t>
            </w:r>
            <w:r>
              <w:t>impedance</w:t>
            </w:r>
            <w:r>
              <w:rPr>
                <w:color w:val="000000"/>
              </w:rPr>
              <w:t xml:space="preserve"> </w:t>
            </w:r>
            <w:r>
              <w:t>values</w:t>
            </w:r>
            <w:r>
              <w:rPr>
                <w:color w:val="000000"/>
              </w:rPr>
              <w:t xml:space="preserve"> </w:t>
            </w:r>
            <w:r>
              <w:t>are</w:t>
            </w:r>
            <w:r>
              <w:rPr>
                <w:color w:val="000000"/>
              </w:rPr>
              <w:t xml:space="preserve"> </w:t>
            </w:r>
            <w:r>
              <w:t>only</w:t>
            </w:r>
            <w:r>
              <w:rPr>
                <w:color w:val="000000"/>
              </w:rPr>
              <w:t xml:space="preserve"> returned </w:t>
            </w:r>
            <w:r>
              <w:t>for</w:t>
            </w:r>
            <w:r>
              <w:rPr>
                <w:color w:val="000000"/>
              </w:rPr>
              <w:t xml:space="preserve"> </w:t>
            </w:r>
            <w:r>
              <w:t>those</w:t>
            </w:r>
            <w:r>
              <w:rPr>
                <w:color w:val="000000"/>
              </w:rPr>
              <w:t xml:space="preserve"> </w:t>
            </w:r>
            <w:r>
              <w:t>mapping</w:t>
            </w:r>
            <w:r>
              <w:rPr>
                <w:color w:val="000000"/>
              </w:rPr>
              <w:t xml:space="preserve"> </w:t>
            </w:r>
            <w:r>
              <w:t>points</w:t>
            </w:r>
            <w:r>
              <w:rPr>
                <w:color w:val="000000"/>
              </w:rPr>
              <w:t xml:space="preserve"> </w:t>
            </w:r>
            <w:r>
              <w:t xml:space="preserve">(only valid if </w:t>
            </w:r>
            <w:r w:rsidRPr="00740628">
              <w:rPr>
                <w:rStyle w:val="SubtleEmphasis"/>
              </w:rPr>
              <w:t>'method'</w:t>
            </w:r>
            <w:r>
              <w:t xml:space="preserve"> is </w:t>
            </w:r>
            <w:r w:rsidRPr="00740628">
              <w:rPr>
                <w:rStyle w:val="SubtleEmphasis"/>
              </w:rPr>
              <w:t>'egm'</w:t>
            </w:r>
            <w:r>
              <w:t>).</w:t>
            </w:r>
          </w:p>
          <w:p w14:paraId="55AF813B" w14:textId="77777777" w:rsidR="00174F87" w:rsidRDefault="00174F87" w:rsidP="00174F87">
            <w:pPr>
              <w:pStyle w:val="Tabletextheading"/>
            </w:pPr>
            <w:r w:rsidRPr="00B035AB">
              <w:t>Example</w:t>
            </w:r>
            <w:r w:rsidRPr="00B341D1">
              <w:t xml:space="preserve"> function call</w:t>
            </w:r>
            <w:r>
              <w:t>(s)</w:t>
            </w:r>
          </w:p>
          <w:p w14:paraId="78615CE4" w14:textId="15299BAE" w:rsidR="00174F87" w:rsidRPr="009326DB" w:rsidRDefault="0038552C" w:rsidP="00FB4257">
            <w:pPr>
              <w:pStyle w:val="Code"/>
              <w:rPr>
                <w:rFonts w:asciiTheme="minorHAnsi" w:hAnsiTheme="minorHAnsi" w:cstheme="minorHAnsi"/>
                <w:szCs w:val="20"/>
              </w:rPr>
            </w:pPr>
            <w:r w:rsidRPr="0038552C">
              <w:t xml:space="preserve">imp = </w:t>
            </w:r>
            <w:proofErr w:type="spellStart"/>
            <w:proofErr w:type="gramStart"/>
            <w:r w:rsidRPr="0038552C">
              <w:t>getImpedanceValues</w:t>
            </w:r>
            <w:proofErr w:type="spellEnd"/>
            <w:r w:rsidRPr="0038552C">
              <w:t>(</w:t>
            </w:r>
            <w:proofErr w:type="spellStart"/>
            <w:proofErr w:type="gramEnd"/>
            <w:r w:rsidRPr="0038552C">
              <w:t>userdata</w:t>
            </w:r>
            <w:proofErr w:type="spellEnd"/>
            <w:r w:rsidRPr="0038552C">
              <w:t>, 'method', '</w:t>
            </w:r>
            <w:proofErr w:type="spellStart"/>
            <w:r w:rsidRPr="0038552C">
              <w:t>egm</w:t>
            </w:r>
            <w:proofErr w:type="spellEnd"/>
            <w:r w:rsidRPr="0038552C">
              <w:t>', 'points', [1 2 3]);</w:t>
            </w:r>
          </w:p>
        </w:tc>
      </w:tr>
      <w:tr w:rsidR="00174F87" w:rsidRPr="004F7B48" w14:paraId="649185ED" w14:textId="77777777" w:rsidTr="00861399">
        <w:tc>
          <w:tcPr>
            <w:tcW w:w="1353" w:type="pct"/>
          </w:tcPr>
          <w:p w14:paraId="51CC9167" w14:textId="59AC05D5" w:rsidR="00174F87" w:rsidRPr="006A0BFF" w:rsidRDefault="00174F87" w:rsidP="00174F87">
            <w:pPr>
              <w:rPr>
                <w:rStyle w:val="SubtleEmphasis"/>
              </w:rPr>
            </w:pPr>
            <w:r w:rsidRPr="006A0BFF">
              <w:rPr>
                <w:rStyle w:val="SubtleEmphasis"/>
              </w:rPr>
              <w:t>voltageHistogramAnalysis(</w:t>
            </w:r>
            <w:r>
              <w:rPr>
                <w:rStyle w:val="SubtleEmphasis"/>
              </w:rPr>
              <w:t>...</w:t>
            </w:r>
            <w:r w:rsidRPr="006A0BFF">
              <w:rPr>
                <w:rStyle w:val="SubtleEmphasis"/>
              </w:rPr>
              <w:t>)</w:t>
            </w:r>
          </w:p>
        </w:tc>
        <w:tc>
          <w:tcPr>
            <w:tcW w:w="1703" w:type="pct"/>
          </w:tcPr>
          <w:p w14:paraId="7D2A4A97"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3A3034F1" w14:textId="77777777" w:rsidTr="00161929">
              <w:tc>
                <w:tcPr>
                  <w:tcW w:w="1487" w:type="pct"/>
                </w:tcPr>
                <w:p w14:paraId="5A7C82AF" w14:textId="479D9443" w:rsidR="00174F87" w:rsidRPr="006C15AE" w:rsidRDefault="00A77149" w:rsidP="00174F87">
                  <w:pPr>
                    <w:rPr>
                      <w:rStyle w:val="SubtleEmphasis"/>
                    </w:rPr>
                  </w:pPr>
                  <w:r>
                    <w:rPr>
                      <w:rStyle w:val="SubtleEmphasis"/>
                    </w:rPr>
                    <w:t>1</w:t>
                  </w:r>
                </w:p>
              </w:tc>
              <w:tc>
                <w:tcPr>
                  <w:tcW w:w="3513" w:type="pct"/>
                </w:tcPr>
                <w:p w14:paraId="75AE48EA" w14:textId="28D1C7D3" w:rsidR="00174F87" w:rsidRPr="006C15AE" w:rsidRDefault="00A77149" w:rsidP="00174F87">
                  <w:pPr>
                    <w:pStyle w:val="Tabletext"/>
                    <w:rPr>
                      <w:rStyle w:val="SubtleEmphasis"/>
                    </w:rPr>
                  </w:pPr>
                  <w:r>
                    <w:rPr>
                      <w:rStyle w:val="SubtleEmphasis"/>
                    </w:rPr>
                    <w:t>userdata</w:t>
                  </w:r>
                </w:p>
              </w:tc>
            </w:tr>
          </w:tbl>
          <w:p w14:paraId="666BC5CF"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67406A28" w14:textId="77777777" w:rsidTr="00161929">
              <w:tc>
                <w:tcPr>
                  <w:tcW w:w="1771" w:type="pct"/>
                </w:tcPr>
                <w:p w14:paraId="4F90823F" w14:textId="28D151DB" w:rsidR="00174F87" w:rsidRPr="006C15AE" w:rsidRDefault="00A77149" w:rsidP="00174F87">
                  <w:pPr>
                    <w:rPr>
                      <w:rStyle w:val="SubtleEmphasis"/>
                    </w:rPr>
                  </w:pPr>
                  <w:r>
                    <w:rPr>
                      <w:rStyle w:val="SubtleEmphasis"/>
                    </w:rPr>
                    <w:t>‘method’</w:t>
                  </w:r>
                </w:p>
              </w:tc>
              <w:tc>
                <w:tcPr>
                  <w:tcW w:w="3229" w:type="pct"/>
                </w:tcPr>
                <w:p w14:paraId="75E181E0" w14:textId="2424E9A1" w:rsidR="00174F87" w:rsidRPr="006C15AE" w:rsidRDefault="00A77149" w:rsidP="00174F87">
                  <w:pPr>
                    <w:pStyle w:val="Tabletext"/>
                    <w:rPr>
                      <w:rStyle w:val="SubtleEmphasis"/>
                    </w:rPr>
                  </w:pPr>
                  <w:r>
                    <w:rPr>
                      <w:rStyle w:val="SubtleEmphasis"/>
                    </w:rPr>
                    <w:t>{‘map’} | ‘egm’</w:t>
                  </w:r>
                </w:p>
              </w:tc>
            </w:tr>
            <w:tr w:rsidR="00A77149" w14:paraId="13FF72A8" w14:textId="77777777" w:rsidTr="00161929">
              <w:tc>
                <w:tcPr>
                  <w:tcW w:w="1771" w:type="pct"/>
                </w:tcPr>
                <w:p w14:paraId="026C28A3" w14:textId="617D5515" w:rsidR="00A77149" w:rsidRDefault="00A77149" w:rsidP="00174F87">
                  <w:pPr>
                    <w:rPr>
                      <w:rStyle w:val="SubtleEmphasis"/>
                    </w:rPr>
                  </w:pPr>
                  <w:r>
                    <w:rPr>
                      <w:rStyle w:val="SubtleEmphasis"/>
                    </w:rPr>
                    <w:t>‘type’</w:t>
                  </w:r>
                </w:p>
              </w:tc>
              <w:tc>
                <w:tcPr>
                  <w:tcW w:w="3229" w:type="pct"/>
                </w:tcPr>
                <w:p w14:paraId="0A5FB069" w14:textId="745245E2" w:rsidR="00A77149" w:rsidRDefault="00A77149" w:rsidP="00174F87">
                  <w:pPr>
                    <w:pStyle w:val="Tabletext"/>
                    <w:rPr>
                      <w:rStyle w:val="SubtleEmphasis"/>
                    </w:rPr>
                  </w:pPr>
                  <w:r>
                    <w:rPr>
                      <w:rStyle w:val="SubtleEmphasis"/>
                    </w:rPr>
                    <w:t>{‘bip’} | ‘uni’</w:t>
                  </w:r>
                </w:p>
              </w:tc>
            </w:tr>
            <w:tr w:rsidR="00A77149" w14:paraId="7B6D7B7D" w14:textId="77777777" w:rsidTr="00161929">
              <w:tc>
                <w:tcPr>
                  <w:tcW w:w="1771" w:type="pct"/>
                </w:tcPr>
                <w:p w14:paraId="06CE3318" w14:textId="42655BC5" w:rsidR="00A77149" w:rsidRDefault="00A77149" w:rsidP="00174F87">
                  <w:pPr>
                    <w:rPr>
                      <w:rStyle w:val="SubtleEmphasis"/>
                    </w:rPr>
                  </w:pPr>
                  <w:r>
                    <w:rPr>
                      <w:rStyle w:val="SubtleEmphasis"/>
                    </w:rPr>
                    <w:t>‘threshold’</w:t>
                  </w:r>
                </w:p>
              </w:tc>
              <w:tc>
                <w:tcPr>
                  <w:tcW w:w="3229" w:type="pct"/>
                </w:tcPr>
                <w:p w14:paraId="2F8AD080" w14:textId="3912A487" w:rsidR="00A77149" w:rsidRPr="00DC2FB3" w:rsidRDefault="00DC2FB3" w:rsidP="00DC2FB3">
                  <w:pPr>
                    <w:pStyle w:val="Code"/>
                    <w:rPr>
                      <w:rStyle w:val="SubtleEmphasis"/>
                      <w:iCs w:val="0"/>
                      <w:noProof w:val="0"/>
                      <w:color w:val="auto"/>
                      <w:sz w:val="24"/>
                    </w:rPr>
                  </w:pPr>
                  <w:r>
                    <w:t>{[ 0.01 0.11; 0.11 0.21; 0.21 0.30; 0.30 0.40; 0.40 0.</w:t>
                  </w:r>
                  <w:proofErr w:type="gramStart"/>
                  <w:r>
                    <w:t>50 ]</w:t>
                  </w:r>
                  <w:proofErr w:type="gramEnd"/>
                  <w:r>
                    <w:t>} | matrix</w:t>
                  </w:r>
                </w:p>
              </w:tc>
            </w:tr>
            <w:tr w:rsidR="00DC2FB3" w14:paraId="29794597" w14:textId="77777777" w:rsidTr="00161929">
              <w:tc>
                <w:tcPr>
                  <w:tcW w:w="1771" w:type="pct"/>
                </w:tcPr>
                <w:p w14:paraId="55B98751" w14:textId="0F43909A" w:rsidR="00DC2FB3" w:rsidRDefault="00DC2FB3" w:rsidP="00174F87">
                  <w:pPr>
                    <w:rPr>
                      <w:rStyle w:val="SubtleEmphasis"/>
                    </w:rPr>
                  </w:pPr>
                  <w:r>
                    <w:rPr>
                      <w:rStyle w:val="SubtleEmphasis"/>
                    </w:rPr>
                    <w:t>‘plot’</w:t>
                  </w:r>
                </w:p>
              </w:tc>
              <w:tc>
                <w:tcPr>
                  <w:tcW w:w="3229" w:type="pct"/>
                </w:tcPr>
                <w:p w14:paraId="49890B09" w14:textId="21FCB437" w:rsidR="00DC2FB3" w:rsidRDefault="00DC2FB3" w:rsidP="00DC2FB3">
                  <w:pPr>
                    <w:pStyle w:val="Code"/>
                  </w:pPr>
                  <w:r>
                    <w:t>{false} | true</w:t>
                  </w:r>
                </w:p>
              </w:tc>
            </w:tr>
            <w:tr w:rsidR="00DC2FB3" w14:paraId="538FA9C5" w14:textId="77777777" w:rsidTr="00161929">
              <w:tc>
                <w:tcPr>
                  <w:tcW w:w="1771" w:type="pct"/>
                </w:tcPr>
                <w:p w14:paraId="4D55490F" w14:textId="06DBEA31" w:rsidR="00DC2FB3" w:rsidRDefault="00381063" w:rsidP="00174F87">
                  <w:pPr>
                    <w:rPr>
                      <w:rStyle w:val="SubtleEmphasis"/>
                    </w:rPr>
                  </w:pPr>
                  <w:r>
                    <w:rPr>
                      <w:rStyle w:val="SubtleEmphasis"/>
                    </w:rPr>
                    <w:t>‘</w:t>
                  </w:r>
                  <w:r w:rsidR="00451A7A">
                    <w:rPr>
                      <w:rStyle w:val="SubtleEmphasis"/>
                    </w:rPr>
                    <w:t>colors’</w:t>
                  </w:r>
                </w:p>
              </w:tc>
              <w:tc>
                <w:tcPr>
                  <w:tcW w:w="3229" w:type="pct"/>
                </w:tcPr>
                <w:p w14:paraId="5BE0A10F" w14:textId="46AB4C3F" w:rsidR="00DC2FB3" w:rsidRPr="00CE37C1" w:rsidRDefault="00451A7A" w:rsidP="00CE37C1">
                  <w:pPr>
                    <w:pStyle w:val="Code"/>
                  </w:pPr>
                  <w:proofErr w:type="gramStart"/>
                  <w:r w:rsidRPr="00CE37C1">
                    <w:t>{</w:t>
                  </w:r>
                  <w:r w:rsidR="0058515C" w:rsidRPr="00CE37C1">
                    <w:t xml:space="preserve"> </w:t>
                  </w:r>
                  <w:r w:rsidRPr="00CE37C1">
                    <w:t>[</w:t>
                  </w:r>
                  <w:proofErr w:type="spellStart"/>
                  <w:proofErr w:type="gramEnd"/>
                  <w:r w:rsidRPr="00CE37C1">
                    <w:t>colorBrewer</w:t>
                  </w:r>
                  <w:proofErr w:type="spellEnd"/>
                  <w:r w:rsidRPr="00CE37C1">
                    <w:t xml:space="preserve">('r'); </w:t>
                  </w:r>
                  <w:proofErr w:type="spellStart"/>
                  <w:r w:rsidRPr="00CE37C1">
                    <w:t>colorBrewer</w:t>
                  </w:r>
                  <w:proofErr w:type="spellEnd"/>
                  <w:r w:rsidRPr="00CE37C1">
                    <w:t xml:space="preserve">('y'); </w:t>
                  </w:r>
                  <w:proofErr w:type="spellStart"/>
                  <w:r w:rsidRPr="00CE37C1">
                    <w:lastRenderedPageBreak/>
                    <w:t>colorBrewer</w:t>
                  </w:r>
                  <w:proofErr w:type="spellEnd"/>
                  <w:r w:rsidRPr="00CE37C1">
                    <w:t xml:space="preserve">('g'); </w:t>
                  </w:r>
                  <w:proofErr w:type="spellStart"/>
                  <w:r w:rsidRPr="00CE37C1">
                    <w:t>colorBrewer</w:t>
                  </w:r>
                  <w:proofErr w:type="spellEnd"/>
                  <w:r w:rsidRPr="00CE37C1">
                    <w:t xml:space="preserve">('b'); </w:t>
                  </w:r>
                  <w:proofErr w:type="spellStart"/>
                  <w:r w:rsidRPr="00CE37C1">
                    <w:t>colorBrewer</w:t>
                  </w:r>
                  <w:proofErr w:type="spellEnd"/>
                  <w:r w:rsidRPr="00CE37C1">
                    <w:t>('p')]</w:t>
                  </w:r>
                  <w:r w:rsidR="0058515C" w:rsidRPr="00CE37C1">
                    <w:t xml:space="preserve"> } | matrix</w:t>
                  </w:r>
                </w:p>
              </w:tc>
            </w:tr>
          </w:tbl>
          <w:p w14:paraId="2D355D12" w14:textId="77777777" w:rsidR="00174F87" w:rsidRDefault="00174F87" w:rsidP="00174F87">
            <w:pPr>
              <w:pStyle w:val="Tabletextheading"/>
            </w:pPr>
            <w:r>
              <w:lastRenderedPageBreak/>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4DDA7ED4" w14:textId="77777777" w:rsidTr="00161929">
              <w:tc>
                <w:tcPr>
                  <w:tcW w:w="1771" w:type="pct"/>
                </w:tcPr>
                <w:p w14:paraId="73403B86" w14:textId="10DECEC7" w:rsidR="00174F87" w:rsidRPr="006C15AE" w:rsidRDefault="0070195F" w:rsidP="00174F87">
                  <w:pPr>
                    <w:rPr>
                      <w:rStyle w:val="SubtleEmphasis"/>
                    </w:rPr>
                  </w:pPr>
                  <w:r>
                    <w:rPr>
                      <w:rStyle w:val="SubtleEmphasis"/>
                    </w:rPr>
                    <w:t>areas</w:t>
                  </w:r>
                </w:p>
              </w:tc>
              <w:tc>
                <w:tcPr>
                  <w:tcW w:w="3229" w:type="pct"/>
                </w:tcPr>
                <w:p w14:paraId="02388888" w14:textId="55B40CFE" w:rsidR="00174F87" w:rsidRPr="0070195F" w:rsidRDefault="0070195F" w:rsidP="0070195F">
                  <w:pPr>
                    <w:pStyle w:val="Tabletext"/>
                    <w:rPr>
                      <w:rStyle w:val="SubtleEmphasis"/>
                      <w:rFonts w:asciiTheme="minorHAnsi" w:hAnsiTheme="minorHAnsi"/>
                      <w:iCs w:val="0"/>
                      <w:noProof w:val="0"/>
                      <w:color w:val="auto"/>
                    </w:rPr>
                  </w:pPr>
                  <w:r w:rsidRPr="0070195F">
                    <w:rPr>
                      <w:rStyle w:val="SubtleEmphasis"/>
                      <w:rFonts w:asciiTheme="minorHAnsi" w:hAnsiTheme="minorHAnsi"/>
                      <w:iCs w:val="0"/>
                      <w:noProof w:val="0"/>
                      <w:color w:val="auto"/>
                    </w:rPr>
                    <w:t>The chamber areas within each of the voltage thresholds</w:t>
                  </w:r>
                </w:p>
              </w:tc>
            </w:tr>
          </w:tbl>
          <w:p w14:paraId="2FF2F6C8" w14:textId="77777777" w:rsidR="00174F87" w:rsidRPr="009326DB" w:rsidRDefault="00174F87" w:rsidP="00174F87">
            <w:pPr>
              <w:rPr>
                <w:rFonts w:ascii="Consolas" w:hAnsi="Consolas" w:cs="Consolas"/>
                <w:sz w:val="18"/>
                <w:szCs w:val="18"/>
              </w:rPr>
            </w:pPr>
          </w:p>
        </w:tc>
        <w:tc>
          <w:tcPr>
            <w:tcW w:w="1944" w:type="pct"/>
          </w:tcPr>
          <w:p w14:paraId="5240786A" w14:textId="77777777" w:rsidR="00174F87" w:rsidRPr="00893BD2" w:rsidRDefault="00174F87" w:rsidP="00174F87">
            <w:pPr>
              <w:pStyle w:val="Tabletextheading"/>
            </w:pPr>
            <w:r>
              <w:lastRenderedPageBreak/>
              <w:t>Use case</w:t>
            </w:r>
          </w:p>
          <w:p w14:paraId="0E584C7C" w14:textId="45002DD0" w:rsidR="00174F87" w:rsidRDefault="0058515C" w:rsidP="00174F87">
            <w:pPr>
              <w:pStyle w:val="Tabletext"/>
            </w:pPr>
            <w:r>
              <w:t>Performs voltage histogram analysis</w:t>
            </w:r>
          </w:p>
          <w:p w14:paraId="6C7AD995" w14:textId="77777777" w:rsidR="00174F87" w:rsidRDefault="00174F87" w:rsidP="00174F87">
            <w:pPr>
              <w:pStyle w:val="Tabletextheading"/>
            </w:pPr>
            <w:r>
              <w:t>Description</w:t>
            </w:r>
          </w:p>
          <w:p w14:paraId="6E96E9CC" w14:textId="511A421F" w:rsidR="00566578" w:rsidRDefault="00705765" w:rsidP="00566578">
            <w:pPr>
              <w:pStyle w:val="Tabletext"/>
            </w:pPr>
            <w:r w:rsidRPr="00705765">
              <w:rPr>
                <w:rStyle w:val="SubtleEmphasis"/>
              </w:rPr>
              <w:t>voltageHistogramAnalysis.m</w:t>
            </w:r>
            <w:r w:rsidR="00566578">
              <w:rPr>
                <w:color w:val="000000"/>
              </w:rPr>
              <w:t xml:space="preserve"> </w:t>
            </w:r>
            <w:r w:rsidR="00566578">
              <w:t>displays</w:t>
            </w:r>
            <w:r w:rsidR="00566578">
              <w:rPr>
                <w:color w:val="000000"/>
              </w:rPr>
              <w:t xml:space="preserve"> </w:t>
            </w:r>
            <w:r w:rsidR="00566578">
              <w:t>a</w:t>
            </w:r>
            <w:r w:rsidR="00566578">
              <w:rPr>
                <w:color w:val="000000"/>
              </w:rPr>
              <w:t xml:space="preserve"> </w:t>
            </w:r>
            <w:r w:rsidR="00566578">
              <w:t>histogram</w:t>
            </w:r>
            <w:r w:rsidR="00566578">
              <w:rPr>
                <w:color w:val="000000"/>
              </w:rPr>
              <w:t xml:space="preserve"> </w:t>
            </w:r>
            <w:r w:rsidR="00566578">
              <w:t>of</w:t>
            </w:r>
            <w:r w:rsidR="00566578">
              <w:rPr>
                <w:color w:val="000000"/>
              </w:rPr>
              <w:t xml:space="preserve"> </w:t>
            </w:r>
            <w:r w:rsidR="00566578">
              <w:t>voltages</w:t>
            </w:r>
            <w:r w:rsidR="00566578">
              <w:rPr>
                <w:color w:val="000000"/>
              </w:rPr>
              <w:t xml:space="preserve"> </w:t>
            </w:r>
            <w:r w:rsidR="00566578">
              <w:t>coloured</w:t>
            </w:r>
            <w:r w:rsidR="00566578">
              <w:rPr>
                <w:color w:val="000000"/>
              </w:rPr>
              <w:t xml:space="preserve"> </w:t>
            </w:r>
            <w:r w:rsidR="00566578">
              <w:t xml:space="preserve">according </w:t>
            </w:r>
            <w:r w:rsidR="00566578">
              <w:rPr>
                <w:color w:val="000000"/>
              </w:rPr>
              <w:t xml:space="preserve">to </w:t>
            </w:r>
            <w:r w:rsidR="00566578">
              <w:t>voltages</w:t>
            </w:r>
            <w:r w:rsidR="00566578">
              <w:rPr>
                <w:color w:val="000000"/>
              </w:rPr>
              <w:t xml:space="preserve">, threshold. If </w:t>
            </w:r>
            <w:r w:rsidR="00566578" w:rsidRPr="00705765">
              <w:rPr>
                <w:rStyle w:val="SubtleEmphasis"/>
              </w:rPr>
              <w:t>'method'</w:t>
            </w:r>
            <w:r w:rsidR="00566578">
              <w:rPr>
                <w:color w:val="000000"/>
              </w:rPr>
              <w:t xml:space="preserve"> is </w:t>
            </w:r>
            <w:r w:rsidR="00566578">
              <w:t>set</w:t>
            </w:r>
            <w:r w:rsidR="00566578">
              <w:rPr>
                <w:color w:val="000000"/>
              </w:rPr>
              <w:t xml:space="preserve"> </w:t>
            </w:r>
            <w:r w:rsidR="00566578">
              <w:t>to</w:t>
            </w:r>
            <w:r w:rsidR="00566578">
              <w:rPr>
                <w:color w:val="000000"/>
              </w:rPr>
              <w:t xml:space="preserve"> </w:t>
            </w:r>
            <w:r w:rsidR="00566578" w:rsidRPr="00CB09DD">
              <w:rPr>
                <w:rStyle w:val="SubtleEmphasis"/>
              </w:rPr>
              <w:t>'egm'</w:t>
            </w:r>
            <w:r w:rsidR="00566578">
              <w:rPr>
                <w:color w:val="000000"/>
              </w:rPr>
              <w:t xml:space="preserve"> </w:t>
            </w:r>
            <w:r w:rsidR="00566578">
              <w:t>then</w:t>
            </w:r>
            <w:r w:rsidR="00566578">
              <w:rPr>
                <w:color w:val="000000"/>
              </w:rPr>
              <w:t xml:space="preserve"> </w:t>
            </w:r>
            <w:r w:rsidR="00566578">
              <w:t>the</w:t>
            </w:r>
            <w:r w:rsidR="00566578">
              <w:rPr>
                <w:color w:val="000000"/>
              </w:rPr>
              <w:t xml:space="preserve"> </w:t>
            </w:r>
            <w:r w:rsidR="00566578">
              <w:t>bipolar</w:t>
            </w:r>
            <w:r w:rsidR="00566578">
              <w:rPr>
                <w:color w:val="000000"/>
              </w:rPr>
              <w:t xml:space="preserve"> voltage </w:t>
            </w:r>
            <w:r w:rsidR="00566578">
              <w:t>is</w:t>
            </w:r>
            <w:r w:rsidR="00566578">
              <w:rPr>
                <w:color w:val="000000"/>
              </w:rPr>
              <w:t xml:space="preserve"> </w:t>
            </w:r>
            <w:r w:rsidR="00566578">
              <w:t>first</w:t>
            </w:r>
            <w:r w:rsidR="00566578">
              <w:rPr>
                <w:color w:val="000000"/>
              </w:rPr>
              <w:t xml:space="preserve"> </w:t>
            </w:r>
            <w:r w:rsidR="00566578">
              <w:t>interpolated</w:t>
            </w:r>
            <w:r w:rsidR="00566578">
              <w:rPr>
                <w:color w:val="000000"/>
              </w:rPr>
              <w:t xml:space="preserve"> </w:t>
            </w:r>
            <w:r w:rsidR="00566578">
              <w:t>from</w:t>
            </w:r>
            <w:r w:rsidR="00566578">
              <w:rPr>
                <w:color w:val="000000"/>
              </w:rPr>
              <w:t xml:space="preserve"> </w:t>
            </w:r>
            <w:r w:rsidR="00566578">
              <w:t>the</w:t>
            </w:r>
            <w:r w:rsidR="00566578">
              <w:rPr>
                <w:color w:val="000000"/>
              </w:rPr>
              <w:t xml:space="preserve"> </w:t>
            </w:r>
            <w:r w:rsidR="00566578">
              <w:t>bipolar</w:t>
            </w:r>
            <w:r w:rsidR="00566578">
              <w:rPr>
                <w:color w:val="000000"/>
              </w:rPr>
              <w:t xml:space="preserve"> </w:t>
            </w:r>
            <w:r w:rsidR="00566578">
              <w:t>electrogram</w:t>
            </w:r>
            <w:r w:rsidR="00566578">
              <w:rPr>
                <w:color w:val="000000"/>
              </w:rPr>
              <w:t xml:space="preserve"> </w:t>
            </w:r>
            <w:r w:rsidR="00566578">
              <w:t>data</w:t>
            </w:r>
            <w:r w:rsidR="00566578">
              <w:rPr>
                <w:color w:val="000000"/>
              </w:rPr>
              <w:t xml:space="preserve"> </w:t>
            </w:r>
            <w:r w:rsidR="00566578">
              <w:t xml:space="preserve">(stored </w:t>
            </w:r>
            <w:r w:rsidR="00566578">
              <w:rPr>
                <w:color w:val="000000"/>
              </w:rPr>
              <w:t xml:space="preserve">in </w:t>
            </w:r>
            <w:r w:rsidR="00566578" w:rsidRPr="00705765">
              <w:rPr>
                <w:rStyle w:val="SubtleEmphasis"/>
              </w:rPr>
              <w:t>userdata.electric</w:t>
            </w:r>
            <w:r w:rsidR="00566578">
              <w:t xml:space="preserve">). If </w:t>
            </w:r>
            <w:r w:rsidR="00566578" w:rsidRPr="00CB09DD">
              <w:rPr>
                <w:rStyle w:val="SubtleEmphasis"/>
              </w:rPr>
              <w:t>'type'</w:t>
            </w:r>
            <w:r w:rsidR="00566578">
              <w:t xml:space="preserve"> is set to </w:t>
            </w:r>
            <w:r w:rsidR="00566578" w:rsidRPr="00CB09DD">
              <w:rPr>
                <w:rStyle w:val="SubtleEmphasis"/>
              </w:rPr>
              <w:t>'uni'</w:t>
            </w:r>
            <w:r w:rsidR="00566578">
              <w:t xml:space="preserve"> then unipolar voltages </w:t>
            </w:r>
            <w:r w:rsidR="00566578">
              <w:rPr>
                <w:color w:val="000000"/>
              </w:rPr>
              <w:t xml:space="preserve">are </w:t>
            </w:r>
            <w:r w:rsidR="00566578">
              <w:t>used.</w:t>
            </w:r>
          </w:p>
          <w:p w14:paraId="76DA840C" w14:textId="77777777" w:rsidR="00174F87" w:rsidRDefault="00174F87" w:rsidP="00174F87">
            <w:pPr>
              <w:pStyle w:val="Tabletextheading"/>
            </w:pPr>
            <w:r w:rsidRPr="00B035AB">
              <w:t>Example</w:t>
            </w:r>
            <w:r w:rsidRPr="00B341D1">
              <w:t xml:space="preserve"> function call</w:t>
            </w:r>
            <w:r>
              <w:t>(s)</w:t>
            </w:r>
          </w:p>
          <w:p w14:paraId="16F232BF" w14:textId="532B5DA1" w:rsidR="00174F87" w:rsidRPr="009326DB" w:rsidRDefault="007A5A6E" w:rsidP="007A5A6E">
            <w:pPr>
              <w:pStyle w:val="Code"/>
              <w:rPr>
                <w:rFonts w:asciiTheme="minorHAnsi" w:hAnsiTheme="minorHAnsi" w:cstheme="minorHAnsi"/>
                <w:szCs w:val="20"/>
              </w:rPr>
            </w:pPr>
            <w:r>
              <w:t xml:space="preserve">areas = </w:t>
            </w:r>
            <w:proofErr w:type="spellStart"/>
            <w:proofErr w:type="gramStart"/>
            <w:r w:rsidRPr="007A5A6E">
              <w:t>voltageHistogramAnalysis</w:t>
            </w:r>
            <w:proofErr w:type="spellEnd"/>
            <w:r w:rsidRPr="007A5A6E">
              <w:t>(</w:t>
            </w:r>
            <w:proofErr w:type="spellStart"/>
            <w:proofErr w:type="gramEnd"/>
            <w:r w:rsidRPr="007A5A6E">
              <w:t>userdata</w:t>
            </w:r>
            <w:proofErr w:type="spellEnd"/>
            <w:r w:rsidRPr="007A5A6E">
              <w:t>, 'plot', true, 'method', 'map')</w:t>
            </w:r>
            <w:r w:rsidR="00CE37C1">
              <w:t>;</w:t>
            </w:r>
          </w:p>
        </w:tc>
      </w:tr>
      <w:tr w:rsidR="00174F87" w:rsidRPr="004F7B48" w14:paraId="1B9E7337" w14:textId="77777777" w:rsidTr="00161929">
        <w:tc>
          <w:tcPr>
            <w:tcW w:w="5000" w:type="pct"/>
            <w:gridSpan w:val="3"/>
          </w:tcPr>
          <w:p w14:paraId="387FD86C" w14:textId="77108AB8" w:rsidR="00174F87" w:rsidRPr="00C60E3B" w:rsidRDefault="00174F87" w:rsidP="00174F87">
            <w:pPr>
              <w:jc w:val="center"/>
              <w:rPr>
                <w:rFonts w:asciiTheme="minorHAnsi" w:hAnsiTheme="minorHAnsi" w:cstheme="minorHAnsi"/>
                <w:b/>
                <w:bCs/>
                <w:sz w:val="20"/>
                <w:szCs w:val="20"/>
              </w:rPr>
            </w:pPr>
            <w:r w:rsidRPr="00C60E3B">
              <w:rPr>
                <w:rFonts w:asciiTheme="minorHAnsi" w:hAnsiTheme="minorHAnsi" w:cstheme="minorHAnsi"/>
                <w:b/>
                <w:bCs/>
                <w:sz w:val="20"/>
                <w:szCs w:val="20"/>
              </w:rPr>
              <w:t>Visualisation Functions</w:t>
            </w:r>
          </w:p>
        </w:tc>
      </w:tr>
      <w:tr w:rsidR="00174F87" w:rsidRPr="004F7B48" w14:paraId="7260DF00" w14:textId="77777777" w:rsidTr="00861399">
        <w:tc>
          <w:tcPr>
            <w:tcW w:w="1353" w:type="pct"/>
          </w:tcPr>
          <w:p w14:paraId="680D3686" w14:textId="37689FE2" w:rsidR="00174F87" w:rsidRPr="006A0BFF" w:rsidRDefault="00174F87" w:rsidP="00174F87">
            <w:pPr>
              <w:rPr>
                <w:rStyle w:val="SubtleEmphasis"/>
              </w:rPr>
            </w:pPr>
            <w:r w:rsidRPr="006A0BFF">
              <w:rPr>
                <w:rStyle w:val="SubtleEmphasis"/>
              </w:rPr>
              <w:t>drawMap(</w:t>
            </w:r>
            <w:r>
              <w:rPr>
                <w:rStyle w:val="SubtleEmphasis"/>
              </w:rPr>
              <w:t>...</w:t>
            </w:r>
            <w:r w:rsidRPr="006A0BFF">
              <w:rPr>
                <w:rStyle w:val="SubtleEmphasis"/>
              </w:rPr>
              <w:t>)</w:t>
            </w:r>
          </w:p>
        </w:tc>
        <w:tc>
          <w:tcPr>
            <w:tcW w:w="1703" w:type="pct"/>
          </w:tcPr>
          <w:p w14:paraId="0E4C5B65"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0ABBE91E" w14:textId="77777777" w:rsidTr="00161929">
              <w:tc>
                <w:tcPr>
                  <w:tcW w:w="1487" w:type="pct"/>
                </w:tcPr>
                <w:p w14:paraId="225AF966" w14:textId="77F12E10" w:rsidR="00174F87" w:rsidRPr="006C15AE" w:rsidRDefault="00EC3977" w:rsidP="00174F87">
                  <w:pPr>
                    <w:rPr>
                      <w:rStyle w:val="SubtleEmphasis"/>
                    </w:rPr>
                  </w:pPr>
                  <w:r>
                    <w:rPr>
                      <w:rStyle w:val="SubtleEmphasis"/>
                    </w:rPr>
                    <w:t>1</w:t>
                  </w:r>
                </w:p>
              </w:tc>
              <w:tc>
                <w:tcPr>
                  <w:tcW w:w="3513" w:type="pct"/>
                </w:tcPr>
                <w:p w14:paraId="171E9161" w14:textId="6B92F3DF" w:rsidR="00174F87" w:rsidRPr="006C15AE" w:rsidRDefault="00EC3977" w:rsidP="00174F87">
                  <w:pPr>
                    <w:pStyle w:val="Tabletext"/>
                    <w:rPr>
                      <w:rStyle w:val="SubtleEmphasis"/>
                    </w:rPr>
                  </w:pPr>
                  <w:r>
                    <w:rPr>
                      <w:rStyle w:val="SubtleEmphasis"/>
                    </w:rPr>
                    <w:t>userdata</w:t>
                  </w:r>
                </w:p>
              </w:tc>
            </w:tr>
          </w:tbl>
          <w:p w14:paraId="65EAE42F"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04200327" w14:textId="77777777" w:rsidTr="00161929">
              <w:tc>
                <w:tcPr>
                  <w:tcW w:w="1771" w:type="pct"/>
                </w:tcPr>
                <w:p w14:paraId="7F40D96E" w14:textId="42FA3C4B" w:rsidR="00174F87" w:rsidRPr="006C15AE" w:rsidRDefault="00EC3977" w:rsidP="00174F87">
                  <w:pPr>
                    <w:rPr>
                      <w:rStyle w:val="SubtleEmphasis"/>
                    </w:rPr>
                  </w:pPr>
                  <w:r>
                    <w:rPr>
                      <w:rStyle w:val="SubtleEmphasis"/>
                    </w:rPr>
                    <w:t>‘data’</w:t>
                  </w:r>
                </w:p>
              </w:tc>
              <w:tc>
                <w:tcPr>
                  <w:tcW w:w="3229" w:type="pct"/>
                </w:tcPr>
                <w:p w14:paraId="75E2428D" w14:textId="4EAB6435" w:rsidR="00174F87" w:rsidRPr="006C15AE" w:rsidRDefault="00FC009F" w:rsidP="00174F87">
                  <w:pPr>
                    <w:pStyle w:val="Tabletext"/>
                    <w:rPr>
                      <w:rStyle w:val="SubtleEmphasis"/>
                    </w:rPr>
                  </w:pPr>
                  <w:r>
                    <w:rPr>
                      <w:rStyle w:val="SubtleEmphasis"/>
                    </w:rPr>
                    <w:t xml:space="preserve">{[]} | </w:t>
                  </w:r>
                  <w:r w:rsidR="004A7012">
                    <w:rPr>
                      <w:rStyle w:val="SubtleEmphasis"/>
                    </w:rPr>
                    <w:t>array</w:t>
                  </w:r>
                </w:p>
              </w:tc>
            </w:tr>
            <w:tr w:rsidR="00FC009F" w14:paraId="28C411E4" w14:textId="77777777" w:rsidTr="00161929">
              <w:tc>
                <w:tcPr>
                  <w:tcW w:w="1771" w:type="pct"/>
                </w:tcPr>
                <w:p w14:paraId="4A769D06" w14:textId="547D9435" w:rsidR="00FC009F" w:rsidRDefault="00FC009F" w:rsidP="00174F87">
                  <w:pPr>
                    <w:rPr>
                      <w:rStyle w:val="SubtleEmphasis"/>
                    </w:rPr>
                  </w:pPr>
                  <w:r>
                    <w:rPr>
                      <w:rStyle w:val="SubtleEmphasis"/>
                    </w:rPr>
                    <w:t>‘type’</w:t>
                  </w:r>
                </w:p>
              </w:tc>
              <w:tc>
                <w:tcPr>
                  <w:tcW w:w="3229" w:type="pct"/>
                </w:tcPr>
                <w:p w14:paraId="4372DE39" w14:textId="28360E45" w:rsidR="00FC009F" w:rsidRPr="002E4D90" w:rsidRDefault="002E4D90" w:rsidP="002E4D90">
                  <w:pPr>
                    <w:pStyle w:val="Code"/>
                    <w:rPr>
                      <w:rStyle w:val="SubtleEmphasis"/>
                      <w:iCs w:val="0"/>
                      <w:noProof w:val="0"/>
                      <w:color w:val="auto"/>
                      <w:sz w:val="24"/>
                    </w:rPr>
                  </w:pPr>
                  <w:r>
                    <w:t>{'act'} | '</w:t>
                  </w:r>
                  <w:proofErr w:type="spellStart"/>
                  <w:r>
                    <w:t>bip</w:t>
                  </w:r>
                  <w:proofErr w:type="spellEnd"/>
                  <w:r>
                    <w:t>' | 'force' | '</w:t>
                  </w:r>
                  <w:proofErr w:type="spellStart"/>
                  <w:r>
                    <w:t>uni</w:t>
                  </w:r>
                  <w:proofErr w:type="spellEnd"/>
                  <w:r>
                    <w:t>' | 'none' | 'cv'</w:t>
                  </w:r>
                </w:p>
              </w:tc>
            </w:tr>
            <w:tr w:rsidR="002E4D90" w14:paraId="2A090909" w14:textId="77777777" w:rsidTr="00161929">
              <w:tc>
                <w:tcPr>
                  <w:tcW w:w="1771" w:type="pct"/>
                </w:tcPr>
                <w:p w14:paraId="1744251D" w14:textId="58810E10" w:rsidR="002E4D90" w:rsidRDefault="002E4D90" w:rsidP="00174F87">
                  <w:pPr>
                    <w:rPr>
                      <w:rStyle w:val="SubtleEmphasis"/>
                    </w:rPr>
                  </w:pPr>
                  <w:r>
                    <w:rPr>
                      <w:rStyle w:val="SubtleEmphasis"/>
                    </w:rPr>
                    <w:t>‘coloraxis’</w:t>
                  </w:r>
                </w:p>
              </w:tc>
              <w:tc>
                <w:tcPr>
                  <w:tcW w:w="3229" w:type="pct"/>
                </w:tcPr>
                <w:p w14:paraId="2C50924B" w14:textId="2655106B" w:rsidR="002E4D90" w:rsidRDefault="003337A5" w:rsidP="002E4D90">
                  <w:pPr>
                    <w:pStyle w:val="Code"/>
                  </w:pPr>
                  <w:r>
                    <w:t xml:space="preserve">{[]} | </w:t>
                  </w:r>
                  <w:r w:rsidR="001A728E">
                    <w:t>array</w:t>
                  </w:r>
                </w:p>
              </w:tc>
            </w:tr>
            <w:tr w:rsidR="003337A5" w14:paraId="1B712850" w14:textId="77777777" w:rsidTr="00161929">
              <w:tc>
                <w:tcPr>
                  <w:tcW w:w="1771" w:type="pct"/>
                </w:tcPr>
                <w:p w14:paraId="4131DE32" w14:textId="2B83FCB6" w:rsidR="003337A5" w:rsidRDefault="003337A5" w:rsidP="00174F87">
                  <w:pPr>
                    <w:rPr>
                      <w:rStyle w:val="SubtleEmphasis"/>
                    </w:rPr>
                  </w:pPr>
                  <w:r>
                    <w:rPr>
                      <w:rStyle w:val="SubtleEmphasis"/>
                    </w:rPr>
                    <w:t>‘no</w:t>
                  </w:r>
                  <w:r w:rsidR="00B56ED3">
                    <w:rPr>
                      <w:rStyle w:val="SubtleEmphasis"/>
                    </w:rPr>
                    <w:t>L</w:t>
                  </w:r>
                  <w:r>
                    <w:rPr>
                      <w:rStyle w:val="SubtleEmphasis"/>
                    </w:rPr>
                    <w:t>ight’</w:t>
                  </w:r>
                </w:p>
              </w:tc>
              <w:tc>
                <w:tcPr>
                  <w:tcW w:w="3229" w:type="pct"/>
                </w:tcPr>
                <w:p w14:paraId="31260A98" w14:textId="7A051791" w:rsidR="003337A5" w:rsidRDefault="003337A5" w:rsidP="002E4D90">
                  <w:pPr>
                    <w:pStyle w:val="Code"/>
                  </w:pPr>
                  <w:r>
                    <w:t>{</w:t>
                  </w:r>
                  <w:r w:rsidR="00B56ED3">
                    <w:t>false</w:t>
                  </w:r>
                  <w:r>
                    <w:t>}</w:t>
                  </w:r>
                  <w:r w:rsidR="00B56ED3">
                    <w:t xml:space="preserve"> | true</w:t>
                  </w:r>
                </w:p>
              </w:tc>
            </w:tr>
            <w:tr w:rsidR="00B56ED3" w14:paraId="584E0DFE" w14:textId="77777777" w:rsidTr="00161929">
              <w:tc>
                <w:tcPr>
                  <w:tcW w:w="1771" w:type="pct"/>
                </w:tcPr>
                <w:p w14:paraId="018EF584" w14:textId="39EBCC89" w:rsidR="00B56ED3" w:rsidRDefault="00B56ED3" w:rsidP="00174F87">
                  <w:pPr>
                    <w:rPr>
                      <w:rStyle w:val="SubtleEmphasis"/>
                    </w:rPr>
                  </w:pPr>
                  <w:r>
                    <w:rPr>
                      <w:rStyle w:val="SubtleEmphasis"/>
                    </w:rPr>
                    <w:t>‘usrColorMap’</w:t>
                  </w:r>
                </w:p>
              </w:tc>
              <w:tc>
                <w:tcPr>
                  <w:tcW w:w="3229" w:type="pct"/>
                </w:tcPr>
                <w:p w14:paraId="646D832C" w14:textId="6233B435" w:rsidR="00B56ED3" w:rsidRDefault="00B56ED3" w:rsidP="002E4D90">
                  <w:pPr>
                    <w:pStyle w:val="Code"/>
                  </w:pPr>
                  <w:r>
                    <w:t xml:space="preserve">{[]} | </w:t>
                  </w:r>
                  <w:r w:rsidR="001A728E">
                    <w:t>matrix</w:t>
                  </w:r>
                </w:p>
              </w:tc>
            </w:tr>
            <w:tr w:rsidR="00CB3D35" w14:paraId="30F281C0" w14:textId="77777777" w:rsidTr="00161929">
              <w:tc>
                <w:tcPr>
                  <w:tcW w:w="1771" w:type="pct"/>
                </w:tcPr>
                <w:p w14:paraId="4CEE0D86" w14:textId="7A1A6FE1" w:rsidR="00CB3D35" w:rsidRDefault="00CB3D35" w:rsidP="00174F87">
                  <w:pPr>
                    <w:rPr>
                      <w:rStyle w:val="SubtleEmphasis"/>
                    </w:rPr>
                  </w:pPr>
                  <w:r>
                    <w:rPr>
                      <w:rStyle w:val="SubtleEmphasis"/>
                    </w:rPr>
                    <w:t>‘colorbarlocation’</w:t>
                  </w:r>
                </w:p>
              </w:tc>
              <w:tc>
                <w:tcPr>
                  <w:tcW w:w="3229" w:type="pct"/>
                </w:tcPr>
                <w:p w14:paraId="63899A54" w14:textId="1A643B34" w:rsidR="00CB3D35" w:rsidRDefault="00CB3D35" w:rsidP="002E4D90">
                  <w:pPr>
                    <w:pStyle w:val="Code"/>
                  </w:pPr>
                  <w:r w:rsidRPr="00CB3D35">
                    <w:t>'north' | 'south' | 'east' | 'west' | '</w:t>
                  </w:r>
                  <w:proofErr w:type="spellStart"/>
                  <w:r w:rsidRPr="00CB3D35">
                    <w:t>northoutside</w:t>
                  </w:r>
                  <w:proofErr w:type="spellEnd"/>
                  <w:r w:rsidRPr="00CB3D35">
                    <w:t>' | '</w:t>
                  </w:r>
                  <w:proofErr w:type="spellStart"/>
                  <w:r w:rsidRPr="00CB3D35">
                    <w:t>southoutside</w:t>
                  </w:r>
                  <w:proofErr w:type="spellEnd"/>
                  <w:r w:rsidRPr="00CB3D35">
                    <w:t>' | '</w:t>
                  </w:r>
                  <w:proofErr w:type="spellStart"/>
                  <w:r w:rsidRPr="00CB3D35">
                    <w:t>eastoutside</w:t>
                  </w:r>
                  <w:proofErr w:type="spellEnd"/>
                  <w:r w:rsidRPr="00CB3D35">
                    <w:t>' | {'</w:t>
                  </w:r>
                  <w:proofErr w:type="spellStart"/>
                  <w:r w:rsidRPr="00CB3D35">
                    <w:t>westoutside</w:t>
                  </w:r>
                  <w:proofErr w:type="spellEnd"/>
                  <w:r w:rsidRPr="00CB3D35">
                    <w:t>'}</w:t>
                  </w:r>
                </w:p>
              </w:tc>
            </w:tr>
            <w:tr w:rsidR="00CB3D35" w14:paraId="139AFAA5" w14:textId="77777777" w:rsidTr="00161929">
              <w:tc>
                <w:tcPr>
                  <w:tcW w:w="1771" w:type="pct"/>
                </w:tcPr>
                <w:p w14:paraId="31D2F11A" w14:textId="47971B8D" w:rsidR="00CB3D35" w:rsidRDefault="00CB3D35" w:rsidP="00174F87">
                  <w:pPr>
                    <w:rPr>
                      <w:rStyle w:val="SubtleEmphasis"/>
                    </w:rPr>
                  </w:pPr>
                  <w:r>
                    <w:rPr>
                      <w:rStyle w:val="SubtleEmphasis"/>
                    </w:rPr>
                    <w:t>‘orientation’</w:t>
                  </w:r>
                </w:p>
              </w:tc>
              <w:tc>
                <w:tcPr>
                  <w:tcW w:w="3229" w:type="pct"/>
                </w:tcPr>
                <w:p w14:paraId="04783BCE" w14:textId="58EE7961" w:rsidR="00CB3D35" w:rsidRPr="00CB3D35" w:rsidRDefault="001A728E" w:rsidP="002E4D90">
                  <w:pPr>
                    <w:pStyle w:val="Code"/>
                  </w:pPr>
                  <w:r>
                    <w:t>{‘AP’} | ‘PA’</w:t>
                  </w:r>
                </w:p>
              </w:tc>
            </w:tr>
            <w:tr w:rsidR="001A728E" w14:paraId="5414E6C8" w14:textId="77777777" w:rsidTr="00161929">
              <w:tc>
                <w:tcPr>
                  <w:tcW w:w="1771" w:type="pct"/>
                </w:tcPr>
                <w:p w14:paraId="64221C92" w14:textId="66B9543F" w:rsidR="001A728E" w:rsidRDefault="001A728E" w:rsidP="00174F87">
                  <w:pPr>
                    <w:rPr>
                      <w:rStyle w:val="SubtleEmphasis"/>
                    </w:rPr>
                  </w:pPr>
                  <w:r>
                    <w:rPr>
                      <w:rStyle w:val="SubtleEmphasis"/>
                    </w:rPr>
                    <w:lastRenderedPageBreak/>
                    <w:t>‘colorfillthreshold’</w:t>
                  </w:r>
                </w:p>
              </w:tc>
              <w:tc>
                <w:tcPr>
                  <w:tcW w:w="3229" w:type="pct"/>
                </w:tcPr>
                <w:p w14:paraId="0BAF030E" w14:textId="546ED2BC" w:rsidR="001A728E" w:rsidRDefault="001A728E" w:rsidP="002E4D90">
                  <w:pPr>
                    <w:pStyle w:val="Code"/>
                  </w:pPr>
                  <w:r>
                    <w:t>{10} | double</w:t>
                  </w:r>
                </w:p>
              </w:tc>
            </w:tr>
          </w:tbl>
          <w:p w14:paraId="5B25A03F"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656F4A55" w14:textId="77777777" w:rsidTr="00161929">
              <w:tc>
                <w:tcPr>
                  <w:tcW w:w="1771" w:type="pct"/>
                </w:tcPr>
                <w:p w14:paraId="4D8169C0" w14:textId="0B2DCF51" w:rsidR="00174F87" w:rsidRPr="006C15AE" w:rsidRDefault="00247FE6" w:rsidP="00174F87">
                  <w:pPr>
                    <w:rPr>
                      <w:rStyle w:val="SubtleEmphasis"/>
                    </w:rPr>
                  </w:pPr>
                  <w:r>
                    <w:rPr>
                      <w:rStyle w:val="SubtleEmphasis"/>
                    </w:rPr>
                    <w:t>hSurf</w:t>
                  </w:r>
                </w:p>
              </w:tc>
              <w:tc>
                <w:tcPr>
                  <w:tcW w:w="3229" w:type="pct"/>
                </w:tcPr>
                <w:p w14:paraId="78C2D4EC" w14:textId="1CEBC8F6" w:rsidR="00174F87" w:rsidRPr="00A91BC3" w:rsidRDefault="00A91BC3" w:rsidP="00A91BC3">
                  <w:pPr>
                    <w:pStyle w:val="Tabletext"/>
                    <w:rPr>
                      <w:rStyle w:val="SubtleEmphasis"/>
                      <w:rFonts w:asciiTheme="minorHAnsi" w:hAnsiTheme="minorHAnsi"/>
                      <w:iCs w:val="0"/>
                      <w:noProof w:val="0"/>
                      <w:color w:val="auto"/>
                    </w:rPr>
                  </w:pPr>
                  <w:r w:rsidRPr="00A91BC3">
                    <w:rPr>
                      <w:rStyle w:val="SubtleEmphasis"/>
                      <w:rFonts w:asciiTheme="minorHAnsi" w:hAnsiTheme="minorHAnsi"/>
                      <w:iCs w:val="0"/>
                      <w:noProof w:val="0"/>
                      <w:color w:val="auto"/>
                    </w:rPr>
                    <w:t>A handle to the plotted surface</w:t>
                  </w:r>
                </w:p>
              </w:tc>
            </w:tr>
          </w:tbl>
          <w:p w14:paraId="5DF1AA30" w14:textId="77777777" w:rsidR="00174F87" w:rsidRPr="009326DB" w:rsidRDefault="00174F87" w:rsidP="00174F87">
            <w:pPr>
              <w:rPr>
                <w:rFonts w:ascii="Consolas" w:hAnsi="Consolas" w:cs="Consolas"/>
                <w:sz w:val="18"/>
                <w:szCs w:val="18"/>
              </w:rPr>
            </w:pPr>
          </w:p>
        </w:tc>
        <w:tc>
          <w:tcPr>
            <w:tcW w:w="1944" w:type="pct"/>
          </w:tcPr>
          <w:p w14:paraId="79838E98" w14:textId="77777777" w:rsidR="00174F87" w:rsidRPr="00893BD2" w:rsidRDefault="00174F87" w:rsidP="00174F87">
            <w:pPr>
              <w:pStyle w:val="Tabletextheading"/>
            </w:pPr>
            <w:r>
              <w:lastRenderedPageBreak/>
              <w:t>Use case</w:t>
            </w:r>
          </w:p>
          <w:p w14:paraId="470256C1" w14:textId="41BBBE69" w:rsidR="00174F87" w:rsidRDefault="004A7012" w:rsidP="00174F87">
            <w:pPr>
              <w:pStyle w:val="Tabletext"/>
            </w:pPr>
            <w:r>
              <w:t xml:space="preserve">Plot an </w:t>
            </w:r>
            <w:proofErr w:type="spellStart"/>
            <w:r>
              <w:t>OpenEP</w:t>
            </w:r>
            <w:proofErr w:type="spellEnd"/>
            <w:r>
              <w:t xml:space="preserve"> map</w:t>
            </w:r>
          </w:p>
          <w:p w14:paraId="3FC6F591" w14:textId="77777777" w:rsidR="00174F87" w:rsidRDefault="00174F87" w:rsidP="00174F87">
            <w:pPr>
              <w:pStyle w:val="Tabletextheading"/>
            </w:pPr>
            <w:r>
              <w:t>Description</w:t>
            </w:r>
          </w:p>
          <w:p w14:paraId="4EC79224" w14:textId="1995057A" w:rsidR="00174F87" w:rsidRDefault="00247FE6" w:rsidP="00174F87">
            <w:pPr>
              <w:pStyle w:val="Tabletext"/>
            </w:pPr>
            <w:r w:rsidRPr="00247FE6">
              <w:rPr>
                <w:rStyle w:val="SubtleEmphasis"/>
              </w:rPr>
              <w:t>drawMap.m</w:t>
            </w:r>
            <w:r>
              <w:t xml:space="preserve"> is a wrapper function for </w:t>
            </w:r>
            <w:r w:rsidRPr="00247FE6">
              <w:rPr>
                <w:rStyle w:val="SubtleEmphasis"/>
              </w:rPr>
              <w:t>colorShell.m</w:t>
            </w:r>
            <w:r>
              <w:t xml:space="preserve"> which allows an </w:t>
            </w:r>
            <w:proofErr w:type="spellStart"/>
            <w:r>
              <w:t>OpenEP</w:t>
            </w:r>
            <w:proofErr w:type="spellEnd"/>
            <w:r>
              <w:t xml:space="preserve"> map to be plotted.</w:t>
            </w:r>
          </w:p>
          <w:p w14:paraId="593E6072" w14:textId="77777777" w:rsidR="00174F87" w:rsidRDefault="00174F87" w:rsidP="00174F87">
            <w:pPr>
              <w:pStyle w:val="Tabletextheading"/>
            </w:pPr>
            <w:r w:rsidRPr="00B035AB">
              <w:t>Example</w:t>
            </w:r>
            <w:r w:rsidRPr="00B341D1">
              <w:t xml:space="preserve"> function call</w:t>
            </w:r>
            <w:r>
              <w:t>(s)</w:t>
            </w:r>
          </w:p>
          <w:p w14:paraId="1B1AE8C7" w14:textId="3CA91A09" w:rsidR="00174F87" w:rsidRPr="00A91BC3" w:rsidRDefault="00A91BC3" w:rsidP="00A91BC3">
            <w:pPr>
              <w:pStyle w:val="Code"/>
              <w:rPr>
                <w:sz w:val="24"/>
              </w:rPr>
            </w:pPr>
            <w:proofErr w:type="spellStart"/>
            <w:r>
              <w:t>hSurf</w:t>
            </w:r>
            <w:proofErr w:type="spellEnd"/>
            <w:r>
              <w:t xml:space="preserve"> = </w:t>
            </w:r>
            <w:proofErr w:type="spellStart"/>
            <w:proofErr w:type="gramStart"/>
            <w:r>
              <w:t>drawMap</w:t>
            </w:r>
            <w:proofErr w:type="spellEnd"/>
            <w:r>
              <w:t>(</w:t>
            </w:r>
            <w:proofErr w:type="spellStart"/>
            <w:proofErr w:type="gramEnd"/>
            <w:r>
              <w:t>userdata</w:t>
            </w:r>
            <w:proofErr w:type="spellEnd"/>
            <w:r>
              <w:t>, 'type', 'act')</w:t>
            </w:r>
            <w:r w:rsidR="00FB4257">
              <w:t>;</w:t>
            </w:r>
          </w:p>
        </w:tc>
      </w:tr>
      <w:tr w:rsidR="00174F87" w:rsidRPr="004F7B48" w14:paraId="6A2DDDB6" w14:textId="77777777" w:rsidTr="00861399">
        <w:tc>
          <w:tcPr>
            <w:tcW w:w="1353" w:type="pct"/>
          </w:tcPr>
          <w:p w14:paraId="7F3E4EFB" w14:textId="43CA8355" w:rsidR="00174F87" w:rsidRPr="006A0BFF" w:rsidRDefault="00174F87" w:rsidP="00174F87">
            <w:pPr>
              <w:rPr>
                <w:rStyle w:val="SubtleEmphasis"/>
              </w:rPr>
            </w:pPr>
            <w:r w:rsidRPr="006A0BFF">
              <w:rPr>
                <w:rStyle w:val="SubtleEmphasis"/>
              </w:rPr>
              <w:t>plotTag(</w:t>
            </w:r>
            <w:r>
              <w:rPr>
                <w:rStyle w:val="SubtleEmphasis"/>
              </w:rPr>
              <w:t>...</w:t>
            </w:r>
            <w:r w:rsidRPr="006A0BFF">
              <w:rPr>
                <w:rStyle w:val="SubtleEmphasis"/>
              </w:rPr>
              <w:t>)</w:t>
            </w:r>
          </w:p>
        </w:tc>
        <w:tc>
          <w:tcPr>
            <w:tcW w:w="1703" w:type="pct"/>
          </w:tcPr>
          <w:p w14:paraId="0A497102"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1B22A842" w14:textId="77777777" w:rsidTr="00161929">
              <w:tc>
                <w:tcPr>
                  <w:tcW w:w="1487" w:type="pct"/>
                </w:tcPr>
                <w:p w14:paraId="3E811B37" w14:textId="569C4DB7" w:rsidR="00174F87" w:rsidRPr="006C15AE" w:rsidRDefault="00E86C7A" w:rsidP="00174F87">
                  <w:pPr>
                    <w:rPr>
                      <w:rStyle w:val="SubtleEmphasis"/>
                    </w:rPr>
                  </w:pPr>
                  <w:r>
                    <w:rPr>
                      <w:rStyle w:val="SubtleEmphasis"/>
                    </w:rPr>
                    <w:t>1</w:t>
                  </w:r>
                </w:p>
              </w:tc>
              <w:tc>
                <w:tcPr>
                  <w:tcW w:w="3513" w:type="pct"/>
                </w:tcPr>
                <w:p w14:paraId="79FDDD60" w14:textId="2406F210" w:rsidR="00174F87" w:rsidRPr="006C15AE" w:rsidRDefault="00E86C7A" w:rsidP="00174F87">
                  <w:pPr>
                    <w:pStyle w:val="Tabletext"/>
                    <w:rPr>
                      <w:rStyle w:val="SubtleEmphasis"/>
                    </w:rPr>
                  </w:pPr>
                  <w:r>
                    <w:rPr>
                      <w:rStyle w:val="SubtleEmphasis"/>
                    </w:rPr>
                    <w:t>userdata</w:t>
                  </w:r>
                </w:p>
              </w:tc>
            </w:tr>
          </w:tbl>
          <w:p w14:paraId="1B9DB389"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5553EF35" w14:textId="77777777" w:rsidTr="00161929">
              <w:tc>
                <w:tcPr>
                  <w:tcW w:w="1771" w:type="pct"/>
                </w:tcPr>
                <w:p w14:paraId="0BFD5428" w14:textId="76B96F2D" w:rsidR="00174F87" w:rsidRPr="006C15AE" w:rsidRDefault="00E86C7A" w:rsidP="00174F87">
                  <w:pPr>
                    <w:rPr>
                      <w:rStyle w:val="SubtleEmphasis"/>
                    </w:rPr>
                  </w:pPr>
                  <w:r>
                    <w:rPr>
                      <w:rStyle w:val="SubtleEmphasis"/>
                    </w:rPr>
                    <w:t>‘coord’</w:t>
                  </w:r>
                </w:p>
              </w:tc>
              <w:tc>
                <w:tcPr>
                  <w:tcW w:w="3229" w:type="pct"/>
                </w:tcPr>
                <w:p w14:paraId="10923DA7" w14:textId="49C3220B" w:rsidR="00174F87" w:rsidRPr="006C15AE" w:rsidRDefault="00B65954" w:rsidP="00174F87">
                  <w:pPr>
                    <w:pStyle w:val="Tabletext"/>
                    <w:rPr>
                      <w:rStyle w:val="SubtleEmphasis"/>
                    </w:rPr>
                  </w:pPr>
                  <w:r>
                    <w:rPr>
                      <w:rStyle w:val="SubtleEmphasis"/>
                    </w:rPr>
                    <w:t>{[]} | X</w:t>
                  </w:r>
                </w:p>
              </w:tc>
            </w:tr>
            <w:tr w:rsidR="00B65954" w14:paraId="5BFFAAEA" w14:textId="77777777" w:rsidTr="00161929">
              <w:tc>
                <w:tcPr>
                  <w:tcW w:w="1771" w:type="pct"/>
                </w:tcPr>
                <w:p w14:paraId="795DE423" w14:textId="0CBD5E35" w:rsidR="00B65954" w:rsidRDefault="00B65954" w:rsidP="00174F87">
                  <w:pPr>
                    <w:rPr>
                      <w:rStyle w:val="SubtleEmphasis"/>
                    </w:rPr>
                  </w:pPr>
                  <w:r>
                    <w:rPr>
                      <w:rStyle w:val="SubtleEmphasis"/>
                    </w:rPr>
                    <w:t>‘pointnum’</w:t>
                  </w:r>
                </w:p>
              </w:tc>
              <w:tc>
                <w:tcPr>
                  <w:tcW w:w="3229" w:type="pct"/>
                </w:tcPr>
                <w:p w14:paraId="22060522" w14:textId="1CBA9055" w:rsidR="00B65954" w:rsidRDefault="003945B7" w:rsidP="00174F87">
                  <w:pPr>
                    <w:pStyle w:val="Tabletext"/>
                    <w:rPr>
                      <w:rStyle w:val="SubtleEmphasis"/>
                    </w:rPr>
                  </w:pPr>
                  <w:r>
                    <w:rPr>
                      <w:rStyle w:val="SubtleEmphasis"/>
                    </w:rPr>
                    <w:t>{[]} | p</w:t>
                  </w:r>
                </w:p>
              </w:tc>
            </w:tr>
            <w:tr w:rsidR="003945B7" w14:paraId="75808151" w14:textId="77777777" w:rsidTr="00161929">
              <w:tc>
                <w:tcPr>
                  <w:tcW w:w="1771" w:type="pct"/>
                </w:tcPr>
                <w:p w14:paraId="4C0870A2" w14:textId="473B04A7" w:rsidR="003945B7" w:rsidRDefault="003945B7" w:rsidP="00174F87">
                  <w:pPr>
                    <w:rPr>
                      <w:rStyle w:val="SubtleEmphasis"/>
                    </w:rPr>
                  </w:pPr>
                  <w:r>
                    <w:rPr>
                      <w:rStyle w:val="SubtleEmphasis"/>
                    </w:rPr>
                    <w:t>‘color’</w:t>
                  </w:r>
                </w:p>
              </w:tc>
              <w:tc>
                <w:tcPr>
                  <w:tcW w:w="3229" w:type="pct"/>
                </w:tcPr>
                <w:p w14:paraId="7AD5C200" w14:textId="5B2F2686" w:rsidR="003945B7" w:rsidRPr="003945B7" w:rsidRDefault="003945B7" w:rsidP="003945B7">
                  <w:pPr>
                    <w:pStyle w:val="Code"/>
                    <w:rPr>
                      <w:rStyle w:val="SubtleEmphasis"/>
                      <w:rFonts w:ascii="Consolas" w:hAnsi="Consolas"/>
                      <w:iCs w:val="0"/>
                      <w:noProof w:val="0"/>
                      <w:color w:val="auto"/>
                    </w:rPr>
                  </w:pPr>
                  <w:r>
                    <w:t>{'r'}</w:t>
                  </w:r>
                  <w:r w:rsidR="002E4D90">
                    <w:t xml:space="preserve"> </w:t>
                  </w:r>
                  <w:r>
                    <w:t>|</w:t>
                  </w:r>
                  <w:r w:rsidR="002E4D90">
                    <w:t xml:space="preserve"> </w:t>
                  </w:r>
                  <w:r>
                    <w:t>'g'</w:t>
                  </w:r>
                  <w:r w:rsidR="002E4D90">
                    <w:t xml:space="preserve"> </w:t>
                  </w:r>
                  <w:r>
                    <w:t>|</w:t>
                  </w:r>
                  <w:r w:rsidR="002E4D90">
                    <w:t xml:space="preserve"> </w:t>
                  </w:r>
                  <w:r>
                    <w:t>'b'</w:t>
                  </w:r>
                  <w:r w:rsidR="002E4D90">
                    <w:t xml:space="preserve"> </w:t>
                  </w:r>
                  <w:r>
                    <w:t>|</w:t>
                  </w:r>
                  <w:r w:rsidR="002E4D90">
                    <w:t xml:space="preserve"> </w:t>
                  </w:r>
                  <w:r>
                    <w:t>'p'</w:t>
                  </w:r>
                  <w:r w:rsidR="002E4D90">
                    <w:t xml:space="preserve"> </w:t>
                  </w:r>
                  <w:r>
                    <w:t>|</w:t>
                  </w:r>
                  <w:r w:rsidR="002E4D90">
                    <w:t xml:space="preserve"> </w:t>
                  </w:r>
                  <w:r>
                    <w:t>'o'</w:t>
                  </w:r>
                  <w:r w:rsidR="002E4D90">
                    <w:t xml:space="preserve"> </w:t>
                  </w:r>
                  <w:r>
                    <w:t>|</w:t>
                  </w:r>
                  <w:r w:rsidR="002E4D90">
                    <w:t xml:space="preserve"> </w:t>
                  </w:r>
                  <w:r>
                    <w:t>'y'</w:t>
                  </w:r>
                </w:p>
              </w:tc>
            </w:tr>
            <w:tr w:rsidR="003945B7" w14:paraId="5964686E" w14:textId="77777777" w:rsidTr="00161929">
              <w:tc>
                <w:tcPr>
                  <w:tcW w:w="1771" w:type="pct"/>
                </w:tcPr>
                <w:p w14:paraId="7434C5ED" w14:textId="70A2C20A" w:rsidR="003945B7" w:rsidRDefault="003945B7" w:rsidP="00174F87">
                  <w:pPr>
                    <w:rPr>
                      <w:rStyle w:val="SubtleEmphasis"/>
                    </w:rPr>
                  </w:pPr>
                  <w:r>
                    <w:rPr>
                      <w:rStyle w:val="SubtleEmphasis"/>
                    </w:rPr>
                    <w:t>‘size’</w:t>
                  </w:r>
                </w:p>
              </w:tc>
              <w:tc>
                <w:tcPr>
                  <w:tcW w:w="3229" w:type="pct"/>
                </w:tcPr>
                <w:p w14:paraId="2799FBFA" w14:textId="2D7B338A" w:rsidR="003945B7" w:rsidRDefault="003945B7" w:rsidP="003945B7">
                  <w:pPr>
                    <w:pStyle w:val="Code"/>
                  </w:pPr>
                  <w:r>
                    <w:t>4 | double</w:t>
                  </w:r>
                </w:p>
              </w:tc>
            </w:tr>
          </w:tbl>
          <w:p w14:paraId="100C9F4C"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47C1551" w14:textId="77777777" w:rsidTr="00161929">
              <w:tc>
                <w:tcPr>
                  <w:tcW w:w="1771" w:type="pct"/>
                </w:tcPr>
                <w:p w14:paraId="4F47CE52" w14:textId="240286D1" w:rsidR="00174F87" w:rsidRPr="006C15AE" w:rsidRDefault="003945B7" w:rsidP="00174F87">
                  <w:pPr>
                    <w:rPr>
                      <w:rStyle w:val="SubtleEmphasis"/>
                    </w:rPr>
                  </w:pPr>
                  <w:r>
                    <w:rPr>
                      <w:rStyle w:val="SubtleEmphasis"/>
                    </w:rPr>
                    <w:t>h</w:t>
                  </w:r>
                </w:p>
              </w:tc>
              <w:tc>
                <w:tcPr>
                  <w:tcW w:w="3229" w:type="pct"/>
                </w:tcPr>
                <w:p w14:paraId="10C303F9" w14:textId="789EB03D" w:rsidR="00174F87" w:rsidRPr="003945B7" w:rsidRDefault="003945B7" w:rsidP="003945B7">
                  <w:pPr>
                    <w:pStyle w:val="Tabletext"/>
                    <w:rPr>
                      <w:rStyle w:val="SubtleEmphasis"/>
                      <w:rFonts w:asciiTheme="minorHAnsi" w:hAnsiTheme="minorHAnsi"/>
                      <w:iCs w:val="0"/>
                      <w:noProof w:val="0"/>
                      <w:color w:val="auto"/>
                    </w:rPr>
                  </w:pPr>
                  <w:r w:rsidRPr="003945B7">
                    <w:rPr>
                      <w:rStyle w:val="SubtleEmphasis"/>
                      <w:rFonts w:asciiTheme="minorHAnsi" w:hAnsiTheme="minorHAnsi"/>
                      <w:iCs w:val="0"/>
                      <w:noProof w:val="0"/>
                      <w:color w:val="auto"/>
                    </w:rPr>
                    <w:t>An array of handles referencing the plotted surfaces</w:t>
                  </w:r>
                </w:p>
              </w:tc>
            </w:tr>
          </w:tbl>
          <w:p w14:paraId="1468DC9C" w14:textId="77777777" w:rsidR="00174F87" w:rsidRPr="009326DB" w:rsidRDefault="00174F87" w:rsidP="00174F87">
            <w:pPr>
              <w:rPr>
                <w:rFonts w:ascii="Consolas" w:hAnsi="Consolas" w:cs="Consolas"/>
                <w:sz w:val="18"/>
                <w:szCs w:val="18"/>
              </w:rPr>
            </w:pPr>
          </w:p>
        </w:tc>
        <w:tc>
          <w:tcPr>
            <w:tcW w:w="1944" w:type="pct"/>
          </w:tcPr>
          <w:p w14:paraId="474A7E32" w14:textId="77777777" w:rsidR="00174F87" w:rsidRPr="00893BD2" w:rsidRDefault="00174F87" w:rsidP="00174F87">
            <w:pPr>
              <w:pStyle w:val="Tabletextheading"/>
            </w:pPr>
            <w:r>
              <w:t>Use case</w:t>
            </w:r>
          </w:p>
          <w:p w14:paraId="0FD81FBB" w14:textId="3DE08771" w:rsidR="00174F87" w:rsidRDefault="003945B7" w:rsidP="00174F87">
            <w:pPr>
              <w:pStyle w:val="Tabletext"/>
            </w:pPr>
            <w:r>
              <w:t>Plot tag(s) on the current map</w:t>
            </w:r>
          </w:p>
          <w:p w14:paraId="7145FB0F" w14:textId="77777777" w:rsidR="00174F87" w:rsidRDefault="00174F87" w:rsidP="00174F87">
            <w:pPr>
              <w:pStyle w:val="Tabletextheading"/>
            </w:pPr>
            <w:r>
              <w:t>Description</w:t>
            </w:r>
          </w:p>
          <w:p w14:paraId="76C6ACFA" w14:textId="77777777" w:rsidR="003945B7" w:rsidRDefault="003945B7" w:rsidP="003945B7">
            <w:pPr>
              <w:pStyle w:val="Tabletext"/>
            </w:pPr>
            <w:r>
              <w:t>Plot tag(s) on the current map</w:t>
            </w:r>
          </w:p>
          <w:p w14:paraId="0F84CE49" w14:textId="77777777" w:rsidR="00174F87" w:rsidRDefault="00174F87" w:rsidP="00174F87">
            <w:pPr>
              <w:pStyle w:val="Tabletextheading"/>
            </w:pPr>
            <w:r w:rsidRPr="00B035AB">
              <w:t>Example</w:t>
            </w:r>
            <w:r w:rsidRPr="00B341D1">
              <w:t xml:space="preserve"> function call</w:t>
            </w:r>
            <w:r>
              <w:t>(s)</w:t>
            </w:r>
          </w:p>
          <w:p w14:paraId="15E41608" w14:textId="3E589141" w:rsidR="00174F87" w:rsidRPr="009326DB" w:rsidRDefault="003945B7" w:rsidP="003945B7">
            <w:pPr>
              <w:pStyle w:val="Code"/>
              <w:rPr>
                <w:rFonts w:asciiTheme="minorHAnsi" w:hAnsiTheme="minorHAnsi" w:cstheme="minorHAnsi"/>
                <w:szCs w:val="20"/>
              </w:rPr>
            </w:pPr>
            <w:r>
              <w:t xml:space="preserve">h = </w:t>
            </w:r>
            <w:proofErr w:type="spellStart"/>
            <w:proofErr w:type="gramStart"/>
            <w:r>
              <w:t>plotTag</w:t>
            </w:r>
            <w:proofErr w:type="spellEnd"/>
            <w:r>
              <w:t xml:space="preserve">( </w:t>
            </w:r>
            <w:proofErr w:type="spellStart"/>
            <w:r>
              <w:t>userdata</w:t>
            </w:r>
            <w:proofErr w:type="spellEnd"/>
            <w:proofErr w:type="gramEnd"/>
            <w:r>
              <w:t xml:space="preserve"> )</w:t>
            </w:r>
            <w:r w:rsidR="00FB4257">
              <w:t>;</w:t>
            </w:r>
          </w:p>
        </w:tc>
      </w:tr>
      <w:tr w:rsidR="00174F87" w:rsidRPr="004F7B48" w14:paraId="2B0D29D4" w14:textId="77777777" w:rsidTr="00861399">
        <w:tc>
          <w:tcPr>
            <w:tcW w:w="1353" w:type="pct"/>
          </w:tcPr>
          <w:p w14:paraId="5111047C" w14:textId="4B1D32BD" w:rsidR="00174F87" w:rsidRPr="006A0BFF" w:rsidRDefault="00174F87" w:rsidP="00174F87">
            <w:pPr>
              <w:rPr>
                <w:rStyle w:val="SubtleEmphasis"/>
              </w:rPr>
            </w:pPr>
            <w:r w:rsidRPr="006A0BFF">
              <w:rPr>
                <w:rStyle w:val="SubtleEmphasis"/>
              </w:rPr>
              <w:t>pointStatus(</w:t>
            </w:r>
            <w:r>
              <w:rPr>
                <w:rStyle w:val="SubtleEmphasis"/>
              </w:rPr>
              <w:t>...</w:t>
            </w:r>
            <w:r w:rsidRPr="006A0BFF">
              <w:rPr>
                <w:rStyle w:val="SubtleEmphasis"/>
              </w:rPr>
              <w:t>)</w:t>
            </w:r>
          </w:p>
        </w:tc>
        <w:tc>
          <w:tcPr>
            <w:tcW w:w="1703" w:type="pct"/>
          </w:tcPr>
          <w:p w14:paraId="59F72D4C"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0CA63CED" w14:textId="77777777" w:rsidTr="00161929">
              <w:tc>
                <w:tcPr>
                  <w:tcW w:w="1487" w:type="pct"/>
                </w:tcPr>
                <w:p w14:paraId="7A91A50E" w14:textId="4C0B93C7" w:rsidR="00174F87" w:rsidRPr="006C15AE" w:rsidRDefault="00CB2613" w:rsidP="00174F87">
                  <w:pPr>
                    <w:rPr>
                      <w:rStyle w:val="SubtleEmphasis"/>
                    </w:rPr>
                  </w:pPr>
                  <w:r>
                    <w:rPr>
                      <w:rStyle w:val="SubtleEmphasis"/>
                    </w:rPr>
                    <w:t>1</w:t>
                  </w:r>
                </w:p>
              </w:tc>
              <w:tc>
                <w:tcPr>
                  <w:tcW w:w="3513" w:type="pct"/>
                </w:tcPr>
                <w:p w14:paraId="4076123B" w14:textId="40E3AD12" w:rsidR="00174F87" w:rsidRPr="006C15AE" w:rsidRDefault="00CB2613" w:rsidP="00174F87">
                  <w:pPr>
                    <w:pStyle w:val="Tabletext"/>
                    <w:rPr>
                      <w:rStyle w:val="SubtleEmphasis"/>
                    </w:rPr>
                  </w:pPr>
                  <w:r>
                    <w:rPr>
                      <w:rStyle w:val="SubtleEmphasis"/>
                    </w:rPr>
                    <w:t>userdata</w:t>
                  </w:r>
                </w:p>
              </w:tc>
            </w:tr>
          </w:tbl>
          <w:p w14:paraId="607BFB41"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03765EF8" w14:textId="77777777" w:rsidTr="00161929">
              <w:tc>
                <w:tcPr>
                  <w:tcW w:w="1771" w:type="pct"/>
                </w:tcPr>
                <w:p w14:paraId="0F62DE6F" w14:textId="4880DF1F" w:rsidR="00174F87" w:rsidRPr="006C15AE" w:rsidRDefault="00907B4C" w:rsidP="00174F87">
                  <w:pPr>
                    <w:rPr>
                      <w:rStyle w:val="SubtleEmphasis"/>
                    </w:rPr>
                  </w:pPr>
                  <w:r>
                    <w:rPr>
                      <w:rStyle w:val="SubtleEmphasis"/>
                    </w:rPr>
                    <w:t>‘</w:t>
                  </w:r>
                  <w:r w:rsidR="009175A3">
                    <w:rPr>
                      <w:rStyle w:val="SubtleEmphasis"/>
                    </w:rPr>
                    <w:t>tol’</w:t>
                  </w:r>
                </w:p>
              </w:tc>
              <w:tc>
                <w:tcPr>
                  <w:tcW w:w="3229" w:type="pct"/>
                </w:tcPr>
                <w:p w14:paraId="5EFBF86D" w14:textId="0FC73E8E" w:rsidR="00174F87" w:rsidRPr="006C15AE" w:rsidRDefault="009175A3" w:rsidP="00174F87">
                  <w:pPr>
                    <w:pStyle w:val="Tabletext"/>
                    <w:rPr>
                      <w:rStyle w:val="SubtleEmphasis"/>
                    </w:rPr>
                  </w:pPr>
                  <w:r>
                    <w:rPr>
                      <w:rStyle w:val="SubtleEmphasis"/>
                    </w:rPr>
                    <w:t>{0.1} | double</w:t>
                  </w:r>
                </w:p>
              </w:tc>
            </w:tr>
            <w:tr w:rsidR="009175A3" w14:paraId="3F3B6DDA" w14:textId="77777777" w:rsidTr="00161929">
              <w:tc>
                <w:tcPr>
                  <w:tcW w:w="1771" w:type="pct"/>
                </w:tcPr>
                <w:p w14:paraId="6C40CF8A" w14:textId="5A66B627" w:rsidR="009175A3" w:rsidRDefault="009175A3" w:rsidP="00174F87">
                  <w:pPr>
                    <w:rPr>
                      <w:rStyle w:val="SubtleEmphasis"/>
                    </w:rPr>
                  </w:pPr>
                  <w:r>
                    <w:rPr>
                      <w:rStyle w:val="SubtleEmphasis"/>
                    </w:rPr>
                    <w:t>‘plot’</w:t>
                  </w:r>
                </w:p>
              </w:tc>
              <w:tc>
                <w:tcPr>
                  <w:tcW w:w="3229" w:type="pct"/>
                </w:tcPr>
                <w:p w14:paraId="0D66E3BC" w14:textId="7F829554" w:rsidR="009175A3" w:rsidRDefault="009175A3" w:rsidP="00174F87">
                  <w:pPr>
                    <w:pStyle w:val="Tabletext"/>
                    <w:rPr>
                      <w:rStyle w:val="SubtleEmphasis"/>
                    </w:rPr>
                  </w:pPr>
                  <w:r>
                    <w:rPr>
                      <w:rStyle w:val="SubtleEmphasis"/>
                    </w:rPr>
                    <w:t>{false} | true</w:t>
                  </w:r>
                </w:p>
              </w:tc>
            </w:tr>
          </w:tbl>
          <w:p w14:paraId="6F25FCC0"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51EDBADF" w14:textId="77777777" w:rsidTr="00161929">
              <w:tc>
                <w:tcPr>
                  <w:tcW w:w="1771" w:type="pct"/>
                </w:tcPr>
                <w:p w14:paraId="1F5E357B" w14:textId="433B679B" w:rsidR="00174F87" w:rsidRPr="006C15AE" w:rsidRDefault="009175A3" w:rsidP="00174F87">
                  <w:pPr>
                    <w:rPr>
                      <w:rStyle w:val="SubtleEmphasis"/>
                    </w:rPr>
                  </w:pPr>
                  <w:r>
                    <w:rPr>
                      <w:rStyle w:val="SubtleEmphasis"/>
                    </w:rPr>
                    <w:t>inoutpts</w:t>
                  </w:r>
                </w:p>
              </w:tc>
              <w:tc>
                <w:tcPr>
                  <w:tcW w:w="3229" w:type="pct"/>
                </w:tcPr>
                <w:p w14:paraId="7C368087" w14:textId="45C8A416" w:rsidR="00174F87" w:rsidRPr="009E38D8" w:rsidRDefault="009E38D8" w:rsidP="009E38D8">
                  <w:pPr>
                    <w:pStyle w:val="Tabletext"/>
                    <w:rPr>
                      <w:rStyle w:val="SubtleEmphasis"/>
                      <w:rFonts w:asciiTheme="minorHAnsi" w:hAnsiTheme="minorHAnsi"/>
                      <w:iCs w:val="0"/>
                      <w:noProof w:val="0"/>
                      <w:color w:val="auto"/>
                    </w:rPr>
                  </w:pPr>
                  <w:r w:rsidRPr="009E38D8">
                    <w:rPr>
                      <w:rStyle w:val="SubtleEmphasis"/>
                      <w:rFonts w:asciiTheme="minorHAnsi" w:hAnsiTheme="minorHAnsi"/>
                      <w:iCs w:val="0"/>
                      <w:noProof w:val="0"/>
                      <w:color w:val="auto"/>
                    </w:rPr>
                    <w:t>Whether points are internal (</w:t>
                  </w:r>
                  <w:proofErr w:type="gramStart"/>
                  <w:r w:rsidRPr="009E38D8">
                    <w:rPr>
                      <w:rStyle w:val="SubtleEmphasis"/>
                      <w:rFonts w:asciiTheme="minorHAnsi" w:hAnsiTheme="minorHAnsi"/>
                      <w:iCs w:val="0"/>
                      <w:noProof w:val="0"/>
                      <w:color w:val="auto"/>
                    </w:rPr>
                    <w:t>logical(</w:t>
                  </w:r>
                  <w:proofErr w:type="gramEnd"/>
                  <w:r w:rsidRPr="009E38D8">
                    <w:rPr>
                      <w:rStyle w:val="SubtleEmphasis"/>
                      <w:rFonts w:asciiTheme="minorHAnsi" w:hAnsiTheme="minorHAnsi"/>
                      <w:iCs w:val="0"/>
                      <w:noProof w:val="0"/>
                      <w:color w:val="auto"/>
                    </w:rPr>
                    <w:t xml:space="preserve">1)) or external (logical(0)) to the triangulation in </w:t>
                  </w:r>
                  <w:r w:rsidRPr="009E38D8">
                    <w:rPr>
                      <w:rStyle w:val="SubtleEmphasis"/>
                    </w:rPr>
                    <w:t>userdata</w:t>
                  </w:r>
                </w:p>
              </w:tc>
            </w:tr>
            <w:tr w:rsidR="009175A3" w14:paraId="0472BEE5" w14:textId="77777777" w:rsidTr="00161929">
              <w:tc>
                <w:tcPr>
                  <w:tcW w:w="1771" w:type="pct"/>
                </w:tcPr>
                <w:p w14:paraId="709EF425" w14:textId="60F33307" w:rsidR="009175A3" w:rsidRDefault="009E38D8" w:rsidP="00174F87">
                  <w:pPr>
                    <w:rPr>
                      <w:rStyle w:val="SubtleEmphasis"/>
                    </w:rPr>
                  </w:pPr>
                  <w:r>
                    <w:rPr>
                      <w:rStyle w:val="SubtleEmphasis"/>
                    </w:rPr>
                    <w:lastRenderedPageBreak/>
                    <w:t>meshpts</w:t>
                  </w:r>
                </w:p>
              </w:tc>
              <w:tc>
                <w:tcPr>
                  <w:tcW w:w="3229" w:type="pct"/>
                </w:tcPr>
                <w:p w14:paraId="1D092F92" w14:textId="23BFDA65" w:rsidR="009175A3" w:rsidRPr="009E38D8" w:rsidRDefault="009E38D8" w:rsidP="009E38D8">
                  <w:pPr>
                    <w:pStyle w:val="Tabletext"/>
                    <w:rPr>
                      <w:rStyle w:val="SubtleEmphasis"/>
                      <w:rFonts w:asciiTheme="minorHAnsi" w:hAnsiTheme="minorHAnsi"/>
                      <w:iCs w:val="0"/>
                      <w:noProof w:val="0"/>
                      <w:color w:val="auto"/>
                    </w:rPr>
                  </w:pPr>
                  <w:r w:rsidRPr="009E38D8">
                    <w:rPr>
                      <w:rStyle w:val="SubtleEmphasis"/>
                      <w:rFonts w:asciiTheme="minorHAnsi" w:hAnsiTheme="minorHAnsi"/>
                      <w:iCs w:val="0"/>
                      <w:noProof w:val="0"/>
                      <w:color w:val="auto"/>
                    </w:rPr>
                    <w:t xml:space="preserve">Whether points in the triangulation in </w:t>
                  </w:r>
                  <w:r w:rsidRPr="009E38D8">
                    <w:rPr>
                      <w:rStyle w:val="SubtleEmphasis"/>
                    </w:rPr>
                    <w:t>userdata</w:t>
                  </w:r>
                  <w:r w:rsidRPr="009E38D8">
                    <w:rPr>
                      <w:rStyle w:val="SubtleEmphasis"/>
                      <w:rFonts w:asciiTheme="minorHAnsi" w:hAnsiTheme="minorHAnsi"/>
                      <w:iCs w:val="0"/>
                      <w:noProof w:val="0"/>
                      <w:color w:val="auto"/>
                    </w:rPr>
                    <w:t xml:space="preserve"> are referenced in the triangulation (</w:t>
                  </w:r>
                  <w:proofErr w:type="gramStart"/>
                  <w:r w:rsidRPr="009E38D8">
                    <w:rPr>
                      <w:rStyle w:val="SubtleEmphasis"/>
                      <w:rFonts w:asciiTheme="minorHAnsi" w:hAnsiTheme="minorHAnsi"/>
                      <w:iCs w:val="0"/>
                      <w:noProof w:val="0"/>
                      <w:color w:val="auto"/>
                    </w:rPr>
                    <w:t>logical(</w:t>
                  </w:r>
                  <w:proofErr w:type="gramEnd"/>
                  <w:r w:rsidRPr="009E38D8">
                    <w:rPr>
                      <w:rStyle w:val="SubtleEmphasis"/>
                      <w:rFonts w:asciiTheme="minorHAnsi" w:hAnsiTheme="minorHAnsi"/>
                      <w:iCs w:val="0"/>
                      <w:noProof w:val="0"/>
                      <w:color w:val="auto"/>
                    </w:rPr>
                    <w:t>1)) or not (logical(0))</w:t>
                  </w:r>
                </w:p>
              </w:tc>
            </w:tr>
          </w:tbl>
          <w:p w14:paraId="14E5E9EF" w14:textId="77777777" w:rsidR="00174F87" w:rsidRPr="009326DB" w:rsidRDefault="00174F87" w:rsidP="00174F87">
            <w:pPr>
              <w:rPr>
                <w:rFonts w:ascii="Consolas" w:hAnsi="Consolas" w:cs="Consolas"/>
                <w:sz w:val="18"/>
                <w:szCs w:val="18"/>
              </w:rPr>
            </w:pPr>
          </w:p>
        </w:tc>
        <w:tc>
          <w:tcPr>
            <w:tcW w:w="1944" w:type="pct"/>
          </w:tcPr>
          <w:p w14:paraId="2826D25B" w14:textId="77777777" w:rsidR="00174F87" w:rsidRPr="00893BD2" w:rsidRDefault="00174F87" w:rsidP="00174F87">
            <w:pPr>
              <w:pStyle w:val="Tabletextheading"/>
            </w:pPr>
            <w:r>
              <w:lastRenderedPageBreak/>
              <w:t>Use case</w:t>
            </w:r>
          </w:p>
          <w:p w14:paraId="7460C2A0" w14:textId="461D7BBE" w:rsidR="00174F87" w:rsidRDefault="001F028E" w:rsidP="00174F87">
            <w:pPr>
              <w:pStyle w:val="Tabletext"/>
            </w:pPr>
            <w:r>
              <w:t xml:space="preserve">Returns the status of points relevant to </w:t>
            </w:r>
            <w:r w:rsidRPr="001F028E">
              <w:rPr>
                <w:rStyle w:val="SubtleEmphasis"/>
              </w:rPr>
              <w:t>userdata</w:t>
            </w:r>
          </w:p>
          <w:p w14:paraId="3F175E99" w14:textId="77777777" w:rsidR="00174F87" w:rsidRDefault="00174F87" w:rsidP="00174F87">
            <w:pPr>
              <w:pStyle w:val="Tabletextheading"/>
            </w:pPr>
            <w:r>
              <w:t>Description</w:t>
            </w:r>
          </w:p>
          <w:p w14:paraId="7E94F1C3" w14:textId="0DDAF35C" w:rsidR="00174F87" w:rsidRDefault="001F028E" w:rsidP="00174F87">
            <w:pPr>
              <w:pStyle w:val="Tabletext"/>
            </w:pPr>
            <w:r w:rsidRPr="00152E41">
              <w:rPr>
                <w:rStyle w:val="SubtleEmphasis"/>
              </w:rPr>
              <w:t>pointStatus</w:t>
            </w:r>
            <w:r>
              <w:t xml:space="preserve"> depends on the package </w:t>
            </w:r>
            <w:r w:rsidRPr="00152E41">
              <w:rPr>
                <w:rStyle w:val="SubtleEmphasis"/>
              </w:rPr>
              <w:t>in</w:t>
            </w:r>
            <w:r w:rsidR="00152E41" w:rsidRPr="00152E41">
              <w:rPr>
                <w:rStyle w:val="SubtleEmphasis"/>
              </w:rPr>
              <w:t>polyhedron</w:t>
            </w:r>
            <w:r w:rsidR="00152E41">
              <w:t xml:space="preserve">. See: </w:t>
            </w:r>
          </w:p>
          <w:p w14:paraId="23B6B8CF" w14:textId="0497CCB3" w:rsidR="00152E41" w:rsidRPr="00152E41" w:rsidRDefault="002E26A9" w:rsidP="00152E41">
            <w:pPr>
              <w:pStyle w:val="Tabletext"/>
            </w:pPr>
            <w:hyperlink r:id="rId16" w:history="1">
              <w:r w:rsidR="00152E41" w:rsidRPr="00BE4505">
                <w:rPr>
                  <w:rStyle w:val="Hyperlink"/>
                </w:rPr>
                <w:t>https://uk.mathworks.com/matlabcentral/fileexchange/37856-inpolyhedron-are-points-inside-a-triangulated-volume</w:t>
              </w:r>
            </w:hyperlink>
            <w:r w:rsidR="00152E41">
              <w:t xml:space="preserve"> </w:t>
            </w:r>
          </w:p>
          <w:p w14:paraId="330BD268" w14:textId="77777777" w:rsidR="00174F87" w:rsidRDefault="00174F87" w:rsidP="00174F87">
            <w:pPr>
              <w:pStyle w:val="Tabletextheading"/>
            </w:pPr>
            <w:r w:rsidRPr="00B035AB">
              <w:t>Example</w:t>
            </w:r>
            <w:r w:rsidRPr="00B341D1">
              <w:t xml:space="preserve"> function call</w:t>
            </w:r>
            <w:r>
              <w:t>(s)</w:t>
            </w:r>
          </w:p>
          <w:p w14:paraId="534C23FB" w14:textId="66C9371D" w:rsidR="00174F87" w:rsidRPr="009326DB" w:rsidRDefault="00DB4454" w:rsidP="00DB4454">
            <w:pPr>
              <w:pStyle w:val="Code"/>
              <w:rPr>
                <w:rFonts w:asciiTheme="minorHAnsi" w:hAnsiTheme="minorHAnsi" w:cstheme="minorHAnsi"/>
                <w:szCs w:val="20"/>
              </w:rPr>
            </w:pPr>
            <w:r>
              <w:t>[</w:t>
            </w:r>
            <w:proofErr w:type="spellStart"/>
            <w:r>
              <w:t>inoutputs</w:t>
            </w:r>
            <w:proofErr w:type="spellEnd"/>
            <w:r>
              <w:t xml:space="preserve">, </w:t>
            </w:r>
            <w:proofErr w:type="spellStart"/>
            <w:r>
              <w:t>meshpts</w:t>
            </w:r>
            <w:proofErr w:type="spellEnd"/>
            <w:r>
              <w:t xml:space="preserve">] = </w:t>
            </w:r>
            <w:proofErr w:type="spellStart"/>
            <w:proofErr w:type="gramStart"/>
            <w:r>
              <w:t>pointStatus</w:t>
            </w:r>
            <w:proofErr w:type="spellEnd"/>
            <w:r>
              <w:t xml:space="preserve">( </w:t>
            </w:r>
            <w:proofErr w:type="spellStart"/>
            <w:r>
              <w:t>userdata</w:t>
            </w:r>
            <w:proofErr w:type="spellEnd"/>
            <w:proofErr w:type="gramEnd"/>
            <w:r>
              <w:t xml:space="preserve"> )</w:t>
            </w:r>
            <w:r w:rsidR="00FB4257">
              <w:t>;</w:t>
            </w:r>
          </w:p>
        </w:tc>
      </w:tr>
      <w:tr w:rsidR="00174F87" w:rsidRPr="004F7B48" w14:paraId="5839B144" w14:textId="77777777" w:rsidTr="00161929">
        <w:tc>
          <w:tcPr>
            <w:tcW w:w="5000" w:type="pct"/>
            <w:gridSpan w:val="3"/>
          </w:tcPr>
          <w:p w14:paraId="2096E772" w14:textId="5813D2C6" w:rsidR="00174F87" w:rsidRPr="008D1422" w:rsidRDefault="00174F87" w:rsidP="00174F87">
            <w:pPr>
              <w:jc w:val="center"/>
              <w:rPr>
                <w:rFonts w:asciiTheme="minorHAnsi" w:hAnsiTheme="minorHAnsi" w:cstheme="minorHAnsi"/>
                <w:b/>
                <w:bCs/>
                <w:sz w:val="20"/>
                <w:szCs w:val="20"/>
              </w:rPr>
            </w:pPr>
            <w:r w:rsidRPr="008D1422">
              <w:rPr>
                <w:rFonts w:asciiTheme="minorHAnsi" w:hAnsiTheme="minorHAnsi" w:cstheme="minorHAnsi"/>
                <w:b/>
                <w:bCs/>
                <w:sz w:val="20"/>
                <w:szCs w:val="20"/>
              </w:rPr>
              <w:t>Ablation Data</w:t>
            </w:r>
          </w:p>
        </w:tc>
      </w:tr>
      <w:tr w:rsidR="00174F87" w:rsidRPr="004F7B48" w14:paraId="07DC763D" w14:textId="77777777" w:rsidTr="00861399">
        <w:tc>
          <w:tcPr>
            <w:tcW w:w="1353" w:type="pct"/>
          </w:tcPr>
          <w:p w14:paraId="7D3C941A" w14:textId="3A3054DA" w:rsidR="00174F87" w:rsidRPr="006A0BFF" w:rsidRDefault="00174F87" w:rsidP="00174F87">
            <w:pPr>
              <w:rPr>
                <w:rStyle w:val="SubtleEmphasis"/>
              </w:rPr>
            </w:pPr>
            <w:r w:rsidRPr="006A0BFF">
              <w:rPr>
                <w:rStyle w:val="SubtleEmphasis"/>
              </w:rPr>
              <w:t>plotVisitags(</w:t>
            </w:r>
            <w:r>
              <w:rPr>
                <w:rStyle w:val="SubtleEmphasis"/>
              </w:rPr>
              <w:t>...</w:t>
            </w:r>
            <w:r w:rsidRPr="006A0BFF">
              <w:rPr>
                <w:rStyle w:val="SubtleEmphasis"/>
              </w:rPr>
              <w:t>)</w:t>
            </w:r>
          </w:p>
        </w:tc>
        <w:tc>
          <w:tcPr>
            <w:tcW w:w="1703" w:type="pct"/>
          </w:tcPr>
          <w:p w14:paraId="0AB0B142"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694CC441" w14:textId="77777777" w:rsidTr="00161929">
              <w:tc>
                <w:tcPr>
                  <w:tcW w:w="1487" w:type="pct"/>
                </w:tcPr>
                <w:p w14:paraId="378CF610" w14:textId="574F9E4D" w:rsidR="00174F87" w:rsidRPr="006C15AE" w:rsidRDefault="00174F87" w:rsidP="00174F87">
                  <w:pPr>
                    <w:rPr>
                      <w:rStyle w:val="SubtleEmphasis"/>
                    </w:rPr>
                  </w:pPr>
                  <w:r>
                    <w:rPr>
                      <w:rStyle w:val="SubtleEmphasis"/>
                    </w:rPr>
                    <w:t>1</w:t>
                  </w:r>
                </w:p>
              </w:tc>
              <w:tc>
                <w:tcPr>
                  <w:tcW w:w="3513" w:type="pct"/>
                </w:tcPr>
                <w:p w14:paraId="35C8896C" w14:textId="7B3A2D50" w:rsidR="00174F87" w:rsidRPr="006C15AE" w:rsidRDefault="00174F87" w:rsidP="00174F87">
                  <w:pPr>
                    <w:pStyle w:val="Tabletext"/>
                    <w:rPr>
                      <w:rStyle w:val="SubtleEmphasis"/>
                    </w:rPr>
                  </w:pPr>
                  <w:r>
                    <w:rPr>
                      <w:rStyle w:val="SubtleEmphasis"/>
                    </w:rPr>
                    <w:t>userdata</w:t>
                  </w:r>
                </w:p>
              </w:tc>
            </w:tr>
          </w:tbl>
          <w:p w14:paraId="4111F184"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E83FBDF" w14:textId="77777777" w:rsidTr="00161929">
              <w:tc>
                <w:tcPr>
                  <w:tcW w:w="1771" w:type="pct"/>
                </w:tcPr>
                <w:p w14:paraId="686B311D" w14:textId="49711709" w:rsidR="00174F87" w:rsidRPr="006C15AE" w:rsidRDefault="00174F87" w:rsidP="00174F87">
                  <w:pPr>
                    <w:rPr>
                      <w:rStyle w:val="SubtleEmphasis"/>
                    </w:rPr>
                  </w:pPr>
                  <w:r>
                    <w:rPr>
                      <w:rStyle w:val="SubtleEmphasis"/>
                    </w:rPr>
                    <w:t>‘plot’</w:t>
                  </w:r>
                </w:p>
              </w:tc>
              <w:tc>
                <w:tcPr>
                  <w:tcW w:w="3229" w:type="pct"/>
                </w:tcPr>
                <w:p w14:paraId="73480F68" w14:textId="4F7B7041" w:rsidR="00174F87" w:rsidRPr="006C15AE" w:rsidRDefault="00174F87" w:rsidP="00174F87">
                  <w:pPr>
                    <w:pStyle w:val="Tabletext"/>
                    <w:rPr>
                      <w:rStyle w:val="SubtleEmphasis"/>
                    </w:rPr>
                  </w:pPr>
                  <w:r>
                    <w:rPr>
                      <w:rStyle w:val="SubtleEmphasis"/>
                    </w:rPr>
                    <w:t>{‘tags’}|’grid’|’both’</w:t>
                  </w:r>
                </w:p>
              </w:tc>
            </w:tr>
            <w:tr w:rsidR="00174F87" w14:paraId="6F7A39D5" w14:textId="77777777" w:rsidTr="00161929">
              <w:tc>
                <w:tcPr>
                  <w:tcW w:w="1771" w:type="pct"/>
                </w:tcPr>
                <w:p w14:paraId="1F5A1630" w14:textId="0508BC40" w:rsidR="00174F87" w:rsidRDefault="00174F87" w:rsidP="00174F87">
                  <w:pPr>
                    <w:rPr>
                      <w:rStyle w:val="SubtleEmphasis"/>
                    </w:rPr>
                  </w:pPr>
                  <w:r>
                    <w:rPr>
                      <w:rStyle w:val="SubtleEmphasis"/>
                    </w:rPr>
                    <w:t>‘shell’</w:t>
                  </w:r>
                </w:p>
              </w:tc>
              <w:tc>
                <w:tcPr>
                  <w:tcW w:w="3229" w:type="pct"/>
                </w:tcPr>
                <w:p w14:paraId="5E11E48F" w14:textId="4197EB11" w:rsidR="00174F87" w:rsidRPr="006C15AE" w:rsidRDefault="00174F87" w:rsidP="00174F87">
                  <w:pPr>
                    <w:pStyle w:val="Tabletext"/>
                    <w:rPr>
                      <w:rStyle w:val="SubtleEmphasis"/>
                    </w:rPr>
                  </w:pPr>
                  <w:r>
                    <w:rPr>
                      <w:rStyle w:val="SubtleEmphasis"/>
                    </w:rPr>
                    <w:t>{‘on’}|’off’</w:t>
                  </w:r>
                </w:p>
              </w:tc>
            </w:tr>
            <w:tr w:rsidR="00174F87" w14:paraId="3364B9C8" w14:textId="77777777" w:rsidTr="00161929">
              <w:tc>
                <w:tcPr>
                  <w:tcW w:w="1771" w:type="pct"/>
                </w:tcPr>
                <w:p w14:paraId="7D80107E" w14:textId="2EEA5ADE" w:rsidR="00174F87" w:rsidRDefault="00174F87" w:rsidP="00174F87">
                  <w:pPr>
                    <w:rPr>
                      <w:rStyle w:val="SubtleEmphasis"/>
                    </w:rPr>
                  </w:pPr>
                  <w:r>
                    <w:rPr>
                      <w:rStyle w:val="SubtleEmphasis"/>
                    </w:rPr>
                    <w:t>‘colour’</w:t>
                  </w:r>
                </w:p>
              </w:tc>
              <w:tc>
                <w:tcPr>
                  <w:tcW w:w="3229" w:type="pct"/>
                </w:tcPr>
                <w:p w14:paraId="35059CFF" w14:textId="5A165667" w:rsidR="00174F87" w:rsidRPr="006C15AE" w:rsidRDefault="00174F87" w:rsidP="00174F87">
                  <w:pPr>
                    <w:pStyle w:val="Tabletext"/>
                    <w:rPr>
                      <w:rStyle w:val="SubtleEmphasis"/>
                    </w:rPr>
                  </w:pPr>
                  <w:r>
                    <w:rPr>
                      <w:rStyle w:val="SubtleEmphasis"/>
                    </w:rPr>
                    <w:t>{‘r’}|colorspec|array</w:t>
                  </w:r>
                </w:p>
              </w:tc>
            </w:tr>
            <w:tr w:rsidR="00174F87" w14:paraId="41A196DE" w14:textId="77777777" w:rsidTr="00161929">
              <w:tc>
                <w:tcPr>
                  <w:tcW w:w="1771" w:type="pct"/>
                </w:tcPr>
                <w:p w14:paraId="2E79208C" w14:textId="038E70F5" w:rsidR="00174F87" w:rsidRDefault="00174F87" w:rsidP="00174F87">
                  <w:pPr>
                    <w:rPr>
                      <w:rStyle w:val="SubtleEmphasis"/>
                    </w:rPr>
                  </w:pPr>
                  <w:r>
                    <w:rPr>
                      <w:rStyle w:val="SubtleEmphasis"/>
                    </w:rPr>
                    <w:t>‘orientation’</w:t>
                  </w:r>
                </w:p>
              </w:tc>
              <w:tc>
                <w:tcPr>
                  <w:tcW w:w="3229" w:type="pct"/>
                </w:tcPr>
                <w:p w14:paraId="77E259F2" w14:textId="65D51CCC" w:rsidR="00174F87" w:rsidRPr="006C15AE" w:rsidRDefault="00174F87" w:rsidP="00174F87">
                  <w:pPr>
                    <w:pStyle w:val="Tabletext"/>
                    <w:rPr>
                      <w:rStyle w:val="SubtleEmphasis"/>
                    </w:rPr>
                  </w:pPr>
                  <w:r>
                    <w:rPr>
                      <w:rStyle w:val="SubtleEmphasis"/>
                    </w:rPr>
                    <w:t>See drawMap.m</w:t>
                  </w:r>
                </w:p>
              </w:tc>
            </w:tr>
          </w:tbl>
          <w:p w14:paraId="186273DA"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6F49CEDB" w14:textId="77777777" w:rsidTr="00161929">
              <w:tc>
                <w:tcPr>
                  <w:tcW w:w="1771" w:type="pct"/>
                </w:tcPr>
                <w:p w14:paraId="140343DF" w14:textId="1BF6554F" w:rsidR="00174F87" w:rsidRPr="006C15AE" w:rsidRDefault="00174F87" w:rsidP="00174F87">
                  <w:pPr>
                    <w:rPr>
                      <w:rStyle w:val="SubtleEmphasis"/>
                    </w:rPr>
                  </w:pPr>
                  <w:r>
                    <w:rPr>
                      <w:rStyle w:val="SubtleEmphasis"/>
                    </w:rPr>
                    <w:t>None</w:t>
                  </w:r>
                </w:p>
              </w:tc>
              <w:tc>
                <w:tcPr>
                  <w:tcW w:w="3229" w:type="pct"/>
                </w:tcPr>
                <w:p w14:paraId="5C4F7509" w14:textId="77777777" w:rsidR="00174F87" w:rsidRPr="006C15AE" w:rsidRDefault="00174F87" w:rsidP="00174F87">
                  <w:pPr>
                    <w:pStyle w:val="Tabletext"/>
                    <w:rPr>
                      <w:rStyle w:val="SubtleEmphasis"/>
                    </w:rPr>
                  </w:pPr>
                </w:p>
              </w:tc>
            </w:tr>
          </w:tbl>
          <w:p w14:paraId="180AA6CE" w14:textId="77777777" w:rsidR="00174F87" w:rsidRPr="009326DB" w:rsidRDefault="00174F87" w:rsidP="00174F87">
            <w:pPr>
              <w:rPr>
                <w:rFonts w:ascii="Consolas" w:hAnsi="Consolas" w:cs="Consolas"/>
                <w:sz w:val="18"/>
                <w:szCs w:val="18"/>
              </w:rPr>
            </w:pPr>
          </w:p>
        </w:tc>
        <w:tc>
          <w:tcPr>
            <w:tcW w:w="1944" w:type="pct"/>
          </w:tcPr>
          <w:p w14:paraId="7D9199AC" w14:textId="77777777" w:rsidR="00174F87" w:rsidRPr="00893BD2" w:rsidRDefault="00174F87" w:rsidP="00174F87">
            <w:pPr>
              <w:pStyle w:val="Tabletextheading"/>
            </w:pPr>
            <w:r>
              <w:t>Use case</w:t>
            </w:r>
          </w:p>
          <w:p w14:paraId="55C14DE6" w14:textId="730D222A" w:rsidR="00174F87" w:rsidRDefault="00174F87" w:rsidP="00174F87">
            <w:pPr>
              <w:pStyle w:val="Tabletext"/>
            </w:pPr>
            <w:r>
              <w:t>Displays ablation data for a case</w:t>
            </w:r>
          </w:p>
          <w:p w14:paraId="73D6587A" w14:textId="77777777" w:rsidR="00174F87" w:rsidRDefault="00174F87" w:rsidP="00174F87">
            <w:pPr>
              <w:pStyle w:val="Tabletextheading"/>
            </w:pPr>
            <w:r>
              <w:t>Description</w:t>
            </w:r>
          </w:p>
          <w:p w14:paraId="446015A9" w14:textId="3884A0F4" w:rsidR="00174F87" w:rsidRDefault="00174F87" w:rsidP="00174F87">
            <w:pPr>
              <w:pStyle w:val="Tabletext"/>
            </w:pPr>
            <w:proofErr w:type="gramStart"/>
            <w:r>
              <w:rPr>
                <w:rStyle w:val="SubtleEmphasis"/>
              </w:rPr>
              <w:t>plotVisitags</w:t>
            </w:r>
            <w:r>
              <w:t>(</w:t>
            </w:r>
            <w:proofErr w:type="gramEnd"/>
            <w:r>
              <w:t xml:space="preserve">) requires a </w:t>
            </w:r>
            <w:r w:rsidRPr="007F10E8">
              <w:rPr>
                <w:rStyle w:val="SubtleEmphasis"/>
              </w:rPr>
              <w:t>userdata</w:t>
            </w:r>
            <w:r>
              <w:t xml:space="preserve"> structure which contains .</w:t>
            </w:r>
            <w:proofErr w:type="spellStart"/>
            <w:r w:rsidRPr="007F10E8">
              <w:rPr>
                <w:rStyle w:val="SubtleEmphasis"/>
              </w:rPr>
              <w:t>rfindex</w:t>
            </w:r>
            <w:proofErr w:type="spellEnd"/>
            <w:r>
              <w:t xml:space="preserve"> as its input, which can be created using </w:t>
            </w:r>
            <w:r w:rsidRPr="007F10E8">
              <w:rPr>
                <w:rStyle w:val="SubtleEmphasis"/>
              </w:rPr>
              <w:t>importvisitag</w:t>
            </w:r>
            <w:r>
              <w:rPr>
                <w:rStyle w:val="SubtleEmphasis"/>
              </w:rPr>
              <w:t>()</w:t>
            </w:r>
            <w:r w:rsidRPr="00EC475C">
              <w:t>.</w:t>
            </w:r>
          </w:p>
          <w:p w14:paraId="74124AC4" w14:textId="77777777" w:rsidR="00174F87" w:rsidRDefault="00174F87" w:rsidP="00174F87">
            <w:pPr>
              <w:pStyle w:val="Tabletextheading"/>
            </w:pPr>
            <w:r w:rsidRPr="00B035AB">
              <w:t>Example</w:t>
            </w:r>
            <w:r w:rsidRPr="00B341D1">
              <w:t xml:space="preserve"> function call</w:t>
            </w:r>
            <w:r>
              <w:t>(s)</w:t>
            </w:r>
          </w:p>
          <w:p w14:paraId="5C180BF9" w14:textId="5314FD1D" w:rsidR="00174F87" w:rsidRDefault="00174F87" w:rsidP="00174F87">
            <w:pPr>
              <w:pStyle w:val="Code"/>
            </w:pPr>
            <w:proofErr w:type="spellStart"/>
            <w:r>
              <w:t>plotVisitags</w:t>
            </w:r>
            <w:proofErr w:type="spellEnd"/>
            <w:r>
              <w:t>(</w:t>
            </w:r>
            <w:proofErr w:type="spellStart"/>
            <w:r>
              <w:t>userdata</w:t>
            </w:r>
            <w:proofErr w:type="spellEnd"/>
            <w:r>
              <w:t>)</w:t>
            </w:r>
          </w:p>
          <w:p w14:paraId="6BADDBF7" w14:textId="50543ED5" w:rsidR="00174F87" w:rsidRPr="009326DB" w:rsidRDefault="00174F87" w:rsidP="00174F87">
            <w:pPr>
              <w:pStyle w:val="Code"/>
            </w:pPr>
            <w:proofErr w:type="spellStart"/>
            <w:proofErr w:type="gramStart"/>
            <w:r>
              <w:t>plotVisitags</w:t>
            </w:r>
            <w:proofErr w:type="spellEnd"/>
            <w:r>
              <w:t>(</w:t>
            </w:r>
            <w:proofErr w:type="spellStart"/>
            <w:proofErr w:type="gramEnd"/>
            <w:r>
              <w:t>userdata</w:t>
            </w:r>
            <w:proofErr w:type="spellEnd"/>
            <w:r>
              <w:t>, ‘plot’, ‘both’, ‘shell’, ‘off’, ‘orientation’, ‘ap’)</w:t>
            </w:r>
            <w:r w:rsidR="00FB4257">
              <w:t>;</w:t>
            </w:r>
          </w:p>
        </w:tc>
      </w:tr>
      <w:tr w:rsidR="00174F87" w:rsidRPr="004F7B48" w14:paraId="07AFF474" w14:textId="77777777" w:rsidTr="00861399">
        <w:tc>
          <w:tcPr>
            <w:tcW w:w="1353" w:type="pct"/>
          </w:tcPr>
          <w:p w14:paraId="482CD60F" w14:textId="6B340104" w:rsidR="00174F87" w:rsidRPr="006A0BFF" w:rsidRDefault="00174F87" w:rsidP="00174F87">
            <w:pPr>
              <w:rPr>
                <w:rStyle w:val="SubtleEmphasis"/>
                <w:highlight w:val="yellow"/>
              </w:rPr>
            </w:pPr>
            <w:r w:rsidRPr="006A0BFF">
              <w:rPr>
                <w:rStyle w:val="SubtleEmphasis"/>
              </w:rPr>
              <w:t>getAblationArea(</w:t>
            </w:r>
            <w:r>
              <w:rPr>
                <w:rStyle w:val="SubtleEmphasis"/>
              </w:rPr>
              <w:t>...</w:t>
            </w:r>
            <w:r w:rsidRPr="006A0BFF">
              <w:rPr>
                <w:rStyle w:val="SubtleEmphasis"/>
              </w:rPr>
              <w:t>)</w:t>
            </w:r>
          </w:p>
        </w:tc>
        <w:tc>
          <w:tcPr>
            <w:tcW w:w="1703" w:type="pct"/>
          </w:tcPr>
          <w:p w14:paraId="23893E60"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0C554AC6" w14:textId="77777777" w:rsidTr="00161929">
              <w:tc>
                <w:tcPr>
                  <w:tcW w:w="1487" w:type="pct"/>
                </w:tcPr>
                <w:p w14:paraId="632AB42D" w14:textId="6ACF64E0" w:rsidR="00174F87" w:rsidRPr="006C15AE" w:rsidRDefault="00174F87" w:rsidP="00174F87">
                  <w:pPr>
                    <w:rPr>
                      <w:rStyle w:val="SubtleEmphasis"/>
                    </w:rPr>
                  </w:pPr>
                  <w:r>
                    <w:rPr>
                      <w:rStyle w:val="SubtleEmphasis"/>
                    </w:rPr>
                    <w:t>1</w:t>
                  </w:r>
                </w:p>
              </w:tc>
              <w:tc>
                <w:tcPr>
                  <w:tcW w:w="3513" w:type="pct"/>
                </w:tcPr>
                <w:p w14:paraId="784F113D" w14:textId="3B406E35" w:rsidR="00174F87" w:rsidRPr="006C15AE" w:rsidRDefault="00174F87" w:rsidP="00174F87">
                  <w:pPr>
                    <w:pStyle w:val="Tabletext"/>
                    <w:rPr>
                      <w:rStyle w:val="SubtleEmphasis"/>
                    </w:rPr>
                  </w:pPr>
                  <w:r>
                    <w:rPr>
                      <w:rStyle w:val="SubtleEmphasis"/>
                    </w:rPr>
                    <w:t>userdata</w:t>
                  </w:r>
                </w:p>
              </w:tc>
            </w:tr>
          </w:tbl>
          <w:p w14:paraId="3F2239EA"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53DA6E5B" w14:textId="77777777" w:rsidTr="00161929">
              <w:tc>
                <w:tcPr>
                  <w:tcW w:w="1771" w:type="pct"/>
                </w:tcPr>
                <w:p w14:paraId="1F149163" w14:textId="092449C6" w:rsidR="00174F87" w:rsidRPr="006C15AE" w:rsidRDefault="00174F87" w:rsidP="00174F87">
                  <w:pPr>
                    <w:rPr>
                      <w:rStyle w:val="SubtleEmphasis"/>
                    </w:rPr>
                  </w:pPr>
                  <w:r>
                    <w:rPr>
                      <w:rStyle w:val="SubtleEmphasis"/>
                    </w:rPr>
                    <w:t>‘method’</w:t>
                  </w:r>
                </w:p>
              </w:tc>
              <w:tc>
                <w:tcPr>
                  <w:tcW w:w="3229" w:type="pct"/>
                </w:tcPr>
                <w:p w14:paraId="731A5276" w14:textId="6D3DC638" w:rsidR="00174F87" w:rsidRPr="006C15AE" w:rsidRDefault="00174F87" w:rsidP="00174F87">
                  <w:pPr>
                    <w:pStyle w:val="Tabletext"/>
                    <w:rPr>
                      <w:rStyle w:val="SubtleEmphasis"/>
                    </w:rPr>
                  </w:pPr>
                  <w:r>
                    <w:rPr>
                      <w:rStyle w:val="SubtleEmphasis"/>
                    </w:rPr>
                    <w:t>{‘tags’}|’grid’</w:t>
                  </w:r>
                </w:p>
              </w:tc>
            </w:tr>
            <w:tr w:rsidR="00174F87" w14:paraId="4EEC0093" w14:textId="77777777" w:rsidTr="00161929">
              <w:tc>
                <w:tcPr>
                  <w:tcW w:w="1771" w:type="pct"/>
                </w:tcPr>
                <w:p w14:paraId="1E1657F3" w14:textId="678DEBA1" w:rsidR="00174F87" w:rsidRDefault="00174F87" w:rsidP="00174F87">
                  <w:pPr>
                    <w:rPr>
                      <w:rStyle w:val="SubtleEmphasis"/>
                    </w:rPr>
                  </w:pPr>
                  <w:r>
                    <w:rPr>
                      <w:rStyle w:val="SubtleEmphasis"/>
                    </w:rPr>
                    <w:t>‘radius’</w:t>
                  </w:r>
                </w:p>
              </w:tc>
              <w:tc>
                <w:tcPr>
                  <w:tcW w:w="3229" w:type="pct"/>
                </w:tcPr>
                <w:p w14:paraId="5A38C50A" w14:textId="7EE4621C" w:rsidR="00174F87" w:rsidRPr="006C15AE" w:rsidRDefault="00174F87" w:rsidP="00174F87">
                  <w:pPr>
                    <w:pStyle w:val="Tabletext"/>
                    <w:rPr>
                      <w:rStyle w:val="SubtleEmphasis"/>
                    </w:rPr>
                  </w:pPr>
                  <w:r>
                    <w:rPr>
                      <w:rStyle w:val="SubtleEmphasis"/>
                    </w:rPr>
                    <w:t>{5}|double</w:t>
                  </w:r>
                </w:p>
              </w:tc>
            </w:tr>
          </w:tbl>
          <w:p w14:paraId="7DC86BB3"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3D4D65F" w14:textId="77777777" w:rsidTr="00161929">
              <w:tc>
                <w:tcPr>
                  <w:tcW w:w="1771" w:type="pct"/>
                </w:tcPr>
                <w:p w14:paraId="0CD8BFA5" w14:textId="7B20C056" w:rsidR="00174F87" w:rsidRPr="006C15AE" w:rsidRDefault="00174F87" w:rsidP="00174F87">
                  <w:pPr>
                    <w:rPr>
                      <w:rStyle w:val="SubtleEmphasis"/>
                    </w:rPr>
                  </w:pPr>
                  <w:r>
                    <w:rPr>
                      <w:rStyle w:val="SubtleEmphasis"/>
                    </w:rPr>
                    <w:t>ablArea</w:t>
                  </w:r>
                </w:p>
              </w:tc>
              <w:tc>
                <w:tcPr>
                  <w:tcW w:w="3229" w:type="pct"/>
                </w:tcPr>
                <w:p w14:paraId="723CDC1A" w14:textId="4C211017" w:rsidR="00174F87" w:rsidRPr="00C56EA8" w:rsidRDefault="00174F87" w:rsidP="00174F87">
                  <w:pPr>
                    <w:pStyle w:val="Tabletext"/>
                    <w:rPr>
                      <w:rStyle w:val="SubtleEmphasis"/>
                      <w:rFonts w:asciiTheme="minorHAnsi" w:hAnsiTheme="minorHAnsi"/>
                      <w:iCs w:val="0"/>
                      <w:noProof w:val="0"/>
                      <w:color w:val="auto"/>
                    </w:rPr>
                  </w:pPr>
                  <w:r>
                    <w:rPr>
                      <w:rStyle w:val="SubtleEmphasis"/>
                      <w:rFonts w:asciiTheme="minorHAnsi" w:hAnsiTheme="minorHAnsi"/>
                      <w:iCs w:val="0"/>
                      <w:noProof w:val="0"/>
                      <w:color w:val="auto"/>
                    </w:rPr>
                    <w:t>The total area of the chamber that has been ablated</w:t>
                  </w:r>
                </w:p>
              </w:tc>
            </w:tr>
            <w:tr w:rsidR="00174F87" w14:paraId="6FE2254F" w14:textId="77777777" w:rsidTr="00161929">
              <w:tc>
                <w:tcPr>
                  <w:tcW w:w="1771" w:type="pct"/>
                </w:tcPr>
                <w:p w14:paraId="15460290" w14:textId="16DED40F" w:rsidR="00174F87" w:rsidRDefault="00174F87" w:rsidP="00174F87">
                  <w:pPr>
                    <w:rPr>
                      <w:rStyle w:val="SubtleEmphasis"/>
                    </w:rPr>
                  </w:pPr>
                  <w:r>
                    <w:rPr>
                      <w:rStyle w:val="SubtleEmphasis"/>
                    </w:rPr>
                    <w:t>isAblated</w:t>
                  </w:r>
                </w:p>
              </w:tc>
              <w:tc>
                <w:tcPr>
                  <w:tcW w:w="3229" w:type="pct"/>
                </w:tcPr>
                <w:p w14:paraId="39DD0A55" w14:textId="7250326D" w:rsidR="00174F87" w:rsidRPr="00C56EA8" w:rsidRDefault="00174F87" w:rsidP="00174F87">
                  <w:pPr>
                    <w:pStyle w:val="Tabletext"/>
                    <w:rPr>
                      <w:rStyle w:val="SubtleEmphasis"/>
                      <w:rFonts w:asciiTheme="minorHAnsi" w:hAnsiTheme="minorHAnsi"/>
                      <w:iCs w:val="0"/>
                      <w:noProof w:val="0"/>
                      <w:color w:val="auto"/>
                    </w:rPr>
                  </w:pPr>
                  <w:r>
                    <w:rPr>
                      <w:rStyle w:val="SubtleEmphasis"/>
                      <w:rFonts w:asciiTheme="minorHAnsi" w:hAnsiTheme="minorHAnsi"/>
                      <w:iCs w:val="0"/>
                      <w:noProof w:val="0"/>
                      <w:color w:val="auto"/>
                    </w:rPr>
                    <w:t xml:space="preserve">Indexes into </w:t>
                  </w:r>
                  <w:r w:rsidRPr="00FB4257">
                    <w:rPr>
                      <w:rStyle w:val="SubtleEmphasis"/>
                    </w:rPr>
                    <w:t>userdata.surface.triRep.T</w:t>
                  </w:r>
                  <w:r w:rsidRPr="00FB4257">
                    <w:rPr>
                      <w:rStyle w:val="SubtleEmphasis"/>
                    </w:rPr>
                    <w:lastRenderedPageBreak/>
                    <w:t xml:space="preserve">riangulation </w:t>
                  </w:r>
                  <w:r>
                    <w:rPr>
                      <w:rStyle w:val="SubtleEmphasis"/>
                      <w:rFonts w:asciiTheme="minorHAnsi" w:hAnsiTheme="minorHAnsi"/>
                      <w:iCs w:val="0"/>
                      <w:noProof w:val="0"/>
                      <w:color w:val="auto"/>
                    </w:rPr>
                    <w:t>and indicates whether a particular triangle is considered ablated (1) or not (0).</w:t>
                  </w:r>
                </w:p>
              </w:tc>
            </w:tr>
            <w:tr w:rsidR="00174F87" w14:paraId="51E28CC1" w14:textId="77777777" w:rsidTr="00161929">
              <w:tc>
                <w:tcPr>
                  <w:tcW w:w="1771" w:type="pct"/>
                </w:tcPr>
                <w:p w14:paraId="1BE88177" w14:textId="61B5F10F" w:rsidR="00174F87" w:rsidRDefault="00174F87" w:rsidP="00174F87">
                  <w:pPr>
                    <w:rPr>
                      <w:rStyle w:val="SubtleEmphasis"/>
                    </w:rPr>
                  </w:pPr>
                  <w:r>
                    <w:rPr>
                      <w:rStyle w:val="SubtleEmphasis"/>
                    </w:rPr>
                    <w:lastRenderedPageBreak/>
                    <w:t>trAbl</w:t>
                  </w:r>
                </w:p>
              </w:tc>
              <w:tc>
                <w:tcPr>
                  <w:tcW w:w="3229" w:type="pct"/>
                </w:tcPr>
                <w:p w14:paraId="41BB84CD" w14:textId="39EAF1D3" w:rsidR="00174F87" w:rsidRPr="005E360C" w:rsidRDefault="00174F87" w:rsidP="00174F87">
                  <w:pPr>
                    <w:pStyle w:val="Tabletext"/>
                    <w:rPr>
                      <w:rStyle w:val="SubtleEmphasis"/>
                      <w:rFonts w:asciiTheme="minorHAnsi" w:hAnsiTheme="minorHAnsi"/>
                      <w:iCs w:val="0"/>
                      <w:noProof w:val="0"/>
                      <w:color w:val="auto"/>
                    </w:rPr>
                  </w:pPr>
                  <w:r>
                    <w:rPr>
                      <w:rStyle w:val="SubtleEmphasis"/>
                      <w:rFonts w:asciiTheme="minorHAnsi" w:hAnsiTheme="minorHAnsi"/>
                      <w:iCs w:val="0"/>
                      <w:noProof w:val="0"/>
                      <w:color w:val="auto"/>
                    </w:rPr>
                    <w:t>A triangulation of the ablated tissue.</w:t>
                  </w:r>
                </w:p>
              </w:tc>
            </w:tr>
          </w:tbl>
          <w:p w14:paraId="7B1CE1ED" w14:textId="77777777" w:rsidR="00174F87" w:rsidRPr="009326DB" w:rsidRDefault="00174F87" w:rsidP="00174F87">
            <w:pPr>
              <w:rPr>
                <w:rFonts w:ascii="Consolas" w:hAnsi="Consolas" w:cs="Consolas"/>
                <w:sz w:val="18"/>
                <w:szCs w:val="18"/>
              </w:rPr>
            </w:pPr>
          </w:p>
        </w:tc>
        <w:tc>
          <w:tcPr>
            <w:tcW w:w="1944" w:type="pct"/>
          </w:tcPr>
          <w:p w14:paraId="3730B6FB" w14:textId="77777777" w:rsidR="00174F87" w:rsidRPr="00893BD2" w:rsidRDefault="00174F87" w:rsidP="00174F87">
            <w:pPr>
              <w:pStyle w:val="Tabletextheading"/>
            </w:pPr>
            <w:r>
              <w:lastRenderedPageBreak/>
              <w:t>Use case</w:t>
            </w:r>
          </w:p>
          <w:p w14:paraId="62E88510" w14:textId="5C3C2A60" w:rsidR="00174F87" w:rsidRDefault="00174F87" w:rsidP="00174F87">
            <w:pPr>
              <w:pStyle w:val="Tabletext"/>
            </w:pPr>
            <w:r>
              <w:t>Calculates the area of a chamber which has been ablated</w:t>
            </w:r>
          </w:p>
          <w:p w14:paraId="0D459467" w14:textId="77777777" w:rsidR="00174F87" w:rsidRDefault="00174F87" w:rsidP="00174F87">
            <w:pPr>
              <w:pStyle w:val="Tabletextheading"/>
            </w:pPr>
            <w:r>
              <w:t>Description</w:t>
            </w:r>
          </w:p>
          <w:p w14:paraId="73E33918" w14:textId="0661A3A3" w:rsidR="00174F87" w:rsidRDefault="00174F87" w:rsidP="00174F87">
            <w:pPr>
              <w:pStyle w:val="Tabletext"/>
            </w:pPr>
            <w:proofErr w:type="gramStart"/>
            <w:r>
              <w:rPr>
                <w:rStyle w:val="SubtleEmphasis"/>
              </w:rPr>
              <w:t>get</w:t>
            </w:r>
            <w:r w:rsidRPr="007F10E8">
              <w:rPr>
                <w:rStyle w:val="SubtleEmphasis"/>
              </w:rPr>
              <w:t>AblationArea</w:t>
            </w:r>
            <w:r>
              <w:t>(</w:t>
            </w:r>
            <w:proofErr w:type="gramEnd"/>
            <w:r>
              <w:t xml:space="preserve">) requires a </w:t>
            </w:r>
            <w:r w:rsidRPr="007F10E8">
              <w:rPr>
                <w:rStyle w:val="SubtleEmphasis"/>
              </w:rPr>
              <w:t>userdata</w:t>
            </w:r>
            <w:r>
              <w:t xml:space="preserve"> structure which contains .</w:t>
            </w:r>
            <w:proofErr w:type="spellStart"/>
            <w:r w:rsidRPr="007F10E8">
              <w:rPr>
                <w:rStyle w:val="SubtleEmphasis"/>
              </w:rPr>
              <w:t>rfindex</w:t>
            </w:r>
            <w:proofErr w:type="spellEnd"/>
            <w:r>
              <w:t xml:space="preserve"> as its input, which can be created using </w:t>
            </w:r>
            <w:r w:rsidRPr="007F10E8">
              <w:rPr>
                <w:rStyle w:val="SubtleEmphasis"/>
              </w:rPr>
              <w:t>importvisitag</w:t>
            </w:r>
            <w:r>
              <w:rPr>
                <w:rStyle w:val="SubtleEmphasis"/>
              </w:rPr>
              <w:t>()</w:t>
            </w:r>
            <w:r w:rsidRPr="00EC475C">
              <w:t>.</w:t>
            </w:r>
          </w:p>
          <w:p w14:paraId="56981987" w14:textId="77777777" w:rsidR="00174F87" w:rsidRDefault="00174F87" w:rsidP="00174F87">
            <w:pPr>
              <w:pStyle w:val="Tabletextheading"/>
            </w:pPr>
            <w:r w:rsidRPr="00B035AB">
              <w:t>Example</w:t>
            </w:r>
            <w:r w:rsidRPr="00B341D1">
              <w:t xml:space="preserve"> function call</w:t>
            </w:r>
            <w:r>
              <w:t>(s)</w:t>
            </w:r>
          </w:p>
          <w:p w14:paraId="1E143131" w14:textId="4AFB4F6A" w:rsidR="00174F87" w:rsidRDefault="00174F87" w:rsidP="00174F87">
            <w:pPr>
              <w:pStyle w:val="Code"/>
              <w:rPr>
                <w:rFonts w:asciiTheme="minorHAnsi" w:hAnsiTheme="minorHAnsi" w:cstheme="minorHAnsi"/>
                <w:szCs w:val="20"/>
              </w:rPr>
            </w:pPr>
            <w:r>
              <w:t>[</w:t>
            </w:r>
            <w:proofErr w:type="spellStart"/>
            <w:r>
              <w:t>ablArea</w:t>
            </w:r>
            <w:proofErr w:type="spellEnd"/>
            <w:r>
              <w:t xml:space="preserve">, </w:t>
            </w:r>
            <w:proofErr w:type="spellStart"/>
            <w:r>
              <w:t>isAblated</w:t>
            </w:r>
            <w:proofErr w:type="spellEnd"/>
            <w:r>
              <w:t xml:space="preserve">, </w:t>
            </w:r>
            <w:proofErr w:type="spellStart"/>
            <w:r>
              <w:t>trAbl</w:t>
            </w:r>
            <w:proofErr w:type="spellEnd"/>
            <w:r>
              <w:t xml:space="preserve">] = </w:t>
            </w:r>
            <w:proofErr w:type="spellStart"/>
            <w:r>
              <w:t>getAblationArea</w:t>
            </w:r>
            <w:proofErr w:type="spellEnd"/>
            <w:r>
              <w:t>(</w:t>
            </w:r>
            <w:proofErr w:type="spellStart"/>
            <w:r>
              <w:t>userdata</w:t>
            </w:r>
            <w:proofErr w:type="spellEnd"/>
            <w:r>
              <w:t>)</w:t>
            </w:r>
            <w:r w:rsidR="00FB4257">
              <w:t>;</w:t>
            </w:r>
          </w:p>
        </w:tc>
      </w:tr>
      <w:tr w:rsidR="00174F87" w:rsidRPr="004F7B48" w14:paraId="264BCE95" w14:textId="77777777" w:rsidTr="00861399">
        <w:tc>
          <w:tcPr>
            <w:tcW w:w="1353" w:type="pct"/>
          </w:tcPr>
          <w:p w14:paraId="418E1A16" w14:textId="356ED46C" w:rsidR="00174F87" w:rsidRPr="006A0BFF" w:rsidRDefault="00174F87" w:rsidP="00174F87">
            <w:pPr>
              <w:rPr>
                <w:rStyle w:val="SubtleEmphasis"/>
              </w:rPr>
            </w:pPr>
            <w:r w:rsidRPr="006A0BFF">
              <w:rPr>
                <w:rStyle w:val="SubtleEmphasis"/>
              </w:rPr>
              <w:t>plotAblationArea(</w:t>
            </w:r>
            <w:r>
              <w:rPr>
                <w:rStyle w:val="SubtleEmphasis"/>
              </w:rPr>
              <w:t>...</w:t>
            </w:r>
            <w:r w:rsidRPr="006A0BFF">
              <w:rPr>
                <w:rStyle w:val="SubtleEmphasis"/>
              </w:rPr>
              <w:t>)</w:t>
            </w:r>
          </w:p>
        </w:tc>
        <w:tc>
          <w:tcPr>
            <w:tcW w:w="1703" w:type="pct"/>
          </w:tcPr>
          <w:p w14:paraId="1CBC460C" w14:textId="77777777"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6C487D5F" w14:textId="77777777" w:rsidTr="00161929">
              <w:tc>
                <w:tcPr>
                  <w:tcW w:w="1487" w:type="pct"/>
                </w:tcPr>
                <w:p w14:paraId="7DD7FD44" w14:textId="5E9C5E2C" w:rsidR="00174F87" w:rsidRPr="006C15AE" w:rsidRDefault="00174F87" w:rsidP="00174F87">
                  <w:pPr>
                    <w:rPr>
                      <w:rStyle w:val="SubtleEmphasis"/>
                    </w:rPr>
                  </w:pPr>
                  <w:r>
                    <w:rPr>
                      <w:rStyle w:val="SubtleEmphasis"/>
                    </w:rPr>
                    <w:t>1</w:t>
                  </w:r>
                </w:p>
              </w:tc>
              <w:tc>
                <w:tcPr>
                  <w:tcW w:w="3513" w:type="pct"/>
                </w:tcPr>
                <w:p w14:paraId="621C21C5" w14:textId="66EED2A5" w:rsidR="00174F87" w:rsidRPr="006C15AE" w:rsidRDefault="00174F87" w:rsidP="00174F87">
                  <w:pPr>
                    <w:pStyle w:val="Tabletext"/>
                    <w:rPr>
                      <w:rStyle w:val="SubtleEmphasis"/>
                    </w:rPr>
                  </w:pPr>
                  <w:r>
                    <w:rPr>
                      <w:rStyle w:val="SubtleEmphasis"/>
                    </w:rPr>
                    <w:t>userdata</w:t>
                  </w:r>
                </w:p>
              </w:tc>
            </w:tr>
          </w:tbl>
          <w:p w14:paraId="33FE9A8D" w14:textId="77777777"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669495BE" w14:textId="77777777" w:rsidTr="00161929">
              <w:tc>
                <w:tcPr>
                  <w:tcW w:w="1771" w:type="pct"/>
                </w:tcPr>
                <w:p w14:paraId="497BE292" w14:textId="24E91DC8" w:rsidR="00174F87" w:rsidRPr="006C15AE" w:rsidRDefault="00174F87" w:rsidP="00174F87">
                  <w:pPr>
                    <w:rPr>
                      <w:rStyle w:val="SubtleEmphasis"/>
                    </w:rPr>
                  </w:pPr>
                  <w:r>
                    <w:rPr>
                      <w:rStyle w:val="SubtleEmphasis"/>
                    </w:rPr>
                    <w:t>None</w:t>
                  </w:r>
                </w:p>
              </w:tc>
              <w:tc>
                <w:tcPr>
                  <w:tcW w:w="3229" w:type="pct"/>
                </w:tcPr>
                <w:p w14:paraId="30AFE297" w14:textId="77777777" w:rsidR="00174F87" w:rsidRPr="006C15AE" w:rsidRDefault="00174F87" w:rsidP="00174F87">
                  <w:pPr>
                    <w:pStyle w:val="Tabletext"/>
                    <w:rPr>
                      <w:rStyle w:val="SubtleEmphasis"/>
                    </w:rPr>
                  </w:pPr>
                </w:p>
              </w:tc>
            </w:tr>
          </w:tbl>
          <w:p w14:paraId="6D418086"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2383F90F" w14:textId="77777777" w:rsidTr="00161929">
              <w:tc>
                <w:tcPr>
                  <w:tcW w:w="1771" w:type="pct"/>
                </w:tcPr>
                <w:p w14:paraId="04EC811B" w14:textId="480ABA5D" w:rsidR="00174F87" w:rsidRPr="006C15AE" w:rsidRDefault="00174F87" w:rsidP="00174F87">
                  <w:pPr>
                    <w:rPr>
                      <w:rStyle w:val="SubtleEmphasis"/>
                    </w:rPr>
                  </w:pPr>
                  <w:r>
                    <w:rPr>
                      <w:rStyle w:val="SubtleEmphasis"/>
                    </w:rPr>
                    <w:t>None</w:t>
                  </w:r>
                </w:p>
              </w:tc>
              <w:tc>
                <w:tcPr>
                  <w:tcW w:w="3229" w:type="pct"/>
                </w:tcPr>
                <w:p w14:paraId="002195FF" w14:textId="77777777" w:rsidR="00174F87" w:rsidRPr="006C15AE" w:rsidRDefault="00174F87" w:rsidP="00174F87">
                  <w:pPr>
                    <w:pStyle w:val="Tabletext"/>
                    <w:rPr>
                      <w:rStyle w:val="SubtleEmphasis"/>
                    </w:rPr>
                  </w:pPr>
                </w:p>
              </w:tc>
            </w:tr>
          </w:tbl>
          <w:p w14:paraId="038B98E2" w14:textId="77777777" w:rsidR="00174F87" w:rsidRPr="009326DB" w:rsidRDefault="00174F87" w:rsidP="00174F87">
            <w:pPr>
              <w:rPr>
                <w:rFonts w:ascii="Consolas" w:hAnsi="Consolas" w:cs="Consolas"/>
                <w:sz w:val="18"/>
                <w:szCs w:val="18"/>
              </w:rPr>
            </w:pPr>
          </w:p>
        </w:tc>
        <w:tc>
          <w:tcPr>
            <w:tcW w:w="1944" w:type="pct"/>
          </w:tcPr>
          <w:p w14:paraId="18F66861" w14:textId="77777777" w:rsidR="00174F87" w:rsidRPr="00893BD2" w:rsidRDefault="00174F87" w:rsidP="00174F87">
            <w:pPr>
              <w:pStyle w:val="Tabletextheading"/>
            </w:pPr>
            <w:r>
              <w:t>Use case</w:t>
            </w:r>
          </w:p>
          <w:p w14:paraId="400F0E61" w14:textId="181EA99B" w:rsidR="00174F87" w:rsidRDefault="00174F87" w:rsidP="00174F87">
            <w:pPr>
              <w:pStyle w:val="Tabletext"/>
            </w:pPr>
            <w:r>
              <w:t>Adds the ablation area to the current figure</w:t>
            </w:r>
          </w:p>
          <w:p w14:paraId="1CA78179" w14:textId="77777777" w:rsidR="00174F87" w:rsidRDefault="00174F87" w:rsidP="00174F87">
            <w:pPr>
              <w:pStyle w:val="Tabletextheading"/>
            </w:pPr>
            <w:r>
              <w:t>Description</w:t>
            </w:r>
          </w:p>
          <w:p w14:paraId="611EB774" w14:textId="0B329499" w:rsidR="00174F87" w:rsidRDefault="00174F87" w:rsidP="00174F87">
            <w:pPr>
              <w:pStyle w:val="Tabletext"/>
            </w:pPr>
            <w:proofErr w:type="gramStart"/>
            <w:r w:rsidRPr="007F10E8">
              <w:rPr>
                <w:rStyle w:val="SubtleEmphasis"/>
              </w:rPr>
              <w:t>plotAblationArea</w:t>
            </w:r>
            <w:r>
              <w:t>(</w:t>
            </w:r>
            <w:proofErr w:type="gramEnd"/>
            <w:r>
              <w:t xml:space="preserve">) requires a </w:t>
            </w:r>
            <w:r w:rsidRPr="007F10E8">
              <w:rPr>
                <w:rStyle w:val="SubtleEmphasis"/>
              </w:rPr>
              <w:t>userdata</w:t>
            </w:r>
            <w:r>
              <w:t xml:space="preserve"> structure which contains .</w:t>
            </w:r>
            <w:proofErr w:type="spellStart"/>
            <w:r w:rsidRPr="007F10E8">
              <w:rPr>
                <w:rStyle w:val="SubtleEmphasis"/>
              </w:rPr>
              <w:t>rfindex</w:t>
            </w:r>
            <w:proofErr w:type="spellEnd"/>
            <w:r>
              <w:t xml:space="preserve"> as its input, which can be created using </w:t>
            </w:r>
            <w:r w:rsidRPr="007F10E8">
              <w:rPr>
                <w:rStyle w:val="SubtleEmphasis"/>
              </w:rPr>
              <w:t>importvisitag</w:t>
            </w:r>
            <w:r>
              <w:rPr>
                <w:rStyle w:val="SubtleEmphasis"/>
              </w:rPr>
              <w:t>()</w:t>
            </w:r>
            <w:r w:rsidRPr="00EC475C">
              <w:t>.</w:t>
            </w:r>
          </w:p>
          <w:p w14:paraId="7270B554" w14:textId="77777777" w:rsidR="00174F87" w:rsidRDefault="00174F87" w:rsidP="00174F87">
            <w:pPr>
              <w:pStyle w:val="Tabletextheading"/>
            </w:pPr>
            <w:r w:rsidRPr="00B035AB">
              <w:t>Example</w:t>
            </w:r>
            <w:r w:rsidRPr="00B341D1">
              <w:t xml:space="preserve"> function call</w:t>
            </w:r>
            <w:r>
              <w:t>(s)</w:t>
            </w:r>
          </w:p>
          <w:p w14:paraId="1D74D63E" w14:textId="28EF5C15" w:rsidR="00174F87" w:rsidRDefault="00174F87" w:rsidP="00174F87">
            <w:pPr>
              <w:pStyle w:val="Code"/>
              <w:rPr>
                <w:rFonts w:asciiTheme="minorHAnsi" w:hAnsiTheme="minorHAnsi" w:cstheme="minorHAnsi"/>
                <w:szCs w:val="20"/>
              </w:rPr>
            </w:pPr>
            <w:proofErr w:type="spellStart"/>
            <w:r>
              <w:t>plotAblationArea</w:t>
            </w:r>
            <w:proofErr w:type="spellEnd"/>
            <w:r>
              <w:t>(</w:t>
            </w:r>
            <w:proofErr w:type="spellStart"/>
            <w:r>
              <w:t>userdata</w:t>
            </w:r>
            <w:proofErr w:type="spellEnd"/>
            <w:r>
              <w:t>)</w:t>
            </w:r>
            <w:r w:rsidR="00FB4257">
              <w:t>;</w:t>
            </w:r>
          </w:p>
        </w:tc>
      </w:tr>
      <w:tr w:rsidR="00174F87" w:rsidRPr="004F7B48" w14:paraId="511602FC" w14:textId="77777777" w:rsidTr="00161929">
        <w:tc>
          <w:tcPr>
            <w:tcW w:w="5000" w:type="pct"/>
            <w:gridSpan w:val="3"/>
          </w:tcPr>
          <w:p w14:paraId="21BFAB29" w14:textId="3F7C25F7" w:rsidR="00174F87" w:rsidRPr="00BF6E4E" w:rsidRDefault="00174F87" w:rsidP="00174F87">
            <w:pPr>
              <w:jc w:val="center"/>
              <w:rPr>
                <w:rFonts w:asciiTheme="minorHAnsi" w:hAnsiTheme="minorHAnsi" w:cstheme="minorHAnsi"/>
                <w:b/>
                <w:bCs/>
                <w:sz w:val="20"/>
                <w:szCs w:val="20"/>
              </w:rPr>
            </w:pPr>
            <w:r w:rsidRPr="00BF6E4E">
              <w:rPr>
                <w:rFonts w:asciiTheme="minorHAnsi" w:hAnsiTheme="minorHAnsi" w:cstheme="minorHAnsi"/>
                <w:b/>
                <w:bCs/>
                <w:sz w:val="20"/>
                <w:szCs w:val="20"/>
              </w:rPr>
              <w:t>Electrogram Data</w:t>
            </w:r>
          </w:p>
        </w:tc>
      </w:tr>
      <w:tr w:rsidR="00174F87" w:rsidRPr="004F7B48" w14:paraId="162F939A" w14:textId="77777777" w:rsidTr="00861399">
        <w:tc>
          <w:tcPr>
            <w:tcW w:w="1353" w:type="pct"/>
          </w:tcPr>
          <w:p w14:paraId="2B4C10C3" w14:textId="77D80D38" w:rsidR="00174F87" w:rsidRPr="006A0BFF" w:rsidRDefault="00174F87" w:rsidP="00174F87">
            <w:pPr>
              <w:rPr>
                <w:rStyle w:val="SubtleEmphasis"/>
              </w:rPr>
            </w:pPr>
            <w:r w:rsidRPr="006A0BFF">
              <w:rPr>
                <w:rStyle w:val="SubtleEmphasis"/>
              </w:rPr>
              <w:t>plotOpenEPEgms(</w:t>
            </w:r>
            <w:r>
              <w:rPr>
                <w:rStyle w:val="SubtleEmphasis"/>
              </w:rPr>
              <w:t>...</w:t>
            </w:r>
            <w:r w:rsidRPr="006A0BFF">
              <w:rPr>
                <w:rStyle w:val="SubtleEmphasis"/>
              </w:rPr>
              <w:t>)</w:t>
            </w:r>
          </w:p>
        </w:tc>
        <w:tc>
          <w:tcPr>
            <w:tcW w:w="1703" w:type="pct"/>
          </w:tcPr>
          <w:p w14:paraId="22F65C9D" w14:textId="763FA380"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0D51879F" w14:textId="77777777" w:rsidTr="00161929">
              <w:tc>
                <w:tcPr>
                  <w:tcW w:w="1487" w:type="pct"/>
                </w:tcPr>
                <w:p w14:paraId="604BC2AF" w14:textId="4D7E11CD" w:rsidR="00174F87" w:rsidRPr="006C15AE" w:rsidRDefault="00174F87" w:rsidP="00174F87">
                  <w:pPr>
                    <w:rPr>
                      <w:rStyle w:val="SubtleEmphasis"/>
                    </w:rPr>
                  </w:pPr>
                  <w:r>
                    <w:rPr>
                      <w:rStyle w:val="SubtleEmphasis"/>
                    </w:rPr>
                    <w:t>1</w:t>
                  </w:r>
                </w:p>
              </w:tc>
              <w:tc>
                <w:tcPr>
                  <w:tcW w:w="3513" w:type="pct"/>
                </w:tcPr>
                <w:p w14:paraId="557890A2" w14:textId="2D5873BA" w:rsidR="00174F87" w:rsidRPr="006C15AE" w:rsidRDefault="00174F87" w:rsidP="00174F87">
                  <w:pPr>
                    <w:pStyle w:val="Tabletext"/>
                    <w:rPr>
                      <w:rStyle w:val="SubtleEmphasis"/>
                    </w:rPr>
                  </w:pPr>
                  <w:r>
                    <w:rPr>
                      <w:rStyle w:val="SubtleEmphasis"/>
                    </w:rPr>
                    <w:t>userdata</w:t>
                  </w:r>
                </w:p>
              </w:tc>
            </w:tr>
          </w:tbl>
          <w:p w14:paraId="0BCCA067" w14:textId="03894B08"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3709F51E" w14:textId="77777777" w:rsidTr="00161929">
              <w:tc>
                <w:tcPr>
                  <w:tcW w:w="1771" w:type="pct"/>
                </w:tcPr>
                <w:p w14:paraId="44324764" w14:textId="18A448F5" w:rsidR="00174F87" w:rsidRPr="006C15AE" w:rsidRDefault="00174F87" w:rsidP="00174F87">
                  <w:pPr>
                    <w:rPr>
                      <w:rStyle w:val="SubtleEmphasis"/>
                    </w:rPr>
                  </w:pPr>
                  <w:r>
                    <w:rPr>
                      <w:rStyle w:val="SubtleEmphasis"/>
                    </w:rPr>
                    <w:t>‘iegm’</w:t>
                  </w:r>
                </w:p>
              </w:tc>
              <w:tc>
                <w:tcPr>
                  <w:tcW w:w="3229" w:type="pct"/>
                </w:tcPr>
                <w:p w14:paraId="57E9951A" w14:textId="1E78D6DC" w:rsidR="00174F87" w:rsidRPr="006C15AE" w:rsidRDefault="00174F87" w:rsidP="00174F87">
                  <w:pPr>
                    <w:pStyle w:val="Tabletext"/>
                    <w:rPr>
                      <w:rStyle w:val="SubtleEmphasis"/>
                    </w:rPr>
                  </w:pPr>
                  <w:r>
                    <w:rPr>
                      <w:rStyle w:val="SubtleEmphasis"/>
                    </w:rPr>
                    <w:t>{:}|[a:b]</w:t>
                  </w:r>
                </w:p>
              </w:tc>
            </w:tr>
            <w:tr w:rsidR="00174F87" w14:paraId="198841D0" w14:textId="77777777" w:rsidTr="00161929">
              <w:tc>
                <w:tcPr>
                  <w:tcW w:w="1771" w:type="pct"/>
                </w:tcPr>
                <w:p w14:paraId="37E58499" w14:textId="5E4B9C7B" w:rsidR="00174F87" w:rsidRDefault="00174F87" w:rsidP="00174F87">
                  <w:pPr>
                    <w:rPr>
                      <w:rStyle w:val="SubtleEmphasis"/>
                    </w:rPr>
                  </w:pPr>
                  <w:r>
                    <w:rPr>
                      <w:rStyle w:val="SubtleEmphasis"/>
                    </w:rPr>
                    <w:t>‘range’</w:t>
                  </w:r>
                </w:p>
              </w:tc>
              <w:tc>
                <w:tcPr>
                  <w:tcW w:w="3229" w:type="pct"/>
                </w:tcPr>
                <w:p w14:paraId="7B1CC396" w14:textId="48D36769" w:rsidR="00174F87" w:rsidRDefault="00174F87" w:rsidP="00174F87">
                  <w:pPr>
                    <w:pStyle w:val="Tabletext"/>
                    <w:rPr>
                      <w:rStyle w:val="SubtleEmphasis"/>
                    </w:rPr>
                  </w:pPr>
                  <w:r>
                    <w:rPr>
                      <w:rStyle w:val="SubtleEmphasis"/>
                    </w:rPr>
                    <w:t>{‘window’}|’all’</w:t>
                  </w:r>
                </w:p>
              </w:tc>
            </w:tr>
            <w:tr w:rsidR="00174F87" w14:paraId="4E0F5899" w14:textId="77777777" w:rsidTr="00161929">
              <w:tc>
                <w:tcPr>
                  <w:tcW w:w="1771" w:type="pct"/>
                </w:tcPr>
                <w:p w14:paraId="7AB89212" w14:textId="728AE109" w:rsidR="00174F87" w:rsidRDefault="00174F87" w:rsidP="00174F87">
                  <w:pPr>
                    <w:rPr>
                      <w:rStyle w:val="SubtleEmphasis"/>
                    </w:rPr>
                  </w:pPr>
                  <w:r>
                    <w:rPr>
                      <w:rStyle w:val="SubtleEmphasis"/>
                    </w:rPr>
                    <w:t xml:space="preserve">‘buffer’ </w:t>
                  </w:r>
                </w:p>
              </w:tc>
              <w:tc>
                <w:tcPr>
                  <w:tcW w:w="3229" w:type="pct"/>
                </w:tcPr>
                <w:p w14:paraId="15C8A930" w14:textId="01878B6A" w:rsidR="00174F87" w:rsidRDefault="00174F87" w:rsidP="00174F87">
                  <w:pPr>
                    <w:pStyle w:val="Tabletext"/>
                    <w:rPr>
                      <w:rStyle w:val="SubtleEmphasis"/>
                    </w:rPr>
                  </w:pPr>
                  <w:r>
                    <w:rPr>
                      <w:rStyle w:val="SubtleEmphasis"/>
                    </w:rPr>
                    <w:t>{50}|double</w:t>
                  </w:r>
                </w:p>
              </w:tc>
            </w:tr>
            <w:tr w:rsidR="00174F87" w14:paraId="667F2CC0" w14:textId="77777777" w:rsidTr="00161929">
              <w:tc>
                <w:tcPr>
                  <w:tcW w:w="1771" w:type="pct"/>
                </w:tcPr>
                <w:p w14:paraId="48D52076" w14:textId="2BDA7E38" w:rsidR="00174F87" w:rsidRDefault="00174F87" w:rsidP="00174F87">
                  <w:pPr>
                    <w:rPr>
                      <w:rStyle w:val="SubtleEmphasis"/>
                    </w:rPr>
                  </w:pPr>
                  <w:r>
                    <w:rPr>
                      <w:rStyle w:val="SubtleEmphasis"/>
                    </w:rPr>
                    <w:t>‘egmtype’</w:t>
                  </w:r>
                </w:p>
              </w:tc>
              <w:tc>
                <w:tcPr>
                  <w:tcW w:w="3229" w:type="pct"/>
                </w:tcPr>
                <w:p w14:paraId="334B300D" w14:textId="254CA6B8" w:rsidR="00174F87" w:rsidRDefault="00174F87" w:rsidP="00174F87">
                  <w:pPr>
                    <w:pStyle w:val="Tabletext"/>
                    <w:rPr>
                      <w:rStyle w:val="SubtleEmphasis"/>
                    </w:rPr>
                  </w:pPr>
                  <w:r>
                    <w:rPr>
                      <w:rStyle w:val="SubtleEmphasis"/>
                    </w:rPr>
                    <w:t>‘bip’|’uni’|{’bip-uni’}</w:t>
                  </w:r>
                </w:p>
              </w:tc>
            </w:tr>
            <w:tr w:rsidR="00174F87" w14:paraId="79C774D4" w14:textId="77777777" w:rsidTr="00161929">
              <w:tc>
                <w:tcPr>
                  <w:tcW w:w="1771" w:type="pct"/>
                </w:tcPr>
                <w:p w14:paraId="57786720" w14:textId="3BE67E02" w:rsidR="00174F87" w:rsidRDefault="00174F87" w:rsidP="00174F87">
                  <w:pPr>
                    <w:rPr>
                      <w:rStyle w:val="SubtleEmphasis"/>
                    </w:rPr>
                  </w:pPr>
                  <w:r>
                    <w:rPr>
                      <w:rStyle w:val="SubtleEmphasis"/>
                    </w:rPr>
                    <w:t>‘reference’</w:t>
                  </w:r>
                </w:p>
              </w:tc>
              <w:tc>
                <w:tcPr>
                  <w:tcW w:w="3229" w:type="pct"/>
                </w:tcPr>
                <w:p w14:paraId="411911AA" w14:textId="6DE9830E" w:rsidR="00174F87" w:rsidRDefault="00174F87" w:rsidP="00174F87">
                  <w:pPr>
                    <w:pStyle w:val="Tabletext"/>
                    <w:rPr>
                      <w:rStyle w:val="SubtleEmphasis"/>
                    </w:rPr>
                  </w:pPr>
                  <w:r>
                    <w:rPr>
                      <w:rStyle w:val="SubtleEmphasis"/>
                    </w:rPr>
                    <w:t>‘off’|{‘on’}</w:t>
                  </w:r>
                </w:p>
              </w:tc>
            </w:tr>
          </w:tbl>
          <w:p w14:paraId="30C24CE9" w14:textId="77777777"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725CE848" w14:textId="77777777" w:rsidTr="00161929">
              <w:tc>
                <w:tcPr>
                  <w:tcW w:w="1771" w:type="pct"/>
                </w:tcPr>
                <w:p w14:paraId="290D4669" w14:textId="3A39D379" w:rsidR="00174F87" w:rsidRPr="006C15AE" w:rsidRDefault="00174F87" w:rsidP="00174F87">
                  <w:pPr>
                    <w:rPr>
                      <w:rStyle w:val="SubtleEmphasis"/>
                    </w:rPr>
                  </w:pPr>
                  <w:r>
                    <w:rPr>
                      <w:rStyle w:val="SubtleEmphasis"/>
                    </w:rPr>
                    <w:t>hFig</w:t>
                  </w:r>
                </w:p>
              </w:tc>
              <w:tc>
                <w:tcPr>
                  <w:tcW w:w="3229" w:type="pct"/>
                </w:tcPr>
                <w:p w14:paraId="7D52F3B8" w14:textId="77061845" w:rsidR="00174F87" w:rsidRPr="00FA2D00" w:rsidRDefault="00174F87" w:rsidP="00174F87">
                  <w:pPr>
                    <w:pStyle w:val="Tabletext"/>
                    <w:rPr>
                      <w:rStyle w:val="SubtleEmphasis"/>
                      <w:rFonts w:asciiTheme="minorHAnsi" w:hAnsiTheme="minorHAnsi"/>
                      <w:iCs w:val="0"/>
                      <w:noProof w:val="0"/>
                      <w:color w:val="auto"/>
                    </w:rPr>
                  </w:pPr>
                  <w:r>
                    <w:rPr>
                      <w:rStyle w:val="SubtleEmphasis"/>
                      <w:rFonts w:asciiTheme="minorHAnsi" w:hAnsiTheme="minorHAnsi"/>
                      <w:iCs w:val="0"/>
                      <w:noProof w:val="0"/>
                      <w:color w:val="auto"/>
                    </w:rPr>
                    <w:t>A handle to the plotted figure</w:t>
                  </w:r>
                </w:p>
              </w:tc>
            </w:tr>
          </w:tbl>
          <w:p w14:paraId="202BE29B" w14:textId="77777777" w:rsidR="00174F87" w:rsidRPr="009326DB" w:rsidRDefault="00174F87" w:rsidP="00174F87">
            <w:pPr>
              <w:rPr>
                <w:rFonts w:ascii="Consolas" w:hAnsi="Consolas" w:cs="Consolas"/>
                <w:sz w:val="18"/>
                <w:szCs w:val="18"/>
              </w:rPr>
            </w:pPr>
          </w:p>
        </w:tc>
        <w:tc>
          <w:tcPr>
            <w:tcW w:w="1944" w:type="pct"/>
          </w:tcPr>
          <w:p w14:paraId="57E24669" w14:textId="77777777" w:rsidR="00174F87" w:rsidRPr="00893BD2" w:rsidRDefault="00174F87" w:rsidP="00174F87">
            <w:pPr>
              <w:pStyle w:val="Tabletextheading"/>
            </w:pPr>
            <w:r>
              <w:t>Use case</w:t>
            </w:r>
          </w:p>
          <w:p w14:paraId="1EB41AEA" w14:textId="0685E6FF" w:rsidR="00174F87" w:rsidRDefault="00174F87" w:rsidP="00174F87">
            <w:pPr>
              <w:pStyle w:val="Tabletext"/>
            </w:pPr>
            <w:r>
              <w:t xml:space="preserve">Plot electrograms from </w:t>
            </w:r>
            <w:proofErr w:type="spellStart"/>
            <w:r>
              <w:t>OpenEP</w:t>
            </w:r>
            <w:proofErr w:type="spellEnd"/>
            <w:r>
              <w:t xml:space="preserve"> data</w:t>
            </w:r>
          </w:p>
          <w:p w14:paraId="7E7944A4" w14:textId="0220FF71" w:rsidR="00174F87" w:rsidRDefault="00174F87" w:rsidP="00174F87">
            <w:pPr>
              <w:pStyle w:val="Tabletextheading"/>
            </w:pPr>
            <w:r>
              <w:t>Description</w:t>
            </w:r>
          </w:p>
          <w:p w14:paraId="46F4380A" w14:textId="2B12E02C" w:rsidR="00174F87" w:rsidRDefault="00174F87" w:rsidP="00174F87">
            <w:pPr>
              <w:pStyle w:val="Tabletext"/>
            </w:pPr>
            <w:proofErr w:type="spellStart"/>
            <w:r>
              <w:t>plotOpenEPEgms</w:t>
            </w:r>
            <w:proofErr w:type="spellEnd"/>
            <w:r>
              <w:t xml:space="preserve"> is a wrapper function for </w:t>
            </w:r>
            <w:proofErr w:type="spellStart"/>
            <w:r>
              <w:t>plotElectrograms</w:t>
            </w:r>
            <w:proofErr w:type="spellEnd"/>
            <w:r>
              <w:t>.</w:t>
            </w:r>
          </w:p>
          <w:p w14:paraId="1CBA0DA5" w14:textId="2D99ACE9" w:rsidR="00174F87" w:rsidRDefault="00174F87" w:rsidP="00174F87">
            <w:pPr>
              <w:pStyle w:val="Tabletextheading"/>
            </w:pPr>
            <w:r w:rsidRPr="00B035AB">
              <w:t>Example</w:t>
            </w:r>
            <w:r w:rsidRPr="00B341D1">
              <w:t xml:space="preserve"> function call</w:t>
            </w:r>
            <w:r>
              <w:t>(s)</w:t>
            </w:r>
          </w:p>
          <w:p w14:paraId="4EA11F03" w14:textId="6B022823" w:rsidR="00174F87" w:rsidRPr="009326DB" w:rsidRDefault="00174F87" w:rsidP="00174F87">
            <w:pPr>
              <w:pStyle w:val="Code"/>
              <w:rPr>
                <w:rFonts w:asciiTheme="minorHAnsi" w:hAnsiTheme="minorHAnsi" w:cstheme="minorHAnsi"/>
                <w:szCs w:val="20"/>
              </w:rPr>
            </w:pPr>
            <w:proofErr w:type="spellStart"/>
            <w:proofErr w:type="gramStart"/>
            <w:r>
              <w:t>plotOpenEPEgms</w:t>
            </w:r>
            <w:proofErr w:type="spellEnd"/>
            <w:r>
              <w:t>(</w:t>
            </w:r>
            <w:proofErr w:type="spellStart"/>
            <w:proofErr w:type="gramEnd"/>
            <w:r>
              <w:t>userdata</w:t>
            </w:r>
            <w:proofErr w:type="spellEnd"/>
            <w:r>
              <w:t>, ‘</w:t>
            </w:r>
            <w:proofErr w:type="spellStart"/>
            <w:r>
              <w:t>iegm</w:t>
            </w:r>
            <w:proofErr w:type="spellEnd"/>
            <w:r>
              <w:t xml:space="preserve">’, </w:t>
            </w:r>
            <w:proofErr w:type="spellStart"/>
            <w:r>
              <w:t>getIndexFromCartoPointNumber</w:t>
            </w:r>
            <w:proofErr w:type="spellEnd"/>
            <w:r>
              <w:t>(userdata,1))</w:t>
            </w:r>
            <w:r w:rsidR="003611CB">
              <w:t>;</w:t>
            </w:r>
          </w:p>
        </w:tc>
      </w:tr>
      <w:tr w:rsidR="00174F87" w:rsidRPr="004F7B48" w14:paraId="16585810" w14:textId="77777777" w:rsidTr="00861399">
        <w:tc>
          <w:tcPr>
            <w:tcW w:w="1353" w:type="pct"/>
            <w:shd w:val="clear" w:color="auto" w:fill="auto"/>
          </w:tcPr>
          <w:p w14:paraId="78CB0438" w14:textId="36802351" w:rsidR="00174F87" w:rsidRPr="006A0BFF" w:rsidRDefault="00174F87" w:rsidP="00174F87">
            <w:pPr>
              <w:rPr>
                <w:rStyle w:val="SubtleEmphasis"/>
              </w:rPr>
            </w:pPr>
            <w:r w:rsidRPr="006A0BFF">
              <w:rPr>
                <w:rStyle w:val="SubtleEmphasis"/>
              </w:rPr>
              <w:t>getEgmsAtPoints(</w:t>
            </w:r>
            <w:r>
              <w:rPr>
                <w:rStyle w:val="SubtleEmphasis"/>
              </w:rPr>
              <w:t>...</w:t>
            </w:r>
            <w:r w:rsidRPr="006A0BFF">
              <w:rPr>
                <w:rStyle w:val="SubtleEmphasis"/>
              </w:rPr>
              <w:t>)</w:t>
            </w:r>
          </w:p>
        </w:tc>
        <w:tc>
          <w:tcPr>
            <w:tcW w:w="1703" w:type="pct"/>
          </w:tcPr>
          <w:p w14:paraId="72CD4168" w14:textId="647DE85A" w:rsidR="00174F87" w:rsidRDefault="00174F87" w:rsidP="00174F87">
            <w:pPr>
              <w:pStyle w:val="Tabletextheading"/>
            </w:pPr>
            <w:r w:rsidRPr="00B035AB">
              <w:t xml:space="preserve">Mandatory </w:t>
            </w:r>
            <w:r>
              <w:t xml:space="preserve">input </w:t>
            </w:r>
            <w:r w:rsidRPr="00B035AB">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6"/>
              <w:gridCol w:w="3511"/>
            </w:tblGrid>
            <w:tr w:rsidR="00174F87" w14:paraId="3FADEF05" w14:textId="77777777" w:rsidTr="00161929">
              <w:tc>
                <w:tcPr>
                  <w:tcW w:w="1487" w:type="pct"/>
                </w:tcPr>
                <w:p w14:paraId="5AECD54E" w14:textId="2325E1A7" w:rsidR="00174F87" w:rsidRPr="006C15AE" w:rsidRDefault="00174F87" w:rsidP="00174F87">
                  <w:pPr>
                    <w:rPr>
                      <w:rStyle w:val="SubtleEmphasis"/>
                    </w:rPr>
                  </w:pPr>
                  <w:r>
                    <w:rPr>
                      <w:rStyle w:val="SubtleEmphasis"/>
                    </w:rPr>
                    <w:lastRenderedPageBreak/>
                    <w:t>1</w:t>
                  </w:r>
                </w:p>
              </w:tc>
              <w:tc>
                <w:tcPr>
                  <w:tcW w:w="3513" w:type="pct"/>
                </w:tcPr>
                <w:p w14:paraId="4ABFEB2D" w14:textId="11D358A8" w:rsidR="00174F87" w:rsidRPr="006C15AE" w:rsidRDefault="00174F87" w:rsidP="00174F87">
                  <w:pPr>
                    <w:pStyle w:val="Tabletext"/>
                    <w:rPr>
                      <w:rStyle w:val="SubtleEmphasis"/>
                    </w:rPr>
                  </w:pPr>
                  <w:r>
                    <w:rPr>
                      <w:rStyle w:val="SubtleEmphasis"/>
                    </w:rPr>
                    <w:t>userdata</w:t>
                  </w:r>
                </w:p>
              </w:tc>
            </w:tr>
          </w:tbl>
          <w:p w14:paraId="7EC7BD13" w14:textId="5E039A33" w:rsidR="00174F87" w:rsidRPr="00062252" w:rsidRDefault="00174F87" w:rsidP="00174F87">
            <w:pPr>
              <w:pStyle w:val="Tabletextheading"/>
            </w:pPr>
            <w:r>
              <w:t>Input p</w:t>
            </w:r>
            <w:r w:rsidRPr="00062252">
              <w:t>arameter-value pairs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0BFE278B" w14:textId="77777777" w:rsidTr="00161929">
              <w:tc>
                <w:tcPr>
                  <w:tcW w:w="1771" w:type="pct"/>
                </w:tcPr>
                <w:p w14:paraId="4FAD6D0D" w14:textId="48730FA6" w:rsidR="00174F87" w:rsidRPr="006C15AE" w:rsidRDefault="00174F87" w:rsidP="00174F87">
                  <w:pPr>
                    <w:rPr>
                      <w:rStyle w:val="SubtleEmphasis"/>
                    </w:rPr>
                  </w:pPr>
                  <w:r w:rsidRPr="006C15AE">
                    <w:rPr>
                      <w:rStyle w:val="SubtleEmphasis"/>
                    </w:rPr>
                    <w:t>‘</w:t>
                  </w:r>
                  <w:r>
                    <w:rPr>
                      <w:rStyle w:val="SubtleEmphasis"/>
                    </w:rPr>
                    <w:t>iEgm’</w:t>
                  </w:r>
                </w:p>
              </w:tc>
              <w:tc>
                <w:tcPr>
                  <w:tcW w:w="3229" w:type="pct"/>
                </w:tcPr>
                <w:p w14:paraId="4B3D5BF8" w14:textId="3A5F21B0" w:rsidR="00174F87" w:rsidRPr="006C15AE" w:rsidRDefault="00174F87" w:rsidP="00174F87">
                  <w:pPr>
                    <w:pStyle w:val="Tabletext"/>
                    <w:rPr>
                      <w:rStyle w:val="SubtleEmphasis"/>
                    </w:rPr>
                  </w:pPr>
                  <w:r>
                    <w:rPr>
                      <w:rStyle w:val="SubtleEmphasis"/>
                    </w:rPr>
                    <w:t>{:}|[a:b]</w:t>
                  </w:r>
                </w:p>
              </w:tc>
            </w:tr>
            <w:tr w:rsidR="00174F87" w14:paraId="380AA920" w14:textId="77777777" w:rsidTr="00161929">
              <w:tc>
                <w:tcPr>
                  <w:tcW w:w="1771" w:type="pct"/>
                </w:tcPr>
                <w:p w14:paraId="55E4A7E0" w14:textId="0D8D2BD3" w:rsidR="00174F87" w:rsidRPr="006C15AE" w:rsidRDefault="00174F87" w:rsidP="00174F87">
                  <w:pPr>
                    <w:rPr>
                      <w:rStyle w:val="SubtleEmphasis"/>
                    </w:rPr>
                  </w:pPr>
                  <w:r>
                    <w:rPr>
                      <w:rStyle w:val="SubtleEmphasis"/>
                    </w:rPr>
                    <w:t>‘egmtype’</w:t>
                  </w:r>
                </w:p>
              </w:tc>
              <w:tc>
                <w:tcPr>
                  <w:tcW w:w="3229" w:type="pct"/>
                </w:tcPr>
                <w:p w14:paraId="400918D6" w14:textId="26BC1198" w:rsidR="00174F87" w:rsidRPr="006C15AE" w:rsidRDefault="00174F87" w:rsidP="00174F87">
                  <w:pPr>
                    <w:pStyle w:val="Tabletext"/>
                    <w:rPr>
                      <w:rStyle w:val="SubtleEmphasis"/>
                    </w:rPr>
                  </w:pPr>
                  <w:r>
                    <w:rPr>
                      <w:rStyle w:val="SubtleEmphasis"/>
                    </w:rPr>
                    <w:t>‘bip’|’uni’|{‘bip-uni’}</w:t>
                  </w:r>
                </w:p>
              </w:tc>
            </w:tr>
            <w:tr w:rsidR="00174F87" w14:paraId="4B0FF352" w14:textId="77777777" w:rsidTr="00161929">
              <w:tc>
                <w:tcPr>
                  <w:tcW w:w="1771" w:type="pct"/>
                </w:tcPr>
                <w:p w14:paraId="2A4C9C24" w14:textId="51ECCCB6" w:rsidR="00174F87" w:rsidRDefault="00174F87" w:rsidP="00174F87">
                  <w:pPr>
                    <w:rPr>
                      <w:rStyle w:val="SubtleEmphasis"/>
                    </w:rPr>
                  </w:pPr>
                  <w:r>
                    <w:rPr>
                      <w:rStyle w:val="SubtleEmphasis"/>
                    </w:rPr>
                    <w:t>‘reference’</w:t>
                  </w:r>
                </w:p>
              </w:tc>
              <w:tc>
                <w:tcPr>
                  <w:tcW w:w="3229" w:type="pct"/>
                </w:tcPr>
                <w:p w14:paraId="580ECE5F" w14:textId="46072BEF" w:rsidR="00174F87" w:rsidRPr="006C15AE" w:rsidRDefault="00174F87" w:rsidP="00174F87">
                  <w:pPr>
                    <w:pStyle w:val="Tabletext"/>
                    <w:rPr>
                      <w:rStyle w:val="SubtleEmphasis"/>
                    </w:rPr>
                  </w:pPr>
                  <w:r>
                    <w:rPr>
                      <w:rStyle w:val="SubtleEmphasis"/>
                    </w:rPr>
                    <w:t>‘off’|{‘on’}</w:t>
                  </w:r>
                </w:p>
              </w:tc>
            </w:tr>
          </w:tbl>
          <w:p w14:paraId="64AF470C" w14:textId="402CA6DC" w:rsidR="00174F87" w:rsidRDefault="00174F87" w:rsidP="00174F87">
            <w:pPr>
              <w:pStyle w:val="Tabletextheading"/>
            </w:pPr>
            <w:r>
              <w:t>Output 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3227"/>
            </w:tblGrid>
            <w:tr w:rsidR="00174F87" w14:paraId="39C2B1AE" w14:textId="77777777" w:rsidTr="00161929">
              <w:tc>
                <w:tcPr>
                  <w:tcW w:w="1771" w:type="pct"/>
                </w:tcPr>
                <w:p w14:paraId="4AE89499" w14:textId="0361AA04" w:rsidR="00174F87" w:rsidRPr="006C15AE" w:rsidRDefault="00174F87" w:rsidP="00174F87">
                  <w:pPr>
                    <w:rPr>
                      <w:rStyle w:val="SubtleEmphasis"/>
                    </w:rPr>
                  </w:pPr>
                  <w:r>
                    <w:rPr>
                      <w:rStyle w:val="SubtleEmphasis"/>
                    </w:rPr>
                    <w:t>egmTraces</w:t>
                  </w:r>
                </w:p>
              </w:tc>
              <w:tc>
                <w:tcPr>
                  <w:tcW w:w="3229" w:type="pct"/>
                </w:tcPr>
                <w:p w14:paraId="579993A9" w14:textId="703D6AEE" w:rsidR="00174F87" w:rsidRPr="006C15AE" w:rsidRDefault="00174F87" w:rsidP="00174F87">
                  <w:pPr>
                    <w:pStyle w:val="Tabletext"/>
                    <w:rPr>
                      <w:rStyle w:val="SubtleEmphasis"/>
                    </w:rPr>
                  </w:pPr>
                  <w:r>
                    <w:t>Cell array of electrograms</w:t>
                  </w:r>
                </w:p>
              </w:tc>
            </w:tr>
            <w:tr w:rsidR="00174F87" w14:paraId="0864209D" w14:textId="77777777" w:rsidTr="00161929">
              <w:tc>
                <w:tcPr>
                  <w:tcW w:w="1771" w:type="pct"/>
                </w:tcPr>
                <w:p w14:paraId="7D2740A4" w14:textId="77777777" w:rsidR="00174F87" w:rsidRPr="006C15AE" w:rsidRDefault="00174F87" w:rsidP="00174F87">
                  <w:pPr>
                    <w:rPr>
                      <w:rStyle w:val="SubtleEmphasis"/>
                    </w:rPr>
                  </w:pPr>
                  <w:r>
                    <w:rPr>
                      <w:rStyle w:val="SubtleEmphasis"/>
                    </w:rPr>
                    <w:t>‘egmtype’</w:t>
                  </w:r>
                </w:p>
              </w:tc>
              <w:tc>
                <w:tcPr>
                  <w:tcW w:w="3229" w:type="pct"/>
                </w:tcPr>
                <w:p w14:paraId="65E7CB03" w14:textId="6EB06301" w:rsidR="00174F87" w:rsidRPr="006C15AE" w:rsidRDefault="00174F87" w:rsidP="00174F87">
                  <w:pPr>
                    <w:pStyle w:val="Tabletext"/>
                    <w:rPr>
                      <w:rStyle w:val="SubtleEmphasis"/>
                    </w:rPr>
                  </w:pPr>
                  <w:r>
                    <w:t>Cell array of activation times</w:t>
                  </w:r>
                </w:p>
              </w:tc>
            </w:tr>
            <w:tr w:rsidR="00174F87" w14:paraId="34E3DF37" w14:textId="77777777" w:rsidTr="00161929">
              <w:tc>
                <w:tcPr>
                  <w:tcW w:w="1771" w:type="pct"/>
                </w:tcPr>
                <w:p w14:paraId="0443D771" w14:textId="77777777" w:rsidR="00174F87" w:rsidRDefault="00174F87" w:rsidP="00174F87">
                  <w:pPr>
                    <w:rPr>
                      <w:rStyle w:val="SubtleEmphasis"/>
                    </w:rPr>
                  </w:pPr>
                  <w:r>
                    <w:rPr>
                      <w:rStyle w:val="SubtleEmphasis"/>
                    </w:rPr>
                    <w:t>‘reference’</w:t>
                  </w:r>
                </w:p>
              </w:tc>
              <w:tc>
                <w:tcPr>
                  <w:tcW w:w="3229" w:type="pct"/>
                </w:tcPr>
                <w:p w14:paraId="39ACCA91" w14:textId="5060D933" w:rsidR="00174F87" w:rsidRPr="006C15AE" w:rsidRDefault="00174F87" w:rsidP="00174F87">
                  <w:pPr>
                    <w:pStyle w:val="Tabletext"/>
                    <w:rPr>
                      <w:rStyle w:val="SubtleEmphasis"/>
                    </w:rPr>
                  </w:pPr>
                  <w:r>
                    <w:t>Names of the electrograms</w:t>
                  </w:r>
                </w:p>
              </w:tc>
            </w:tr>
          </w:tbl>
          <w:p w14:paraId="1F6DBEEC" w14:textId="0A1A42F2" w:rsidR="00174F87" w:rsidRPr="00893BD2" w:rsidRDefault="00174F87" w:rsidP="00174F87">
            <w:pPr>
              <w:pStyle w:val="Tabletext"/>
              <w:rPr>
                <w:rStyle w:val="SubtleEmphasis"/>
              </w:rPr>
            </w:pPr>
          </w:p>
        </w:tc>
        <w:tc>
          <w:tcPr>
            <w:tcW w:w="1944" w:type="pct"/>
          </w:tcPr>
          <w:p w14:paraId="542725F7" w14:textId="7566E687" w:rsidR="00174F87" w:rsidRPr="00893BD2" w:rsidRDefault="00174F87" w:rsidP="00174F87">
            <w:pPr>
              <w:pStyle w:val="Tabletextheading"/>
            </w:pPr>
            <w:r>
              <w:lastRenderedPageBreak/>
              <w:t>Use case</w:t>
            </w:r>
          </w:p>
          <w:p w14:paraId="5A84ABD0" w14:textId="2E465F75" w:rsidR="00174F87" w:rsidRDefault="00174F87" w:rsidP="00174F87">
            <w:pPr>
              <w:rPr>
                <w:rFonts w:asciiTheme="minorHAnsi" w:hAnsiTheme="minorHAnsi" w:cstheme="minorHAnsi"/>
                <w:sz w:val="20"/>
                <w:szCs w:val="20"/>
              </w:rPr>
            </w:pPr>
            <w:r>
              <w:rPr>
                <w:rFonts w:asciiTheme="minorHAnsi" w:hAnsiTheme="minorHAnsi" w:cstheme="minorHAnsi"/>
                <w:sz w:val="20"/>
                <w:szCs w:val="20"/>
              </w:rPr>
              <w:lastRenderedPageBreak/>
              <w:t xml:space="preserve">Access electrograms stored in the </w:t>
            </w:r>
            <w:proofErr w:type="spellStart"/>
            <w:r w:rsidRPr="003611CB">
              <w:rPr>
                <w:rFonts w:asciiTheme="minorHAnsi" w:hAnsiTheme="minorHAnsi" w:cstheme="minorHAnsi"/>
                <w:sz w:val="20"/>
                <w:szCs w:val="20"/>
              </w:rPr>
              <w:t>OpenEP</w:t>
            </w:r>
            <w:proofErr w:type="spellEnd"/>
            <w:r>
              <w:rPr>
                <w:rFonts w:asciiTheme="minorHAnsi" w:hAnsiTheme="minorHAnsi" w:cstheme="minorHAnsi"/>
                <w:sz w:val="20"/>
                <w:szCs w:val="20"/>
              </w:rPr>
              <w:t xml:space="preserve"> data format</w:t>
            </w:r>
          </w:p>
          <w:p w14:paraId="5CC8CDD0" w14:textId="42A97A8A" w:rsidR="00174F87" w:rsidRDefault="00174F87" w:rsidP="00174F87">
            <w:pPr>
              <w:pStyle w:val="Tabletextheading"/>
            </w:pPr>
            <w:r>
              <w:t>Description</w:t>
            </w:r>
          </w:p>
          <w:p w14:paraId="7ACED9F8" w14:textId="767AB241" w:rsidR="00174F87" w:rsidRDefault="00174F87" w:rsidP="00174F87">
            <w:pPr>
              <w:pStyle w:val="Tabletext"/>
            </w:pPr>
            <w:r w:rsidRPr="00EA1935">
              <w:rPr>
                <w:rStyle w:val="SubtleEmphasis"/>
              </w:rPr>
              <w:t>getEgmsAtPoints</w:t>
            </w:r>
            <w:r>
              <w:t xml:space="preserve"> by default returns all the electrograms of ‘</w:t>
            </w:r>
            <w:proofErr w:type="spellStart"/>
            <w:r w:rsidRPr="00EA1935">
              <w:rPr>
                <w:rStyle w:val="SubtleEmphasis"/>
              </w:rPr>
              <w:t>egmtype</w:t>
            </w:r>
            <w:proofErr w:type="spellEnd"/>
            <w:r w:rsidRPr="00EA1935">
              <w:rPr>
                <w:rStyle w:val="SubtleEmphasis"/>
              </w:rPr>
              <w:t>’</w:t>
            </w:r>
            <w:r>
              <w:t xml:space="preserve">. Use </w:t>
            </w:r>
            <w:r w:rsidRPr="00EA1935">
              <w:rPr>
                <w:rStyle w:val="SubtleEmphasis"/>
              </w:rPr>
              <w:t>getIndexFromCartoPointNumber</w:t>
            </w:r>
            <w:r>
              <w:t xml:space="preserve"> to convert from point numbers to index numbers.</w:t>
            </w:r>
          </w:p>
          <w:p w14:paraId="2EC02441" w14:textId="36E1BFA3" w:rsidR="00174F87" w:rsidRPr="00B341D1" w:rsidRDefault="00174F87" w:rsidP="00174F87">
            <w:pPr>
              <w:pStyle w:val="Tabletextheading"/>
            </w:pPr>
            <w:r w:rsidRPr="00B035AB">
              <w:t>Example</w:t>
            </w:r>
            <w:r w:rsidRPr="00B341D1">
              <w:t xml:space="preserve"> function call</w:t>
            </w:r>
            <w:r>
              <w:t>(s)</w:t>
            </w:r>
          </w:p>
          <w:p w14:paraId="2E82A284" w14:textId="1C43FC39" w:rsidR="00174F87" w:rsidRDefault="00174F87" w:rsidP="00174F87">
            <w:pPr>
              <w:pStyle w:val="Code"/>
              <w:rPr>
                <w:rStyle w:val="SubtleEmphasis"/>
              </w:rPr>
            </w:pPr>
            <w:r>
              <w:rPr>
                <w:rStyle w:val="SubtleEmphasis"/>
              </w:rPr>
              <w:t>[egmTraces, acttime, egmNames]</w:t>
            </w:r>
            <w:r w:rsidRPr="00BB4EB2">
              <w:rPr>
                <w:rStyle w:val="SubtleEmphasis"/>
              </w:rPr>
              <w:t xml:space="preserve"> = </w:t>
            </w:r>
            <w:r>
              <w:rPr>
                <w:rStyle w:val="SubtleEmphasis"/>
              </w:rPr>
              <w:t>getEgmsAtPoint</w:t>
            </w:r>
            <w:r w:rsidRPr="00BB4EB2">
              <w:rPr>
                <w:rStyle w:val="SubtleEmphasis"/>
              </w:rPr>
              <w:t>(userdata,</w:t>
            </w:r>
            <w:r>
              <w:rPr>
                <w:rStyle w:val="SubtleEmphasis"/>
              </w:rPr>
              <w:t xml:space="preserve"> ’iEgm’, 1, ‘egmtype’, ’bip’, ’reference’, ‘off’</w:t>
            </w:r>
            <w:r w:rsidRPr="00BB4EB2">
              <w:rPr>
                <w:rStyle w:val="SubtleEmphasis"/>
              </w:rPr>
              <w:t>)</w:t>
            </w:r>
            <w:r>
              <w:rPr>
                <w:rStyle w:val="SubtleEmphasis"/>
              </w:rPr>
              <w:t>;</w:t>
            </w:r>
          </w:p>
          <w:p w14:paraId="504230D6" w14:textId="7EAF84B2" w:rsidR="00174F87" w:rsidRPr="001638B1" w:rsidRDefault="00174F87" w:rsidP="00174F87">
            <w:pPr>
              <w:pStyle w:val="Code"/>
              <w:ind w:left="0" w:firstLine="0"/>
              <w:rPr>
                <w:rStyle w:val="SubtleEmphasis"/>
              </w:rPr>
            </w:pPr>
          </w:p>
        </w:tc>
      </w:tr>
      <w:tr w:rsidR="00174F87" w:rsidRPr="004F7B48" w14:paraId="56133952" w14:textId="77777777" w:rsidTr="00161929">
        <w:tc>
          <w:tcPr>
            <w:tcW w:w="5000" w:type="pct"/>
            <w:gridSpan w:val="3"/>
          </w:tcPr>
          <w:p w14:paraId="3B12AA12" w14:textId="2B48DA51" w:rsidR="00174F87" w:rsidRPr="00AB768F" w:rsidRDefault="00174F87" w:rsidP="00174F87">
            <w:pPr>
              <w:jc w:val="center"/>
              <w:rPr>
                <w:rFonts w:asciiTheme="minorHAnsi" w:hAnsiTheme="minorHAnsi" w:cstheme="minorHAnsi"/>
                <w:b/>
                <w:bCs/>
                <w:sz w:val="20"/>
                <w:szCs w:val="20"/>
              </w:rPr>
            </w:pPr>
            <w:r w:rsidRPr="00AB768F">
              <w:rPr>
                <w:rFonts w:asciiTheme="minorHAnsi" w:hAnsiTheme="minorHAnsi" w:cstheme="minorHAnsi"/>
                <w:b/>
                <w:bCs/>
                <w:sz w:val="20"/>
                <w:szCs w:val="20"/>
              </w:rPr>
              <w:lastRenderedPageBreak/>
              <w:t>Batch Processing Functions</w:t>
            </w:r>
          </w:p>
        </w:tc>
      </w:tr>
      <w:tr w:rsidR="00174F87" w:rsidRPr="004F7B48" w14:paraId="3D600B5B" w14:textId="77777777" w:rsidTr="00861399">
        <w:tc>
          <w:tcPr>
            <w:tcW w:w="1353" w:type="pct"/>
          </w:tcPr>
          <w:p w14:paraId="3FB13F0B" w14:textId="6CD7AB92" w:rsidR="00174F87" w:rsidRPr="006A0BFF" w:rsidRDefault="00174F87" w:rsidP="00174F87">
            <w:pPr>
              <w:rPr>
                <w:rStyle w:val="SubtleEmphasis"/>
              </w:rPr>
            </w:pPr>
            <w:r w:rsidRPr="006A0BFF">
              <w:rPr>
                <w:rStyle w:val="SubtleEmphasis"/>
              </w:rPr>
              <w:t>batchImport(</w:t>
            </w:r>
            <w:r>
              <w:rPr>
                <w:rStyle w:val="SubtleEmphasis"/>
              </w:rPr>
              <w:t>...</w:t>
            </w:r>
            <w:r w:rsidRPr="006A0BFF">
              <w:rPr>
                <w:rStyle w:val="SubtleEmphasis"/>
              </w:rPr>
              <w:t>)</w:t>
            </w:r>
          </w:p>
        </w:tc>
        <w:tc>
          <w:tcPr>
            <w:tcW w:w="1703" w:type="pct"/>
          </w:tcPr>
          <w:p w14:paraId="0DCC50B5" w14:textId="1345943E" w:rsidR="00174F87" w:rsidRPr="009326DB" w:rsidRDefault="00174F87" w:rsidP="00174F87">
            <w:pPr>
              <w:pStyle w:val="Tabletext"/>
            </w:pPr>
            <w:r>
              <w:t>No</w:t>
            </w:r>
            <w:r w:rsidR="006F0C4E">
              <w:t>ne</w:t>
            </w:r>
          </w:p>
        </w:tc>
        <w:tc>
          <w:tcPr>
            <w:tcW w:w="1944" w:type="pct"/>
          </w:tcPr>
          <w:p w14:paraId="7240DCB5" w14:textId="2F2B37AA" w:rsidR="00174F87" w:rsidRPr="009326DB" w:rsidRDefault="00174F87" w:rsidP="00174F87">
            <w:pPr>
              <w:rPr>
                <w:rFonts w:asciiTheme="minorHAnsi" w:hAnsiTheme="minorHAnsi" w:cstheme="minorHAnsi"/>
                <w:sz w:val="20"/>
                <w:szCs w:val="20"/>
              </w:rPr>
            </w:pPr>
            <w:r>
              <w:rPr>
                <w:rFonts w:asciiTheme="minorHAnsi" w:hAnsiTheme="minorHAnsi" w:cstheme="minorHAnsi"/>
                <w:sz w:val="20"/>
                <w:szCs w:val="20"/>
              </w:rPr>
              <w:t>Example script provided to allow batch importing of all datasets in manufacturer-exported format contained within a folder.</w:t>
            </w:r>
          </w:p>
        </w:tc>
      </w:tr>
      <w:tr w:rsidR="00174F87" w:rsidRPr="004F7B48" w14:paraId="62C83DB4" w14:textId="77777777" w:rsidTr="00861399">
        <w:tc>
          <w:tcPr>
            <w:tcW w:w="1353" w:type="pct"/>
            <w:tcBorders>
              <w:bottom w:val="single" w:sz="4" w:space="0" w:color="auto"/>
            </w:tcBorders>
          </w:tcPr>
          <w:p w14:paraId="4D1BBBC8" w14:textId="28DDF561" w:rsidR="00174F87" w:rsidRPr="006A0BFF" w:rsidRDefault="00174F87" w:rsidP="00174F87">
            <w:pPr>
              <w:rPr>
                <w:rStyle w:val="SubtleEmphasis"/>
              </w:rPr>
            </w:pPr>
            <w:r w:rsidRPr="006A0BFF">
              <w:rPr>
                <w:rStyle w:val="SubtleEmphasis"/>
              </w:rPr>
              <w:t>batchProcess(</w:t>
            </w:r>
            <w:r>
              <w:rPr>
                <w:rStyle w:val="SubtleEmphasis"/>
              </w:rPr>
              <w:t>...</w:t>
            </w:r>
            <w:r w:rsidRPr="006A0BFF">
              <w:rPr>
                <w:rStyle w:val="SubtleEmphasis"/>
              </w:rPr>
              <w:t>)</w:t>
            </w:r>
          </w:p>
        </w:tc>
        <w:tc>
          <w:tcPr>
            <w:tcW w:w="1703" w:type="pct"/>
            <w:tcBorders>
              <w:bottom w:val="single" w:sz="4" w:space="0" w:color="auto"/>
            </w:tcBorders>
          </w:tcPr>
          <w:p w14:paraId="3BFFCFCF" w14:textId="7791C198" w:rsidR="00174F87" w:rsidRPr="009326DB" w:rsidRDefault="006F0C4E" w:rsidP="00174F87">
            <w:pPr>
              <w:pStyle w:val="Tabletext"/>
            </w:pPr>
            <w:r>
              <w:t>None</w:t>
            </w:r>
          </w:p>
        </w:tc>
        <w:tc>
          <w:tcPr>
            <w:tcW w:w="1944" w:type="pct"/>
            <w:tcBorders>
              <w:bottom w:val="single" w:sz="4" w:space="0" w:color="auto"/>
            </w:tcBorders>
          </w:tcPr>
          <w:p w14:paraId="5FD3FE1B" w14:textId="29E71E60" w:rsidR="00174F87" w:rsidRPr="009326DB" w:rsidRDefault="00174F87" w:rsidP="00174F87">
            <w:pPr>
              <w:rPr>
                <w:rFonts w:asciiTheme="minorHAnsi" w:hAnsiTheme="minorHAnsi" w:cstheme="minorHAnsi"/>
                <w:sz w:val="20"/>
                <w:szCs w:val="20"/>
              </w:rPr>
            </w:pPr>
            <w:r>
              <w:rPr>
                <w:rFonts w:asciiTheme="minorHAnsi" w:hAnsiTheme="minorHAnsi" w:cstheme="minorHAnsi"/>
                <w:sz w:val="20"/>
                <w:szCs w:val="20"/>
              </w:rPr>
              <w:t xml:space="preserve">Example script provided to allow batch processing of all datasets in </w:t>
            </w:r>
            <w:proofErr w:type="spellStart"/>
            <w:r>
              <w:rPr>
                <w:rFonts w:asciiTheme="minorHAnsi" w:hAnsiTheme="minorHAnsi" w:cstheme="minorHAnsi"/>
                <w:sz w:val="20"/>
                <w:szCs w:val="20"/>
              </w:rPr>
              <w:t>OpenEP</w:t>
            </w:r>
            <w:proofErr w:type="spellEnd"/>
            <w:r>
              <w:rPr>
                <w:rFonts w:asciiTheme="minorHAnsi" w:hAnsiTheme="minorHAnsi" w:cstheme="minorHAnsi"/>
                <w:sz w:val="20"/>
                <w:szCs w:val="20"/>
              </w:rPr>
              <w:t xml:space="preserve"> format in a folder.</w:t>
            </w:r>
          </w:p>
        </w:tc>
      </w:tr>
    </w:tbl>
    <w:p w14:paraId="2D49974F" w14:textId="77777777" w:rsidR="00FF5867" w:rsidRDefault="00FF5867" w:rsidP="00FF5867"/>
    <w:p w14:paraId="41BB4EFD" w14:textId="3750AEAB" w:rsidR="00FF5867" w:rsidRPr="00FF5867" w:rsidRDefault="00FF5867" w:rsidP="00FF5867">
      <w:pPr>
        <w:sectPr w:rsidR="00FF5867" w:rsidRPr="00FF5867" w:rsidSect="00C83F2F">
          <w:pgSz w:w="16840" w:h="11900" w:orient="landscape"/>
          <w:pgMar w:top="720" w:right="816" w:bottom="1440" w:left="720" w:header="720" w:footer="720" w:gutter="0"/>
          <w:lnNumType w:countBy="1"/>
          <w:cols w:space="720"/>
          <w:docGrid w:linePitch="360"/>
        </w:sectPr>
      </w:pPr>
    </w:p>
    <w:p w14:paraId="2D0E56F5" w14:textId="59D6E29D" w:rsidR="00CC7E55" w:rsidRDefault="00CC7E55" w:rsidP="00E86298">
      <w:pPr>
        <w:pStyle w:val="Heading1"/>
        <w:rPr>
          <w:b w:val="0"/>
        </w:rPr>
      </w:pPr>
    </w:p>
    <w:sectPr w:rsidR="00CC7E55" w:rsidSect="00297924">
      <w:pgSz w:w="11900" w:h="16840"/>
      <w:pgMar w:top="720" w:right="720" w:bottom="816"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37476" w14:textId="77777777" w:rsidR="00395C2F" w:rsidRDefault="00395C2F" w:rsidP="000164B2">
      <w:pPr>
        <w:spacing w:after="0" w:line="240" w:lineRule="auto"/>
      </w:pPr>
      <w:r>
        <w:separator/>
      </w:r>
    </w:p>
  </w:endnote>
  <w:endnote w:type="continuationSeparator" w:id="0">
    <w:p w14:paraId="045A7CE4" w14:textId="77777777" w:rsidR="00395C2F" w:rsidRDefault="00395C2F" w:rsidP="000164B2">
      <w:pPr>
        <w:spacing w:after="0" w:line="240" w:lineRule="auto"/>
      </w:pPr>
      <w:r>
        <w:continuationSeparator/>
      </w:r>
    </w:p>
  </w:endnote>
  <w:endnote w:type="continuationNotice" w:id="1">
    <w:p w14:paraId="2F0BE898" w14:textId="77777777" w:rsidR="00395C2F" w:rsidRDefault="00395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ourier">
    <w:panose1 w:val="00000000000000000000"/>
    <w:charset w:val="00"/>
    <w:family w:val="auto"/>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B99B" w14:textId="55B5DE76" w:rsidR="002E26A9" w:rsidRDefault="002E26A9">
    <w:pPr>
      <w:pStyle w:val="Footer"/>
    </w:pPr>
    <w:r>
      <w:rPr>
        <w:rFonts w:cs="Times New Roman"/>
      </w:rPr>
      <w:tab/>
      <w:t xml:space="preserve">- </w:t>
    </w:r>
    <w:r>
      <w:rPr>
        <w:rFonts w:cs="Times New Roman"/>
      </w:rPr>
      <w:fldChar w:fldCharType="begin"/>
    </w:r>
    <w:r>
      <w:rPr>
        <w:rFonts w:cs="Times New Roman"/>
      </w:rPr>
      <w:instrText xml:space="preserve"> PAGE </w:instrText>
    </w:r>
    <w:r>
      <w:rPr>
        <w:rFonts w:cs="Times New Roman"/>
      </w:rPr>
      <w:fldChar w:fldCharType="separate"/>
    </w:r>
    <w:r>
      <w:rPr>
        <w:rFonts w:cs="Times New Roman"/>
        <w:noProof/>
      </w:rPr>
      <w:t>3</w:t>
    </w:r>
    <w:r>
      <w:rPr>
        <w:rFonts w:cs="Times New Roman"/>
      </w:rPr>
      <w:fldChar w:fldCharType="end"/>
    </w:r>
    <w:r>
      <w:rPr>
        <w:rFonts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0714054"/>
      <w:docPartObj>
        <w:docPartGallery w:val="Page Numbers (Bottom of Page)"/>
        <w:docPartUnique/>
      </w:docPartObj>
    </w:sdtPr>
    <w:sdtContent>
      <w:p w14:paraId="76DF5206" w14:textId="6178596B" w:rsidR="002E26A9" w:rsidRDefault="002E26A9" w:rsidP="005E1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FC046" w14:textId="77777777" w:rsidR="002E26A9" w:rsidRDefault="002E26A9" w:rsidP="000164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9159151"/>
      <w:docPartObj>
        <w:docPartGallery w:val="Page Numbers (Bottom of Page)"/>
        <w:docPartUnique/>
      </w:docPartObj>
    </w:sdtPr>
    <w:sdtContent>
      <w:p w14:paraId="3E5E6D98" w14:textId="38137EE5" w:rsidR="002E26A9" w:rsidRDefault="002E26A9" w:rsidP="005E1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p w14:paraId="42079239" w14:textId="77777777" w:rsidR="002E26A9" w:rsidRDefault="002E26A9" w:rsidP="000164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547C7" w14:textId="77777777" w:rsidR="00395C2F" w:rsidRDefault="00395C2F" w:rsidP="000164B2">
      <w:pPr>
        <w:spacing w:after="0" w:line="240" w:lineRule="auto"/>
      </w:pPr>
      <w:r>
        <w:separator/>
      </w:r>
    </w:p>
  </w:footnote>
  <w:footnote w:type="continuationSeparator" w:id="0">
    <w:p w14:paraId="6F95BF76" w14:textId="77777777" w:rsidR="00395C2F" w:rsidRDefault="00395C2F" w:rsidP="000164B2">
      <w:pPr>
        <w:spacing w:after="0" w:line="240" w:lineRule="auto"/>
      </w:pPr>
      <w:r>
        <w:continuationSeparator/>
      </w:r>
    </w:p>
  </w:footnote>
  <w:footnote w:type="continuationNotice" w:id="1">
    <w:p w14:paraId="2B2497FC" w14:textId="77777777" w:rsidR="00395C2F" w:rsidRDefault="00395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C78F6"/>
    <w:multiLevelType w:val="hybridMultilevel"/>
    <w:tmpl w:val="E9B676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7783E"/>
    <w:multiLevelType w:val="hybridMultilevel"/>
    <w:tmpl w:val="5A1C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A196B"/>
    <w:multiLevelType w:val="hybridMultilevel"/>
    <w:tmpl w:val="679E7F56"/>
    <w:lvl w:ilvl="0" w:tplc="D0A873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960F9"/>
    <w:multiLevelType w:val="hybridMultilevel"/>
    <w:tmpl w:val="1B82C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087D"/>
    <w:multiLevelType w:val="hybridMultilevel"/>
    <w:tmpl w:val="916EAAFE"/>
    <w:lvl w:ilvl="0" w:tplc="D93418C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4359B"/>
    <w:multiLevelType w:val="hybridMultilevel"/>
    <w:tmpl w:val="7D64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236AD"/>
    <w:multiLevelType w:val="hybridMultilevel"/>
    <w:tmpl w:val="C0007B0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EE13EE"/>
    <w:multiLevelType w:val="hybridMultilevel"/>
    <w:tmpl w:val="F3FE0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B81A55"/>
    <w:multiLevelType w:val="hybridMultilevel"/>
    <w:tmpl w:val="D4E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B3C37"/>
    <w:multiLevelType w:val="hybridMultilevel"/>
    <w:tmpl w:val="81B6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479E4"/>
    <w:multiLevelType w:val="hybridMultilevel"/>
    <w:tmpl w:val="AC1426A4"/>
    <w:lvl w:ilvl="0" w:tplc="C83AD16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6"/>
  </w:num>
  <w:num w:numId="6">
    <w:abstractNumId w:val="4"/>
  </w:num>
  <w:num w:numId="7">
    <w:abstractNumId w:val="10"/>
  </w:num>
  <w:num w:numId="8">
    <w:abstractNumId w:val="5"/>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9"/>
    <w:rsid w:val="0000224A"/>
    <w:rsid w:val="00002AF5"/>
    <w:rsid w:val="00002C2B"/>
    <w:rsid w:val="00002EEC"/>
    <w:rsid w:val="00005913"/>
    <w:rsid w:val="00005FBA"/>
    <w:rsid w:val="000072B2"/>
    <w:rsid w:val="000110B4"/>
    <w:rsid w:val="0001612C"/>
    <w:rsid w:val="000164B2"/>
    <w:rsid w:val="0001680E"/>
    <w:rsid w:val="0002272B"/>
    <w:rsid w:val="000240E7"/>
    <w:rsid w:val="000245EC"/>
    <w:rsid w:val="00024FE0"/>
    <w:rsid w:val="00025264"/>
    <w:rsid w:val="000254D3"/>
    <w:rsid w:val="000313B1"/>
    <w:rsid w:val="00035AFE"/>
    <w:rsid w:val="00037AA4"/>
    <w:rsid w:val="00037EE9"/>
    <w:rsid w:val="00040C7B"/>
    <w:rsid w:val="00042998"/>
    <w:rsid w:val="000429B4"/>
    <w:rsid w:val="00042FBB"/>
    <w:rsid w:val="000450E9"/>
    <w:rsid w:val="00045A0F"/>
    <w:rsid w:val="00045E90"/>
    <w:rsid w:val="00046AC6"/>
    <w:rsid w:val="000500D1"/>
    <w:rsid w:val="000505A3"/>
    <w:rsid w:val="000507BC"/>
    <w:rsid w:val="00050C77"/>
    <w:rsid w:val="00050E65"/>
    <w:rsid w:val="00052610"/>
    <w:rsid w:val="000543F7"/>
    <w:rsid w:val="00054814"/>
    <w:rsid w:val="00054C99"/>
    <w:rsid w:val="000558F9"/>
    <w:rsid w:val="00055CE7"/>
    <w:rsid w:val="0006064F"/>
    <w:rsid w:val="000611BF"/>
    <w:rsid w:val="00061339"/>
    <w:rsid w:val="00062252"/>
    <w:rsid w:val="00062BF6"/>
    <w:rsid w:val="00064F28"/>
    <w:rsid w:val="0006579D"/>
    <w:rsid w:val="0006696C"/>
    <w:rsid w:val="00070288"/>
    <w:rsid w:val="00070413"/>
    <w:rsid w:val="0007086E"/>
    <w:rsid w:val="00071502"/>
    <w:rsid w:val="00075C0C"/>
    <w:rsid w:val="00076C6C"/>
    <w:rsid w:val="00077F05"/>
    <w:rsid w:val="00081B3E"/>
    <w:rsid w:val="00081DA0"/>
    <w:rsid w:val="00083B47"/>
    <w:rsid w:val="000847B4"/>
    <w:rsid w:val="000853C3"/>
    <w:rsid w:val="00086336"/>
    <w:rsid w:val="00086D43"/>
    <w:rsid w:val="00090BBC"/>
    <w:rsid w:val="00093008"/>
    <w:rsid w:val="0009476A"/>
    <w:rsid w:val="000953F0"/>
    <w:rsid w:val="00095F43"/>
    <w:rsid w:val="000965B9"/>
    <w:rsid w:val="00096C1E"/>
    <w:rsid w:val="000A2DB1"/>
    <w:rsid w:val="000A4312"/>
    <w:rsid w:val="000A79E3"/>
    <w:rsid w:val="000B2B71"/>
    <w:rsid w:val="000B6A07"/>
    <w:rsid w:val="000B7C94"/>
    <w:rsid w:val="000C1631"/>
    <w:rsid w:val="000C39DF"/>
    <w:rsid w:val="000C69EE"/>
    <w:rsid w:val="000C7053"/>
    <w:rsid w:val="000D0C86"/>
    <w:rsid w:val="000D2ADB"/>
    <w:rsid w:val="000D3095"/>
    <w:rsid w:val="000D3FBA"/>
    <w:rsid w:val="000D5CBA"/>
    <w:rsid w:val="000D7184"/>
    <w:rsid w:val="000E0221"/>
    <w:rsid w:val="000E052A"/>
    <w:rsid w:val="000E07C4"/>
    <w:rsid w:val="000E1062"/>
    <w:rsid w:val="000E34D4"/>
    <w:rsid w:val="000E5135"/>
    <w:rsid w:val="000E6F1D"/>
    <w:rsid w:val="000E7575"/>
    <w:rsid w:val="000E78DF"/>
    <w:rsid w:val="000F01BC"/>
    <w:rsid w:val="000F05A9"/>
    <w:rsid w:val="000F1426"/>
    <w:rsid w:val="000F1610"/>
    <w:rsid w:val="000F25C9"/>
    <w:rsid w:val="000F4A0B"/>
    <w:rsid w:val="000F4CEC"/>
    <w:rsid w:val="000F65BE"/>
    <w:rsid w:val="0010116B"/>
    <w:rsid w:val="00102AB3"/>
    <w:rsid w:val="00103E31"/>
    <w:rsid w:val="001041C5"/>
    <w:rsid w:val="00110EE3"/>
    <w:rsid w:val="001111C7"/>
    <w:rsid w:val="00113660"/>
    <w:rsid w:val="00113BFD"/>
    <w:rsid w:val="00114F9C"/>
    <w:rsid w:val="00115220"/>
    <w:rsid w:val="00117563"/>
    <w:rsid w:val="001222CE"/>
    <w:rsid w:val="001238A7"/>
    <w:rsid w:val="00123B7C"/>
    <w:rsid w:val="00123EE4"/>
    <w:rsid w:val="0012464E"/>
    <w:rsid w:val="001250E1"/>
    <w:rsid w:val="00125584"/>
    <w:rsid w:val="001269AE"/>
    <w:rsid w:val="0012769C"/>
    <w:rsid w:val="00131C41"/>
    <w:rsid w:val="00131D02"/>
    <w:rsid w:val="001326D9"/>
    <w:rsid w:val="00137095"/>
    <w:rsid w:val="00137E66"/>
    <w:rsid w:val="001424BB"/>
    <w:rsid w:val="001445F9"/>
    <w:rsid w:val="00145423"/>
    <w:rsid w:val="00152762"/>
    <w:rsid w:val="00152E41"/>
    <w:rsid w:val="001540EA"/>
    <w:rsid w:val="001555C4"/>
    <w:rsid w:val="001559CB"/>
    <w:rsid w:val="00155DA5"/>
    <w:rsid w:val="00156A5F"/>
    <w:rsid w:val="00161283"/>
    <w:rsid w:val="00161929"/>
    <w:rsid w:val="001638B1"/>
    <w:rsid w:val="001652C2"/>
    <w:rsid w:val="001652EE"/>
    <w:rsid w:val="00166035"/>
    <w:rsid w:val="00166675"/>
    <w:rsid w:val="00166F94"/>
    <w:rsid w:val="0017069C"/>
    <w:rsid w:val="00170E8F"/>
    <w:rsid w:val="00171007"/>
    <w:rsid w:val="00171276"/>
    <w:rsid w:val="00173E33"/>
    <w:rsid w:val="00174F87"/>
    <w:rsid w:val="00176DE8"/>
    <w:rsid w:val="001811D3"/>
    <w:rsid w:val="0018152C"/>
    <w:rsid w:val="001830BF"/>
    <w:rsid w:val="00185543"/>
    <w:rsid w:val="00185900"/>
    <w:rsid w:val="00186C69"/>
    <w:rsid w:val="00187761"/>
    <w:rsid w:val="0019166E"/>
    <w:rsid w:val="00192B13"/>
    <w:rsid w:val="00194F89"/>
    <w:rsid w:val="00195BA1"/>
    <w:rsid w:val="00196591"/>
    <w:rsid w:val="00197312"/>
    <w:rsid w:val="001974F8"/>
    <w:rsid w:val="001A12B2"/>
    <w:rsid w:val="001A2E3C"/>
    <w:rsid w:val="001A3A9A"/>
    <w:rsid w:val="001A4138"/>
    <w:rsid w:val="001A5B00"/>
    <w:rsid w:val="001A6EA2"/>
    <w:rsid w:val="001A728E"/>
    <w:rsid w:val="001B0004"/>
    <w:rsid w:val="001B0842"/>
    <w:rsid w:val="001B0FEC"/>
    <w:rsid w:val="001B1AE8"/>
    <w:rsid w:val="001B1D02"/>
    <w:rsid w:val="001B2D12"/>
    <w:rsid w:val="001B35D4"/>
    <w:rsid w:val="001B3A9A"/>
    <w:rsid w:val="001B427B"/>
    <w:rsid w:val="001B46F6"/>
    <w:rsid w:val="001B5AD4"/>
    <w:rsid w:val="001B7411"/>
    <w:rsid w:val="001B7650"/>
    <w:rsid w:val="001C081D"/>
    <w:rsid w:val="001C1AA5"/>
    <w:rsid w:val="001C4EF3"/>
    <w:rsid w:val="001C4FB5"/>
    <w:rsid w:val="001D035A"/>
    <w:rsid w:val="001D0B3B"/>
    <w:rsid w:val="001D0CDE"/>
    <w:rsid w:val="001D21E5"/>
    <w:rsid w:val="001D3328"/>
    <w:rsid w:val="001D3C05"/>
    <w:rsid w:val="001D52EE"/>
    <w:rsid w:val="001D5D52"/>
    <w:rsid w:val="001D7A36"/>
    <w:rsid w:val="001D7D47"/>
    <w:rsid w:val="001D7EB1"/>
    <w:rsid w:val="001E08D5"/>
    <w:rsid w:val="001E1168"/>
    <w:rsid w:val="001E50EB"/>
    <w:rsid w:val="001E5DB2"/>
    <w:rsid w:val="001F028E"/>
    <w:rsid w:val="001F0837"/>
    <w:rsid w:val="001F1D75"/>
    <w:rsid w:val="001F37D1"/>
    <w:rsid w:val="001F59AF"/>
    <w:rsid w:val="001F777A"/>
    <w:rsid w:val="00200B2B"/>
    <w:rsid w:val="00200BE9"/>
    <w:rsid w:val="00201DAA"/>
    <w:rsid w:val="00202F98"/>
    <w:rsid w:val="002038D5"/>
    <w:rsid w:val="002038E4"/>
    <w:rsid w:val="002039A1"/>
    <w:rsid w:val="002039EA"/>
    <w:rsid w:val="0020455B"/>
    <w:rsid w:val="0021062A"/>
    <w:rsid w:val="00210CC2"/>
    <w:rsid w:val="002124DA"/>
    <w:rsid w:val="00213126"/>
    <w:rsid w:val="002146B4"/>
    <w:rsid w:val="002156B7"/>
    <w:rsid w:val="002178BB"/>
    <w:rsid w:val="0022104A"/>
    <w:rsid w:val="00223D21"/>
    <w:rsid w:val="002252AE"/>
    <w:rsid w:val="002254D0"/>
    <w:rsid w:val="00225685"/>
    <w:rsid w:val="00227B49"/>
    <w:rsid w:val="0023153B"/>
    <w:rsid w:val="00232E1F"/>
    <w:rsid w:val="00234735"/>
    <w:rsid w:val="002348C4"/>
    <w:rsid w:val="00234FE9"/>
    <w:rsid w:val="00235058"/>
    <w:rsid w:val="00237BFF"/>
    <w:rsid w:val="00240A3C"/>
    <w:rsid w:val="00241127"/>
    <w:rsid w:val="002417D6"/>
    <w:rsid w:val="002428D6"/>
    <w:rsid w:val="00242F8B"/>
    <w:rsid w:val="002447CC"/>
    <w:rsid w:val="00244D7F"/>
    <w:rsid w:val="00245817"/>
    <w:rsid w:val="00245BAA"/>
    <w:rsid w:val="00245C3C"/>
    <w:rsid w:val="00247600"/>
    <w:rsid w:val="00247FE6"/>
    <w:rsid w:val="002504B6"/>
    <w:rsid w:val="00250DFA"/>
    <w:rsid w:val="0025121B"/>
    <w:rsid w:val="00251244"/>
    <w:rsid w:val="00251967"/>
    <w:rsid w:val="00252206"/>
    <w:rsid w:val="00254CAD"/>
    <w:rsid w:val="002553C6"/>
    <w:rsid w:val="00255D68"/>
    <w:rsid w:val="00255EE9"/>
    <w:rsid w:val="00262AB6"/>
    <w:rsid w:val="0026413A"/>
    <w:rsid w:val="00264C4D"/>
    <w:rsid w:val="0026505F"/>
    <w:rsid w:val="00267EAB"/>
    <w:rsid w:val="002701DD"/>
    <w:rsid w:val="00272CCF"/>
    <w:rsid w:val="00272F3E"/>
    <w:rsid w:val="00274337"/>
    <w:rsid w:val="00274E60"/>
    <w:rsid w:val="00276DA2"/>
    <w:rsid w:val="002776A0"/>
    <w:rsid w:val="00277EA8"/>
    <w:rsid w:val="002825F9"/>
    <w:rsid w:val="00285DFB"/>
    <w:rsid w:val="0028638D"/>
    <w:rsid w:val="002938BE"/>
    <w:rsid w:val="002938E8"/>
    <w:rsid w:val="00294575"/>
    <w:rsid w:val="002967C2"/>
    <w:rsid w:val="00296898"/>
    <w:rsid w:val="00297924"/>
    <w:rsid w:val="002A19F1"/>
    <w:rsid w:val="002A334F"/>
    <w:rsid w:val="002A3E22"/>
    <w:rsid w:val="002A5254"/>
    <w:rsid w:val="002A63C0"/>
    <w:rsid w:val="002A6B72"/>
    <w:rsid w:val="002A7BB3"/>
    <w:rsid w:val="002B05C6"/>
    <w:rsid w:val="002B05F5"/>
    <w:rsid w:val="002B09A7"/>
    <w:rsid w:val="002B4C4F"/>
    <w:rsid w:val="002B70F5"/>
    <w:rsid w:val="002B7D39"/>
    <w:rsid w:val="002B7DB9"/>
    <w:rsid w:val="002C03EA"/>
    <w:rsid w:val="002C7379"/>
    <w:rsid w:val="002D00F9"/>
    <w:rsid w:val="002D1000"/>
    <w:rsid w:val="002D1739"/>
    <w:rsid w:val="002D314D"/>
    <w:rsid w:val="002D36FA"/>
    <w:rsid w:val="002D4A8F"/>
    <w:rsid w:val="002D4E04"/>
    <w:rsid w:val="002D5601"/>
    <w:rsid w:val="002D7719"/>
    <w:rsid w:val="002E2140"/>
    <w:rsid w:val="002E2415"/>
    <w:rsid w:val="002E26A9"/>
    <w:rsid w:val="002E2F48"/>
    <w:rsid w:val="002E3079"/>
    <w:rsid w:val="002E4D90"/>
    <w:rsid w:val="002E7410"/>
    <w:rsid w:val="002F043C"/>
    <w:rsid w:val="002F0456"/>
    <w:rsid w:val="002F0F4C"/>
    <w:rsid w:val="002F4F09"/>
    <w:rsid w:val="002F55F3"/>
    <w:rsid w:val="002F6776"/>
    <w:rsid w:val="002F76FA"/>
    <w:rsid w:val="003003F5"/>
    <w:rsid w:val="00302362"/>
    <w:rsid w:val="00303D53"/>
    <w:rsid w:val="00311068"/>
    <w:rsid w:val="00311930"/>
    <w:rsid w:val="0031244C"/>
    <w:rsid w:val="0031456D"/>
    <w:rsid w:val="0031475D"/>
    <w:rsid w:val="00314CAA"/>
    <w:rsid w:val="003151BD"/>
    <w:rsid w:val="0031543E"/>
    <w:rsid w:val="003160E4"/>
    <w:rsid w:val="00317576"/>
    <w:rsid w:val="0031761A"/>
    <w:rsid w:val="003209EC"/>
    <w:rsid w:val="00321AEC"/>
    <w:rsid w:val="00323080"/>
    <w:rsid w:val="0032471E"/>
    <w:rsid w:val="00326E59"/>
    <w:rsid w:val="00330F9D"/>
    <w:rsid w:val="003337A5"/>
    <w:rsid w:val="00333E94"/>
    <w:rsid w:val="00334904"/>
    <w:rsid w:val="00334C21"/>
    <w:rsid w:val="00334C4E"/>
    <w:rsid w:val="00335D94"/>
    <w:rsid w:val="0033695F"/>
    <w:rsid w:val="003376F8"/>
    <w:rsid w:val="00340048"/>
    <w:rsid w:val="003413E9"/>
    <w:rsid w:val="003414DD"/>
    <w:rsid w:val="003417C7"/>
    <w:rsid w:val="00341F3F"/>
    <w:rsid w:val="00341FA6"/>
    <w:rsid w:val="00342798"/>
    <w:rsid w:val="00343940"/>
    <w:rsid w:val="0034485C"/>
    <w:rsid w:val="00344A6F"/>
    <w:rsid w:val="0034578F"/>
    <w:rsid w:val="0034763F"/>
    <w:rsid w:val="00351C5C"/>
    <w:rsid w:val="00352C52"/>
    <w:rsid w:val="003544C5"/>
    <w:rsid w:val="00355229"/>
    <w:rsid w:val="00356FED"/>
    <w:rsid w:val="00357C70"/>
    <w:rsid w:val="003611CB"/>
    <w:rsid w:val="00361228"/>
    <w:rsid w:val="00362C3A"/>
    <w:rsid w:val="003636AC"/>
    <w:rsid w:val="00363CF4"/>
    <w:rsid w:val="00364291"/>
    <w:rsid w:val="00365CEC"/>
    <w:rsid w:val="00365F46"/>
    <w:rsid w:val="00365FDF"/>
    <w:rsid w:val="00366A63"/>
    <w:rsid w:val="00370E70"/>
    <w:rsid w:val="00372772"/>
    <w:rsid w:val="00373D5B"/>
    <w:rsid w:val="00377507"/>
    <w:rsid w:val="00381063"/>
    <w:rsid w:val="0038157B"/>
    <w:rsid w:val="00381DE9"/>
    <w:rsid w:val="00383026"/>
    <w:rsid w:val="0038552C"/>
    <w:rsid w:val="00387DE4"/>
    <w:rsid w:val="00391DD3"/>
    <w:rsid w:val="00393F04"/>
    <w:rsid w:val="003945B7"/>
    <w:rsid w:val="00395C2F"/>
    <w:rsid w:val="00395EBD"/>
    <w:rsid w:val="00397EB6"/>
    <w:rsid w:val="003A0FAE"/>
    <w:rsid w:val="003A2A82"/>
    <w:rsid w:val="003A2F65"/>
    <w:rsid w:val="003A2F71"/>
    <w:rsid w:val="003A409C"/>
    <w:rsid w:val="003A7351"/>
    <w:rsid w:val="003B002D"/>
    <w:rsid w:val="003B0432"/>
    <w:rsid w:val="003B0E59"/>
    <w:rsid w:val="003B323A"/>
    <w:rsid w:val="003B4096"/>
    <w:rsid w:val="003B437B"/>
    <w:rsid w:val="003B48F7"/>
    <w:rsid w:val="003B5284"/>
    <w:rsid w:val="003B5650"/>
    <w:rsid w:val="003B6481"/>
    <w:rsid w:val="003B6A64"/>
    <w:rsid w:val="003B7366"/>
    <w:rsid w:val="003C1014"/>
    <w:rsid w:val="003C11AE"/>
    <w:rsid w:val="003C1BA0"/>
    <w:rsid w:val="003C2B3E"/>
    <w:rsid w:val="003C41FB"/>
    <w:rsid w:val="003C49A0"/>
    <w:rsid w:val="003C5194"/>
    <w:rsid w:val="003C63CA"/>
    <w:rsid w:val="003C6BDE"/>
    <w:rsid w:val="003D004A"/>
    <w:rsid w:val="003D16AA"/>
    <w:rsid w:val="003D2C3A"/>
    <w:rsid w:val="003D4F1E"/>
    <w:rsid w:val="003D5DC9"/>
    <w:rsid w:val="003D6752"/>
    <w:rsid w:val="003E079A"/>
    <w:rsid w:val="003E1D24"/>
    <w:rsid w:val="003E2592"/>
    <w:rsid w:val="003E46EF"/>
    <w:rsid w:val="003E6427"/>
    <w:rsid w:val="003E6E8F"/>
    <w:rsid w:val="003E77BC"/>
    <w:rsid w:val="003F0B5E"/>
    <w:rsid w:val="003F138B"/>
    <w:rsid w:val="003F27CC"/>
    <w:rsid w:val="003F296E"/>
    <w:rsid w:val="003F3674"/>
    <w:rsid w:val="003F3B1D"/>
    <w:rsid w:val="003F3C40"/>
    <w:rsid w:val="003F63F4"/>
    <w:rsid w:val="003F6C45"/>
    <w:rsid w:val="003F7208"/>
    <w:rsid w:val="003F7800"/>
    <w:rsid w:val="003F7FAE"/>
    <w:rsid w:val="0040005A"/>
    <w:rsid w:val="0040130C"/>
    <w:rsid w:val="00401A34"/>
    <w:rsid w:val="00401B11"/>
    <w:rsid w:val="0040443C"/>
    <w:rsid w:val="00404F37"/>
    <w:rsid w:val="00405103"/>
    <w:rsid w:val="00405CFC"/>
    <w:rsid w:val="004062DF"/>
    <w:rsid w:val="004069F7"/>
    <w:rsid w:val="00412668"/>
    <w:rsid w:val="004129F5"/>
    <w:rsid w:val="00412D65"/>
    <w:rsid w:val="004207C8"/>
    <w:rsid w:val="00420B9B"/>
    <w:rsid w:val="004236AE"/>
    <w:rsid w:val="00426BDE"/>
    <w:rsid w:val="004300F8"/>
    <w:rsid w:val="00435CF5"/>
    <w:rsid w:val="0043646D"/>
    <w:rsid w:val="004364D5"/>
    <w:rsid w:val="00440CF6"/>
    <w:rsid w:val="004429A5"/>
    <w:rsid w:val="00444ED1"/>
    <w:rsid w:val="0044757A"/>
    <w:rsid w:val="00451A7A"/>
    <w:rsid w:val="0045275F"/>
    <w:rsid w:val="004534CE"/>
    <w:rsid w:val="004538DA"/>
    <w:rsid w:val="0045666B"/>
    <w:rsid w:val="004619CA"/>
    <w:rsid w:val="00461C6E"/>
    <w:rsid w:val="00461E87"/>
    <w:rsid w:val="004629CA"/>
    <w:rsid w:val="00462AF0"/>
    <w:rsid w:val="00464DE7"/>
    <w:rsid w:val="00464DF4"/>
    <w:rsid w:val="004657A6"/>
    <w:rsid w:val="00465B9A"/>
    <w:rsid w:val="00465FB3"/>
    <w:rsid w:val="00466D36"/>
    <w:rsid w:val="004672DC"/>
    <w:rsid w:val="004718C1"/>
    <w:rsid w:val="00476DAE"/>
    <w:rsid w:val="00476EFC"/>
    <w:rsid w:val="00481376"/>
    <w:rsid w:val="004823BC"/>
    <w:rsid w:val="004824F3"/>
    <w:rsid w:val="0048278A"/>
    <w:rsid w:val="00482B0F"/>
    <w:rsid w:val="004830F7"/>
    <w:rsid w:val="00483DBE"/>
    <w:rsid w:val="00484AF9"/>
    <w:rsid w:val="00485FA6"/>
    <w:rsid w:val="004871DD"/>
    <w:rsid w:val="00491A35"/>
    <w:rsid w:val="00491ADA"/>
    <w:rsid w:val="00491DC3"/>
    <w:rsid w:val="00492155"/>
    <w:rsid w:val="00495AB1"/>
    <w:rsid w:val="004977F4"/>
    <w:rsid w:val="004A01D8"/>
    <w:rsid w:val="004A0B9E"/>
    <w:rsid w:val="004A1C60"/>
    <w:rsid w:val="004A1D09"/>
    <w:rsid w:val="004A28EB"/>
    <w:rsid w:val="004A2D06"/>
    <w:rsid w:val="004A314B"/>
    <w:rsid w:val="004A3504"/>
    <w:rsid w:val="004A5DB4"/>
    <w:rsid w:val="004A7012"/>
    <w:rsid w:val="004A706E"/>
    <w:rsid w:val="004A71E2"/>
    <w:rsid w:val="004B0455"/>
    <w:rsid w:val="004B2B8E"/>
    <w:rsid w:val="004B2C3D"/>
    <w:rsid w:val="004B651C"/>
    <w:rsid w:val="004C18FF"/>
    <w:rsid w:val="004C1D5D"/>
    <w:rsid w:val="004C38D0"/>
    <w:rsid w:val="004C3B04"/>
    <w:rsid w:val="004C5E7E"/>
    <w:rsid w:val="004C7132"/>
    <w:rsid w:val="004C73E6"/>
    <w:rsid w:val="004C7662"/>
    <w:rsid w:val="004C79FC"/>
    <w:rsid w:val="004D121B"/>
    <w:rsid w:val="004D3C26"/>
    <w:rsid w:val="004D6925"/>
    <w:rsid w:val="004E0826"/>
    <w:rsid w:val="004E5F68"/>
    <w:rsid w:val="004E6AA1"/>
    <w:rsid w:val="004F17EC"/>
    <w:rsid w:val="004F3C6F"/>
    <w:rsid w:val="004F40BC"/>
    <w:rsid w:val="004F4D82"/>
    <w:rsid w:val="004F4F24"/>
    <w:rsid w:val="004F6138"/>
    <w:rsid w:val="004F67BD"/>
    <w:rsid w:val="004F6C10"/>
    <w:rsid w:val="004F75BA"/>
    <w:rsid w:val="004F7B48"/>
    <w:rsid w:val="0050130B"/>
    <w:rsid w:val="005046B5"/>
    <w:rsid w:val="005051BE"/>
    <w:rsid w:val="005056C9"/>
    <w:rsid w:val="0050582A"/>
    <w:rsid w:val="00510754"/>
    <w:rsid w:val="00512694"/>
    <w:rsid w:val="00513064"/>
    <w:rsid w:val="0051377A"/>
    <w:rsid w:val="0051407A"/>
    <w:rsid w:val="00514E90"/>
    <w:rsid w:val="0051646E"/>
    <w:rsid w:val="0051692F"/>
    <w:rsid w:val="00521072"/>
    <w:rsid w:val="00522FE8"/>
    <w:rsid w:val="00523627"/>
    <w:rsid w:val="00524187"/>
    <w:rsid w:val="00525460"/>
    <w:rsid w:val="00527027"/>
    <w:rsid w:val="005277C2"/>
    <w:rsid w:val="005302D6"/>
    <w:rsid w:val="00532BA5"/>
    <w:rsid w:val="005334A2"/>
    <w:rsid w:val="00535F52"/>
    <w:rsid w:val="00536C0E"/>
    <w:rsid w:val="0053704F"/>
    <w:rsid w:val="00540A6B"/>
    <w:rsid w:val="005415E4"/>
    <w:rsid w:val="00542DA4"/>
    <w:rsid w:val="005431D4"/>
    <w:rsid w:val="00543254"/>
    <w:rsid w:val="005439B5"/>
    <w:rsid w:val="00543D10"/>
    <w:rsid w:val="005458E9"/>
    <w:rsid w:val="00545CD0"/>
    <w:rsid w:val="0054630C"/>
    <w:rsid w:val="0054642F"/>
    <w:rsid w:val="00547825"/>
    <w:rsid w:val="00547A2C"/>
    <w:rsid w:val="0055010F"/>
    <w:rsid w:val="00550B83"/>
    <w:rsid w:val="0055232A"/>
    <w:rsid w:val="00554A01"/>
    <w:rsid w:val="00555A0B"/>
    <w:rsid w:val="00555BF4"/>
    <w:rsid w:val="00555E85"/>
    <w:rsid w:val="005561DB"/>
    <w:rsid w:val="005626D0"/>
    <w:rsid w:val="005629DF"/>
    <w:rsid w:val="0056392D"/>
    <w:rsid w:val="00565264"/>
    <w:rsid w:val="005652DF"/>
    <w:rsid w:val="0056579B"/>
    <w:rsid w:val="00566578"/>
    <w:rsid w:val="00566BDD"/>
    <w:rsid w:val="00567B08"/>
    <w:rsid w:val="0057040E"/>
    <w:rsid w:val="00570717"/>
    <w:rsid w:val="00571734"/>
    <w:rsid w:val="00573914"/>
    <w:rsid w:val="00574D36"/>
    <w:rsid w:val="005750B6"/>
    <w:rsid w:val="0057652A"/>
    <w:rsid w:val="00580861"/>
    <w:rsid w:val="00582F0E"/>
    <w:rsid w:val="00584198"/>
    <w:rsid w:val="0058515C"/>
    <w:rsid w:val="0058524B"/>
    <w:rsid w:val="00585D6C"/>
    <w:rsid w:val="005871C0"/>
    <w:rsid w:val="00592027"/>
    <w:rsid w:val="00595993"/>
    <w:rsid w:val="00597519"/>
    <w:rsid w:val="005A11C7"/>
    <w:rsid w:val="005A1362"/>
    <w:rsid w:val="005A161D"/>
    <w:rsid w:val="005A18F9"/>
    <w:rsid w:val="005A2141"/>
    <w:rsid w:val="005A244D"/>
    <w:rsid w:val="005A2C90"/>
    <w:rsid w:val="005A3921"/>
    <w:rsid w:val="005A4B3D"/>
    <w:rsid w:val="005A5C86"/>
    <w:rsid w:val="005A5DA9"/>
    <w:rsid w:val="005A7CDA"/>
    <w:rsid w:val="005B029D"/>
    <w:rsid w:val="005B08CB"/>
    <w:rsid w:val="005B0AC6"/>
    <w:rsid w:val="005B1044"/>
    <w:rsid w:val="005B16A3"/>
    <w:rsid w:val="005B3511"/>
    <w:rsid w:val="005C0353"/>
    <w:rsid w:val="005C0357"/>
    <w:rsid w:val="005C30AD"/>
    <w:rsid w:val="005C569C"/>
    <w:rsid w:val="005C60E4"/>
    <w:rsid w:val="005C60FF"/>
    <w:rsid w:val="005C7838"/>
    <w:rsid w:val="005D1AD0"/>
    <w:rsid w:val="005D4D7C"/>
    <w:rsid w:val="005D629E"/>
    <w:rsid w:val="005D65FF"/>
    <w:rsid w:val="005D7B65"/>
    <w:rsid w:val="005E12B6"/>
    <w:rsid w:val="005E154D"/>
    <w:rsid w:val="005E1930"/>
    <w:rsid w:val="005E360C"/>
    <w:rsid w:val="005E6D11"/>
    <w:rsid w:val="005F311D"/>
    <w:rsid w:val="005F32F4"/>
    <w:rsid w:val="005F365C"/>
    <w:rsid w:val="005F45B9"/>
    <w:rsid w:val="005F4CA2"/>
    <w:rsid w:val="005F59CB"/>
    <w:rsid w:val="005F5FDA"/>
    <w:rsid w:val="005F68A6"/>
    <w:rsid w:val="006008DF"/>
    <w:rsid w:val="00600945"/>
    <w:rsid w:val="00600D34"/>
    <w:rsid w:val="00601D5B"/>
    <w:rsid w:val="00601E87"/>
    <w:rsid w:val="0060204D"/>
    <w:rsid w:val="0060283D"/>
    <w:rsid w:val="00604B5E"/>
    <w:rsid w:val="0061109D"/>
    <w:rsid w:val="00611CFB"/>
    <w:rsid w:val="006122D1"/>
    <w:rsid w:val="00612894"/>
    <w:rsid w:val="006129A3"/>
    <w:rsid w:val="00615C2E"/>
    <w:rsid w:val="00616E6C"/>
    <w:rsid w:val="006204C7"/>
    <w:rsid w:val="00622C4F"/>
    <w:rsid w:val="00624227"/>
    <w:rsid w:val="006273C2"/>
    <w:rsid w:val="00627BDF"/>
    <w:rsid w:val="0063067E"/>
    <w:rsid w:val="00631A2C"/>
    <w:rsid w:val="00633216"/>
    <w:rsid w:val="00633A23"/>
    <w:rsid w:val="006341F2"/>
    <w:rsid w:val="00634B86"/>
    <w:rsid w:val="00635F36"/>
    <w:rsid w:val="00636CE2"/>
    <w:rsid w:val="00640501"/>
    <w:rsid w:val="00640BB0"/>
    <w:rsid w:val="00640E78"/>
    <w:rsid w:val="00644719"/>
    <w:rsid w:val="006452AA"/>
    <w:rsid w:val="0064574B"/>
    <w:rsid w:val="00646DCB"/>
    <w:rsid w:val="00647B63"/>
    <w:rsid w:val="00647C67"/>
    <w:rsid w:val="006527DA"/>
    <w:rsid w:val="00653AD3"/>
    <w:rsid w:val="00655819"/>
    <w:rsid w:val="00655981"/>
    <w:rsid w:val="006567A5"/>
    <w:rsid w:val="00657F9B"/>
    <w:rsid w:val="0066001D"/>
    <w:rsid w:val="006605ED"/>
    <w:rsid w:val="006616BC"/>
    <w:rsid w:val="0066255C"/>
    <w:rsid w:val="0066296D"/>
    <w:rsid w:val="00663AC6"/>
    <w:rsid w:val="00664F6C"/>
    <w:rsid w:val="00665D13"/>
    <w:rsid w:val="00666B7B"/>
    <w:rsid w:val="006670A7"/>
    <w:rsid w:val="00671F6E"/>
    <w:rsid w:val="0067257C"/>
    <w:rsid w:val="00675A21"/>
    <w:rsid w:val="00675A8D"/>
    <w:rsid w:val="006762F0"/>
    <w:rsid w:val="00676C01"/>
    <w:rsid w:val="00680C5B"/>
    <w:rsid w:val="00683E83"/>
    <w:rsid w:val="00685C65"/>
    <w:rsid w:val="0068747D"/>
    <w:rsid w:val="0068753B"/>
    <w:rsid w:val="00687DEE"/>
    <w:rsid w:val="006939A2"/>
    <w:rsid w:val="00693ABB"/>
    <w:rsid w:val="00693B09"/>
    <w:rsid w:val="0069770F"/>
    <w:rsid w:val="006A01BE"/>
    <w:rsid w:val="006A0BFF"/>
    <w:rsid w:val="006A1F82"/>
    <w:rsid w:val="006A2BE1"/>
    <w:rsid w:val="006A35D4"/>
    <w:rsid w:val="006A689D"/>
    <w:rsid w:val="006A71BE"/>
    <w:rsid w:val="006B2E34"/>
    <w:rsid w:val="006B3B10"/>
    <w:rsid w:val="006B3C8A"/>
    <w:rsid w:val="006B6BE3"/>
    <w:rsid w:val="006C0199"/>
    <w:rsid w:val="006C095C"/>
    <w:rsid w:val="006C0C42"/>
    <w:rsid w:val="006C0D54"/>
    <w:rsid w:val="006C11F1"/>
    <w:rsid w:val="006C15AE"/>
    <w:rsid w:val="006C2D70"/>
    <w:rsid w:val="006C3001"/>
    <w:rsid w:val="006C3341"/>
    <w:rsid w:val="006C3812"/>
    <w:rsid w:val="006C4655"/>
    <w:rsid w:val="006C7BB2"/>
    <w:rsid w:val="006D1313"/>
    <w:rsid w:val="006D2479"/>
    <w:rsid w:val="006D3711"/>
    <w:rsid w:val="006D3EC7"/>
    <w:rsid w:val="006D5EB2"/>
    <w:rsid w:val="006D7C2C"/>
    <w:rsid w:val="006E0C8D"/>
    <w:rsid w:val="006E0E35"/>
    <w:rsid w:val="006E0FCE"/>
    <w:rsid w:val="006E44D2"/>
    <w:rsid w:val="006E5BDD"/>
    <w:rsid w:val="006E6259"/>
    <w:rsid w:val="006E71C8"/>
    <w:rsid w:val="006F0439"/>
    <w:rsid w:val="006F07D0"/>
    <w:rsid w:val="006F0C4E"/>
    <w:rsid w:val="006F25CD"/>
    <w:rsid w:val="006F44B1"/>
    <w:rsid w:val="006F45F6"/>
    <w:rsid w:val="006F501D"/>
    <w:rsid w:val="006F5E00"/>
    <w:rsid w:val="006F61B4"/>
    <w:rsid w:val="007005E5"/>
    <w:rsid w:val="0070195F"/>
    <w:rsid w:val="00702571"/>
    <w:rsid w:val="00705765"/>
    <w:rsid w:val="0070743C"/>
    <w:rsid w:val="00707A7F"/>
    <w:rsid w:val="00707CA2"/>
    <w:rsid w:val="007116B2"/>
    <w:rsid w:val="00712947"/>
    <w:rsid w:val="00713307"/>
    <w:rsid w:val="00713F3A"/>
    <w:rsid w:val="00714F26"/>
    <w:rsid w:val="007176D4"/>
    <w:rsid w:val="00717CC4"/>
    <w:rsid w:val="00720089"/>
    <w:rsid w:val="007239A1"/>
    <w:rsid w:val="00725F34"/>
    <w:rsid w:val="00726CB3"/>
    <w:rsid w:val="00727B41"/>
    <w:rsid w:val="007307D3"/>
    <w:rsid w:val="0073147F"/>
    <w:rsid w:val="00732221"/>
    <w:rsid w:val="00733BB3"/>
    <w:rsid w:val="0073490C"/>
    <w:rsid w:val="00734BA2"/>
    <w:rsid w:val="00740628"/>
    <w:rsid w:val="007409CD"/>
    <w:rsid w:val="00741581"/>
    <w:rsid w:val="00741EB3"/>
    <w:rsid w:val="007461CD"/>
    <w:rsid w:val="00746AB5"/>
    <w:rsid w:val="00746D4B"/>
    <w:rsid w:val="00746F0C"/>
    <w:rsid w:val="00750673"/>
    <w:rsid w:val="00750B94"/>
    <w:rsid w:val="00750F29"/>
    <w:rsid w:val="00751B00"/>
    <w:rsid w:val="00753193"/>
    <w:rsid w:val="00754388"/>
    <w:rsid w:val="007566F3"/>
    <w:rsid w:val="00756A13"/>
    <w:rsid w:val="00756E1F"/>
    <w:rsid w:val="00757CD4"/>
    <w:rsid w:val="00761A2D"/>
    <w:rsid w:val="00761E6D"/>
    <w:rsid w:val="007635D6"/>
    <w:rsid w:val="00764A8A"/>
    <w:rsid w:val="007662A9"/>
    <w:rsid w:val="00766B98"/>
    <w:rsid w:val="0076767D"/>
    <w:rsid w:val="00767D60"/>
    <w:rsid w:val="00770595"/>
    <w:rsid w:val="007714F1"/>
    <w:rsid w:val="00774ED4"/>
    <w:rsid w:val="007750B6"/>
    <w:rsid w:val="007753CD"/>
    <w:rsid w:val="0077593C"/>
    <w:rsid w:val="00776485"/>
    <w:rsid w:val="00776FEC"/>
    <w:rsid w:val="00780C78"/>
    <w:rsid w:val="007845E5"/>
    <w:rsid w:val="00785D74"/>
    <w:rsid w:val="00790075"/>
    <w:rsid w:val="0079008F"/>
    <w:rsid w:val="0079027E"/>
    <w:rsid w:val="007926B7"/>
    <w:rsid w:val="00795B52"/>
    <w:rsid w:val="0079719C"/>
    <w:rsid w:val="00797FFB"/>
    <w:rsid w:val="007A0D50"/>
    <w:rsid w:val="007A34BA"/>
    <w:rsid w:val="007A5A6E"/>
    <w:rsid w:val="007A617C"/>
    <w:rsid w:val="007A6D00"/>
    <w:rsid w:val="007B1383"/>
    <w:rsid w:val="007B1C3D"/>
    <w:rsid w:val="007B2232"/>
    <w:rsid w:val="007B3456"/>
    <w:rsid w:val="007B5CE3"/>
    <w:rsid w:val="007B5F46"/>
    <w:rsid w:val="007B6CDD"/>
    <w:rsid w:val="007B7E9C"/>
    <w:rsid w:val="007C0CE2"/>
    <w:rsid w:val="007C2144"/>
    <w:rsid w:val="007C2FB7"/>
    <w:rsid w:val="007C4B44"/>
    <w:rsid w:val="007C4BE0"/>
    <w:rsid w:val="007C5862"/>
    <w:rsid w:val="007D034A"/>
    <w:rsid w:val="007D1F59"/>
    <w:rsid w:val="007D2437"/>
    <w:rsid w:val="007D2ECF"/>
    <w:rsid w:val="007D7283"/>
    <w:rsid w:val="007E0C4A"/>
    <w:rsid w:val="007E0FA6"/>
    <w:rsid w:val="007E1119"/>
    <w:rsid w:val="007E2701"/>
    <w:rsid w:val="007E32AA"/>
    <w:rsid w:val="007E34E8"/>
    <w:rsid w:val="007E35E0"/>
    <w:rsid w:val="007E5B48"/>
    <w:rsid w:val="007F0B03"/>
    <w:rsid w:val="007F10E8"/>
    <w:rsid w:val="007F2881"/>
    <w:rsid w:val="007F3DA8"/>
    <w:rsid w:val="007F57CF"/>
    <w:rsid w:val="007F6F5A"/>
    <w:rsid w:val="008042F4"/>
    <w:rsid w:val="00806104"/>
    <w:rsid w:val="008106CF"/>
    <w:rsid w:val="00811D37"/>
    <w:rsid w:val="00812239"/>
    <w:rsid w:val="008128C8"/>
    <w:rsid w:val="00812FA2"/>
    <w:rsid w:val="00814B59"/>
    <w:rsid w:val="008168A3"/>
    <w:rsid w:val="00821B40"/>
    <w:rsid w:val="00822C77"/>
    <w:rsid w:val="008258A4"/>
    <w:rsid w:val="0082768F"/>
    <w:rsid w:val="00827AFD"/>
    <w:rsid w:val="00830020"/>
    <w:rsid w:val="008305F7"/>
    <w:rsid w:val="00833696"/>
    <w:rsid w:val="00833FBF"/>
    <w:rsid w:val="0083407D"/>
    <w:rsid w:val="0083440D"/>
    <w:rsid w:val="00834585"/>
    <w:rsid w:val="00834BF3"/>
    <w:rsid w:val="008352CA"/>
    <w:rsid w:val="00835E30"/>
    <w:rsid w:val="0084033F"/>
    <w:rsid w:val="00842B91"/>
    <w:rsid w:val="00843974"/>
    <w:rsid w:val="00846338"/>
    <w:rsid w:val="0084749E"/>
    <w:rsid w:val="0085012D"/>
    <w:rsid w:val="008523C5"/>
    <w:rsid w:val="008564D2"/>
    <w:rsid w:val="00857F8E"/>
    <w:rsid w:val="008604F4"/>
    <w:rsid w:val="00860676"/>
    <w:rsid w:val="00861399"/>
    <w:rsid w:val="00862752"/>
    <w:rsid w:val="00862E63"/>
    <w:rsid w:val="00863E83"/>
    <w:rsid w:val="00866788"/>
    <w:rsid w:val="008673C1"/>
    <w:rsid w:val="008677A3"/>
    <w:rsid w:val="00867848"/>
    <w:rsid w:val="00867B2E"/>
    <w:rsid w:val="0087085D"/>
    <w:rsid w:val="00875514"/>
    <w:rsid w:val="008818E8"/>
    <w:rsid w:val="0088394B"/>
    <w:rsid w:val="008866BE"/>
    <w:rsid w:val="0089026A"/>
    <w:rsid w:val="008910B6"/>
    <w:rsid w:val="008929A9"/>
    <w:rsid w:val="00893BD2"/>
    <w:rsid w:val="00894170"/>
    <w:rsid w:val="008952FA"/>
    <w:rsid w:val="008962DB"/>
    <w:rsid w:val="00896708"/>
    <w:rsid w:val="008A0170"/>
    <w:rsid w:val="008A7416"/>
    <w:rsid w:val="008B20C2"/>
    <w:rsid w:val="008B2231"/>
    <w:rsid w:val="008B2EF7"/>
    <w:rsid w:val="008B53B3"/>
    <w:rsid w:val="008B5C14"/>
    <w:rsid w:val="008B5DFB"/>
    <w:rsid w:val="008B6591"/>
    <w:rsid w:val="008B6717"/>
    <w:rsid w:val="008C19D3"/>
    <w:rsid w:val="008C2BFC"/>
    <w:rsid w:val="008C34A7"/>
    <w:rsid w:val="008C39A3"/>
    <w:rsid w:val="008C3F85"/>
    <w:rsid w:val="008C408E"/>
    <w:rsid w:val="008C4969"/>
    <w:rsid w:val="008C504A"/>
    <w:rsid w:val="008C6D72"/>
    <w:rsid w:val="008C7292"/>
    <w:rsid w:val="008C772F"/>
    <w:rsid w:val="008D0828"/>
    <w:rsid w:val="008D1422"/>
    <w:rsid w:val="008D1673"/>
    <w:rsid w:val="008D20BE"/>
    <w:rsid w:val="008D582D"/>
    <w:rsid w:val="008E0F9B"/>
    <w:rsid w:val="008E16ED"/>
    <w:rsid w:val="008E1784"/>
    <w:rsid w:val="008E2E57"/>
    <w:rsid w:val="008E3ACE"/>
    <w:rsid w:val="008E41BD"/>
    <w:rsid w:val="008E443A"/>
    <w:rsid w:val="008F0E80"/>
    <w:rsid w:val="008F1A7A"/>
    <w:rsid w:val="008F1E1E"/>
    <w:rsid w:val="008F236F"/>
    <w:rsid w:val="008F2F0C"/>
    <w:rsid w:val="008F32E7"/>
    <w:rsid w:val="008F345F"/>
    <w:rsid w:val="008F438C"/>
    <w:rsid w:val="008F4A0F"/>
    <w:rsid w:val="008F4EBB"/>
    <w:rsid w:val="008F58A9"/>
    <w:rsid w:val="008F5DB3"/>
    <w:rsid w:val="008F60DE"/>
    <w:rsid w:val="00901114"/>
    <w:rsid w:val="009026BE"/>
    <w:rsid w:val="009042EA"/>
    <w:rsid w:val="00906B9C"/>
    <w:rsid w:val="00907B4C"/>
    <w:rsid w:val="00907F02"/>
    <w:rsid w:val="00910C12"/>
    <w:rsid w:val="00911D94"/>
    <w:rsid w:val="009125DA"/>
    <w:rsid w:val="009128C1"/>
    <w:rsid w:val="00912DA8"/>
    <w:rsid w:val="00913810"/>
    <w:rsid w:val="009138CD"/>
    <w:rsid w:val="009141DD"/>
    <w:rsid w:val="009142BE"/>
    <w:rsid w:val="00914BCF"/>
    <w:rsid w:val="00914EC7"/>
    <w:rsid w:val="00917098"/>
    <w:rsid w:val="009175A3"/>
    <w:rsid w:val="00921B21"/>
    <w:rsid w:val="00925129"/>
    <w:rsid w:val="009308E2"/>
    <w:rsid w:val="00931583"/>
    <w:rsid w:val="009322CA"/>
    <w:rsid w:val="009326DB"/>
    <w:rsid w:val="009331C1"/>
    <w:rsid w:val="00933A02"/>
    <w:rsid w:val="00934C53"/>
    <w:rsid w:val="00935EDD"/>
    <w:rsid w:val="00937225"/>
    <w:rsid w:val="00937325"/>
    <w:rsid w:val="00942B9F"/>
    <w:rsid w:val="00943893"/>
    <w:rsid w:val="009441EC"/>
    <w:rsid w:val="009449DF"/>
    <w:rsid w:val="00944ADD"/>
    <w:rsid w:val="00945285"/>
    <w:rsid w:val="009456DF"/>
    <w:rsid w:val="009466AA"/>
    <w:rsid w:val="009467A6"/>
    <w:rsid w:val="00946D70"/>
    <w:rsid w:val="00946E73"/>
    <w:rsid w:val="00950073"/>
    <w:rsid w:val="00950FEF"/>
    <w:rsid w:val="0095430A"/>
    <w:rsid w:val="0095464A"/>
    <w:rsid w:val="0096031A"/>
    <w:rsid w:val="00960851"/>
    <w:rsid w:val="009659B0"/>
    <w:rsid w:val="00965BC6"/>
    <w:rsid w:val="0096626B"/>
    <w:rsid w:val="009663B3"/>
    <w:rsid w:val="009671D2"/>
    <w:rsid w:val="009708A6"/>
    <w:rsid w:val="0097261D"/>
    <w:rsid w:val="00972830"/>
    <w:rsid w:val="00972A56"/>
    <w:rsid w:val="0097368D"/>
    <w:rsid w:val="009736C8"/>
    <w:rsid w:val="009739E6"/>
    <w:rsid w:val="00973B2B"/>
    <w:rsid w:val="009742ED"/>
    <w:rsid w:val="0097674A"/>
    <w:rsid w:val="009777EF"/>
    <w:rsid w:val="00981CC0"/>
    <w:rsid w:val="00983090"/>
    <w:rsid w:val="00983477"/>
    <w:rsid w:val="0098372E"/>
    <w:rsid w:val="0098372F"/>
    <w:rsid w:val="00991D77"/>
    <w:rsid w:val="00993CF5"/>
    <w:rsid w:val="009969E8"/>
    <w:rsid w:val="009A0967"/>
    <w:rsid w:val="009A0F3D"/>
    <w:rsid w:val="009A1F65"/>
    <w:rsid w:val="009A2120"/>
    <w:rsid w:val="009A5751"/>
    <w:rsid w:val="009A6DEC"/>
    <w:rsid w:val="009B14D6"/>
    <w:rsid w:val="009B1786"/>
    <w:rsid w:val="009B1987"/>
    <w:rsid w:val="009B2EEC"/>
    <w:rsid w:val="009B7970"/>
    <w:rsid w:val="009C0E9F"/>
    <w:rsid w:val="009C161F"/>
    <w:rsid w:val="009C2C81"/>
    <w:rsid w:val="009C2DC3"/>
    <w:rsid w:val="009C6405"/>
    <w:rsid w:val="009C73D6"/>
    <w:rsid w:val="009D05ED"/>
    <w:rsid w:val="009D5AE2"/>
    <w:rsid w:val="009E38D8"/>
    <w:rsid w:val="009E497E"/>
    <w:rsid w:val="009E70D3"/>
    <w:rsid w:val="009F03FC"/>
    <w:rsid w:val="009F19EA"/>
    <w:rsid w:val="009F1E92"/>
    <w:rsid w:val="009F27E3"/>
    <w:rsid w:val="009F37F9"/>
    <w:rsid w:val="009F4989"/>
    <w:rsid w:val="009F54A0"/>
    <w:rsid w:val="009F5D34"/>
    <w:rsid w:val="009F643D"/>
    <w:rsid w:val="009F6E51"/>
    <w:rsid w:val="009F7E37"/>
    <w:rsid w:val="00A00AF8"/>
    <w:rsid w:val="00A01526"/>
    <w:rsid w:val="00A04D47"/>
    <w:rsid w:val="00A14E21"/>
    <w:rsid w:val="00A14EBE"/>
    <w:rsid w:val="00A14FDA"/>
    <w:rsid w:val="00A15027"/>
    <w:rsid w:val="00A16A0A"/>
    <w:rsid w:val="00A16EBA"/>
    <w:rsid w:val="00A2031C"/>
    <w:rsid w:val="00A2495A"/>
    <w:rsid w:val="00A24F91"/>
    <w:rsid w:val="00A25DEA"/>
    <w:rsid w:val="00A2638A"/>
    <w:rsid w:val="00A3102C"/>
    <w:rsid w:val="00A31265"/>
    <w:rsid w:val="00A316E2"/>
    <w:rsid w:val="00A33D1A"/>
    <w:rsid w:val="00A34076"/>
    <w:rsid w:val="00A344D3"/>
    <w:rsid w:val="00A3774D"/>
    <w:rsid w:val="00A43FA0"/>
    <w:rsid w:val="00A451D4"/>
    <w:rsid w:val="00A45C19"/>
    <w:rsid w:val="00A50765"/>
    <w:rsid w:val="00A50FC0"/>
    <w:rsid w:val="00A53587"/>
    <w:rsid w:val="00A54979"/>
    <w:rsid w:val="00A54BAD"/>
    <w:rsid w:val="00A57A24"/>
    <w:rsid w:val="00A57FE4"/>
    <w:rsid w:val="00A61857"/>
    <w:rsid w:val="00A623E0"/>
    <w:rsid w:val="00A65AA2"/>
    <w:rsid w:val="00A66536"/>
    <w:rsid w:val="00A67F61"/>
    <w:rsid w:val="00A72FFC"/>
    <w:rsid w:val="00A739A1"/>
    <w:rsid w:val="00A748AB"/>
    <w:rsid w:val="00A75E74"/>
    <w:rsid w:val="00A76F51"/>
    <w:rsid w:val="00A77149"/>
    <w:rsid w:val="00A77789"/>
    <w:rsid w:val="00A778F4"/>
    <w:rsid w:val="00A808CB"/>
    <w:rsid w:val="00A81314"/>
    <w:rsid w:val="00A81759"/>
    <w:rsid w:val="00A819D4"/>
    <w:rsid w:val="00A8274F"/>
    <w:rsid w:val="00A82758"/>
    <w:rsid w:val="00A834AE"/>
    <w:rsid w:val="00A8374F"/>
    <w:rsid w:val="00A84B05"/>
    <w:rsid w:val="00A8540D"/>
    <w:rsid w:val="00A87093"/>
    <w:rsid w:val="00A91BC3"/>
    <w:rsid w:val="00A934A7"/>
    <w:rsid w:val="00A94100"/>
    <w:rsid w:val="00A94104"/>
    <w:rsid w:val="00A946CB"/>
    <w:rsid w:val="00A9594E"/>
    <w:rsid w:val="00A95B31"/>
    <w:rsid w:val="00A962B6"/>
    <w:rsid w:val="00A96493"/>
    <w:rsid w:val="00A964C5"/>
    <w:rsid w:val="00A969A4"/>
    <w:rsid w:val="00AA0160"/>
    <w:rsid w:val="00AA0D67"/>
    <w:rsid w:val="00AA3A2A"/>
    <w:rsid w:val="00AA53BF"/>
    <w:rsid w:val="00AA74D0"/>
    <w:rsid w:val="00AB02F1"/>
    <w:rsid w:val="00AB07DF"/>
    <w:rsid w:val="00AB4C13"/>
    <w:rsid w:val="00AB606E"/>
    <w:rsid w:val="00AB768F"/>
    <w:rsid w:val="00AC2CF7"/>
    <w:rsid w:val="00AC3892"/>
    <w:rsid w:val="00AC3C68"/>
    <w:rsid w:val="00AC6965"/>
    <w:rsid w:val="00AD024D"/>
    <w:rsid w:val="00AD158A"/>
    <w:rsid w:val="00AD1646"/>
    <w:rsid w:val="00AD1EFB"/>
    <w:rsid w:val="00AD24F0"/>
    <w:rsid w:val="00AD3706"/>
    <w:rsid w:val="00AE078F"/>
    <w:rsid w:val="00AE235A"/>
    <w:rsid w:val="00AE52FF"/>
    <w:rsid w:val="00AE5B12"/>
    <w:rsid w:val="00AE62FF"/>
    <w:rsid w:val="00AE7187"/>
    <w:rsid w:val="00AE7C61"/>
    <w:rsid w:val="00AF36A3"/>
    <w:rsid w:val="00AF36FE"/>
    <w:rsid w:val="00AF3F10"/>
    <w:rsid w:val="00AF645D"/>
    <w:rsid w:val="00AF7154"/>
    <w:rsid w:val="00B02430"/>
    <w:rsid w:val="00B02AF9"/>
    <w:rsid w:val="00B02B30"/>
    <w:rsid w:val="00B035AB"/>
    <w:rsid w:val="00B0506B"/>
    <w:rsid w:val="00B07D4E"/>
    <w:rsid w:val="00B1068B"/>
    <w:rsid w:val="00B12140"/>
    <w:rsid w:val="00B12687"/>
    <w:rsid w:val="00B1322C"/>
    <w:rsid w:val="00B2432D"/>
    <w:rsid w:val="00B244B5"/>
    <w:rsid w:val="00B25705"/>
    <w:rsid w:val="00B26671"/>
    <w:rsid w:val="00B31EBD"/>
    <w:rsid w:val="00B3216E"/>
    <w:rsid w:val="00B341D1"/>
    <w:rsid w:val="00B370C0"/>
    <w:rsid w:val="00B4248F"/>
    <w:rsid w:val="00B42CF4"/>
    <w:rsid w:val="00B42E39"/>
    <w:rsid w:val="00B4728A"/>
    <w:rsid w:val="00B47E26"/>
    <w:rsid w:val="00B5055C"/>
    <w:rsid w:val="00B530D9"/>
    <w:rsid w:val="00B54AF4"/>
    <w:rsid w:val="00B54EF2"/>
    <w:rsid w:val="00B56ED3"/>
    <w:rsid w:val="00B61859"/>
    <w:rsid w:val="00B61EB3"/>
    <w:rsid w:val="00B6248D"/>
    <w:rsid w:val="00B65954"/>
    <w:rsid w:val="00B7018D"/>
    <w:rsid w:val="00B7112E"/>
    <w:rsid w:val="00B71881"/>
    <w:rsid w:val="00B738A2"/>
    <w:rsid w:val="00B73C90"/>
    <w:rsid w:val="00B74B00"/>
    <w:rsid w:val="00B75098"/>
    <w:rsid w:val="00B75916"/>
    <w:rsid w:val="00B760FC"/>
    <w:rsid w:val="00B77373"/>
    <w:rsid w:val="00B80899"/>
    <w:rsid w:val="00B80EBC"/>
    <w:rsid w:val="00B81C53"/>
    <w:rsid w:val="00B83475"/>
    <w:rsid w:val="00B83923"/>
    <w:rsid w:val="00B84663"/>
    <w:rsid w:val="00B85A82"/>
    <w:rsid w:val="00B863D4"/>
    <w:rsid w:val="00B865ED"/>
    <w:rsid w:val="00B91CFA"/>
    <w:rsid w:val="00B946F5"/>
    <w:rsid w:val="00B94CFA"/>
    <w:rsid w:val="00B954C2"/>
    <w:rsid w:val="00B95C11"/>
    <w:rsid w:val="00BA0FA2"/>
    <w:rsid w:val="00BA1F74"/>
    <w:rsid w:val="00BA4023"/>
    <w:rsid w:val="00BA64D4"/>
    <w:rsid w:val="00BA6635"/>
    <w:rsid w:val="00BB079E"/>
    <w:rsid w:val="00BB0BAE"/>
    <w:rsid w:val="00BB3099"/>
    <w:rsid w:val="00BB39FD"/>
    <w:rsid w:val="00BB4EB2"/>
    <w:rsid w:val="00BC1B48"/>
    <w:rsid w:val="00BC24B4"/>
    <w:rsid w:val="00BC486D"/>
    <w:rsid w:val="00BD1085"/>
    <w:rsid w:val="00BD1F95"/>
    <w:rsid w:val="00BD2970"/>
    <w:rsid w:val="00BD56A0"/>
    <w:rsid w:val="00BD652F"/>
    <w:rsid w:val="00BD67E4"/>
    <w:rsid w:val="00BD6EB4"/>
    <w:rsid w:val="00BD7513"/>
    <w:rsid w:val="00BE1803"/>
    <w:rsid w:val="00BE39C5"/>
    <w:rsid w:val="00BE49C4"/>
    <w:rsid w:val="00BE5BA6"/>
    <w:rsid w:val="00BE6A15"/>
    <w:rsid w:val="00BE6CE2"/>
    <w:rsid w:val="00BE7066"/>
    <w:rsid w:val="00BF0ADA"/>
    <w:rsid w:val="00BF3EAF"/>
    <w:rsid w:val="00BF47AB"/>
    <w:rsid w:val="00BF6E4E"/>
    <w:rsid w:val="00C0091C"/>
    <w:rsid w:val="00C00EF1"/>
    <w:rsid w:val="00C04C49"/>
    <w:rsid w:val="00C0615C"/>
    <w:rsid w:val="00C06FBB"/>
    <w:rsid w:val="00C11039"/>
    <w:rsid w:val="00C146E0"/>
    <w:rsid w:val="00C1609B"/>
    <w:rsid w:val="00C161ED"/>
    <w:rsid w:val="00C17514"/>
    <w:rsid w:val="00C17747"/>
    <w:rsid w:val="00C2037E"/>
    <w:rsid w:val="00C206BC"/>
    <w:rsid w:val="00C20AE6"/>
    <w:rsid w:val="00C21ACC"/>
    <w:rsid w:val="00C2525A"/>
    <w:rsid w:val="00C27B01"/>
    <w:rsid w:val="00C3274C"/>
    <w:rsid w:val="00C3321F"/>
    <w:rsid w:val="00C33BD0"/>
    <w:rsid w:val="00C340FC"/>
    <w:rsid w:val="00C359C6"/>
    <w:rsid w:val="00C35C25"/>
    <w:rsid w:val="00C35EB7"/>
    <w:rsid w:val="00C3668D"/>
    <w:rsid w:val="00C41A6D"/>
    <w:rsid w:val="00C4210F"/>
    <w:rsid w:val="00C43439"/>
    <w:rsid w:val="00C4407C"/>
    <w:rsid w:val="00C4503D"/>
    <w:rsid w:val="00C45442"/>
    <w:rsid w:val="00C45AE0"/>
    <w:rsid w:val="00C464D6"/>
    <w:rsid w:val="00C468FF"/>
    <w:rsid w:val="00C475D4"/>
    <w:rsid w:val="00C5019C"/>
    <w:rsid w:val="00C54C81"/>
    <w:rsid w:val="00C5528C"/>
    <w:rsid w:val="00C5561D"/>
    <w:rsid w:val="00C556BE"/>
    <w:rsid w:val="00C558EF"/>
    <w:rsid w:val="00C56D93"/>
    <w:rsid w:val="00C56EA8"/>
    <w:rsid w:val="00C60E3B"/>
    <w:rsid w:val="00C6299C"/>
    <w:rsid w:val="00C63C14"/>
    <w:rsid w:val="00C65DD6"/>
    <w:rsid w:val="00C67567"/>
    <w:rsid w:val="00C72FDD"/>
    <w:rsid w:val="00C735B8"/>
    <w:rsid w:val="00C751FC"/>
    <w:rsid w:val="00C7527C"/>
    <w:rsid w:val="00C758C4"/>
    <w:rsid w:val="00C776DD"/>
    <w:rsid w:val="00C80557"/>
    <w:rsid w:val="00C82A80"/>
    <w:rsid w:val="00C8349F"/>
    <w:rsid w:val="00C83C12"/>
    <w:rsid w:val="00C83F2F"/>
    <w:rsid w:val="00C84975"/>
    <w:rsid w:val="00C84A82"/>
    <w:rsid w:val="00C86549"/>
    <w:rsid w:val="00C90A67"/>
    <w:rsid w:val="00C91C47"/>
    <w:rsid w:val="00C91E73"/>
    <w:rsid w:val="00C92FFA"/>
    <w:rsid w:val="00C93A80"/>
    <w:rsid w:val="00C975A2"/>
    <w:rsid w:val="00C97849"/>
    <w:rsid w:val="00CA0303"/>
    <w:rsid w:val="00CA069A"/>
    <w:rsid w:val="00CA12CA"/>
    <w:rsid w:val="00CA1ACE"/>
    <w:rsid w:val="00CA35AB"/>
    <w:rsid w:val="00CA490A"/>
    <w:rsid w:val="00CA59E9"/>
    <w:rsid w:val="00CA6B10"/>
    <w:rsid w:val="00CA7C0B"/>
    <w:rsid w:val="00CB09DD"/>
    <w:rsid w:val="00CB0B03"/>
    <w:rsid w:val="00CB0D17"/>
    <w:rsid w:val="00CB0FCD"/>
    <w:rsid w:val="00CB20F1"/>
    <w:rsid w:val="00CB2613"/>
    <w:rsid w:val="00CB3B6C"/>
    <w:rsid w:val="00CB3D35"/>
    <w:rsid w:val="00CB5264"/>
    <w:rsid w:val="00CC09FF"/>
    <w:rsid w:val="00CC152B"/>
    <w:rsid w:val="00CC1E5C"/>
    <w:rsid w:val="00CC22D1"/>
    <w:rsid w:val="00CC3D64"/>
    <w:rsid w:val="00CC45EA"/>
    <w:rsid w:val="00CC45F6"/>
    <w:rsid w:val="00CC4B55"/>
    <w:rsid w:val="00CC524F"/>
    <w:rsid w:val="00CC5282"/>
    <w:rsid w:val="00CC5630"/>
    <w:rsid w:val="00CC6429"/>
    <w:rsid w:val="00CC6ADF"/>
    <w:rsid w:val="00CC6F0B"/>
    <w:rsid w:val="00CC7E55"/>
    <w:rsid w:val="00CD0B60"/>
    <w:rsid w:val="00CD3076"/>
    <w:rsid w:val="00CD6A56"/>
    <w:rsid w:val="00CD72AD"/>
    <w:rsid w:val="00CE1857"/>
    <w:rsid w:val="00CE37C1"/>
    <w:rsid w:val="00CE604A"/>
    <w:rsid w:val="00CE6E0A"/>
    <w:rsid w:val="00CF09F0"/>
    <w:rsid w:val="00CF110E"/>
    <w:rsid w:val="00CF2D08"/>
    <w:rsid w:val="00CF45FF"/>
    <w:rsid w:val="00CF74A2"/>
    <w:rsid w:val="00D00D65"/>
    <w:rsid w:val="00D02D0D"/>
    <w:rsid w:val="00D03337"/>
    <w:rsid w:val="00D03A13"/>
    <w:rsid w:val="00D0409D"/>
    <w:rsid w:val="00D051B2"/>
    <w:rsid w:val="00D05923"/>
    <w:rsid w:val="00D06F22"/>
    <w:rsid w:val="00D07EAE"/>
    <w:rsid w:val="00D11679"/>
    <w:rsid w:val="00D12AD3"/>
    <w:rsid w:val="00D15076"/>
    <w:rsid w:val="00D155B4"/>
    <w:rsid w:val="00D15D4B"/>
    <w:rsid w:val="00D17469"/>
    <w:rsid w:val="00D255C7"/>
    <w:rsid w:val="00D25FF3"/>
    <w:rsid w:val="00D26A0E"/>
    <w:rsid w:val="00D30089"/>
    <w:rsid w:val="00D326B3"/>
    <w:rsid w:val="00D37762"/>
    <w:rsid w:val="00D37784"/>
    <w:rsid w:val="00D4018C"/>
    <w:rsid w:val="00D40756"/>
    <w:rsid w:val="00D416B1"/>
    <w:rsid w:val="00D4234F"/>
    <w:rsid w:val="00D42356"/>
    <w:rsid w:val="00D43D5C"/>
    <w:rsid w:val="00D456A8"/>
    <w:rsid w:val="00D473CE"/>
    <w:rsid w:val="00D47FFE"/>
    <w:rsid w:val="00D51139"/>
    <w:rsid w:val="00D53083"/>
    <w:rsid w:val="00D532AC"/>
    <w:rsid w:val="00D53E29"/>
    <w:rsid w:val="00D602E0"/>
    <w:rsid w:val="00D618A0"/>
    <w:rsid w:val="00D6450B"/>
    <w:rsid w:val="00D66952"/>
    <w:rsid w:val="00D70191"/>
    <w:rsid w:val="00D707B8"/>
    <w:rsid w:val="00D72CE6"/>
    <w:rsid w:val="00D733BE"/>
    <w:rsid w:val="00D74167"/>
    <w:rsid w:val="00D745E6"/>
    <w:rsid w:val="00D747B1"/>
    <w:rsid w:val="00D75C8F"/>
    <w:rsid w:val="00D7643F"/>
    <w:rsid w:val="00D80A31"/>
    <w:rsid w:val="00D80D15"/>
    <w:rsid w:val="00D81F0B"/>
    <w:rsid w:val="00D877D6"/>
    <w:rsid w:val="00D908CE"/>
    <w:rsid w:val="00D93A08"/>
    <w:rsid w:val="00D95082"/>
    <w:rsid w:val="00D9508C"/>
    <w:rsid w:val="00D96499"/>
    <w:rsid w:val="00DA2BB3"/>
    <w:rsid w:val="00DA3007"/>
    <w:rsid w:val="00DA31E2"/>
    <w:rsid w:val="00DA44EA"/>
    <w:rsid w:val="00DA59A1"/>
    <w:rsid w:val="00DA5EF6"/>
    <w:rsid w:val="00DA736F"/>
    <w:rsid w:val="00DA7C26"/>
    <w:rsid w:val="00DB008F"/>
    <w:rsid w:val="00DB3AF4"/>
    <w:rsid w:val="00DB4443"/>
    <w:rsid w:val="00DB4454"/>
    <w:rsid w:val="00DB6EA4"/>
    <w:rsid w:val="00DB7715"/>
    <w:rsid w:val="00DC05F4"/>
    <w:rsid w:val="00DC2FB3"/>
    <w:rsid w:val="00DC38C1"/>
    <w:rsid w:val="00DC3AE7"/>
    <w:rsid w:val="00DC4FF1"/>
    <w:rsid w:val="00DC6D72"/>
    <w:rsid w:val="00DD0612"/>
    <w:rsid w:val="00DD356D"/>
    <w:rsid w:val="00DD6C3F"/>
    <w:rsid w:val="00DD6E64"/>
    <w:rsid w:val="00DD7EA2"/>
    <w:rsid w:val="00DE0876"/>
    <w:rsid w:val="00DE0CD8"/>
    <w:rsid w:val="00DE6D97"/>
    <w:rsid w:val="00DE7C8E"/>
    <w:rsid w:val="00DF3152"/>
    <w:rsid w:val="00DF3A53"/>
    <w:rsid w:val="00DF45F9"/>
    <w:rsid w:val="00DF5163"/>
    <w:rsid w:val="00DF7D48"/>
    <w:rsid w:val="00E00A74"/>
    <w:rsid w:val="00E00C58"/>
    <w:rsid w:val="00E02149"/>
    <w:rsid w:val="00E03010"/>
    <w:rsid w:val="00E0535E"/>
    <w:rsid w:val="00E055A3"/>
    <w:rsid w:val="00E061B8"/>
    <w:rsid w:val="00E102FC"/>
    <w:rsid w:val="00E11EFD"/>
    <w:rsid w:val="00E12ADB"/>
    <w:rsid w:val="00E13D51"/>
    <w:rsid w:val="00E14015"/>
    <w:rsid w:val="00E15564"/>
    <w:rsid w:val="00E15D9F"/>
    <w:rsid w:val="00E164C4"/>
    <w:rsid w:val="00E177A5"/>
    <w:rsid w:val="00E22D44"/>
    <w:rsid w:val="00E23056"/>
    <w:rsid w:val="00E230DD"/>
    <w:rsid w:val="00E23EF0"/>
    <w:rsid w:val="00E25E36"/>
    <w:rsid w:val="00E26C70"/>
    <w:rsid w:val="00E26E07"/>
    <w:rsid w:val="00E322A5"/>
    <w:rsid w:val="00E3300A"/>
    <w:rsid w:val="00E34760"/>
    <w:rsid w:val="00E3525C"/>
    <w:rsid w:val="00E3589E"/>
    <w:rsid w:val="00E37B85"/>
    <w:rsid w:val="00E40529"/>
    <w:rsid w:val="00E4137C"/>
    <w:rsid w:val="00E43832"/>
    <w:rsid w:val="00E471C1"/>
    <w:rsid w:val="00E47B87"/>
    <w:rsid w:val="00E50BB5"/>
    <w:rsid w:val="00E5136B"/>
    <w:rsid w:val="00E5404F"/>
    <w:rsid w:val="00E56E7D"/>
    <w:rsid w:val="00E57D06"/>
    <w:rsid w:val="00E617A8"/>
    <w:rsid w:val="00E65467"/>
    <w:rsid w:val="00E67015"/>
    <w:rsid w:val="00E67BF3"/>
    <w:rsid w:val="00E70B0D"/>
    <w:rsid w:val="00E72732"/>
    <w:rsid w:val="00E73A97"/>
    <w:rsid w:val="00E7462C"/>
    <w:rsid w:val="00E77286"/>
    <w:rsid w:val="00E776EE"/>
    <w:rsid w:val="00E80F89"/>
    <w:rsid w:val="00E81B3E"/>
    <w:rsid w:val="00E84C0F"/>
    <w:rsid w:val="00E84FE0"/>
    <w:rsid w:val="00E857E5"/>
    <w:rsid w:val="00E86298"/>
    <w:rsid w:val="00E867AC"/>
    <w:rsid w:val="00E86C7A"/>
    <w:rsid w:val="00E879E4"/>
    <w:rsid w:val="00E904DD"/>
    <w:rsid w:val="00E909FF"/>
    <w:rsid w:val="00E90DDB"/>
    <w:rsid w:val="00E91681"/>
    <w:rsid w:val="00E91A67"/>
    <w:rsid w:val="00E923F9"/>
    <w:rsid w:val="00E92540"/>
    <w:rsid w:val="00E930DF"/>
    <w:rsid w:val="00E94809"/>
    <w:rsid w:val="00E95462"/>
    <w:rsid w:val="00E95BFE"/>
    <w:rsid w:val="00E96BDA"/>
    <w:rsid w:val="00E96CE5"/>
    <w:rsid w:val="00E97258"/>
    <w:rsid w:val="00EA0437"/>
    <w:rsid w:val="00EA0D7C"/>
    <w:rsid w:val="00EA1935"/>
    <w:rsid w:val="00EA1A40"/>
    <w:rsid w:val="00EA2CEC"/>
    <w:rsid w:val="00EA4051"/>
    <w:rsid w:val="00EA4B05"/>
    <w:rsid w:val="00EB0C75"/>
    <w:rsid w:val="00EB0E29"/>
    <w:rsid w:val="00EB20F5"/>
    <w:rsid w:val="00EB3BE7"/>
    <w:rsid w:val="00EB3FAE"/>
    <w:rsid w:val="00EB4581"/>
    <w:rsid w:val="00EB59CC"/>
    <w:rsid w:val="00EC08D3"/>
    <w:rsid w:val="00EC12E1"/>
    <w:rsid w:val="00EC1C9B"/>
    <w:rsid w:val="00EC3977"/>
    <w:rsid w:val="00EC475C"/>
    <w:rsid w:val="00EC51A7"/>
    <w:rsid w:val="00EC587D"/>
    <w:rsid w:val="00EC5D07"/>
    <w:rsid w:val="00EC613A"/>
    <w:rsid w:val="00ED011A"/>
    <w:rsid w:val="00ED481D"/>
    <w:rsid w:val="00ED4F44"/>
    <w:rsid w:val="00ED6D31"/>
    <w:rsid w:val="00ED7428"/>
    <w:rsid w:val="00EE2CFA"/>
    <w:rsid w:val="00EE496B"/>
    <w:rsid w:val="00EE646D"/>
    <w:rsid w:val="00EE7671"/>
    <w:rsid w:val="00EF1993"/>
    <w:rsid w:val="00EF2ED4"/>
    <w:rsid w:val="00EF37E8"/>
    <w:rsid w:val="00EF4F91"/>
    <w:rsid w:val="00EF655C"/>
    <w:rsid w:val="00EF71C2"/>
    <w:rsid w:val="00EF7B48"/>
    <w:rsid w:val="00F01893"/>
    <w:rsid w:val="00F01C18"/>
    <w:rsid w:val="00F050BF"/>
    <w:rsid w:val="00F05DAF"/>
    <w:rsid w:val="00F07DB5"/>
    <w:rsid w:val="00F10584"/>
    <w:rsid w:val="00F118E6"/>
    <w:rsid w:val="00F16807"/>
    <w:rsid w:val="00F20CE8"/>
    <w:rsid w:val="00F20E7C"/>
    <w:rsid w:val="00F243E0"/>
    <w:rsid w:val="00F2440A"/>
    <w:rsid w:val="00F25595"/>
    <w:rsid w:val="00F31BF7"/>
    <w:rsid w:val="00F3260A"/>
    <w:rsid w:val="00F338A5"/>
    <w:rsid w:val="00F34C1D"/>
    <w:rsid w:val="00F41B42"/>
    <w:rsid w:val="00F434BE"/>
    <w:rsid w:val="00F445CA"/>
    <w:rsid w:val="00F45C98"/>
    <w:rsid w:val="00F46129"/>
    <w:rsid w:val="00F46887"/>
    <w:rsid w:val="00F468E4"/>
    <w:rsid w:val="00F53847"/>
    <w:rsid w:val="00F556F4"/>
    <w:rsid w:val="00F5574C"/>
    <w:rsid w:val="00F568F7"/>
    <w:rsid w:val="00F605AC"/>
    <w:rsid w:val="00F62097"/>
    <w:rsid w:val="00F6565B"/>
    <w:rsid w:val="00F65815"/>
    <w:rsid w:val="00F65E60"/>
    <w:rsid w:val="00F67AAE"/>
    <w:rsid w:val="00F70540"/>
    <w:rsid w:val="00F71B94"/>
    <w:rsid w:val="00F74795"/>
    <w:rsid w:val="00F803F2"/>
    <w:rsid w:val="00F80D12"/>
    <w:rsid w:val="00F82DDF"/>
    <w:rsid w:val="00F83D65"/>
    <w:rsid w:val="00F83E40"/>
    <w:rsid w:val="00F85FF3"/>
    <w:rsid w:val="00F86B7C"/>
    <w:rsid w:val="00F87E34"/>
    <w:rsid w:val="00F90015"/>
    <w:rsid w:val="00F90573"/>
    <w:rsid w:val="00F90D78"/>
    <w:rsid w:val="00F9291C"/>
    <w:rsid w:val="00F94328"/>
    <w:rsid w:val="00F94F52"/>
    <w:rsid w:val="00F96468"/>
    <w:rsid w:val="00FA123F"/>
    <w:rsid w:val="00FA2755"/>
    <w:rsid w:val="00FA2D00"/>
    <w:rsid w:val="00FA3CBF"/>
    <w:rsid w:val="00FA3D0B"/>
    <w:rsid w:val="00FB05D2"/>
    <w:rsid w:val="00FB164B"/>
    <w:rsid w:val="00FB4257"/>
    <w:rsid w:val="00FB4463"/>
    <w:rsid w:val="00FC009F"/>
    <w:rsid w:val="00FC045C"/>
    <w:rsid w:val="00FC2504"/>
    <w:rsid w:val="00FC36F2"/>
    <w:rsid w:val="00FC3F56"/>
    <w:rsid w:val="00FC41F4"/>
    <w:rsid w:val="00FC42DD"/>
    <w:rsid w:val="00FC4EA6"/>
    <w:rsid w:val="00FC7881"/>
    <w:rsid w:val="00FD0495"/>
    <w:rsid w:val="00FD15EE"/>
    <w:rsid w:val="00FD1EAB"/>
    <w:rsid w:val="00FD21F0"/>
    <w:rsid w:val="00FD2935"/>
    <w:rsid w:val="00FD439E"/>
    <w:rsid w:val="00FD50A3"/>
    <w:rsid w:val="00FD5504"/>
    <w:rsid w:val="00FD58E7"/>
    <w:rsid w:val="00FD5A49"/>
    <w:rsid w:val="00FD5FF7"/>
    <w:rsid w:val="00FD64CB"/>
    <w:rsid w:val="00FD6D2F"/>
    <w:rsid w:val="00FE059E"/>
    <w:rsid w:val="00FE0CBE"/>
    <w:rsid w:val="00FE128F"/>
    <w:rsid w:val="00FE22C6"/>
    <w:rsid w:val="00FE2A49"/>
    <w:rsid w:val="00FE2E98"/>
    <w:rsid w:val="00FE7980"/>
    <w:rsid w:val="00FF01B1"/>
    <w:rsid w:val="00FF16E5"/>
    <w:rsid w:val="00FF2612"/>
    <w:rsid w:val="00FF3679"/>
    <w:rsid w:val="00FF3EC9"/>
    <w:rsid w:val="00FF5867"/>
    <w:rsid w:val="00FF7C98"/>
    <w:rsid w:val="01F80BD1"/>
    <w:rsid w:val="07AD9F6E"/>
    <w:rsid w:val="1DCF37D9"/>
    <w:rsid w:val="1FC158EC"/>
    <w:rsid w:val="1FCF07EE"/>
    <w:rsid w:val="266BEFC5"/>
    <w:rsid w:val="2F9D2AB3"/>
    <w:rsid w:val="3E409548"/>
    <w:rsid w:val="3FE797ED"/>
    <w:rsid w:val="45383018"/>
    <w:rsid w:val="472C9FD7"/>
    <w:rsid w:val="4CC993D2"/>
    <w:rsid w:val="552E6E27"/>
    <w:rsid w:val="5AB07840"/>
    <w:rsid w:val="5DF7C13D"/>
    <w:rsid w:val="663AEEF5"/>
    <w:rsid w:val="6C067929"/>
    <w:rsid w:val="70B0E8D9"/>
    <w:rsid w:val="743E11B0"/>
    <w:rsid w:val="745A4CC9"/>
    <w:rsid w:val="76062783"/>
    <w:rsid w:val="7DB4C007"/>
    <w:rsid w:val="7E16BA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DA2AC"/>
  <w14:defaultImageDpi w14:val="32767"/>
  <w15:chartTrackingRefBased/>
  <w15:docId w15:val="{3825FA67-7821-0A4C-AE56-BBAA272F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2C81"/>
    <w:pPr>
      <w:spacing w:after="120" w:line="360" w:lineRule="auto"/>
      <w:jc w:val="both"/>
    </w:pPr>
    <w:rPr>
      <w:rFonts w:ascii="Times New Roman" w:hAnsi="Times New Roman"/>
    </w:rPr>
  </w:style>
  <w:style w:type="paragraph" w:styleId="Heading1">
    <w:name w:val="heading 1"/>
    <w:basedOn w:val="Normal"/>
    <w:next w:val="Normal"/>
    <w:link w:val="Heading1Char"/>
    <w:uiPriority w:val="9"/>
    <w:qFormat/>
    <w:rsid w:val="00FC3F56"/>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C3F56"/>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F37E8"/>
    <w:pPr>
      <w:keepNext/>
      <w:keepLines/>
      <w:spacing w:before="40" w:after="0"/>
      <w:outlineLvl w:val="2"/>
    </w:pPr>
    <w:rPr>
      <w:rFonts w:eastAsiaTheme="majorEastAsia"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575"/>
    <w:pPr>
      <w:ind w:left="720"/>
      <w:contextualSpacing/>
    </w:pPr>
  </w:style>
  <w:style w:type="paragraph" w:styleId="Title">
    <w:name w:val="Title"/>
    <w:basedOn w:val="Normal"/>
    <w:next w:val="Normal"/>
    <w:link w:val="TitleChar"/>
    <w:uiPriority w:val="10"/>
    <w:qFormat/>
    <w:rsid w:val="0073490C"/>
    <w:pPr>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FC3F56"/>
    <w:rPr>
      <w:rFonts w:ascii="Times New Roman" w:eastAsiaTheme="majorEastAsia" w:hAnsi="Times New Roman" w:cstheme="majorBidi"/>
      <w:b/>
      <w:spacing w:val="-10"/>
      <w:kern w:val="28"/>
      <w:sz w:val="44"/>
      <w:szCs w:val="56"/>
    </w:rPr>
  </w:style>
  <w:style w:type="paragraph" w:styleId="Subtitle">
    <w:name w:val="Subtitle"/>
    <w:basedOn w:val="Normal"/>
    <w:next w:val="Normal"/>
    <w:link w:val="SubtitleChar"/>
    <w:uiPriority w:val="11"/>
    <w:qFormat/>
    <w:rsid w:val="00FC3F56"/>
    <w:pPr>
      <w:numPr>
        <w:ilvl w:val="1"/>
      </w:numPr>
      <w:spacing w:after="160"/>
    </w:pPr>
    <w:rPr>
      <w:rFonts w:eastAsiaTheme="minorEastAsia"/>
      <w:color w:val="000000" w:themeColor="text1"/>
      <w:spacing w:val="15"/>
      <w:sz w:val="22"/>
      <w:szCs w:val="22"/>
    </w:rPr>
  </w:style>
  <w:style w:type="character" w:customStyle="1" w:styleId="SubtitleChar">
    <w:name w:val="Subtitle Char"/>
    <w:basedOn w:val="DefaultParagraphFont"/>
    <w:link w:val="Subtitle"/>
    <w:uiPriority w:val="11"/>
    <w:rsid w:val="00FC3F56"/>
    <w:rPr>
      <w:rFonts w:ascii="Times New Roman" w:eastAsiaTheme="minorEastAsia" w:hAnsi="Times New Roman"/>
      <w:color w:val="000000" w:themeColor="text1"/>
      <w:spacing w:val="15"/>
      <w:sz w:val="22"/>
      <w:szCs w:val="22"/>
    </w:rPr>
  </w:style>
  <w:style w:type="character" w:customStyle="1" w:styleId="Heading1Char">
    <w:name w:val="Heading 1 Char"/>
    <w:basedOn w:val="DefaultParagraphFont"/>
    <w:link w:val="Heading1"/>
    <w:uiPriority w:val="9"/>
    <w:rsid w:val="00FC3F56"/>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FC3F56"/>
    <w:rPr>
      <w:rFonts w:ascii="Times New Roman" w:eastAsiaTheme="majorEastAsia" w:hAnsi="Times New Roman" w:cstheme="majorBidi"/>
      <w:b/>
      <w:color w:val="000000" w:themeColor="text1"/>
      <w:sz w:val="26"/>
      <w:szCs w:val="26"/>
    </w:rPr>
  </w:style>
  <w:style w:type="character" w:styleId="Hyperlink">
    <w:name w:val="Hyperlink"/>
    <w:basedOn w:val="DefaultParagraphFont"/>
    <w:uiPriority w:val="99"/>
    <w:unhideWhenUsed/>
    <w:rsid w:val="00D75C8F"/>
    <w:rPr>
      <w:color w:val="0563C1" w:themeColor="hyperlink"/>
      <w:u w:val="single"/>
    </w:rPr>
  </w:style>
  <w:style w:type="character" w:styleId="UnresolvedMention">
    <w:name w:val="Unresolved Mention"/>
    <w:basedOn w:val="DefaultParagraphFont"/>
    <w:uiPriority w:val="99"/>
    <w:rsid w:val="00D75C8F"/>
    <w:rPr>
      <w:color w:val="605E5C"/>
      <w:shd w:val="clear" w:color="auto" w:fill="E1DFDD"/>
    </w:rPr>
  </w:style>
  <w:style w:type="character" w:styleId="CommentReference">
    <w:name w:val="annotation reference"/>
    <w:basedOn w:val="DefaultParagraphFont"/>
    <w:uiPriority w:val="99"/>
    <w:semiHidden/>
    <w:unhideWhenUsed/>
    <w:rsid w:val="00734BA2"/>
    <w:rPr>
      <w:sz w:val="16"/>
      <w:szCs w:val="16"/>
    </w:rPr>
  </w:style>
  <w:style w:type="paragraph" w:styleId="CommentText">
    <w:name w:val="annotation text"/>
    <w:basedOn w:val="Normal"/>
    <w:link w:val="CommentTextChar"/>
    <w:uiPriority w:val="99"/>
    <w:semiHidden/>
    <w:unhideWhenUsed/>
    <w:rsid w:val="00734BA2"/>
    <w:pPr>
      <w:spacing w:line="240" w:lineRule="auto"/>
    </w:pPr>
    <w:rPr>
      <w:sz w:val="20"/>
      <w:szCs w:val="20"/>
    </w:rPr>
  </w:style>
  <w:style w:type="character" w:customStyle="1" w:styleId="CommentTextChar">
    <w:name w:val="Comment Text Char"/>
    <w:basedOn w:val="DefaultParagraphFont"/>
    <w:link w:val="CommentText"/>
    <w:uiPriority w:val="99"/>
    <w:semiHidden/>
    <w:rsid w:val="00734B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4BA2"/>
    <w:rPr>
      <w:b/>
      <w:bCs/>
    </w:rPr>
  </w:style>
  <w:style w:type="character" w:customStyle="1" w:styleId="CommentSubjectChar">
    <w:name w:val="Comment Subject Char"/>
    <w:basedOn w:val="CommentTextChar"/>
    <w:link w:val="CommentSubject"/>
    <w:uiPriority w:val="99"/>
    <w:semiHidden/>
    <w:rsid w:val="00734BA2"/>
    <w:rPr>
      <w:rFonts w:ascii="Times New Roman" w:hAnsi="Times New Roman"/>
      <w:b/>
      <w:bCs/>
      <w:sz w:val="20"/>
      <w:szCs w:val="20"/>
    </w:rPr>
  </w:style>
  <w:style w:type="paragraph" w:styleId="BalloonText">
    <w:name w:val="Balloon Text"/>
    <w:basedOn w:val="Normal"/>
    <w:link w:val="BalloonTextChar"/>
    <w:uiPriority w:val="99"/>
    <w:semiHidden/>
    <w:unhideWhenUsed/>
    <w:rsid w:val="00734BA2"/>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734BA2"/>
    <w:rPr>
      <w:rFonts w:ascii="Times New Roman" w:hAnsi="Times New Roman" w:cs="Times New Roman"/>
      <w:sz w:val="18"/>
      <w:szCs w:val="18"/>
    </w:rPr>
  </w:style>
  <w:style w:type="table" w:styleId="TableGrid">
    <w:name w:val="Table Grid"/>
    <w:basedOn w:val="TableNormal"/>
    <w:uiPriority w:val="39"/>
    <w:rsid w:val="00D1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439E"/>
    <w:pPr>
      <w:spacing w:before="100" w:beforeAutospacing="1" w:after="100" w:afterAutospacing="1" w:line="240" w:lineRule="auto"/>
    </w:pPr>
    <w:rPr>
      <w:rFonts w:eastAsia="Times New Roman" w:cs="Times New Roman"/>
      <w:lang w:eastAsia="en-GB"/>
    </w:rPr>
  </w:style>
  <w:style w:type="character" w:customStyle="1" w:styleId="apple-converted-space">
    <w:name w:val="apple-converted-space"/>
    <w:basedOn w:val="DefaultParagraphFont"/>
    <w:rsid w:val="00FD439E"/>
  </w:style>
  <w:style w:type="character" w:styleId="LineNumber">
    <w:name w:val="line number"/>
    <w:basedOn w:val="DefaultParagraphFont"/>
    <w:uiPriority w:val="99"/>
    <w:semiHidden/>
    <w:unhideWhenUsed/>
    <w:rsid w:val="00462AF0"/>
  </w:style>
  <w:style w:type="character" w:customStyle="1" w:styleId="Heading3Char">
    <w:name w:val="Heading 3 Char"/>
    <w:basedOn w:val="DefaultParagraphFont"/>
    <w:link w:val="Heading3"/>
    <w:uiPriority w:val="9"/>
    <w:rsid w:val="00EF37E8"/>
    <w:rPr>
      <w:rFonts w:ascii="Times New Roman" w:eastAsiaTheme="majorEastAsia" w:hAnsi="Times New Roman" w:cstheme="majorBidi"/>
      <w:color w:val="000000" w:themeColor="text1"/>
      <w:u w:val="single"/>
    </w:rPr>
  </w:style>
  <w:style w:type="paragraph" w:styleId="Caption">
    <w:name w:val="caption"/>
    <w:basedOn w:val="Normal"/>
    <w:next w:val="Normal"/>
    <w:uiPriority w:val="35"/>
    <w:unhideWhenUsed/>
    <w:qFormat/>
    <w:rsid w:val="00727B41"/>
    <w:pPr>
      <w:spacing w:after="200" w:line="240" w:lineRule="auto"/>
    </w:pPr>
    <w:rPr>
      <w:i/>
      <w:iCs/>
      <w:color w:val="000000" w:themeColor="text1"/>
      <w:sz w:val="20"/>
      <w:szCs w:val="18"/>
    </w:rPr>
  </w:style>
  <w:style w:type="paragraph" w:styleId="NoSpacing">
    <w:name w:val="No Spacing"/>
    <w:uiPriority w:val="1"/>
    <w:qFormat/>
    <w:rsid w:val="00196591"/>
    <w:rPr>
      <w:rFonts w:ascii="Times New Roman" w:hAnsi="Times New Roman"/>
    </w:rPr>
  </w:style>
  <w:style w:type="character" w:styleId="FollowedHyperlink">
    <w:name w:val="FollowedHyperlink"/>
    <w:basedOn w:val="DefaultParagraphFont"/>
    <w:uiPriority w:val="99"/>
    <w:semiHidden/>
    <w:unhideWhenUsed/>
    <w:rsid w:val="00DA3007"/>
    <w:rPr>
      <w:color w:val="954F72" w:themeColor="followedHyperlink"/>
      <w:u w:val="single"/>
    </w:rPr>
  </w:style>
  <w:style w:type="character" w:styleId="SubtleEmphasis">
    <w:name w:val="Subtle Emphasis"/>
    <w:aliases w:val="Code (emphasis)"/>
    <w:basedOn w:val="DefaultParagraphFont"/>
    <w:uiPriority w:val="19"/>
    <w:qFormat/>
    <w:rsid w:val="001638B1"/>
    <w:rPr>
      <w:rFonts w:ascii="Courier" w:hAnsi="Courier"/>
      <w:i w:val="0"/>
      <w:iCs/>
      <w:noProof/>
      <w:color w:val="000000" w:themeColor="text1"/>
      <w:sz w:val="20"/>
      <w:lang w:val="en-GB"/>
    </w:rPr>
  </w:style>
  <w:style w:type="paragraph" w:customStyle="1" w:styleId="Tabletext">
    <w:name w:val="Table text"/>
    <w:basedOn w:val="NoSpacing"/>
    <w:qFormat/>
    <w:rsid w:val="001D52EE"/>
    <w:rPr>
      <w:rFonts w:asciiTheme="minorHAnsi" w:hAnsiTheme="minorHAnsi" w:cstheme="minorHAnsi"/>
      <w:sz w:val="20"/>
      <w:szCs w:val="20"/>
    </w:rPr>
  </w:style>
  <w:style w:type="paragraph" w:styleId="Header">
    <w:name w:val="header"/>
    <w:basedOn w:val="Normal"/>
    <w:link w:val="HeaderChar"/>
    <w:uiPriority w:val="99"/>
    <w:unhideWhenUsed/>
    <w:rsid w:val="0001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B2"/>
    <w:rPr>
      <w:rFonts w:ascii="Times New Roman" w:hAnsi="Times New Roman"/>
    </w:rPr>
  </w:style>
  <w:style w:type="paragraph" w:styleId="Footer">
    <w:name w:val="footer"/>
    <w:basedOn w:val="Normal"/>
    <w:link w:val="FooterChar"/>
    <w:uiPriority w:val="99"/>
    <w:unhideWhenUsed/>
    <w:rsid w:val="0001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B2"/>
    <w:rPr>
      <w:rFonts w:ascii="Times New Roman" w:hAnsi="Times New Roman"/>
    </w:rPr>
  </w:style>
  <w:style w:type="character" w:styleId="PageNumber">
    <w:name w:val="page number"/>
    <w:basedOn w:val="DefaultParagraphFont"/>
    <w:uiPriority w:val="99"/>
    <w:semiHidden/>
    <w:unhideWhenUsed/>
    <w:rsid w:val="000164B2"/>
  </w:style>
  <w:style w:type="character" w:styleId="Mention">
    <w:name w:val="Mention"/>
    <w:basedOn w:val="DefaultParagraphFont"/>
    <w:uiPriority w:val="99"/>
    <w:unhideWhenUsed/>
    <w:rsid w:val="00CA6B10"/>
    <w:rPr>
      <w:color w:val="2B579A"/>
      <w:shd w:val="clear" w:color="auto" w:fill="E1DFDD"/>
    </w:rPr>
  </w:style>
  <w:style w:type="paragraph" w:customStyle="1" w:styleId="Code">
    <w:name w:val="Code"/>
    <w:basedOn w:val="Normal"/>
    <w:qFormat/>
    <w:rsid w:val="009C73D6"/>
    <w:pPr>
      <w:spacing w:line="240" w:lineRule="auto"/>
      <w:ind w:left="720" w:hanging="720"/>
      <w:mirrorIndents/>
      <w:jc w:val="left"/>
    </w:pPr>
    <w:rPr>
      <w:rFonts w:ascii="Consolas" w:hAnsi="Consolas"/>
      <w:sz w:val="20"/>
    </w:rPr>
  </w:style>
  <w:style w:type="paragraph" w:customStyle="1" w:styleId="Tabletextheading">
    <w:name w:val="Table text heading"/>
    <w:basedOn w:val="Tabletext"/>
    <w:next w:val="Tabletext"/>
    <w:qFormat/>
    <w:rsid w:val="005056C9"/>
    <w:pPr>
      <w:spacing w:before="120" w:after="120"/>
    </w:pPr>
    <w:rPr>
      <w:b/>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14703">
      <w:bodyDiv w:val="1"/>
      <w:marLeft w:val="0"/>
      <w:marRight w:val="0"/>
      <w:marTop w:val="0"/>
      <w:marBottom w:val="0"/>
      <w:divBdr>
        <w:top w:val="none" w:sz="0" w:space="0" w:color="auto"/>
        <w:left w:val="none" w:sz="0" w:space="0" w:color="auto"/>
        <w:bottom w:val="none" w:sz="0" w:space="0" w:color="auto"/>
        <w:right w:val="none" w:sz="0" w:space="0" w:color="auto"/>
      </w:divBdr>
    </w:div>
    <w:div w:id="472525433">
      <w:bodyDiv w:val="1"/>
      <w:marLeft w:val="0"/>
      <w:marRight w:val="0"/>
      <w:marTop w:val="0"/>
      <w:marBottom w:val="0"/>
      <w:divBdr>
        <w:top w:val="none" w:sz="0" w:space="0" w:color="auto"/>
        <w:left w:val="none" w:sz="0" w:space="0" w:color="auto"/>
        <w:bottom w:val="none" w:sz="0" w:space="0" w:color="auto"/>
        <w:right w:val="none" w:sz="0" w:space="0" w:color="auto"/>
      </w:divBdr>
    </w:div>
    <w:div w:id="677927242">
      <w:bodyDiv w:val="1"/>
      <w:marLeft w:val="0"/>
      <w:marRight w:val="0"/>
      <w:marTop w:val="0"/>
      <w:marBottom w:val="0"/>
      <w:divBdr>
        <w:top w:val="none" w:sz="0" w:space="0" w:color="auto"/>
        <w:left w:val="none" w:sz="0" w:space="0" w:color="auto"/>
        <w:bottom w:val="none" w:sz="0" w:space="0" w:color="auto"/>
        <w:right w:val="none" w:sz="0" w:space="0" w:color="auto"/>
      </w:divBdr>
    </w:div>
    <w:div w:id="832794027">
      <w:bodyDiv w:val="1"/>
      <w:marLeft w:val="0"/>
      <w:marRight w:val="0"/>
      <w:marTop w:val="0"/>
      <w:marBottom w:val="0"/>
      <w:divBdr>
        <w:top w:val="none" w:sz="0" w:space="0" w:color="auto"/>
        <w:left w:val="none" w:sz="0" w:space="0" w:color="auto"/>
        <w:bottom w:val="none" w:sz="0" w:space="0" w:color="auto"/>
        <w:right w:val="none" w:sz="0" w:space="0" w:color="auto"/>
      </w:divBdr>
    </w:div>
    <w:div w:id="1351297150">
      <w:bodyDiv w:val="1"/>
      <w:marLeft w:val="0"/>
      <w:marRight w:val="0"/>
      <w:marTop w:val="0"/>
      <w:marBottom w:val="0"/>
      <w:divBdr>
        <w:top w:val="none" w:sz="0" w:space="0" w:color="auto"/>
        <w:left w:val="none" w:sz="0" w:space="0" w:color="auto"/>
        <w:bottom w:val="none" w:sz="0" w:space="0" w:color="auto"/>
        <w:right w:val="none" w:sz="0" w:space="0" w:color="auto"/>
      </w:divBdr>
    </w:div>
    <w:div w:id="1453212217">
      <w:bodyDiv w:val="1"/>
      <w:marLeft w:val="0"/>
      <w:marRight w:val="0"/>
      <w:marTop w:val="0"/>
      <w:marBottom w:val="0"/>
      <w:divBdr>
        <w:top w:val="none" w:sz="0" w:space="0" w:color="auto"/>
        <w:left w:val="none" w:sz="0" w:space="0" w:color="auto"/>
        <w:bottom w:val="none" w:sz="0" w:space="0" w:color="auto"/>
        <w:right w:val="none" w:sz="0" w:space="0" w:color="auto"/>
      </w:divBdr>
    </w:div>
    <w:div w:id="19289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mathworks.com/matlabcentral/fileexchange/37856-inpolyhedron-are-points-inside-a-triangulated-volu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thworks.com/matlabcentral/fileexchange/10056-scattered-data-interpolation-and-approximation-using-radial-base-functions" TargetMode="External"/><Relationship Id="rId10" Type="http://schemas.openxmlformats.org/officeDocument/2006/relationships/hyperlink" Target="https://doi.org/10.5281/zenodo.4471319" TargetMode="External"/><Relationship Id="rId4" Type="http://schemas.openxmlformats.org/officeDocument/2006/relationships/settings" Target="settings.xml"/><Relationship Id="rId9" Type="http://schemas.openxmlformats.org/officeDocument/2006/relationships/hyperlink" Target="http://openep.io" TargetMode="External"/><Relationship Id="rId14" Type="http://schemas.openxmlformats.org/officeDocument/2006/relationships/hyperlink" Target="https://www.mathworks.com/matlabcentral/fileexchange/63614-centroid-of-triangulated-polyhe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630AC3-4C9E-434B-BC0F-F19DA766B6D9}">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7F91-F5F6-3446-A9E1-06B205CC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37983</Words>
  <Characters>216508</Characters>
  <Application>Microsoft Office Word</Application>
  <DocSecurity>0</DocSecurity>
  <Lines>1804</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253984</CharactersWithSpaces>
  <SharedDoc>false</SharedDoc>
  <HLinks>
    <vt:vector size="12" baseType="variant">
      <vt:variant>
        <vt:i4>327694</vt:i4>
      </vt:variant>
      <vt:variant>
        <vt:i4>6</vt:i4>
      </vt:variant>
      <vt:variant>
        <vt:i4>0</vt:i4>
      </vt:variant>
      <vt:variant>
        <vt:i4>5</vt:i4>
      </vt:variant>
      <vt:variant>
        <vt:lpwstr>http://openep.io/</vt:lpwstr>
      </vt:variant>
      <vt:variant>
        <vt:lpwstr/>
      </vt:variant>
      <vt:variant>
        <vt:i4>655367</vt:i4>
      </vt:variant>
      <vt:variant>
        <vt:i4>0</vt:i4>
      </vt:variant>
      <vt:variant>
        <vt:i4>0</vt:i4>
      </vt:variant>
      <vt:variant>
        <vt:i4>5</vt:i4>
      </vt:variant>
      <vt:variant>
        <vt:lpwstr>https://pubmed.ncbi.nlm.nih.gov/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Steven</dc:creator>
  <cp:keywords/>
  <dc:description/>
  <cp:lastModifiedBy>Williams, Steven</cp:lastModifiedBy>
  <cp:revision>3</cp:revision>
  <cp:lastPrinted>2021-01-27T12:38:00Z</cp:lastPrinted>
  <dcterms:created xsi:type="dcterms:W3CDTF">2021-01-27T12:38:00Z</dcterms:created>
  <dcterms:modified xsi:type="dcterms:W3CDTF">2021-01-27T12:55:00Z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documentId_8892</vt:lpwstr>
  </property>
  <property fmtid="{D5CDD505-2E9C-101B-9397-08002B2CF9AE}" pid="3" name="grammarly_documentContext">
    <vt:lpwstr>{"goals":[],"domain":"general","emotions":[],"dialect":"american"}</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17th edition (author-date)</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http://www.zotero.org/styles/frontiers-in-physiology</vt:lpwstr>
  </property>
  <property fmtid="{D5CDD505-2E9C-101B-9397-08002B2CF9AE}" pid="11" name="Mendeley Recent Style Name 3_1">
    <vt:lpwstr>Frontiers in Physiology</vt:lpwstr>
  </property>
  <property fmtid="{D5CDD505-2E9C-101B-9397-08002B2CF9AE}" pid="12" name="Mendeley Recent Style Id 4_1">
    <vt:lpwstr>http://www.zotero.org/styles/frontiers</vt:lpwstr>
  </property>
  <property fmtid="{D5CDD505-2E9C-101B-9397-08002B2CF9AE}" pid="13" name="Mendeley Recent Style Name 4_1">
    <vt:lpwstr>Frontiers journals</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http://www.zotero.org/styles/royal-society-open-science</vt:lpwstr>
  </property>
  <property fmtid="{D5CDD505-2E9C-101B-9397-08002B2CF9AE}" pid="21" name="Mendeley Recent Style Name 8_1">
    <vt:lpwstr>Royal Society Open Science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d7bf2efa-c5b9-3f2e-88f1-7d14a9b79070</vt:lpwstr>
  </property>
  <property fmtid="{D5CDD505-2E9C-101B-9397-08002B2CF9AE}" pid="26" name="Mendeley Citation Style_1">
    <vt:lpwstr>http://www.zotero.org/styles/frontiers-in-physiology</vt:lpwstr>
  </property>
</Properties>
</file>