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E8EF1" w14:textId="26E3946E" w:rsidR="00DE6C4F" w:rsidRDefault="00DE6C4F" w:rsidP="00DE6C4F">
      <w:pPr>
        <w:jc w:val="both"/>
        <w:rPr>
          <w:b/>
        </w:rPr>
      </w:pPr>
      <w:bookmarkStart w:id="0" w:name="_Hlk5877562"/>
      <w:bookmarkEnd w:id="0"/>
      <w:r w:rsidRPr="00CD00A5">
        <w:rPr>
          <w:b/>
        </w:rPr>
        <w:t xml:space="preserve">Classification of first-episode psychosis using </w:t>
      </w:r>
      <w:r w:rsidR="00966CD8">
        <w:rPr>
          <w:b/>
        </w:rPr>
        <w:t>cortical</w:t>
      </w:r>
      <w:r w:rsidRPr="00CD00A5">
        <w:rPr>
          <w:b/>
        </w:rPr>
        <w:t xml:space="preserve"> thickness: a large multicenter MRI study. </w:t>
      </w:r>
    </w:p>
    <w:p w14:paraId="619FB9BB" w14:textId="5B5783A1" w:rsidR="00DE6C4F" w:rsidRDefault="00DE6C4F" w:rsidP="00FC43AF">
      <w:pPr>
        <w:jc w:val="both"/>
        <w:rPr>
          <w:b/>
        </w:rPr>
      </w:pPr>
      <w:r>
        <w:rPr>
          <w:b/>
        </w:rPr>
        <w:t>Pigoni et al.</w:t>
      </w:r>
    </w:p>
    <w:p w14:paraId="2581E5ED" w14:textId="77777777" w:rsidR="00DE6C4F" w:rsidRDefault="00DE6C4F" w:rsidP="00FC43AF">
      <w:pPr>
        <w:jc w:val="both"/>
        <w:rPr>
          <w:b/>
        </w:rPr>
      </w:pPr>
    </w:p>
    <w:p w14:paraId="04C523BE" w14:textId="47A524CF" w:rsidR="00923015" w:rsidRDefault="00923015" w:rsidP="00FC43AF">
      <w:pPr>
        <w:jc w:val="both"/>
        <w:rPr>
          <w:b/>
        </w:rPr>
      </w:pPr>
      <w:r>
        <w:rPr>
          <w:b/>
        </w:rPr>
        <w:t>Supplementary Information</w:t>
      </w:r>
    </w:p>
    <w:p w14:paraId="7D396BCA" w14:textId="54B642A3" w:rsidR="00923015" w:rsidRDefault="00923015" w:rsidP="00FC43AF">
      <w:pPr>
        <w:jc w:val="both"/>
        <w:rPr>
          <w:b/>
        </w:rPr>
      </w:pPr>
    </w:p>
    <w:p w14:paraId="6F273F7A" w14:textId="24360DC0" w:rsidR="000D46B9" w:rsidRDefault="000D46B9" w:rsidP="00FC43AF">
      <w:pPr>
        <w:jc w:val="both"/>
        <w:rPr>
          <w:b/>
        </w:rPr>
      </w:pPr>
      <w:r>
        <w:rPr>
          <w:b/>
        </w:rPr>
        <w:t>Supplementary Methods</w:t>
      </w:r>
    </w:p>
    <w:p w14:paraId="6E813F04" w14:textId="77777777" w:rsidR="00923015" w:rsidRDefault="00923015" w:rsidP="00FC43AF">
      <w:pPr>
        <w:jc w:val="both"/>
        <w:rPr>
          <w:b/>
        </w:rPr>
      </w:pPr>
    </w:p>
    <w:p w14:paraId="795B54D3" w14:textId="26487BC4" w:rsidR="00FC43AF" w:rsidRPr="00966CD8" w:rsidRDefault="00DE6C4F" w:rsidP="00FC43AF">
      <w:pPr>
        <w:jc w:val="both"/>
        <w:rPr>
          <w:rFonts w:cstheme="minorHAnsi"/>
          <w:b/>
          <w:sz w:val="22"/>
          <w:szCs w:val="22"/>
        </w:rPr>
      </w:pPr>
      <w:r w:rsidRPr="00966CD8">
        <w:rPr>
          <w:rFonts w:cstheme="minorHAnsi"/>
          <w:b/>
          <w:sz w:val="22"/>
          <w:szCs w:val="22"/>
        </w:rPr>
        <w:t xml:space="preserve">1. </w:t>
      </w:r>
      <w:r w:rsidR="00FC43AF" w:rsidRPr="00966CD8">
        <w:rPr>
          <w:rFonts w:cstheme="minorHAnsi"/>
          <w:b/>
          <w:sz w:val="22"/>
          <w:szCs w:val="22"/>
        </w:rPr>
        <w:t>Recruitment procedures and criteria</w:t>
      </w:r>
    </w:p>
    <w:p w14:paraId="714629D6" w14:textId="74D535C2" w:rsidR="00FC43AF" w:rsidRPr="00966CD8" w:rsidRDefault="00FC43AF" w:rsidP="00FC43AF">
      <w:pPr>
        <w:jc w:val="both"/>
        <w:rPr>
          <w:rFonts w:cstheme="minorHAnsi"/>
          <w:sz w:val="22"/>
          <w:szCs w:val="22"/>
          <w:u w:val="single"/>
        </w:rPr>
      </w:pPr>
      <w:r w:rsidRPr="00966CD8">
        <w:rPr>
          <w:rFonts w:cstheme="minorHAnsi"/>
          <w:sz w:val="22"/>
          <w:szCs w:val="22"/>
          <w:u w:val="single"/>
        </w:rPr>
        <w:t>Site 1: Santander</w:t>
      </w:r>
    </w:p>
    <w:p w14:paraId="327C4764" w14:textId="18507909" w:rsidR="00FC43AF" w:rsidRPr="00966CD8" w:rsidRDefault="00FC43AF" w:rsidP="00FC43AF">
      <w:pPr>
        <w:jc w:val="both"/>
        <w:rPr>
          <w:rFonts w:cstheme="minorHAnsi"/>
          <w:sz w:val="22"/>
          <w:szCs w:val="22"/>
        </w:rPr>
      </w:pPr>
      <w:r w:rsidRPr="00966CD8">
        <w:rPr>
          <w:rFonts w:cstheme="minorHAnsi"/>
          <w:sz w:val="22"/>
          <w:szCs w:val="22"/>
        </w:rPr>
        <w:t xml:space="preserve">Data were acquired as part of </w:t>
      </w:r>
      <w:r w:rsidR="00A56FBD" w:rsidRPr="00966CD8">
        <w:rPr>
          <w:rFonts w:cstheme="minorHAnsi"/>
          <w:sz w:val="22"/>
          <w:szCs w:val="22"/>
        </w:rPr>
        <w:t>a</w:t>
      </w:r>
      <w:r w:rsidRPr="00966CD8">
        <w:rPr>
          <w:rFonts w:cstheme="minorHAnsi"/>
          <w:sz w:val="22"/>
          <w:szCs w:val="22"/>
        </w:rPr>
        <w:t xml:space="preserve"> large prospective longitudinal study on first episode psychosis in the region of Cantabria</w:t>
      </w:r>
      <w:r w:rsidR="00B84BEB">
        <w:rPr>
          <w:rFonts w:cstheme="minorHAnsi"/>
          <w:sz w:val="22"/>
          <w:szCs w:val="22"/>
        </w:rPr>
        <w:fldChar w:fldCharType="begin" w:fldLock="1"/>
      </w:r>
      <w:r w:rsidR="00E4073A">
        <w:rPr>
          <w:rFonts w:cstheme="minorHAnsi"/>
          <w:sz w:val="22"/>
          <w:szCs w:val="22"/>
        </w:rPr>
        <w:instrText>ADDIN CSL_CITATION {"citationItems":[{"id":"ITEM-1","itemData":{"DOI":"10.1371/journal.pone.0197715","ISSN":"1932-6203","PMID":"29856773","abstract":"Lack of insight is a core feature of non-affective psychosis and has been associated with poorer outcomes. Brain abnormalities underlying lack of insight have been suggested, mostly in the frontal lobe, although previous research showed mixed results. We used a voxel-based morphometry (VBM) analysis in 108 first-episode non-affective psychosis patients to investigate the pattern of brain structural abnormalities related to lack of insight. In addition, 77 healthy volunteers were compared with the patients classified as having poor and good insight. The shortened version of the Scale to Assess Unawareness of Mental Disorder was used to evaluate insight. Patients with poor insight (n = 68) compared with patients with good insight (n = 40) showed a single significant cluster (kc = 5834; PcFWE = 0.001) of reduced grey matter volume (GMV) in the right occipital lobe extending to its lateral and medial surfaces, the cuneus, and the middle temporal gyrus. In addition, GMV at this cluster showed a negative correlation with the score of the SUMD (r = -0.305; p = 0.001). When comparing patients with poor insight with healthy subjects overall reductions of GMV were found, mainly in frontal and occipital lobes. Hence, poor insight in non-affective psychosis seems to be associated with specific brain abnormalities in the right occipital and temporal cortical regions. Dysfunction in any combination of these areas may contribute to lack of insight in non-affective psychosis. Specifically, the 'right' hemisphere dysfunction underlying impaired insight in our sample is consistent with previously reported similarities between lack of insight in psychosis and anosognosia in neurological disorders.","author":[{"dropping-particle":"","family":"Tordesillas-Gutierrez","given":"Diana","non-dropping-particle":"","parse-names":false,"suffix":""},{"dropping-particle":"","family":"Ayesa-Arriola","given":"Rosa","non-dropping-particle":"","parse-names":false,"suffix":""},{"dropping-particle":"","family":"Delgado-Alvarado","given":"Manuel","non-dropping-particle":"","parse-names":false,"suffix":""},{"dropping-particle":"","family":"Robinson","given":"Jennifer L.","non-dropping-particle":"","parse-names":false,"suffix":""},{"dropping-particle":"","family":"Lopez-Morinigo","given":"Javier","non-dropping-particle":"","parse-names":false,"suffix":""},{"dropping-particle":"","family":"Pujol","given":"Jesus","non-dropping-particle":"","parse-names":false,"suffix":""},{"dropping-particle":"","family":"Dominguez-Ballesteros","given":"M. Encarnación","non-dropping-particle":"","parse-names":false,"suffix":""},{"dropping-particle":"","family":"David","given":"Anthony S.","non-dropping-particle":"","parse-names":false,"suffix":""},{"dropping-particle":"","family":"Crespo-Facorro","given":"Benedicto","non-dropping-particle":"","parse-names":false,"suffix":""}],"container-title":"PLOS ONE","editor":[{"dropping-particle":"","family":"Do","given":"Kim Q.","non-dropping-particle":"","parse-names":false,"suffix":""}],"id":"ITEM-1","issue":"6","issued":{"date-parts":[["2018","6","1"]]},"page":"e0197715","title":"The right occipital lobe and poor insight in first-episode psychosis","type":"article-journal","volume":"13"},"uris":["http://www.mendeley.com/documents/?uuid=501e0326-5bc9-37e3-8135-14752ebbec8e"]}],"mendeley":{"formattedCitation":"(Tordesillas-Gutierrez et al., 2018)","plainTextFormattedCitation":"(Tordesillas-Gutierrez et al., 2018)","previouslyFormattedCitation":"(Tordesillas-Gutierrez et al., 2018)"},"properties":{"noteIndex":0},"schema":"https://github.com/citation-style-language/schema/raw/master/csl-citation.json"}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(Tordesillas-Gutierrez et al., 2018)</w:t>
      </w:r>
      <w:r w:rsidR="00B84BEB">
        <w:rPr>
          <w:rFonts w:cstheme="minorHAnsi"/>
          <w:sz w:val="22"/>
          <w:szCs w:val="22"/>
        </w:rPr>
        <w:fldChar w:fldCharType="end"/>
      </w:r>
      <w:r w:rsidRPr="00966CD8">
        <w:rPr>
          <w:rFonts w:cstheme="minorHAnsi"/>
          <w:sz w:val="22"/>
          <w:szCs w:val="22"/>
        </w:rPr>
        <w:t xml:space="preserve">. Individuals with </w:t>
      </w:r>
      <w:r w:rsidR="00A56FBD" w:rsidRPr="00966CD8">
        <w:rPr>
          <w:rFonts w:cstheme="minorHAnsi"/>
          <w:sz w:val="22"/>
          <w:szCs w:val="22"/>
        </w:rPr>
        <w:t xml:space="preserve">a first episode psychosis (FEP) </w:t>
      </w:r>
      <w:r w:rsidRPr="00966CD8">
        <w:rPr>
          <w:rFonts w:cstheme="minorHAnsi"/>
          <w:sz w:val="22"/>
          <w:szCs w:val="22"/>
        </w:rPr>
        <w:t xml:space="preserve">were recruited from both inpatient units and community services throughout the entire region. Patients were included if they met the following criteria: 1) age 15–60 years; 2) </w:t>
      </w:r>
      <w:r w:rsidR="00C372B4" w:rsidRPr="00966CD8">
        <w:rPr>
          <w:rFonts w:cstheme="minorHAnsi"/>
          <w:sz w:val="22"/>
          <w:szCs w:val="22"/>
        </w:rPr>
        <w:t xml:space="preserve">experiencing a FEP; 3) </w:t>
      </w:r>
      <w:r w:rsidRPr="00966CD8">
        <w:rPr>
          <w:rFonts w:cstheme="minorHAnsi"/>
          <w:sz w:val="22"/>
          <w:szCs w:val="22"/>
        </w:rPr>
        <w:t xml:space="preserve">DSM-IV criteria for a diagnosis of schizophrenia, schizophreniform disorder, schizoaffective disorder, brief reactive psychosis, or not otherwise specified psychosis; and </w:t>
      </w:r>
      <w:r w:rsidR="00C372B4" w:rsidRPr="00966CD8">
        <w:rPr>
          <w:rFonts w:cstheme="minorHAnsi"/>
          <w:sz w:val="22"/>
          <w:szCs w:val="22"/>
        </w:rPr>
        <w:t>4</w:t>
      </w:r>
      <w:r w:rsidRPr="00966CD8">
        <w:rPr>
          <w:rFonts w:cstheme="minorHAnsi"/>
          <w:sz w:val="22"/>
          <w:szCs w:val="22"/>
        </w:rPr>
        <w:t xml:space="preserve">) no prior treatment with antipsychotic medication or, if previously treated, a total lifetime of adequate antipsychotic treatment of less than 6 weeks. Patients with DSM-IV based diagnoses of mental retardation or substance dependence (except nicotine dependence) were excluded. </w:t>
      </w:r>
      <w:r w:rsidR="004465D6" w:rsidRPr="00966CD8">
        <w:rPr>
          <w:rFonts w:cstheme="minorHAnsi"/>
          <w:sz w:val="22"/>
          <w:szCs w:val="22"/>
        </w:rPr>
        <w:t>H</w:t>
      </w:r>
      <w:r w:rsidRPr="00966CD8">
        <w:rPr>
          <w:rFonts w:cstheme="minorHAnsi"/>
          <w:sz w:val="22"/>
          <w:szCs w:val="22"/>
        </w:rPr>
        <w:t xml:space="preserve">ealthy controls were recruited from the community through advertisements and were screened for current or </w:t>
      </w:r>
      <w:proofErr w:type="gramStart"/>
      <w:r w:rsidRPr="00966CD8">
        <w:rPr>
          <w:rFonts w:cstheme="minorHAnsi"/>
          <w:sz w:val="22"/>
          <w:szCs w:val="22"/>
        </w:rPr>
        <w:t>past history</w:t>
      </w:r>
      <w:proofErr w:type="gramEnd"/>
      <w:r w:rsidRPr="00966CD8">
        <w:rPr>
          <w:rFonts w:cstheme="minorHAnsi"/>
          <w:sz w:val="22"/>
          <w:szCs w:val="22"/>
        </w:rPr>
        <w:t xml:space="preserve"> of psychiatric, mental retardation, neurological or general medical illness, including substance dependence and significant loss of consciousness. </w:t>
      </w:r>
    </w:p>
    <w:p w14:paraId="2966D5FC" w14:textId="77777777" w:rsidR="00FC43AF" w:rsidRPr="00966CD8" w:rsidRDefault="00FC43AF" w:rsidP="00FC43AF">
      <w:pPr>
        <w:jc w:val="both"/>
        <w:rPr>
          <w:rFonts w:cstheme="minorHAnsi"/>
          <w:sz w:val="22"/>
          <w:szCs w:val="22"/>
          <w:u w:val="single"/>
        </w:rPr>
      </w:pPr>
    </w:p>
    <w:p w14:paraId="72F2C04A" w14:textId="0C4250A7" w:rsidR="00FC43AF" w:rsidRPr="00966CD8" w:rsidRDefault="00FC43AF" w:rsidP="00FC43AF">
      <w:pPr>
        <w:jc w:val="both"/>
        <w:rPr>
          <w:rFonts w:cstheme="minorHAnsi"/>
          <w:sz w:val="22"/>
          <w:szCs w:val="22"/>
          <w:u w:val="single"/>
        </w:rPr>
      </w:pPr>
      <w:r w:rsidRPr="00966CD8">
        <w:rPr>
          <w:rFonts w:cstheme="minorHAnsi"/>
          <w:sz w:val="22"/>
          <w:szCs w:val="22"/>
          <w:u w:val="single"/>
        </w:rPr>
        <w:t>Site 2: Jena</w:t>
      </w:r>
    </w:p>
    <w:p w14:paraId="671CDF7F" w14:textId="2082371C" w:rsidR="00FC43AF" w:rsidRPr="00966CD8" w:rsidRDefault="007B62D6" w:rsidP="00FC43AF">
      <w:pPr>
        <w:jc w:val="both"/>
        <w:rPr>
          <w:rFonts w:cstheme="minorHAnsi"/>
          <w:sz w:val="22"/>
          <w:szCs w:val="22"/>
        </w:rPr>
      </w:pPr>
      <w:r w:rsidRPr="00966CD8">
        <w:rPr>
          <w:rFonts w:cstheme="minorHAnsi"/>
          <w:sz w:val="22"/>
          <w:szCs w:val="22"/>
        </w:rPr>
        <w:t xml:space="preserve">Subjects were enrolled by trained and board-certified psychiatrists and </w:t>
      </w:r>
      <w:r w:rsidR="004465D6" w:rsidRPr="00966CD8">
        <w:rPr>
          <w:rFonts w:cstheme="minorHAnsi"/>
          <w:sz w:val="22"/>
          <w:szCs w:val="22"/>
        </w:rPr>
        <w:t xml:space="preserve">diagnoses were made </w:t>
      </w:r>
      <w:r w:rsidR="00B84BEB" w:rsidRPr="00966CD8">
        <w:rPr>
          <w:rFonts w:cstheme="minorHAnsi"/>
          <w:sz w:val="22"/>
          <w:szCs w:val="22"/>
        </w:rPr>
        <w:t>based on</w:t>
      </w:r>
      <w:r w:rsidR="004465D6" w:rsidRPr="00966CD8">
        <w:rPr>
          <w:rFonts w:cstheme="minorHAnsi"/>
          <w:sz w:val="22"/>
          <w:szCs w:val="22"/>
        </w:rPr>
        <w:t xml:space="preserve"> DSM-IV criteria and </w:t>
      </w:r>
      <w:r w:rsidRPr="00966CD8">
        <w:rPr>
          <w:rFonts w:cstheme="minorHAnsi"/>
          <w:sz w:val="22"/>
          <w:szCs w:val="22"/>
        </w:rPr>
        <w:t>confirmed by standardized structured clinical interviews (SCID-IV)</w:t>
      </w:r>
      <w:r w:rsidR="004465D6" w:rsidRPr="00966CD8">
        <w:rPr>
          <w:rFonts w:cstheme="minorHAnsi"/>
          <w:sz w:val="22"/>
          <w:szCs w:val="22"/>
        </w:rPr>
        <w:t xml:space="preserve">. Exclusion criteria were (1) a history of previous psychotic disorder or manic episode, (2) substance induced psychotic disorder, (3) acute suicidal or aggressive </w:t>
      </w:r>
      <w:r w:rsidR="00E40790" w:rsidRPr="00966CD8">
        <w:rPr>
          <w:rFonts w:cstheme="minorHAnsi"/>
          <w:sz w:val="22"/>
          <w:szCs w:val="22"/>
        </w:rPr>
        <w:t>behavior</w:t>
      </w:r>
      <w:r w:rsidR="004465D6" w:rsidRPr="00966CD8">
        <w:rPr>
          <w:rFonts w:cstheme="minorHAnsi"/>
          <w:sz w:val="22"/>
          <w:szCs w:val="22"/>
        </w:rPr>
        <w:t xml:space="preserve">, (4) a current DSM-IV diagnosis of substance dependence, (5) neurological disorders (e.g., epilepsy), (6) IQ&lt;70, (7) structural brain changes apparent on MRI scan, (8) previous treatment with an antipsychotic or mood stabilizing agent, and (9) any implanted metal or device that would be affected by the magnetic field of the scanner. Healthy controls were recruited from the community through advertisements and were screened for current or </w:t>
      </w:r>
      <w:proofErr w:type="gramStart"/>
      <w:r w:rsidR="004465D6" w:rsidRPr="00966CD8">
        <w:rPr>
          <w:rFonts w:cstheme="minorHAnsi"/>
          <w:sz w:val="22"/>
          <w:szCs w:val="22"/>
        </w:rPr>
        <w:t>past history</w:t>
      </w:r>
      <w:proofErr w:type="gramEnd"/>
      <w:r w:rsidR="004465D6" w:rsidRPr="00966CD8">
        <w:rPr>
          <w:rFonts w:cstheme="minorHAnsi"/>
          <w:sz w:val="22"/>
          <w:szCs w:val="22"/>
        </w:rPr>
        <w:t xml:space="preserve"> of psychiatric, mental retardation, neurological or general medical illness, including substance dependence and significant loss of consciousness.</w:t>
      </w:r>
    </w:p>
    <w:p w14:paraId="57C2A9FA" w14:textId="77777777" w:rsidR="007B62D6" w:rsidRPr="00966CD8" w:rsidRDefault="007B62D6" w:rsidP="00FC43AF">
      <w:pPr>
        <w:jc w:val="both"/>
        <w:rPr>
          <w:rFonts w:cstheme="minorHAnsi"/>
          <w:sz w:val="22"/>
          <w:szCs w:val="22"/>
        </w:rPr>
      </w:pPr>
    </w:p>
    <w:p w14:paraId="5BAB77C3" w14:textId="0171F025" w:rsidR="00FC43AF" w:rsidRPr="00966CD8" w:rsidRDefault="00FC43AF" w:rsidP="00FC43AF">
      <w:pPr>
        <w:jc w:val="both"/>
        <w:rPr>
          <w:rFonts w:cstheme="minorHAnsi"/>
          <w:sz w:val="22"/>
          <w:szCs w:val="22"/>
          <w:u w:val="single"/>
        </w:rPr>
      </w:pPr>
      <w:r w:rsidRPr="00966CD8">
        <w:rPr>
          <w:rFonts w:cstheme="minorHAnsi"/>
          <w:sz w:val="22"/>
          <w:szCs w:val="22"/>
          <w:u w:val="single"/>
        </w:rPr>
        <w:t>Site 3: Prague</w:t>
      </w:r>
    </w:p>
    <w:p w14:paraId="0B167571" w14:textId="10E42257" w:rsidR="00FC43AF" w:rsidRPr="00966CD8" w:rsidRDefault="004465D6" w:rsidP="00FC43AF">
      <w:pPr>
        <w:jc w:val="both"/>
        <w:rPr>
          <w:rFonts w:cstheme="minorHAnsi"/>
          <w:sz w:val="22"/>
          <w:szCs w:val="22"/>
        </w:rPr>
      </w:pPr>
      <w:r w:rsidRPr="00966CD8">
        <w:rPr>
          <w:rFonts w:cstheme="minorHAnsi"/>
          <w:sz w:val="22"/>
          <w:szCs w:val="22"/>
        </w:rPr>
        <w:t xml:space="preserve">Patients were recruited at the </w:t>
      </w:r>
      <w:proofErr w:type="spellStart"/>
      <w:r w:rsidRPr="00966CD8">
        <w:rPr>
          <w:rFonts w:cstheme="minorHAnsi"/>
          <w:sz w:val="22"/>
          <w:szCs w:val="22"/>
        </w:rPr>
        <w:t>Bohnice</w:t>
      </w:r>
      <w:proofErr w:type="spellEnd"/>
      <w:r w:rsidRPr="00966CD8">
        <w:rPr>
          <w:rFonts w:cstheme="minorHAnsi"/>
          <w:sz w:val="22"/>
          <w:szCs w:val="22"/>
        </w:rPr>
        <w:t xml:space="preserve"> Psychiatric Hospital, Prague. The inclusion criteria were: (1) the diagnosis of schizophrenia or the diagnosis of an acute psychotic disorder, as made by a psychiatrist, according to the ICD-10 criteria; (2) the first episode of psychotic illness; (3) the duration of untreated psychosis = or &lt; 24 months. The healthy control subjects were recruited via an advertisement from a similar sociodemographic background. The main exclusion criteria for the control subjects were a personal lifetime history of any psychiatric disorder, or any substance abuse, established by the Mini International Neuropsychiatric Interview (M.I.N.I.)</w:t>
      </w:r>
      <w:r w:rsidR="00B84BEB">
        <w:rPr>
          <w:rFonts w:cstheme="minorHAnsi"/>
          <w:sz w:val="22"/>
          <w:szCs w:val="22"/>
        </w:rPr>
        <w:fldChar w:fldCharType="begin" w:fldLock="1"/>
      </w:r>
      <w:r w:rsidR="00E4073A">
        <w:rPr>
          <w:rFonts w:cstheme="minorHAnsi"/>
          <w:sz w:val="22"/>
          <w:szCs w:val="22"/>
        </w:rPr>
        <w:instrText>ADDIN CSL_CITATION {"citationItems":[{"id":"ITEM-1","itemData":{"ISSN":"0160-6689","PMID":"9881538","abstract":"The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describe the development of the M.I.N.I. and its family of interviews: the M.I.N.I.-Screen, the M.I.N.I.-Plus, and the M.I.N.I.-Kid. They report on validation of the M.I.N.I. in relation to the Structured Clinical Interview for DSM-III-R, Patient Version, the Composite International Diagnostic Interview, and expert professional opinion, and they comment on potential applications for this interview.","author":[{"dropping-particle":"V","family":"Sheehan","given":"D","non-dropping-particle":"","parse-names":false,"suffix":""},{"dropping-particle":"","family":"Lecrubier","given":"Y","non-dropping-particle":"","parse-names":false,"suffix":""},{"dropping-particle":"","family":"Sheehan","given":"K H","non-dropping-particle":"","parse-names":false,"suffix":""},{"dropping-particle":"","family":"Amorim","given":"P","non-dropping-particle":"","parse-names":false,"suffix":""},{"dropping-particle":"","family":"Janavs","given":"J","non-dropping-particle":"","parse-names":false,"suffix":""},{"dropping-particle":"","family":"Weiller","given":"E","non-dropping-particle":"","parse-names":false,"suffix":""},{"dropping-particle":"","family":"Hergueta","given":"T","non-dropping-particle":"","parse-names":false,"suffix":""},{"dropping-particle":"","family":"Baker","given":"R","non-dropping-particle":"","parse-names":false,"suffix":""},{"dropping-particle":"","family":"Dunbar","given":"G C","non-dropping-particle":"","parse-names":false,"suffix":""}],"container-title":"The Journal of clinical psychiatry","id":"ITEM-1","issued":{"date-parts":[["1998"]]},"page":"22-33;quiz 34-57","title":"The Mini-International Neuropsychiatric Interview (M.I.N.I.): the development and validation of a structured diagnostic psychiatric interview for DSM-IV and ICD-10.","type":"article-journal","volume":"59 Suppl 20"},"uris":["http://www.mendeley.com/documents/?uuid=6bf421eb-c029-3684-b39d-8cb3ab80551f"]}],"mendeley":{"formattedCitation":"(Sheehan et al., 1998)","plainTextFormattedCitation":"(Sheehan et al., 1998)","previouslyFormattedCitation":"(Sheehan et al., 1998)"},"properties":{"noteIndex":0},"schema":"https://github.com/citation-style-language/schema/raw/master/csl-citation.json"}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(Sheehan et al., 1998)</w:t>
      </w:r>
      <w:r w:rsidR="00B84BEB">
        <w:rPr>
          <w:rFonts w:cstheme="minorHAnsi"/>
          <w:sz w:val="22"/>
          <w:szCs w:val="22"/>
        </w:rPr>
        <w:fldChar w:fldCharType="end"/>
      </w:r>
      <w:r w:rsidRPr="00966CD8">
        <w:rPr>
          <w:rFonts w:cstheme="minorHAnsi"/>
          <w:sz w:val="22"/>
          <w:szCs w:val="22"/>
        </w:rPr>
        <w:t xml:space="preserve"> and a family history of a psychiatric illness in first- or second-degree relatives.</w:t>
      </w:r>
    </w:p>
    <w:p w14:paraId="2184AE13" w14:textId="77777777" w:rsidR="004465D6" w:rsidRPr="00966CD8" w:rsidRDefault="004465D6" w:rsidP="00FC43AF">
      <w:pPr>
        <w:jc w:val="both"/>
        <w:rPr>
          <w:rFonts w:cstheme="minorHAnsi"/>
          <w:sz w:val="22"/>
          <w:szCs w:val="22"/>
          <w:u w:val="single"/>
        </w:rPr>
      </w:pPr>
    </w:p>
    <w:p w14:paraId="6C982A5F" w14:textId="28378B8F" w:rsidR="00FC43AF" w:rsidRPr="00966CD8" w:rsidRDefault="00FC43AF" w:rsidP="00FC43AF">
      <w:pPr>
        <w:jc w:val="both"/>
        <w:rPr>
          <w:rFonts w:cstheme="minorHAnsi"/>
          <w:sz w:val="22"/>
          <w:szCs w:val="22"/>
          <w:u w:val="single"/>
        </w:rPr>
      </w:pPr>
      <w:r w:rsidRPr="00966CD8">
        <w:rPr>
          <w:rFonts w:cstheme="minorHAnsi"/>
          <w:sz w:val="22"/>
          <w:szCs w:val="22"/>
          <w:u w:val="single"/>
        </w:rPr>
        <w:t>Site 4: London</w:t>
      </w:r>
    </w:p>
    <w:p w14:paraId="7534DD78" w14:textId="2163A358" w:rsidR="00FC43AF" w:rsidRPr="00966CD8" w:rsidRDefault="00FC43AF" w:rsidP="00FC43AF">
      <w:pPr>
        <w:jc w:val="both"/>
        <w:rPr>
          <w:rFonts w:cstheme="minorHAnsi"/>
          <w:sz w:val="22"/>
          <w:szCs w:val="22"/>
        </w:rPr>
      </w:pPr>
      <w:r w:rsidRPr="00966CD8">
        <w:rPr>
          <w:rFonts w:cstheme="minorHAnsi"/>
          <w:sz w:val="22"/>
          <w:szCs w:val="22"/>
        </w:rPr>
        <w:t>Participants were recruited from the South London and Maudsley Foundation Trust and scanned at the Institute of Psychiatry, Psychology and Neuroscience in London (England). Diagnosis of schizophrenia was formulated by an experienced psychiatrist using the ICD-10 criteria. Healthy controls were recruited through local advertisement from the same geographical areas as patients. A screening tool (Psychosis Screening Questionnaire) was used to exclude the presence of psychotic symptomatology or a history of psychotic illness. Additional exclusion criteria for all participants included learning disabilities (based as an IQ &lt; 70), current or past neurological illness, brain injury with loss of consciousness for more than 1 hour</w:t>
      </w:r>
      <w:r w:rsidR="00436EF9">
        <w:rPr>
          <w:rFonts w:cstheme="minorHAnsi"/>
          <w:sz w:val="22"/>
          <w:szCs w:val="22"/>
        </w:rPr>
        <w:t>,</w:t>
      </w:r>
      <w:r w:rsidRPr="00966CD8">
        <w:rPr>
          <w:rFonts w:cstheme="minorHAnsi"/>
          <w:sz w:val="22"/>
          <w:szCs w:val="22"/>
        </w:rPr>
        <w:t xml:space="preserve"> and suspected or confirmed pregnancy.</w:t>
      </w:r>
    </w:p>
    <w:p w14:paraId="54AF0BA1" w14:textId="73F8CD02" w:rsidR="00FC43AF" w:rsidRPr="00966CD8" w:rsidRDefault="00FC43AF" w:rsidP="00FC43AF">
      <w:pPr>
        <w:jc w:val="both"/>
        <w:rPr>
          <w:rFonts w:cstheme="minorHAnsi"/>
          <w:sz w:val="22"/>
          <w:szCs w:val="22"/>
          <w:u w:val="single"/>
        </w:rPr>
      </w:pPr>
      <w:r w:rsidRPr="00966CD8">
        <w:rPr>
          <w:rFonts w:cstheme="minorHAnsi"/>
          <w:sz w:val="22"/>
          <w:szCs w:val="22"/>
          <w:u w:val="single"/>
        </w:rPr>
        <w:t>Site 5: Basel</w:t>
      </w:r>
    </w:p>
    <w:p w14:paraId="2ADDAABB" w14:textId="734E6900" w:rsidR="00FC43AF" w:rsidRPr="00966CD8" w:rsidRDefault="004465D6" w:rsidP="004465D6">
      <w:pPr>
        <w:jc w:val="both"/>
        <w:rPr>
          <w:rFonts w:cstheme="minorHAnsi"/>
          <w:sz w:val="22"/>
          <w:szCs w:val="22"/>
        </w:rPr>
      </w:pPr>
      <w:r w:rsidRPr="00966CD8">
        <w:rPr>
          <w:rFonts w:cstheme="minorHAnsi"/>
          <w:sz w:val="22"/>
          <w:szCs w:val="22"/>
        </w:rPr>
        <w:lastRenderedPageBreak/>
        <w:t>Participants were recruited in a specialized clinic for the early detection of psychosis at the University Hospital of Psychiatry, Basel, Switzerland. All patients were competent to give informed consent. They were able to understand relevant study information, including the reasons why they were being asked to participate and the procedures of the study, and they understood the consequences of accepting or declining the invitation to participate and how to discontinue their participation. Patients with FEP fulfilled the criteria for acute psychotic disorder according to the ICD-10 or DSM-IV. Exclusion criteria were the following: history of previous psychotic disorder, psychotic symptomatology secondary to an organic disorder, recent substance abuse according to ICD-10 research criteria, psychotic symptomatology associated with an affective psychosis or a borderline personality disorder, age younger than 18 years, inadequate knowledge of the German language, and IQ lower than 70.</w:t>
      </w:r>
      <w:r w:rsidR="001D2B54" w:rsidRPr="00966CD8">
        <w:rPr>
          <w:rFonts w:cstheme="minorHAnsi"/>
          <w:sz w:val="22"/>
          <w:szCs w:val="22"/>
        </w:rPr>
        <w:t xml:space="preserve"> </w:t>
      </w:r>
      <w:r w:rsidRPr="00966CD8">
        <w:rPr>
          <w:rFonts w:cstheme="minorHAnsi"/>
          <w:sz w:val="22"/>
          <w:szCs w:val="22"/>
        </w:rPr>
        <w:t>Healthy controls were recruited from the same geographical area as patients. Controls had to have no current psychiatric disorder; no history of psychiatric illness, head trauma, neurologic illness, serious medical or surgical illness or substance abuse; and no family history of any psychiatric disorder as assessed by an experienced psychiatrist in a detailed clinical assessment.</w:t>
      </w:r>
    </w:p>
    <w:p w14:paraId="1DE0371F" w14:textId="77777777" w:rsidR="004465D6" w:rsidRPr="00966CD8" w:rsidRDefault="004465D6" w:rsidP="00FC43AF">
      <w:pPr>
        <w:jc w:val="both"/>
        <w:rPr>
          <w:rFonts w:cstheme="minorHAnsi"/>
          <w:sz w:val="22"/>
          <w:szCs w:val="22"/>
        </w:rPr>
      </w:pPr>
    </w:p>
    <w:p w14:paraId="2DCF846F" w14:textId="33223938" w:rsidR="00FC43AF" w:rsidRPr="00966CD8" w:rsidRDefault="00FC43AF" w:rsidP="00FC43AF">
      <w:pPr>
        <w:jc w:val="both"/>
        <w:rPr>
          <w:rFonts w:cstheme="minorHAnsi"/>
          <w:sz w:val="22"/>
          <w:szCs w:val="22"/>
          <w:u w:val="single"/>
        </w:rPr>
      </w:pPr>
      <w:r w:rsidRPr="00966CD8">
        <w:rPr>
          <w:rFonts w:cstheme="minorHAnsi"/>
          <w:sz w:val="22"/>
          <w:szCs w:val="22"/>
          <w:u w:val="single"/>
        </w:rPr>
        <w:t>Site 6: Rome</w:t>
      </w:r>
    </w:p>
    <w:p w14:paraId="42F9E851" w14:textId="365A4152" w:rsidR="00FC43AF" w:rsidRPr="00966CD8" w:rsidRDefault="005B4B71" w:rsidP="005B4B71">
      <w:pPr>
        <w:jc w:val="both"/>
        <w:rPr>
          <w:rFonts w:cstheme="minorHAnsi"/>
          <w:sz w:val="22"/>
          <w:szCs w:val="22"/>
        </w:rPr>
      </w:pPr>
      <w:r w:rsidRPr="00966CD8">
        <w:rPr>
          <w:rFonts w:cstheme="minorHAnsi"/>
          <w:sz w:val="22"/>
          <w:szCs w:val="22"/>
        </w:rPr>
        <w:t>All patients were diagnosed by senior clinical psychiatrists using the structured clinical interview for DSM-IV-TR (SCID-I/P)</w:t>
      </w:r>
      <w:r w:rsidR="00B84BEB">
        <w:rPr>
          <w:rFonts w:cstheme="minorHAnsi"/>
          <w:sz w:val="22"/>
          <w:szCs w:val="22"/>
        </w:rPr>
        <w:fldChar w:fldCharType="begin" w:fldLock="1"/>
      </w:r>
      <w:r w:rsidR="00E4073A">
        <w:rPr>
          <w:rFonts w:cstheme="minorHAnsi"/>
          <w:sz w:val="22"/>
          <w:szCs w:val="22"/>
        </w:rPr>
        <w:instrText>ADDIN CSL_CITATION {"citationItems":[{"id":"ITEM-1","itemData":{"DOI":"10.1007/978-0-387-79948-3_2011","author":[{"dropping-particle":"","family":"Gorgens","given":"Kimberly A.","non-dropping-particle":"","parse-names":false,"suffix":""}],"container-title":"Encyclopedia of Clinical Neuropsychology","id":"ITEM-1","issued":{"date-parts":[["2011"]]},"page":"2410-2417","publisher":"Springer New York","publisher-place":"New York, NY","title":"Structured Clinical Interview For DSM-IV (SCID-I/SCID-II)","type":"chapter"},"uris":["http://www.mendeley.com/documents/?uuid=074210de-3723-3432-8b99-2d7ac43485a4"]}],"mendeley":{"formattedCitation":"(Gorgens, 2011)","plainTextFormattedCitation":"(Gorgens, 2011)","previouslyFormattedCitation":"(Gorgens, 2011)"},"properties":{"noteIndex":0},"schema":"https://github.com/citation-style-language/schema/raw/master/csl-citation.json"}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Gorgens</w:t>
      </w:r>
      <w:proofErr w:type="spellEnd"/>
      <w:r w:rsidR="00A24C43" w:rsidRPr="00A24C43">
        <w:rPr>
          <w:rFonts w:cstheme="minorHAnsi"/>
          <w:noProof/>
          <w:sz w:val="22"/>
          <w:szCs w:val="22"/>
        </w:rPr>
        <w:t>, 2011)</w:t>
      </w:r>
      <w:r w:rsidR="00B84BEB">
        <w:rPr>
          <w:rFonts w:cstheme="minorHAnsi"/>
          <w:sz w:val="22"/>
          <w:szCs w:val="22"/>
        </w:rPr>
        <w:fldChar w:fldCharType="end"/>
      </w:r>
      <w:r w:rsidRPr="00966CD8">
        <w:rPr>
          <w:rFonts w:cstheme="minorHAnsi"/>
          <w:sz w:val="22"/>
          <w:szCs w:val="22"/>
        </w:rPr>
        <w:t>. Other inclusion criteria were: 1) age between 18 and 65 years; 2) onset of psychosis &lt;24 months; 3) no dementia or cognitive deterioration according to the DSM-IV-TR criteria, and a Mini-Mental State Examination (MMSE)</w:t>
      </w:r>
      <w:r w:rsidR="00B84BEB">
        <w:rPr>
          <w:rFonts w:cstheme="minorHAnsi"/>
          <w:sz w:val="22"/>
          <w:szCs w:val="22"/>
        </w:rPr>
        <w:fldChar w:fldCharType="begin" w:fldLock="1"/>
      </w:r>
      <w:r w:rsidR="00E4073A">
        <w:rPr>
          <w:rFonts w:cstheme="minorHAnsi"/>
          <w:sz w:val="22"/>
          <w:szCs w:val="22"/>
        </w:rPr>
        <w:instrText>ADDIN CSL_CITATION {"citationItems":[{"id":"ITEM-1","itemData":{"ISSN":"0022-3956","PMID":"1202204","author":[{"dropping-particle":"","family":"Folstein","given":"M F","non-dropping-particle":"","parse-names":false,"suffix":""},{"dropping-particle":"","family":"Folstein","given":"S E","non-dropping-particle":"","parse-names":false,"suffix":""},{"dropping-particle":"","family":"McHugh","given":"P R","non-dropping-particle":"","parse-names":false,"suffix":""}],"container-title":"Journal of psychiatric research","id":"ITEM-1","issue":"3","issued":{"date-parts":[["1975","11"]]},"page":"189-98","title":"&amp;quot;Mini-mental state&amp;quot;. A practical method for grading the cognitive state of patients for the clinician.","type":"article-journal","volume":"12"},"uris":["http://www.mendeley.com/documents/?uuid=05f07fd8-030d-3c02-80e4-8227182cb7fa"]}],"mendeley":{"formattedCitation":"(Folstein et al., 1975)","plainTextFormattedCitation":"(Folstein et al., 1975)","previouslyFormattedCitation":"(Folstein et al., 1975)"},"properties":{"noteIndex":0},"schema":"https://github.com/citation-style-language/schema/raw/master/csl-citation.json"}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Folstein</w:t>
      </w:r>
      <w:proofErr w:type="spellEnd"/>
      <w:r w:rsidR="00A24C43" w:rsidRPr="00A24C43">
        <w:rPr>
          <w:rFonts w:cstheme="minorHAnsi"/>
          <w:noProof/>
          <w:sz w:val="22"/>
          <w:szCs w:val="22"/>
        </w:rPr>
        <w:t xml:space="preserve"> et al., 1975)</w:t>
      </w:r>
      <w:r w:rsidR="00B84BEB">
        <w:rPr>
          <w:rFonts w:cstheme="minorHAnsi"/>
          <w:sz w:val="22"/>
          <w:szCs w:val="22"/>
        </w:rPr>
        <w:fldChar w:fldCharType="end"/>
      </w:r>
      <w:r w:rsidRPr="00966CD8">
        <w:rPr>
          <w:rFonts w:cstheme="minorHAnsi"/>
          <w:sz w:val="22"/>
          <w:szCs w:val="22"/>
        </w:rPr>
        <w:t xml:space="preserve"> score higher than 24, consistent with normative data in the Italian population</w:t>
      </w:r>
      <w:r w:rsidR="00B84BEB">
        <w:rPr>
          <w:rFonts w:cstheme="minorHAnsi"/>
          <w:sz w:val="22"/>
          <w:szCs w:val="22"/>
        </w:rPr>
        <w:fldChar w:fldCharType="begin" w:fldLock="1"/>
      </w:r>
      <w:r w:rsidR="00E4073A">
        <w:rPr>
          <w:rFonts w:cstheme="minorHAnsi"/>
          <w:sz w:val="22"/>
          <w:szCs w:val="22"/>
        </w:rPr>
        <w:instrText>ADDIN CSL_CITATION {"citationItems":[{"id":"ITEM-1","itemData":{"DOI":"10.1111/j.1468-1331.1996.tb00423.x","ISSN":"13515101","PMID":"21284770","abstract":"The Mini-Mental State Examination (MMSE), a brief test to assess cognitive status, is heavily influenced by age and education. It was administered to 1019 elderly subjects (aged 65-89 years) living in three different Italian cities. A statistical non-linear regression model was built up in order to obtain adjustment coefficients to reduce the influence of demographic variables on the MMSE raw scores. Age and educational level were significantly and independently associated with the MMSE score. Results of a multiple linear regression with transformation of age and education provided adjustment coefficients of the MMSE raw scores. Data from this study will ameliorate the overall reliability of MMSE as a screening test for cognitive impairment in elderly people.","author":[{"dropping-particle":"","family":"Magni","given":"E.","non-dropping-particle":"","parse-names":false,"suffix":""},{"dropping-particle":"","family":"Binetti","given":"G.","non-dropping-particle":"","parse-names":false,"suffix":""},{"dropping-particle":"","family":"Bianchetti","given":"A.","non-dropping-particle":"","parse-names":false,"suffix":""},{"dropping-particle":"","family":"Rozzini","given":"R.","non-dropping-particle":"","parse-names":false,"suffix":""},{"dropping-particle":"","family":"Trabucchi","given":"M.","non-dropping-particle":"","parse-names":false,"suffix":""}],"container-title":"European Journal of Neurology","id":"ITEM-1","issue":"3","issued":{"date-parts":[["1996","5"]]},"page":"198-202","title":"Mini-Mental State Examination: a normative study in Italian elderly population","type":"article-journal","volume":"3"},"uris":["http://www.mendeley.com/documents/?uuid=6ae2ab86-b898-3285-acbc-538ace9e7131"]}],"mendeley":{"formattedCitation":"(Magni et al., 1996)","plainTextFormattedCitation":"(Magni et al., 1996)","previouslyFormattedCitation":"(Magni et al., 1996)"},"properties":{"noteIndex":0},"schema":"https://github.com/citation-style-language/schema/raw/master/csl-citation.json"}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Magni</w:t>
      </w:r>
      <w:proofErr w:type="spellEnd"/>
      <w:r w:rsidR="00A24C43" w:rsidRPr="00A24C43">
        <w:rPr>
          <w:rFonts w:cstheme="minorHAnsi"/>
          <w:noProof/>
          <w:sz w:val="22"/>
          <w:szCs w:val="22"/>
        </w:rPr>
        <w:t xml:space="preserve"> et al., 1996)</w:t>
      </w:r>
      <w:r w:rsidR="00B84BEB">
        <w:rPr>
          <w:rFonts w:cstheme="minorHAnsi"/>
          <w:sz w:val="22"/>
          <w:szCs w:val="22"/>
        </w:rPr>
        <w:fldChar w:fldCharType="end"/>
      </w:r>
      <w:r w:rsidRPr="00966CD8">
        <w:rPr>
          <w:rFonts w:cstheme="minorHAnsi"/>
          <w:sz w:val="22"/>
          <w:szCs w:val="22"/>
        </w:rPr>
        <w:t>; and 4) suitability for a Magnetic Resonance Imaging (MRI) scan. Exclusion criteria were: 1) a history of alcohol or drug dependence or abuse in the last two years according to the DSM-IV-TR, 2) traumatic head injury, 3) any past or present major medical or neurological illness, 4) any other psychiatric disorder or mental retardation diagnosis and 5) MRI evidence of focal parenchymal abnormalities or cerebrovascular diseases. Healthy controls were screened for any current or past diagnosis of DSM-IV-TR axis I or II disorders using the SCID-I and SCID-II</w:t>
      </w:r>
      <w:r w:rsidR="00B84BEB">
        <w:rPr>
          <w:rFonts w:cstheme="minorHAnsi"/>
          <w:sz w:val="22"/>
          <w:szCs w:val="22"/>
        </w:rPr>
        <w:fldChar w:fldCharType="begin" w:fldLock="1"/>
      </w:r>
      <w:r w:rsidR="00E4073A">
        <w:rPr>
          <w:rFonts w:cstheme="minorHAnsi"/>
          <w:sz w:val="22"/>
          <w:szCs w:val="22"/>
        </w:rPr>
        <w:instrText>ADDIN CSL_CITATION {"citationItems":[{"id":"ITEM-1","itemData":{"DOI":"10.1007/978-0-387-79948-3_2011","author":[{"dropping-particle":"","family":"Gorgens","given":"Kimberly A.","non-dropping-particle":"","parse-names":false,"suffix":""}],"container-title":"Encyclopedia of Clinical Neuropsychology","id":"ITEM-1","issued":{"date-parts":[["2011"]]},"page":"2410-2417","publisher":"Springer New York","publisher-place":"New York, NY","title":"Structured Clinical Interview For DSM-IV (SCID-I/SCID-II)","type":"chapter"},"uris":["http://www.mendeley.com/documents/?uuid=074210de-3723-3432-8b99-2d7ac43485a4"]}],"mendeley":{"formattedCitation":"(Gorgens, 2011)","plainTextFormattedCitation":"(Gorgens, 2011)","previouslyFormattedCitation":"(Gorgens, 2011)"},"properties":{"noteIndex":0},"schema":"https://github.com/citation-style-language/schema/raw/master/csl-citation.json"}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Gorgens</w:t>
      </w:r>
      <w:proofErr w:type="spellEnd"/>
      <w:r w:rsidR="00A24C43" w:rsidRPr="00A24C43">
        <w:rPr>
          <w:rFonts w:cstheme="minorHAnsi"/>
          <w:noProof/>
          <w:sz w:val="22"/>
          <w:szCs w:val="22"/>
        </w:rPr>
        <w:t>, 2011)</w:t>
      </w:r>
      <w:r w:rsidR="00B84BEB">
        <w:rPr>
          <w:rFonts w:cstheme="minorHAnsi"/>
          <w:sz w:val="22"/>
          <w:szCs w:val="22"/>
        </w:rPr>
        <w:fldChar w:fldCharType="end"/>
      </w:r>
      <w:r w:rsidRPr="00966CD8">
        <w:rPr>
          <w:rFonts w:cstheme="minorHAnsi"/>
          <w:sz w:val="22"/>
          <w:szCs w:val="22"/>
        </w:rPr>
        <w:t>. A diagnosis of schizophrenia or any other mental disorder in first-degree relatives was also an exclusion criterion.</w:t>
      </w:r>
    </w:p>
    <w:p w14:paraId="754577F1" w14:textId="77777777" w:rsidR="005B4B71" w:rsidRPr="00966CD8" w:rsidRDefault="005B4B71" w:rsidP="005B4B71">
      <w:pPr>
        <w:jc w:val="both"/>
        <w:rPr>
          <w:rFonts w:cstheme="minorHAnsi"/>
          <w:sz w:val="22"/>
          <w:szCs w:val="22"/>
        </w:rPr>
      </w:pPr>
    </w:p>
    <w:p w14:paraId="59CD35A1" w14:textId="6D1293A8" w:rsidR="00FC43AF" w:rsidRPr="00966CD8" w:rsidRDefault="00FC43AF" w:rsidP="00FC43AF">
      <w:pPr>
        <w:jc w:val="both"/>
        <w:rPr>
          <w:rFonts w:cstheme="minorHAnsi"/>
          <w:sz w:val="22"/>
          <w:szCs w:val="22"/>
          <w:u w:val="single"/>
        </w:rPr>
      </w:pPr>
      <w:r w:rsidRPr="00966CD8">
        <w:rPr>
          <w:rFonts w:cstheme="minorHAnsi"/>
          <w:sz w:val="22"/>
          <w:szCs w:val="22"/>
          <w:u w:val="single"/>
        </w:rPr>
        <w:t>Site 7: Verona</w:t>
      </w:r>
    </w:p>
    <w:p w14:paraId="5544E5EF" w14:textId="7FAF7659" w:rsidR="00FC43AF" w:rsidRPr="00966CD8" w:rsidRDefault="00FC43AF" w:rsidP="00FC43AF">
      <w:pPr>
        <w:jc w:val="both"/>
        <w:rPr>
          <w:rFonts w:cstheme="minorHAnsi"/>
          <w:sz w:val="22"/>
          <w:szCs w:val="22"/>
        </w:rPr>
      </w:pPr>
      <w:r w:rsidRPr="00966CD8">
        <w:rPr>
          <w:rFonts w:cstheme="minorHAnsi"/>
          <w:sz w:val="22"/>
          <w:szCs w:val="22"/>
        </w:rPr>
        <w:t>The subjects were recruited in the frame of Psychosis Incident Cohort Outcome Study (PICOS), a multi-site naturalistic research in a large epidemiological area of the Veneto region, Italy</w:t>
      </w:r>
      <w:r w:rsidR="00B84BEB">
        <w:rPr>
          <w:rFonts w:cstheme="minorHAnsi"/>
          <w:sz w:val="22"/>
          <w:szCs w:val="22"/>
        </w:rPr>
        <w:fldChar w:fldCharType="begin" w:fldLock="1"/>
      </w:r>
      <w:r w:rsidR="00E4073A">
        <w:rPr>
          <w:rFonts w:cstheme="minorHAnsi"/>
          <w:sz w:val="22"/>
          <w:szCs w:val="22"/>
        </w:rPr>
        <w:instrText>ADDIN CSL_CITATION {"citationItems":[{"id":"ITEM-1","itemData":{"DOI":"10.1017/S2045796012000315","ISSN":"2045-7960","author":[{"dropping-particle":"","family":"Lasalvia","given":"A.","non-dropping-particle":"","parse-names":false,"suffix":""},{"dropping-particle":"","family":"Tosato","given":"S.","non-dropping-particle":"","parse-names":false,"suffix":""},{"dropping-particle":"","family":"Brambilla","given":"P.","non-dropping-particle":"","parse-names":false,"suffix":""},{"dropping-particle":"","family":"Bertani","given":"M.","non-dropping-particle":"","parse-names":false,"suffix":""},{"dropping-particle":"","family":"Bonetto","given":"C.","non-dropping-particle":"","parse-names":false,"suffix":""},{"dropping-particle":"","family":"Cristofalo","given":"D.","non-dropping-particle":"","parse-names":false,"suffix":""},{"dropping-particle":"","family":"Bissoli","given":"S.","non-dropping-particle":"","parse-names":false,"suffix":""},{"dropping-particle":"","family":"Santi","given":"K.","non-dropping-particle":"De","parse-names":false,"suffix":""},{"dropping-particle":"","family":"Lazzarotto","given":"L.","non-dropping-particle":"","parse-names":false,"suffix":""},{"dropping-particle":"","family":"Zanatta","given":"G.","non-dropping-particle":"","parse-names":false,"suffix":""},{"dropping-particle":"","family":"Marrella","given":"G.","non-dropping-particle":"","parse-names":false,"suffix":""},{"dropping-particle":"","family":"Mazzoncini","given":"R.","non-dropping-particle":"","parse-names":false,"suffix":""},{"dropping-particle":"","family":"Zanoni","given":"M.","non-dropping-particle":"","parse-names":false,"suffix":""},{"dropping-particle":"","family":"Garzotto","given":"N.","non-dropping-particle":"","parse-names":false,"suffix":""},{"dropping-particle":"","family":"Dolce","given":"C.","non-dropping-particle":"","parse-names":false,"suffix":""},{"dropping-particle":"","family":"Nicolau","given":"S.","non-dropping-particle":"","parse-names":false,"suffix":""},{"dropping-particle":"","family":"Ramon","given":"L.","non-dropping-particle":"","parse-names":false,"suffix":""},{"dropping-particle":"","family":"Perlini","given":"C.","non-dropping-particle":"","parse-names":false,"suffix":""},{"dropping-particle":"","family":"Rambaldelli","given":"G.","non-dropping-particle":"","parse-names":false,"suffix":""},{"dropping-particle":"","family":"Bellani","given":"M.","non-dropping-particle":"","parse-names":false,"suffix":""},{"dropping-particle":"","family":"Tansella","given":"M.","non-dropping-particle":"","parse-names":false,"suffix":""},{"dropping-particle":"","family":"Ruggeri","given":"M.","non-dropping-particle":"","parse-names":false,"suffix":""}],"container-title":"Epidemiology and Psychiatric Sciences","id":"ITEM-1","issue":"03","issued":{"date-parts":[["2012","9","15"]]},"page":"281-303","title":"Psychosis Incident Cohort Outcome Study (PICOS). A multisite study of clinical, social and biological characteristics, patterns of care and predictors of outcome in first-episode psychosis. Background, methodology and overview of the patient sample","type":"article-journal","volume":"21"},"uris":["http://www.mendeley.com/documents/?uuid=690dd535-767f-3a8d-b204-865a7717bcd9"]}],"mendeley":{"formattedCitation":"(Lasalvia et al., 2012)","plainTextFormattedCitation":"(Lasalvia et al., 2012)","previouslyFormattedCitation":"(Lasalvia et al., 2012)"},"properties":{"noteIndex":0},"schema":"https://github.com/citation-style-language/schema/raw/master/csl-citation.json"}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Lasalvia</w:t>
      </w:r>
      <w:proofErr w:type="spellEnd"/>
      <w:r w:rsidR="00A24C43" w:rsidRPr="00A24C43">
        <w:rPr>
          <w:rFonts w:cstheme="minorHAnsi"/>
          <w:noProof/>
          <w:sz w:val="22"/>
          <w:szCs w:val="22"/>
        </w:rPr>
        <w:t xml:space="preserve"> et al., 2012)</w:t>
      </w:r>
      <w:r w:rsidR="00B84BEB">
        <w:rPr>
          <w:rFonts w:cstheme="minorHAnsi"/>
          <w:sz w:val="22"/>
          <w:szCs w:val="22"/>
        </w:rPr>
        <w:fldChar w:fldCharType="end"/>
      </w:r>
      <w:r w:rsidRPr="00966CD8">
        <w:rPr>
          <w:rFonts w:cstheme="minorHAnsi"/>
          <w:sz w:val="22"/>
          <w:szCs w:val="22"/>
        </w:rPr>
        <w:t xml:space="preserve">. </w:t>
      </w:r>
      <w:r w:rsidR="007B62D6" w:rsidRPr="00966CD8">
        <w:rPr>
          <w:rFonts w:cstheme="minorHAnsi"/>
          <w:sz w:val="22"/>
          <w:szCs w:val="22"/>
        </w:rPr>
        <w:t>I</w:t>
      </w:r>
      <w:r w:rsidRPr="00966CD8">
        <w:rPr>
          <w:rFonts w:cstheme="minorHAnsi"/>
          <w:sz w:val="22"/>
          <w:szCs w:val="22"/>
        </w:rPr>
        <w:t>nclusion criteria, based on the over-inclusive screening methodology adopted in the WHO ten-country study</w:t>
      </w:r>
      <w:r w:rsidR="00B84BEB">
        <w:rPr>
          <w:rFonts w:cstheme="minorHAnsi"/>
          <w:sz w:val="22"/>
          <w:szCs w:val="22"/>
        </w:rPr>
        <w:fldChar w:fldCharType="begin" w:fldLock="1"/>
      </w:r>
      <w:r w:rsidR="00E4073A">
        <w:rPr>
          <w:rFonts w:cstheme="minorHAnsi"/>
          <w:sz w:val="22"/>
          <w:szCs w:val="22"/>
        </w:rPr>
        <w:instrText>ADDIN CSL_CITATION {"citationItems":[{"id":"ITEM-1","itemData":{"ISSN":"0264-1801","PMID":"1565705","author":[{"dropping-particle":"","family":"Jablensky","given":"A","non-dropping-particle":"","parse-names":false,"suffix":""},{"dropping-particle":"","family":"Sartorius","given":"N","non-dropping-particle":"","parse-names":false,"suffix":""},{"dropping-particle":"","family":"Ernberg","given":"G","non-dropping-particle":"","parse-names":false,"suffix":""},{"dropping-particle":"","family":"Anker","given":"M","non-dropping-particle":"","parse-names":false,"suffix":""},{"dropping-particle":"","family":"Korten","given":"A","non-dropping-particle":"","parse-names":false,"suffix":""},{"dropping-particle":"","family":"Cooper","given":"J E","non-dropping-particle":"","parse-names":false,"suffix":""},{"dropping-particle":"","family":"Day","given":"R","non-dropping-particle":"","parse-names":false,"suffix":""},{"dropping-particle":"","family":"Bertelsen","given":"A","non-dropping-particle":"","parse-names":false,"suffix":""}],"container-title":"Psychological medicine. Monograph supplement","id":"ITEM-1","issued":{"date-parts":[["1992"]]},"page":"1-97","title":"Schizophrenia: manifestations, incidence and course in different cultures. A World Health Organization ten-country study.","type":"article-journal","volume":"20"},"uris":["http://www.mendeley.com/documents/?uuid=c959a535-79a5-3125-849a-011120be5dd0"]}],"mendeley":{"formattedCitation":"(Jablensky et al., 1992)","plainTextFormattedCitation":"(Jablensky et al., 1992)","previouslyFormattedCitation":"(Jablensky et al., 1992)"},"properties":{"noteIndex":0},"schema":"https://github.com/citation-style-language/schema/raw/master/csl-citation.json"}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Jablensky</w:t>
      </w:r>
      <w:proofErr w:type="spellEnd"/>
      <w:r w:rsidR="00A24C43" w:rsidRPr="00A24C43">
        <w:rPr>
          <w:rFonts w:cstheme="minorHAnsi"/>
          <w:noProof/>
          <w:sz w:val="22"/>
          <w:szCs w:val="22"/>
        </w:rPr>
        <w:t xml:space="preserve"> et al., 1992)</w:t>
      </w:r>
      <w:r w:rsidR="00B84BEB">
        <w:rPr>
          <w:rFonts w:cstheme="minorHAnsi"/>
          <w:sz w:val="22"/>
          <w:szCs w:val="22"/>
        </w:rPr>
        <w:fldChar w:fldCharType="end"/>
      </w:r>
      <w:r w:rsidRPr="00966CD8">
        <w:rPr>
          <w:rFonts w:cstheme="minorHAnsi"/>
          <w:sz w:val="22"/>
          <w:szCs w:val="22"/>
        </w:rPr>
        <w:t>, were: (1) age 15–54 years; (2) residence in the Veneto region; (3) presence of (a) at least one of the following symptoms: hallucinations, delusions, qualitative speech disorder, qualitative psychomotor disorder, and bizarre or grossly inappropriate behavior, or (b) at least two of the following symptoms: loss of interest, initiative and drive, social withdrawal, episodic severe excitement, purposeless destructiveness, overwhelming fear, and marked self-neglect; and (4) first lifetime contact with any mental health service located in PICOS area during the study period occasioned by symptoms enumerated in (3). The exclusion criteria were: (1) prior treatment with an antipsychotic agent for more than 3 months; (2) mental disorders due to a general medical condition; and (3) moderate to severe mental retardation. Additional exclusion criteria for MRI were adopted (</w:t>
      </w:r>
      <w:proofErr w:type="gramStart"/>
      <w:r w:rsidRPr="00966CD8">
        <w:rPr>
          <w:rFonts w:cstheme="minorHAnsi"/>
          <w:sz w:val="22"/>
          <w:szCs w:val="22"/>
        </w:rPr>
        <w:t>i.e.</w:t>
      </w:r>
      <w:proofErr w:type="gramEnd"/>
      <w:r w:rsidRPr="00966CD8">
        <w:rPr>
          <w:rFonts w:cstheme="minorHAnsi"/>
          <w:sz w:val="22"/>
          <w:szCs w:val="22"/>
        </w:rPr>
        <w:t xml:space="preserve"> pregnancy; metallic objects in the body).</w:t>
      </w:r>
      <w:r w:rsidR="004465D6" w:rsidRPr="00966CD8">
        <w:rPr>
          <w:rFonts w:cstheme="minorHAnsi"/>
          <w:sz w:val="22"/>
          <w:szCs w:val="22"/>
        </w:rPr>
        <w:t xml:space="preserve"> Healthy controls were recruited from the community through advertisements and were screened for current or </w:t>
      </w:r>
      <w:proofErr w:type="gramStart"/>
      <w:r w:rsidR="004465D6" w:rsidRPr="00966CD8">
        <w:rPr>
          <w:rFonts w:cstheme="minorHAnsi"/>
          <w:sz w:val="22"/>
          <w:szCs w:val="22"/>
        </w:rPr>
        <w:t>past history</w:t>
      </w:r>
      <w:proofErr w:type="gramEnd"/>
      <w:r w:rsidR="004465D6" w:rsidRPr="00966CD8">
        <w:rPr>
          <w:rFonts w:cstheme="minorHAnsi"/>
          <w:sz w:val="22"/>
          <w:szCs w:val="22"/>
        </w:rPr>
        <w:t xml:space="preserve"> of psychiatric, mental retardation, neurological or general medical illness, including substance dependence and significant loss of consciousness.</w:t>
      </w:r>
    </w:p>
    <w:p w14:paraId="002C8B77" w14:textId="77777777" w:rsidR="00FC43AF" w:rsidRPr="00966CD8" w:rsidRDefault="00FC43AF" w:rsidP="00FC43AF">
      <w:pPr>
        <w:jc w:val="both"/>
        <w:rPr>
          <w:rFonts w:cstheme="minorHAnsi"/>
          <w:sz w:val="22"/>
          <w:szCs w:val="22"/>
        </w:rPr>
      </w:pPr>
    </w:p>
    <w:p w14:paraId="71D0D317" w14:textId="28F2CBFB" w:rsidR="00FC43AF" w:rsidRPr="00966CD8" w:rsidRDefault="00FC43AF" w:rsidP="00FC43AF">
      <w:pPr>
        <w:jc w:val="both"/>
        <w:rPr>
          <w:rFonts w:cstheme="minorHAnsi"/>
          <w:sz w:val="22"/>
          <w:szCs w:val="22"/>
          <w:u w:val="single"/>
        </w:rPr>
      </w:pPr>
      <w:r w:rsidRPr="00966CD8">
        <w:rPr>
          <w:rFonts w:cstheme="minorHAnsi"/>
          <w:sz w:val="22"/>
          <w:szCs w:val="22"/>
          <w:u w:val="single"/>
        </w:rPr>
        <w:t>Site 8: Munich</w:t>
      </w:r>
    </w:p>
    <w:p w14:paraId="201513A6" w14:textId="2A4EBDA8" w:rsidR="00FC43AF" w:rsidRPr="00966CD8" w:rsidRDefault="00FF11E8" w:rsidP="00F231BE">
      <w:pPr>
        <w:jc w:val="both"/>
        <w:rPr>
          <w:rFonts w:cstheme="minorHAnsi"/>
          <w:sz w:val="22"/>
          <w:szCs w:val="22"/>
        </w:rPr>
      </w:pPr>
      <w:r w:rsidRPr="00966CD8">
        <w:rPr>
          <w:rFonts w:cstheme="minorHAnsi"/>
          <w:sz w:val="22"/>
          <w:szCs w:val="22"/>
        </w:rPr>
        <w:t>Subjects with f</w:t>
      </w:r>
      <w:r w:rsidR="00F231BE" w:rsidRPr="00966CD8">
        <w:rPr>
          <w:rFonts w:cstheme="minorHAnsi"/>
          <w:sz w:val="22"/>
          <w:szCs w:val="22"/>
        </w:rPr>
        <w:t>irst acute psychotic episode according to DSMIV/ICD-10 criteria were included in the first week after admission to the hospital. History of the first episode of psychotic symptoms was confirmed by the psychiatrist admitting, and by close relatives</w:t>
      </w:r>
      <w:r w:rsidRPr="00966CD8">
        <w:rPr>
          <w:rFonts w:cstheme="minorHAnsi"/>
          <w:sz w:val="22"/>
          <w:szCs w:val="22"/>
        </w:rPr>
        <w:t xml:space="preserve">. The inclusion criteria were (1) diagnosis of definite or probable schizophrenia; (2) admission for first episode of illness; (3) fewer than 24 weeks (lifetime) of neuroleptic treatment; (4) age between 18 and 50 years. Exclusion criteria </w:t>
      </w:r>
      <w:proofErr w:type="gramStart"/>
      <w:r w:rsidRPr="00966CD8">
        <w:rPr>
          <w:rFonts w:cstheme="minorHAnsi"/>
          <w:sz w:val="22"/>
          <w:szCs w:val="22"/>
        </w:rPr>
        <w:t>were:</w:t>
      </w:r>
      <w:proofErr w:type="gramEnd"/>
      <w:r w:rsidRPr="00966CD8">
        <w:rPr>
          <w:rFonts w:cstheme="minorHAnsi"/>
          <w:sz w:val="22"/>
          <w:szCs w:val="22"/>
        </w:rPr>
        <w:t xml:space="preserve"> included learning disabilities (based as an IQ &lt; 70), current or past neurological illness, brain injury with loss of consciousness for more than 1 hour</w:t>
      </w:r>
      <w:r w:rsidR="00436EF9">
        <w:rPr>
          <w:rFonts w:cstheme="minorHAnsi"/>
          <w:sz w:val="22"/>
          <w:szCs w:val="22"/>
        </w:rPr>
        <w:t>,</w:t>
      </w:r>
      <w:r w:rsidRPr="00966CD8">
        <w:rPr>
          <w:rFonts w:cstheme="minorHAnsi"/>
          <w:sz w:val="22"/>
          <w:szCs w:val="22"/>
        </w:rPr>
        <w:t xml:space="preserve"> and suspected or confirmed pregnancy. Healthy controls were recruited from the community through advertisements and were screened for current or </w:t>
      </w:r>
      <w:proofErr w:type="gramStart"/>
      <w:r w:rsidRPr="00966CD8">
        <w:rPr>
          <w:rFonts w:cstheme="minorHAnsi"/>
          <w:sz w:val="22"/>
          <w:szCs w:val="22"/>
        </w:rPr>
        <w:t>past history</w:t>
      </w:r>
      <w:proofErr w:type="gramEnd"/>
      <w:r w:rsidRPr="00966CD8">
        <w:rPr>
          <w:rFonts w:cstheme="minorHAnsi"/>
          <w:sz w:val="22"/>
          <w:szCs w:val="22"/>
        </w:rPr>
        <w:t xml:space="preserve"> of psychiatric, mental retardation, neurological </w:t>
      </w:r>
      <w:r w:rsidRPr="00966CD8">
        <w:rPr>
          <w:rFonts w:cstheme="minorHAnsi"/>
          <w:sz w:val="22"/>
          <w:szCs w:val="22"/>
        </w:rPr>
        <w:lastRenderedPageBreak/>
        <w:t xml:space="preserve">or general medical illness, including substance dependence and significant loss of consciousness. Family history for psychiatric conditions was an </w:t>
      </w:r>
      <w:r w:rsidR="00E9627B" w:rsidRPr="00966CD8">
        <w:rPr>
          <w:rFonts w:cstheme="minorHAnsi"/>
          <w:sz w:val="22"/>
          <w:szCs w:val="22"/>
        </w:rPr>
        <w:t>additional</w:t>
      </w:r>
      <w:r w:rsidRPr="00966CD8">
        <w:rPr>
          <w:rFonts w:cstheme="minorHAnsi"/>
          <w:sz w:val="22"/>
          <w:szCs w:val="22"/>
        </w:rPr>
        <w:t xml:space="preserve"> exclusion </w:t>
      </w:r>
      <w:r w:rsidR="001A502E" w:rsidRPr="00966CD8">
        <w:rPr>
          <w:rFonts w:cstheme="minorHAnsi"/>
          <w:sz w:val="22"/>
          <w:szCs w:val="22"/>
        </w:rPr>
        <w:t>criterion</w:t>
      </w:r>
      <w:r w:rsidRPr="00966CD8">
        <w:rPr>
          <w:rFonts w:cstheme="minorHAnsi"/>
          <w:sz w:val="22"/>
          <w:szCs w:val="22"/>
        </w:rPr>
        <w:t>.</w:t>
      </w:r>
    </w:p>
    <w:p w14:paraId="7D3B0284" w14:textId="5BDC8108" w:rsidR="00FC43AF" w:rsidRPr="00966CD8" w:rsidRDefault="00FC43AF" w:rsidP="00FC43AF">
      <w:pPr>
        <w:jc w:val="both"/>
        <w:rPr>
          <w:rFonts w:cstheme="minorHAnsi"/>
          <w:sz w:val="22"/>
          <w:szCs w:val="22"/>
        </w:rPr>
      </w:pPr>
    </w:p>
    <w:p w14:paraId="354EEC25" w14:textId="77777777" w:rsidR="00FC43AF" w:rsidRPr="00966CD8" w:rsidRDefault="00FC43AF" w:rsidP="00FC43AF">
      <w:pPr>
        <w:jc w:val="both"/>
        <w:rPr>
          <w:rFonts w:cstheme="minorHAnsi"/>
          <w:sz w:val="22"/>
          <w:szCs w:val="22"/>
        </w:rPr>
      </w:pPr>
    </w:p>
    <w:p w14:paraId="515E0F1C" w14:textId="135FB5E2" w:rsidR="00DE6C4F" w:rsidRPr="00966CD8" w:rsidRDefault="00DE6C4F" w:rsidP="00DE6C4F">
      <w:pPr>
        <w:jc w:val="both"/>
        <w:rPr>
          <w:rFonts w:cstheme="minorHAnsi"/>
          <w:b/>
          <w:sz w:val="22"/>
          <w:szCs w:val="22"/>
        </w:rPr>
      </w:pPr>
      <w:r w:rsidRPr="00966CD8">
        <w:rPr>
          <w:rFonts w:cstheme="minorHAnsi"/>
          <w:b/>
          <w:sz w:val="22"/>
          <w:szCs w:val="22"/>
        </w:rPr>
        <w:t xml:space="preserve">2. Visual inspection of MRI </w:t>
      </w:r>
      <w:r w:rsidR="000D46B9" w:rsidRPr="00966CD8">
        <w:rPr>
          <w:rFonts w:cstheme="minorHAnsi"/>
          <w:b/>
          <w:sz w:val="22"/>
          <w:szCs w:val="22"/>
        </w:rPr>
        <w:t>reconstruction</w:t>
      </w:r>
      <w:r w:rsidRPr="00966CD8">
        <w:rPr>
          <w:rFonts w:cstheme="minorHAnsi"/>
          <w:b/>
          <w:sz w:val="22"/>
          <w:szCs w:val="22"/>
        </w:rPr>
        <w:t>: criteria of exclusion</w:t>
      </w:r>
    </w:p>
    <w:p w14:paraId="2076980A" w14:textId="77777777" w:rsidR="00DE6C4F" w:rsidRPr="00966CD8" w:rsidRDefault="00DE6C4F" w:rsidP="00DE6C4F">
      <w:pPr>
        <w:jc w:val="both"/>
        <w:rPr>
          <w:rFonts w:cstheme="minorHAnsi"/>
          <w:sz w:val="22"/>
          <w:szCs w:val="22"/>
        </w:rPr>
      </w:pPr>
      <w:r w:rsidRPr="00966CD8">
        <w:rPr>
          <w:rFonts w:cstheme="minorHAnsi"/>
          <w:sz w:val="22"/>
          <w:szCs w:val="22"/>
        </w:rPr>
        <w:t>A trained psychiatrist visually inspected each reconstructed image from anterior to posterior in coronal plane and from inferior to superior in axial plane, checking for bad reconstructions.</w:t>
      </w:r>
    </w:p>
    <w:p w14:paraId="00B37C92" w14:textId="3EA1CEC3" w:rsidR="00DE6C4F" w:rsidRPr="00966CD8" w:rsidRDefault="00DE6C4F" w:rsidP="00DE6C4F">
      <w:pPr>
        <w:jc w:val="both"/>
        <w:rPr>
          <w:rFonts w:cstheme="minorHAnsi"/>
          <w:sz w:val="22"/>
          <w:szCs w:val="22"/>
        </w:rPr>
      </w:pPr>
      <w:r w:rsidRPr="00966CD8">
        <w:rPr>
          <w:rFonts w:cstheme="minorHAnsi"/>
          <w:sz w:val="22"/>
          <w:szCs w:val="22"/>
        </w:rPr>
        <w:t>Similar to prior work</w:t>
      </w:r>
      <w:r w:rsidR="00B84BEB">
        <w:rPr>
          <w:rFonts w:cstheme="minorHAnsi"/>
          <w:sz w:val="22"/>
          <w:szCs w:val="22"/>
        </w:rPr>
        <w:fldChar w:fldCharType="begin" w:fldLock="1"/>
      </w:r>
      <w:r w:rsidR="00E4073A">
        <w:rPr>
          <w:rFonts w:cstheme="minorHAnsi"/>
          <w:sz w:val="22"/>
          <w:szCs w:val="22"/>
        </w:rPr>
        <w:instrText>ADDIN CSL_CITATION {"citationItems":[{"id":"ITEM-1","itemData":{"DOI":"10.1002/hbm.23397","ISSN":"1097-0193","PMID":"27634551","abstract":"Motion-contaminated T1-weighted (T1w) magnetic resonance imaging (MRI) results in misestimates of brain structure. Because conventional T1w scans are not collected with direct measures of head motion, a practical alternative is needed to identify potential motion-induced bias in measures of brain anatomy. Head movements during functional MRI (fMRI) scanning of 266 healthy adults (20-89 years) were analyzed to reveal stable features of in-scanner head motion. The magnitude of head motion increased with age and exhibited within-participant stability across different fMRI scans. fMRI head motion was then related to measurements of both quality control (QC) and brain anatomy derived from a T1w structural image from the same scan session. A procedure was adopted to \"flag\" individuals exhibiting excessive head movement during fMRI or poor T1w quality rating. The flagging procedure reliably reduced the influence of head motion on estimates of gray matter thickness across the cortical surface. Moreover, T1w images from flagged participants exhibited reduced estimates of gray matter thickness and volume in comparison to age- and gender-matched samples, resulting in inflated effect sizes in the relationships between regional anatomical measures and age. Gray matter thickness differences were noted in numerous regions previously reported to undergo prominent atrophy with age. Recommendations are provided for mitigating this potential confound, and highlight how the procedure may lead to more accurate measurement and comparison of anatomical features. Hum Brain Mapp 38:472-492, 2017. © 2016 Wiley Periodicals, Inc.","author":[{"dropping-particle":"","family":"Savalia","given":"Neil K","non-dropping-particle":"","parse-names":false,"suffix":""},{"dropping-particle":"","family":"Agres","given":"Phillip F","non-dropping-particle":"","parse-names":false,"suffix":""},{"dropping-particle":"","family":"Chan","given":"Micaela Y","non-dropping-particle":"","parse-names":false,"suffix":""},{"dropping-particle":"","family":"Feczko","given":"Eric J","non-dropping-particle":"","parse-names":false,"suffix":""},{"dropping-particle":"","family":"Kennedy","given":"Kristen M","non-dropping-particle":"","parse-names":false,"suffix":""},{"dropping-particle":"","family":"Wig","given":"Gagan S","non-dropping-particle":"","parse-names":false,"suffix":""}],"container-title":"Human brain mapping","id":"ITEM-1","issue":"1","issued":{"date-parts":[["2017","1"]]},"page":"472-492","title":"Motion-related artifacts in structural brain images revealed with independent estimates of in-scanner head motion.","type":"article-journal","volume":"38"},"uris":["http://www.mendeley.com/documents/?uuid=b453504c-f9da-34ea-a1df-399d6324ac3f"]},{"id":"ITEM-2","itemData":{"DOI":"10.1016/j.neuroimage.2017.12.059","ISSN":"1095-9572","PMID":"29278774","abstract":"Data quality is increasingly recognized as one of the most important confounding factors in brain imaging research. It is particularly important for studies of brain development, where age is systematically related to in-scanner motion and data quality. Prior work has demonstrated that in-scanner head motion biases estimates of structural neuroimaging measures. However, objective measures of data quality are not available for most structural brain images. Here we sought to identify quantitative measures of data quality for T1-weighted volumes, describe how these measures relate to cortical thickness, and delineate how this in turn may bias inference regarding associations with age in youth. Three highly-trained raters provided manual ratings of 1840 raw T1-weighted volumes. These images included a training set of 1065 images from Philadelphia Neurodevelopmental Cohort (PNC), a test set of 533 images from the PNC, as well as an external test set of 242 adults acquired on a different scanner. Manual ratings were compared to automated quality measures provided by the Preprocessed Connectomes Project's Quality Assurance Protocol (QAP), as well as FreeSurfer's Euler number, which summarizes the topological complexity of the reconstructed cortical surface. Results revealed that the Euler number was consistently correlated with manual ratings across samples. Furthermore, the Euler number could be used to identify images scored \"unusable\" by human raters with a high degree of accuracy (AUC: 0.98-0.99), and out-performed proxy measures from functional timeseries acquired in the same scanning session. The Euler number also was significantly related to cortical thickness in a regionally heterogeneous pattern that was consistent across datasets and replicated prior results. Finally, data quality both inflated and obscured associations with age during adolescence. Taken together, these results indicate that reliable measures of data quality can be automatically derived from T1-weighted volumes, and that failing to control for data quality can systematically bias the results of studies of brain maturation.","author":[{"dropping-particle":"","family":"Rosen","given":"Adon F G","non-dropping-particle":"","parse-names":false,"suffix":""},{"dropping-particle":"","family":"Roalf","given":"David R","non-dropping-particle":"","parse-names":false,"suffix":""},{"dropping-particle":"","family":"Ruparel","given":"Kosha","non-dropping-particle":"","parse-names":false,"suffix":""},{"dropping-particle":"","family":"Blake","given":"Jason","non-dropping-particle":"","parse-names":false,"suffix":""},{"dropping-particle":"","family":"Seelaus","given":"Kevin","non-dropping-particle":"","parse-names":false,"suffix":""},{"dropping-particle":"","family":"Villa","given":"Lakshmi P","non-dropping-particle":"","parse-names":false,"suffix":""},{"dropping-particle":"","family":"Ciric","given":"Rastko","non-dropping-particle":"","parse-names":false,"suffix":""},{"dropping-particle":"","family":"Cook","given":"Philip A","non-dropping-particle":"","parse-names":false,"suffix":""},{"dropping-particle":"","family":"Davatzikos","given":"Christos","non-dropping-particle":"","parse-names":false,"suffix":""},{"dropping-particle":"","family":"Elliott","given":"Mark A","non-dropping-particle":"","parse-names":false,"suffix":""},{"dropping-particle":"","family":"Garcia de La Garza","given":"Angel","non-dropping-particle":"","parse-names":false,"suffix":""},{"dropping-particle":"","family":"Gennatas","given":"Efstathios D","non-dropping-particle":"","parse-names":false,"suffix":""},{"dropping-particle":"","family":"Quarmley","given":"Megan","non-dropping-particle":"","parse-names":false,"suffix":""},{"dropping-particle":"","family":"Schmitt","given":"J Eric","non-dropping-particle":"","parse-names":false,"suffix":""},{"dropping-particle":"","family":"Shinohara","given":"Russell T","non-dropping-particle":"","parse-names":false,"suffix":""},{"dropping-particle":"","family":"Tisdall","given":"M Dylan","non-dropping-particle":"","parse-names":false,"suffix":""},{"dropping-particle":"","family":"Craddock","given":"R Cameron","non-dropping-particle":"","parse-names":false,"suffix":""},{"dropping-particle":"","family":"Gur","given":"Raquel E","non-dropping-particle":"","parse-names":false,"suffix":""},{"dropping-particle":"","family":"Gur","given":"Ruben C","non-dropping-particle":"","parse-names":false,"suffix":""},{"dropping-particle":"","family":"Satterthwaite","given":"Theodore D","non-dropping-particle":"","parse-names":false,"suffix":""}],"container-title":"NeuroImage","id":"ITEM-2","issued":{"date-parts":[["2018","4","1"]]},"page":"407-418","title":"Quantitative assessment of structural image quality.","type":"article-journal","volume":"169"},"uris":["http://www.mendeley.com/documents/?uuid=78282a1f-9310-33dc-8760-2c7fdfee4e2d"]}],"mendeley":{"formattedCitation":"(Rosen et al., 2018; Savalia et al., 2017)","plainTextFormattedCitation":"(Rosen et al., 2018; Savalia et al., 2017)","previouslyFormattedCitation":"(Rosen et al., 2018; Savalia et al., 2017)"},"properties":{"noteIndex":0},"schema":"https://github.com/citation-style-language/schema/raw/master/csl-citation.json"}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(Rosen et al., 2018; Savalia et al., 2017)</w:t>
      </w:r>
      <w:r w:rsidR="00B84BEB">
        <w:rPr>
          <w:rFonts w:cstheme="minorHAnsi"/>
          <w:sz w:val="22"/>
          <w:szCs w:val="22"/>
        </w:rPr>
        <w:fldChar w:fldCharType="end"/>
      </w:r>
      <w:r w:rsidRPr="00966CD8">
        <w:rPr>
          <w:rFonts w:cstheme="minorHAnsi"/>
          <w:sz w:val="22"/>
          <w:szCs w:val="22"/>
        </w:rPr>
        <w:t xml:space="preserve">, all images were rated on quality in the 3-class framework, ranging from images that suffer from gross artifacts and were considered unusable and labelled as “poor reconstruction”, to images free from visible artifact. The intermediate category was used for images with some artifact, but which would </w:t>
      </w:r>
      <w:r w:rsidR="00436EF9" w:rsidRPr="00966CD8">
        <w:rPr>
          <w:rFonts w:cstheme="minorHAnsi"/>
          <w:sz w:val="22"/>
          <w:szCs w:val="22"/>
        </w:rPr>
        <w:t xml:space="preserve">still </w:t>
      </w:r>
      <w:r w:rsidRPr="00966CD8">
        <w:rPr>
          <w:rFonts w:cstheme="minorHAnsi"/>
          <w:sz w:val="22"/>
          <w:szCs w:val="22"/>
        </w:rPr>
        <w:t>be considered usable.</w:t>
      </w:r>
    </w:p>
    <w:p w14:paraId="00BEA4B7" w14:textId="3E973B34" w:rsidR="00DE6C4F" w:rsidRPr="00966CD8" w:rsidRDefault="00DE6C4F" w:rsidP="00DE6C4F">
      <w:pPr>
        <w:jc w:val="both"/>
        <w:rPr>
          <w:rFonts w:cstheme="minorHAnsi"/>
          <w:sz w:val="22"/>
          <w:szCs w:val="22"/>
        </w:rPr>
      </w:pPr>
      <w:r w:rsidRPr="00966CD8">
        <w:rPr>
          <w:rFonts w:cstheme="minorHAnsi"/>
          <w:sz w:val="22"/>
          <w:szCs w:val="22"/>
        </w:rPr>
        <w:t>We took into account artifacts (</w:t>
      </w:r>
      <w:proofErr w:type="gramStart"/>
      <w:r w:rsidRPr="00966CD8">
        <w:rPr>
          <w:rFonts w:cstheme="minorHAnsi"/>
          <w:sz w:val="22"/>
          <w:szCs w:val="22"/>
        </w:rPr>
        <w:t>i.e.</w:t>
      </w:r>
      <w:proofErr w:type="gramEnd"/>
      <w:r w:rsidRPr="00966CD8">
        <w:rPr>
          <w:rFonts w:cstheme="minorHAnsi"/>
          <w:sz w:val="22"/>
          <w:szCs w:val="22"/>
        </w:rPr>
        <w:t xml:space="preserve"> movement artifacts), gyri that were not correctly included into the reconstruction as well as </w:t>
      </w:r>
      <w:proofErr w:type="spellStart"/>
      <w:r w:rsidRPr="00966CD8">
        <w:rPr>
          <w:rFonts w:cstheme="minorHAnsi"/>
          <w:sz w:val="22"/>
          <w:szCs w:val="22"/>
        </w:rPr>
        <w:t>dural</w:t>
      </w:r>
      <w:proofErr w:type="spellEnd"/>
      <w:r w:rsidRPr="00966CD8">
        <w:rPr>
          <w:rFonts w:cstheme="minorHAnsi"/>
          <w:sz w:val="22"/>
          <w:szCs w:val="22"/>
        </w:rPr>
        <w:t xml:space="preserve"> inclusions</w:t>
      </w:r>
      <w:r w:rsidR="003E0328" w:rsidRPr="00966CD8">
        <w:rPr>
          <w:rFonts w:cstheme="minorHAnsi"/>
          <w:sz w:val="22"/>
          <w:szCs w:val="22"/>
        </w:rPr>
        <w:t xml:space="preserve">. As a rule, </w:t>
      </w:r>
      <w:r w:rsidRPr="00966CD8">
        <w:rPr>
          <w:rFonts w:cstheme="minorHAnsi"/>
          <w:sz w:val="22"/>
          <w:szCs w:val="22"/>
        </w:rPr>
        <w:t xml:space="preserve">if </w:t>
      </w:r>
      <w:r w:rsidR="003E0328" w:rsidRPr="00966CD8">
        <w:rPr>
          <w:rFonts w:cstheme="minorHAnsi"/>
          <w:sz w:val="22"/>
          <w:szCs w:val="22"/>
        </w:rPr>
        <w:t>more than</w:t>
      </w:r>
      <w:r w:rsidRPr="00966CD8">
        <w:rPr>
          <w:rFonts w:cstheme="minorHAnsi"/>
          <w:sz w:val="22"/>
          <w:szCs w:val="22"/>
        </w:rPr>
        <w:t xml:space="preserve"> 4 consecutive slices</w:t>
      </w:r>
      <w:r w:rsidR="003E0328" w:rsidRPr="00966CD8">
        <w:rPr>
          <w:rFonts w:cstheme="minorHAnsi"/>
          <w:sz w:val="22"/>
          <w:szCs w:val="22"/>
        </w:rPr>
        <w:t xml:space="preserve"> presented one artifact or a </w:t>
      </w:r>
      <w:proofErr w:type="spellStart"/>
      <w:r w:rsidR="003E0328" w:rsidRPr="00966CD8">
        <w:rPr>
          <w:rFonts w:cstheme="minorHAnsi"/>
          <w:sz w:val="22"/>
          <w:szCs w:val="22"/>
        </w:rPr>
        <w:t>dural</w:t>
      </w:r>
      <w:proofErr w:type="spellEnd"/>
      <w:r w:rsidR="003E0328" w:rsidRPr="00966CD8">
        <w:rPr>
          <w:rFonts w:cstheme="minorHAnsi"/>
          <w:sz w:val="22"/>
          <w:szCs w:val="22"/>
        </w:rPr>
        <w:t xml:space="preserve"> inclusion or a skipped gyrus, the reconstruction was labelled as “poor</w:t>
      </w:r>
      <w:r w:rsidR="00436EF9" w:rsidRPr="00436EF9">
        <w:rPr>
          <w:rFonts w:cstheme="minorHAnsi"/>
          <w:sz w:val="22"/>
          <w:szCs w:val="22"/>
        </w:rPr>
        <w:t xml:space="preserve"> </w:t>
      </w:r>
      <w:r w:rsidR="00436EF9" w:rsidRPr="00966CD8">
        <w:rPr>
          <w:rFonts w:cstheme="minorHAnsi"/>
          <w:sz w:val="22"/>
          <w:szCs w:val="22"/>
        </w:rPr>
        <w:t>reconstruction</w:t>
      </w:r>
      <w:r w:rsidR="003E0328" w:rsidRPr="00966CD8">
        <w:rPr>
          <w:rFonts w:cstheme="minorHAnsi"/>
          <w:sz w:val="22"/>
          <w:szCs w:val="22"/>
        </w:rPr>
        <w:t>”. From one to three consecutive slices presenting artifacts fell in the intermediate category.</w:t>
      </w:r>
    </w:p>
    <w:p w14:paraId="3E9448FA" w14:textId="59C07E5A" w:rsidR="00F22B7B" w:rsidRPr="00966CD8" w:rsidRDefault="00F22B7B" w:rsidP="00DE6C4F">
      <w:pPr>
        <w:jc w:val="both"/>
        <w:rPr>
          <w:rFonts w:cstheme="minorHAnsi"/>
          <w:sz w:val="22"/>
          <w:szCs w:val="22"/>
        </w:rPr>
      </w:pPr>
    </w:p>
    <w:p w14:paraId="4F266E50" w14:textId="1062BFB8" w:rsidR="00F22B7B" w:rsidRPr="00966CD8" w:rsidRDefault="00F22B7B" w:rsidP="00DE6C4F">
      <w:pPr>
        <w:jc w:val="both"/>
        <w:rPr>
          <w:rFonts w:cstheme="minorHAnsi"/>
          <w:sz w:val="22"/>
          <w:szCs w:val="22"/>
        </w:rPr>
      </w:pPr>
    </w:p>
    <w:p w14:paraId="20F47D05" w14:textId="1C1C5A43" w:rsidR="00F22B7B" w:rsidRPr="00966CD8" w:rsidRDefault="00F22B7B" w:rsidP="00F22B7B">
      <w:pPr>
        <w:rPr>
          <w:rFonts w:cstheme="minorHAnsi"/>
          <w:sz w:val="22"/>
          <w:szCs w:val="22"/>
        </w:rPr>
      </w:pPr>
      <w:r w:rsidRPr="00966CD8">
        <w:rPr>
          <w:rFonts w:cstheme="minorHAnsi"/>
          <w:b/>
          <w:sz w:val="22"/>
          <w:szCs w:val="22"/>
        </w:rPr>
        <w:t xml:space="preserve">3. </w:t>
      </w:r>
      <w:r w:rsidR="000D46B9" w:rsidRPr="00966CD8">
        <w:rPr>
          <w:rFonts w:cstheme="minorHAnsi"/>
          <w:b/>
          <w:sz w:val="22"/>
          <w:szCs w:val="22"/>
        </w:rPr>
        <w:t>Machine learning models</w:t>
      </w:r>
    </w:p>
    <w:p w14:paraId="1434796D" w14:textId="24C4A4BC" w:rsidR="00F22B7B" w:rsidRPr="00966CD8" w:rsidRDefault="00F22B7B" w:rsidP="00312E03">
      <w:pPr>
        <w:spacing w:after="160"/>
        <w:jc w:val="both"/>
        <w:rPr>
          <w:rFonts w:cstheme="minorHAnsi"/>
          <w:sz w:val="22"/>
          <w:szCs w:val="22"/>
        </w:rPr>
      </w:pPr>
      <w:r w:rsidRPr="00966CD8">
        <w:rPr>
          <w:rFonts w:cstheme="minorHAnsi"/>
          <w:sz w:val="22"/>
          <w:szCs w:val="22"/>
        </w:rPr>
        <w:t>SVMs are multivariate statistical methods that provide optimal decision rules for classifying individuals. The algorithm maps the input data into a feature space using a set of similarity functions known as kernels. In this feature space, the model finds the optimal separating hyperplane by finding the largest margin of separation between the two classes within the training set. Once the hyperplane is determined, it can be used to predict the class of new unseen observations</w:t>
      </w:r>
      <w:r w:rsidR="00B84BEB">
        <w:rPr>
          <w:rFonts w:cstheme="minorHAnsi"/>
          <w:sz w:val="22"/>
          <w:szCs w:val="22"/>
        </w:rPr>
        <w:fldChar w:fldCharType="begin" w:fldLock="1"/>
      </w:r>
      <w:r w:rsidR="007C5967">
        <w:rPr>
          <w:rFonts w:cstheme="minorHAnsi"/>
          <w:sz w:val="22"/>
          <w:szCs w:val="22"/>
        </w:rPr>
        <w:instrText>ADDIN CSL_CITATION {"citationItems":[{"id":"ITEM-1","itemData":{"DOI":"10.1146/annurev-clinpsy-032816-045037","ISSN":"1548-5943","PMID":"29401044","abstract":"Machine learning approaches for clinical psychology and psychiatry explicitly focus on learning statistical functions from multidimensional data sets to make generalizable predictions about individuals. The goal of this review is to provide an accessible understanding of why this approach is important for future practice given its potential to augment decisions associated with the diagnosis, prognosis, and treatment of people suffering from mental illness using clinical and biological data. To this end, the limitations of current statistical paradigms in mental health research are critiqued, and an introduction is provided to critical machine learning methods used in clinical studies. A selective literature review is then presented aiming to reinforce the usefulness of machine learning methods and provide evidence of their potential. In the context of promising initial results, the current limitations of machine learning approaches are addressed, and considerations for future clinical translation are outlined.","author":[{"dropping-particle":"","family":"Dwyer","given":"Dominic B.","non-dropping-particle":"","parse-names":false,"suffix":""},{"dropping-particle":"","family":"Falkai","given":"Peter","non-dropping-particle":"","parse-names":false,"suffix":""},{"dropping-particle":"","family":"Koutsouleris","given":"Nikolaos","non-dropping-particle":"","parse-names":false,"suffix":""}],"container-title":"Annual Review of Clinical Psychology","id":"ITEM-1","issue":"1","issued":{"date-parts":[["2018","5","7"]]},"page":"91-118","title":"Machine Learning Approaches for Clinical Psychology and Psychiatry","type":"article-journal","volume":"14"},"uris":["http://www.mendeley.com/documents/?uuid=771186d1-ea19-3715-b1d5-fa501fde5827"]}],"mendeley":{"formattedCitation":"(Dominic B. Dwyer et al., 2018)","manualFormatting":"( Dwyer et al., 2018)","plainTextFormattedCitation":"(Dominic B. Dwyer et al., 2018)","previouslyFormattedCitation":"(Dominic B. Dwyer et al., 2018)"},"properties":{"noteIndex":0},"schema":"https://github.com/citation-style-language/schema/raw/master/csl-citation.json"}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 Dwyer et al., 2018)</w:t>
      </w:r>
      <w:r w:rsidR="00B84BEB">
        <w:rPr>
          <w:rFonts w:cstheme="minorHAnsi"/>
          <w:sz w:val="22"/>
          <w:szCs w:val="22"/>
        </w:rPr>
        <w:fldChar w:fldCharType="end"/>
      </w:r>
      <w:r w:rsidRPr="00966CD8">
        <w:rPr>
          <w:rFonts w:cstheme="minorHAnsi"/>
          <w:sz w:val="22"/>
          <w:szCs w:val="22"/>
        </w:rPr>
        <w:t>. In the recent years, they have been applied in a range of biomedical questions and for diagnostic purposes</w:t>
      </w:r>
      <w:r w:rsidR="00B84BEB">
        <w:rPr>
          <w:rFonts w:cstheme="minorHAnsi"/>
          <w:sz w:val="22"/>
          <w:szCs w:val="22"/>
        </w:rPr>
        <w:fldChar w:fldCharType="begin" w:fldLock="1"/>
      </w:r>
      <w:r w:rsidR="00E4073A">
        <w:rPr>
          <w:rFonts w:cstheme="minorHAnsi"/>
          <w:sz w:val="22"/>
          <w:szCs w:val="22"/>
        </w:rPr>
        <w:instrText>ADDIN CSL_CITATION {"citationItems":[{"id":"ITEM-1","itemData":{"DOI":"10.1146/annurev-clinpsy-032816-045037","ISSN":"1548-5943","PMID":"29401044","abstract":"Machine learning approaches for clinical psychology and psychiatry explicitly focus on learning statistical functions from multidimensional data sets to make generalizable predictions about individuals. The goal of this review is to provide an accessible understanding of why this approach is important for future practice given its potential to augment decisions associated with the diagnosis, prognosis, and treatment of people suffering from mental illness using clinical and biological data. To this end, the limitations of current statistical paradigms in mental health research are critiqued, and an introduction is provided to critical machine learning methods used in clinical studies. A selective literature review is then presented aiming to reinforce the usefulness of machine learning methods and provide evidence of their potential. In the context of promising initial results, the current limitations of machine learning approaches are addressed, and considerations for future clinical translation are outlined.","author":[{"dropping-particle":"","family":"Dwyer","given":"Dominic B.","non-dropping-particle":"","parse-names":false,"suffix":""},{"dropping-particle":"","family":"Falkai","given":"Peter","non-dropping-particle":"","parse-names":false,"suffix":""},{"dropping-particle":"","family":"Koutsouleris","given":"Nikolaos","non-dropping-particle":"","parse-names":false,"suffix":""}],"container-title":"Annual Review of Clinical Psychology","id":"ITEM-1","issue":"1","issued":{"date-parts":[["2018","5","7"]]},"page":"91-118","title":"Machine Learning Approaches for Clinical Psychology and Psychiatry","type":"article-journal","volume":"14"},"uris":["http://www.mendeley.com/documents/?uuid=771186d1-ea19-3715-b1d5-fa501fde5827"]}],"mendeley":{"formattedCitation":"(Dominic B. Dwyer et al., 2018)","plainTextFormattedCitation":"(Dominic B. Dwyer et al., 2018)","previouslyFormattedCitation":"(Dominic B. Dwyer et al., 2018)"},"properties":{"noteIndex":0},"schema":"https://github.com/citation-style-language/schema/raw/master/csl-citation.json"}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 Dwyer et al., 2018)</w:t>
      </w:r>
      <w:r w:rsidR="00B84BEB">
        <w:rPr>
          <w:rFonts w:cstheme="minorHAnsi"/>
          <w:sz w:val="22"/>
          <w:szCs w:val="22"/>
        </w:rPr>
        <w:fldChar w:fldCharType="end"/>
      </w:r>
      <w:r w:rsidRPr="00966CD8">
        <w:rPr>
          <w:rFonts w:cstheme="minorHAnsi"/>
          <w:sz w:val="22"/>
          <w:szCs w:val="22"/>
        </w:rPr>
        <w:t>.</w:t>
      </w:r>
    </w:p>
    <w:p w14:paraId="266E4595" w14:textId="397E7325" w:rsidR="00F22B7B" w:rsidRDefault="00F22B7B" w:rsidP="00504CB0">
      <w:pPr>
        <w:jc w:val="both"/>
        <w:rPr>
          <w:rFonts w:cstheme="minorHAnsi"/>
          <w:sz w:val="22"/>
          <w:szCs w:val="22"/>
        </w:rPr>
      </w:pPr>
      <w:bookmarkStart w:id="1" w:name="_Hlk64366934"/>
      <w:r w:rsidRPr="00966CD8">
        <w:rPr>
          <w:rFonts w:cstheme="minorHAnsi"/>
          <w:sz w:val="22"/>
          <w:szCs w:val="22"/>
        </w:rPr>
        <w:t>To allow for unbiased estimation of generalizability and prevent information leakage between the training and the validation models</w:t>
      </w:r>
      <w:r w:rsidR="00B84BEB">
        <w:rPr>
          <w:rFonts w:cstheme="minorHAnsi"/>
          <w:sz w:val="22"/>
          <w:szCs w:val="22"/>
        </w:rPr>
        <w:fldChar w:fldCharType="begin" w:fldLock="1"/>
      </w:r>
      <w:r w:rsidR="00E4073A">
        <w:rPr>
          <w:rFonts w:cstheme="minorHAnsi"/>
          <w:sz w:val="22"/>
          <w:szCs w:val="22"/>
        </w:rPr>
        <w:instrText>ADDIN CSL_CITATION {"citationItems":[{"id":"ITEM-1","itemData":{"DOI":"10.2202/1544-6115.1078","ISSN":"1544-6115","PMID":"16646817","abstract":"We demonstrate a concept and implementation of a compendium for the classification of high-dimensional data from microarray gene expression profiles. A compendium is an interactive document that bundles primary data, statistical processing methods, figures, and derived data together with the textual documentation and conclusions. Interactivity allows the reader to modify and extend these components. We address the following questions: how much does the discriminatory power of a classifier depend on the choice of the algorithm that was used to identify it; what alternative classifiers could be used just as well; how robust is the result. The answers to these questions are essential prerequisites for validation and biological interpretation of the classifiers. We show how to use this approach by looking at these questions for a specific breast cancer microarray data set that first has been studied by Huang et al. (2003).","author":[{"dropping-particle":"","family":"Ruschhaupt","given":"Markus","non-dropping-particle":"","parse-names":false,"suffix":""},{"dropping-particle":"","family":"Huber","given":"Wolfgang","non-dropping-particle":"","parse-names":false,"suffix":""},{"dropping-particle":"","family":"Poustka","given":"Annemarie","non-dropping-particle":"","parse-names":false,"suffix":""},{"dropping-particle":"","family":"Mansmann","given":"Ulrich","non-dropping-particle":"","parse-names":false,"suffix":""}],"container-title":"Statistical applications in genetics and molecular biology","id":"ITEM-1","issue":"1","issued":{"date-parts":[["2004","1","19"]]},"page":"Article37","title":"A compendium to ensure computational reproducibility in high-dimensional classification tasks.","type":"article-journal","volume":"3"},"uris":["http://www.mendeley.com/documents/?uuid=bea39857-105d-3755-9478-6d1700bc8363"]}],"mendeley":{"formattedCitation":"(Ruschhaupt et al., 2004)","plainTextFormattedCitation":"(Ruschhaupt et al., 2004)","previouslyFormattedCitation":"(Ruschhaupt et al., 2004)"},"properties":{"noteIndex":0},"schema":"https://github.com/citation-style-language/schema/raw/master/csl-citation.json"}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Ruschhaupt</w:t>
      </w:r>
      <w:proofErr w:type="spellEnd"/>
      <w:r w:rsidR="00A24C43" w:rsidRPr="00A24C43">
        <w:rPr>
          <w:rFonts w:cstheme="minorHAnsi"/>
          <w:noProof/>
          <w:sz w:val="22"/>
          <w:szCs w:val="22"/>
        </w:rPr>
        <w:t xml:space="preserve"> et al., 2004)</w:t>
      </w:r>
      <w:r w:rsidR="00B84BEB">
        <w:rPr>
          <w:rFonts w:cstheme="minorHAnsi"/>
          <w:sz w:val="22"/>
          <w:szCs w:val="22"/>
        </w:rPr>
        <w:fldChar w:fldCharType="end"/>
      </w:r>
      <w:r w:rsidRPr="00966CD8">
        <w:rPr>
          <w:rFonts w:cstheme="minorHAnsi"/>
          <w:sz w:val="22"/>
          <w:szCs w:val="22"/>
        </w:rPr>
        <w:t>, a double cycle, nested cross-validation (CV) framework</w:t>
      </w:r>
      <w:r w:rsidR="00B84BEB">
        <w:rPr>
          <w:rFonts w:cstheme="minorHAnsi"/>
          <w:sz w:val="22"/>
          <w:szCs w:val="22"/>
        </w:rPr>
        <w:fldChar w:fldCharType="begin" w:fldLock="1"/>
      </w:r>
      <w:r w:rsidR="00E4073A">
        <w:rPr>
          <w:rFonts w:cstheme="minorHAnsi"/>
          <w:sz w:val="22"/>
          <w:szCs w:val="22"/>
        </w:rPr>
        <w:instrText>ADDIN CSL_CITATION {"citationItems":[{"id":"ITEM-1","itemData":{"DOI":"10.1016/S2215-0366(16)30171-7","ISSN":"22150366","PMID":"27569526","abstract":"BACKGROUND At present, no tools exist to estimate objectively the risk of poor treatment outcomes in patients with first-episode psychosis. Such tools could improve treatment by informing clinical decision-making before the commencement of treatment. We tested whether such a tool could be successfully built and validated using routinely available, patient-reportable information. METHODS By applying machine learning to data from 334 patients in the European First Episode Schizophrenia Trial (EUFEST; International Clinical Trials Registry Platform number, ISRCTN68736636), we developed a tool to predict poor versus good treatment outcome (Global Assessment of Functioning [GAF] score ≥65 vs GAF &lt;65, respectively) after 4 weeks and 52 weeks of treatment. To enable the unbiased estimation of the predictive system's generalisability to new patients, we used repeated nested cross-validation to prevent information leaking between patients used for training and validating the models. In pursuit of everyday clinical applicability, we retrained the 4-week outcome predictor with only the top ten predictors of the pooled prediction system and then tested this tool in 108 independent patients with 4-week outcome labels. Discontinuation and readmission to hospital events in patients with predicted poor versus good outcomes were assessed with Kaplan-Meier log-rank analyses, whereas generalised linear mixed-effects models were used to investigate the GAF-based predictions against several clinically meaningful outcome indicators, including treatment adherence, symptom remission, and quality of life. FINDINGS The generalisability of our outcome predictions were estimated with cross-validation (test-fold balanced accuracy [BAC] of 75·0% for 4-week outcomes and 73·8% for and 52-week outcomes), and leave-site-out validation across 44 European sites (BAC of 72·1% for 4-week outcomes and 71·1% for 52-week outcomes). We identified a smaller group of ten predictors still providing a BAC of 71·7% in 108 patients never used for model discovery. Unemployment, poor education, functional deficits, and unmet psychosocial needs predicted both endpoints, whereas previous depressive episodes, male sex, and suicidality additionally predicted poor 1-year outcomes. 52-week predictions identified patients at risk for symptom persistence, non-adherence to treatment, readmission to hospital and poor quality of life. Specifically among these patients, amisulpride and olanzapine showed superior e…","author":[{"dropping-particle":"","family":"Koutsouleris","given":"Nikolaos","non-dropping-particle":"","parse-names":false,"suffix":""},{"dropping-particle":"","family":"Kahn","given":"René S","non-dropping-particle":"","parse-names":false,"suffix":""},{"dropping-particle":"","family":"Chekroud","given":"Adam M","non-dropping-particle":"","parse-names":false,"suffix":""},{"dropping-particle":"","family":"Leucht","given":"Stefan","non-dropping-particle":"","parse-names":false,"suffix":""},{"dropping-particle":"","family":"Falkai","given":"Peter","non-dropping-particle":"","parse-names":false,"suffix":""},{"dropping-particle":"","family":"Wobrock","given":"Thomas","non-dropping-particle":"","parse-names":false,"suffix":""},{"dropping-particle":"","family":"Derks","given":"Eske M","non-dropping-particle":"","parse-names":false,"suffix":""},{"dropping-particle":"","family":"Fleischhacker","given":"Wolfgang W","non-dropping-particle":"","parse-names":false,"suffix":""},{"dropping-particle":"","family":"Hasan","given":"Alkomiet","non-dropping-particle":"","parse-names":false,"suffix":""}],"container-title":"The Lancet Psychiatry","id":"ITEM-1","issue":"10","issued":{"date-parts":[["2016","10"]]},"page":"935-946","title":"Multisite prediction of 4-week and 52-week treatment outcomes in patients with first-episode psychosis: a machine learning approach","type":"article-journal","volume":"3"},"uris":["http://www.mendeley.com/documents/?uuid=5c510300-0cb0-38e2-80d7-5813fd0d5631"]},{"id":"ITEM-2","itemData":{"DOI":"10.1001/jamapsychiatry.2018.2165","ISSN":"2168-622X","PMID":"30267047","abstract":"Importance Social and occupational impairments contribute to the burden of psychosis and depression. There is a need for risk stratification tools to inform personalized functional-disability preventive strategies for individuals in at-risk and early phases of these illnesses. Objective To determine whether predictors associated with social and role functioning can be identified in patients in clinical high-risk (CHR) states for psychosis or with recent-onset depression (ROD) using clinical, imaging-based, and combined machine learning; assess the geographic, transdiagnostic, and prognostic generalizability of machine learning and compare it with human prognostication; and explore sequential prognosis encompassing clinical and combined machine learning. Design, Setting, and Participants This multisite naturalistic study followed up patients in CHR states, with ROD, and with recent-onset psychosis, and healthy control participants for 18 months in 7 academic early-recognition services in 5 European countries. Participants were recruited between February 2014 and May 2016, and data were analyzed from April 2017 to January 2018. ain Outcomes and Measures Performance and generalizability of prognostic models. Results A total of 116 individuals in CHR states (mean [SD] age, 24.0 [5.1] years; 58 [50.0%] female) and 120 patients with ROD (mean [SD] age, 26.1 [6.1] years; 65 [54.2%] female) were followed up for a mean (SD) of 329 (142) days. Machine learning predicted the 1-year social-functioning outcomes with a balanced accuracy of 76.9% of patients in CHR states and 66.2% of patients with ROD using clinical baseline data. Balanced accuracy in models using structural neuroimaging was 76.2% in patients in CHR states and 65.0% in patients with ROD, and in combined models, it was 82.7% for CHR states and 70.3% for ROD. Lower functioning before study entry was a transdiagnostic predictor. Medial prefrontal and temporo-parieto-occipital gray matter volume (GMV) reductions and cerebellar and dorsolateral prefrontal GMV increments had predictive value in the CHR group; reduced mediotemporal and increased prefrontal-perisylvian GMV had predictive value in patients with ROD. Poor prognoses were associated with increased risk of psychotic, depressive, and anxiety disorders at follow-up in patients in the CHR state but not ones with ROD. Machine learning outperformed expert prognostication. Adding neuroimaging machine learning to clinical machine learning provided a 1.9…","author":[{"dropping-particle":"","family":"Koutsouleris","given":"Nikolaos","non-dropping-particle":"","parse-names":false,"suffix":""},{"dropping-particle":"","family":"Kambeitz-Ilankovic","given":"Lana","non-dropping-particle":"","parse-names":false,"suffix":""},{"dropping-particle":"","family":"Ruhrmann","given":"Stephan","non-dropping-particle":"","parse-names":false,"suffix":""},{"dropping-particle":"","family":"Rosen","given":"Marlene","non-dropping-particle":"","parse-names":false,"suffix":""},{"dropping-particle":"","family":"Ruef","given":"Anne","non-dropping-particle":"","parse-names":false,"suffix":""},{"dropping-particle":"","family":"Dwyer","given":"Dominic B.","non-dropping-particle":"","parse-names":false,"suffix":""},{"dropping-particle":"","family":"Paolini","given":"Marco","non-dropping-particle":"","parse-names":false,"suffix":""},{"dropping-particle":"","family":"Chisholm","given":"Katharine","non-dropping-particle":"","parse-names":false,"suffix":""},{"dropping-particle":"","family":"Kambeitz","given":"Joseph","non-dropping-particle":"","parse-names":false,"suffix":""},{"dropping-particle":"","family":"Haidl","given":"Theresa","non-dropping-particle":"","parse-names":false,"suffix":""},{"dropping-particle":"","family":"Schmidt","given":"André","non-dropping-particle":"","parse-names":false,"suffix":""},{"dropping-particle":"","family":"Gillam","given":"John","non-dropping-particle":"","parse-names":false,"suffix":""},{"dropping-particle":"","family":"Schultze-Lutter","given":"Frauke","non-dropping-particle":"","parse-names":false,"suffix":""},{"dropping-particle":"","family":"Falkai","given":"Peter","non-dropping-particle":"","parse-names":false,"suffix":""},{"dropping-particle":"","family":"Reiser","given":"Maximilian","non-dropping-particle":"","parse-names":false,"suffix":""},{"dropping-particle":"","family":"Riecher-Rössler","given":"Anita","non-dropping-particle":"","parse-names":false,"suffix":""},{"dropping-particle":"","family":"Upthegrove","given":"Rachel","non-dropping-particle":"","parse-names":false,"suffix":""},{"dropping-particle":"","family":"Hietala","given":"Jarmo","non-dropping-particle":"","parse-names":false,"suffix":""},{"dropping-particle":"","family":"Salokangas","given":"Raimo K. R.","non-dropping-particle":"","parse-names":false,"suffix":""},{"dropping-particle":"","family":"Pantelis","given":"Christos","non-dropping-particle":"","parse-names":false,"suffix":""},{"dropping-particle":"","family":"Meisenzahl","given":"Eva","non-dropping-particle":"","parse-names":false,"suffix":""},{"dropping-particle":"","family":"Wood","given":"Stephen J.","non-dropping-particle":"","parse-names":false,"suffix":""},{"dropping-particle":"","family":"Beque","given":"Dirk","non-dropping-particle":"","parse-names":false,"suffix":""},{"dropping-particle":"","family":"Brambilla","given":"Paolo","non-dropping-particle":"","parse-names":false,"suffix":""},{"dropping-particle":"","family":"Borgwardt","given":"Stefan","non-dropping-particle":"","parse-names":false,"suffix":""},{"dropping-particle":"","family":"PRONIA Consortium","given":"","non-dropping-particle":"","parse-names":false,"suffix":""}],"container-title":"JAMA Psychiatry","id":"ITEM-2","issue":"11","issued":{"date-parts":[["2018","11","1"]]},"page":"1156","title":"Prediction Models of Functional Outcomes for Individuals in the Clinical High-Risk State for Psychosis or With Recent-Onset Depression","type":"article-journal","volume":"75"},"uris":["http://www.mendeley.com/documents/?uuid=461498b8-21c1-3e4a-bad8-50698c3abe17"]}],"mendeley":{"formattedCitation":"(Koutsouleris et al., 2018, 2016)","plainTextFormattedCitation":"(Koutsouleris et al., 2018, 2016)","previouslyFormattedCitation":"(Koutsouleris et al., 2018, 2016)"},"properties":{"noteIndex":0},"schema":"https://github.com/citation-style-language/schema/raw/master/csl-citation.json"}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Koutsouleris</w:t>
      </w:r>
      <w:proofErr w:type="spellEnd"/>
      <w:r w:rsidR="00A24C43" w:rsidRPr="00A24C43">
        <w:rPr>
          <w:rFonts w:cstheme="minorHAnsi"/>
          <w:noProof/>
          <w:sz w:val="22"/>
          <w:szCs w:val="22"/>
        </w:rPr>
        <w:t xml:space="preserve"> et al., 2018, 2016)</w:t>
      </w:r>
      <w:r w:rsidR="00B84BEB">
        <w:rPr>
          <w:rFonts w:cstheme="minorHAnsi"/>
          <w:sz w:val="22"/>
          <w:szCs w:val="22"/>
        </w:rPr>
        <w:fldChar w:fldCharType="end"/>
      </w:r>
      <w:r w:rsidRPr="00966CD8">
        <w:rPr>
          <w:rFonts w:cstheme="minorHAnsi"/>
          <w:sz w:val="22"/>
          <w:szCs w:val="22"/>
        </w:rPr>
        <w:t xml:space="preserve"> was built. </w:t>
      </w:r>
      <w:r w:rsidR="00504CB0">
        <w:rPr>
          <w:rFonts w:cstheme="minorHAnsi"/>
          <w:sz w:val="22"/>
          <w:szCs w:val="22"/>
        </w:rPr>
        <w:t>In a k-fold CV, a</w:t>
      </w:r>
      <w:r w:rsidR="00504CB0" w:rsidRPr="00504CB0">
        <w:rPr>
          <w:rFonts w:cstheme="minorHAnsi"/>
          <w:sz w:val="22"/>
          <w:szCs w:val="22"/>
        </w:rPr>
        <w:t>n entire test fold is then left out,</w:t>
      </w:r>
      <w:r w:rsidR="00504CB0">
        <w:rPr>
          <w:rFonts w:cstheme="minorHAnsi"/>
          <w:sz w:val="22"/>
          <w:szCs w:val="22"/>
        </w:rPr>
        <w:t xml:space="preserve"> while the </w:t>
      </w:r>
      <w:r w:rsidR="00504CB0" w:rsidRPr="00504CB0">
        <w:rPr>
          <w:rFonts w:cstheme="minorHAnsi"/>
          <w:sz w:val="22"/>
          <w:szCs w:val="22"/>
        </w:rPr>
        <w:t xml:space="preserve">model is learned on the rest of the training data, and </w:t>
      </w:r>
      <w:r w:rsidR="00504CB0">
        <w:rPr>
          <w:rFonts w:cstheme="minorHAnsi"/>
          <w:sz w:val="22"/>
          <w:szCs w:val="22"/>
        </w:rPr>
        <w:t>then</w:t>
      </w:r>
      <w:r w:rsidR="00504CB0" w:rsidRPr="00504CB0">
        <w:rPr>
          <w:rFonts w:cstheme="minorHAnsi"/>
          <w:sz w:val="22"/>
          <w:szCs w:val="22"/>
        </w:rPr>
        <w:t xml:space="preserve"> tested on the left-out individuals. This </w:t>
      </w:r>
      <w:r w:rsidR="00504CB0">
        <w:rPr>
          <w:rFonts w:cstheme="minorHAnsi"/>
          <w:sz w:val="22"/>
          <w:szCs w:val="22"/>
        </w:rPr>
        <w:t>procedure</w:t>
      </w:r>
      <w:r w:rsidR="00504CB0" w:rsidRPr="00504CB0">
        <w:rPr>
          <w:rFonts w:cstheme="minorHAnsi"/>
          <w:sz w:val="22"/>
          <w:szCs w:val="22"/>
        </w:rPr>
        <w:t xml:space="preserve"> is repeated for</w:t>
      </w:r>
      <w:r w:rsidR="00504CB0">
        <w:rPr>
          <w:rFonts w:cstheme="minorHAnsi"/>
          <w:sz w:val="22"/>
          <w:szCs w:val="22"/>
        </w:rPr>
        <w:t xml:space="preserve"> </w:t>
      </w:r>
      <w:r w:rsidR="00504CB0" w:rsidRPr="00504CB0">
        <w:rPr>
          <w:rFonts w:cstheme="minorHAnsi"/>
          <w:sz w:val="22"/>
          <w:szCs w:val="22"/>
        </w:rPr>
        <w:t>a prespecified number of k folds</w:t>
      </w:r>
      <w:r w:rsidR="00504CB0">
        <w:rPr>
          <w:rFonts w:cstheme="minorHAnsi"/>
          <w:sz w:val="22"/>
          <w:szCs w:val="22"/>
        </w:rPr>
        <w:t xml:space="preserve"> (in our analyses k=10)</w:t>
      </w:r>
      <w:r w:rsidR="00504CB0" w:rsidRPr="00504CB0">
        <w:rPr>
          <w:rFonts w:cstheme="minorHAnsi"/>
          <w:sz w:val="22"/>
          <w:szCs w:val="22"/>
        </w:rPr>
        <w:t xml:space="preserve"> and results in stable estimates of generalizability because the training groups are more variable and there are more individuals in the</w:t>
      </w:r>
      <w:r w:rsidR="00504CB0">
        <w:rPr>
          <w:rFonts w:cstheme="minorHAnsi"/>
          <w:sz w:val="22"/>
          <w:szCs w:val="22"/>
        </w:rPr>
        <w:t xml:space="preserve"> </w:t>
      </w:r>
      <w:r w:rsidR="00504CB0" w:rsidRPr="00504CB0">
        <w:rPr>
          <w:rFonts w:cstheme="minorHAnsi"/>
          <w:sz w:val="22"/>
          <w:szCs w:val="22"/>
        </w:rPr>
        <w:t>left-out test sets</w:t>
      </w:r>
      <w:r w:rsidR="00504CB0">
        <w:rPr>
          <w:rFonts w:cstheme="minorHAnsi"/>
          <w:sz w:val="22"/>
          <w:szCs w:val="22"/>
        </w:rPr>
        <w:t>. Moreover, n</w:t>
      </w:r>
      <w:r w:rsidR="00E4073A" w:rsidRPr="00E4073A">
        <w:rPr>
          <w:rFonts w:cstheme="minorHAnsi"/>
          <w:sz w:val="22"/>
          <w:szCs w:val="22"/>
        </w:rPr>
        <w:t>ested CV includes a CV cycle within another, superordinate CV</w:t>
      </w:r>
      <w:r w:rsidR="00E4073A">
        <w:rPr>
          <w:rFonts w:cstheme="minorHAnsi"/>
          <w:sz w:val="22"/>
          <w:szCs w:val="22"/>
        </w:rPr>
        <w:t xml:space="preserve"> </w:t>
      </w:r>
      <w:r w:rsidR="00E4073A" w:rsidRPr="00E4073A">
        <w:rPr>
          <w:rFonts w:cstheme="minorHAnsi"/>
          <w:sz w:val="22"/>
          <w:szCs w:val="22"/>
        </w:rPr>
        <w:t>cycle that is ultimately used to assess the generalizability of the models</w:t>
      </w:r>
      <w:r w:rsidR="00E4073A">
        <w:rPr>
          <w:rFonts w:cstheme="minorHAnsi"/>
          <w:sz w:val="22"/>
          <w:szCs w:val="22"/>
        </w:rPr>
        <w:t xml:space="preserve"> </w:t>
      </w:r>
      <w:r w:rsidR="00E4073A">
        <w:rPr>
          <w:rFonts w:cstheme="minorHAnsi"/>
          <w:sz w:val="22"/>
          <w:szCs w:val="22"/>
        </w:rPr>
        <w:fldChar w:fldCharType="begin" w:fldLock="1"/>
      </w:r>
      <w:r w:rsidR="00E4073A">
        <w:rPr>
          <w:rFonts w:cstheme="minorHAnsi"/>
          <w:sz w:val="22"/>
          <w:szCs w:val="22"/>
        </w:rPr>
        <w:instrText>ADDIN CSL_CITATION {"citationItems":[{"id":"ITEM-1","itemData":{"DOI":"10.1146/annurev-clinpsy-032816-045037","ISSN":"1548-5943","PMID":"29401044","abstract":"Machine learning approaches for clinical psychology and psychiatry explicitly focus on learning statistical functions from multidimensional data sets to make generalizable predictions about individuals. The goal of this review is to provide an accessible understanding of why this approach is important for future practice given its potential to augment decisions associated with the diagnosis, prognosis, and treatment of people suffering from mental illness using clinical and biological data. To this end, the limitations of current statistical paradigms in mental health research are critiqued, and an introduction is provided to critical machine learning methods used in clinical studies. A selective literature review is then presented aiming to reinforce the usefulness of machine learning methods and provide evidence of their potential. In the context of promising initial results, the current limitations of machine learning approaches are addressed, and considerations for future clinical translation are outlined.","author":[{"dropping-particle":"","family":"Dwyer","given":"Dominic B.","non-dropping-particle":"","parse-names":false,"suffix":""},{"dropping-particle":"","family":"Falkai","given":"Peter","non-dropping-particle":"","parse-names":false,"suffix":""},{"dropping-particle":"","family":"Koutsouleris","given":"Nikolaos","non-dropping-particle":"","parse-names":false,"suffix":""}],"container-title":"Annual Review of Clinical Psychology","id":"ITEM-1","issue":"1","issued":{"date-parts":[["2018","5","7"]]},"page":"91-118","title":"Machine Learning Approaches for Clinical Psychology and Psychiatry","type":"article-journal","volume":"14"},"uris":["http://www.mendeley.com/documents/?uuid=771186d1-ea19-3715-b1d5-fa501fde5827"]}],"mendeley":{"formattedCitation":"(Dominic B. Dwyer et al., 2018)","plainTextFormattedCitation":"(Dominic B. Dwyer et al., 2018)"},"properties":{"noteIndex":0},"schema":"https://github.com/citation-style-language/schema/raw/master/csl-citation.json"}</w:instrText>
      </w:r>
      <w:r w:rsidR="00E4073A">
        <w:rPr>
          <w:rFonts w:cstheme="minorHAnsi"/>
          <w:sz w:val="22"/>
          <w:szCs w:val="22"/>
        </w:rPr>
        <w:fldChar w:fldCharType="separate"/>
      </w:r>
      <w:r w:rsidR="00E4073A" w:rsidRPr="00E4073A">
        <w:rPr>
          <w:rFonts w:cstheme="minorHAnsi"/>
          <w:noProof/>
          <w:sz w:val="22"/>
          <w:szCs w:val="22"/>
        </w:rPr>
        <w:t>( Dwyer et al., 2018)</w:t>
      </w:r>
      <w:r w:rsidR="00E4073A">
        <w:rPr>
          <w:rFonts w:cstheme="minorHAnsi"/>
          <w:sz w:val="22"/>
          <w:szCs w:val="22"/>
        </w:rPr>
        <w:fldChar w:fldCharType="end"/>
      </w:r>
      <w:r w:rsidR="00E4073A">
        <w:rPr>
          <w:rFonts w:cstheme="minorHAnsi"/>
          <w:sz w:val="22"/>
          <w:szCs w:val="22"/>
        </w:rPr>
        <w:t xml:space="preserve">. </w:t>
      </w:r>
      <w:r w:rsidRPr="00966CD8">
        <w:rPr>
          <w:rFonts w:cstheme="minorHAnsi"/>
          <w:sz w:val="22"/>
          <w:szCs w:val="22"/>
        </w:rPr>
        <w:t xml:space="preserve">In both inner and outer CV, a 10-fold CV cycle was employed. </w:t>
      </w:r>
      <w:r w:rsidR="007C5967" w:rsidRPr="007C5967">
        <w:rPr>
          <w:rFonts w:cstheme="minorHAnsi"/>
          <w:sz w:val="22"/>
          <w:szCs w:val="22"/>
        </w:rPr>
        <w:t>So, based on the nested scheme, in the outer-CV our sample was randomly divided into 10 folds and a fold was held-out as test set. The rest of the data went into the 'nest' where it was again subdivided into 10 folds, a test fold is held-out, and the rest of the data was used for training. This procedure was repeated so that every fold is held-out as a test set. Parsimonious models that contributed most to the discriminative pattern separating FEP and HC are created at the inner CV level. To enforce an unbiased estimation of classification generalizability, these models were then applied to the test data at the outer CV level, which consisted of study participants never used for training the discriminative algorithm. In other words, all model training steps that use group-level statistical procedures (</w:t>
      </w:r>
      <w:proofErr w:type="spellStart"/>
      <w:r w:rsidR="007C5967" w:rsidRPr="007C5967">
        <w:rPr>
          <w:rFonts w:cstheme="minorHAnsi"/>
          <w:sz w:val="22"/>
          <w:szCs w:val="22"/>
        </w:rPr>
        <w:t>e.g</w:t>
      </w:r>
      <w:proofErr w:type="spellEnd"/>
      <w:r w:rsidR="007C5967" w:rsidRPr="007C5967">
        <w:rPr>
          <w:rFonts w:cstheme="minorHAnsi"/>
          <w:sz w:val="22"/>
          <w:szCs w:val="22"/>
        </w:rPr>
        <w:t xml:space="preserve"> regress out of covariates effects, feature selection) occur only in the inner CV training data. The inner CV test data are used to choose the best hyperparameter combinations. Finally, the outer CV test data measure exclusively the models’ generalizability to unseen data. We extended nested CV to repeated nested CV at the outer cross-validation cycle by randomly permuting the participants within their groups (number of permutations = 10) and repeating the CV cycle for each of these permutations</w:t>
      </w:r>
    </w:p>
    <w:bookmarkEnd w:id="1"/>
    <w:p w14:paraId="11D98446" w14:textId="77777777" w:rsidR="00E4774D" w:rsidRPr="00966CD8" w:rsidRDefault="00E4774D" w:rsidP="00F22B7B">
      <w:pPr>
        <w:jc w:val="both"/>
        <w:rPr>
          <w:rFonts w:cstheme="minorHAnsi"/>
          <w:sz w:val="22"/>
          <w:szCs w:val="22"/>
        </w:rPr>
      </w:pPr>
    </w:p>
    <w:p w14:paraId="6F70397F" w14:textId="77777777" w:rsidR="00F22B7B" w:rsidRPr="00966CD8" w:rsidRDefault="00F22B7B" w:rsidP="00F22B7B">
      <w:pPr>
        <w:rPr>
          <w:rFonts w:cstheme="minorHAnsi"/>
          <w:sz w:val="22"/>
          <w:szCs w:val="22"/>
        </w:rPr>
      </w:pPr>
      <w:r w:rsidRPr="00966CD8">
        <w:rPr>
          <w:rFonts w:cstheme="minorHAnsi"/>
          <w:sz w:val="22"/>
          <w:szCs w:val="22"/>
          <w:u w:val="single"/>
        </w:rPr>
        <w:t>Cross-Validation scheme</w:t>
      </w:r>
      <w:r w:rsidRPr="00966CD8">
        <w:rPr>
          <w:rFonts w:cstheme="minorHAnsi"/>
          <w:sz w:val="22"/>
          <w:szCs w:val="22"/>
        </w:rPr>
        <w:t xml:space="preserve">: </w:t>
      </w:r>
    </w:p>
    <w:p w14:paraId="3F5AAB35" w14:textId="77777777" w:rsidR="00F22B7B" w:rsidRPr="00966CD8" w:rsidRDefault="00F22B7B" w:rsidP="00F22B7B">
      <w:pPr>
        <w:rPr>
          <w:rFonts w:cstheme="minorHAnsi"/>
          <w:sz w:val="22"/>
          <w:szCs w:val="22"/>
        </w:rPr>
      </w:pPr>
      <w:r w:rsidRPr="00966CD8">
        <w:rPr>
          <w:rFonts w:cstheme="minorHAnsi"/>
          <w:sz w:val="22"/>
          <w:szCs w:val="22"/>
        </w:rPr>
        <w:tab/>
        <w:t>CV1 (inner cycle): 10 folds x 10 permutations</w:t>
      </w:r>
    </w:p>
    <w:p w14:paraId="1466E3A7" w14:textId="77777777" w:rsidR="00F22B7B" w:rsidRPr="00966CD8" w:rsidRDefault="00F22B7B" w:rsidP="00F22B7B">
      <w:pPr>
        <w:rPr>
          <w:rFonts w:cstheme="minorHAnsi"/>
          <w:sz w:val="22"/>
          <w:szCs w:val="22"/>
        </w:rPr>
      </w:pPr>
      <w:r w:rsidRPr="00966CD8">
        <w:rPr>
          <w:rFonts w:cstheme="minorHAnsi"/>
          <w:sz w:val="22"/>
          <w:szCs w:val="22"/>
        </w:rPr>
        <w:tab/>
        <w:t>CV2 (outer cycle): 10 folds x 10 permutation</w:t>
      </w:r>
    </w:p>
    <w:p w14:paraId="4A383783" w14:textId="77777777" w:rsidR="00F22B7B" w:rsidRPr="00966CD8" w:rsidRDefault="00F22B7B" w:rsidP="00F22B7B">
      <w:pPr>
        <w:rPr>
          <w:rFonts w:cstheme="minorHAnsi"/>
          <w:sz w:val="22"/>
          <w:szCs w:val="22"/>
        </w:rPr>
      </w:pPr>
    </w:p>
    <w:p w14:paraId="69B67F1E" w14:textId="77777777" w:rsidR="00F22B7B" w:rsidRPr="00966CD8" w:rsidRDefault="00F22B7B" w:rsidP="00F22B7B">
      <w:pPr>
        <w:rPr>
          <w:rFonts w:cstheme="minorHAnsi"/>
          <w:sz w:val="22"/>
          <w:szCs w:val="22"/>
        </w:rPr>
      </w:pPr>
      <w:r w:rsidRPr="00966CD8">
        <w:rPr>
          <w:rFonts w:cstheme="minorHAnsi"/>
          <w:sz w:val="22"/>
          <w:szCs w:val="22"/>
          <w:u w:val="single"/>
        </w:rPr>
        <w:t>Feature preprocessing</w:t>
      </w:r>
      <w:r w:rsidRPr="00966CD8">
        <w:rPr>
          <w:rFonts w:cstheme="minorHAnsi"/>
          <w:sz w:val="22"/>
          <w:szCs w:val="22"/>
        </w:rPr>
        <w:t>:</w:t>
      </w:r>
    </w:p>
    <w:p w14:paraId="3681D345" w14:textId="03064D11" w:rsidR="00F22B7B" w:rsidRPr="00966CD8" w:rsidRDefault="00F22B7B" w:rsidP="00F22B7B">
      <w:pPr>
        <w:ind w:left="708"/>
        <w:jc w:val="both"/>
        <w:rPr>
          <w:rFonts w:cstheme="minorHAnsi"/>
          <w:sz w:val="22"/>
          <w:szCs w:val="22"/>
        </w:rPr>
      </w:pPr>
      <w:r w:rsidRPr="00966CD8">
        <w:rPr>
          <w:rFonts w:cstheme="minorHAnsi"/>
          <w:sz w:val="22"/>
          <w:szCs w:val="22"/>
          <w:u w:val="single"/>
        </w:rPr>
        <w:t xml:space="preserve">Step </w:t>
      </w:r>
      <w:r w:rsidR="00D0688E" w:rsidRPr="00966CD8">
        <w:rPr>
          <w:rFonts w:cstheme="minorHAnsi"/>
          <w:sz w:val="22"/>
          <w:szCs w:val="22"/>
          <w:u w:val="single"/>
        </w:rPr>
        <w:t>1</w:t>
      </w:r>
      <w:r w:rsidRPr="00966CD8">
        <w:rPr>
          <w:rFonts w:cstheme="minorHAnsi"/>
          <w:sz w:val="22"/>
          <w:szCs w:val="22"/>
        </w:rPr>
        <w:t xml:space="preserve">: </w:t>
      </w:r>
      <w:r w:rsidR="00436EF9" w:rsidRPr="00966CD8">
        <w:rPr>
          <w:rFonts w:cstheme="minorHAnsi"/>
          <w:sz w:val="22"/>
          <w:szCs w:val="22"/>
        </w:rPr>
        <w:t>Prun</w:t>
      </w:r>
      <w:r w:rsidR="00436EF9">
        <w:rPr>
          <w:rFonts w:cstheme="minorHAnsi"/>
          <w:sz w:val="22"/>
          <w:szCs w:val="22"/>
        </w:rPr>
        <w:t>ing</w:t>
      </w:r>
      <w:r w:rsidR="00436EF9" w:rsidRPr="00966CD8">
        <w:rPr>
          <w:rFonts w:cstheme="minorHAnsi"/>
          <w:sz w:val="22"/>
          <w:szCs w:val="22"/>
        </w:rPr>
        <w:t xml:space="preserve"> </w:t>
      </w:r>
      <w:r w:rsidR="00436EF9">
        <w:rPr>
          <w:rFonts w:cstheme="minorHAnsi"/>
          <w:sz w:val="22"/>
          <w:szCs w:val="22"/>
        </w:rPr>
        <w:t xml:space="preserve">of </w:t>
      </w:r>
      <w:r w:rsidRPr="00966CD8">
        <w:rPr>
          <w:rFonts w:cstheme="minorHAnsi"/>
          <w:sz w:val="22"/>
          <w:szCs w:val="22"/>
        </w:rPr>
        <w:t xml:space="preserve">non-informative columns from matrix [Zero Var, Nan, </w:t>
      </w:r>
      <w:r w:rsidR="00E60A5B" w:rsidRPr="00966CD8">
        <w:rPr>
          <w:rFonts w:cstheme="minorHAnsi"/>
          <w:sz w:val="22"/>
          <w:szCs w:val="22"/>
        </w:rPr>
        <w:t>Inf]</w:t>
      </w:r>
    </w:p>
    <w:p w14:paraId="2D92D74F" w14:textId="11E38BCA" w:rsidR="00F22B7B" w:rsidRPr="00966CD8" w:rsidRDefault="00F22B7B" w:rsidP="00F22B7B">
      <w:pPr>
        <w:ind w:left="708"/>
        <w:jc w:val="both"/>
        <w:rPr>
          <w:rFonts w:cstheme="minorHAnsi"/>
          <w:sz w:val="22"/>
          <w:szCs w:val="22"/>
        </w:rPr>
      </w:pPr>
      <w:r w:rsidRPr="00966CD8">
        <w:rPr>
          <w:rFonts w:cstheme="minorHAnsi"/>
          <w:sz w:val="22"/>
          <w:szCs w:val="22"/>
          <w:u w:val="single"/>
        </w:rPr>
        <w:lastRenderedPageBreak/>
        <w:t xml:space="preserve">Step </w:t>
      </w:r>
      <w:r w:rsidR="00D0688E" w:rsidRPr="00966CD8">
        <w:rPr>
          <w:rFonts w:cstheme="minorHAnsi"/>
          <w:sz w:val="22"/>
          <w:szCs w:val="22"/>
          <w:u w:val="single"/>
        </w:rPr>
        <w:t>2</w:t>
      </w:r>
      <w:r w:rsidRPr="00966CD8">
        <w:rPr>
          <w:rFonts w:cstheme="minorHAnsi"/>
          <w:sz w:val="22"/>
          <w:szCs w:val="22"/>
        </w:rPr>
        <w:t>: Partial correlations (Covar</w:t>
      </w:r>
      <w:r w:rsidR="00E60A5B" w:rsidRPr="00966CD8">
        <w:rPr>
          <w:rFonts w:cstheme="minorHAnsi"/>
          <w:sz w:val="22"/>
          <w:szCs w:val="22"/>
        </w:rPr>
        <w:t>iates</w:t>
      </w:r>
      <w:r w:rsidRPr="00966CD8">
        <w:rPr>
          <w:rFonts w:cstheme="minorHAnsi"/>
          <w:sz w:val="22"/>
          <w:szCs w:val="22"/>
        </w:rPr>
        <w:t>: Gender, Age, Site, Mean</w:t>
      </w:r>
      <w:r w:rsidR="00E60A5B" w:rsidRPr="00966CD8">
        <w:rPr>
          <w:rFonts w:cstheme="minorHAnsi"/>
          <w:sz w:val="22"/>
          <w:szCs w:val="22"/>
        </w:rPr>
        <w:t xml:space="preserve"> </w:t>
      </w:r>
      <w:r w:rsidRPr="00966CD8">
        <w:rPr>
          <w:rFonts w:cstheme="minorHAnsi"/>
          <w:sz w:val="22"/>
          <w:szCs w:val="22"/>
        </w:rPr>
        <w:t xml:space="preserve">Euler) </w:t>
      </w:r>
      <w:r w:rsidR="00E24090">
        <w:rPr>
          <w:rFonts w:cstheme="minorHAnsi"/>
          <w:sz w:val="22"/>
          <w:szCs w:val="22"/>
        </w:rPr>
        <w:t xml:space="preserve">were calculated </w:t>
      </w:r>
      <w:r w:rsidRPr="00966CD8">
        <w:rPr>
          <w:rFonts w:cstheme="minorHAnsi"/>
          <w:sz w:val="22"/>
          <w:szCs w:val="22"/>
        </w:rPr>
        <w:t xml:space="preserve">on </w:t>
      </w:r>
      <w:r w:rsidR="00436EF9">
        <w:rPr>
          <w:rFonts w:cstheme="minorHAnsi"/>
          <w:sz w:val="22"/>
          <w:szCs w:val="22"/>
        </w:rPr>
        <w:t>h</w:t>
      </w:r>
      <w:r w:rsidR="00436EF9" w:rsidRPr="00966CD8">
        <w:rPr>
          <w:rFonts w:cstheme="minorHAnsi"/>
          <w:sz w:val="22"/>
          <w:szCs w:val="22"/>
        </w:rPr>
        <w:t xml:space="preserve">ealthy </w:t>
      </w:r>
      <w:r w:rsidR="00436EF9">
        <w:rPr>
          <w:rFonts w:cstheme="minorHAnsi"/>
          <w:sz w:val="22"/>
          <w:szCs w:val="22"/>
        </w:rPr>
        <w:t>c</w:t>
      </w:r>
      <w:r w:rsidR="00436EF9" w:rsidRPr="00966CD8">
        <w:rPr>
          <w:rFonts w:cstheme="minorHAnsi"/>
          <w:sz w:val="22"/>
          <w:szCs w:val="22"/>
        </w:rPr>
        <w:t>ontrols</w:t>
      </w:r>
      <w:r w:rsidR="00436EF9">
        <w:rPr>
          <w:rFonts w:cstheme="minorHAnsi"/>
          <w:sz w:val="22"/>
          <w:szCs w:val="22"/>
        </w:rPr>
        <w:t xml:space="preserve"> (HC) </w:t>
      </w:r>
      <w:r w:rsidR="00241AF7">
        <w:rPr>
          <w:rFonts w:cstheme="minorHAnsi"/>
          <w:sz w:val="22"/>
          <w:szCs w:val="22"/>
        </w:rPr>
        <w:t xml:space="preserve">and </w:t>
      </w:r>
      <w:r w:rsidR="00E24090">
        <w:rPr>
          <w:rFonts w:cstheme="minorHAnsi"/>
          <w:sz w:val="22"/>
          <w:szCs w:val="22"/>
        </w:rPr>
        <w:t>regressed out on</w:t>
      </w:r>
      <w:r w:rsidR="00241AF7">
        <w:rPr>
          <w:rFonts w:cstheme="minorHAnsi"/>
          <w:sz w:val="22"/>
          <w:szCs w:val="22"/>
        </w:rPr>
        <w:t xml:space="preserve"> the whole sample</w:t>
      </w:r>
      <w:r w:rsidRPr="00966CD8">
        <w:rPr>
          <w:rFonts w:cstheme="minorHAnsi"/>
          <w:sz w:val="22"/>
          <w:szCs w:val="22"/>
        </w:rPr>
        <w:t>.</w:t>
      </w:r>
    </w:p>
    <w:p w14:paraId="755AB1FC" w14:textId="27FBAFA3" w:rsidR="00F22B7B" w:rsidRPr="00966CD8" w:rsidRDefault="00F22B7B" w:rsidP="00F22B7B">
      <w:pPr>
        <w:ind w:left="708"/>
        <w:jc w:val="both"/>
        <w:rPr>
          <w:rFonts w:cstheme="minorHAnsi"/>
          <w:sz w:val="22"/>
          <w:szCs w:val="22"/>
        </w:rPr>
      </w:pPr>
      <w:r w:rsidRPr="00966CD8">
        <w:rPr>
          <w:rFonts w:cstheme="minorHAnsi"/>
          <w:sz w:val="22"/>
          <w:szCs w:val="22"/>
        </w:rPr>
        <w:t>Given that HC and FEP significantly differed for gender (</w:t>
      </w:r>
      <w:r w:rsidR="00247A1B">
        <w:rPr>
          <w:rFonts w:cstheme="minorHAnsi"/>
          <w:sz w:val="22"/>
          <w:szCs w:val="22"/>
        </w:rPr>
        <w:t xml:space="preserve">Supplementary </w:t>
      </w:r>
      <w:r w:rsidRPr="00966CD8">
        <w:rPr>
          <w:rFonts w:cstheme="minorHAnsi"/>
          <w:sz w:val="22"/>
          <w:szCs w:val="22"/>
        </w:rPr>
        <w:t xml:space="preserve">Table 1), and given the effect of age on brain structures, we regressed out the variance associated with these variables. Specifically, we removed the variance associated with age and gender from the feature </w:t>
      </w:r>
      <w:r w:rsidR="002726C9">
        <w:rPr>
          <w:rFonts w:cstheme="minorHAnsi"/>
          <w:sz w:val="22"/>
          <w:szCs w:val="22"/>
        </w:rPr>
        <w:t>values</w:t>
      </w:r>
      <w:r w:rsidRPr="00966CD8">
        <w:rPr>
          <w:rFonts w:cstheme="minorHAnsi"/>
          <w:sz w:val="22"/>
          <w:szCs w:val="22"/>
        </w:rPr>
        <w:t xml:space="preserve"> within each inner and outer CV fold through partial correlations</w:t>
      </w:r>
      <w:r w:rsidR="00061677">
        <w:rPr>
          <w:rFonts w:cstheme="minorHAnsi"/>
          <w:sz w:val="22"/>
          <w:szCs w:val="22"/>
        </w:rPr>
        <w:t>. The effect</w:t>
      </w:r>
      <w:r w:rsidRPr="00966CD8">
        <w:rPr>
          <w:rFonts w:cstheme="minorHAnsi"/>
          <w:sz w:val="22"/>
          <w:szCs w:val="22"/>
        </w:rPr>
        <w:t xml:space="preserve"> </w:t>
      </w:r>
      <w:r w:rsidR="00061677">
        <w:rPr>
          <w:rFonts w:cstheme="minorHAnsi"/>
          <w:sz w:val="22"/>
          <w:szCs w:val="22"/>
        </w:rPr>
        <w:t xml:space="preserve">of nuisance covariates was calculated </w:t>
      </w:r>
      <w:r w:rsidRPr="00966CD8">
        <w:rPr>
          <w:rFonts w:cstheme="minorHAnsi"/>
          <w:sz w:val="22"/>
          <w:szCs w:val="22"/>
        </w:rPr>
        <w:t xml:space="preserve">only on HC </w:t>
      </w:r>
      <w:r w:rsidR="00061677">
        <w:rPr>
          <w:rFonts w:cstheme="minorHAnsi"/>
          <w:sz w:val="22"/>
          <w:szCs w:val="22"/>
        </w:rPr>
        <w:t>and then applied to the whole sample in each CV fold</w:t>
      </w:r>
      <w:r w:rsidRPr="00966CD8">
        <w:rPr>
          <w:rFonts w:cstheme="minorHAnsi"/>
          <w:sz w:val="22"/>
          <w:szCs w:val="22"/>
        </w:rPr>
        <w:t xml:space="preserve">. </w:t>
      </w:r>
      <w:r w:rsidR="00061677">
        <w:rPr>
          <w:rFonts w:cstheme="minorHAnsi"/>
          <w:sz w:val="22"/>
          <w:szCs w:val="22"/>
        </w:rPr>
        <w:t xml:space="preserve">This procedure allowed us to remove the “standard” effect of age and sex associated with the general population, while not </w:t>
      </w:r>
      <w:r w:rsidR="00061677" w:rsidRPr="00966CD8">
        <w:rPr>
          <w:rFonts w:cstheme="minorHAnsi"/>
          <w:sz w:val="22"/>
          <w:szCs w:val="22"/>
        </w:rPr>
        <w:t>remov</w:t>
      </w:r>
      <w:r w:rsidR="00061677">
        <w:rPr>
          <w:rFonts w:cstheme="minorHAnsi"/>
          <w:sz w:val="22"/>
          <w:szCs w:val="22"/>
        </w:rPr>
        <w:t>ing</w:t>
      </w:r>
      <w:r w:rsidR="00061677" w:rsidRPr="00966CD8">
        <w:rPr>
          <w:rFonts w:cstheme="minorHAnsi"/>
          <w:sz w:val="22"/>
          <w:szCs w:val="22"/>
        </w:rPr>
        <w:t xml:space="preserve"> any relevant information from the FEP group in relation to the disease</w:t>
      </w:r>
      <w:r w:rsidR="00061677">
        <w:rPr>
          <w:rFonts w:cstheme="minorHAnsi"/>
          <w:sz w:val="22"/>
          <w:szCs w:val="22"/>
        </w:rPr>
        <w:t xml:space="preserve">. </w:t>
      </w:r>
      <w:r w:rsidRPr="00966CD8">
        <w:rPr>
          <w:rFonts w:cstheme="minorHAnsi"/>
          <w:sz w:val="22"/>
          <w:szCs w:val="22"/>
        </w:rPr>
        <w:t xml:space="preserve">The same procedure was applied to sites and Euler number, in order to remove the heterogeneity associated </w:t>
      </w:r>
      <w:r w:rsidR="00312E03">
        <w:rPr>
          <w:rFonts w:cstheme="minorHAnsi"/>
          <w:sz w:val="22"/>
          <w:szCs w:val="22"/>
        </w:rPr>
        <w:t>with</w:t>
      </w:r>
      <w:r w:rsidR="00312E03" w:rsidRPr="00966CD8">
        <w:rPr>
          <w:rFonts w:cstheme="minorHAnsi"/>
          <w:sz w:val="22"/>
          <w:szCs w:val="22"/>
        </w:rPr>
        <w:t xml:space="preserve"> </w:t>
      </w:r>
      <w:r w:rsidRPr="00966CD8">
        <w:rPr>
          <w:rFonts w:cstheme="minorHAnsi"/>
          <w:sz w:val="22"/>
          <w:szCs w:val="22"/>
        </w:rPr>
        <w:t>the different MRI scan</w:t>
      </w:r>
      <w:r w:rsidR="00312E03">
        <w:rPr>
          <w:rFonts w:cstheme="minorHAnsi"/>
          <w:sz w:val="22"/>
          <w:szCs w:val="22"/>
        </w:rPr>
        <w:t>s</w:t>
      </w:r>
      <w:r w:rsidRPr="00966CD8">
        <w:rPr>
          <w:rFonts w:cstheme="minorHAnsi"/>
          <w:sz w:val="22"/>
          <w:szCs w:val="22"/>
        </w:rPr>
        <w:t xml:space="preserve"> employed in different centers</w:t>
      </w:r>
      <w:r w:rsidR="00B84BEB">
        <w:rPr>
          <w:rFonts w:cstheme="minorHAnsi"/>
          <w:sz w:val="22"/>
          <w:szCs w:val="22"/>
        </w:rPr>
        <w:fldChar w:fldCharType="begin" w:fldLock="1"/>
      </w:r>
      <w:r w:rsidR="00E4073A">
        <w:rPr>
          <w:rFonts w:cstheme="minorHAnsi"/>
          <w:sz w:val="22"/>
          <w:szCs w:val="22"/>
        </w:rPr>
        <w:instrText>ADDIN CSL_CITATION {"citationItems":[{"id":"ITEM-1","itemData":{"DOI":"10.3389/fpsyt.2016.00050","ISSN":"1664-0640","PMID":"27064972","abstract":"In a recent review, it was suggested that much larger cohorts are needed to prove the diagnostic value of neuroimaging biomarkers in psychiatry. While within a sample, an increase of diagnostic accuracy of schizophrenia (SZ) with number of subjects (N) has been shown, the relationship between N and accuracy is completely different between studies. Using data from a recent meta-analysis of machine learning (ML) in imaging SZ, we found that while low-N studies can reach 90% and higher accuracy, above N/2 = 50 the maximum accuracy achieved steadily drops to below 70% for N/2 &gt; 150. We investigate the role N plays in the wide variability in accuracy results in SZ studies (63-97%). We hypothesize that the underlying cause of the decrease in accuracy with increasing N is sample heterogeneity. While smaller studies more easily include a homogeneous group of subjects (strict inclusion criteria are easily met; subjects live close to study site), larger studies inevitably need to relax the criteria/recruit from large geographic areas. A SZ prediction model based on a heterogeneous group of patients with presumably a heterogeneous pattern of structural or functional brain changes will not be able to capture the whole variety of changes, thus being limited to patterns shared by most patients. In addition to heterogeneity (sample size), we investigate other factors influencing accuracy and introduce a ML effect size. We derive a simple model of how the different factors, such as sample heterogeneity and study setup determine this ML effect size, and explain the variation in prediction accuracies found from the literature, both in cross-validation and independent sample testing. From this, we argue that smaller-N studies may reach high prediction accuracy at the cost of lower generalizability to other samples. Higher-N studies, on the other hand, will have more generalization power, but at the cost of lower accuracy. In conclusion, when comparing results from different ML studies, the sample sizes should be taken into account. To assess the generalizability of the models, validation (by direct application) of the prediction models should be tested in independent samples. The prediction of more complex measures such as outcome, which are expected to have an underlying pattern of more subtle brain abnormalities (lower effect size), will require large samples.","author":[{"dropping-particle":"","family":"Schnack","given":"Hugo G","non-dropping-particle":"","parse-names":false,"suffix":""},{"dropping-particle":"","family":"Kahn","given":"René S","non-dropping-particle":"","parse-names":false,"suffix":""}],"container-title":"Frontiers in psychiatry","id":"ITEM-1","issued":{"date-parts":[["2016","3","31"]]},"page":"50","title":"Detecting Neuroimaging Biomarkers for Psychiatric Disorders: Sample Size Matters.","type":"article-journal","volume":"7"},"uris":["http://www.mendeley.com/documents/?uuid=c8850f9a-2847-3265-9726-c5e205110ea6"]}],"mendeley":{"formattedCitation":"(Schnack and Kahn, 2016)","plainTextFormattedCitation":"(Schnack and Kahn, 2016)","previouslyFormattedCitation":"(Schnack and Kahn, 2016)"},"properties":{"noteIndex":0},"schema":"https://github.com/citation-style-language/schema/raw/master/csl-citation.json"}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Schnack</w:t>
      </w:r>
      <w:proofErr w:type="spellEnd"/>
      <w:r w:rsidR="00A24C43" w:rsidRPr="00A24C43">
        <w:rPr>
          <w:rFonts w:cstheme="minorHAnsi"/>
          <w:noProof/>
          <w:sz w:val="22"/>
          <w:szCs w:val="22"/>
        </w:rPr>
        <w:t xml:space="preserve"> and Kahn, 2016)</w:t>
      </w:r>
      <w:r w:rsidR="00B84BEB">
        <w:rPr>
          <w:rFonts w:cstheme="minorHAnsi"/>
          <w:sz w:val="22"/>
          <w:szCs w:val="22"/>
        </w:rPr>
        <w:fldChar w:fldCharType="end"/>
      </w:r>
      <w:r w:rsidRPr="00966CD8">
        <w:rPr>
          <w:rFonts w:cstheme="minorHAnsi"/>
          <w:sz w:val="22"/>
          <w:szCs w:val="22"/>
        </w:rPr>
        <w:t xml:space="preserve"> and the variance associated with the quality of the reconstruction</w:t>
      </w:r>
      <w:r w:rsidR="00B84BEB">
        <w:rPr>
          <w:rFonts w:cstheme="minorHAnsi"/>
          <w:sz w:val="22"/>
          <w:szCs w:val="22"/>
        </w:rPr>
        <w:fldChar w:fldCharType="begin" w:fldLock="1"/>
      </w:r>
      <w:r w:rsidR="00E4073A">
        <w:rPr>
          <w:rFonts w:cstheme="minorHAnsi"/>
          <w:sz w:val="22"/>
          <w:szCs w:val="22"/>
        </w:rPr>
        <w:instrText>ADDIN CSL_CITATION {"citationItems":[{"id":"ITEM-1","itemData":{"DOI":"10.1016/j.neuroimage.2017.12.059","ISSN":"1095-9572","PMID":"29278774","abstract":"Data quality is increasingly recognized as one of the most important confounding factors in brain imaging research. It is particularly important for studies of brain development, where age is systematically related to in-scanner motion and data quality. Prior work has demonstrated that in-scanner head motion biases estimates of structural neuroimaging measures. However, objective measures of data quality are not available for most structural brain images. Here we sought to identify quantitative measures of data quality for T1-weighted volumes, describe how these measures relate to cortical thickness, and delineate how this in turn may bias inference regarding associations with age in youth. Three highly-trained raters provided manual ratings of 1840 raw T1-weighted volumes. These images included a training set of 1065 images from Philadelphia Neurodevelopmental Cohort (PNC), a test set of 533 images from the PNC, as well as an external test set of 242 adults acquired on a different scanner. Manual ratings were compared to automated quality measures provided by the Preprocessed Connectomes Project's Quality Assurance Protocol (QAP), as well as FreeSurfer's Euler number, which summarizes the topological complexity of the reconstructed cortical surface. Results revealed that the Euler number was consistently correlated with manual ratings across samples. Furthermore, the Euler number could be used to identify images scored \"unusable\" by human raters with a high degree of accuracy (AUC: 0.98-0.99), and out-performed proxy measures from functional timeseries acquired in the same scanning session. The Euler number also was significantly related to cortical thickness in a regionally heterogeneous pattern that was consistent across datasets and replicated prior results. Finally, data quality both inflated and obscured associations with age during adolescence. Taken together, these results indicate that reliable measures of data quality can be automatically derived from T1-weighted volumes, and that failing to control for data quality can systematically bias the results of studies of brain maturation.","author":[{"dropping-particle":"","family":"Rosen","given":"Adon F G","non-dropping-particle":"","parse-names":false,"suffix":""},{"dropping-particle":"","family":"Roalf","given":"David R","non-dropping-particle":"","parse-names":false,"suffix":""},{"dropping-particle":"","family":"Ruparel","given":"Kosha","non-dropping-particle":"","parse-names":false,"suffix":""},{"dropping-particle":"","family":"Blake","given":"Jason","non-dropping-particle":"","parse-names":false,"suffix":""},{"dropping-particle":"","family":"Seelaus","given":"Kevin","non-dropping-particle":"","parse-names":false,"suffix":""},{"dropping-particle":"","family":"Villa","given":"Lakshmi P","non-dropping-particle":"","parse-names":false,"suffix":""},{"dropping-particle":"","family":"Ciric","given":"Rastko","non-dropping-particle":"","parse-names":false,"suffix":""},{"dropping-particle":"","family":"Cook","given":"Philip A","non-dropping-particle":"","parse-names":false,"suffix":""},{"dropping-particle":"","family":"Davatzikos","given":"Christos","non-dropping-particle":"","parse-names":false,"suffix":""},{"dropping-particle":"","family":"Elliott","given":"Mark A","non-dropping-particle":"","parse-names":false,"suffix":""},{"dropping-particle":"","family":"Garcia de La Garza","given":"Angel","non-dropping-particle":"","parse-names":false,"suffix":""},{"dropping-particle":"","family":"Gennatas","given":"Efstathios D","non-dropping-particle":"","parse-names":false,"suffix":""},{"dropping-particle":"","family":"Quarmley","given":"Megan","non-dropping-particle":"","parse-names":false,"suffix":""},{"dropping-particle":"","family":"Schmitt","given":"J Eric","non-dropping-particle":"","parse-names":false,"suffix":""},{"dropping-particle":"","family":"Shinohara","given":"Russell T","non-dropping-particle":"","parse-names":false,"suffix":""},{"dropping-particle":"","family":"Tisdall","given":"M Dylan","non-dropping-particle":"","parse-names":false,"suffix":""},{"dropping-particle":"","family":"Craddock","given":"R Cameron","non-dropping-particle":"","parse-names":false,"suffix":""},{"dropping-particle":"","family":"Gur","given":"Raquel E","non-dropping-particle":"","parse-names":false,"suffix":""},{"dropping-particle":"","family":"Gur","given":"Ruben C","non-dropping-particle":"","parse-names":false,"suffix":""},{"dropping-particle":"","family":"Satterthwaite","given":"Theodore D","non-dropping-particle":"","parse-names":false,"suffix":""}],"container-title":"NeuroImage","id":"ITEM-1","issued":{"date-parts":[["2018","4","1"]]},"page":"407-418","title":"Quantitative assessment of structural image quality.","type":"article-journal","volume":"169"},"uris":["http://www.mendeley.com/documents/?uuid=78282a1f-9310-33dc-8760-2c7fdfee4e2d"]}],"mendeley":{"formattedCitation":"(Rosen et al., 2018)","plainTextFormattedCitation":"(Rosen et al., 2018)","previouslyFormattedCitation":"(Rosen et al., 2018)"},"properties":{"noteIndex":0},"schema":"https://github.com/citation-style-language/schema/raw/master/csl-citation.json"}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(Rosen et al., 2018)</w:t>
      </w:r>
      <w:r w:rsidR="00B84BEB">
        <w:rPr>
          <w:rFonts w:cstheme="minorHAnsi"/>
          <w:sz w:val="22"/>
          <w:szCs w:val="22"/>
        </w:rPr>
        <w:fldChar w:fldCharType="end"/>
      </w:r>
      <w:r w:rsidR="00B84BEB">
        <w:rPr>
          <w:rFonts w:cstheme="minorHAnsi"/>
          <w:sz w:val="22"/>
          <w:szCs w:val="22"/>
        </w:rPr>
        <w:t>.</w:t>
      </w:r>
    </w:p>
    <w:p w14:paraId="336B0AE8" w14:textId="549C4933" w:rsidR="00F22B7B" w:rsidRPr="00966CD8" w:rsidRDefault="00F22B7B" w:rsidP="00F22B7B">
      <w:pPr>
        <w:ind w:left="708"/>
        <w:jc w:val="both"/>
        <w:rPr>
          <w:rFonts w:cstheme="minorHAnsi"/>
          <w:sz w:val="22"/>
          <w:szCs w:val="22"/>
        </w:rPr>
      </w:pPr>
      <w:r w:rsidRPr="00966CD8">
        <w:rPr>
          <w:rFonts w:cstheme="minorHAnsi"/>
          <w:sz w:val="22"/>
          <w:szCs w:val="22"/>
          <w:u w:val="single"/>
        </w:rPr>
        <w:t xml:space="preserve">Step </w:t>
      </w:r>
      <w:r w:rsidR="00D0688E" w:rsidRPr="00966CD8">
        <w:rPr>
          <w:rFonts w:cstheme="minorHAnsi"/>
          <w:sz w:val="22"/>
          <w:szCs w:val="22"/>
          <w:u w:val="single"/>
        </w:rPr>
        <w:t>3</w:t>
      </w:r>
      <w:r w:rsidRPr="00966CD8">
        <w:rPr>
          <w:rFonts w:cstheme="minorHAnsi"/>
          <w:sz w:val="22"/>
          <w:szCs w:val="22"/>
        </w:rPr>
        <w:t>: PCA</w:t>
      </w:r>
    </w:p>
    <w:p w14:paraId="2C8E3196" w14:textId="5A27F7AB" w:rsidR="00F22B7B" w:rsidRPr="00966CD8" w:rsidRDefault="00F22B7B" w:rsidP="00F22B7B">
      <w:pPr>
        <w:ind w:left="708"/>
        <w:jc w:val="both"/>
        <w:rPr>
          <w:rFonts w:cstheme="minorHAnsi"/>
          <w:sz w:val="22"/>
          <w:szCs w:val="22"/>
        </w:rPr>
      </w:pPr>
      <w:r w:rsidRPr="00966CD8">
        <w:rPr>
          <w:rFonts w:cstheme="minorHAnsi"/>
          <w:sz w:val="22"/>
          <w:szCs w:val="22"/>
        </w:rPr>
        <w:t>The dimensionality of the training cases’ thickness values was reduced by means of Principal Component Analysis (PCA)</w:t>
      </w:r>
      <w:r w:rsidR="00B84BEB">
        <w:rPr>
          <w:rFonts w:cstheme="minorHAnsi"/>
          <w:sz w:val="22"/>
          <w:szCs w:val="22"/>
        </w:rPr>
        <w:fldChar w:fldCharType="begin" w:fldLock="1"/>
      </w:r>
      <w:r w:rsidR="00E4073A">
        <w:rPr>
          <w:rFonts w:cstheme="minorHAnsi"/>
          <w:sz w:val="22"/>
          <w:szCs w:val="22"/>
        </w:rPr>
        <w:instrText>ADDIN CSL_CITATION {"citationItems":[{"id":"ITEM-1","itemData":{"DOI":"10.1006/nimg.1998.0425","ISSN":"1053-8119","PMID":"10329293","abstract":"Generalization can be defined quantitatively and can be used to assess the performance of principal component analysis (PCA). The generalizability of PCA depends on the number of principal components retained in the analysis. We provide analytic and test set estimates of generalization. We show how the generalization error can be used to select the number of principal components in two analyses of functional magnetic resonance imaging activation sets.","author":[{"dropping-particle":"","family":"Hansen","given":"L K","non-dropping-particle":"","parse-names":false,"suffix":""},{"dropping-particle":"","family":"Larsen","given":"J","non-dropping-particle":"","parse-names":false,"suffix":""},{"dropping-particle":"","family":"Nielsen","given":"F A","non-dropping-particle":"","parse-names":false,"suffix":""},{"dropping-particle":"","family":"Strother","given":"S C","non-dropping-particle":"","parse-names":false,"suffix":""},{"dropping-particle":"","family":"Rostrup","given":"E","non-dropping-particle":"","parse-names":false,"suffix":""},{"dropping-particle":"","family":"Savoy","given":"R","non-dropping-particle":"","parse-names":false,"suffix":""},{"dropping-particle":"","family":"Lange","given":"N","non-dropping-particle":"","parse-names":false,"suffix":""},{"dropping-particle":"","family":"Sidtis","given":"J","non-dropping-particle":"","parse-names":false,"suffix":""},{"dropping-particle":"","family":"Svarer","given":"C","non-dropping-particle":"","parse-names":false,"suffix":""},{"dropping-particle":"","family":"Paulson","given":"O B","non-dropping-particle":"","parse-names":false,"suffix":""}],"container-title":"NeuroImage","id":"ITEM-1","issue":"5","issued":{"date-parts":[["1999","5"]]},"page":"534-44","title":"Generalizable patterns in neuroimaging: how many principal components?","type":"article-journal","volume":"9"},"uris":["http://www.mendeley.com/documents/?uuid=776dcbb9-e028-3b4c-9336-ed1eba747d16"]}],"mendeley":{"formattedCitation":"(Hansen et al., 1999)","plainTextFormattedCitation":"(Hansen et al., 1999)","previouslyFormattedCitation":"(Hansen et al., 1999)"},"properties":{"noteIndex":0},"schema":"https://github.com/citation-style-language/schema/raw/master/csl-citation.json"}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(Hansen et al., 1999)</w:t>
      </w:r>
      <w:r w:rsidR="00B84BEB">
        <w:rPr>
          <w:rFonts w:cstheme="minorHAnsi"/>
          <w:sz w:val="22"/>
          <w:szCs w:val="22"/>
        </w:rPr>
        <w:fldChar w:fldCharType="end"/>
      </w:r>
      <w:r w:rsidRPr="00966CD8">
        <w:rPr>
          <w:rFonts w:cstheme="minorHAnsi"/>
          <w:sz w:val="22"/>
          <w:szCs w:val="22"/>
        </w:rPr>
        <w:t xml:space="preserve">, a well-established unsupervised method for feature reduction in neuroimaging. PCA geometrically projects the data into lower dimensions called principal components (PCs) and </w:t>
      </w:r>
      <w:r w:rsidR="00436EF9">
        <w:rPr>
          <w:rFonts w:cstheme="minorHAnsi"/>
          <w:sz w:val="22"/>
          <w:szCs w:val="22"/>
        </w:rPr>
        <w:t>applies</w:t>
      </w:r>
      <w:r w:rsidR="00436EF9" w:rsidRPr="00966CD8">
        <w:rPr>
          <w:rFonts w:cstheme="minorHAnsi"/>
          <w:sz w:val="22"/>
          <w:szCs w:val="22"/>
        </w:rPr>
        <w:t xml:space="preserve"> </w:t>
      </w:r>
      <w:r w:rsidRPr="00966CD8">
        <w:rPr>
          <w:rFonts w:cstheme="minorHAnsi"/>
          <w:sz w:val="22"/>
          <w:szCs w:val="22"/>
        </w:rPr>
        <w:t xml:space="preserve">an orthogonal transformation to convert a set of observations of possibly correlated features. PCA </w:t>
      </w:r>
      <w:r w:rsidR="00E4774D" w:rsidRPr="00966CD8">
        <w:rPr>
          <w:rFonts w:cstheme="minorHAnsi"/>
          <w:sz w:val="22"/>
          <w:szCs w:val="22"/>
        </w:rPr>
        <w:t>aim</w:t>
      </w:r>
      <w:r w:rsidR="00E4774D">
        <w:rPr>
          <w:rFonts w:cstheme="minorHAnsi"/>
          <w:sz w:val="22"/>
          <w:szCs w:val="22"/>
        </w:rPr>
        <w:t>s</w:t>
      </w:r>
      <w:r w:rsidR="00E4774D" w:rsidRPr="00966CD8">
        <w:rPr>
          <w:rFonts w:cstheme="minorHAnsi"/>
          <w:sz w:val="22"/>
          <w:szCs w:val="22"/>
        </w:rPr>
        <w:t xml:space="preserve"> </w:t>
      </w:r>
      <w:r w:rsidRPr="00966CD8">
        <w:rPr>
          <w:rFonts w:cstheme="minorHAnsi"/>
          <w:sz w:val="22"/>
          <w:szCs w:val="22"/>
        </w:rPr>
        <w:t xml:space="preserve">at finding the best description of the data by using a limited number of PCs. PCs are then ranked according to </w:t>
      </w:r>
      <w:r w:rsidR="00436EF9">
        <w:rPr>
          <w:rFonts w:cstheme="minorHAnsi"/>
          <w:sz w:val="22"/>
          <w:szCs w:val="22"/>
        </w:rPr>
        <w:t xml:space="preserve">the </w:t>
      </w:r>
      <w:r w:rsidRPr="00966CD8">
        <w:rPr>
          <w:rFonts w:cstheme="minorHAnsi"/>
          <w:sz w:val="22"/>
          <w:szCs w:val="22"/>
        </w:rPr>
        <w:t>explained variance in descending order</w:t>
      </w:r>
      <w:r w:rsidR="00B84BEB">
        <w:rPr>
          <w:rFonts w:cstheme="minorHAnsi"/>
          <w:sz w:val="22"/>
          <w:szCs w:val="22"/>
        </w:rPr>
        <w:fldChar w:fldCharType="begin" w:fldLock="1"/>
      </w:r>
      <w:r w:rsidR="00E4073A">
        <w:rPr>
          <w:rFonts w:cstheme="minorHAnsi"/>
          <w:sz w:val="22"/>
          <w:szCs w:val="22"/>
        </w:rPr>
        <w:instrText>ADDIN CSL_CITATION {"citationItems":[{"id":"ITEM-1","itemData":{"DOI":"10.1038/nmeth.4346","ISSN":"1548-7091","author":[{"dropping-particle":"","family":"Lever","given":"Jake","non-dropping-particle":"","parse-names":false,"suffix":""},{"dropping-particle":"","family":"Krzywinski","given":"Martin","non-dropping-particle":"","parse-names":false,"suffix":""},{"dropping-particle":"","family":"Altman","given":"Naomi","non-dropping-particle":"","parse-names":false,"suffix":""}],"container-title":"Nature Methods","id":"ITEM-1","issue":"7","issued":{"date-parts":[["2017","7","1"]]},"page":"641-642","title":"Principal component analysis","type":"article-journal","volume":"14"},"uris":["http://www.mendeley.com/documents/?uuid=73c1988e-2023-38ad-a63e-8896441bd94c"]}],"mendeley":{"formattedCitation":"(Lever et al., 2017)","plainTextFormattedCitation":"(Lever et al., 2017)","previouslyFormattedCitation":"(Lever et al., 2017)"},"properties":{"noteIndex":0},"schema":"https://github.com/citation-style-language/schema/raw/master/csl-citation.json"}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(Lever et al., 2017)</w:t>
      </w:r>
      <w:r w:rsidR="00B84BEB">
        <w:rPr>
          <w:rFonts w:cstheme="minorHAnsi"/>
          <w:sz w:val="22"/>
          <w:szCs w:val="22"/>
        </w:rPr>
        <w:fldChar w:fldCharType="end"/>
      </w:r>
      <w:r w:rsidRPr="00966CD8">
        <w:rPr>
          <w:rFonts w:cstheme="minorHAnsi"/>
          <w:sz w:val="22"/>
          <w:szCs w:val="22"/>
        </w:rPr>
        <w:t>.</w:t>
      </w:r>
      <w:r w:rsidR="006B4F66">
        <w:rPr>
          <w:rFonts w:cstheme="minorHAnsi"/>
          <w:sz w:val="22"/>
          <w:szCs w:val="22"/>
        </w:rPr>
        <w:t xml:space="preserve"> </w:t>
      </w:r>
      <w:bookmarkStart w:id="2" w:name="_Hlk64367891"/>
      <w:r w:rsidR="006B4F66">
        <w:rPr>
          <w:rFonts w:cstheme="minorHAnsi"/>
          <w:sz w:val="22"/>
          <w:szCs w:val="22"/>
        </w:rPr>
        <w:t xml:space="preserve">Given the 80% on explained variance, the raw calculation of the PCA on the features </w:t>
      </w:r>
      <w:r w:rsidR="00307516">
        <w:rPr>
          <w:rFonts w:cstheme="minorHAnsi"/>
          <w:sz w:val="22"/>
          <w:szCs w:val="22"/>
        </w:rPr>
        <w:t>resulted in</w:t>
      </w:r>
      <w:r w:rsidR="006B4F66">
        <w:rPr>
          <w:rFonts w:cstheme="minorHAnsi"/>
          <w:sz w:val="22"/>
          <w:szCs w:val="22"/>
        </w:rPr>
        <w:t xml:space="preserve"> a mean of </w:t>
      </w:r>
      <w:r w:rsidR="00D91740">
        <w:rPr>
          <w:rFonts w:cstheme="minorHAnsi"/>
          <w:sz w:val="22"/>
          <w:szCs w:val="22"/>
        </w:rPr>
        <w:t>420</w:t>
      </w:r>
      <w:r w:rsidR="006B4F66">
        <w:rPr>
          <w:rFonts w:cstheme="minorHAnsi"/>
          <w:sz w:val="22"/>
          <w:szCs w:val="22"/>
        </w:rPr>
        <w:t xml:space="preserve"> Principal Components in every CV fold (range </w:t>
      </w:r>
      <w:r w:rsidR="00D91740">
        <w:rPr>
          <w:rFonts w:cstheme="minorHAnsi"/>
          <w:sz w:val="22"/>
          <w:szCs w:val="22"/>
        </w:rPr>
        <w:t>419</w:t>
      </w:r>
      <w:r w:rsidR="006B4F66">
        <w:rPr>
          <w:rFonts w:cstheme="minorHAnsi"/>
          <w:sz w:val="22"/>
          <w:szCs w:val="22"/>
        </w:rPr>
        <w:t>-</w:t>
      </w:r>
      <w:r w:rsidR="00D91740">
        <w:rPr>
          <w:rFonts w:cstheme="minorHAnsi"/>
          <w:sz w:val="22"/>
          <w:szCs w:val="22"/>
        </w:rPr>
        <w:t>421</w:t>
      </w:r>
      <w:r w:rsidR="00330FAD">
        <w:rPr>
          <w:rFonts w:cstheme="minorHAnsi"/>
          <w:sz w:val="22"/>
          <w:szCs w:val="22"/>
        </w:rPr>
        <w:t>)</w:t>
      </w:r>
      <w:r w:rsidR="006B4F66">
        <w:rPr>
          <w:rFonts w:cstheme="minorHAnsi"/>
          <w:sz w:val="22"/>
          <w:szCs w:val="22"/>
        </w:rPr>
        <w:t>.</w:t>
      </w:r>
      <w:bookmarkEnd w:id="2"/>
    </w:p>
    <w:p w14:paraId="7132EA46" w14:textId="7848AAE0" w:rsidR="00D0688E" w:rsidRPr="00966CD8" w:rsidRDefault="00F22B7B" w:rsidP="00D0688E">
      <w:pPr>
        <w:ind w:left="708"/>
        <w:jc w:val="both"/>
        <w:rPr>
          <w:rFonts w:cstheme="minorHAnsi"/>
          <w:sz w:val="22"/>
          <w:szCs w:val="22"/>
        </w:rPr>
      </w:pPr>
      <w:r w:rsidRPr="00966CD8">
        <w:rPr>
          <w:rFonts w:cstheme="minorHAnsi"/>
          <w:sz w:val="22"/>
          <w:szCs w:val="22"/>
          <w:u w:val="single"/>
        </w:rPr>
        <w:t xml:space="preserve">Step </w:t>
      </w:r>
      <w:r w:rsidR="00D0688E" w:rsidRPr="00966CD8">
        <w:rPr>
          <w:rFonts w:cstheme="minorHAnsi"/>
          <w:sz w:val="22"/>
          <w:szCs w:val="22"/>
          <w:u w:val="single"/>
        </w:rPr>
        <w:t>4</w:t>
      </w:r>
      <w:r w:rsidRPr="00966CD8">
        <w:rPr>
          <w:rFonts w:cstheme="minorHAnsi"/>
          <w:sz w:val="22"/>
          <w:szCs w:val="22"/>
        </w:rPr>
        <w:t xml:space="preserve">: </w:t>
      </w:r>
      <w:r w:rsidR="00D0688E" w:rsidRPr="00966CD8">
        <w:rPr>
          <w:rFonts w:cstheme="minorHAnsi"/>
          <w:sz w:val="22"/>
          <w:szCs w:val="22"/>
        </w:rPr>
        <w:t xml:space="preserve">Scale </w:t>
      </w:r>
      <w:proofErr w:type="spellStart"/>
      <w:r w:rsidR="00D0688E" w:rsidRPr="00966CD8">
        <w:rPr>
          <w:rFonts w:cstheme="minorHAnsi"/>
          <w:sz w:val="22"/>
          <w:szCs w:val="22"/>
        </w:rPr>
        <w:t>featurewise</w:t>
      </w:r>
      <w:proofErr w:type="spellEnd"/>
      <w:r w:rsidR="00D0688E" w:rsidRPr="00966CD8">
        <w:rPr>
          <w:rFonts w:cstheme="minorHAnsi"/>
          <w:sz w:val="22"/>
          <w:szCs w:val="22"/>
        </w:rPr>
        <w:t xml:space="preserve"> [from 0 to 1], zero-out completely non-finite features. </w:t>
      </w:r>
    </w:p>
    <w:p w14:paraId="08F1DFBD" w14:textId="77777777" w:rsidR="00D0688E" w:rsidRPr="00966CD8" w:rsidRDefault="00D0688E" w:rsidP="00D0688E">
      <w:pPr>
        <w:ind w:left="708"/>
        <w:jc w:val="both"/>
        <w:rPr>
          <w:rFonts w:cstheme="minorHAnsi"/>
          <w:sz w:val="22"/>
          <w:szCs w:val="22"/>
        </w:rPr>
      </w:pPr>
      <w:r w:rsidRPr="00966CD8">
        <w:rPr>
          <w:rFonts w:cstheme="minorHAnsi"/>
          <w:sz w:val="22"/>
          <w:szCs w:val="22"/>
        </w:rPr>
        <w:t>The resulting PC scores were scaled to [0, 1]</w:t>
      </w:r>
    </w:p>
    <w:p w14:paraId="4952627C" w14:textId="77777777" w:rsidR="00D0688E" w:rsidRPr="00966CD8" w:rsidRDefault="00D0688E" w:rsidP="00D0688E">
      <w:pPr>
        <w:ind w:left="708"/>
        <w:jc w:val="both"/>
        <w:rPr>
          <w:rFonts w:cstheme="minorHAnsi"/>
          <w:sz w:val="22"/>
          <w:szCs w:val="22"/>
        </w:rPr>
      </w:pPr>
      <w:r w:rsidRPr="00966CD8">
        <w:rPr>
          <w:rFonts w:cstheme="minorHAnsi"/>
          <w:sz w:val="22"/>
          <w:szCs w:val="22"/>
        </w:rPr>
        <w:t xml:space="preserve">As many ML algorithms are sensitive to scale differences between features, we scaled each variable between 0 and 1 </w:t>
      </w:r>
      <w:proofErr w:type="gramStart"/>
      <w:r w:rsidRPr="00966CD8">
        <w:rPr>
          <w:rFonts w:cstheme="minorHAnsi"/>
          <w:sz w:val="22"/>
          <w:szCs w:val="22"/>
        </w:rPr>
        <w:t>in order to</w:t>
      </w:r>
      <w:proofErr w:type="gramEnd"/>
      <w:r w:rsidRPr="00966CD8">
        <w:rPr>
          <w:rFonts w:cstheme="minorHAnsi"/>
          <w:sz w:val="22"/>
          <w:szCs w:val="22"/>
        </w:rPr>
        <w:t xml:space="preserve"> remove these effects from each training sample matrix. The scaling parameters were then applied to both the inner and outer CV cycles.</w:t>
      </w:r>
    </w:p>
    <w:p w14:paraId="24C4ECDF" w14:textId="77777777" w:rsidR="00F22B7B" w:rsidRPr="00966CD8" w:rsidRDefault="00F22B7B" w:rsidP="00F22B7B">
      <w:pPr>
        <w:rPr>
          <w:rFonts w:cstheme="minorHAnsi"/>
          <w:sz w:val="22"/>
          <w:szCs w:val="22"/>
        </w:rPr>
      </w:pPr>
    </w:p>
    <w:p w14:paraId="31BFEB6C" w14:textId="2FF3BD46" w:rsidR="00F22B7B" w:rsidRPr="00966CD8" w:rsidRDefault="00F22B7B" w:rsidP="00F22B7B">
      <w:pPr>
        <w:jc w:val="both"/>
        <w:rPr>
          <w:rFonts w:cstheme="minorHAnsi"/>
          <w:sz w:val="22"/>
          <w:szCs w:val="22"/>
        </w:rPr>
      </w:pPr>
      <w:r w:rsidRPr="00966CD8">
        <w:rPr>
          <w:rFonts w:cstheme="minorHAnsi"/>
          <w:sz w:val="22"/>
          <w:szCs w:val="22"/>
        </w:rPr>
        <w:t xml:space="preserve">In each variable evaluation step, the SVM algorithm modelled independently linear relationships between features and classification label (HC vs. FEP). In the linear kernel space, the SVM optimized a hyperplane that maximized separability between </w:t>
      </w:r>
      <w:r w:rsidR="005F03D7" w:rsidRPr="00966CD8">
        <w:rPr>
          <w:rFonts w:cstheme="minorHAnsi"/>
          <w:sz w:val="22"/>
          <w:szCs w:val="22"/>
        </w:rPr>
        <w:t>the margins based on the closest external borders of the distributions</w:t>
      </w:r>
      <w:r w:rsidRPr="00966CD8">
        <w:rPr>
          <w:rFonts w:cstheme="minorHAnsi"/>
          <w:sz w:val="22"/>
          <w:szCs w:val="22"/>
        </w:rPr>
        <w:t xml:space="preserve"> (Support Vectors)</w:t>
      </w:r>
      <w:r w:rsidR="005F03D7" w:rsidRPr="00966CD8">
        <w:rPr>
          <w:rFonts w:cstheme="minorHAnsi"/>
          <w:sz w:val="22"/>
          <w:szCs w:val="22"/>
        </w:rPr>
        <w:t xml:space="preserve"> instead of using the whole sample</w:t>
      </w:r>
      <w:r w:rsidRPr="00966CD8">
        <w:rPr>
          <w:rFonts w:cstheme="minorHAnsi"/>
          <w:sz w:val="22"/>
          <w:szCs w:val="22"/>
        </w:rPr>
        <w:t>. Based on the trained hyperplane, the algorithm then predicted subjects’ classification of the inner CV cycle by projecting its data into the learned kernel space and measuring their geometric distance to the decision boundary. This resulted in a decision value (namely, the decision score) and a predicted classification label for every participant.</w:t>
      </w:r>
    </w:p>
    <w:p w14:paraId="2AB761DB" w14:textId="54AAEF1E" w:rsidR="00F22B7B" w:rsidRPr="00966CD8" w:rsidRDefault="00F22B7B" w:rsidP="00F22B7B">
      <w:pPr>
        <w:jc w:val="both"/>
        <w:rPr>
          <w:rFonts w:cstheme="minorHAnsi"/>
          <w:sz w:val="22"/>
          <w:szCs w:val="22"/>
        </w:rPr>
      </w:pPr>
      <w:r w:rsidRPr="00966CD8">
        <w:rPr>
          <w:rFonts w:cstheme="minorHAnsi"/>
          <w:sz w:val="22"/>
          <w:szCs w:val="22"/>
        </w:rPr>
        <w:t>In each CV and for every combination of parameter</w:t>
      </w:r>
      <w:r w:rsidR="00436EF9">
        <w:rPr>
          <w:rFonts w:cstheme="minorHAnsi"/>
          <w:sz w:val="22"/>
          <w:szCs w:val="22"/>
        </w:rPr>
        <w:t>s</w:t>
      </w:r>
      <w:r w:rsidRPr="00966CD8">
        <w:rPr>
          <w:rFonts w:cstheme="minorHAnsi"/>
          <w:sz w:val="22"/>
          <w:szCs w:val="22"/>
        </w:rPr>
        <w:t>, SVM C parameter (11 Params:</w:t>
      </w:r>
      <w:r w:rsidR="005F03D7" w:rsidRPr="00966CD8">
        <w:rPr>
          <w:rFonts w:cstheme="minorHAnsi"/>
          <w:sz w:val="22"/>
          <w:szCs w:val="22"/>
        </w:rPr>
        <w:t xml:space="preserve"> geometric progression of C=2</w:t>
      </w:r>
      <w:r w:rsidR="005F03D7" w:rsidRPr="00966CD8">
        <w:rPr>
          <w:rFonts w:cstheme="minorHAnsi"/>
          <w:sz w:val="22"/>
          <w:szCs w:val="22"/>
          <w:vertAlign w:val="superscript"/>
        </w:rPr>
        <w:t>-6</w:t>
      </w:r>
      <w:r w:rsidR="005F03D7" w:rsidRPr="00966CD8">
        <w:rPr>
          <w:rFonts w:cstheme="minorHAnsi"/>
          <w:sz w:val="22"/>
          <w:szCs w:val="22"/>
        </w:rPr>
        <w:t xml:space="preserve"> to 2</w:t>
      </w:r>
      <w:r w:rsidR="005F03D7" w:rsidRPr="00966CD8">
        <w:rPr>
          <w:rFonts w:cstheme="minorHAnsi"/>
          <w:sz w:val="22"/>
          <w:szCs w:val="22"/>
          <w:vertAlign w:val="superscript"/>
        </w:rPr>
        <w:t>6</w:t>
      </w:r>
      <w:r w:rsidRPr="00966CD8">
        <w:rPr>
          <w:rFonts w:cstheme="minorHAnsi"/>
          <w:sz w:val="22"/>
          <w:szCs w:val="22"/>
        </w:rPr>
        <w:t>) was regularized. The highest weighted Balanced Accuracy (BAC) was used to select the final set of SVM models across all CV partitions. These models were combined through majority voting into a final SVM decision model that predicted the group membership of the test subjects.</w:t>
      </w:r>
    </w:p>
    <w:p w14:paraId="5831DD4F" w14:textId="77777777" w:rsidR="00F22B7B" w:rsidRPr="00966CD8" w:rsidRDefault="00F22B7B" w:rsidP="00F22B7B">
      <w:pPr>
        <w:rPr>
          <w:rFonts w:cstheme="minorHAnsi"/>
          <w:sz w:val="22"/>
          <w:szCs w:val="22"/>
        </w:rPr>
      </w:pPr>
    </w:p>
    <w:p w14:paraId="0C03F5DF" w14:textId="07E0A7D6" w:rsidR="00F22B7B" w:rsidRPr="00966CD8" w:rsidRDefault="00F22B7B" w:rsidP="00F22B7B">
      <w:pPr>
        <w:jc w:val="both"/>
        <w:rPr>
          <w:rFonts w:cstheme="minorHAnsi"/>
          <w:sz w:val="22"/>
          <w:szCs w:val="22"/>
        </w:rPr>
      </w:pPr>
      <w:r w:rsidRPr="00966CD8">
        <w:rPr>
          <w:rFonts w:cstheme="minorHAnsi"/>
          <w:sz w:val="22"/>
          <w:szCs w:val="22"/>
          <w:u w:val="single"/>
        </w:rPr>
        <w:t>Permutations</w:t>
      </w:r>
      <w:r w:rsidRPr="00966CD8">
        <w:rPr>
          <w:rFonts w:cstheme="minorHAnsi"/>
          <w:sz w:val="22"/>
          <w:szCs w:val="22"/>
        </w:rPr>
        <w:t xml:space="preserve">: </w:t>
      </w:r>
      <w:bookmarkStart w:id="3" w:name="_Hlk64371595"/>
      <w:r w:rsidRPr="00966CD8">
        <w:rPr>
          <w:rFonts w:cstheme="minorHAnsi"/>
          <w:sz w:val="22"/>
          <w:szCs w:val="22"/>
        </w:rPr>
        <w:t xml:space="preserve">To assign </w:t>
      </w:r>
      <w:bookmarkStart w:id="4" w:name="_Hlk64371705"/>
      <w:r w:rsidRPr="00966CD8">
        <w:rPr>
          <w:rFonts w:cstheme="minorHAnsi"/>
          <w:sz w:val="22"/>
          <w:szCs w:val="22"/>
        </w:rPr>
        <w:t>statistical significance to the prediction performance of our classifiers</w:t>
      </w:r>
      <w:bookmarkEnd w:id="4"/>
      <w:r w:rsidRPr="00966CD8">
        <w:rPr>
          <w:rFonts w:cstheme="minorHAnsi"/>
          <w:sz w:val="22"/>
          <w:szCs w:val="22"/>
        </w:rPr>
        <w:t xml:space="preserve">, we performed 100 random permutations between the labels (HC vs. FEP). </w:t>
      </w:r>
      <w:bookmarkStart w:id="5" w:name="_Hlk64371774"/>
      <w:r w:rsidRPr="00966CD8">
        <w:rPr>
          <w:rFonts w:cstheme="minorHAnsi"/>
          <w:sz w:val="22"/>
          <w:szCs w:val="22"/>
        </w:rPr>
        <w:t>For each permutation</w:t>
      </w:r>
      <w:r w:rsidR="00CB5426">
        <w:rPr>
          <w:rFonts w:cstheme="minorHAnsi"/>
          <w:sz w:val="22"/>
          <w:szCs w:val="22"/>
        </w:rPr>
        <w:t>,</w:t>
      </w:r>
      <w:r w:rsidRPr="00966CD8">
        <w:rPr>
          <w:rFonts w:cstheme="minorHAnsi"/>
          <w:sz w:val="22"/>
          <w:szCs w:val="22"/>
        </w:rPr>
        <w:t xml:space="preserve"> we retrained all linear SVM models in the pooled repeated nested CV experiment using the respective feature subsets obtained from the observed-label analyses.</w:t>
      </w:r>
      <w:bookmarkEnd w:id="5"/>
      <w:r w:rsidRPr="00966CD8">
        <w:rPr>
          <w:rFonts w:cstheme="minorHAnsi"/>
          <w:sz w:val="22"/>
          <w:szCs w:val="22"/>
        </w:rPr>
        <w:t xml:space="preserve"> The significance of the observed out-of-training BAC was calculated as the number of events where the permuted out-of-training BAC was higher or equal to the observed BAC divided by the number of permutations performed. The significance of the model was determined at α=0.05.</w:t>
      </w:r>
      <w:r w:rsidR="00F607CA">
        <w:rPr>
          <w:rFonts w:cstheme="minorHAnsi"/>
          <w:sz w:val="22"/>
          <w:szCs w:val="22"/>
        </w:rPr>
        <w:t xml:space="preserve"> The permutation tests allowed us to build </w:t>
      </w:r>
      <w:proofErr w:type="gramStart"/>
      <w:r w:rsidR="00F607CA">
        <w:rPr>
          <w:rFonts w:cstheme="minorHAnsi"/>
          <w:sz w:val="22"/>
          <w:szCs w:val="22"/>
        </w:rPr>
        <w:t>null-</w:t>
      </w:r>
      <w:r w:rsidR="000D0B2E">
        <w:rPr>
          <w:rFonts w:cstheme="minorHAnsi"/>
          <w:sz w:val="22"/>
          <w:szCs w:val="22"/>
        </w:rPr>
        <w:t>distribution</w:t>
      </w:r>
      <w:proofErr w:type="gramEnd"/>
      <w:r w:rsidR="000D0B2E">
        <w:rPr>
          <w:rFonts w:cstheme="minorHAnsi"/>
          <w:sz w:val="22"/>
          <w:szCs w:val="22"/>
        </w:rPr>
        <w:t xml:space="preserve"> of classifications. The </w:t>
      </w:r>
      <w:r w:rsidR="00F607CA">
        <w:rPr>
          <w:rFonts w:cstheme="minorHAnsi"/>
          <w:sz w:val="22"/>
          <w:szCs w:val="22"/>
        </w:rPr>
        <w:t xml:space="preserve">actual classification was </w:t>
      </w:r>
      <w:r w:rsidR="000D0B2E">
        <w:rPr>
          <w:rFonts w:cstheme="minorHAnsi"/>
          <w:sz w:val="22"/>
          <w:szCs w:val="22"/>
        </w:rPr>
        <w:t xml:space="preserve">then </w:t>
      </w:r>
      <w:r w:rsidR="00F607CA">
        <w:rPr>
          <w:rFonts w:cstheme="minorHAnsi"/>
          <w:sz w:val="22"/>
          <w:szCs w:val="22"/>
        </w:rPr>
        <w:t xml:space="preserve">plotted </w:t>
      </w:r>
      <w:r w:rsidR="000D0B2E">
        <w:rPr>
          <w:rFonts w:cstheme="minorHAnsi"/>
          <w:sz w:val="22"/>
          <w:szCs w:val="22"/>
        </w:rPr>
        <w:t xml:space="preserve">to determine the p value and its position with respect to the null distribution </w:t>
      </w:r>
      <w:r w:rsidR="00F607CA">
        <w:rPr>
          <w:rFonts w:cstheme="minorHAnsi"/>
          <w:sz w:val="22"/>
          <w:szCs w:val="22"/>
        </w:rPr>
        <w:t>(see Supplementary Figure</w:t>
      </w:r>
      <w:r w:rsidR="000D0B2E">
        <w:rPr>
          <w:rFonts w:cstheme="minorHAnsi"/>
          <w:sz w:val="22"/>
          <w:szCs w:val="22"/>
        </w:rPr>
        <w:t xml:space="preserve"> 4).</w:t>
      </w:r>
      <w:bookmarkEnd w:id="3"/>
    </w:p>
    <w:p w14:paraId="0EFC1B25" w14:textId="77777777" w:rsidR="00F22B7B" w:rsidRPr="00966CD8" w:rsidRDefault="00F22B7B" w:rsidP="00F22B7B">
      <w:pPr>
        <w:rPr>
          <w:rFonts w:cstheme="minorHAnsi"/>
          <w:sz w:val="22"/>
          <w:szCs w:val="22"/>
        </w:rPr>
      </w:pPr>
    </w:p>
    <w:p w14:paraId="3057915C" w14:textId="36F4FC6E" w:rsidR="00F22B7B" w:rsidRPr="00966CD8" w:rsidRDefault="00F22B7B" w:rsidP="00F22B7B">
      <w:pPr>
        <w:jc w:val="both"/>
        <w:rPr>
          <w:rFonts w:cstheme="minorHAnsi"/>
          <w:sz w:val="22"/>
          <w:szCs w:val="22"/>
        </w:rPr>
      </w:pPr>
      <w:r w:rsidRPr="00966CD8">
        <w:rPr>
          <w:rFonts w:cstheme="minorHAnsi"/>
          <w:sz w:val="22"/>
          <w:szCs w:val="22"/>
          <w:u w:val="single"/>
        </w:rPr>
        <w:t>Visualization</w:t>
      </w:r>
      <w:r w:rsidRPr="00966CD8">
        <w:rPr>
          <w:rFonts w:cstheme="minorHAnsi"/>
          <w:sz w:val="22"/>
          <w:szCs w:val="22"/>
        </w:rPr>
        <w:t>: To visualize the average decision function, we employed the procedure previously described</w:t>
      </w:r>
      <w:r w:rsidR="00B84BEB">
        <w:rPr>
          <w:rFonts w:cstheme="minorHAnsi"/>
          <w:sz w:val="22"/>
          <w:szCs w:val="22"/>
        </w:rPr>
        <w:fldChar w:fldCharType="begin" w:fldLock="1"/>
      </w:r>
      <w:r w:rsidR="00E4073A">
        <w:rPr>
          <w:rFonts w:cstheme="minorHAnsi"/>
          <w:sz w:val="22"/>
          <w:szCs w:val="22"/>
        </w:rPr>
        <w:instrText>ADDIN CSL_CITATION {"citationItems":[{"id":"ITEM-1","itemData":{"DOI":"10.1093/schbul/sby008","ISSN":"1745-1701","PMID":"29529270","abstract":"Identifying distinctive subtypes of schizophrenia could ultimately enhance diagnostic and prognostic accuracy. We aimed to uncover neuroanatomical subtypes of chronic schizophrenia patients to test whether stratification can enhance computer-aided discrimination of patients from control subjects. Unsupervised, data-driven clustering of structural MRI (sMRI) data was used to identify 2 subtypes of schizophrenia patients drawn from a US-based open science repository (n = 71) and we quantified classification improvements compared to controls (n = 74) using supervised machine learning. We externally validated the unsupervised and supervised learning models in a heterogeneous German validation sample (n = 316), and characterized symptom, cognition, and longitudinal symptom change signatures. Stratification improved classification accuracies from 68.5% to 73% (subgroup 1) and 78.8% (subgroup 2), respectively. Increased accuracy was also found when models were externally validated, and an average gain of 9% was found in supplementary analyses. The first subgroup was associated with cortical and subcortical volume reductions coupled with substantially longer illness duration, whereas the second subgroup was mainly characterized by cortical reductions, reduced illness duration, and comparatively less negative symptoms. Individuals within each subgroup could be identified using just 10 clinical questions at an accuracy of 81.2%, and differential cognitive and symptom course signatures were suggested in multivariate analyses. Our findings suggest that sMRI-based subtyping enhances the neuroanatomical discrimination of schizophrenia by identifying generalizable brain patterns that align with a clinical staging model of the disorder. These findings could be used to improve illness stratification for biomarker-based computer-aided diagnoses.","author":[{"dropping-particle":"","family":"Dwyer","given":"Dominic B","non-dropping-particle":"","parse-names":false,"suffix":""},{"dropping-particle":"","family":"Cabral","given":"Carlos","non-dropping-particle":"","parse-names":false,"suffix":""},{"dropping-particle":"","family":"Kambeitz-Ilankovic","given":"Lana","non-dropping-particle":"","parse-names":false,"suffix":""},{"dropping-particle":"","family":"Sanfelici","given":"Rachele","non-dropping-particle":"","parse-names":false,"suffix":""},{"dropping-particle":"","family":"Kambeitz","given":"Joseph","non-dropping-particle":"","parse-names":false,"suffix":""},{"dropping-particle":"","family":"Calhoun","given":"Vince","non-dropping-particle":"","parse-names":false,"suffix":""},{"dropping-particle":"","family":"Falkai","given":"Peter","non-dropping-particle":"","parse-names":false,"suffix":""},{"dropping-particle":"","family":"Pantelis","given":"Christos","non-dropping-particle":"","parse-names":false,"suffix":""},{"dropping-particle":"","family":"Meisenzahl","given":"Eva","non-dropping-particle":"","parse-names":false,"suffix":""},{"dropping-particle":"","family":"Koutsouleris","given":"Nikolaos","non-dropping-particle":"","parse-names":false,"suffix":""}],"container-title":"Schizophrenia bulletin","id":"ITEM-1","issue":"5","issued":{"date-parts":[["2018","8","20"]]},"page":"1060-1069","title":"Brain Subtyping Enhances The Neuroanatomical Discrimination of Schizophrenia.","type":"article-journal","volume":"44"},"uris":["http://www.mendeley.com/documents/?uuid=8e861d30-68b5-3341-b0da-5d9602cfc81d"]}],"mendeley":{"formattedCitation":"(Dominic B Dwyer et al., 2018)","plainTextFormattedCitation":"(Dominic B Dwyer et al., 2018)","previouslyFormattedCitation":"(Dominic B Dwyer et al., 2018)"},"properties":{"noteIndex":0},"schema":"https://github.com/citation-style-language/schema/raw/master/csl-citation.json"}</w:instrText>
      </w:r>
      <w:r w:rsidR="00B84BEB">
        <w:rPr>
          <w:rFonts w:cstheme="minorHAnsi"/>
          <w:sz w:val="22"/>
          <w:szCs w:val="22"/>
        </w:rPr>
        <w:fldChar w:fldCharType="separate"/>
      </w:r>
      <w:r w:rsidR="00A24C43" w:rsidRPr="00A24C43">
        <w:rPr>
          <w:rFonts w:cstheme="minorHAnsi"/>
          <w:noProof/>
          <w:sz w:val="22"/>
          <w:szCs w:val="22"/>
        </w:rPr>
        <w:t>(Dominic B Dwyer et al., 2018)</w:t>
      </w:r>
      <w:r w:rsidR="00B84BEB">
        <w:rPr>
          <w:rFonts w:cstheme="minorHAnsi"/>
          <w:sz w:val="22"/>
          <w:szCs w:val="22"/>
        </w:rPr>
        <w:fldChar w:fldCharType="end"/>
      </w:r>
      <w:r w:rsidRPr="00966CD8">
        <w:rPr>
          <w:rFonts w:cstheme="minorHAnsi"/>
          <w:sz w:val="22"/>
          <w:szCs w:val="22"/>
        </w:rPr>
        <w:t xml:space="preserve">, involving: </w:t>
      </w:r>
    </w:p>
    <w:p w14:paraId="2A70555C" w14:textId="77777777" w:rsidR="00F22B7B" w:rsidRPr="00966CD8" w:rsidRDefault="00F22B7B" w:rsidP="00F22B7B">
      <w:pPr>
        <w:pStyle w:val="Paragrafoelenco"/>
        <w:numPr>
          <w:ilvl w:val="0"/>
          <w:numId w:val="2"/>
        </w:numPr>
        <w:jc w:val="both"/>
        <w:rPr>
          <w:rFonts w:cstheme="minorHAnsi"/>
          <w:sz w:val="22"/>
          <w:szCs w:val="22"/>
        </w:rPr>
      </w:pPr>
      <w:r w:rsidRPr="00966CD8">
        <w:rPr>
          <w:rFonts w:cstheme="minorHAnsi"/>
          <w:sz w:val="22"/>
          <w:szCs w:val="22"/>
        </w:rPr>
        <w:lastRenderedPageBreak/>
        <w:t xml:space="preserve">In PCA space, the weight vector (w) of each SVM model was projected back to voxel space. This computation was performed for every training sample on the inner cross-validation (CV1) cycle, resulting in 100 voxel-level images for a given training partition on the outer (CV2) loop. </w:t>
      </w:r>
    </w:p>
    <w:p w14:paraId="32876338" w14:textId="77777777" w:rsidR="00F22B7B" w:rsidRPr="00966CD8" w:rsidRDefault="00F22B7B" w:rsidP="00F22B7B">
      <w:pPr>
        <w:pStyle w:val="Paragrafoelenco"/>
        <w:numPr>
          <w:ilvl w:val="0"/>
          <w:numId w:val="2"/>
        </w:numPr>
        <w:jc w:val="both"/>
        <w:rPr>
          <w:rFonts w:cstheme="minorHAnsi"/>
          <w:sz w:val="22"/>
          <w:szCs w:val="22"/>
        </w:rPr>
      </w:pPr>
      <w:r w:rsidRPr="00966CD8">
        <w:rPr>
          <w:rFonts w:cstheme="minorHAnsi"/>
          <w:sz w:val="22"/>
          <w:szCs w:val="22"/>
        </w:rPr>
        <w:t>The average and standard error volumes of these 100 voxel-level w images were computed.</w:t>
      </w:r>
    </w:p>
    <w:p w14:paraId="0EF6290C" w14:textId="77777777" w:rsidR="00F22B7B" w:rsidRPr="00966CD8" w:rsidRDefault="00F22B7B" w:rsidP="00F22B7B">
      <w:pPr>
        <w:pStyle w:val="Paragrafoelenco"/>
        <w:numPr>
          <w:ilvl w:val="0"/>
          <w:numId w:val="2"/>
        </w:numPr>
        <w:jc w:val="both"/>
        <w:rPr>
          <w:rFonts w:cstheme="minorHAnsi"/>
          <w:sz w:val="22"/>
          <w:szCs w:val="22"/>
        </w:rPr>
      </w:pPr>
      <w:r w:rsidRPr="00966CD8">
        <w:rPr>
          <w:rFonts w:cstheme="minorHAnsi"/>
          <w:sz w:val="22"/>
          <w:szCs w:val="22"/>
        </w:rPr>
        <w:t xml:space="preserve">For each CV2 partition, voxels with an absolute value greater than their respective standard error multiplied by 1.96 were set to one, or to zero otherwise. This thresholding procedure extracted only those voxels that reliably contributed to the average neuroanatomical decision boundary of a given CV2 partition at the 95% confidence interval. </w:t>
      </w:r>
    </w:p>
    <w:p w14:paraId="149172B3" w14:textId="77777777" w:rsidR="00F22B7B" w:rsidRPr="00966CD8" w:rsidRDefault="00F22B7B" w:rsidP="00F22B7B">
      <w:pPr>
        <w:pStyle w:val="Paragrafoelenco"/>
        <w:numPr>
          <w:ilvl w:val="0"/>
          <w:numId w:val="2"/>
        </w:numPr>
        <w:jc w:val="both"/>
        <w:rPr>
          <w:rFonts w:cstheme="minorHAnsi"/>
          <w:sz w:val="22"/>
          <w:szCs w:val="22"/>
        </w:rPr>
      </w:pPr>
      <w:r w:rsidRPr="00966CD8">
        <w:rPr>
          <w:rFonts w:cstheme="minorHAnsi"/>
          <w:sz w:val="22"/>
          <w:szCs w:val="22"/>
        </w:rPr>
        <w:t>The obtained binary images were summed across all CV2 partitions and divided by the number of partitions, thus forming a single map that specified every voxel’s probability of reliably contributing to the average neuroanatomical decision boundary across the entire experiment.</w:t>
      </w:r>
    </w:p>
    <w:p w14:paraId="2AE9FF7E" w14:textId="5FAB6417" w:rsidR="00F22B7B" w:rsidRPr="00966CD8" w:rsidRDefault="00F22B7B" w:rsidP="00F22B7B">
      <w:pPr>
        <w:pStyle w:val="Paragrafoelenco"/>
        <w:numPr>
          <w:ilvl w:val="0"/>
          <w:numId w:val="2"/>
        </w:numPr>
        <w:jc w:val="both"/>
        <w:rPr>
          <w:rFonts w:cstheme="minorHAnsi"/>
          <w:sz w:val="22"/>
          <w:szCs w:val="22"/>
        </w:rPr>
      </w:pPr>
      <w:r w:rsidRPr="00966CD8">
        <w:rPr>
          <w:rFonts w:cstheme="minorHAnsi"/>
          <w:sz w:val="22"/>
          <w:szCs w:val="22"/>
        </w:rPr>
        <w:t xml:space="preserve">Cortical thickness visualization involved overlaying the weight probability maps onto the </w:t>
      </w:r>
      <w:proofErr w:type="spellStart"/>
      <w:r w:rsidRPr="00966CD8">
        <w:rPr>
          <w:rFonts w:cstheme="minorHAnsi"/>
          <w:sz w:val="22"/>
          <w:szCs w:val="22"/>
        </w:rPr>
        <w:t>FreeView</w:t>
      </w:r>
      <w:proofErr w:type="spellEnd"/>
      <w:r w:rsidRPr="00966CD8">
        <w:rPr>
          <w:rFonts w:cstheme="minorHAnsi"/>
          <w:sz w:val="22"/>
          <w:szCs w:val="22"/>
        </w:rPr>
        <w:t xml:space="preserve"> thickness-based template</w:t>
      </w:r>
      <w:r w:rsidR="00312E03">
        <w:rPr>
          <w:rFonts w:cstheme="minorHAnsi"/>
          <w:sz w:val="22"/>
          <w:szCs w:val="22"/>
        </w:rPr>
        <w:t>.</w:t>
      </w:r>
    </w:p>
    <w:p w14:paraId="3761A25A" w14:textId="7A4829E8" w:rsidR="00F22B7B" w:rsidRPr="00966CD8" w:rsidRDefault="00F22B7B" w:rsidP="00DE6C4F">
      <w:pPr>
        <w:jc w:val="both"/>
        <w:rPr>
          <w:rFonts w:cstheme="minorHAnsi"/>
          <w:sz w:val="22"/>
          <w:szCs w:val="22"/>
        </w:rPr>
      </w:pPr>
    </w:p>
    <w:p w14:paraId="3D7CAF41" w14:textId="16D05561" w:rsidR="007A5FB8" w:rsidRPr="00966CD8" w:rsidRDefault="00316F90" w:rsidP="00DE6C4F">
      <w:pPr>
        <w:jc w:val="both"/>
        <w:rPr>
          <w:rFonts w:cstheme="minorHAnsi"/>
          <w:sz w:val="22"/>
          <w:szCs w:val="22"/>
        </w:rPr>
      </w:pPr>
      <w:r w:rsidRPr="00966CD8">
        <w:rPr>
          <w:rFonts w:cstheme="minorHAnsi"/>
          <w:sz w:val="22"/>
          <w:szCs w:val="22"/>
        </w:rPr>
        <w:t>Reliability for each feature is defined in terms of Cross-Validation Ratio (CVR = mean(w) / standard error(w)), where w represents the normalized individual weights from SVM models generated in the repeated nested CV scheme. Normalization is performed using the Euclidean norm of w: s</w:t>
      </w:r>
      <w:r w:rsidR="00CB5426">
        <w:rPr>
          <w:rFonts w:cstheme="minorHAnsi"/>
          <w:sz w:val="22"/>
          <w:szCs w:val="22"/>
        </w:rPr>
        <w:t xml:space="preserve"> </w:t>
      </w:r>
      <w:r w:rsidRPr="00966CD8">
        <w:rPr>
          <w:rFonts w:cstheme="minorHAnsi"/>
          <w:sz w:val="22"/>
          <w:szCs w:val="22"/>
        </w:rPr>
        <w:t>= w/||w||</w:t>
      </w:r>
      <w:r w:rsidRPr="00594062">
        <w:rPr>
          <w:rFonts w:cstheme="minorHAnsi"/>
          <w:sz w:val="22"/>
          <w:szCs w:val="22"/>
          <w:vertAlign w:val="subscript"/>
        </w:rPr>
        <w:t>2</w:t>
      </w:r>
      <w:r w:rsidRPr="00966CD8">
        <w:rPr>
          <w:rFonts w:cstheme="minorHAnsi"/>
          <w:sz w:val="22"/>
          <w:szCs w:val="22"/>
        </w:rPr>
        <w:t xml:space="preserve">. This metric can be regarded as a measure of how often in the repeated nested CV framework a certain feature has been chosen </w:t>
      </w:r>
      <w:proofErr w:type="gramStart"/>
      <w:r w:rsidRPr="00966CD8">
        <w:rPr>
          <w:rFonts w:cstheme="minorHAnsi"/>
          <w:sz w:val="22"/>
          <w:szCs w:val="22"/>
        </w:rPr>
        <w:t>in order to</w:t>
      </w:r>
      <w:proofErr w:type="gramEnd"/>
      <w:r w:rsidRPr="00966CD8">
        <w:rPr>
          <w:rFonts w:cstheme="minorHAnsi"/>
          <w:sz w:val="22"/>
          <w:szCs w:val="22"/>
        </w:rPr>
        <w:t xml:space="preserve"> generate decisions. This value was used to create </w:t>
      </w:r>
      <w:r w:rsidR="00436EF9">
        <w:rPr>
          <w:rFonts w:cstheme="minorHAnsi"/>
          <w:sz w:val="22"/>
          <w:szCs w:val="22"/>
        </w:rPr>
        <w:t>the</w:t>
      </w:r>
      <w:r w:rsidR="00436EF9" w:rsidRPr="00966CD8">
        <w:rPr>
          <w:rFonts w:cstheme="minorHAnsi"/>
          <w:sz w:val="22"/>
          <w:szCs w:val="22"/>
        </w:rPr>
        <w:t xml:space="preserve"> </w:t>
      </w:r>
      <w:r w:rsidRPr="00966CD8">
        <w:rPr>
          <w:rFonts w:cstheme="minorHAnsi"/>
          <w:sz w:val="22"/>
          <w:szCs w:val="22"/>
        </w:rPr>
        <w:t>overlays in Figure 1 in the main manuscript.</w:t>
      </w:r>
    </w:p>
    <w:p w14:paraId="308804D1" w14:textId="77777777" w:rsidR="007A5FB8" w:rsidRPr="00966CD8" w:rsidRDefault="007A5FB8" w:rsidP="00DE6C4F">
      <w:pPr>
        <w:jc w:val="both"/>
        <w:rPr>
          <w:rFonts w:cstheme="minorHAnsi"/>
          <w:sz w:val="22"/>
          <w:szCs w:val="22"/>
        </w:rPr>
      </w:pPr>
    </w:p>
    <w:p w14:paraId="15DF75E4" w14:textId="0DF7D44F" w:rsidR="00AC4443" w:rsidRPr="00AC4443" w:rsidRDefault="00AC4443" w:rsidP="00DE6C4F">
      <w:pPr>
        <w:jc w:val="both"/>
        <w:rPr>
          <w:rFonts w:cstheme="minorHAnsi"/>
          <w:sz w:val="22"/>
          <w:szCs w:val="22"/>
        </w:rPr>
      </w:pPr>
      <w:r>
        <w:rPr>
          <w:rFonts w:cstheme="minorHAnsi"/>
          <w:sz w:val="22"/>
          <w:szCs w:val="22"/>
          <w:u w:val="single"/>
        </w:rPr>
        <w:t>Leave-Site Out CV scheme</w:t>
      </w:r>
      <w:r w:rsidRPr="00AC4443">
        <w:rPr>
          <w:rFonts w:cstheme="minorHAnsi"/>
          <w:sz w:val="22"/>
          <w:szCs w:val="22"/>
        </w:rPr>
        <w:t xml:space="preserve">: </w:t>
      </w:r>
      <w:r w:rsidR="00436EF9">
        <w:rPr>
          <w:rFonts w:cstheme="minorHAnsi"/>
          <w:sz w:val="22"/>
          <w:szCs w:val="22"/>
        </w:rPr>
        <w:t>T</w:t>
      </w:r>
      <w:r>
        <w:rPr>
          <w:rFonts w:cstheme="minorHAnsi"/>
          <w:sz w:val="22"/>
          <w:szCs w:val="22"/>
        </w:rPr>
        <w:t xml:space="preserve">his approach is </w:t>
      </w:r>
      <w:proofErr w:type="gramStart"/>
      <w:r>
        <w:rPr>
          <w:rFonts w:cstheme="minorHAnsi"/>
          <w:sz w:val="22"/>
          <w:szCs w:val="22"/>
        </w:rPr>
        <w:t>similar to</w:t>
      </w:r>
      <w:proofErr w:type="gramEnd"/>
      <w:r>
        <w:rPr>
          <w:rFonts w:cstheme="minorHAnsi"/>
          <w:sz w:val="22"/>
          <w:szCs w:val="22"/>
        </w:rPr>
        <w:t xml:space="preserve"> the </w:t>
      </w:r>
      <w:r w:rsidRPr="00594062">
        <w:rPr>
          <w:rFonts w:cstheme="minorHAnsi"/>
          <w:i/>
          <w:sz w:val="22"/>
          <w:szCs w:val="22"/>
        </w:rPr>
        <w:t>k</w:t>
      </w:r>
      <w:r>
        <w:rPr>
          <w:rFonts w:cstheme="minorHAnsi"/>
          <w:sz w:val="22"/>
          <w:szCs w:val="22"/>
        </w:rPr>
        <w:t xml:space="preserve">-fold CV scheme, but instead of randomly dividing the sample into folds, </w:t>
      </w:r>
      <w:r w:rsidRPr="00AC4443">
        <w:rPr>
          <w:rFonts w:cstheme="minorHAnsi"/>
          <w:sz w:val="22"/>
          <w:szCs w:val="22"/>
        </w:rPr>
        <w:t xml:space="preserve">one </w:t>
      </w:r>
      <w:r>
        <w:rPr>
          <w:rFonts w:cstheme="minorHAnsi"/>
          <w:sz w:val="22"/>
          <w:szCs w:val="22"/>
        </w:rPr>
        <w:t xml:space="preserve">entire </w:t>
      </w:r>
      <w:r w:rsidRPr="00AC4443">
        <w:rPr>
          <w:rFonts w:cstheme="minorHAnsi"/>
          <w:sz w:val="22"/>
          <w:szCs w:val="22"/>
        </w:rPr>
        <w:t>site is left out</w:t>
      </w:r>
      <w:r>
        <w:rPr>
          <w:rFonts w:cstheme="minorHAnsi"/>
          <w:sz w:val="22"/>
          <w:szCs w:val="22"/>
        </w:rPr>
        <w:t>.</w:t>
      </w:r>
      <w:r w:rsidRPr="00AC4443">
        <w:rPr>
          <w:rFonts w:cstheme="minorHAnsi"/>
          <w:sz w:val="22"/>
          <w:szCs w:val="22"/>
        </w:rPr>
        <w:t xml:space="preserve"> </w:t>
      </w:r>
      <w:r>
        <w:rPr>
          <w:rFonts w:cstheme="minorHAnsi"/>
          <w:sz w:val="22"/>
          <w:szCs w:val="22"/>
        </w:rPr>
        <w:t>M</w:t>
      </w:r>
      <w:r w:rsidRPr="00AC4443">
        <w:rPr>
          <w:rFonts w:cstheme="minorHAnsi"/>
          <w:sz w:val="22"/>
          <w:szCs w:val="22"/>
        </w:rPr>
        <w:t>odels are trained on the remaining sites, and the predictions are applied to the left-out site. This design provides a measure of how models generalize across different geographic sites</w:t>
      </w:r>
      <w:r>
        <w:rPr>
          <w:rFonts w:cstheme="minorHAnsi"/>
          <w:sz w:val="22"/>
          <w:szCs w:val="22"/>
        </w:rPr>
        <w:fldChar w:fldCharType="begin" w:fldLock="1"/>
      </w:r>
      <w:r w:rsidR="00E4073A">
        <w:rPr>
          <w:rFonts w:cstheme="minorHAnsi"/>
          <w:sz w:val="22"/>
          <w:szCs w:val="22"/>
        </w:rPr>
        <w:instrText>ADDIN CSL_CITATION {"citationItems":[{"id":"ITEM-1","itemData":{"DOI":"10.1146/annurev-clinpsy-032816-045037","ISSN":"1548-5943","PMID":"29401044","abstract":"Machine learning approaches for clinical psychology and psychiatry explicitly focus on learning statistical functions from multidimensional data sets to make generalizable predictions about individuals. The goal of this review is to provide an accessible understanding of why this approach is important for future practice given its potential to augment decisions associated with the diagnosis, prognosis, and treatment of people suffering from mental illness using clinical and biological data. To this end, the limitations of current statistical paradigms in mental health research are critiqued, and an introduction is provided to critical machine learning methods used in clinical studies. A selective literature review is then presented aiming to reinforce the usefulness of machine learning methods and provide evidence of their potential. In the context of promising initial results, the current limitations of machine learning approaches are addressed, and considerations for future clinical translation are outlined.","author":[{"dropping-particle":"","family":"Dwyer","given":"Dominic B.","non-dropping-particle":"","parse-names":false,"suffix":""},{"dropping-particle":"","family":"Falkai","given":"Peter","non-dropping-particle":"","parse-names":false,"suffix":""},{"dropping-particle":"","family":"Koutsouleris","given":"Nikolaos","non-dropping-particle":"","parse-names":false,"suffix":""}],"container-title":"Annual Review of Clinical Psychology","id":"ITEM-1","issue":"1","issued":{"date-parts":[["2018","5","7"]]},"page":"91-118","title":"Machine Learning Approaches for Clinical Psychology and Psychiatry","type":"article-journal","volume":"14"},"uris":["http://www.mendeley.com/documents/?uuid=771186d1-ea19-3715-b1d5-fa501fde5827"]},{"id":"ITEM-2","itemData":{"DOI":"10.1001/jamapsychiatry.2018.2165","ISSN":"2168-622X","PMID":"30267047","abstract":"Importance Social and occupational impairments contribute to the burden of psychosis and depression. There is a need for risk stratification tools to inform personalized functional-disability preventive strategies for individuals in at-risk and early phases of these illnesses. Objective To determine whether predictors associated with social and role functioning can be identified in patients in clinical high-risk (CHR) states for psychosis or with recent-onset depression (ROD) using clinical, imaging-based, and combined machine learning; assess the geographic, transdiagnostic, and prognostic generalizability of machine learning and compare it with human prognostication; and explore sequential prognosis encompassing clinical and combined machine learning. Design, Setting, and Participants This multisite naturalistic study followed up patients in CHR states, with ROD, and with recent-onset psychosis, and healthy control participants for 18 months in 7 academic early-recognition services in 5 European countries. Participants were recruited between February 2014 and May 2016, and data were analyzed from April 2017 to January 2018. ain Outcomes and Measures Performance and generalizability of prognostic models. Results A total of 116 individuals in CHR states (mean [SD] age, 24.0 [5.1] years; 58 [50.0%] female) and 120 patients with ROD (mean [SD] age, 26.1 [6.1] years; 65 [54.2%] female) were followed up for a mean (SD) of 329 (142) days. Machine learning predicted the 1-year social-functioning outcomes with a balanced accuracy of 76.9% of patients in CHR states and 66.2% of patients with ROD using clinical baseline data. Balanced accuracy in models using structural neuroimaging was 76.2% in patients in CHR states and 65.0% in patients with ROD, and in combined models, it was 82.7% for CHR states and 70.3% for ROD. Lower functioning before study entry was a transdiagnostic predictor. Medial prefrontal and temporo-parieto-occipital gray matter volume (GMV) reductions and cerebellar and dorsolateral prefrontal GMV increments had predictive value in the CHR group; reduced mediotemporal and increased prefrontal-perisylvian GMV had predictive value in patients with ROD. Poor prognoses were associated with increased risk of psychotic, depressive, and anxiety disorders at follow-up in patients in the CHR state but not ones with ROD. Machine learning outperformed expert prognostication. Adding neuroimaging machine learning to clinical machine learning provided a 1.9…","author":[{"dropping-particle":"","family":"Koutsouleris","given":"Nikolaos","non-dropping-particle":"","parse-names":false,"suffix":""},{"dropping-particle":"","family":"Kambeitz-Ilankovic","given":"Lana","non-dropping-particle":"","parse-names":false,"suffix":""},{"dropping-particle":"","family":"Ruhrmann","given":"Stephan","non-dropping-particle":"","parse-names":false,"suffix":""},{"dropping-particle":"","family":"Rosen","given":"Marlene","non-dropping-particle":"","parse-names":false,"suffix":""},{"dropping-particle":"","family":"Ruef","given":"Anne","non-dropping-particle":"","parse-names":false,"suffix":""},{"dropping-particle":"","family":"Dwyer","given":"Dominic B.","non-dropping-particle":"","parse-names":false,"suffix":""},{"dropping-particle":"","family":"Paolini","given":"Marco","non-dropping-particle":"","parse-names":false,"suffix":""},{"dropping-particle":"","family":"Chisholm","given":"Katharine","non-dropping-particle":"","parse-names":false,"suffix":""},{"dropping-particle":"","family":"Kambeitz","given":"Joseph","non-dropping-particle":"","parse-names":false,"suffix":""},{"dropping-particle":"","family":"Haidl","given":"Theresa","non-dropping-particle":"","parse-names":false,"suffix":""},{"dropping-particle":"","family":"Schmidt","given":"André","non-dropping-particle":"","parse-names":false,"suffix":""},{"dropping-particle":"","family":"Gillam","given":"John","non-dropping-particle":"","parse-names":false,"suffix":""},{"dropping-particle":"","family":"Schultze-Lutter","given":"Frauke","non-dropping-particle":"","parse-names":false,"suffix":""},{"dropping-particle":"","family":"Falkai","given":"Peter","non-dropping-particle":"","parse-names":false,"suffix":""},{"dropping-particle":"","family":"Reiser","given":"Maximilian","non-dropping-particle":"","parse-names":false,"suffix":""},{"dropping-particle":"","family":"Riecher-Rössler","given":"Anita","non-dropping-particle":"","parse-names":false,"suffix":""},{"dropping-particle":"","family":"Upthegrove","given":"Rachel","non-dropping-particle":"","parse-names":false,"suffix":""},{"dropping-particle":"","family":"Hietala","given":"Jarmo","non-dropping-particle":"","parse-names":false,"suffix":""},{"dropping-particle":"","family":"Salokangas","given":"Raimo K. R.","non-dropping-particle":"","parse-names":false,"suffix":""},{"dropping-particle":"","family":"Pantelis","given":"Christos","non-dropping-particle":"","parse-names":false,"suffix":""},{"dropping-particle":"","family":"Meisenzahl","given":"Eva","non-dropping-particle":"","parse-names":false,"suffix":""},{"dropping-particle":"","family":"Wood","given":"Stephen J.","non-dropping-particle":"","parse-names":false,"suffix":""},{"dropping-particle":"","family":"Beque","given":"Dirk","non-dropping-particle":"","parse-names":false,"suffix":""},{"dropping-particle":"","family":"Brambilla","given":"Paolo","non-dropping-particle":"","parse-names":false,"suffix":""},{"dropping-particle":"","family":"Borgwardt","given":"Stefan","non-dropping-particle":"","parse-names":false,"suffix":""},{"dropping-particle":"","family":"PRONIA Consortium","given":"","non-dropping-particle":"","parse-names":false,"suffix":""}],"container-title":"JAMA Psychiatry","id":"ITEM-2","issue":"11","issued":{"date-parts":[["2018","11","1"]]},"page":"1156","title":"Prediction Models of Functional Outcomes for Individuals in the Clinical High-Risk State for Psychosis or With Recent-Onset Depression","type":"article-journal","volume":"75"},"uris":["http://www.mendeley.com/documents/?uuid=461498b8-21c1-3e4a-bad8-50698c3abe17"]}],"mendeley":{"formattedCitation":"(Dominic B. Dwyer et al., 2018; Koutsouleris et al., 2018)","plainTextFormattedCitation":"(Dominic B. Dwyer et al., 2018; Koutsouleris et al., 2018)","previouslyFormattedCitation":"(Dominic B. Dwyer et al., 2018; Koutsouleris et al., 2018)"},"properties":{"noteIndex":0},"schema":"https://github.com/citation-style-language/schema/raw/master/csl-citation.json"}</w:instrText>
      </w:r>
      <w:r>
        <w:rPr>
          <w:rFonts w:cstheme="minorHAnsi"/>
          <w:sz w:val="22"/>
          <w:szCs w:val="22"/>
        </w:rPr>
        <w:fldChar w:fldCharType="separate"/>
      </w:r>
      <w:r w:rsidR="00A24C43" w:rsidRPr="00A24C43">
        <w:rPr>
          <w:rFonts w:cstheme="minorHAnsi"/>
          <w:noProof/>
          <w:sz w:val="22"/>
          <w:szCs w:val="22"/>
        </w:rPr>
        <w:t>(Dominic B. Dwyer et al., 2018; Koutsouleris et al., 2018)</w:t>
      </w:r>
      <w:r>
        <w:rPr>
          <w:rFonts w:cstheme="minorHAnsi"/>
          <w:sz w:val="22"/>
          <w:szCs w:val="22"/>
        </w:rPr>
        <w:fldChar w:fldCharType="end"/>
      </w:r>
      <w:r w:rsidRPr="00AC4443">
        <w:rPr>
          <w:rFonts w:cstheme="minorHAnsi"/>
          <w:sz w:val="22"/>
          <w:szCs w:val="22"/>
        </w:rPr>
        <w:t>.</w:t>
      </w:r>
    </w:p>
    <w:p w14:paraId="63D26362" w14:textId="77777777" w:rsidR="00AC4443" w:rsidRDefault="00AC4443" w:rsidP="00DE6C4F">
      <w:pPr>
        <w:jc w:val="both"/>
        <w:rPr>
          <w:rFonts w:cstheme="minorHAnsi"/>
          <w:sz w:val="22"/>
          <w:szCs w:val="22"/>
          <w:u w:val="single"/>
        </w:rPr>
      </w:pPr>
    </w:p>
    <w:p w14:paraId="3CB67709" w14:textId="6CCC5630" w:rsidR="007A5FB8" w:rsidRDefault="007A5FB8" w:rsidP="00DE6C4F">
      <w:pPr>
        <w:jc w:val="both"/>
        <w:rPr>
          <w:rFonts w:cstheme="minorHAnsi"/>
          <w:sz w:val="22"/>
          <w:szCs w:val="22"/>
        </w:rPr>
      </w:pPr>
    </w:p>
    <w:p w14:paraId="6FE2F234" w14:textId="77777777" w:rsidR="00312E03" w:rsidRDefault="00312E03" w:rsidP="00DE6C4F">
      <w:pPr>
        <w:jc w:val="both"/>
        <w:rPr>
          <w:rFonts w:cstheme="minorHAnsi"/>
          <w:sz w:val="22"/>
          <w:szCs w:val="22"/>
        </w:rPr>
      </w:pPr>
    </w:p>
    <w:p w14:paraId="76135244" w14:textId="32CB1526" w:rsidR="00413696" w:rsidRPr="00413696" w:rsidRDefault="00436EF9" w:rsidP="00DE6C4F">
      <w:pPr>
        <w:jc w:val="both"/>
        <w:rPr>
          <w:rFonts w:cstheme="minorHAnsi"/>
          <w:b/>
          <w:bCs/>
          <w:sz w:val="22"/>
          <w:szCs w:val="22"/>
        </w:rPr>
      </w:pPr>
      <w:r>
        <w:rPr>
          <w:rFonts w:cstheme="minorHAnsi"/>
          <w:b/>
          <w:bCs/>
          <w:sz w:val="22"/>
          <w:szCs w:val="22"/>
        </w:rPr>
        <w:t>4</w:t>
      </w:r>
      <w:r w:rsidR="00413696" w:rsidRPr="00413696">
        <w:rPr>
          <w:rFonts w:cstheme="minorHAnsi"/>
          <w:b/>
          <w:bCs/>
          <w:sz w:val="22"/>
          <w:szCs w:val="22"/>
        </w:rPr>
        <w:t>. Machi</w:t>
      </w:r>
      <w:r w:rsidR="00577B88">
        <w:rPr>
          <w:rFonts w:cstheme="minorHAnsi"/>
          <w:b/>
          <w:bCs/>
          <w:sz w:val="22"/>
          <w:szCs w:val="22"/>
        </w:rPr>
        <w:t>n</w:t>
      </w:r>
      <w:r w:rsidR="00413696" w:rsidRPr="00413696">
        <w:rPr>
          <w:rFonts w:cstheme="minorHAnsi"/>
          <w:b/>
          <w:bCs/>
          <w:sz w:val="22"/>
          <w:szCs w:val="22"/>
        </w:rPr>
        <w:t>e Learning pipeline</w:t>
      </w:r>
    </w:p>
    <w:p w14:paraId="2E3C15A5" w14:textId="33F7332A" w:rsidR="00413696" w:rsidRPr="00966CD8" w:rsidRDefault="00413696" w:rsidP="00DE6C4F">
      <w:pPr>
        <w:jc w:val="both"/>
        <w:rPr>
          <w:rFonts w:cstheme="minorHAnsi"/>
          <w:sz w:val="22"/>
          <w:szCs w:val="22"/>
        </w:rPr>
      </w:pPr>
      <w:r w:rsidRPr="00413696">
        <w:rPr>
          <w:rFonts w:cstheme="minorHAnsi"/>
          <w:sz w:val="22"/>
          <w:szCs w:val="22"/>
        </w:rPr>
        <w:t>To enable the unbiased estimation of the prediction and to prevent information leaking between subjects used for training and validating the models, we used repeated nested cross-validation (CV)</w:t>
      </w:r>
      <w:r w:rsidRPr="00E24090">
        <w:rPr>
          <w:rFonts w:cstheme="minorHAnsi"/>
          <w:sz w:val="22"/>
          <w:szCs w:val="22"/>
          <w:vertAlign w:val="superscript"/>
        </w:rPr>
        <w:t>12,25</w:t>
      </w:r>
      <w:r w:rsidRPr="00413696">
        <w:rPr>
          <w:rFonts w:cstheme="minorHAnsi"/>
          <w:sz w:val="22"/>
          <w:szCs w:val="22"/>
        </w:rPr>
        <w:t xml:space="preserve">. Both the CV1 (inner cycle) and the CV2 (outer cycle) were randomly split in 10 folds and shuffled respectively with 10 permutations. In the inner loop of cross-validation, the training data were preprocessed using different preprocessing pipelines, </w:t>
      </w:r>
      <w:r>
        <w:rPr>
          <w:rFonts w:cstheme="minorHAnsi"/>
          <w:sz w:val="22"/>
          <w:szCs w:val="22"/>
        </w:rPr>
        <w:t>as described above</w:t>
      </w:r>
      <w:r w:rsidRPr="00413696">
        <w:rPr>
          <w:rFonts w:cstheme="minorHAnsi"/>
          <w:sz w:val="22"/>
          <w:szCs w:val="22"/>
        </w:rPr>
        <w:t>. Training samples were analyzed with a linear Support Vector Machine (SVM) and models</w:t>
      </w:r>
      <w:r w:rsidR="00BB59A6">
        <w:rPr>
          <w:rFonts w:cstheme="minorHAnsi"/>
          <w:sz w:val="22"/>
          <w:szCs w:val="22"/>
        </w:rPr>
        <w:t>,</w:t>
      </w:r>
      <w:r w:rsidRPr="00413696">
        <w:rPr>
          <w:rFonts w:cstheme="minorHAnsi"/>
          <w:sz w:val="22"/>
          <w:szCs w:val="22"/>
        </w:rPr>
        <w:t xml:space="preserve"> </w:t>
      </w:r>
      <w:r w:rsidR="00BB59A6">
        <w:rPr>
          <w:rFonts w:cstheme="minorHAnsi"/>
          <w:sz w:val="22"/>
          <w:szCs w:val="22"/>
        </w:rPr>
        <w:t>which</w:t>
      </w:r>
      <w:r w:rsidR="00BB59A6" w:rsidRPr="00413696">
        <w:rPr>
          <w:rFonts w:cstheme="minorHAnsi"/>
          <w:sz w:val="22"/>
          <w:szCs w:val="22"/>
        </w:rPr>
        <w:t xml:space="preserve"> </w:t>
      </w:r>
      <w:r w:rsidRPr="00413696">
        <w:rPr>
          <w:rFonts w:cstheme="minorHAnsi"/>
          <w:sz w:val="22"/>
          <w:szCs w:val="22"/>
        </w:rPr>
        <w:t>maximized the balanced accuracy (BAC, (</w:t>
      </w:r>
      <w:proofErr w:type="spellStart"/>
      <w:r w:rsidRPr="00413696">
        <w:rPr>
          <w:rFonts w:cstheme="minorHAnsi"/>
          <w:sz w:val="22"/>
          <w:szCs w:val="22"/>
        </w:rPr>
        <w:t>Sensitivity+Specificity</w:t>
      </w:r>
      <w:proofErr w:type="spellEnd"/>
      <w:r w:rsidRPr="00413696">
        <w:rPr>
          <w:rFonts w:cstheme="minorHAnsi"/>
          <w:sz w:val="22"/>
          <w:szCs w:val="22"/>
        </w:rPr>
        <w:t>)/2))</w:t>
      </w:r>
      <w:r w:rsidR="00BB59A6">
        <w:rPr>
          <w:rFonts w:cstheme="minorHAnsi"/>
          <w:sz w:val="22"/>
          <w:szCs w:val="22"/>
        </w:rPr>
        <w:t>,</w:t>
      </w:r>
      <w:r w:rsidRPr="00413696">
        <w:rPr>
          <w:rFonts w:cstheme="minorHAnsi"/>
          <w:sz w:val="22"/>
          <w:szCs w:val="22"/>
        </w:rPr>
        <w:t xml:space="preserve"> were selected. </w:t>
      </w:r>
    </w:p>
    <w:p w14:paraId="369C0651" w14:textId="77777777" w:rsidR="007A5FB8" w:rsidRDefault="007A5FB8" w:rsidP="00DE6C4F">
      <w:pPr>
        <w:jc w:val="both"/>
        <w:rPr>
          <w:rFonts w:cstheme="minorHAnsi"/>
          <w:sz w:val="22"/>
          <w:szCs w:val="22"/>
        </w:rPr>
      </w:pPr>
    </w:p>
    <w:p w14:paraId="7072A1FC" w14:textId="77777777" w:rsidR="00312E03" w:rsidRPr="00966CD8" w:rsidRDefault="00312E03" w:rsidP="00DE6C4F">
      <w:pPr>
        <w:jc w:val="both"/>
        <w:rPr>
          <w:rFonts w:cstheme="minorHAnsi"/>
          <w:sz w:val="22"/>
          <w:szCs w:val="22"/>
        </w:rPr>
      </w:pPr>
    </w:p>
    <w:p w14:paraId="1A65A40D" w14:textId="77777777" w:rsidR="00312E03" w:rsidRDefault="00312E03" w:rsidP="00312E03">
      <w:pPr>
        <w:spacing w:line="259" w:lineRule="auto"/>
        <w:jc w:val="both"/>
        <w:rPr>
          <w:rFonts w:cstheme="minorHAnsi"/>
          <w:sz w:val="22"/>
          <w:szCs w:val="22"/>
        </w:rPr>
      </w:pPr>
    </w:p>
    <w:p w14:paraId="48535061" w14:textId="77777777" w:rsidR="00312E03" w:rsidRDefault="00312E03" w:rsidP="00312E03">
      <w:pPr>
        <w:spacing w:line="259" w:lineRule="auto"/>
        <w:jc w:val="both"/>
        <w:rPr>
          <w:rFonts w:cstheme="minorHAnsi"/>
          <w:sz w:val="22"/>
          <w:szCs w:val="22"/>
        </w:rPr>
      </w:pPr>
    </w:p>
    <w:p w14:paraId="16FE5EAB" w14:textId="3B7651F4" w:rsidR="00336ACF" w:rsidRPr="009D5CF8" w:rsidRDefault="004770BA" w:rsidP="00312E03">
      <w:pPr>
        <w:spacing w:line="259" w:lineRule="auto"/>
        <w:jc w:val="both"/>
        <w:rPr>
          <w:rFonts w:cstheme="minorHAnsi"/>
          <w:b/>
          <w:bCs/>
          <w:sz w:val="22"/>
          <w:szCs w:val="22"/>
        </w:rPr>
      </w:pPr>
      <w:r>
        <w:rPr>
          <w:rFonts w:cstheme="minorHAnsi"/>
          <w:b/>
          <w:bCs/>
          <w:sz w:val="22"/>
          <w:szCs w:val="22"/>
        </w:rPr>
        <w:t>5</w:t>
      </w:r>
      <w:r w:rsidR="00336ACF" w:rsidRPr="009D5CF8">
        <w:rPr>
          <w:rFonts w:cstheme="minorHAnsi"/>
          <w:b/>
          <w:bCs/>
          <w:sz w:val="22"/>
          <w:szCs w:val="22"/>
        </w:rPr>
        <w:t>. Association between decision scores and clinical variables by means of Support Vector Regression</w:t>
      </w:r>
    </w:p>
    <w:p w14:paraId="44B5DE2A" w14:textId="44CBDFF9" w:rsidR="00336ACF" w:rsidRPr="00966CD8" w:rsidRDefault="00336ACF" w:rsidP="00336ACF">
      <w:pPr>
        <w:spacing w:after="160" w:line="259" w:lineRule="auto"/>
        <w:jc w:val="both"/>
        <w:rPr>
          <w:rFonts w:cstheme="minorHAnsi"/>
          <w:sz w:val="22"/>
          <w:szCs w:val="22"/>
        </w:rPr>
      </w:pPr>
      <w:proofErr w:type="gramStart"/>
      <w:r>
        <w:rPr>
          <w:rFonts w:cstheme="minorHAnsi"/>
          <w:sz w:val="22"/>
          <w:szCs w:val="22"/>
        </w:rPr>
        <w:t>In order to</w:t>
      </w:r>
      <w:proofErr w:type="gramEnd"/>
      <w:r>
        <w:rPr>
          <w:rFonts w:cstheme="minorHAnsi"/>
          <w:sz w:val="22"/>
          <w:szCs w:val="22"/>
        </w:rPr>
        <w:t xml:space="preserve"> maintain the multivariate framework, support vector regression (SVR) was chosen to perform </w:t>
      </w:r>
      <w:r w:rsidR="008C6553">
        <w:rPr>
          <w:rFonts w:cstheme="minorHAnsi"/>
          <w:sz w:val="22"/>
          <w:szCs w:val="22"/>
        </w:rPr>
        <w:t>regression</w:t>
      </w:r>
      <w:r>
        <w:rPr>
          <w:rFonts w:cstheme="minorHAnsi"/>
          <w:sz w:val="22"/>
          <w:szCs w:val="22"/>
        </w:rPr>
        <w:t xml:space="preserve"> analysis between the predictive decision scores </w:t>
      </w:r>
      <w:r w:rsidR="008C6553">
        <w:rPr>
          <w:rFonts w:cstheme="minorHAnsi"/>
          <w:sz w:val="22"/>
          <w:szCs w:val="22"/>
        </w:rPr>
        <w:t xml:space="preserve">(as variable to be predicted) </w:t>
      </w:r>
      <w:r>
        <w:rPr>
          <w:rFonts w:cstheme="minorHAnsi"/>
          <w:sz w:val="22"/>
          <w:szCs w:val="22"/>
        </w:rPr>
        <w:t>obtained by the SVM analyses and clinical variables of interests</w:t>
      </w:r>
      <w:r w:rsidR="008C6553">
        <w:rPr>
          <w:rFonts w:cstheme="minorHAnsi"/>
          <w:sz w:val="22"/>
          <w:szCs w:val="22"/>
        </w:rPr>
        <w:t xml:space="preserve"> (as predictors)</w:t>
      </w:r>
      <w:r>
        <w:rPr>
          <w:rFonts w:cstheme="minorHAnsi"/>
          <w:sz w:val="22"/>
          <w:szCs w:val="22"/>
        </w:rPr>
        <w:t>. As shown by previous literature in the field</w:t>
      </w:r>
      <w:r>
        <w:rPr>
          <w:rFonts w:cstheme="minorHAnsi"/>
          <w:sz w:val="22"/>
          <w:szCs w:val="22"/>
        </w:rPr>
        <w:fldChar w:fldCharType="begin" w:fldLock="1"/>
      </w:r>
      <w:r w:rsidR="00E4073A">
        <w:rPr>
          <w:rFonts w:cstheme="minorHAnsi"/>
          <w:sz w:val="22"/>
          <w:szCs w:val="22"/>
        </w:rPr>
        <w:instrText>ADDIN CSL_CITATION {"citationItems":[{"id":"ITEM-1","itemData":{"DOI":"10.1093/schbul/sbt142","ISSN":"1745-1701","PMID":"24126515","abstract":"Structural brain abnormalities are central to schizophrenia (SZ), but it remains unknown whether they are linked to dysmaturational processes crossing diagnostic boundaries, aggravating across disease stages, and driving the neurodiagnostic signature of the illness. Therefore, we investigated whether patients with SZ (N = 141), major depression (MD; N = 104), borderline personality disorder (BPD; N = 57), and individuals in at-risk mental states for psychosis (ARMS; N = 89) deviated from the trajectory of normal brain maturation. This deviation was measured as difference between chronological and the neuroanatomical age (brain age gap estimation [BrainAGE]). Neuroanatomical age was determined by a machine learning system trained to individually estimate age from the structural magnetic resonance imagings of 800 healthy controls. Group-level analyses showed that BrainAGE was highest in SZ (+5.5 y) group, followed by MD (+4.0), BPD (+3.1), and the ARMS (+1.7) groups. Earlier disease onset in MD and BPD groups correlated with more pronounced BrainAGE, reaching effect sizes of the SZ group. Second, BrainAGE increased across at-risk, recent onset, and recurrent states of SZ. Finally, BrainAGE predicted both patient status as well as negative and disorganized symptoms. These findings suggest that an individually quantifiable \"accelerated aging\" effect may particularly impact on the neuroanatomical signature of SZ but may extend also to other mental disorders.","author":[{"dropping-particle":"","family":"Koutsouleris","given":"Nikolaos","non-dropping-particle":"","parse-names":false,"suffix":""},{"dropping-particle":"","family":"Davatzikos","given":"Christos","non-dropping-particle":"","parse-names":false,"suffix":""},{"dropping-particle":"","family":"Borgwardt","given":"Stefan","non-dropping-particle":"","parse-names":false,"suffix":""},{"dropping-particle":"","family":"Gaser","given":"Christian","non-dropping-particle":"","parse-names":false,"suffix":""},{"dropping-particle":"","family":"Bottlender","given":"Ronald","non-dropping-particle":"","parse-names":false,"suffix":""},{"dropping-particle":"","family":"Frodl","given":"Thomas","non-dropping-particle":"","parse-names":false,"suffix":""},{"dropping-particle":"","family":"Falkai","given":"Peter","non-dropping-particle":"","parse-names":false,"suffix":""},{"dropping-particle":"","family":"Riecher-Rössler","given":"Anita","non-dropping-particle":"","parse-names":false,"suffix":""},{"dropping-particle":"","family":"Möller","given":"Hans-Jürgen","non-dropping-particle":"","parse-names":false,"suffix":""},{"dropping-particle":"","family":"Reiser","given":"Maximilian","non-dropping-particle":"","parse-names":false,"suffix":""},{"dropping-particle":"","family":"Pantelis","given":"Christos","non-dropping-particle":"","parse-names":false,"suffix":""},{"dropping-particle":"","family":"Meisenzahl","given":"Eva","non-dropping-particle":"","parse-names":false,"suffix":""}],"container-title":"Schizophrenia bulletin","id":"ITEM-1","issue":"5","issued":{"date-parts":[["2014","9"]]},"page":"1140-53","title":"Accelerated brain aging in schizophrenia and beyond: a neuroanatomical marker of psychiatric disorders.","type":"article-journal","volume":"40"},"uris":["http://www.mendeley.com/documents/?uuid=2e7f9ec2-678f-31e7-81b2-f3af22e7c1c3"]},{"id":"ITEM-2","itemData":{"DOI":"10.1016/j.nicl.2018.101624","ISSN":"2213-1582","PMID":"30528960","abstract":"BACKGROUND Findings from neurodevelopmental studies indicate that adolescents with psychosis spectrum disorders have delayed neurocognitive performance relative to the maturational state of their healthy peers. Using machine learning, we generated a model of neurocognitive age in healthy adults and investigated whether individuals in clinical high risk (CHR) for psychosis showed systematic neurocognitive age deviations that were accompanied by specific structural brain alterations. METHODS First, a Support Vector Regression-based age prediction model was trained and cross-validated on the neurocognitive data of 36 healthy controls (HC). This produced Cognitive Age Gap Estimates (CogAGE) that measured each participant's deviation from the normal cognitive maturation as the difference between estimated neurocognitive and chronological age. Second, we employed voxel-based morphometry to explore the neuroanatomical gray and white matter correlates of CogAGE in HC, in CHR individuals with early (CHR-E) and late (CHR-L) high risk states. RESULTS The age prediction model estimated age in HC subjects with a mean absolute error of ±2.2 years (SD = 3.3; R2 = 0.33, P &lt; .001). Mean (SD) CogAGE measured +4.3 (8.1) years in CHR individuals compared to HC (-0.1 (5.5) years, P = .006). CHR-L individuals differed significantly from HC subjects while this was not the case for the CHR-E group. CogAGE was associated with a distributed bilateral pattern of increased GM volume in the temporal and frontal areas and diffuse pattern of WM reductions. CONCLUSION Although the generalizability of our findings might be limited due to the relatively small number of participants, CHR individuals exhibit a disturbed neurocognitive development as compared to healthy peers, which may be independent of conversion to psychosis and paralleled by an altered structural maturation process.","author":[{"dropping-particle":"","family":"Kambeitz-Ilankovic","given":"Lana","non-dropping-particle":"","parse-names":false,"suffix":""},{"dropping-particle":"","family":"Haas","given":"Shalaila S","non-dropping-particle":"","parse-names":false,"suffix":""},{"dropping-particle":"","family":"Meisenzahl","given":"Eva","non-dropping-particle":"","parse-names":false,"suffix":""},{"dropping-particle":"","family":"Dwyer","given":"Dominic B","non-dropping-particle":"","parse-names":false,"suffix":""},{"dropping-particle":"","family":"Weiske","given":"Johanna","non-dropping-particle":"","parse-names":false,"suffix":""},{"dropping-particle":"","family":"Peters","given":"Henning","non-dropping-particle":"","parse-names":false,"suffix":""},{"dropping-particle":"","family":"Möller","given":"Hans-Jürgen","non-dropping-particle":"","parse-names":false,"suffix":""},{"dropping-particle":"","family":"Falkai","given":"Peter","non-dropping-particle":"","parse-names":false,"suffix":""},{"dropping-particle":"","family":"Koutsouleris","given":"Nikolaos","non-dropping-particle":"","parse-names":false,"suffix":""}],"container-title":"NeuroImage. Clinical","id":"ITEM-2","issued":{"date-parts":[["2019","1","1"]]},"page":"101624","publisher":"Elsevier Inc.","title":"Neurocognitive and neuroanatomical maturation in the clinical high-risk states for psychosis: A pattern recognition study.","type":"article-journal","volume":"21"},"uris":["http://www.mendeley.com/documents/?uuid=3363a503-2df3-33bf-80da-9da3162a3391"]}],"mendeley":{"formattedCitation":"(Kambeitz-Ilankovic et al., 2019; Koutsouleris et al., 2014)","plainTextFormattedCitation":"(Kambeitz-Ilankovic et al., 2019; Koutsouleris et al., 2014)","previouslyFormattedCitation":"(Kambeitz-Ilankovic et al., 2019; Koutsouleris et al., 2014)"},"properties":{"noteIndex":0},"schema":"https://github.com/citation-style-language/schema/raw/master/csl-citation.json"}</w:instrText>
      </w:r>
      <w:r>
        <w:rPr>
          <w:rFonts w:cstheme="minorHAnsi"/>
          <w:sz w:val="22"/>
          <w:szCs w:val="22"/>
        </w:rPr>
        <w:fldChar w:fldCharType="separate"/>
      </w:r>
      <w:r w:rsidR="00A24C43" w:rsidRPr="00A24C43">
        <w:rPr>
          <w:rFonts w:cstheme="minorHAnsi"/>
          <w:noProof/>
          <w:sz w:val="22"/>
          <w:szCs w:val="22"/>
        </w:rPr>
        <w:t>(</w:t>
      </w:r>
      <w:proofErr w:type="spellStart"/>
      <w:r w:rsidR="00A24C43" w:rsidRPr="00A24C43">
        <w:rPr>
          <w:rFonts w:cstheme="minorHAnsi"/>
          <w:noProof/>
          <w:sz w:val="22"/>
          <w:szCs w:val="22"/>
        </w:rPr>
        <w:t>Kambeitz-Ilankovic</w:t>
      </w:r>
      <w:proofErr w:type="spellEnd"/>
      <w:r w:rsidR="00A24C43" w:rsidRPr="00A24C43">
        <w:rPr>
          <w:rFonts w:cstheme="minorHAnsi"/>
          <w:noProof/>
          <w:sz w:val="22"/>
          <w:szCs w:val="22"/>
        </w:rPr>
        <w:t xml:space="preserve"> et al., 2019; Koutsouleris et al., 2014)</w:t>
      </w:r>
      <w:r>
        <w:rPr>
          <w:rFonts w:cstheme="minorHAnsi"/>
          <w:sz w:val="22"/>
          <w:szCs w:val="22"/>
        </w:rPr>
        <w:fldChar w:fldCharType="end"/>
      </w:r>
      <w:r>
        <w:rPr>
          <w:rFonts w:cstheme="minorHAnsi"/>
          <w:sz w:val="22"/>
          <w:szCs w:val="22"/>
        </w:rPr>
        <w:t>, SVR has the</w:t>
      </w:r>
      <w:r w:rsidRPr="00336ACF">
        <w:rPr>
          <w:rFonts w:cstheme="minorHAnsi"/>
          <w:sz w:val="22"/>
          <w:szCs w:val="22"/>
        </w:rPr>
        <w:t xml:space="preserve"> ability to generate unbiased models</w:t>
      </w:r>
      <w:r>
        <w:rPr>
          <w:rFonts w:cstheme="minorHAnsi"/>
          <w:sz w:val="22"/>
          <w:szCs w:val="22"/>
        </w:rPr>
        <w:t xml:space="preserve"> </w:t>
      </w:r>
      <w:r w:rsidRPr="00336ACF">
        <w:rPr>
          <w:rFonts w:cstheme="minorHAnsi"/>
          <w:sz w:val="22"/>
          <w:szCs w:val="22"/>
        </w:rPr>
        <w:t>that generalize well across the population</w:t>
      </w:r>
      <w:r>
        <w:rPr>
          <w:rFonts w:cstheme="minorHAnsi"/>
          <w:sz w:val="22"/>
          <w:szCs w:val="22"/>
        </w:rPr>
        <w:t xml:space="preserve">. </w:t>
      </w:r>
    </w:p>
    <w:p w14:paraId="65604824" w14:textId="48F9333A" w:rsidR="000D46B9" w:rsidRDefault="00336ACF" w:rsidP="009D5CF8">
      <w:pPr>
        <w:spacing w:after="160" w:line="259" w:lineRule="auto"/>
        <w:jc w:val="both"/>
        <w:rPr>
          <w:rFonts w:cstheme="minorHAnsi"/>
          <w:sz w:val="22"/>
          <w:szCs w:val="22"/>
        </w:rPr>
      </w:pPr>
      <w:r w:rsidRPr="00336ACF">
        <w:rPr>
          <w:rFonts w:cstheme="minorHAnsi"/>
          <w:sz w:val="22"/>
          <w:szCs w:val="22"/>
        </w:rPr>
        <w:t xml:space="preserve">To train and cross-validate our models, a nested CV framework </w:t>
      </w:r>
      <w:r>
        <w:rPr>
          <w:rFonts w:cstheme="minorHAnsi"/>
          <w:sz w:val="22"/>
          <w:szCs w:val="22"/>
        </w:rPr>
        <w:t>was applied</w:t>
      </w:r>
      <w:r w:rsidRPr="00336ACF">
        <w:rPr>
          <w:rFonts w:cstheme="minorHAnsi"/>
          <w:sz w:val="22"/>
          <w:szCs w:val="22"/>
        </w:rPr>
        <w:t xml:space="preserve"> using </w:t>
      </w:r>
      <w:r>
        <w:rPr>
          <w:rFonts w:cstheme="minorHAnsi"/>
          <w:sz w:val="22"/>
          <w:szCs w:val="22"/>
        </w:rPr>
        <w:t xml:space="preserve">the </w:t>
      </w:r>
      <w:r w:rsidRPr="00336ACF">
        <w:rPr>
          <w:rFonts w:cstheme="minorHAnsi"/>
          <w:sz w:val="22"/>
          <w:szCs w:val="22"/>
        </w:rPr>
        <w:t xml:space="preserve">open-source machine learning tool NeuroMiner (https://www.pronia.eu/neurominer/). More specifically, for the present </w:t>
      </w:r>
      <w:r>
        <w:rPr>
          <w:rFonts w:cstheme="minorHAnsi"/>
          <w:sz w:val="22"/>
          <w:szCs w:val="22"/>
        </w:rPr>
        <w:t>analysis</w:t>
      </w:r>
      <w:r w:rsidRPr="00336ACF">
        <w:rPr>
          <w:rFonts w:cstheme="minorHAnsi"/>
          <w:sz w:val="22"/>
          <w:szCs w:val="22"/>
        </w:rPr>
        <w:t xml:space="preserve"> </w:t>
      </w:r>
      <w:r>
        <w:rPr>
          <w:rFonts w:cstheme="minorHAnsi"/>
          <w:sz w:val="22"/>
          <w:szCs w:val="22"/>
        </w:rPr>
        <w:t>b</w:t>
      </w:r>
      <w:r w:rsidRPr="00413696">
        <w:rPr>
          <w:rFonts w:cstheme="minorHAnsi"/>
          <w:sz w:val="22"/>
          <w:szCs w:val="22"/>
        </w:rPr>
        <w:t xml:space="preserve">oth the CV1 (inner cycle) and the CV2 (outer cycle) were randomly split in </w:t>
      </w:r>
      <w:r>
        <w:rPr>
          <w:rFonts w:cstheme="minorHAnsi"/>
          <w:sz w:val="22"/>
          <w:szCs w:val="22"/>
        </w:rPr>
        <w:t>5</w:t>
      </w:r>
      <w:r w:rsidRPr="00413696">
        <w:rPr>
          <w:rFonts w:cstheme="minorHAnsi"/>
          <w:sz w:val="22"/>
          <w:szCs w:val="22"/>
        </w:rPr>
        <w:t xml:space="preserve"> folds </w:t>
      </w:r>
      <w:r>
        <w:rPr>
          <w:rFonts w:cstheme="minorHAnsi"/>
          <w:sz w:val="22"/>
          <w:szCs w:val="22"/>
        </w:rPr>
        <w:t xml:space="preserve">(due to the limited </w:t>
      </w:r>
      <w:r w:rsidR="00AF09B7">
        <w:rPr>
          <w:rFonts w:cstheme="minorHAnsi"/>
          <w:sz w:val="22"/>
          <w:szCs w:val="22"/>
        </w:rPr>
        <w:t>number</w:t>
      </w:r>
      <w:r>
        <w:rPr>
          <w:rFonts w:cstheme="minorHAnsi"/>
          <w:sz w:val="22"/>
          <w:szCs w:val="22"/>
        </w:rPr>
        <w:t xml:space="preserve"> of participants</w:t>
      </w:r>
      <w:r w:rsidR="00AF09B7">
        <w:rPr>
          <w:rFonts w:cstheme="minorHAnsi"/>
          <w:sz w:val="22"/>
          <w:szCs w:val="22"/>
        </w:rPr>
        <w:t xml:space="preserve"> in this sub-analysis</w:t>
      </w:r>
      <w:r>
        <w:rPr>
          <w:rFonts w:cstheme="minorHAnsi"/>
          <w:sz w:val="22"/>
          <w:szCs w:val="22"/>
        </w:rPr>
        <w:t xml:space="preserve">) </w:t>
      </w:r>
      <w:r w:rsidRPr="00413696">
        <w:rPr>
          <w:rFonts w:cstheme="minorHAnsi"/>
          <w:sz w:val="22"/>
          <w:szCs w:val="22"/>
        </w:rPr>
        <w:t>and shuffled respectively with 10 permutations.</w:t>
      </w:r>
      <w:r w:rsidRPr="00336ACF">
        <w:rPr>
          <w:rFonts w:cstheme="minorHAnsi"/>
          <w:sz w:val="22"/>
          <w:szCs w:val="22"/>
        </w:rPr>
        <w:t xml:space="preserve"> This maximized the data available to the machine</w:t>
      </w:r>
      <w:r w:rsidR="00AF09B7">
        <w:rPr>
          <w:rFonts w:cstheme="minorHAnsi"/>
          <w:sz w:val="22"/>
          <w:szCs w:val="22"/>
        </w:rPr>
        <w:t xml:space="preserve"> </w:t>
      </w:r>
      <w:r w:rsidRPr="00336ACF">
        <w:rPr>
          <w:rFonts w:cstheme="minorHAnsi"/>
          <w:sz w:val="22"/>
          <w:szCs w:val="22"/>
        </w:rPr>
        <w:t>learning process while both generating robust parameter estimates and</w:t>
      </w:r>
      <w:r w:rsidR="00AF09B7">
        <w:rPr>
          <w:rFonts w:cstheme="minorHAnsi"/>
          <w:sz w:val="22"/>
          <w:szCs w:val="22"/>
        </w:rPr>
        <w:t xml:space="preserve"> </w:t>
      </w:r>
      <w:r w:rsidRPr="00336ACF">
        <w:rPr>
          <w:rFonts w:cstheme="minorHAnsi"/>
          <w:sz w:val="22"/>
          <w:szCs w:val="22"/>
        </w:rPr>
        <w:t xml:space="preserve">avoiding any </w:t>
      </w:r>
      <w:r w:rsidR="00AF09B7" w:rsidRPr="00336ACF">
        <w:rPr>
          <w:rFonts w:cstheme="minorHAnsi"/>
          <w:sz w:val="22"/>
          <w:szCs w:val="22"/>
        </w:rPr>
        <w:t>overfitting</w:t>
      </w:r>
      <w:r w:rsidRPr="00336ACF">
        <w:rPr>
          <w:rFonts w:cstheme="minorHAnsi"/>
          <w:sz w:val="22"/>
          <w:szCs w:val="22"/>
        </w:rPr>
        <w:t>. Each training sample at the CV1 loop was f</w:t>
      </w:r>
      <w:r w:rsidR="00AF09B7">
        <w:rPr>
          <w:rFonts w:cstheme="minorHAnsi"/>
          <w:sz w:val="22"/>
          <w:szCs w:val="22"/>
        </w:rPr>
        <w:t>i</w:t>
      </w:r>
      <w:r w:rsidRPr="00336ACF">
        <w:rPr>
          <w:rFonts w:cstheme="minorHAnsi"/>
          <w:sz w:val="22"/>
          <w:szCs w:val="22"/>
        </w:rPr>
        <w:t>rst processed using</w:t>
      </w:r>
      <w:r w:rsidR="00AF09B7">
        <w:rPr>
          <w:rFonts w:cstheme="minorHAnsi"/>
          <w:sz w:val="22"/>
          <w:szCs w:val="22"/>
        </w:rPr>
        <w:t xml:space="preserve"> </w:t>
      </w:r>
      <w:r w:rsidRPr="00336ACF">
        <w:rPr>
          <w:rFonts w:cstheme="minorHAnsi"/>
          <w:sz w:val="22"/>
          <w:szCs w:val="22"/>
        </w:rPr>
        <w:t>feature-wise standardization</w:t>
      </w:r>
      <w:r w:rsidR="009D5CF8">
        <w:rPr>
          <w:rFonts w:cstheme="minorHAnsi"/>
          <w:sz w:val="22"/>
          <w:szCs w:val="22"/>
        </w:rPr>
        <w:t xml:space="preserve">: </w:t>
      </w:r>
      <w:r w:rsidR="009D5CF8">
        <w:rPr>
          <w:rFonts w:cstheme="minorHAnsi"/>
          <w:sz w:val="22"/>
          <w:szCs w:val="22"/>
        </w:rPr>
        <w:lastRenderedPageBreak/>
        <w:t xml:space="preserve">before entering the SVR, the features </w:t>
      </w:r>
      <w:r w:rsidR="009D5CF8" w:rsidRPr="00966CD8">
        <w:rPr>
          <w:rFonts w:cstheme="minorHAnsi"/>
          <w:sz w:val="22"/>
          <w:szCs w:val="22"/>
        </w:rPr>
        <w:t>scores were scaled to [0, 1]</w:t>
      </w:r>
      <w:r w:rsidR="009D5CF8">
        <w:rPr>
          <w:rFonts w:cstheme="minorHAnsi"/>
          <w:sz w:val="22"/>
          <w:szCs w:val="22"/>
        </w:rPr>
        <w:t xml:space="preserve"> and missing data were imputed using </w:t>
      </w:r>
      <w:r w:rsidR="00BB59A6">
        <w:rPr>
          <w:rFonts w:cstheme="minorHAnsi"/>
          <w:sz w:val="22"/>
          <w:szCs w:val="22"/>
        </w:rPr>
        <w:t>the E</w:t>
      </w:r>
      <w:r w:rsidR="00BB59A6" w:rsidRPr="009D5CF8">
        <w:rPr>
          <w:rFonts w:cstheme="minorHAnsi"/>
          <w:sz w:val="22"/>
          <w:szCs w:val="22"/>
        </w:rPr>
        <w:t xml:space="preserve">uclidean median </w:t>
      </w:r>
      <w:r w:rsidR="00BB59A6">
        <w:rPr>
          <w:rFonts w:cstheme="minorHAnsi"/>
          <w:sz w:val="22"/>
          <w:szCs w:val="22"/>
        </w:rPr>
        <w:t xml:space="preserve">of the </w:t>
      </w:r>
      <w:r w:rsidR="00BB59A6" w:rsidRPr="009D5CF8">
        <w:rPr>
          <w:rFonts w:cstheme="minorHAnsi"/>
          <w:sz w:val="22"/>
          <w:szCs w:val="22"/>
        </w:rPr>
        <w:t>7</w:t>
      </w:r>
      <w:r w:rsidR="00BB59A6">
        <w:rPr>
          <w:rFonts w:cstheme="minorHAnsi"/>
          <w:sz w:val="22"/>
          <w:szCs w:val="22"/>
        </w:rPr>
        <w:t xml:space="preserve"> </w:t>
      </w:r>
      <w:r w:rsidR="009D5CF8" w:rsidRPr="009D5CF8">
        <w:rPr>
          <w:rFonts w:cstheme="minorHAnsi"/>
          <w:sz w:val="22"/>
          <w:szCs w:val="22"/>
        </w:rPr>
        <w:t xml:space="preserve">nearest </w:t>
      </w:r>
      <w:r w:rsidR="009D5CF8" w:rsidRPr="008234DD">
        <w:rPr>
          <w:rFonts w:cstheme="minorHAnsi"/>
          <w:sz w:val="22"/>
          <w:szCs w:val="22"/>
        </w:rPr>
        <w:t>neighbors</w:t>
      </w:r>
      <w:r w:rsidR="009D5CF8">
        <w:rPr>
          <w:rFonts w:cstheme="minorHAnsi"/>
          <w:sz w:val="22"/>
          <w:szCs w:val="22"/>
        </w:rPr>
        <w:t>.</w:t>
      </w:r>
      <w:r w:rsidR="009D5CF8" w:rsidRPr="009D5CF8">
        <w:rPr>
          <w:rFonts w:cstheme="minorHAnsi"/>
          <w:sz w:val="22"/>
          <w:szCs w:val="22"/>
        </w:rPr>
        <w:t xml:space="preserve"> </w:t>
      </w:r>
      <w:r w:rsidR="00AF09B7">
        <w:rPr>
          <w:rFonts w:cstheme="minorHAnsi"/>
          <w:sz w:val="22"/>
          <w:szCs w:val="22"/>
        </w:rPr>
        <w:t>T</w:t>
      </w:r>
      <w:r w:rsidR="00AF09B7" w:rsidRPr="00AF09B7">
        <w:rPr>
          <w:rFonts w:cstheme="minorHAnsi"/>
          <w:sz w:val="22"/>
          <w:szCs w:val="22"/>
        </w:rPr>
        <w:t>he SVR algorithm</w:t>
      </w:r>
      <w:r w:rsidR="00AF09B7">
        <w:rPr>
          <w:rFonts w:cstheme="minorHAnsi"/>
          <w:sz w:val="22"/>
          <w:szCs w:val="22"/>
        </w:rPr>
        <w:t xml:space="preserve"> </w:t>
      </w:r>
      <w:r w:rsidR="00AF09B7" w:rsidRPr="00AF09B7">
        <w:rPr>
          <w:rFonts w:cstheme="minorHAnsi"/>
          <w:sz w:val="22"/>
          <w:szCs w:val="22"/>
        </w:rPr>
        <w:t xml:space="preserve">determined an optimal </w:t>
      </w:r>
      <w:r w:rsidR="00AF09B7">
        <w:rPr>
          <w:rFonts w:cstheme="minorHAnsi"/>
          <w:sz w:val="22"/>
          <w:szCs w:val="22"/>
        </w:rPr>
        <w:t>regression-fitting</w:t>
      </w:r>
      <w:r w:rsidR="00AF09B7" w:rsidRPr="00AF09B7">
        <w:rPr>
          <w:rFonts w:cstheme="minorHAnsi"/>
          <w:sz w:val="22"/>
          <w:szCs w:val="22"/>
        </w:rPr>
        <w:t xml:space="preserve"> function </w:t>
      </w:r>
      <w:r w:rsidR="00AF09B7">
        <w:rPr>
          <w:rFonts w:cstheme="minorHAnsi"/>
          <w:sz w:val="22"/>
          <w:szCs w:val="22"/>
        </w:rPr>
        <w:t>applying</w:t>
      </w:r>
      <w:r w:rsidR="00AF09B7" w:rsidRPr="00AF09B7">
        <w:rPr>
          <w:rFonts w:cstheme="minorHAnsi"/>
          <w:sz w:val="22"/>
          <w:szCs w:val="22"/>
        </w:rPr>
        <w:t xml:space="preserve"> </w:t>
      </w:r>
      <w:r w:rsidR="00AF09B7">
        <w:rPr>
          <w:rFonts w:cstheme="minorHAnsi"/>
          <w:sz w:val="22"/>
          <w:szCs w:val="22"/>
        </w:rPr>
        <w:t xml:space="preserve">optimization to </w:t>
      </w:r>
      <w:r w:rsidR="00AF09B7" w:rsidRPr="00AF09B7">
        <w:rPr>
          <w:rFonts w:cstheme="minorHAnsi"/>
          <w:sz w:val="22"/>
          <w:szCs w:val="22"/>
        </w:rPr>
        <w:t xml:space="preserve">C </w:t>
      </w:r>
      <w:r w:rsidR="009D5CF8">
        <w:rPr>
          <w:rFonts w:cstheme="minorHAnsi"/>
          <w:sz w:val="22"/>
          <w:szCs w:val="22"/>
        </w:rPr>
        <w:t>(</w:t>
      </w:r>
      <w:r w:rsidR="00AF09B7" w:rsidRPr="00AF09B7">
        <w:rPr>
          <w:rFonts w:cstheme="minorHAnsi"/>
          <w:sz w:val="22"/>
          <w:szCs w:val="22"/>
        </w:rPr>
        <w:t>regularization)</w:t>
      </w:r>
      <w:r w:rsidR="009D5CF8">
        <w:rPr>
          <w:rFonts w:cstheme="minorHAnsi"/>
          <w:sz w:val="22"/>
          <w:szCs w:val="22"/>
        </w:rPr>
        <w:t xml:space="preserve"> </w:t>
      </w:r>
      <w:r w:rsidR="00AF09B7" w:rsidRPr="00AF09B7">
        <w:rPr>
          <w:rFonts w:cstheme="minorHAnsi"/>
          <w:sz w:val="22"/>
          <w:szCs w:val="22"/>
        </w:rPr>
        <w:t xml:space="preserve">parameter </w:t>
      </w:r>
      <w:r w:rsidR="009D5CF8">
        <w:rPr>
          <w:rFonts w:cstheme="minorHAnsi"/>
          <w:sz w:val="22"/>
          <w:szCs w:val="22"/>
        </w:rPr>
        <w:t>(7 parameters, C progression</w:t>
      </w:r>
      <w:r w:rsidR="00AF09B7" w:rsidRPr="00AF09B7">
        <w:rPr>
          <w:rFonts w:cstheme="minorHAnsi"/>
          <w:sz w:val="22"/>
          <w:szCs w:val="22"/>
        </w:rPr>
        <w:t xml:space="preserve"> </w:t>
      </w:r>
      <w:r w:rsidR="009D5CF8">
        <w:rPr>
          <w:rFonts w:cstheme="minorHAnsi"/>
          <w:sz w:val="22"/>
          <w:szCs w:val="22"/>
        </w:rPr>
        <w:t>from 2</w:t>
      </w:r>
      <w:r w:rsidR="009D5CF8" w:rsidRPr="009D5CF8">
        <w:rPr>
          <w:rFonts w:cstheme="minorHAnsi"/>
          <w:sz w:val="22"/>
          <w:szCs w:val="22"/>
          <w:vertAlign w:val="superscript"/>
        </w:rPr>
        <w:t>-6</w:t>
      </w:r>
      <w:r w:rsidR="009D5CF8">
        <w:rPr>
          <w:rFonts w:cstheme="minorHAnsi"/>
          <w:sz w:val="22"/>
          <w:szCs w:val="22"/>
        </w:rPr>
        <w:t xml:space="preserve"> to 1) </w:t>
      </w:r>
      <w:r w:rsidR="00AF09B7" w:rsidRPr="00AF09B7">
        <w:rPr>
          <w:rFonts w:cstheme="minorHAnsi"/>
          <w:sz w:val="22"/>
          <w:szCs w:val="22"/>
        </w:rPr>
        <w:t xml:space="preserve">and </w:t>
      </w:r>
      <w:r w:rsidR="009D5CF8">
        <w:rPr>
          <w:rFonts w:cstheme="minorHAnsi"/>
          <w:sz w:val="22"/>
          <w:szCs w:val="22"/>
        </w:rPr>
        <w:t>to</w:t>
      </w:r>
      <w:r w:rsidR="00AF09B7" w:rsidRPr="00AF09B7">
        <w:rPr>
          <w:rFonts w:cstheme="minorHAnsi"/>
          <w:sz w:val="22"/>
          <w:szCs w:val="22"/>
        </w:rPr>
        <w:t xml:space="preserve"> </w:t>
      </w:r>
      <w:r w:rsidR="00AF09B7" w:rsidRPr="009D5CF8">
        <w:rPr>
          <w:rFonts w:cstheme="minorHAnsi"/>
          <w:i/>
          <w:iCs/>
          <w:sz w:val="22"/>
          <w:szCs w:val="22"/>
        </w:rPr>
        <w:t>ν</w:t>
      </w:r>
      <w:r w:rsidR="00AF09B7" w:rsidRPr="00AF09B7">
        <w:rPr>
          <w:rFonts w:cstheme="minorHAnsi"/>
          <w:sz w:val="22"/>
          <w:szCs w:val="22"/>
        </w:rPr>
        <w:t>-parameter, which was optimized in the range of</w:t>
      </w:r>
      <w:r w:rsidR="009D5CF8">
        <w:rPr>
          <w:rFonts w:cstheme="minorHAnsi"/>
          <w:sz w:val="22"/>
          <w:szCs w:val="22"/>
        </w:rPr>
        <w:t xml:space="preserve"> </w:t>
      </w:r>
      <w:r w:rsidR="00AF09B7" w:rsidRPr="00AF09B7">
        <w:rPr>
          <w:rFonts w:cstheme="minorHAnsi"/>
          <w:sz w:val="22"/>
          <w:szCs w:val="22"/>
        </w:rPr>
        <w:t>[</w:t>
      </w:r>
      <w:r w:rsidR="009D5CF8" w:rsidRPr="009D5CF8">
        <w:rPr>
          <w:rFonts w:cstheme="minorHAnsi"/>
          <w:sz w:val="22"/>
          <w:szCs w:val="22"/>
        </w:rPr>
        <w:t>0.05</w:t>
      </w:r>
      <w:r w:rsidR="009D5CF8">
        <w:rPr>
          <w:rFonts w:cstheme="minorHAnsi"/>
          <w:sz w:val="22"/>
          <w:szCs w:val="22"/>
        </w:rPr>
        <w:t xml:space="preserve"> </w:t>
      </w:r>
      <w:r w:rsidR="009D5CF8" w:rsidRPr="009D5CF8">
        <w:rPr>
          <w:rFonts w:cstheme="minorHAnsi"/>
          <w:sz w:val="22"/>
          <w:szCs w:val="22"/>
        </w:rPr>
        <w:t>0.075 0.1 0.125 0.15</w:t>
      </w:r>
      <w:r w:rsidR="009D5CF8">
        <w:rPr>
          <w:rFonts w:cstheme="minorHAnsi"/>
          <w:sz w:val="22"/>
          <w:szCs w:val="22"/>
        </w:rPr>
        <w:t xml:space="preserve"> </w:t>
      </w:r>
      <w:r w:rsidR="009D5CF8" w:rsidRPr="009D5CF8">
        <w:rPr>
          <w:rFonts w:cstheme="minorHAnsi"/>
          <w:sz w:val="22"/>
          <w:szCs w:val="22"/>
        </w:rPr>
        <w:t>0.2</w:t>
      </w:r>
      <w:r w:rsidR="00AF09B7" w:rsidRPr="00AF09B7">
        <w:rPr>
          <w:rFonts w:cstheme="minorHAnsi"/>
          <w:sz w:val="22"/>
          <w:szCs w:val="22"/>
        </w:rPr>
        <w:t xml:space="preserve">] within the CV1 cycle. CV1 test partition predictions across the </w:t>
      </w:r>
      <w:r w:rsidR="00AF09B7" w:rsidRPr="009D5CF8">
        <w:rPr>
          <w:rFonts w:cstheme="minorHAnsi"/>
          <w:i/>
          <w:iCs/>
          <w:sz w:val="22"/>
          <w:szCs w:val="22"/>
        </w:rPr>
        <w:t>ν</w:t>
      </w:r>
      <w:r w:rsidR="00AF09B7" w:rsidRPr="00AF09B7">
        <w:rPr>
          <w:rFonts w:cstheme="minorHAnsi"/>
          <w:sz w:val="22"/>
          <w:szCs w:val="22"/>
        </w:rPr>
        <w:t xml:space="preserve"> range </w:t>
      </w:r>
      <w:r w:rsidR="009D5CF8">
        <w:rPr>
          <w:rFonts w:cstheme="minorHAnsi"/>
          <w:sz w:val="22"/>
          <w:szCs w:val="22"/>
        </w:rPr>
        <w:t xml:space="preserve">were generated </w:t>
      </w:r>
      <w:r w:rsidR="00AF09B7" w:rsidRPr="00AF09B7">
        <w:rPr>
          <w:rFonts w:cstheme="minorHAnsi"/>
          <w:sz w:val="22"/>
          <w:szCs w:val="22"/>
        </w:rPr>
        <w:t>and the</w:t>
      </w:r>
      <w:r w:rsidR="009D5CF8">
        <w:rPr>
          <w:rFonts w:cstheme="minorHAnsi"/>
          <w:sz w:val="22"/>
          <w:szCs w:val="22"/>
        </w:rPr>
        <w:t xml:space="preserve"> </w:t>
      </w:r>
      <w:r w:rsidR="00AF09B7" w:rsidRPr="00AF09B7">
        <w:rPr>
          <w:rFonts w:cstheme="minorHAnsi"/>
          <w:sz w:val="22"/>
          <w:szCs w:val="22"/>
        </w:rPr>
        <w:t xml:space="preserve">optimal </w:t>
      </w:r>
      <w:r w:rsidR="00AF09B7" w:rsidRPr="009D5CF8">
        <w:rPr>
          <w:rFonts w:cstheme="minorHAnsi"/>
          <w:i/>
          <w:iCs/>
          <w:sz w:val="22"/>
          <w:szCs w:val="22"/>
        </w:rPr>
        <w:t>ν</w:t>
      </w:r>
      <w:r w:rsidR="00AF09B7" w:rsidRPr="00AF09B7">
        <w:rPr>
          <w:rFonts w:cstheme="minorHAnsi"/>
          <w:sz w:val="22"/>
          <w:szCs w:val="22"/>
        </w:rPr>
        <w:t xml:space="preserve"> at the parameter showing the lowest average Mean Absolute</w:t>
      </w:r>
      <w:r w:rsidR="009D5CF8">
        <w:rPr>
          <w:rFonts w:cstheme="minorHAnsi"/>
          <w:sz w:val="22"/>
          <w:szCs w:val="22"/>
        </w:rPr>
        <w:t xml:space="preserve"> </w:t>
      </w:r>
      <w:r w:rsidR="00AF09B7" w:rsidRPr="00AF09B7">
        <w:rPr>
          <w:rFonts w:cstheme="minorHAnsi"/>
          <w:sz w:val="22"/>
          <w:szCs w:val="22"/>
        </w:rPr>
        <w:t>Error (MAE) across the respective CV1 cycle</w:t>
      </w:r>
      <w:r w:rsidR="009D5CF8">
        <w:rPr>
          <w:rFonts w:cstheme="minorHAnsi"/>
          <w:sz w:val="22"/>
          <w:szCs w:val="22"/>
        </w:rPr>
        <w:t xml:space="preserve"> was picked</w:t>
      </w:r>
      <w:r w:rsidR="00AF09B7" w:rsidRPr="00AF09B7">
        <w:rPr>
          <w:rFonts w:cstheme="minorHAnsi"/>
          <w:sz w:val="22"/>
          <w:szCs w:val="22"/>
        </w:rPr>
        <w:t>. The model</w:t>
      </w:r>
      <w:r w:rsidR="009D5CF8">
        <w:rPr>
          <w:rFonts w:cstheme="minorHAnsi"/>
          <w:sz w:val="22"/>
          <w:szCs w:val="22"/>
        </w:rPr>
        <w:t xml:space="preserve"> </w:t>
      </w:r>
      <w:r w:rsidR="00AF09B7" w:rsidRPr="00AF09B7">
        <w:rPr>
          <w:rFonts w:cstheme="minorHAnsi"/>
          <w:sz w:val="22"/>
          <w:szCs w:val="22"/>
        </w:rPr>
        <w:t xml:space="preserve">trained with this </w:t>
      </w:r>
      <w:r w:rsidR="00AF09B7" w:rsidRPr="009D5CF8">
        <w:rPr>
          <w:rFonts w:cstheme="minorHAnsi"/>
          <w:i/>
          <w:iCs/>
          <w:sz w:val="22"/>
          <w:szCs w:val="22"/>
        </w:rPr>
        <w:t>ν</w:t>
      </w:r>
      <w:r w:rsidR="00AF09B7" w:rsidRPr="00AF09B7">
        <w:rPr>
          <w:rFonts w:cstheme="minorHAnsi"/>
          <w:sz w:val="22"/>
          <w:szCs w:val="22"/>
        </w:rPr>
        <w:t xml:space="preserve"> parameter </w:t>
      </w:r>
      <w:r w:rsidR="009D5CF8">
        <w:rPr>
          <w:rFonts w:cstheme="minorHAnsi"/>
          <w:sz w:val="22"/>
          <w:szCs w:val="22"/>
        </w:rPr>
        <w:t>was</w:t>
      </w:r>
      <w:r w:rsidR="00AF09B7" w:rsidRPr="00AF09B7">
        <w:rPr>
          <w:rFonts w:cstheme="minorHAnsi"/>
          <w:sz w:val="22"/>
          <w:szCs w:val="22"/>
        </w:rPr>
        <w:t xml:space="preserve"> then applied to the respective CV2</w:t>
      </w:r>
      <w:r w:rsidR="009D5CF8">
        <w:rPr>
          <w:rFonts w:cstheme="minorHAnsi"/>
          <w:sz w:val="22"/>
          <w:szCs w:val="22"/>
        </w:rPr>
        <w:t xml:space="preserve"> </w:t>
      </w:r>
      <w:r w:rsidR="00AF09B7" w:rsidRPr="00AF09B7">
        <w:rPr>
          <w:rFonts w:cstheme="minorHAnsi"/>
          <w:sz w:val="22"/>
          <w:szCs w:val="22"/>
        </w:rPr>
        <w:t>subject and the resulting predictions were averaged</w:t>
      </w:r>
      <w:r w:rsidR="009D5CF8">
        <w:rPr>
          <w:rFonts w:cstheme="minorHAnsi"/>
          <w:sz w:val="22"/>
          <w:szCs w:val="22"/>
        </w:rPr>
        <w:t>.</w:t>
      </w:r>
    </w:p>
    <w:p w14:paraId="7DE545E7" w14:textId="77777777" w:rsidR="009D5CF8" w:rsidRPr="00966CD8" w:rsidRDefault="009D5CF8" w:rsidP="009D5CF8">
      <w:pPr>
        <w:spacing w:after="160" w:line="259" w:lineRule="auto"/>
        <w:jc w:val="both"/>
        <w:rPr>
          <w:rFonts w:cstheme="minorHAnsi"/>
          <w:sz w:val="22"/>
          <w:szCs w:val="22"/>
        </w:rPr>
      </w:pPr>
    </w:p>
    <w:p w14:paraId="0F686D25" w14:textId="222030FF" w:rsidR="000B364E" w:rsidRPr="00966CD8" w:rsidRDefault="000B364E" w:rsidP="009D5CF8">
      <w:pPr>
        <w:spacing w:after="160" w:line="259" w:lineRule="auto"/>
        <w:jc w:val="both"/>
        <w:rPr>
          <w:rFonts w:cstheme="minorHAnsi"/>
          <w:sz w:val="22"/>
          <w:szCs w:val="22"/>
        </w:rPr>
      </w:pPr>
      <w:r w:rsidRPr="00966CD8">
        <w:rPr>
          <w:rFonts w:cstheme="minorHAnsi"/>
          <w:sz w:val="22"/>
          <w:szCs w:val="22"/>
        </w:rPr>
        <w:br w:type="page"/>
      </w:r>
    </w:p>
    <w:p w14:paraId="7977F304" w14:textId="77777777" w:rsidR="000D46B9" w:rsidRPr="00966CD8" w:rsidRDefault="000D46B9">
      <w:pPr>
        <w:spacing w:after="160" w:line="259" w:lineRule="auto"/>
        <w:rPr>
          <w:rFonts w:cstheme="minorHAnsi"/>
          <w:b/>
          <w:bCs/>
          <w:sz w:val="22"/>
          <w:szCs w:val="22"/>
        </w:rPr>
      </w:pPr>
      <w:r w:rsidRPr="00966CD8">
        <w:rPr>
          <w:rFonts w:cstheme="minorHAnsi"/>
          <w:b/>
          <w:bCs/>
          <w:sz w:val="22"/>
          <w:szCs w:val="22"/>
        </w:rPr>
        <w:lastRenderedPageBreak/>
        <w:t>Supplementary Results</w:t>
      </w:r>
    </w:p>
    <w:p w14:paraId="0E00044B" w14:textId="6213BB7A" w:rsidR="004000BC" w:rsidRDefault="004000BC">
      <w:pPr>
        <w:spacing w:after="160" w:line="259" w:lineRule="auto"/>
        <w:rPr>
          <w:rFonts w:cstheme="minorHAnsi"/>
          <w:b/>
          <w:bCs/>
          <w:sz w:val="22"/>
          <w:szCs w:val="22"/>
        </w:rPr>
      </w:pPr>
      <w:bookmarkStart w:id="6" w:name="_Hlk64365932"/>
      <w:r>
        <w:rPr>
          <w:rFonts w:cstheme="minorHAnsi"/>
          <w:b/>
          <w:bCs/>
          <w:sz w:val="22"/>
          <w:szCs w:val="22"/>
        </w:rPr>
        <w:t>Different preprocessing pipeline</w:t>
      </w:r>
    </w:p>
    <w:p w14:paraId="78C1215E" w14:textId="7CC33EAE" w:rsidR="004000BC" w:rsidRPr="007F3B6D" w:rsidRDefault="004000BC">
      <w:pPr>
        <w:spacing w:after="160" w:line="259" w:lineRule="auto"/>
        <w:rPr>
          <w:rFonts w:cstheme="minorHAnsi"/>
          <w:sz w:val="22"/>
          <w:szCs w:val="22"/>
        </w:rPr>
      </w:pPr>
      <w:r>
        <w:rPr>
          <w:rFonts w:cstheme="minorHAnsi"/>
          <w:sz w:val="22"/>
          <w:szCs w:val="22"/>
        </w:rPr>
        <w:t>We buil</w:t>
      </w:r>
      <w:r w:rsidR="007839AA">
        <w:rPr>
          <w:rFonts w:cstheme="minorHAnsi"/>
          <w:sz w:val="22"/>
          <w:szCs w:val="22"/>
        </w:rPr>
        <w:t>t</w:t>
      </w:r>
      <w:r>
        <w:rPr>
          <w:rFonts w:cstheme="minorHAnsi"/>
          <w:sz w:val="22"/>
          <w:szCs w:val="22"/>
        </w:rPr>
        <w:t xml:space="preserve"> a classification modifying a step in the preprocessing pipeline. Specifically, we regressed out the covariates on the whole sample, instead of regressing them only on HC and then applying on the whole sample. This allowed a classification with a BAC of </w:t>
      </w:r>
      <w:r w:rsidR="00B41B2B">
        <w:rPr>
          <w:rFonts w:cstheme="minorHAnsi"/>
          <w:sz w:val="22"/>
          <w:szCs w:val="22"/>
        </w:rPr>
        <w:t>61.8%, sensitivity 58.8%, specificity 64.7% and AUC 65%.</w:t>
      </w:r>
      <w:r>
        <w:rPr>
          <w:rFonts w:cstheme="minorHAnsi"/>
          <w:sz w:val="22"/>
          <w:szCs w:val="22"/>
        </w:rPr>
        <w:t xml:space="preserve"> </w:t>
      </w:r>
    </w:p>
    <w:bookmarkEnd w:id="6"/>
    <w:p w14:paraId="7DC81AFF" w14:textId="77777777" w:rsidR="004000BC" w:rsidRDefault="004000BC">
      <w:pPr>
        <w:spacing w:after="160" w:line="259" w:lineRule="auto"/>
        <w:rPr>
          <w:rFonts w:cstheme="minorHAnsi"/>
          <w:b/>
          <w:bCs/>
          <w:sz w:val="22"/>
          <w:szCs w:val="22"/>
        </w:rPr>
      </w:pPr>
    </w:p>
    <w:p w14:paraId="2C283863" w14:textId="31B166F9" w:rsidR="000D46B9" w:rsidRPr="00966CD8" w:rsidRDefault="00B5096E">
      <w:pPr>
        <w:spacing w:after="160" w:line="259" w:lineRule="auto"/>
        <w:rPr>
          <w:rFonts w:cstheme="minorHAnsi"/>
          <w:b/>
          <w:bCs/>
          <w:sz w:val="22"/>
          <w:szCs w:val="22"/>
        </w:rPr>
      </w:pPr>
      <w:r w:rsidRPr="00966CD8">
        <w:rPr>
          <w:rFonts w:cstheme="minorHAnsi"/>
          <w:b/>
          <w:bCs/>
          <w:sz w:val="22"/>
          <w:szCs w:val="22"/>
        </w:rPr>
        <w:t>Heterogeneity assessment</w:t>
      </w:r>
    </w:p>
    <w:p w14:paraId="26BE81A9" w14:textId="672FDF6E" w:rsidR="00E40790" w:rsidRPr="00966CD8" w:rsidRDefault="00E40790" w:rsidP="00E40790">
      <w:pPr>
        <w:spacing w:after="160" w:line="259" w:lineRule="auto"/>
        <w:jc w:val="both"/>
        <w:rPr>
          <w:rFonts w:cstheme="minorHAnsi"/>
          <w:sz w:val="22"/>
          <w:szCs w:val="22"/>
        </w:rPr>
      </w:pPr>
      <w:r w:rsidRPr="00966CD8">
        <w:rPr>
          <w:rFonts w:cstheme="minorHAnsi"/>
          <w:sz w:val="22"/>
          <w:szCs w:val="22"/>
        </w:rPr>
        <w:t xml:space="preserve">First, we decided to further investigate our sample by assessing individually male and female. Male patients </w:t>
      </w:r>
      <w:r w:rsidR="00436EF9">
        <w:rPr>
          <w:rFonts w:cstheme="minorHAnsi"/>
          <w:sz w:val="22"/>
          <w:szCs w:val="22"/>
        </w:rPr>
        <w:t>were</w:t>
      </w:r>
      <w:r w:rsidR="00436EF9" w:rsidRPr="00966CD8">
        <w:rPr>
          <w:rFonts w:cstheme="minorHAnsi"/>
          <w:sz w:val="22"/>
          <w:szCs w:val="22"/>
        </w:rPr>
        <w:t xml:space="preserve"> </w:t>
      </w:r>
      <w:r w:rsidRPr="00966CD8">
        <w:rPr>
          <w:rFonts w:cstheme="minorHAnsi"/>
          <w:sz w:val="22"/>
          <w:szCs w:val="22"/>
        </w:rPr>
        <w:t xml:space="preserve">better classified from male healthy individuals compared to the female groups. More </w:t>
      </w:r>
      <w:r w:rsidR="00436EF9">
        <w:rPr>
          <w:rFonts w:cstheme="minorHAnsi"/>
          <w:sz w:val="22"/>
          <w:szCs w:val="22"/>
        </w:rPr>
        <w:t>precisely</w:t>
      </w:r>
      <w:r w:rsidRPr="00966CD8">
        <w:rPr>
          <w:rFonts w:cstheme="minorHAnsi"/>
          <w:sz w:val="22"/>
          <w:szCs w:val="22"/>
        </w:rPr>
        <w:t xml:space="preserve">, the classification between male FEP and HC reached a BAC of 65.4%, with </w:t>
      </w:r>
      <w:r>
        <w:rPr>
          <w:rFonts w:cstheme="minorHAnsi"/>
          <w:sz w:val="22"/>
          <w:szCs w:val="22"/>
        </w:rPr>
        <w:t>s</w:t>
      </w:r>
      <w:r w:rsidRPr="00966CD8">
        <w:rPr>
          <w:rFonts w:cstheme="minorHAnsi"/>
          <w:sz w:val="22"/>
          <w:szCs w:val="22"/>
        </w:rPr>
        <w:t xml:space="preserve">ensitivity in recognizing FEP of 77.6% and specificity of 53.1%. AUC was 69%, PPV 67.5% and PPN 65.4%. On the other hand, the classification of the female subjects reached a BAC of 62.9%, with </w:t>
      </w:r>
      <w:r>
        <w:rPr>
          <w:rFonts w:cstheme="minorHAnsi"/>
          <w:sz w:val="22"/>
          <w:szCs w:val="22"/>
        </w:rPr>
        <w:t>s</w:t>
      </w:r>
      <w:r w:rsidRPr="00966CD8">
        <w:rPr>
          <w:rFonts w:cstheme="minorHAnsi"/>
          <w:sz w:val="22"/>
          <w:szCs w:val="22"/>
        </w:rPr>
        <w:t xml:space="preserve">ensitivity of 46.7%, </w:t>
      </w:r>
      <w:r>
        <w:rPr>
          <w:rFonts w:cstheme="minorHAnsi"/>
          <w:sz w:val="22"/>
          <w:szCs w:val="22"/>
        </w:rPr>
        <w:t>s</w:t>
      </w:r>
      <w:r w:rsidRPr="00966CD8">
        <w:rPr>
          <w:rFonts w:cstheme="minorHAnsi"/>
          <w:sz w:val="22"/>
          <w:szCs w:val="22"/>
        </w:rPr>
        <w:t xml:space="preserve">pecificity of 79.1% and an AUC of 71%. PPV and PPN </w:t>
      </w:r>
      <w:r>
        <w:rPr>
          <w:rFonts w:cstheme="minorHAnsi"/>
          <w:sz w:val="22"/>
          <w:szCs w:val="22"/>
        </w:rPr>
        <w:t>w</w:t>
      </w:r>
      <w:r w:rsidRPr="00966CD8">
        <w:rPr>
          <w:rFonts w:cstheme="minorHAnsi"/>
          <w:sz w:val="22"/>
          <w:szCs w:val="22"/>
        </w:rPr>
        <w:t>ere 58.3% and 70.2%</w:t>
      </w:r>
      <w:r>
        <w:rPr>
          <w:rFonts w:cstheme="minorHAnsi"/>
          <w:sz w:val="22"/>
          <w:szCs w:val="22"/>
        </w:rPr>
        <w:t>,</w:t>
      </w:r>
      <w:r w:rsidRPr="004A0254">
        <w:rPr>
          <w:rFonts w:cstheme="minorHAnsi"/>
          <w:sz w:val="22"/>
          <w:szCs w:val="22"/>
        </w:rPr>
        <w:t xml:space="preserve"> </w:t>
      </w:r>
      <w:r w:rsidRPr="00966CD8">
        <w:rPr>
          <w:rFonts w:cstheme="minorHAnsi"/>
          <w:sz w:val="22"/>
          <w:szCs w:val="22"/>
        </w:rPr>
        <w:t>respectively.</w:t>
      </w:r>
    </w:p>
    <w:p w14:paraId="7580EA03" w14:textId="4DA52984" w:rsidR="00E40790" w:rsidRPr="00966CD8" w:rsidRDefault="00E40790" w:rsidP="00E40790">
      <w:pPr>
        <w:spacing w:after="160" w:line="259" w:lineRule="auto"/>
        <w:jc w:val="both"/>
        <w:rPr>
          <w:rFonts w:cstheme="minorHAnsi"/>
          <w:sz w:val="22"/>
          <w:szCs w:val="22"/>
        </w:rPr>
      </w:pPr>
      <w:r w:rsidRPr="00966CD8">
        <w:rPr>
          <w:rFonts w:cstheme="minorHAnsi"/>
          <w:sz w:val="22"/>
          <w:szCs w:val="22"/>
        </w:rPr>
        <w:t xml:space="preserve">Second, we assessed differences in the MRI scans between centers, given that five centers out of eight </w:t>
      </w:r>
      <w:r>
        <w:rPr>
          <w:rFonts w:cstheme="minorHAnsi"/>
          <w:sz w:val="22"/>
          <w:szCs w:val="22"/>
        </w:rPr>
        <w:t>were equipped with</w:t>
      </w:r>
      <w:r w:rsidRPr="00966CD8">
        <w:rPr>
          <w:rFonts w:cstheme="minorHAnsi"/>
          <w:sz w:val="22"/>
          <w:szCs w:val="22"/>
        </w:rPr>
        <w:t xml:space="preserve"> a Siemens machine (namely, Jena, Prague, Verona, </w:t>
      </w:r>
      <w:proofErr w:type="gramStart"/>
      <w:r w:rsidRPr="00966CD8">
        <w:rPr>
          <w:rFonts w:cstheme="minorHAnsi"/>
          <w:sz w:val="22"/>
          <w:szCs w:val="22"/>
        </w:rPr>
        <w:t>Rome</w:t>
      </w:r>
      <w:proofErr w:type="gramEnd"/>
      <w:r w:rsidRPr="00966CD8">
        <w:rPr>
          <w:rFonts w:cstheme="minorHAnsi"/>
          <w:sz w:val="22"/>
          <w:szCs w:val="22"/>
        </w:rPr>
        <w:t xml:space="preserve"> and Base</w:t>
      </w:r>
      <w:r w:rsidR="003576F3">
        <w:rPr>
          <w:rFonts w:cstheme="minorHAnsi"/>
          <w:sz w:val="22"/>
          <w:szCs w:val="22"/>
        </w:rPr>
        <w:t>l</w:t>
      </w:r>
      <w:r w:rsidRPr="00966CD8">
        <w:rPr>
          <w:rFonts w:cstheme="minorHAnsi"/>
          <w:sz w:val="22"/>
          <w:szCs w:val="22"/>
        </w:rPr>
        <w:t xml:space="preserve">, see Supplementary). The sample was divided accordingly. </w:t>
      </w:r>
    </w:p>
    <w:p w14:paraId="6D9E6914" w14:textId="77777777" w:rsidR="00E40790" w:rsidRPr="00966CD8" w:rsidRDefault="00E40790" w:rsidP="00E40790">
      <w:pPr>
        <w:spacing w:after="160" w:line="259" w:lineRule="auto"/>
        <w:jc w:val="both"/>
        <w:rPr>
          <w:rFonts w:cstheme="minorHAnsi"/>
          <w:sz w:val="22"/>
          <w:szCs w:val="22"/>
        </w:rPr>
      </w:pPr>
      <w:r w:rsidRPr="00966CD8">
        <w:rPr>
          <w:rFonts w:cstheme="minorHAnsi"/>
          <w:sz w:val="22"/>
          <w:szCs w:val="22"/>
        </w:rPr>
        <w:t xml:space="preserve">A model was then trained on 457 subjects (195 FEP and 262 HC) scanned with a Siemens machine. The model reached a 69.5% BAC, </w:t>
      </w:r>
      <w:r>
        <w:rPr>
          <w:rFonts w:cstheme="minorHAnsi"/>
          <w:sz w:val="22"/>
          <w:szCs w:val="22"/>
        </w:rPr>
        <w:t>s</w:t>
      </w:r>
      <w:r w:rsidRPr="00966CD8">
        <w:rPr>
          <w:rFonts w:cstheme="minorHAnsi"/>
          <w:sz w:val="22"/>
          <w:szCs w:val="22"/>
        </w:rPr>
        <w:t xml:space="preserve">ensitivity 63.1% and </w:t>
      </w:r>
      <w:r>
        <w:rPr>
          <w:rFonts w:cstheme="minorHAnsi"/>
          <w:sz w:val="22"/>
          <w:szCs w:val="22"/>
        </w:rPr>
        <w:t>s</w:t>
      </w:r>
      <w:r w:rsidRPr="00966CD8">
        <w:rPr>
          <w:rFonts w:cstheme="minorHAnsi"/>
          <w:sz w:val="22"/>
          <w:szCs w:val="22"/>
        </w:rPr>
        <w:t>pecificity 76%. AUC was 73%</w:t>
      </w:r>
      <w:r>
        <w:rPr>
          <w:rFonts w:cstheme="minorHAnsi"/>
          <w:sz w:val="22"/>
          <w:szCs w:val="22"/>
        </w:rPr>
        <w:t xml:space="preserve">, </w:t>
      </w:r>
      <w:r w:rsidRPr="00966CD8">
        <w:rPr>
          <w:rFonts w:cstheme="minorHAnsi"/>
          <w:sz w:val="22"/>
          <w:szCs w:val="22"/>
        </w:rPr>
        <w:t>and PPV and NPV 66.1% and 73.4%</w:t>
      </w:r>
      <w:r>
        <w:rPr>
          <w:rFonts w:cstheme="minorHAnsi"/>
          <w:sz w:val="22"/>
          <w:szCs w:val="22"/>
        </w:rPr>
        <w:t>,</w:t>
      </w:r>
      <w:r w:rsidRPr="004A0254">
        <w:rPr>
          <w:rFonts w:cstheme="minorHAnsi"/>
          <w:sz w:val="22"/>
          <w:szCs w:val="22"/>
        </w:rPr>
        <w:t xml:space="preserve"> </w:t>
      </w:r>
      <w:r w:rsidRPr="00966CD8">
        <w:rPr>
          <w:rFonts w:cstheme="minorHAnsi"/>
          <w:sz w:val="22"/>
          <w:szCs w:val="22"/>
        </w:rPr>
        <w:t>respectively. This model was then tested on the remaining patients scanned with different MRI machines. This validation test had a drop in BAC to 57.3%.</w:t>
      </w:r>
    </w:p>
    <w:p w14:paraId="713204FF" w14:textId="329B7A5E" w:rsidR="00E40790" w:rsidRPr="00966CD8" w:rsidRDefault="00E40790" w:rsidP="00E40790">
      <w:pPr>
        <w:spacing w:after="160" w:line="259" w:lineRule="auto"/>
        <w:jc w:val="both"/>
        <w:rPr>
          <w:rFonts w:cstheme="minorHAnsi"/>
          <w:sz w:val="22"/>
          <w:szCs w:val="22"/>
        </w:rPr>
      </w:pPr>
      <w:r w:rsidRPr="00966CD8">
        <w:rPr>
          <w:rFonts w:cstheme="minorHAnsi"/>
          <w:sz w:val="22"/>
          <w:szCs w:val="22"/>
        </w:rPr>
        <w:t xml:space="preserve">We then trained a model based on the three remaining centers (Munich, </w:t>
      </w:r>
      <w:proofErr w:type="gramStart"/>
      <w:r w:rsidRPr="00966CD8">
        <w:rPr>
          <w:rFonts w:cstheme="minorHAnsi"/>
          <w:sz w:val="22"/>
          <w:szCs w:val="22"/>
        </w:rPr>
        <w:t>Santander</w:t>
      </w:r>
      <w:proofErr w:type="gramEnd"/>
      <w:r w:rsidRPr="00966CD8">
        <w:rPr>
          <w:rFonts w:cstheme="minorHAnsi"/>
          <w:sz w:val="22"/>
          <w:szCs w:val="22"/>
        </w:rPr>
        <w:t xml:space="preserve"> and London) that did not </w:t>
      </w:r>
      <w:r w:rsidR="003576F3">
        <w:rPr>
          <w:rFonts w:cstheme="minorHAnsi"/>
          <w:sz w:val="22"/>
          <w:szCs w:val="22"/>
        </w:rPr>
        <w:t>use</w:t>
      </w:r>
      <w:r w:rsidRPr="00966CD8">
        <w:rPr>
          <w:rFonts w:cstheme="minorHAnsi"/>
          <w:sz w:val="22"/>
          <w:szCs w:val="22"/>
        </w:rPr>
        <w:t xml:space="preserve"> a Siemens machine, for a total of 335 individuals (186 FEP and 149 HC). This model reached a BAC of 66%, with </w:t>
      </w:r>
      <w:r>
        <w:rPr>
          <w:rFonts w:cstheme="minorHAnsi"/>
          <w:sz w:val="22"/>
          <w:szCs w:val="22"/>
        </w:rPr>
        <w:t>s</w:t>
      </w:r>
      <w:r w:rsidRPr="00966CD8">
        <w:rPr>
          <w:rFonts w:cstheme="minorHAnsi"/>
          <w:sz w:val="22"/>
          <w:szCs w:val="22"/>
        </w:rPr>
        <w:t xml:space="preserve">ensitivity 68.8%, </w:t>
      </w:r>
      <w:r>
        <w:rPr>
          <w:rFonts w:cstheme="minorHAnsi"/>
          <w:sz w:val="22"/>
          <w:szCs w:val="22"/>
        </w:rPr>
        <w:t>s</w:t>
      </w:r>
      <w:r w:rsidRPr="00966CD8">
        <w:rPr>
          <w:rFonts w:cstheme="minorHAnsi"/>
          <w:sz w:val="22"/>
          <w:szCs w:val="22"/>
        </w:rPr>
        <w:t>pecificity 63.1%, AUC 70%, PPV 69.9% and NPV 61.8%. When applied to the other 5 centers as test samples, the BAC dropped to 50%.</w:t>
      </w:r>
    </w:p>
    <w:p w14:paraId="26F697A9" w14:textId="77777777" w:rsidR="00E40790" w:rsidRPr="00966CD8" w:rsidRDefault="00E40790" w:rsidP="00E40790">
      <w:pPr>
        <w:spacing w:after="160" w:line="259" w:lineRule="auto"/>
        <w:jc w:val="both"/>
        <w:rPr>
          <w:rFonts w:cstheme="minorHAnsi"/>
          <w:sz w:val="22"/>
          <w:szCs w:val="22"/>
        </w:rPr>
      </w:pPr>
      <w:r w:rsidRPr="00966CD8">
        <w:rPr>
          <w:rFonts w:cstheme="minorHAnsi"/>
          <w:sz w:val="22"/>
          <w:szCs w:val="22"/>
        </w:rPr>
        <w:t xml:space="preserve">Finally, we combined the two criteria and trained the classifier with male subjects scanned on a Siemens machine and those scanned on the remaining three centers. We repeated the analysis with female subjects only. The best result was obtained combining male participants with the Siemens scan. This model trained on 233 subjects (116 FEP/117 HC) reached a BAC of 70.4%, with </w:t>
      </w:r>
      <w:r>
        <w:rPr>
          <w:rFonts w:cstheme="minorHAnsi"/>
          <w:sz w:val="22"/>
          <w:szCs w:val="22"/>
        </w:rPr>
        <w:t>s</w:t>
      </w:r>
      <w:r w:rsidRPr="00966CD8">
        <w:rPr>
          <w:rFonts w:cstheme="minorHAnsi"/>
          <w:sz w:val="22"/>
          <w:szCs w:val="22"/>
        </w:rPr>
        <w:t xml:space="preserve">ensitivity of 66.7% and </w:t>
      </w:r>
      <w:r>
        <w:rPr>
          <w:rFonts w:cstheme="minorHAnsi"/>
          <w:sz w:val="22"/>
          <w:szCs w:val="22"/>
        </w:rPr>
        <w:t>s</w:t>
      </w:r>
      <w:r w:rsidRPr="00966CD8">
        <w:rPr>
          <w:rFonts w:cstheme="minorHAnsi"/>
          <w:sz w:val="22"/>
          <w:szCs w:val="22"/>
        </w:rPr>
        <w:t>pecificity of 73.5%. AUC was 73%, PPV 71.6% and NPV 69.4%. We test</w:t>
      </w:r>
      <w:r>
        <w:rPr>
          <w:rFonts w:cstheme="minorHAnsi"/>
          <w:sz w:val="22"/>
          <w:szCs w:val="22"/>
        </w:rPr>
        <w:t>ed</w:t>
      </w:r>
      <w:r w:rsidRPr="00966CD8">
        <w:rPr>
          <w:rFonts w:cstheme="minorHAnsi"/>
          <w:sz w:val="22"/>
          <w:szCs w:val="22"/>
        </w:rPr>
        <w:t xml:space="preserve"> this model on males scanned with others MRI machines (209 subjects, 130 FEP/79 HC) and the BAC dropped to 62.8%.</w:t>
      </w:r>
    </w:p>
    <w:p w14:paraId="5D24ECF5" w14:textId="0249B95A" w:rsidR="00E40790" w:rsidRDefault="003576F3" w:rsidP="00E40790">
      <w:pPr>
        <w:spacing w:after="160" w:line="259" w:lineRule="auto"/>
        <w:jc w:val="both"/>
        <w:rPr>
          <w:rFonts w:cstheme="minorHAnsi"/>
          <w:sz w:val="22"/>
          <w:szCs w:val="22"/>
        </w:rPr>
      </w:pPr>
      <w:r>
        <w:rPr>
          <w:rFonts w:cstheme="minorHAnsi"/>
          <w:sz w:val="22"/>
          <w:szCs w:val="22"/>
        </w:rPr>
        <w:t>For</w:t>
      </w:r>
      <w:r w:rsidR="00E40790" w:rsidRPr="00966CD8">
        <w:rPr>
          <w:rFonts w:cstheme="minorHAnsi"/>
          <w:sz w:val="22"/>
          <w:szCs w:val="22"/>
        </w:rPr>
        <w:t xml:space="preserve"> comparison, we resampled our original sample by randomly removing 100 participants each time (see Table </w:t>
      </w:r>
      <w:r w:rsidR="00247A1B">
        <w:rPr>
          <w:rFonts w:cstheme="minorHAnsi"/>
          <w:sz w:val="22"/>
          <w:szCs w:val="22"/>
        </w:rPr>
        <w:t xml:space="preserve">2 </w:t>
      </w:r>
      <w:r w:rsidR="00E40790" w:rsidRPr="00966CD8">
        <w:rPr>
          <w:rFonts w:cstheme="minorHAnsi"/>
          <w:sz w:val="22"/>
          <w:szCs w:val="22"/>
        </w:rPr>
        <w:t xml:space="preserve">for further information). We </w:t>
      </w:r>
      <w:r>
        <w:rPr>
          <w:rFonts w:cstheme="minorHAnsi"/>
          <w:sz w:val="22"/>
          <w:szCs w:val="22"/>
        </w:rPr>
        <w:t>could not see</w:t>
      </w:r>
      <w:r w:rsidR="00E40790" w:rsidRPr="00966CD8">
        <w:rPr>
          <w:rFonts w:cstheme="minorHAnsi"/>
          <w:sz w:val="22"/>
          <w:szCs w:val="22"/>
        </w:rPr>
        <w:t xml:space="preserve"> any improvement in BAC</w:t>
      </w:r>
      <w:r>
        <w:rPr>
          <w:rFonts w:cstheme="minorHAnsi"/>
          <w:sz w:val="22"/>
          <w:szCs w:val="22"/>
        </w:rPr>
        <w:t>,</w:t>
      </w:r>
      <w:r w:rsidR="008234DD">
        <w:rPr>
          <w:rFonts w:cstheme="minorHAnsi"/>
          <w:sz w:val="22"/>
          <w:szCs w:val="22"/>
        </w:rPr>
        <w:t xml:space="preserve"> </w:t>
      </w:r>
      <w:r>
        <w:rPr>
          <w:rFonts w:cstheme="minorHAnsi"/>
          <w:sz w:val="22"/>
          <w:szCs w:val="22"/>
        </w:rPr>
        <w:t>which</w:t>
      </w:r>
      <w:r w:rsidR="00E40790" w:rsidRPr="00966CD8">
        <w:rPr>
          <w:rFonts w:cstheme="minorHAnsi"/>
          <w:sz w:val="22"/>
          <w:szCs w:val="22"/>
        </w:rPr>
        <w:t xml:space="preserve"> remained between 66.8% and 62%.</w:t>
      </w:r>
    </w:p>
    <w:p w14:paraId="61585AE7" w14:textId="15A44C61" w:rsidR="00CA6DA0" w:rsidRDefault="00CA6DA0" w:rsidP="00E40790">
      <w:pPr>
        <w:spacing w:after="160" w:line="259" w:lineRule="auto"/>
        <w:jc w:val="both"/>
        <w:rPr>
          <w:rFonts w:cstheme="minorHAnsi"/>
          <w:sz w:val="22"/>
          <w:szCs w:val="22"/>
        </w:rPr>
      </w:pPr>
    </w:p>
    <w:p w14:paraId="5B12E467" w14:textId="32048152" w:rsidR="00CA6DA0" w:rsidRPr="00966CD8" w:rsidRDefault="00CA6DA0" w:rsidP="00E40790">
      <w:pPr>
        <w:spacing w:after="160" w:line="259" w:lineRule="auto"/>
        <w:jc w:val="both"/>
        <w:rPr>
          <w:rFonts w:cstheme="minorHAnsi"/>
          <w:sz w:val="22"/>
          <w:szCs w:val="22"/>
        </w:rPr>
      </w:pPr>
      <w:bookmarkStart w:id="7" w:name="_Hlk64380874"/>
      <w:r>
        <w:rPr>
          <w:rFonts w:cstheme="minorHAnsi"/>
          <w:sz w:val="22"/>
          <w:szCs w:val="22"/>
        </w:rPr>
        <w:t xml:space="preserve">To further assess the possible impact of </w:t>
      </w:r>
      <w:r w:rsidR="00625D18">
        <w:rPr>
          <w:rFonts w:cstheme="minorHAnsi"/>
          <w:sz w:val="22"/>
          <w:szCs w:val="22"/>
        </w:rPr>
        <w:t>sex</w:t>
      </w:r>
      <w:r>
        <w:rPr>
          <w:rFonts w:cstheme="minorHAnsi"/>
          <w:sz w:val="22"/>
          <w:szCs w:val="22"/>
        </w:rPr>
        <w:t xml:space="preserve"> and its interaction with sites or label, we performed a post-hoc multifactorial GLM analysis (SPSS was used). Specifically, we tested whether the interaction of gender, </w:t>
      </w:r>
      <w:proofErr w:type="gramStart"/>
      <w:r>
        <w:rPr>
          <w:rFonts w:cstheme="minorHAnsi"/>
          <w:sz w:val="22"/>
          <w:szCs w:val="22"/>
        </w:rPr>
        <w:t>site</w:t>
      </w:r>
      <w:proofErr w:type="gramEnd"/>
      <w:r>
        <w:rPr>
          <w:rFonts w:cstheme="minorHAnsi"/>
          <w:sz w:val="22"/>
          <w:szCs w:val="22"/>
        </w:rPr>
        <w:t xml:space="preserve"> and labels (namely, </w:t>
      </w:r>
      <w:r w:rsidR="000B7FC9">
        <w:rPr>
          <w:rFonts w:cstheme="minorHAnsi"/>
          <w:sz w:val="22"/>
          <w:szCs w:val="22"/>
        </w:rPr>
        <w:t>sex</w:t>
      </w:r>
      <w:r w:rsidRPr="00CA6DA0">
        <w:rPr>
          <w:rFonts w:cstheme="minorHAnsi"/>
          <w:sz w:val="22"/>
          <w:szCs w:val="22"/>
        </w:rPr>
        <w:t>*site, sex*label, and sex*site*label</w:t>
      </w:r>
      <w:r>
        <w:rPr>
          <w:rFonts w:cstheme="minorHAnsi"/>
          <w:sz w:val="22"/>
          <w:szCs w:val="22"/>
        </w:rPr>
        <w:t xml:space="preserve">) was associated with the prediction scores (as a target dependent variable) obtained after the classification. All the interaction resulted non-significant. More in detail, </w:t>
      </w:r>
      <w:r w:rsidRPr="00CA6DA0">
        <w:rPr>
          <w:rFonts w:cstheme="minorHAnsi"/>
          <w:sz w:val="22"/>
          <w:szCs w:val="22"/>
        </w:rPr>
        <w:t>sex*site</w:t>
      </w:r>
      <w:r w:rsidR="000B7FC9">
        <w:rPr>
          <w:rFonts w:cstheme="minorHAnsi"/>
          <w:sz w:val="22"/>
          <w:szCs w:val="22"/>
        </w:rPr>
        <w:t>: p=0.075 (F 1.85)</w:t>
      </w:r>
      <w:proofErr w:type="gramStart"/>
      <w:r w:rsidR="000B7FC9">
        <w:rPr>
          <w:rFonts w:cstheme="minorHAnsi"/>
          <w:sz w:val="22"/>
          <w:szCs w:val="22"/>
        </w:rPr>
        <w:t xml:space="preserve">; </w:t>
      </w:r>
      <w:r w:rsidRPr="00CA6DA0">
        <w:rPr>
          <w:rFonts w:cstheme="minorHAnsi"/>
          <w:sz w:val="22"/>
          <w:szCs w:val="22"/>
        </w:rPr>
        <w:t>,</w:t>
      </w:r>
      <w:proofErr w:type="gramEnd"/>
      <w:r w:rsidRPr="00CA6DA0">
        <w:rPr>
          <w:rFonts w:cstheme="minorHAnsi"/>
          <w:sz w:val="22"/>
          <w:szCs w:val="22"/>
        </w:rPr>
        <w:t xml:space="preserve"> sex*label</w:t>
      </w:r>
      <w:r w:rsidR="000B7FC9">
        <w:rPr>
          <w:rFonts w:cstheme="minorHAnsi"/>
          <w:sz w:val="22"/>
          <w:szCs w:val="22"/>
        </w:rPr>
        <w:t>: p=0.32 (F 0.98);</w:t>
      </w:r>
      <w:r w:rsidRPr="00CA6DA0">
        <w:rPr>
          <w:rFonts w:cstheme="minorHAnsi"/>
          <w:sz w:val="22"/>
          <w:szCs w:val="22"/>
        </w:rPr>
        <w:t xml:space="preserve"> sex*site*label</w:t>
      </w:r>
      <w:r w:rsidR="000B7FC9">
        <w:rPr>
          <w:rFonts w:cstheme="minorHAnsi"/>
          <w:sz w:val="22"/>
          <w:szCs w:val="22"/>
        </w:rPr>
        <w:t>: p=0.97 (F 0.25).</w:t>
      </w:r>
    </w:p>
    <w:bookmarkEnd w:id="7"/>
    <w:p w14:paraId="4A1D906D" w14:textId="6DFB6E6C" w:rsidR="00F22B7B" w:rsidRPr="00966CD8" w:rsidRDefault="00F22B7B" w:rsidP="000B364E">
      <w:pPr>
        <w:spacing w:after="160" w:line="259" w:lineRule="auto"/>
        <w:rPr>
          <w:rFonts w:cstheme="minorHAnsi"/>
          <w:sz w:val="22"/>
          <w:szCs w:val="22"/>
        </w:rPr>
      </w:pPr>
      <w:r w:rsidRPr="00966CD8">
        <w:rPr>
          <w:rFonts w:cstheme="minorHAnsi"/>
          <w:sz w:val="22"/>
          <w:szCs w:val="22"/>
        </w:rPr>
        <w:br w:type="page"/>
      </w:r>
    </w:p>
    <w:p w14:paraId="070522A2" w14:textId="0FA70D00" w:rsidR="00F22B7B" w:rsidRPr="00966CD8" w:rsidRDefault="00F22B7B" w:rsidP="00DE6C4F">
      <w:pPr>
        <w:jc w:val="both"/>
        <w:rPr>
          <w:rFonts w:cstheme="minorHAnsi"/>
          <w:b/>
          <w:sz w:val="22"/>
          <w:szCs w:val="22"/>
        </w:rPr>
      </w:pPr>
      <w:r w:rsidRPr="00966CD8">
        <w:rPr>
          <w:rFonts w:cstheme="minorHAnsi"/>
          <w:b/>
          <w:sz w:val="22"/>
          <w:szCs w:val="22"/>
        </w:rPr>
        <w:lastRenderedPageBreak/>
        <w:t>Supplementary Tables</w:t>
      </w:r>
    </w:p>
    <w:p w14:paraId="20E965E1" w14:textId="4FC844A2" w:rsidR="00FC43AF" w:rsidRDefault="00FC43AF" w:rsidP="00604819">
      <w:pPr>
        <w:outlineLvl w:val="0"/>
        <w:rPr>
          <w:rFonts w:cstheme="minorHAnsi"/>
          <w:sz w:val="22"/>
          <w:szCs w:val="22"/>
        </w:rPr>
      </w:pPr>
    </w:p>
    <w:p w14:paraId="485B3D3A" w14:textId="166957A1" w:rsidR="000E3927" w:rsidRPr="001A3814" w:rsidRDefault="000E3927" w:rsidP="000E3927">
      <w:r>
        <w:rPr>
          <w:b/>
        </w:rPr>
        <w:t xml:space="preserve">Supplementary </w:t>
      </w:r>
      <w:r w:rsidRPr="00744D55">
        <w:rPr>
          <w:b/>
        </w:rPr>
        <w:t>Table 1.</w:t>
      </w:r>
      <w:r w:rsidRPr="001A3814">
        <w:t xml:space="preserve"> Total sample demographics </w:t>
      </w:r>
      <w:r>
        <w:t>(chi square for nominal variables and t-test for continuous variables)</w:t>
      </w:r>
    </w:p>
    <w:tbl>
      <w:tblPr>
        <w:tblStyle w:val="Grigliatabella"/>
        <w:tblW w:w="0" w:type="auto"/>
        <w:tblLook w:val="04A0" w:firstRow="1" w:lastRow="0" w:firstColumn="1" w:lastColumn="0" w:noHBand="0" w:noVBand="1"/>
      </w:tblPr>
      <w:tblGrid>
        <w:gridCol w:w="2689"/>
        <w:gridCol w:w="1842"/>
        <w:gridCol w:w="1843"/>
        <w:gridCol w:w="1417"/>
      </w:tblGrid>
      <w:tr w:rsidR="000E3927" w14:paraId="69FAA712" w14:textId="77777777" w:rsidTr="00645BEC">
        <w:tc>
          <w:tcPr>
            <w:tcW w:w="2689" w:type="dxa"/>
            <w:shd w:val="clear" w:color="auto" w:fill="D9D9D9" w:themeFill="background1" w:themeFillShade="D9"/>
          </w:tcPr>
          <w:p w14:paraId="6F48C810" w14:textId="77777777" w:rsidR="000E3927" w:rsidRPr="00EA6274" w:rsidRDefault="000E3927" w:rsidP="00645BEC">
            <w:pPr>
              <w:rPr>
                <w:b/>
              </w:rPr>
            </w:pPr>
          </w:p>
        </w:tc>
        <w:tc>
          <w:tcPr>
            <w:tcW w:w="1842" w:type="dxa"/>
            <w:shd w:val="clear" w:color="auto" w:fill="D9D9D9" w:themeFill="background1" w:themeFillShade="D9"/>
          </w:tcPr>
          <w:p w14:paraId="56300087" w14:textId="77777777" w:rsidR="000E3927" w:rsidRPr="00EA6274" w:rsidRDefault="000E3927" w:rsidP="00645BEC">
            <w:pPr>
              <w:jc w:val="center"/>
              <w:rPr>
                <w:b/>
              </w:rPr>
            </w:pPr>
            <w:r w:rsidRPr="00EA6274">
              <w:rPr>
                <w:b/>
              </w:rPr>
              <w:t>FEP</w:t>
            </w:r>
          </w:p>
        </w:tc>
        <w:tc>
          <w:tcPr>
            <w:tcW w:w="1843" w:type="dxa"/>
            <w:shd w:val="clear" w:color="auto" w:fill="D9D9D9" w:themeFill="background1" w:themeFillShade="D9"/>
          </w:tcPr>
          <w:p w14:paraId="0A91187B" w14:textId="77777777" w:rsidR="000E3927" w:rsidRPr="00EA6274" w:rsidRDefault="000E3927" w:rsidP="00645BEC">
            <w:pPr>
              <w:jc w:val="center"/>
              <w:rPr>
                <w:b/>
              </w:rPr>
            </w:pPr>
            <w:r w:rsidRPr="00EA6274">
              <w:rPr>
                <w:b/>
              </w:rPr>
              <w:t>HC</w:t>
            </w:r>
          </w:p>
        </w:tc>
        <w:tc>
          <w:tcPr>
            <w:tcW w:w="1417" w:type="dxa"/>
            <w:shd w:val="clear" w:color="auto" w:fill="D9D9D9" w:themeFill="background1" w:themeFillShade="D9"/>
          </w:tcPr>
          <w:p w14:paraId="7B64ED90" w14:textId="77777777" w:rsidR="000E3927" w:rsidRPr="00EA6274" w:rsidRDefault="000E3927" w:rsidP="00645BEC">
            <w:pPr>
              <w:jc w:val="center"/>
              <w:rPr>
                <w:b/>
              </w:rPr>
            </w:pPr>
            <w:r w:rsidRPr="00EA6274">
              <w:rPr>
                <w:b/>
              </w:rPr>
              <w:t>Sign.</w:t>
            </w:r>
          </w:p>
        </w:tc>
      </w:tr>
      <w:tr w:rsidR="000E3927" w14:paraId="774AEFC2" w14:textId="77777777" w:rsidTr="00645BEC">
        <w:tc>
          <w:tcPr>
            <w:tcW w:w="2689" w:type="dxa"/>
          </w:tcPr>
          <w:p w14:paraId="4FE83DD2" w14:textId="77777777" w:rsidR="000E3927" w:rsidRPr="00177F47" w:rsidRDefault="000E3927" w:rsidP="00645BEC">
            <w:pPr>
              <w:rPr>
                <w:b/>
                <w:sz w:val="18"/>
                <w:szCs w:val="18"/>
              </w:rPr>
            </w:pPr>
            <w:r w:rsidRPr="00177F47">
              <w:rPr>
                <w:b/>
                <w:sz w:val="18"/>
                <w:szCs w:val="18"/>
              </w:rPr>
              <w:t>Sex (F/M)</w:t>
            </w:r>
          </w:p>
          <w:p w14:paraId="1B988ACA" w14:textId="77777777" w:rsidR="000E3927" w:rsidRPr="00177F47" w:rsidRDefault="000E3927" w:rsidP="00645BEC">
            <w:pPr>
              <w:rPr>
                <w:sz w:val="16"/>
                <w:szCs w:val="16"/>
              </w:rPr>
            </w:pPr>
            <w:r w:rsidRPr="00177F47">
              <w:rPr>
                <w:sz w:val="16"/>
                <w:szCs w:val="16"/>
              </w:rPr>
              <w:t>(n. 428FEP/448HC)</w:t>
            </w:r>
          </w:p>
        </w:tc>
        <w:tc>
          <w:tcPr>
            <w:tcW w:w="1842" w:type="dxa"/>
          </w:tcPr>
          <w:p w14:paraId="461137A2" w14:textId="77777777" w:rsidR="000E3927" w:rsidRPr="00177F47" w:rsidRDefault="000E3927" w:rsidP="00645BEC">
            <w:pPr>
              <w:jc w:val="center"/>
              <w:rPr>
                <w:sz w:val="18"/>
                <w:szCs w:val="18"/>
              </w:rPr>
            </w:pPr>
            <w:r w:rsidRPr="00177F47">
              <w:rPr>
                <w:sz w:val="18"/>
                <w:szCs w:val="18"/>
              </w:rPr>
              <w:t>147/281</w:t>
            </w:r>
          </w:p>
        </w:tc>
        <w:tc>
          <w:tcPr>
            <w:tcW w:w="1843" w:type="dxa"/>
          </w:tcPr>
          <w:p w14:paraId="1D9009EF" w14:textId="77777777" w:rsidR="000E3927" w:rsidRPr="00177F47" w:rsidRDefault="000E3927" w:rsidP="00645BEC">
            <w:pPr>
              <w:jc w:val="center"/>
              <w:rPr>
                <w:sz w:val="18"/>
                <w:szCs w:val="18"/>
              </w:rPr>
            </w:pPr>
            <w:r w:rsidRPr="00177F47">
              <w:rPr>
                <w:sz w:val="18"/>
                <w:szCs w:val="18"/>
              </w:rPr>
              <w:t>230/218</w:t>
            </w:r>
          </w:p>
        </w:tc>
        <w:tc>
          <w:tcPr>
            <w:tcW w:w="1417" w:type="dxa"/>
          </w:tcPr>
          <w:p w14:paraId="39D9E5A0" w14:textId="77777777" w:rsidR="000E3927" w:rsidRPr="00177F47" w:rsidRDefault="000E3927" w:rsidP="00645BEC">
            <w:pPr>
              <w:jc w:val="center"/>
              <w:rPr>
                <w:sz w:val="18"/>
                <w:szCs w:val="18"/>
              </w:rPr>
            </w:pPr>
            <w:r w:rsidRPr="00177F47">
              <w:rPr>
                <w:sz w:val="18"/>
                <w:szCs w:val="18"/>
              </w:rPr>
              <w:t>χ</w:t>
            </w:r>
            <w:r w:rsidRPr="00177F47">
              <w:rPr>
                <w:sz w:val="18"/>
                <w:szCs w:val="18"/>
                <w:vertAlign w:val="superscript"/>
              </w:rPr>
              <w:t>2</w:t>
            </w:r>
            <w:r w:rsidRPr="00345A4C">
              <w:rPr>
                <w:sz w:val="18"/>
                <w:szCs w:val="18"/>
                <w:vertAlign w:val="subscript"/>
              </w:rPr>
              <w:t>(</w:t>
            </w:r>
            <w:proofErr w:type="gramStart"/>
            <w:r w:rsidRPr="00345A4C">
              <w:rPr>
                <w:sz w:val="18"/>
                <w:szCs w:val="18"/>
                <w:vertAlign w:val="subscript"/>
              </w:rPr>
              <w:t>1)</w:t>
            </w:r>
            <w:r w:rsidRPr="00177F47">
              <w:rPr>
                <w:sz w:val="18"/>
                <w:szCs w:val="18"/>
              </w:rPr>
              <w:t>=</w:t>
            </w:r>
            <w:proofErr w:type="gramEnd"/>
            <w:r w:rsidRPr="00177F47">
              <w:rPr>
                <w:sz w:val="18"/>
                <w:szCs w:val="18"/>
              </w:rPr>
              <w:t>10.2 p&lt;0.05</w:t>
            </w:r>
          </w:p>
        </w:tc>
      </w:tr>
      <w:tr w:rsidR="000E3927" w14:paraId="28A51853" w14:textId="77777777" w:rsidTr="00645BEC">
        <w:tc>
          <w:tcPr>
            <w:tcW w:w="2689" w:type="dxa"/>
          </w:tcPr>
          <w:p w14:paraId="10DCCE01" w14:textId="77777777" w:rsidR="000E3927" w:rsidRPr="00177F47" w:rsidRDefault="000E3927" w:rsidP="00645BEC">
            <w:pPr>
              <w:rPr>
                <w:b/>
                <w:sz w:val="18"/>
                <w:szCs w:val="18"/>
              </w:rPr>
            </w:pPr>
            <w:r w:rsidRPr="00177F47">
              <w:rPr>
                <w:b/>
                <w:sz w:val="18"/>
                <w:szCs w:val="18"/>
              </w:rPr>
              <w:t>Age</w:t>
            </w:r>
          </w:p>
          <w:p w14:paraId="01D7BED4" w14:textId="77777777" w:rsidR="000E3927" w:rsidRPr="00177F47" w:rsidRDefault="000E3927" w:rsidP="00645BEC">
            <w:pPr>
              <w:rPr>
                <w:sz w:val="16"/>
                <w:szCs w:val="16"/>
              </w:rPr>
            </w:pPr>
            <w:r w:rsidRPr="00177F47">
              <w:rPr>
                <w:sz w:val="16"/>
                <w:szCs w:val="16"/>
              </w:rPr>
              <w:t>(n. 428FEP/448HC)</w:t>
            </w:r>
          </w:p>
        </w:tc>
        <w:tc>
          <w:tcPr>
            <w:tcW w:w="1842" w:type="dxa"/>
          </w:tcPr>
          <w:p w14:paraId="4CC082E9" w14:textId="77777777" w:rsidR="000E3927" w:rsidRPr="00177F47" w:rsidRDefault="000E3927" w:rsidP="00645BEC">
            <w:pPr>
              <w:jc w:val="center"/>
              <w:rPr>
                <w:sz w:val="18"/>
                <w:szCs w:val="18"/>
              </w:rPr>
            </w:pPr>
            <w:r w:rsidRPr="00177F47">
              <w:rPr>
                <w:sz w:val="18"/>
                <w:szCs w:val="18"/>
              </w:rPr>
              <w:t>27.14 (±7.37)</w:t>
            </w:r>
          </w:p>
        </w:tc>
        <w:tc>
          <w:tcPr>
            <w:tcW w:w="1843" w:type="dxa"/>
          </w:tcPr>
          <w:p w14:paraId="106B11D2" w14:textId="77777777" w:rsidR="000E3927" w:rsidRPr="00177F47" w:rsidRDefault="000E3927" w:rsidP="00645BEC">
            <w:pPr>
              <w:jc w:val="center"/>
              <w:rPr>
                <w:sz w:val="18"/>
                <w:szCs w:val="18"/>
              </w:rPr>
            </w:pPr>
            <w:r w:rsidRPr="00177F47">
              <w:rPr>
                <w:sz w:val="18"/>
                <w:szCs w:val="18"/>
              </w:rPr>
              <w:t>27.06 (±6.32)</w:t>
            </w:r>
          </w:p>
        </w:tc>
        <w:tc>
          <w:tcPr>
            <w:tcW w:w="1417" w:type="dxa"/>
          </w:tcPr>
          <w:p w14:paraId="7697625A" w14:textId="77777777" w:rsidR="000E3927" w:rsidRPr="00177F47" w:rsidRDefault="000E3927" w:rsidP="00645BEC">
            <w:pPr>
              <w:jc w:val="center"/>
              <w:rPr>
                <w:sz w:val="18"/>
                <w:szCs w:val="18"/>
              </w:rPr>
            </w:pPr>
            <w:proofErr w:type="gramStart"/>
            <w:r w:rsidRPr="00177F47">
              <w:rPr>
                <w:sz w:val="18"/>
                <w:szCs w:val="18"/>
              </w:rPr>
              <w:t>t</w:t>
            </w:r>
            <w:r w:rsidRPr="00345A4C">
              <w:rPr>
                <w:sz w:val="18"/>
                <w:szCs w:val="18"/>
                <w:vertAlign w:val="subscript"/>
              </w:rPr>
              <w:t>(</w:t>
            </w:r>
            <w:proofErr w:type="gramEnd"/>
            <w:r w:rsidRPr="00177F47">
              <w:rPr>
                <w:sz w:val="18"/>
                <w:szCs w:val="18"/>
                <w:vertAlign w:val="subscript"/>
              </w:rPr>
              <w:t>1,</w:t>
            </w:r>
            <w:r w:rsidRPr="00345A4C">
              <w:rPr>
                <w:sz w:val="18"/>
                <w:szCs w:val="18"/>
                <w:vertAlign w:val="subscript"/>
              </w:rPr>
              <w:t>875)</w:t>
            </w:r>
            <w:r w:rsidRPr="00177F47">
              <w:rPr>
                <w:sz w:val="18"/>
                <w:szCs w:val="18"/>
              </w:rPr>
              <w:t xml:space="preserve"> =0.38 p=0.702</w:t>
            </w:r>
          </w:p>
        </w:tc>
      </w:tr>
      <w:tr w:rsidR="000E3927" w14:paraId="2761ED75" w14:textId="77777777" w:rsidTr="00645BEC">
        <w:tc>
          <w:tcPr>
            <w:tcW w:w="2689" w:type="dxa"/>
          </w:tcPr>
          <w:p w14:paraId="60A2E4EB" w14:textId="77777777" w:rsidR="000E3927" w:rsidRPr="00177F47" w:rsidRDefault="000E3927" w:rsidP="00645BEC">
            <w:pPr>
              <w:rPr>
                <w:b/>
                <w:sz w:val="18"/>
                <w:szCs w:val="18"/>
              </w:rPr>
            </w:pPr>
            <w:proofErr w:type="spellStart"/>
            <w:r w:rsidRPr="00177F47">
              <w:rPr>
                <w:b/>
                <w:sz w:val="18"/>
                <w:szCs w:val="18"/>
              </w:rPr>
              <w:t>Yrs</w:t>
            </w:r>
            <w:proofErr w:type="spellEnd"/>
            <w:r w:rsidRPr="00177F47">
              <w:rPr>
                <w:b/>
                <w:sz w:val="18"/>
                <w:szCs w:val="18"/>
              </w:rPr>
              <w:t xml:space="preserve"> of Education</w:t>
            </w:r>
          </w:p>
          <w:p w14:paraId="6434F11F" w14:textId="77777777" w:rsidR="000E3927" w:rsidRPr="00177F47" w:rsidRDefault="000E3927" w:rsidP="00645BEC">
            <w:pPr>
              <w:rPr>
                <w:sz w:val="18"/>
                <w:szCs w:val="18"/>
              </w:rPr>
            </w:pPr>
            <w:r w:rsidRPr="00177F47">
              <w:rPr>
                <w:sz w:val="16"/>
                <w:szCs w:val="16"/>
              </w:rPr>
              <w:t>(n. 284FEP/257HC)</w:t>
            </w:r>
          </w:p>
        </w:tc>
        <w:tc>
          <w:tcPr>
            <w:tcW w:w="1842" w:type="dxa"/>
          </w:tcPr>
          <w:p w14:paraId="5E1325BA" w14:textId="77777777" w:rsidR="000E3927" w:rsidRPr="00177F47" w:rsidRDefault="000E3927" w:rsidP="00645BEC">
            <w:pPr>
              <w:jc w:val="center"/>
              <w:rPr>
                <w:sz w:val="18"/>
                <w:szCs w:val="18"/>
              </w:rPr>
            </w:pPr>
            <w:r w:rsidRPr="00177F47">
              <w:rPr>
                <w:sz w:val="18"/>
                <w:szCs w:val="18"/>
              </w:rPr>
              <w:t>12.46 (±3.27)</w:t>
            </w:r>
          </w:p>
        </w:tc>
        <w:tc>
          <w:tcPr>
            <w:tcW w:w="1843" w:type="dxa"/>
          </w:tcPr>
          <w:p w14:paraId="1F9B26E4" w14:textId="77777777" w:rsidR="000E3927" w:rsidRPr="00177F47" w:rsidRDefault="000E3927" w:rsidP="00645BEC">
            <w:pPr>
              <w:jc w:val="center"/>
              <w:rPr>
                <w:sz w:val="18"/>
                <w:szCs w:val="18"/>
              </w:rPr>
            </w:pPr>
            <w:r w:rsidRPr="00177F47">
              <w:rPr>
                <w:sz w:val="18"/>
                <w:szCs w:val="18"/>
              </w:rPr>
              <w:t>14.36 (±3.0)</w:t>
            </w:r>
          </w:p>
        </w:tc>
        <w:tc>
          <w:tcPr>
            <w:tcW w:w="1417" w:type="dxa"/>
          </w:tcPr>
          <w:p w14:paraId="1E2FB5E6" w14:textId="77777777" w:rsidR="000E3927" w:rsidRPr="00177F47" w:rsidRDefault="000E3927" w:rsidP="00645BEC">
            <w:pPr>
              <w:jc w:val="center"/>
              <w:rPr>
                <w:sz w:val="18"/>
                <w:szCs w:val="18"/>
              </w:rPr>
            </w:pPr>
            <w:proofErr w:type="gramStart"/>
            <w:r w:rsidRPr="00177F47">
              <w:rPr>
                <w:sz w:val="18"/>
                <w:szCs w:val="18"/>
              </w:rPr>
              <w:t>t</w:t>
            </w:r>
            <w:r w:rsidRPr="00177F47">
              <w:rPr>
                <w:sz w:val="18"/>
                <w:szCs w:val="18"/>
                <w:vertAlign w:val="subscript"/>
              </w:rPr>
              <w:t>(</w:t>
            </w:r>
            <w:proofErr w:type="gramEnd"/>
            <w:r w:rsidRPr="00177F47">
              <w:rPr>
                <w:sz w:val="18"/>
                <w:szCs w:val="18"/>
                <w:vertAlign w:val="subscript"/>
              </w:rPr>
              <w:t>1,540)</w:t>
            </w:r>
            <w:r w:rsidRPr="00177F47">
              <w:rPr>
                <w:sz w:val="18"/>
                <w:szCs w:val="18"/>
              </w:rPr>
              <w:t>=-6.9 p&lt;0.05</w:t>
            </w:r>
          </w:p>
        </w:tc>
      </w:tr>
      <w:tr w:rsidR="000E3927" w14:paraId="25224201" w14:textId="77777777" w:rsidTr="00645BEC">
        <w:tc>
          <w:tcPr>
            <w:tcW w:w="2689" w:type="dxa"/>
          </w:tcPr>
          <w:p w14:paraId="72DF5E1E" w14:textId="77777777" w:rsidR="000E3927" w:rsidRPr="00177F47" w:rsidRDefault="000E3927" w:rsidP="00645BEC">
            <w:pPr>
              <w:rPr>
                <w:b/>
                <w:sz w:val="18"/>
                <w:szCs w:val="18"/>
              </w:rPr>
            </w:pPr>
            <w:r w:rsidRPr="00177F47">
              <w:rPr>
                <w:b/>
                <w:sz w:val="18"/>
                <w:szCs w:val="18"/>
              </w:rPr>
              <w:t>Ethnicity (</w:t>
            </w:r>
            <w:proofErr w:type="spellStart"/>
            <w:r w:rsidRPr="00177F47">
              <w:rPr>
                <w:b/>
                <w:sz w:val="18"/>
                <w:szCs w:val="18"/>
              </w:rPr>
              <w:t>caucasian</w:t>
            </w:r>
            <w:proofErr w:type="spellEnd"/>
            <w:r w:rsidRPr="00177F47">
              <w:rPr>
                <w:b/>
                <w:sz w:val="18"/>
                <w:szCs w:val="18"/>
              </w:rPr>
              <w:t>%)</w:t>
            </w:r>
          </w:p>
          <w:p w14:paraId="7E2AA313" w14:textId="77777777" w:rsidR="000E3927" w:rsidRPr="00177F47" w:rsidRDefault="000E3927" w:rsidP="00645BEC">
            <w:pPr>
              <w:rPr>
                <w:sz w:val="18"/>
                <w:szCs w:val="18"/>
              </w:rPr>
            </w:pPr>
            <w:r w:rsidRPr="00177F47">
              <w:rPr>
                <w:sz w:val="16"/>
                <w:szCs w:val="16"/>
              </w:rPr>
              <w:t>(n. 261FEP/300HC)</w:t>
            </w:r>
          </w:p>
        </w:tc>
        <w:tc>
          <w:tcPr>
            <w:tcW w:w="1842" w:type="dxa"/>
          </w:tcPr>
          <w:p w14:paraId="44BF0B9C" w14:textId="77777777" w:rsidR="000E3927" w:rsidRPr="00177F47" w:rsidRDefault="000E3927" w:rsidP="00645BEC">
            <w:pPr>
              <w:jc w:val="center"/>
              <w:rPr>
                <w:sz w:val="18"/>
                <w:szCs w:val="18"/>
              </w:rPr>
            </w:pPr>
            <w:r w:rsidRPr="00177F47">
              <w:rPr>
                <w:sz w:val="18"/>
                <w:szCs w:val="18"/>
              </w:rPr>
              <w:t>78%</w:t>
            </w:r>
          </w:p>
        </w:tc>
        <w:tc>
          <w:tcPr>
            <w:tcW w:w="1843" w:type="dxa"/>
          </w:tcPr>
          <w:p w14:paraId="702D3550" w14:textId="77777777" w:rsidR="000E3927" w:rsidRPr="00177F47" w:rsidRDefault="000E3927" w:rsidP="00645BEC">
            <w:pPr>
              <w:jc w:val="center"/>
              <w:rPr>
                <w:sz w:val="18"/>
                <w:szCs w:val="18"/>
              </w:rPr>
            </w:pPr>
            <w:r w:rsidRPr="00177F47">
              <w:rPr>
                <w:sz w:val="18"/>
                <w:szCs w:val="18"/>
              </w:rPr>
              <w:t>95%</w:t>
            </w:r>
          </w:p>
        </w:tc>
        <w:tc>
          <w:tcPr>
            <w:tcW w:w="1417" w:type="dxa"/>
          </w:tcPr>
          <w:p w14:paraId="11632F82" w14:textId="77777777" w:rsidR="000E3927" w:rsidRPr="00177F47" w:rsidRDefault="000E3927" w:rsidP="00645BEC">
            <w:pPr>
              <w:jc w:val="center"/>
              <w:rPr>
                <w:sz w:val="18"/>
                <w:szCs w:val="18"/>
              </w:rPr>
            </w:pPr>
            <w:r w:rsidRPr="00177F47">
              <w:rPr>
                <w:sz w:val="18"/>
                <w:szCs w:val="18"/>
              </w:rPr>
              <w:t>χ</w:t>
            </w:r>
            <w:r w:rsidRPr="00177F47">
              <w:rPr>
                <w:sz w:val="18"/>
                <w:szCs w:val="18"/>
                <w:vertAlign w:val="superscript"/>
              </w:rPr>
              <w:t>2</w:t>
            </w:r>
            <w:r w:rsidRPr="00177F47">
              <w:rPr>
                <w:sz w:val="18"/>
                <w:szCs w:val="18"/>
                <w:vertAlign w:val="subscript"/>
              </w:rPr>
              <w:t>(</w:t>
            </w:r>
            <w:proofErr w:type="gramStart"/>
            <w:r w:rsidRPr="00177F47">
              <w:rPr>
                <w:sz w:val="18"/>
                <w:szCs w:val="18"/>
                <w:vertAlign w:val="subscript"/>
              </w:rPr>
              <w:t>1)</w:t>
            </w:r>
            <w:r w:rsidRPr="00177F47">
              <w:rPr>
                <w:sz w:val="18"/>
                <w:szCs w:val="18"/>
              </w:rPr>
              <w:t>=</w:t>
            </w:r>
            <w:proofErr w:type="gramEnd"/>
            <w:r w:rsidRPr="00177F47">
              <w:rPr>
                <w:sz w:val="18"/>
                <w:szCs w:val="18"/>
              </w:rPr>
              <w:t>36.6 p&lt;0.05</w:t>
            </w:r>
          </w:p>
        </w:tc>
      </w:tr>
      <w:tr w:rsidR="000E3927" w14:paraId="20679350" w14:textId="77777777" w:rsidTr="00645BEC">
        <w:tc>
          <w:tcPr>
            <w:tcW w:w="2689" w:type="dxa"/>
          </w:tcPr>
          <w:p w14:paraId="2E4AE78C" w14:textId="77777777" w:rsidR="000E3927" w:rsidRPr="00177F47" w:rsidRDefault="000E3927" w:rsidP="00645BEC">
            <w:pPr>
              <w:rPr>
                <w:b/>
                <w:sz w:val="18"/>
                <w:szCs w:val="18"/>
              </w:rPr>
            </w:pPr>
            <w:r w:rsidRPr="00177F47">
              <w:rPr>
                <w:b/>
                <w:sz w:val="18"/>
                <w:szCs w:val="18"/>
              </w:rPr>
              <w:t>Handedness (r/</w:t>
            </w:r>
            <w:proofErr w:type="spellStart"/>
            <w:r w:rsidRPr="00177F47">
              <w:rPr>
                <w:b/>
                <w:sz w:val="18"/>
                <w:szCs w:val="18"/>
              </w:rPr>
              <w:t>ambi</w:t>
            </w:r>
            <w:proofErr w:type="spellEnd"/>
            <w:r w:rsidRPr="00177F47">
              <w:rPr>
                <w:b/>
                <w:sz w:val="18"/>
                <w:szCs w:val="18"/>
              </w:rPr>
              <w:t>/l)</w:t>
            </w:r>
          </w:p>
          <w:p w14:paraId="0AA1AEC5" w14:textId="77777777" w:rsidR="000E3927" w:rsidRPr="00177F47" w:rsidRDefault="000E3927" w:rsidP="00645BEC">
            <w:pPr>
              <w:rPr>
                <w:sz w:val="18"/>
                <w:szCs w:val="18"/>
              </w:rPr>
            </w:pPr>
            <w:r w:rsidRPr="00177F47">
              <w:rPr>
                <w:sz w:val="16"/>
                <w:szCs w:val="16"/>
              </w:rPr>
              <w:t>(n. 245FEP/308HC)</w:t>
            </w:r>
          </w:p>
        </w:tc>
        <w:tc>
          <w:tcPr>
            <w:tcW w:w="1842" w:type="dxa"/>
          </w:tcPr>
          <w:p w14:paraId="77BA64EC" w14:textId="77777777" w:rsidR="000E3927" w:rsidRPr="00177F47" w:rsidRDefault="000E3927" w:rsidP="00645BEC">
            <w:pPr>
              <w:jc w:val="center"/>
              <w:rPr>
                <w:sz w:val="18"/>
                <w:szCs w:val="18"/>
              </w:rPr>
            </w:pPr>
            <w:r w:rsidRPr="00177F47">
              <w:rPr>
                <w:sz w:val="18"/>
                <w:szCs w:val="18"/>
              </w:rPr>
              <w:t>216/6/23</w:t>
            </w:r>
          </w:p>
        </w:tc>
        <w:tc>
          <w:tcPr>
            <w:tcW w:w="1843" w:type="dxa"/>
          </w:tcPr>
          <w:p w14:paraId="44BEBC21" w14:textId="77777777" w:rsidR="000E3927" w:rsidRPr="00177F47" w:rsidRDefault="000E3927" w:rsidP="00645BEC">
            <w:pPr>
              <w:jc w:val="center"/>
              <w:rPr>
                <w:sz w:val="18"/>
                <w:szCs w:val="18"/>
              </w:rPr>
            </w:pPr>
            <w:r w:rsidRPr="00177F47">
              <w:rPr>
                <w:sz w:val="18"/>
                <w:szCs w:val="18"/>
              </w:rPr>
              <w:t>285/10/13</w:t>
            </w:r>
          </w:p>
        </w:tc>
        <w:tc>
          <w:tcPr>
            <w:tcW w:w="1417" w:type="dxa"/>
          </w:tcPr>
          <w:p w14:paraId="64440458" w14:textId="77777777" w:rsidR="000E3927" w:rsidRPr="00177F47" w:rsidRDefault="000E3927" w:rsidP="00645BEC">
            <w:pPr>
              <w:jc w:val="center"/>
              <w:rPr>
                <w:sz w:val="18"/>
                <w:szCs w:val="18"/>
              </w:rPr>
            </w:pPr>
            <w:r w:rsidRPr="00177F47">
              <w:rPr>
                <w:sz w:val="18"/>
                <w:szCs w:val="18"/>
              </w:rPr>
              <w:t>χ</w:t>
            </w:r>
            <w:r w:rsidRPr="00177F47">
              <w:rPr>
                <w:sz w:val="18"/>
                <w:szCs w:val="18"/>
                <w:vertAlign w:val="superscript"/>
              </w:rPr>
              <w:t>2</w:t>
            </w:r>
            <w:r w:rsidRPr="00177F47">
              <w:rPr>
                <w:sz w:val="18"/>
                <w:szCs w:val="18"/>
                <w:vertAlign w:val="subscript"/>
              </w:rPr>
              <w:t>(</w:t>
            </w:r>
            <w:proofErr w:type="gramStart"/>
            <w:r w:rsidRPr="00177F47">
              <w:rPr>
                <w:sz w:val="18"/>
                <w:szCs w:val="18"/>
                <w:vertAlign w:val="subscript"/>
              </w:rPr>
              <w:t>2)</w:t>
            </w:r>
            <w:r w:rsidRPr="00177F47">
              <w:rPr>
                <w:sz w:val="18"/>
                <w:szCs w:val="18"/>
              </w:rPr>
              <w:t>=</w:t>
            </w:r>
            <w:proofErr w:type="gramEnd"/>
            <w:r w:rsidRPr="00177F47">
              <w:rPr>
                <w:sz w:val="18"/>
                <w:szCs w:val="18"/>
              </w:rPr>
              <w:t>6.2 p=0.045</w:t>
            </w:r>
          </w:p>
        </w:tc>
      </w:tr>
      <w:tr w:rsidR="000E3927" w14:paraId="38F4EDCA" w14:textId="77777777" w:rsidTr="00645BEC">
        <w:tc>
          <w:tcPr>
            <w:tcW w:w="2689" w:type="dxa"/>
          </w:tcPr>
          <w:p w14:paraId="408B3AC1" w14:textId="77777777" w:rsidR="000E3927" w:rsidRPr="00177F47" w:rsidRDefault="000E3927" w:rsidP="00645BEC">
            <w:pPr>
              <w:rPr>
                <w:b/>
                <w:sz w:val="18"/>
                <w:szCs w:val="18"/>
              </w:rPr>
            </w:pPr>
            <w:r w:rsidRPr="00177F47">
              <w:rPr>
                <w:b/>
                <w:sz w:val="18"/>
                <w:szCs w:val="18"/>
              </w:rPr>
              <w:t>Tobacco smoke</w:t>
            </w:r>
          </w:p>
          <w:p w14:paraId="3859DE06" w14:textId="77777777" w:rsidR="000E3927" w:rsidRPr="00177F47" w:rsidRDefault="000E3927" w:rsidP="00645BEC">
            <w:pPr>
              <w:rPr>
                <w:sz w:val="18"/>
                <w:szCs w:val="18"/>
              </w:rPr>
            </w:pPr>
            <w:r w:rsidRPr="00177F47">
              <w:rPr>
                <w:sz w:val="16"/>
                <w:szCs w:val="16"/>
              </w:rPr>
              <w:t>(n. 206FEP/213HC)</w:t>
            </w:r>
          </w:p>
        </w:tc>
        <w:tc>
          <w:tcPr>
            <w:tcW w:w="1842" w:type="dxa"/>
          </w:tcPr>
          <w:p w14:paraId="6AA752D6" w14:textId="77777777" w:rsidR="000E3927" w:rsidRPr="00177F47" w:rsidRDefault="000E3927" w:rsidP="00645BEC">
            <w:pPr>
              <w:jc w:val="center"/>
              <w:rPr>
                <w:sz w:val="18"/>
                <w:szCs w:val="18"/>
              </w:rPr>
            </w:pPr>
            <w:r w:rsidRPr="00177F47">
              <w:rPr>
                <w:sz w:val="18"/>
                <w:szCs w:val="18"/>
              </w:rPr>
              <w:t>68%</w:t>
            </w:r>
          </w:p>
        </w:tc>
        <w:tc>
          <w:tcPr>
            <w:tcW w:w="1843" w:type="dxa"/>
          </w:tcPr>
          <w:p w14:paraId="3021C099" w14:textId="77777777" w:rsidR="000E3927" w:rsidRPr="00177F47" w:rsidRDefault="000E3927" w:rsidP="00645BEC">
            <w:pPr>
              <w:jc w:val="center"/>
              <w:rPr>
                <w:sz w:val="18"/>
                <w:szCs w:val="18"/>
              </w:rPr>
            </w:pPr>
            <w:r w:rsidRPr="00177F47">
              <w:rPr>
                <w:sz w:val="18"/>
                <w:szCs w:val="18"/>
              </w:rPr>
              <w:t>29%</w:t>
            </w:r>
          </w:p>
        </w:tc>
        <w:tc>
          <w:tcPr>
            <w:tcW w:w="1417" w:type="dxa"/>
          </w:tcPr>
          <w:p w14:paraId="19E673CB" w14:textId="77777777" w:rsidR="000E3927" w:rsidRPr="00177F47" w:rsidRDefault="000E3927" w:rsidP="00645BEC">
            <w:pPr>
              <w:jc w:val="center"/>
              <w:rPr>
                <w:sz w:val="18"/>
                <w:szCs w:val="18"/>
              </w:rPr>
            </w:pPr>
            <w:r w:rsidRPr="00177F47">
              <w:rPr>
                <w:sz w:val="18"/>
                <w:szCs w:val="18"/>
              </w:rPr>
              <w:t>χ</w:t>
            </w:r>
            <w:r w:rsidRPr="00177F47">
              <w:rPr>
                <w:sz w:val="18"/>
                <w:szCs w:val="18"/>
                <w:vertAlign w:val="superscript"/>
              </w:rPr>
              <w:t>2</w:t>
            </w:r>
            <w:r w:rsidRPr="00177F47">
              <w:rPr>
                <w:sz w:val="18"/>
                <w:szCs w:val="18"/>
                <w:vertAlign w:val="subscript"/>
              </w:rPr>
              <w:t>(</w:t>
            </w:r>
            <w:proofErr w:type="gramStart"/>
            <w:r w:rsidRPr="00177F47">
              <w:rPr>
                <w:sz w:val="18"/>
                <w:szCs w:val="18"/>
                <w:vertAlign w:val="subscript"/>
              </w:rPr>
              <w:t>1)</w:t>
            </w:r>
            <w:r w:rsidRPr="00177F47">
              <w:rPr>
                <w:sz w:val="18"/>
                <w:szCs w:val="18"/>
              </w:rPr>
              <w:t>=</w:t>
            </w:r>
            <w:proofErr w:type="gramEnd"/>
            <w:r w:rsidRPr="00177F47">
              <w:rPr>
                <w:sz w:val="18"/>
                <w:szCs w:val="18"/>
              </w:rPr>
              <w:t>28.8 p&lt;0.05</w:t>
            </w:r>
          </w:p>
        </w:tc>
      </w:tr>
      <w:tr w:rsidR="000E3927" w14:paraId="4D98AEE9" w14:textId="77777777" w:rsidTr="00645BEC">
        <w:tc>
          <w:tcPr>
            <w:tcW w:w="2689" w:type="dxa"/>
          </w:tcPr>
          <w:p w14:paraId="27533D52" w14:textId="77777777" w:rsidR="000E3927" w:rsidRPr="00177F47" w:rsidRDefault="000E3927" w:rsidP="00645BEC">
            <w:pPr>
              <w:rPr>
                <w:b/>
                <w:sz w:val="18"/>
                <w:szCs w:val="18"/>
              </w:rPr>
            </w:pPr>
            <w:r w:rsidRPr="00177F47">
              <w:rPr>
                <w:b/>
                <w:sz w:val="18"/>
                <w:szCs w:val="18"/>
              </w:rPr>
              <w:t>Lifetime Cannabis use</w:t>
            </w:r>
          </w:p>
          <w:p w14:paraId="3F642B96" w14:textId="77777777" w:rsidR="000E3927" w:rsidRPr="00177F47" w:rsidRDefault="000E3927" w:rsidP="00645BEC">
            <w:pPr>
              <w:rPr>
                <w:sz w:val="18"/>
                <w:szCs w:val="18"/>
              </w:rPr>
            </w:pPr>
            <w:r w:rsidRPr="00177F47">
              <w:rPr>
                <w:sz w:val="16"/>
                <w:szCs w:val="16"/>
              </w:rPr>
              <w:t>(n. 180FEP/103HC)</w:t>
            </w:r>
          </w:p>
        </w:tc>
        <w:tc>
          <w:tcPr>
            <w:tcW w:w="1842" w:type="dxa"/>
          </w:tcPr>
          <w:p w14:paraId="00E8E732" w14:textId="77777777" w:rsidR="000E3927" w:rsidRPr="00177F47" w:rsidRDefault="000E3927" w:rsidP="00645BEC">
            <w:pPr>
              <w:jc w:val="center"/>
              <w:rPr>
                <w:sz w:val="18"/>
                <w:szCs w:val="18"/>
              </w:rPr>
            </w:pPr>
            <w:r w:rsidRPr="00177F47">
              <w:rPr>
                <w:sz w:val="18"/>
                <w:szCs w:val="18"/>
              </w:rPr>
              <w:t>36%</w:t>
            </w:r>
          </w:p>
        </w:tc>
        <w:tc>
          <w:tcPr>
            <w:tcW w:w="1843" w:type="dxa"/>
          </w:tcPr>
          <w:p w14:paraId="01FA2A81" w14:textId="77777777" w:rsidR="000E3927" w:rsidRPr="00177F47" w:rsidRDefault="000E3927" w:rsidP="00645BEC">
            <w:pPr>
              <w:jc w:val="center"/>
              <w:rPr>
                <w:sz w:val="18"/>
                <w:szCs w:val="18"/>
              </w:rPr>
            </w:pPr>
            <w:r w:rsidRPr="00177F47">
              <w:rPr>
                <w:sz w:val="18"/>
                <w:szCs w:val="18"/>
              </w:rPr>
              <w:t>22.5%</w:t>
            </w:r>
          </w:p>
        </w:tc>
        <w:tc>
          <w:tcPr>
            <w:tcW w:w="1417" w:type="dxa"/>
          </w:tcPr>
          <w:p w14:paraId="753D5953" w14:textId="77777777" w:rsidR="000E3927" w:rsidRPr="00177F47" w:rsidRDefault="000E3927" w:rsidP="00645BEC">
            <w:pPr>
              <w:jc w:val="center"/>
              <w:rPr>
                <w:sz w:val="18"/>
                <w:szCs w:val="18"/>
              </w:rPr>
            </w:pPr>
            <w:r w:rsidRPr="00177F47">
              <w:rPr>
                <w:sz w:val="18"/>
                <w:szCs w:val="18"/>
              </w:rPr>
              <w:t>χ</w:t>
            </w:r>
            <w:r w:rsidRPr="00177F47">
              <w:rPr>
                <w:sz w:val="18"/>
                <w:szCs w:val="18"/>
                <w:vertAlign w:val="superscript"/>
              </w:rPr>
              <w:t>2</w:t>
            </w:r>
            <w:r w:rsidRPr="00177F47">
              <w:rPr>
                <w:sz w:val="18"/>
                <w:szCs w:val="18"/>
                <w:vertAlign w:val="subscript"/>
              </w:rPr>
              <w:t>(</w:t>
            </w:r>
            <w:proofErr w:type="gramStart"/>
            <w:r w:rsidRPr="00177F47">
              <w:rPr>
                <w:sz w:val="18"/>
                <w:szCs w:val="18"/>
                <w:vertAlign w:val="subscript"/>
              </w:rPr>
              <w:t>1)</w:t>
            </w:r>
            <w:r w:rsidRPr="00177F47">
              <w:rPr>
                <w:sz w:val="18"/>
                <w:szCs w:val="18"/>
              </w:rPr>
              <w:t>=</w:t>
            </w:r>
            <w:proofErr w:type="gramEnd"/>
            <w:r w:rsidRPr="00177F47">
              <w:rPr>
                <w:sz w:val="18"/>
                <w:szCs w:val="18"/>
              </w:rPr>
              <w:t>5.8 p&lt;0.05</w:t>
            </w:r>
          </w:p>
        </w:tc>
      </w:tr>
      <w:tr w:rsidR="000E3927" w14:paraId="0E2DF81B" w14:textId="77777777" w:rsidTr="00645BEC">
        <w:tc>
          <w:tcPr>
            <w:tcW w:w="2689" w:type="dxa"/>
          </w:tcPr>
          <w:p w14:paraId="757B0592" w14:textId="77777777" w:rsidR="000E3927" w:rsidRPr="00177F47" w:rsidRDefault="000E3927" w:rsidP="00645BEC">
            <w:pPr>
              <w:rPr>
                <w:b/>
                <w:sz w:val="18"/>
                <w:szCs w:val="18"/>
              </w:rPr>
            </w:pPr>
            <w:r w:rsidRPr="00177F47">
              <w:rPr>
                <w:b/>
                <w:sz w:val="18"/>
                <w:szCs w:val="18"/>
              </w:rPr>
              <w:t>Age at onset</w:t>
            </w:r>
          </w:p>
          <w:p w14:paraId="0B91A595" w14:textId="77777777" w:rsidR="000E3927" w:rsidRPr="00177F47" w:rsidRDefault="000E3927" w:rsidP="00645BEC">
            <w:pPr>
              <w:rPr>
                <w:sz w:val="18"/>
                <w:szCs w:val="18"/>
              </w:rPr>
            </w:pPr>
            <w:r w:rsidRPr="00177F47">
              <w:rPr>
                <w:sz w:val="16"/>
                <w:szCs w:val="16"/>
              </w:rPr>
              <w:t>(n. 160FEP)</w:t>
            </w:r>
          </w:p>
        </w:tc>
        <w:tc>
          <w:tcPr>
            <w:tcW w:w="1842" w:type="dxa"/>
          </w:tcPr>
          <w:p w14:paraId="6D89FC33" w14:textId="77777777" w:rsidR="000E3927" w:rsidRPr="00177F47" w:rsidRDefault="000E3927" w:rsidP="00645BEC">
            <w:pPr>
              <w:jc w:val="center"/>
              <w:rPr>
                <w:sz w:val="18"/>
                <w:szCs w:val="18"/>
              </w:rPr>
            </w:pPr>
            <w:r w:rsidRPr="00177F47">
              <w:rPr>
                <w:sz w:val="18"/>
                <w:szCs w:val="18"/>
              </w:rPr>
              <w:t>27.15 (±8.07)</w:t>
            </w:r>
          </w:p>
        </w:tc>
        <w:tc>
          <w:tcPr>
            <w:tcW w:w="1843" w:type="dxa"/>
          </w:tcPr>
          <w:p w14:paraId="619D1DC5" w14:textId="77777777" w:rsidR="000E3927" w:rsidRPr="00177F47" w:rsidRDefault="000E3927" w:rsidP="00645BEC">
            <w:pPr>
              <w:jc w:val="center"/>
              <w:rPr>
                <w:sz w:val="18"/>
                <w:szCs w:val="18"/>
              </w:rPr>
            </w:pPr>
          </w:p>
        </w:tc>
        <w:tc>
          <w:tcPr>
            <w:tcW w:w="1417" w:type="dxa"/>
          </w:tcPr>
          <w:p w14:paraId="638C0879" w14:textId="77777777" w:rsidR="000E3927" w:rsidRPr="00177F47" w:rsidRDefault="000E3927" w:rsidP="00645BEC">
            <w:pPr>
              <w:jc w:val="center"/>
              <w:rPr>
                <w:sz w:val="18"/>
                <w:szCs w:val="18"/>
              </w:rPr>
            </w:pPr>
          </w:p>
        </w:tc>
      </w:tr>
      <w:tr w:rsidR="000E3927" w14:paraId="0B577107" w14:textId="77777777" w:rsidTr="00645BEC">
        <w:tc>
          <w:tcPr>
            <w:tcW w:w="2689" w:type="dxa"/>
          </w:tcPr>
          <w:p w14:paraId="1493D7BD" w14:textId="77777777" w:rsidR="000E3927" w:rsidRPr="00177F47" w:rsidRDefault="000E3927" w:rsidP="00645BEC">
            <w:pPr>
              <w:rPr>
                <w:b/>
                <w:sz w:val="18"/>
                <w:szCs w:val="18"/>
              </w:rPr>
            </w:pPr>
            <w:r w:rsidRPr="00177F47">
              <w:rPr>
                <w:b/>
                <w:sz w:val="18"/>
                <w:szCs w:val="18"/>
              </w:rPr>
              <w:t>DUI (month)</w:t>
            </w:r>
          </w:p>
          <w:p w14:paraId="06C81C6B" w14:textId="77777777" w:rsidR="000E3927" w:rsidRPr="00177F47" w:rsidRDefault="000E3927" w:rsidP="00645BEC">
            <w:pPr>
              <w:rPr>
                <w:sz w:val="18"/>
                <w:szCs w:val="18"/>
              </w:rPr>
            </w:pPr>
            <w:r w:rsidRPr="00177F47">
              <w:rPr>
                <w:sz w:val="16"/>
                <w:szCs w:val="16"/>
              </w:rPr>
              <w:t>(n. 146FEP)</w:t>
            </w:r>
          </w:p>
        </w:tc>
        <w:tc>
          <w:tcPr>
            <w:tcW w:w="1842" w:type="dxa"/>
          </w:tcPr>
          <w:p w14:paraId="45F6F589" w14:textId="77777777" w:rsidR="000E3927" w:rsidRPr="00177F47" w:rsidRDefault="000E3927" w:rsidP="00645BEC">
            <w:pPr>
              <w:jc w:val="center"/>
              <w:rPr>
                <w:sz w:val="18"/>
                <w:szCs w:val="18"/>
              </w:rPr>
            </w:pPr>
            <w:r w:rsidRPr="00177F47">
              <w:rPr>
                <w:sz w:val="18"/>
                <w:szCs w:val="18"/>
              </w:rPr>
              <w:t>4.8 (±8.32)</w:t>
            </w:r>
          </w:p>
        </w:tc>
        <w:tc>
          <w:tcPr>
            <w:tcW w:w="1843" w:type="dxa"/>
          </w:tcPr>
          <w:p w14:paraId="2E36593E" w14:textId="77777777" w:rsidR="000E3927" w:rsidRPr="00177F47" w:rsidRDefault="000E3927" w:rsidP="00645BEC">
            <w:pPr>
              <w:jc w:val="center"/>
              <w:rPr>
                <w:sz w:val="18"/>
                <w:szCs w:val="18"/>
              </w:rPr>
            </w:pPr>
          </w:p>
        </w:tc>
        <w:tc>
          <w:tcPr>
            <w:tcW w:w="1417" w:type="dxa"/>
          </w:tcPr>
          <w:p w14:paraId="760A7C82" w14:textId="77777777" w:rsidR="000E3927" w:rsidRPr="00177F47" w:rsidRDefault="000E3927" w:rsidP="00645BEC">
            <w:pPr>
              <w:jc w:val="center"/>
              <w:rPr>
                <w:sz w:val="18"/>
                <w:szCs w:val="18"/>
              </w:rPr>
            </w:pPr>
          </w:p>
        </w:tc>
      </w:tr>
      <w:tr w:rsidR="000E3927" w14:paraId="285233CF" w14:textId="77777777" w:rsidTr="00645BEC">
        <w:tc>
          <w:tcPr>
            <w:tcW w:w="2689" w:type="dxa"/>
          </w:tcPr>
          <w:p w14:paraId="3497DF4D" w14:textId="77777777" w:rsidR="000E3927" w:rsidRPr="00177F47" w:rsidRDefault="000E3927" w:rsidP="00645BEC">
            <w:pPr>
              <w:rPr>
                <w:b/>
                <w:sz w:val="18"/>
                <w:szCs w:val="18"/>
              </w:rPr>
            </w:pPr>
            <w:r w:rsidRPr="00177F47">
              <w:rPr>
                <w:b/>
                <w:sz w:val="18"/>
                <w:szCs w:val="18"/>
              </w:rPr>
              <w:t>N. prior hospitalizations</w:t>
            </w:r>
          </w:p>
          <w:p w14:paraId="415E6AEF" w14:textId="77777777" w:rsidR="000E3927" w:rsidRPr="00177F47" w:rsidRDefault="000E3927" w:rsidP="00645BEC">
            <w:pPr>
              <w:rPr>
                <w:sz w:val="18"/>
                <w:szCs w:val="18"/>
              </w:rPr>
            </w:pPr>
            <w:r w:rsidRPr="00177F47">
              <w:rPr>
                <w:sz w:val="16"/>
                <w:szCs w:val="16"/>
              </w:rPr>
              <w:t>(n. 152FEP)</w:t>
            </w:r>
          </w:p>
        </w:tc>
        <w:tc>
          <w:tcPr>
            <w:tcW w:w="1842" w:type="dxa"/>
          </w:tcPr>
          <w:p w14:paraId="5E39241F" w14:textId="77777777" w:rsidR="000E3927" w:rsidRPr="00177F47" w:rsidRDefault="000E3927" w:rsidP="00645BEC">
            <w:pPr>
              <w:jc w:val="center"/>
              <w:rPr>
                <w:sz w:val="18"/>
                <w:szCs w:val="18"/>
              </w:rPr>
            </w:pPr>
            <w:r w:rsidRPr="00177F47">
              <w:rPr>
                <w:sz w:val="18"/>
                <w:szCs w:val="18"/>
              </w:rPr>
              <w:t>0.8 (±0.9)</w:t>
            </w:r>
          </w:p>
        </w:tc>
        <w:tc>
          <w:tcPr>
            <w:tcW w:w="1843" w:type="dxa"/>
          </w:tcPr>
          <w:p w14:paraId="512B962C" w14:textId="77777777" w:rsidR="000E3927" w:rsidRPr="00177F47" w:rsidRDefault="000E3927" w:rsidP="00645BEC">
            <w:pPr>
              <w:jc w:val="center"/>
              <w:rPr>
                <w:sz w:val="18"/>
                <w:szCs w:val="18"/>
              </w:rPr>
            </w:pPr>
          </w:p>
        </w:tc>
        <w:tc>
          <w:tcPr>
            <w:tcW w:w="1417" w:type="dxa"/>
          </w:tcPr>
          <w:p w14:paraId="102CF8D1" w14:textId="77777777" w:rsidR="000E3927" w:rsidRPr="00177F47" w:rsidRDefault="000E3927" w:rsidP="00645BEC">
            <w:pPr>
              <w:jc w:val="center"/>
              <w:rPr>
                <w:sz w:val="18"/>
                <w:szCs w:val="18"/>
              </w:rPr>
            </w:pPr>
          </w:p>
        </w:tc>
      </w:tr>
      <w:tr w:rsidR="000E3927" w14:paraId="6F7B057C" w14:textId="77777777" w:rsidTr="00645BEC">
        <w:tc>
          <w:tcPr>
            <w:tcW w:w="2689" w:type="dxa"/>
          </w:tcPr>
          <w:p w14:paraId="749A436B" w14:textId="77777777" w:rsidR="000E3927" w:rsidRPr="00177F47" w:rsidRDefault="000E3927" w:rsidP="00645BEC">
            <w:pPr>
              <w:rPr>
                <w:b/>
                <w:sz w:val="18"/>
                <w:szCs w:val="18"/>
              </w:rPr>
            </w:pPr>
            <w:r w:rsidRPr="00177F47">
              <w:rPr>
                <w:b/>
                <w:sz w:val="18"/>
                <w:szCs w:val="18"/>
              </w:rPr>
              <w:t xml:space="preserve">Chlorpromazine </w:t>
            </w:r>
            <w:proofErr w:type="spellStart"/>
            <w:r w:rsidRPr="00177F47">
              <w:rPr>
                <w:b/>
                <w:sz w:val="18"/>
                <w:szCs w:val="18"/>
              </w:rPr>
              <w:t>equival</w:t>
            </w:r>
            <w:proofErr w:type="spellEnd"/>
            <w:r w:rsidRPr="00177F47">
              <w:rPr>
                <w:b/>
                <w:sz w:val="18"/>
                <w:szCs w:val="18"/>
              </w:rPr>
              <w:t>.</w:t>
            </w:r>
          </w:p>
          <w:p w14:paraId="5D195B0D" w14:textId="77777777" w:rsidR="000E3927" w:rsidRPr="00177F47" w:rsidRDefault="000E3927" w:rsidP="00645BEC">
            <w:pPr>
              <w:rPr>
                <w:sz w:val="18"/>
                <w:szCs w:val="18"/>
              </w:rPr>
            </w:pPr>
            <w:r w:rsidRPr="00177F47">
              <w:rPr>
                <w:sz w:val="16"/>
                <w:szCs w:val="16"/>
              </w:rPr>
              <w:t>(n. 253FEP)</w:t>
            </w:r>
          </w:p>
        </w:tc>
        <w:tc>
          <w:tcPr>
            <w:tcW w:w="1842" w:type="dxa"/>
          </w:tcPr>
          <w:p w14:paraId="30C6F33E" w14:textId="77777777" w:rsidR="000E3927" w:rsidRPr="00177F47" w:rsidRDefault="000E3927" w:rsidP="00645BEC">
            <w:pPr>
              <w:jc w:val="center"/>
              <w:rPr>
                <w:sz w:val="18"/>
                <w:szCs w:val="18"/>
              </w:rPr>
            </w:pPr>
            <w:r w:rsidRPr="00177F47">
              <w:rPr>
                <w:sz w:val="18"/>
                <w:szCs w:val="18"/>
              </w:rPr>
              <w:t>4347.6(±9374)</w:t>
            </w:r>
          </w:p>
        </w:tc>
        <w:tc>
          <w:tcPr>
            <w:tcW w:w="1843" w:type="dxa"/>
          </w:tcPr>
          <w:p w14:paraId="5B6E4C1E" w14:textId="77777777" w:rsidR="000E3927" w:rsidRPr="00177F47" w:rsidRDefault="000E3927" w:rsidP="00645BEC">
            <w:pPr>
              <w:jc w:val="center"/>
              <w:rPr>
                <w:sz w:val="18"/>
                <w:szCs w:val="18"/>
              </w:rPr>
            </w:pPr>
          </w:p>
        </w:tc>
        <w:tc>
          <w:tcPr>
            <w:tcW w:w="1417" w:type="dxa"/>
          </w:tcPr>
          <w:p w14:paraId="316AF663" w14:textId="77777777" w:rsidR="000E3927" w:rsidRPr="00177F47" w:rsidRDefault="000E3927" w:rsidP="00645BEC">
            <w:pPr>
              <w:jc w:val="center"/>
              <w:rPr>
                <w:sz w:val="18"/>
                <w:szCs w:val="18"/>
              </w:rPr>
            </w:pPr>
          </w:p>
        </w:tc>
      </w:tr>
      <w:tr w:rsidR="000E3927" w14:paraId="06B64797" w14:textId="77777777" w:rsidTr="00645BEC">
        <w:tc>
          <w:tcPr>
            <w:tcW w:w="2689" w:type="dxa"/>
          </w:tcPr>
          <w:p w14:paraId="5D8E57DD" w14:textId="77777777" w:rsidR="000E3927" w:rsidRPr="00177F47" w:rsidRDefault="000E3927" w:rsidP="00645BEC">
            <w:pPr>
              <w:rPr>
                <w:b/>
                <w:sz w:val="18"/>
                <w:szCs w:val="18"/>
              </w:rPr>
            </w:pPr>
            <w:r w:rsidRPr="00177F47">
              <w:rPr>
                <w:b/>
                <w:sz w:val="18"/>
                <w:szCs w:val="18"/>
              </w:rPr>
              <w:t>PAN</w:t>
            </w:r>
            <w:r>
              <w:rPr>
                <w:b/>
                <w:sz w:val="18"/>
                <w:szCs w:val="18"/>
              </w:rPr>
              <w:t>S</w:t>
            </w:r>
            <w:r w:rsidRPr="00177F47">
              <w:rPr>
                <w:b/>
                <w:sz w:val="18"/>
                <w:szCs w:val="18"/>
              </w:rPr>
              <w:t>S pos</w:t>
            </w:r>
          </w:p>
          <w:p w14:paraId="38CD8FD4" w14:textId="77777777" w:rsidR="000E3927" w:rsidRPr="00177F47" w:rsidRDefault="000E3927" w:rsidP="00645BEC">
            <w:pPr>
              <w:rPr>
                <w:sz w:val="18"/>
                <w:szCs w:val="18"/>
              </w:rPr>
            </w:pPr>
            <w:r w:rsidRPr="00177F47">
              <w:rPr>
                <w:sz w:val="16"/>
                <w:szCs w:val="16"/>
              </w:rPr>
              <w:t>(n. 223FEP)</w:t>
            </w:r>
          </w:p>
        </w:tc>
        <w:tc>
          <w:tcPr>
            <w:tcW w:w="1842" w:type="dxa"/>
          </w:tcPr>
          <w:p w14:paraId="411389FD" w14:textId="77777777" w:rsidR="000E3927" w:rsidRPr="00177F47" w:rsidRDefault="000E3927" w:rsidP="00645BEC">
            <w:pPr>
              <w:jc w:val="center"/>
              <w:rPr>
                <w:sz w:val="18"/>
                <w:szCs w:val="18"/>
              </w:rPr>
            </w:pPr>
            <w:r w:rsidRPr="00177F47">
              <w:rPr>
                <w:sz w:val="18"/>
                <w:szCs w:val="18"/>
              </w:rPr>
              <w:t>14.33 (±6.6)</w:t>
            </w:r>
          </w:p>
        </w:tc>
        <w:tc>
          <w:tcPr>
            <w:tcW w:w="1843" w:type="dxa"/>
          </w:tcPr>
          <w:p w14:paraId="25A17DD0" w14:textId="77777777" w:rsidR="000E3927" w:rsidRPr="00177F47" w:rsidRDefault="000E3927" w:rsidP="00645BEC">
            <w:pPr>
              <w:jc w:val="center"/>
              <w:rPr>
                <w:sz w:val="18"/>
                <w:szCs w:val="18"/>
              </w:rPr>
            </w:pPr>
          </w:p>
        </w:tc>
        <w:tc>
          <w:tcPr>
            <w:tcW w:w="1417" w:type="dxa"/>
          </w:tcPr>
          <w:p w14:paraId="3F64524E" w14:textId="77777777" w:rsidR="000E3927" w:rsidRPr="00177F47" w:rsidRDefault="000E3927" w:rsidP="00645BEC">
            <w:pPr>
              <w:jc w:val="center"/>
              <w:rPr>
                <w:sz w:val="18"/>
                <w:szCs w:val="18"/>
              </w:rPr>
            </w:pPr>
          </w:p>
        </w:tc>
      </w:tr>
      <w:tr w:rsidR="000E3927" w14:paraId="49C8B6D7" w14:textId="77777777" w:rsidTr="00645BEC">
        <w:tc>
          <w:tcPr>
            <w:tcW w:w="2689" w:type="dxa"/>
          </w:tcPr>
          <w:p w14:paraId="19E529C0" w14:textId="77777777" w:rsidR="000E3927" w:rsidRPr="00177F47" w:rsidRDefault="000E3927" w:rsidP="00645BEC">
            <w:pPr>
              <w:rPr>
                <w:b/>
                <w:sz w:val="18"/>
                <w:szCs w:val="18"/>
              </w:rPr>
            </w:pPr>
            <w:r w:rsidRPr="00177F47">
              <w:rPr>
                <w:b/>
                <w:sz w:val="18"/>
                <w:szCs w:val="18"/>
              </w:rPr>
              <w:t>PAN</w:t>
            </w:r>
            <w:r>
              <w:rPr>
                <w:b/>
                <w:sz w:val="18"/>
                <w:szCs w:val="18"/>
              </w:rPr>
              <w:t>S</w:t>
            </w:r>
            <w:r w:rsidRPr="00177F47">
              <w:rPr>
                <w:b/>
                <w:sz w:val="18"/>
                <w:szCs w:val="18"/>
              </w:rPr>
              <w:t>S neg</w:t>
            </w:r>
          </w:p>
          <w:p w14:paraId="077F5F94" w14:textId="77777777" w:rsidR="000E3927" w:rsidRPr="00177F47" w:rsidRDefault="000E3927" w:rsidP="00645BEC">
            <w:pPr>
              <w:rPr>
                <w:sz w:val="18"/>
                <w:szCs w:val="18"/>
              </w:rPr>
            </w:pPr>
            <w:r w:rsidRPr="00177F47">
              <w:rPr>
                <w:sz w:val="16"/>
                <w:szCs w:val="16"/>
              </w:rPr>
              <w:t>(n. 223FEP)</w:t>
            </w:r>
          </w:p>
        </w:tc>
        <w:tc>
          <w:tcPr>
            <w:tcW w:w="1842" w:type="dxa"/>
          </w:tcPr>
          <w:p w14:paraId="3C82666A" w14:textId="77777777" w:rsidR="000E3927" w:rsidRPr="00177F47" w:rsidRDefault="000E3927" w:rsidP="00645BEC">
            <w:pPr>
              <w:jc w:val="center"/>
              <w:rPr>
                <w:sz w:val="18"/>
                <w:szCs w:val="18"/>
              </w:rPr>
            </w:pPr>
            <w:r w:rsidRPr="00177F47">
              <w:rPr>
                <w:sz w:val="18"/>
                <w:szCs w:val="18"/>
              </w:rPr>
              <w:t>15.31 (±7.6)</w:t>
            </w:r>
          </w:p>
        </w:tc>
        <w:tc>
          <w:tcPr>
            <w:tcW w:w="1843" w:type="dxa"/>
          </w:tcPr>
          <w:p w14:paraId="719FCC71" w14:textId="77777777" w:rsidR="000E3927" w:rsidRPr="00177F47" w:rsidRDefault="000E3927" w:rsidP="00645BEC">
            <w:pPr>
              <w:jc w:val="center"/>
              <w:rPr>
                <w:sz w:val="18"/>
                <w:szCs w:val="18"/>
              </w:rPr>
            </w:pPr>
          </w:p>
        </w:tc>
        <w:tc>
          <w:tcPr>
            <w:tcW w:w="1417" w:type="dxa"/>
          </w:tcPr>
          <w:p w14:paraId="1A730663" w14:textId="77777777" w:rsidR="000E3927" w:rsidRPr="00177F47" w:rsidRDefault="000E3927" w:rsidP="00645BEC">
            <w:pPr>
              <w:jc w:val="center"/>
              <w:rPr>
                <w:sz w:val="18"/>
                <w:szCs w:val="18"/>
              </w:rPr>
            </w:pPr>
          </w:p>
        </w:tc>
      </w:tr>
      <w:tr w:rsidR="000E3927" w14:paraId="768AA0EA" w14:textId="77777777" w:rsidTr="00645BEC">
        <w:tc>
          <w:tcPr>
            <w:tcW w:w="2689" w:type="dxa"/>
          </w:tcPr>
          <w:p w14:paraId="341B3CC2" w14:textId="77777777" w:rsidR="000E3927" w:rsidRPr="00177F47" w:rsidRDefault="000E3927" w:rsidP="00645BEC">
            <w:pPr>
              <w:rPr>
                <w:b/>
                <w:sz w:val="18"/>
                <w:szCs w:val="18"/>
              </w:rPr>
            </w:pPr>
            <w:r w:rsidRPr="00177F47">
              <w:rPr>
                <w:b/>
                <w:sz w:val="18"/>
                <w:szCs w:val="18"/>
              </w:rPr>
              <w:t>PAN</w:t>
            </w:r>
            <w:r>
              <w:rPr>
                <w:b/>
                <w:sz w:val="18"/>
                <w:szCs w:val="18"/>
              </w:rPr>
              <w:t>S</w:t>
            </w:r>
            <w:r w:rsidRPr="00177F47">
              <w:rPr>
                <w:b/>
                <w:sz w:val="18"/>
                <w:szCs w:val="18"/>
              </w:rPr>
              <w:t>S gen</w:t>
            </w:r>
          </w:p>
          <w:p w14:paraId="13F6B279" w14:textId="77777777" w:rsidR="000E3927" w:rsidRPr="00177F47" w:rsidRDefault="000E3927" w:rsidP="00645BEC">
            <w:pPr>
              <w:rPr>
                <w:sz w:val="18"/>
                <w:szCs w:val="18"/>
              </w:rPr>
            </w:pPr>
            <w:r w:rsidRPr="00177F47">
              <w:rPr>
                <w:sz w:val="16"/>
                <w:szCs w:val="16"/>
              </w:rPr>
              <w:t>(n. 223FEP)</w:t>
            </w:r>
          </w:p>
        </w:tc>
        <w:tc>
          <w:tcPr>
            <w:tcW w:w="1842" w:type="dxa"/>
          </w:tcPr>
          <w:p w14:paraId="7A29972F" w14:textId="77777777" w:rsidR="000E3927" w:rsidRPr="00177F47" w:rsidRDefault="000E3927" w:rsidP="00645BEC">
            <w:pPr>
              <w:jc w:val="center"/>
              <w:rPr>
                <w:sz w:val="18"/>
                <w:szCs w:val="18"/>
              </w:rPr>
            </w:pPr>
            <w:r w:rsidRPr="00177F47">
              <w:rPr>
                <w:sz w:val="18"/>
                <w:szCs w:val="18"/>
              </w:rPr>
              <w:t>31.25 (±12.5)</w:t>
            </w:r>
          </w:p>
        </w:tc>
        <w:tc>
          <w:tcPr>
            <w:tcW w:w="1843" w:type="dxa"/>
          </w:tcPr>
          <w:p w14:paraId="2899CE00" w14:textId="77777777" w:rsidR="000E3927" w:rsidRPr="00177F47" w:rsidRDefault="000E3927" w:rsidP="00645BEC">
            <w:pPr>
              <w:jc w:val="center"/>
              <w:rPr>
                <w:sz w:val="18"/>
                <w:szCs w:val="18"/>
              </w:rPr>
            </w:pPr>
          </w:p>
        </w:tc>
        <w:tc>
          <w:tcPr>
            <w:tcW w:w="1417" w:type="dxa"/>
          </w:tcPr>
          <w:p w14:paraId="2F80AD71" w14:textId="77777777" w:rsidR="000E3927" w:rsidRPr="00177F47" w:rsidRDefault="000E3927" w:rsidP="00645BEC">
            <w:pPr>
              <w:jc w:val="center"/>
              <w:rPr>
                <w:sz w:val="18"/>
                <w:szCs w:val="18"/>
              </w:rPr>
            </w:pPr>
          </w:p>
        </w:tc>
      </w:tr>
      <w:tr w:rsidR="000E3927" w14:paraId="74ED2CDF" w14:textId="77777777" w:rsidTr="00645BEC">
        <w:tc>
          <w:tcPr>
            <w:tcW w:w="2689" w:type="dxa"/>
          </w:tcPr>
          <w:p w14:paraId="3F4C1B2E" w14:textId="77777777" w:rsidR="000E3927" w:rsidRPr="00177F47" w:rsidRDefault="000E3927" w:rsidP="00645BEC">
            <w:pPr>
              <w:rPr>
                <w:b/>
                <w:sz w:val="18"/>
                <w:szCs w:val="18"/>
              </w:rPr>
            </w:pPr>
            <w:r w:rsidRPr="00177F47">
              <w:rPr>
                <w:b/>
                <w:sz w:val="18"/>
                <w:szCs w:val="18"/>
              </w:rPr>
              <w:t>PAN</w:t>
            </w:r>
            <w:r>
              <w:rPr>
                <w:b/>
                <w:sz w:val="18"/>
                <w:szCs w:val="18"/>
              </w:rPr>
              <w:t>S</w:t>
            </w:r>
            <w:r w:rsidRPr="00177F47">
              <w:rPr>
                <w:b/>
                <w:sz w:val="18"/>
                <w:szCs w:val="18"/>
              </w:rPr>
              <w:t>S tot</w:t>
            </w:r>
          </w:p>
          <w:p w14:paraId="65BB9C62" w14:textId="77777777" w:rsidR="000E3927" w:rsidRPr="00177F47" w:rsidRDefault="000E3927" w:rsidP="00645BEC">
            <w:pPr>
              <w:rPr>
                <w:sz w:val="18"/>
                <w:szCs w:val="18"/>
              </w:rPr>
            </w:pPr>
            <w:r w:rsidRPr="00177F47">
              <w:rPr>
                <w:sz w:val="16"/>
                <w:szCs w:val="16"/>
              </w:rPr>
              <w:t>(n. 223FEP)</w:t>
            </w:r>
          </w:p>
        </w:tc>
        <w:tc>
          <w:tcPr>
            <w:tcW w:w="1842" w:type="dxa"/>
          </w:tcPr>
          <w:p w14:paraId="696B5249" w14:textId="77777777" w:rsidR="000E3927" w:rsidRPr="00177F47" w:rsidRDefault="000E3927" w:rsidP="00645BEC">
            <w:pPr>
              <w:jc w:val="center"/>
              <w:rPr>
                <w:sz w:val="18"/>
                <w:szCs w:val="18"/>
              </w:rPr>
            </w:pPr>
            <w:r w:rsidRPr="00177F47">
              <w:rPr>
                <w:sz w:val="18"/>
                <w:szCs w:val="18"/>
              </w:rPr>
              <w:t>60.83 (±22.6)</w:t>
            </w:r>
          </w:p>
        </w:tc>
        <w:tc>
          <w:tcPr>
            <w:tcW w:w="1843" w:type="dxa"/>
          </w:tcPr>
          <w:p w14:paraId="5540AFEE" w14:textId="77777777" w:rsidR="000E3927" w:rsidRPr="00177F47" w:rsidRDefault="000E3927" w:rsidP="00645BEC">
            <w:pPr>
              <w:jc w:val="center"/>
              <w:rPr>
                <w:sz w:val="18"/>
                <w:szCs w:val="18"/>
              </w:rPr>
            </w:pPr>
          </w:p>
        </w:tc>
        <w:tc>
          <w:tcPr>
            <w:tcW w:w="1417" w:type="dxa"/>
          </w:tcPr>
          <w:p w14:paraId="2DAA2F81" w14:textId="77777777" w:rsidR="000E3927" w:rsidRPr="00177F47" w:rsidRDefault="000E3927" w:rsidP="00645BEC">
            <w:pPr>
              <w:jc w:val="center"/>
              <w:rPr>
                <w:sz w:val="18"/>
                <w:szCs w:val="18"/>
              </w:rPr>
            </w:pPr>
          </w:p>
        </w:tc>
      </w:tr>
      <w:tr w:rsidR="000E3927" w14:paraId="465EE7C1" w14:textId="77777777" w:rsidTr="00645BEC">
        <w:tc>
          <w:tcPr>
            <w:tcW w:w="2689" w:type="dxa"/>
          </w:tcPr>
          <w:p w14:paraId="49DF4C04" w14:textId="77777777" w:rsidR="000E3927" w:rsidRPr="00177F47" w:rsidRDefault="000E3927" w:rsidP="00645BEC">
            <w:pPr>
              <w:rPr>
                <w:b/>
                <w:sz w:val="18"/>
                <w:szCs w:val="18"/>
              </w:rPr>
            </w:pPr>
            <w:r w:rsidRPr="00177F47">
              <w:rPr>
                <w:b/>
                <w:sz w:val="18"/>
                <w:szCs w:val="18"/>
              </w:rPr>
              <w:t>GAF</w:t>
            </w:r>
          </w:p>
          <w:p w14:paraId="1674099A" w14:textId="77777777" w:rsidR="000E3927" w:rsidRPr="00177F47" w:rsidRDefault="000E3927" w:rsidP="00645BEC">
            <w:pPr>
              <w:rPr>
                <w:sz w:val="18"/>
                <w:szCs w:val="18"/>
              </w:rPr>
            </w:pPr>
            <w:r w:rsidRPr="00177F47">
              <w:rPr>
                <w:sz w:val="16"/>
                <w:szCs w:val="16"/>
              </w:rPr>
              <w:t>(n. 256FEP)</w:t>
            </w:r>
          </w:p>
        </w:tc>
        <w:tc>
          <w:tcPr>
            <w:tcW w:w="1842" w:type="dxa"/>
          </w:tcPr>
          <w:p w14:paraId="7CA10BBE" w14:textId="77777777" w:rsidR="000E3927" w:rsidRPr="00177F47" w:rsidRDefault="000E3927" w:rsidP="00645BEC">
            <w:pPr>
              <w:jc w:val="center"/>
              <w:rPr>
                <w:sz w:val="18"/>
                <w:szCs w:val="18"/>
              </w:rPr>
            </w:pPr>
            <w:r w:rsidRPr="00177F47">
              <w:rPr>
                <w:sz w:val="18"/>
                <w:szCs w:val="18"/>
              </w:rPr>
              <w:t>55.96 (±18.9)</w:t>
            </w:r>
          </w:p>
        </w:tc>
        <w:tc>
          <w:tcPr>
            <w:tcW w:w="1843" w:type="dxa"/>
          </w:tcPr>
          <w:p w14:paraId="494C7E12" w14:textId="77777777" w:rsidR="000E3927" w:rsidRPr="00177F47" w:rsidRDefault="000E3927" w:rsidP="00645BEC">
            <w:pPr>
              <w:jc w:val="center"/>
              <w:rPr>
                <w:sz w:val="18"/>
                <w:szCs w:val="18"/>
              </w:rPr>
            </w:pPr>
          </w:p>
        </w:tc>
        <w:tc>
          <w:tcPr>
            <w:tcW w:w="1417" w:type="dxa"/>
          </w:tcPr>
          <w:p w14:paraId="168D50BC" w14:textId="77777777" w:rsidR="000E3927" w:rsidRPr="00177F47" w:rsidRDefault="000E3927" w:rsidP="00645BEC">
            <w:pPr>
              <w:jc w:val="center"/>
              <w:rPr>
                <w:sz w:val="18"/>
                <w:szCs w:val="18"/>
              </w:rPr>
            </w:pPr>
          </w:p>
        </w:tc>
      </w:tr>
      <w:tr w:rsidR="000E3927" w14:paraId="161B0222" w14:textId="77777777" w:rsidTr="00645BEC">
        <w:tc>
          <w:tcPr>
            <w:tcW w:w="2689" w:type="dxa"/>
          </w:tcPr>
          <w:p w14:paraId="41EDBE71" w14:textId="77777777" w:rsidR="000E3927" w:rsidRPr="00177F47" w:rsidRDefault="000E3927" w:rsidP="00645BEC">
            <w:pPr>
              <w:rPr>
                <w:b/>
                <w:sz w:val="18"/>
                <w:szCs w:val="18"/>
              </w:rPr>
            </w:pPr>
            <w:r w:rsidRPr="00177F47">
              <w:rPr>
                <w:b/>
                <w:sz w:val="18"/>
                <w:szCs w:val="18"/>
              </w:rPr>
              <w:t>CGI</w:t>
            </w:r>
          </w:p>
          <w:p w14:paraId="58AFBB08" w14:textId="77777777" w:rsidR="000E3927" w:rsidRPr="00177F47" w:rsidRDefault="000E3927" w:rsidP="00645BEC">
            <w:pPr>
              <w:rPr>
                <w:sz w:val="18"/>
                <w:szCs w:val="18"/>
              </w:rPr>
            </w:pPr>
            <w:r w:rsidRPr="00177F47">
              <w:rPr>
                <w:sz w:val="16"/>
                <w:szCs w:val="16"/>
              </w:rPr>
              <w:t>(n. 136FEP)</w:t>
            </w:r>
          </w:p>
        </w:tc>
        <w:tc>
          <w:tcPr>
            <w:tcW w:w="1842" w:type="dxa"/>
          </w:tcPr>
          <w:p w14:paraId="68A714C5" w14:textId="77777777" w:rsidR="000E3927" w:rsidRPr="00177F47" w:rsidRDefault="000E3927" w:rsidP="00645BEC">
            <w:pPr>
              <w:jc w:val="center"/>
              <w:rPr>
                <w:sz w:val="18"/>
                <w:szCs w:val="18"/>
              </w:rPr>
            </w:pPr>
            <w:r w:rsidRPr="00177F47">
              <w:rPr>
                <w:sz w:val="18"/>
                <w:szCs w:val="18"/>
              </w:rPr>
              <w:t>3.44 (±1.38)</w:t>
            </w:r>
          </w:p>
        </w:tc>
        <w:tc>
          <w:tcPr>
            <w:tcW w:w="1843" w:type="dxa"/>
          </w:tcPr>
          <w:p w14:paraId="6CD4B4DC" w14:textId="77777777" w:rsidR="000E3927" w:rsidRPr="00177F47" w:rsidRDefault="000E3927" w:rsidP="00645BEC">
            <w:pPr>
              <w:jc w:val="center"/>
              <w:rPr>
                <w:sz w:val="18"/>
                <w:szCs w:val="18"/>
              </w:rPr>
            </w:pPr>
          </w:p>
        </w:tc>
        <w:tc>
          <w:tcPr>
            <w:tcW w:w="1417" w:type="dxa"/>
          </w:tcPr>
          <w:p w14:paraId="372B6052" w14:textId="77777777" w:rsidR="000E3927" w:rsidRPr="00177F47" w:rsidRDefault="000E3927" w:rsidP="00645BEC">
            <w:pPr>
              <w:jc w:val="center"/>
              <w:rPr>
                <w:sz w:val="18"/>
                <w:szCs w:val="18"/>
              </w:rPr>
            </w:pPr>
          </w:p>
        </w:tc>
      </w:tr>
    </w:tbl>
    <w:p w14:paraId="252D8BC0" w14:textId="77777777" w:rsidR="000E3927" w:rsidRPr="007D4D48" w:rsidRDefault="000E3927" w:rsidP="000E3927">
      <w:pPr>
        <w:jc w:val="both"/>
        <w:rPr>
          <w:sz w:val="18"/>
          <w:szCs w:val="18"/>
        </w:rPr>
      </w:pPr>
      <w:r>
        <w:rPr>
          <w:sz w:val="18"/>
          <w:szCs w:val="18"/>
        </w:rPr>
        <w:t xml:space="preserve">CGI: clinical global impression; DUI: duration of untreated illness; </w:t>
      </w:r>
      <w:r w:rsidRPr="007D4D48">
        <w:rPr>
          <w:sz w:val="18"/>
          <w:szCs w:val="18"/>
        </w:rPr>
        <w:t xml:space="preserve">FEP: first episode psychosis; </w:t>
      </w:r>
      <w:r>
        <w:rPr>
          <w:sz w:val="18"/>
          <w:szCs w:val="18"/>
        </w:rPr>
        <w:t xml:space="preserve">GAF: global assessment of functioning; </w:t>
      </w:r>
      <w:r w:rsidRPr="007D4D48">
        <w:rPr>
          <w:sz w:val="18"/>
          <w:szCs w:val="18"/>
        </w:rPr>
        <w:t>HC: healthy controls; PANSS: positive and negative symptoms scale</w:t>
      </w:r>
      <w:r>
        <w:rPr>
          <w:sz w:val="18"/>
          <w:szCs w:val="18"/>
        </w:rPr>
        <w:t>.</w:t>
      </w:r>
    </w:p>
    <w:p w14:paraId="50FDD13E" w14:textId="345121EC" w:rsidR="000E3927" w:rsidRDefault="000E3927" w:rsidP="00604819">
      <w:pPr>
        <w:outlineLvl w:val="0"/>
        <w:rPr>
          <w:rFonts w:cstheme="minorHAnsi"/>
          <w:sz w:val="22"/>
          <w:szCs w:val="22"/>
        </w:rPr>
      </w:pPr>
    </w:p>
    <w:p w14:paraId="278F31E1" w14:textId="3B7941BB" w:rsidR="000E3927" w:rsidRDefault="000E3927" w:rsidP="00604819">
      <w:pPr>
        <w:outlineLvl w:val="0"/>
        <w:rPr>
          <w:rFonts w:cstheme="minorHAnsi"/>
          <w:sz w:val="22"/>
          <w:szCs w:val="22"/>
        </w:rPr>
      </w:pPr>
    </w:p>
    <w:p w14:paraId="442188FF" w14:textId="2CF2D616" w:rsidR="00604819" w:rsidRPr="004476FA" w:rsidRDefault="00604819" w:rsidP="00D91740">
      <w:pPr>
        <w:outlineLvl w:val="0"/>
        <w:rPr>
          <w:rFonts w:asciiTheme="majorHAnsi" w:hAnsiTheme="majorHAnsi"/>
          <w:sz w:val="22"/>
          <w:szCs w:val="22"/>
        </w:rPr>
      </w:pPr>
      <w:r w:rsidRPr="00966CD8">
        <w:rPr>
          <w:rFonts w:cstheme="minorHAnsi"/>
          <w:b/>
          <w:sz w:val="22"/>
          <w:szCs w:val="22"/>
        </w:rPr>
        <w:t xml:space="preserve">Supplementary Table </w:t>
      </w:r>
      <w:r w:rsidR="000E3927">
        <w:rPr>
          <w:rFonts w:cstheme="minorHAnsi"/>
          <w:b/>
          <w:sz w:val="22"/>
          <w:szCs w:val="22"/>
        </w:rPr>
        <w:t>2</w:t>
      </w:r>
      <w:r w:rsidRPr="00966CD8">
        <w:rPr>
          <w:rFonts w:cstheme="minorHAnsi"/>
          <w:b/>
          <w:sz w:val="22"/>
          <w:szCs w:val="22"/>
        </w:rPr>
        <w:t>.</w:t>
      </w:r>
      <w:r w:rsidRPr="00966CD8">
        <w:rPr>
          <w:rFonts w:cstheme="minorHAnsi"/>
          <w:sz w:val="22"/>
          <w:szCs w:val="22"/>
        </w:rPr>
        <w:t xml:space="preserve"> </w:t>
      </w:r>
      <w:r w:rsidR="00DD3C03" w:rsidRPr="000361CD">
        <w:rPr>
          <w:sz w:val="22"/>
          <w:szCs w:val="22"/>
        </w:rPr>
        <w:t>Demographic characteristics per site (chi square for nominal variables and t-test for continuous variables)</w:t>
      </w:r>
      <w:r w:rsidR="00DD3C03">
        <w:rPr>
          <w:sz w:val="22"/>
          <w:szCs w:val="22"/>
        </w:rPr>
        <w:t xml:space="preserve"> </w:t>
      </w:r>
    </w:p>
    <w:tbl>
      <w:tblPr>
        <w:tblStyle w:val="Grigliatabella"/>
        <w:tblW w:w="0" w:type="auto"/>
        <w:tblLook w:val="04A0" w:firstRow="1" w:lastRow="0" w:firstColumn="1" w:lastColumn="0" w:noHBand="0" w:noVBand="1"/>
      </w:tblPr>
      <w:tblGrid>
        <w:gridCol w:w="821"/>
        <w:gridCol w:w="973"/>
        <w:gridCol w:w="948"/>
        <w:gridCol w:w="887"/>
        <w:gridCol w:w="981"/>
        <w:gridCol w:w="978"/>
        <w:gridCol w:w="887"/>
        <w:gridCol w:w="978"/>
        <w:gridCol w:w="978"/>
        <w:gridCol w:w="1197"/>
      </w:tblGrid>
      <w:tr w:rsidR="00DD3C03" w14:paraId="0C3A26C4" w14:textId="77777777" w:rsidTr="00645BEC">
        <w:tc>
          <w:tcPr>
            <w:tcW w:w="821" w:type="dxa"/>
            <w:shd w:val="clear" w:color="auto" w:fill="D9D9D9" w:themeFill="background1" w:themeFillShade="D9"/>
          </w:tcPr>
          <w:p w14:paraId="2A5AEB20" w14:textId="77777777" w:rsidR="00DD3C03" w:rsidRPr="001B25E1" w:rsidRDefault="00DD3C03" w:rsidP="00645BEC">
            <w:pPr>
              <w:rPr>
                <w:highlight w:val="lightGray"/>
              </w:rPr>
            </w:pPr>
          </w:p>
        </w:tc>
        <w:tc>
          <w:tcPr>
            <w:tcW w:w="973" w:type="dxa"/>
            <w:shd w:val="clear" w:color="auto" w:fill="D9D9D9" w:themeFill="background1" w:themeFillShade="D9"/>
          </w:tcPr>
          <w:p w14:paraId="7CFAF4A7" w14:textId="77777777" w:rsidR="00DD3C03" w:rsidRPr="00FE1519" w:rsidRDefault="00DD3C03" w:rsidP="00645BEC">
            <w:pPr>
              <w:rPr>
                <w:b/>
                <w:highlight w:val="lightGray"/>
              </w:rPr>
            </w:pPr>
            <w:r w:rsidRPr="00FE1519">
              <w:rPr>
                <w:b/>
                <w:highlight w:val="lightGray"/>
              </w:rPr>
              <w:t>Site 1</w:t>
            </w:r>
          </w:p>
        </w:tc>
        <w:tc>
          <w:tcPr>
            <w:tcW w:w="948" w:type="dxa"/>
            <w:shd w:val="clear" w:color="auto" w:fill="D9D9D9" w:themeFill="background1" w:themeFillShade="D9"/>
          </w:tcPr>
          <w:p w14:paraId="42889631" w14:textId="77777777" w:rsidR="00DD3C03" w:rsidRPr="00FE1519" w:rsidRDefault="00DD3C03" w:rsidP="00645BEC">
            <w:pPr>
              <w:rPr>
                <w:b/>
                <w:highlight w:val="lightGray"/>
              </w:rPr>
            </w:pPr>
            <w:r w:rsidRPr="00FE1519">
              <w:rPr>
                <w:b/>
                <w:highlight w:val="lightGray"/>
              </w:rPr>
              <w:t>Site 2</w:t>
            </w:r>
          </w:p>
        </w:tc>
        <w:tc>
          <w:tcPr>
            <w:tcW w:w="887" w:type="dxa"/>
            <w:shd w:val="clear" w:color="auto" w:fill="D9D9D9" w:themeFill="background1" w:themeFillShade="D9"/>
          </w:tcPr>
          <w:p w14:paraId="0CF6A275" w14:textId="77777777" w:rsidR="00DD3C03" w:rsidRPr="00FE1519" w:rsidRDefault="00DD3C03" w:rsidP="00645BEC">
            <w:pPr>
              <w:rPr>
                <w:b/>
                <w:highlight w:val="lightGray"/>
              </w:rPr>
            </w:pPr>
            <w:r w:rsidRPr="00FE1519">
              <w:rPr>
                <w:b/>
                <w:highlight w:val="lightGray"/>
              </w:rPr>
              <w:t>Site 3</w:t>
            </w:r>
          </w:p>
        </w:tc>
        <w:tc>
          <w:tcPr>
            <w:tcW w:w="981" w:type="dxa"/>
            <w:shd w:val="clear" w:color="auto" w:fill="D9D9D9" w:themeFill="background1" w:themeFillShade="D9"/>
          </w:tcPr>
          <w:p w14:paraId="6CC30F02" w14:textId="77777777" w:rsidR="00DD3C03" w:rsidRPr="00FE1519" w:rsidRDefault="00DD3C03" w:rsidP="00645BEC">
            <w:pPr>
              <w:rPr>
                <w:b/>
                <w:highlight w:val="lightGray"/>
              </w:rPr>
            </w:pPr>
            <w:r w:rsidRPr="00FE1519">
              <w:rPr>
                <w:b/>
                <w:highlight w:val="lightGray"/>
              </w:rPr>
              <w:t>Site 4</w:t>
            </w:r>
          </w:p>
        </w:tc>
        <w:tc>
          <w:tcPr>
            <w:tcW w:w="978" w:type="dxa"/>
            <w:shd w:val="clear" w:color="auto" w:fill="D9D9D9" w:themeFill="background1" w:themeFillShade="D9"/>
          </w:tcPr>
          <w:p w14:paraId="1223BBE3" w14:textId="77777777" w:rsidR="00DD3C03" w:rsidRPr="00FE1519" w:rsidRDefault="00DD3C03" w:rsidP="00645BEC">
            <w:pPr>
              <w:rPr>
                <w:b/>
                <w:highlight w:val="lightGray"/>
              </w:rPr>
            </w:pPr>
            <w:r w:rsidRPr="00FE1519">
              <w:rPr>
                <w:b/>
                <w:highlight w:val="lightGray"/>
              </w:rPr>
              <w:t>Site 5</w:t>
            </w:r>
          </w:p>
        </w:tc>
        <w:tc>
          <w:tcPr>
            <w:tcW w:w="887" w:type="dxa"/>
            <w:shd w:val="clear" w:color="auto" w:fill="D9D9D9" w:themeFill="background1" w:themeFillShade="D9"/>
          </w:tcPr>
          <w:p w14:paraId="7FEBA630" w14:textId="77777777" w:rsidR="00DD3C03" w:rsidRPr="00FE1519" w:rsidRDefault="00DD3C03" w:rsidP="00645BEC">
            <w:pPr>
              <w:rPr>
                <w:b/>
                <w:highlight w:val="lightGray"/>
              </w:rPr>
            </w:pPr>
            <w:r w:rsidRPr="00FE1519">
              <w:rPr>
                <w:b/>
                <w:highlight w:val="lightGray"/>
              </w:rPr>
              <w:t>Site 6</w:t>
            </w:r>
          </w:p>
        </w:tc>
        <w:tc>
          <w:tcPr>
            <w:tcW w:w="978" w:type="dxa"/>
            <w:shd w:val="clear" w:color="auto" w:fill="D9D9D9" w:themeFill="background1" w:themeFillShade="D9"/>
          </w:tcPr>
          <w:p w14:paraId="0E537E85" w14:textId="77777777" w:rsidR="00DD3C03" w:rsidRPr="00FE1519" w:rsidRDefault="00DD3C03" w:rsidP="00645BEC">
            <w:pPr>
              <w:rPr>
                <w:b/>
                <w:highlight w:val="lightGray"/>
              </w:rPr>
            </w:pPr>
            <w:r w:rsidRPr="00FE1519">
              <w:rPr>
                <w:b/>
                <w:highlight w:val="lightGray"/>
              </w:rPr>
              <w:t xml:space="preserve"> Site 7</w:t>
            </w:r>
          </w:p>
        </w:tc>
        <w:tc>
          <w:tcPr>
            <w:tcW w:w="978" w:type="dxa"/>
            <w:shd w:val="clear" w:color="auto" w:fill="D9D9D9" w:themeFill="background1" w:themeFillShade="D9"/>
          </w:tcPr>
          <w:p w14:paraId="34296A31" w14:textId="77777777" w:rsidR="00DD3C03" w:rsidRPr="00FE1519" w:rsidRDefault="00DD3C03" w:rsidP="00645BEC">
            <w:pPr>
              <w:rPr>
                <w:b/>
                <w:highlight w:val="lightGray"/>
              </w:rPr>
            </w:pPr>
            <w:r w:rsidRPr="00FE1519">
              <w:rPr>
                <w:b/>
                <w:highlight w:val="lightGray"/>
              </w:rPr>
              <w:t>Site 8</w:t>
            </w:r>
          </w:p>
        </w:tc>
        <w:tc>
          <w:tcPr>
            <w:tcW w:w="1197" w:type="dxa"/>
            <w:shd w:val="clear" w:color="auto" w:fill="D9D9D9" w:themeFill="background1" w:themeFillShade="D9"/>
          </w:tcPr>
          <w:p w14:paraId="33DBA448" w14:textId="77777777" w:rsidR="00DD3C03" w:rsidRPr="00FE1519" w:rsidRDefault="00DD3C03" w:rsidP="00645BEC">
            <w:pPr>
              <w:rPr>
                <w:b/>
                <w:highlight w:val="lightGray"/>
              </w:rPr>
            </w:pPr>
            <w:r>
              <w:rPr>
                <w:b/>
                <w:highlight w:val="lightGray"/>
              </w:rPr>
              <w:t>Statistics</w:t>
            </w:r>
          </w:p>
        </w:tc>
      </w:tr>
      <w:tr w:rsidR="00DD3C03" w14:paraId="52F08D51" w14:textId="77777777" w:rsidTr="00645BEC">
        <w:tc>
          <w:tcPr>
            <w:tcW w:w="821" w:type="dxa"/>
            <w:vAlign w:val="center"/>
          </w:tcPr>
          <w:p w14:paraId="2DEDE10E" w14:textId="77777777" w:rsidR="00DD3C03" w:rsidRPr="009E4C6A" w:rsidRDefault="00DD3C03" w:rsidP="00645BEC">
            <w:pPr>
              <w:jc w:val="center"/>
              <w:rPr>
                <w:b/>
                <w:sz w:val="18"/>
                <w:szCs w:val="18"/>
              </w:rPr>
            </w:pPr>
            <w:r w:rsidRPr="009E4C6A">
              <w:rPr>
                <w:b/>
                <w:sz w:val="18"/>
                <w:szCs w:val="18"/>
              </w:rPr>
              <w:t>Age</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DFA43D" w14:textId="77777777" w:rsidR="00DD3C03" w:rsidRPr="009E4C6A" w:rsidRDefault="00DD3C03" w:rsidP="00645BEC">
            <w:pPr>
              <w:jc w:val="center"/>
              <w:rPr>
                <w:sz w:val="18"/>
                <w:szCs w:val="18"/>
              </w:rPr>
            </w:pPr>
            <w:r w:rsidRPr="009E4C6A">
              <w:rPr>
                <w:sz w:val="18"/>
                <w:szCs w:val="18"/>
              </w:rPr>
              <w:t>29.10</w:t>
            </w:r>
          </w:p>
          <w:p w14:paraId="33AC7CF2" w14:textId="77777777" w:rsidR="00DD3C03" w:rsidRPr="009E4C6A" w:rsidRDefault="00DD3C03" w:rsidP="00645BEC">
            <w:pPr>
              <w:jc w:val="center"/>
              <w:rPr>
                <w:sz w:val="18"/>
                <w:szCs w:val="18"/>
              </w:rPr>
            </w:pPr>
            <w:r w:rsidRPr="009E4C6A">
              <w:rPr>
                <w:sz w:val="18"/>
                <w:szCs w:val="18"/>
              </w:rPr>
              <w:t>(±5.72)</w:t>
            </w:r>
          </w:p>
        </w:tc>
        <w:tc>
          <w:tcPr>
            <w:tcW w:w="9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22002" w14:textId="77777777" w:rsidR="00DD3C03" w:rsidRPr="009E4C6A" w:rsidRDefault="00DD3C03" w:rsidP="00645BEC">
            <w:pPr>
              <w:jc w:val="center"/>
              <w:rPr>
                <w:sz w:val="18"/>
                <w:szCs w:val="18"/>
              </w:rPr>
            </w:pPr>
            <w:r w:rsidRPr="009E4C6A">
              <w:rPr>
                <w:sz w:val="18"/>
                <w:szCs w:val="18"/>
              </w:rPr>
              <w:t>25.92</w:t>
            </w:r>
          </w:p>
          <w:p w14:paraId="32D2F399" w14:textId="77777777" w:rsidR="00DD3C03" w:rsidRPr="009E4C6A" w:rsidRDefault="00DD3C03" w:rsidP="00645BEC">
            <w:pPr>
              <w:jc w:val="center"/>
              <w:rPr>
                <w:sz w:val="18"/>
                <w:szCs w:val="18"/>
              </w:rPr>
            </w:pPr>
            <w:r w:rsidRPr="009E4C6A">
              <w:rPr>
                <w:sz w:val="18"/>
                <w:szCs w:val="18"/>
              </w:rPr>
              <w:t>(±5.18)</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D80C9F" w14:textId="77777777" w:rsidR="00DD3C03" w:rsidRPr="009E4C6A" w:rsidRDefault="00DD3C03" w:rsidP="00645BEC">
            <w:pPr>
              <w:jc w:val="center"/>
              <w:rPr>
                <w:sz w:val="18"/>
                <w:szCs w:val="18"/>
              </w:rPr>
            </w:pPr>
            <w:r w:rsidRPr="009E4C6A">
              <w:rPr>
                <w:sz w:val="18"/>
                <w:szCs w:val="18"/>
              </w:rPr>
              <w:t>29.65</w:t>
            </w:r>
          </w:p>
          <w:p w14:paraId="38691A03" w14:textId="77777777" w:rsidR="00DD3C03" w:rsidRPr="009E4C6A" w:rsidRDefault="00DD3C03" w:rsidP="00645BEC">
            <w:pPr>
              <w:jc w:val="center"/>
              <w:rPr>
                <w:sz w:val="18"/>
                <w:szCs w:val="18"/>
              </w:rPr>
            </w:pPr>
            <w:r w:rsidRPr="009E4C6A">
              <w:rPr>
                <w:sz w:val="18"/>
                <w:szCs w:val="18"/>
              </w:rPr>
              <w:t>(±6.53)</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7AE4C" w14:textId="77777777" w:rsidR="00DD3C03" w:rsidRPr="009E4C6A" w:rsidRDefault="00DD3C03" w:rsidP="00645BEC">
            <w:pPr>
              <w:jc w:val="center"/>
              <w:rPr>
                <w:sz w:val="18"/>
                <w:szCs w:val="18"/>
              </w:rPr>
            </w:pPr>
            <w:r w:rsidRPr="009E4C6A">
              <w:rPr>
                <w:sz w:val="18"/>
                <w:szCs w:val="18"/>
              </w:rPr>
              <w:t>27.07</w:t>
            </w:r>
          </w:p>
          <w:p w14:paraId="2E865ED8" w14:textId="77777777" w:rsidR="00DD3C03" w:rsidRPr="009E4C6A" w:rsidRDefault="00DD3C03" w:rsidP="00645BEC">
            <w:pPr>
              <w:jc w:val="center"/>
              <w:rPr>
                <w:sz w:val="18"/>
                <w:szCs w:val="18"/>
              </w:rPr>
            </w:pPr>
            <w:r w:rsidRPr="009E4C6A">
              <w:rPr>
                <w:sz w:val="18"/>
                <w:szCs w:val="18"/>
              </w:rPr>
              <w:t>(±7.54)</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F15803" w14:textId="77777777" w:rsidR="00DD3C03" w:rsidRPr="009E4C6A" w:rsidRDefault="00DD3C03" w:rsidP="00645BEC">
            <w:pPr>
              <w:jc w:val="center"/>
              <w:rPr>
                <w:sz w:val="18"/>
                <w:szCs w:val="18"/>
              </w:rPr>
            </w:pPr>
            <w:r w:rsidRPr="009E4C6A">
              <w:rPr>
                <w:sz w:val="18"/>
                <w:szCs w:val="18"/>
              </w:rPr>
              <w:t>26.1</w:t>
            </w:r>
          </w:p>
          <w:p w14:paraId="0CCA593D" w14:textId="77777777" w:rsidR="00DD3C03" w:rsidRPr="009E4C6A" w:rsidRDefault="00DD3C03" w:rsidP="00645BEC">
            <w:pPr>
              <w:jc w:val="center"/>
              <w:rPr>
                <w:sz w:val="18"/>
                <w:szCs w:val="18"/>
              </w:rPr>
            </w:pPr>
            <w:r w:rsidRPr="009E4C6A">
              <w:rPr>
                <w:sz w:val="18"/>
                <w:szCs w:val="18"/>
              </w:rPr>
              <w:t>(±5.8)</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CE2D3C" w14:textId="77777777" w:rsidR="00DD3C03" w:rsidRPr="009E4C6A" w:rsidRDefault="00DD3C03" w:rsidP="00645BEC">
            <w:pPr>
              <w:jc w:val="center"/>
              <w:rPr>
                <w:sz w:val="18"/>
                <w:szCs w:val="18"/>
              </w:rPr>
            </w:pPr>
            <w:r w:rsidRPr="009E4C6A">
              <w:rPr>
                <w:sz w:val="18"/>
                <w:szCs w:val="18"/>
              </w:rPr>
              <w:t>21.86</w:t>
            </w:r>
          </w:p>
          <w:p w14:paraId="05AA39DB" w14:textId="77777777" w:rsidR="00DD3C03" w:rsidRPr="009E4C6A" w:rsidRDefault="00DD3C03" w:rsidP="00645BEC">
            <w:pPr>
              <w:jc w:val="center"/>
              <w:rPr>
                <w:sz w:val="18"/>
                <w:szCs w:val="18"/>
              </w:rPr>
            </w:pPr>
            <w:r w:rsidRPr="009E4C6A">
              <w:rPr>
                <w:sz w:val="18"/>
                <w:szCs w:val="18"/>
              </w:rPr>
              <w:t>(±3.90)</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7A3EFA" w14:textId="77777777" w:rsidR="00DD3C03" w:rsidRPr="009E4C6A" w:rsidRDefault="00DD3C03" w:rsidP="00645BEC">
            <w:pPr>
              <w:jc w:val="center"/>
              <w:rPr>
                <w:sz w:val="18"/>
                <w:szCs w:val="18"/>
              </w:rPr>
            </w:pPr>
            <w:r w:rsidRPr="009E4C6A">
              <w:rPr>
                <w:sz w:val="18"/>
                <w:szCs w:val="18"/>
              </w:rPr>
              <w:t>29.59</w:t>
            </w:r>
          </w:p>
          <w:p w14:paraId="62CEF467" w14:textId="77777777" w:rsidR="00DD3C03" w:rsidRPr="009E4C6A" w:rsidRDefault="00DD3C03" w:rsidP="00645BEC">
            <w:pPr>
              <w:jc w:val="center"/>
              <w:rPr>
                <w:sz w:val="18"/>
                <w:szCs w:val="18"/>
              </w:rPr>
            </w:pPr>
            <w:r w:rsidRPr="009E4C6A">
              <w:rPr>
                <w:sz w:val="18"/>
                <w:szCs w:val="18"/>
              </w:rPr>
              <w:t>(±8.54)</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830FBA" w14:textId="77777777" w:rsidR="00DD3C03" w:rsidRPr="009E4C6A" w:rsidRDefault="00DD3C03" w:rsidP="00645BEC">
            <w:pPr>
              <w:jc w:val="center"/>
              <w:rPr>
                <w:sz w:val="18"/>
                <w:szCs w:val="18"/>
              </w:rPr>
            </w:pPr>
            <w:r w:rsidRPr="009E4C6A">
              <w:rPr>
                <w:sz w:val="18"/>
                <w:szCs w:val="18"/>
              </w:rPr>
              <w:t>26.2</w:t>
            </w:r>
          </w:p>
          <w:p w14:paraId="16FF1329" w14:textId="77777777" w:rsidR="00DD3C03" w:rsidRPr="009E4C6A" w:rsidRDefault="00DD3C03" w:rsidP="00645BEC">
            <w:pPr>
              <w:jc w:val="center"/>
              <w:rPr>
                <w:sz w:val="18"/>
                <w:szCs w:val="18"/>
              </w:rPr>
            </w:pPr>
            <w:r w:rsidRPr="009E4C6A">
              <w:rPr>
                <w:sz w:val="18"/>
                <w:szCs w:val="18"/>
              </w:rPr>
              <w:t>(±7.3)</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8ED566" w14:textId="77777777" w:rsidR="00DD3C03" w:rsidRPr="009E4C6A" w:rsidRDefault="00DD3C03" w:rsidP="00645BEC">
            <w:pPr>
              <w:jc w:val="center"/>
              <w:rPr>
                <w:sz w:val="18"/>
                <w:szCs w:val="18"/>
              </w:rPr>
            </w:pPr>
            <w:r w:rsidRPr="009E4C6A">
              <w:rPr>
                <w:sz w:val="18"/>
                <w:szCs w:val="18"/>
              </w:rPr>
              <w:t>p&lt;0.001</w:t>
            </w:r>
          </w:p>
          <w:p w14:paraId="4C9D8B29" w14:textId="77777777" w:rsidR="00DD3C03" w:rsidRPr="009E4C6A" w:rsidRDefault="00DD3C03" w:rsidP="00645BEC">
            <w:pPr>
              <w:jc w:val="center"/>
              <w:rPr>
                <w:sz w:val="18"/>
                <w:szCs w:val="18"/>
              </w:rPr>
            </w:pPr>
          </w:p>
        </w:tc>
      </w:tr>
      <w:tr w:rsidR="00DD3C03" w14:paraId="2ED12B50" w14:textId="77777777" w:rsidTr="00645BEC">
        <w:tc>
          <w:tcPr>
            <w:tcW w:w="821" w:type="dxa"/>
            <w:vAlign w:val="center"/>
          </w:tcPr>
          <w:p w14:paraId="716A4C11" w14:textId="77777777" w:rsidR="00DD3C03" w:rsidRPr="009E4C6A" w:rsidRDefault="00DD3C03" w:rsidP="00645BEC">
            <w:pPr>
              <w:jc w:val="center"/>
              <w:rPr>
                <w:b/>
                <w:sz w:val="18"/>
                <w:szCs w:val="18"/>
              </w:rPr>
            </w:pPr>
            <w:r w:rsidRPr="009E4C6A">
              <w:rPr>
                <w:b/>
                <w:sz w:val="18"/>
                <w:szCs w:val="18"/>
              </w:rPr>
              <w:t>Sex</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F51ABE" w14:textId="77777777" w:rsidR="00DD3C03" w:rsidRPr="009E4C6A" w:rsidRDefault="00DD3C03" w:rsidP="00645BEC">
            <w:pPr>
              <w:jc w:val="center"/>
              <w:rPr>
                <w:sz w:val="18"/>
                <w:szCs w:val="18"/>
              </w:rPr>
            </w:pPr>
            <w:r w:rsidRPr="009E4C6A">
              <w:rPr>
                <w:sz w:val="18"/>
                <w:szCs w:val="18"/>
              </w:rPr>
              <w:t>18/31</w:t>
            </w:r>
          </w:p>
        </w:tc>
        <w:tc>
          <w:tcPr>
            <w:tcW w:w="9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0FBA85" w14:textId="77777777" w:rsidR="00DD3C03" w:rsidRPr="009E4C6A" w:rsidRDefault="00DD3C03" w:rsidP="00645BEC">
            <w:pPr>
              <w:jc w:val="center"/>
              <w:rPr>
                <w:sz w:val="18"/>
                <w:szCs w:val="18"/>
              </w:rPr>
            </w:pPr>
            <w:r w:rsidRPr="009E4C6A">
              <w:rPr>
                <w:sz w:val="18"/>
                <w:szCs w:val="18"/>
              </w:rPr>
              <w:t>66/64</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7375CE" w14:textId="77777777" w:rsidR="00DD3C03" w:rsidRPr="009E4C6A" w:rsidRDefault="00DD3C03" w:rsidP="00645BEC">
            <w:pPr>
              <w:jc w:val="center"/>
              <w:rPr>
                <w:sz w:val="18"/>
                <w:szCs w:val="18"/>
              </w:rPr>
            </w:pPr>
            <w:r w:rsidRPr="009E4C6A">
              <w:rPr>
                <w:sz w:val="18"/>
                <w:szCs w:val="18"/>
              </w:rPr>
              <w:t>32/31</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7B327C" w14:textId="77777777" w:rsidR="00DD3C03" w:rsidRPr="009E4C6A" w:rsidRDefault="00DD3C03" w:rsidP="00645BEC">
            <w:pPr>
              <w:jc w:val="center"/>
              <w:rPr>
                <w:sz w:val="18"/>
                <w:szCs w:val="18"/>
              </w:rPr>
            </w:pPr>
            <w:r w:rsidRPr="009E4C6A">
              <w:rPr>
                <w:sz w:val="18"/>
                <w:szCs w:val="18"/>
              </w:rPr>
              <w:t>89/118</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4C7FEF" w14:textId="77777777" w:rsidR="00DD3C03" w:rsidRPr="009E4C6A" w:rsidRDefault="00DD3C03" w:rsidP="00645BEC">
            <w:pPr>
              <w:jc w:val="center"/>
              <w:rPr>
                <w:sz w:val="18"/>
                <w:szCs w:val="18"/>
              </w:rPr>
            </w:pPr>
            <w:r w:rsidRPr="009E4C6A">
              <w:rPr>
                <w:sz w:val="18"/>
                <w:szCs w:val="18"/>
              </w:rPr>
              <w:t>47/73</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D4D933" w14:textId="77777777" w:rsidR="00DD3C03" w:rsidRPr="009E4C6A" w:rsidRDefault="00DD3C03" w:rsidP="00645BEC">
            <w:pPr>
              <w:jc w:val="center"/>
              <w:rPr>
                <w:sz w:val="18"/>
                <w:szCs w:val="18"/>
              </w:rPr>
            </w:pPr>
            <w:r w:rsidRPr="009E4C6A">
              <w:rPr>
                <w:sz w:val="18"/>
                <w:szCs w:val="18"/>
              </w:rPr>
              <w:t>24/23</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9D7084" w14:textId="77777777" w:rsidR="00DD3C03" w:rsidRPr="009E4C6A" w:rsidRDefault="00DD3C03" w:rsidP="00645BEC">
            <w:pPr>
              <w:jc w:val="center"/>
              <w:rPr>
                <w:sz w:val="18"/>
                <w:szCs w:val="18"/>
              </w:rPr>
            </w:pPr>
            <w:r w:rsidRPr="009E4C6A">
              <w:rPr>
                <w:sz w:val="18"/>
                <w:szCs w:val="18"/>
              </w:rPr>
              <w:t>71/77</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F23C84" w14:textId="77777777" w:rsidR="00DD3C03" w:rsidRPr="009E4C6A" w:rsidRDefault="00DD3C03" w:rsidP="00645BEC">
            <w:pPr>
              <w:jc w:val="center"/>
              <w:rPr>
                <w:sz w:val="18"/>
                <w:szCs w:val="18"/>
              </w:rPr>
            </w:pPr>
            <w:r w:rsidRPr="009E4C6A">
              <w:rPr>
                <w:sz w:val="18"/>
                <w:szCs w:val="18"/>
              </w:rPr>
              <w:t>29/81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084F25" w14:textId="77777777" w:rsidR="00DD3C03" w:rsidRPr="009E4C6A" w:rsidRDefault="00DD3C03" w:rsidP="00645BEC">
            <w:pPr>
              <w:jc w:val="center"/>
              <w:rPr>
                <w:sz w:val="18"/>
                <w:szCs w:val="18"/>
              </w:rPr>
            </w:pPr>
            <w:r w:rsidRPr="009E4C6A">
              <w:rPr>
                <w:sz w:val="18"/>
                <w:szCs w:val="18"/>
              </w:rPr>
              <w:t>p=0.34</w:t>
            </w:r>
          </w:p>
        </w:tc>
      </w:tr>
      <w:tr w:rsidR="00DD3C03" w14:paraId="6CE25C57" w14:textId="77777777" w:rsidTr="00645BEC">
        <w:tc>
          <w:tcPr>
            <w:tcW w:w="821" w:type="dxa"/>
            <w:vAlign w:val="center"/>
          </w:tcPr>
          <w:p w14:paraId="297772FB" w14:textId="77777777" w:rsidR="00DD3C03" w:rsidRPr="009E4C6A" w:rsidRDefault="00DD3C03" w:rsidP="00645BEC">
            <w:pPr>
              <w:jc w:val="center"/>
              <w:rPr>
                <w:b/>
                <w:sz w:val="18"/>
                <w:szCs w:val="18"/>
              </w:rPr>
            </w:pPr>
            <w:r w:rsidRPr="009E4C6A">
              <w:rPr>
                <w:b/>
                <w:sz w:val="18"/>
                <w:szCs w:val="18"/>
              </w:rPr>
              <w:t>Age at onset</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82D5A2" w14:textId="77777777" w:rsidR="00DD3C03" w:rsidRPr="009E4C6A" w:rsidRDefault="00DD3C03" w:rsidP="00645BEC">
            <w:pPr>
              <w:jc w:val="center"/>
              <w:rPr>
                <w:sz w:val="18"/>
                <w:szCs w:val="18"/>
              </w:rPr>
            </w:pPr>
            <w:r w:rsidRPr="009E4C6A">
              <w:rPr>
                <w:sz w:val="18"/>
                <w:szCs w:val="18"/>
              </w:rPr>
              <w:t>27.5 (±7)</w:t>
            </w:r>
          </w:p>
        </w:tc>
        <w:tc>
          <w:tcPr>
            <w:tcW w:w="9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4A8882" w14:textId="77777777" w:rsidR="00DD3C03" w:rsidRPr="009E4C6A" w:rsidRDefault="00DD3C03" w:rsidP="00645BEC">
            <w:pPr>
              <w:jc w:val="center"/>
              <w:rPr>
                <w:sz w:val="18"/>
                <w:szCs w:val="18"/>
              </w:rPr>
            </w:pPr>
            <w:r w:rsidRPr="009E4C6A">
              <w:rPr>
                <w:sz w:val="18"/>
                <w:szCs w:val="18"/>
              </w:rPr>
              <w:t>NA</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63C933" w14:textId="77777777" w:rsidR="00DD3C03" w:rsidRPr="009E4C6A" w:rsidRDefault="00DD3C03" w:rsidP="00645BEC">
            <w:pPr>
              <w:jc w:val="center"/>
              <w:rPr>
                <w:sz w:val="18"/>
                <w:szCs w:val="18"/>
              </w:rPr>
            </w:pPr>
            <w:r w:rsidRPr="009E4C6A">
              <w:rPr>
                <w:sz w:val="18"/>
                <w:szCs w:val="18"/>
              </w:rPr>
              <w:t>30.8 (±7)</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2AB1E5" w14:textId="77777777" w:rsidR="00DD3C03" w:rsidRPr="009E4C6A" w:rsidRDefault="00DD3C03" w:rsidP="00645BEC">
            <w:pPr>
              <w:jc w:val="center"/>
              <w:rPr>
                <w:sz w:val="18"/>
                <w:szCs w:val="18"/>
              </w:rPr>
            </w:pPr>
            <w:r w:rsidRPr="009E4C6A">
              <w:rPr>
                <w:sz w:val="18"/>
                <w:szCs w:val="18"/>
              </w:rPr>
              <w:t>NA</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F78E82" w14:textId="77777777" w:rsidR="00DD3C03" w:rsidRPr="009E4C6A" w:rsidRDefault="00DD3C03" w:rsidP="00645BEC">
            <w:pPr>
              <w:jc w:val="center"/>
              <w:rPr>
                <w:sz w:val="18"/>
                <w:szCs w:val="18"/>
              </w:rPr>
            </w:pPr>
            <w:r w:rsidRPr="009E4C6A">
              <w:rPr>
                <w:sz w:val="18"/>
                <w:szCs w:val="18"/>
              </w:rPr>
              <w:t>NA</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22F5C7" w14:textId="77777777" w:rsidR="00DD3C03" w:rsidRPr="009E4C6A" w:rsidRDefault="00DD3C03" w:rsidP="00645BEC">
            <w:pPr>
              <w:jc w:val="center"/>
              <w:rPr>
                <w:sz w:val="18"/>
                <w:szCs w:val="18"/>
              </w:rPr>
            </w:pPr>
            <w:r w:rsidRPr="009E4C6A">
              <w:rPr>
                <w:sz w:val="18"/>
                <w:szCs w:val="18"/>
              </w:rPr>
              <w:t>20.1 (±5)</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3BCA5B" w14:textId="77777777" w:rsidR="00DD3C03" w:rsidRPr="009E4C6A" w:rsidRDefault="00DD3C03" w:rsidP="00645BEC">
            <w:pPr>
              <w:jc w:val="center"/>
              <w:rPr>
                <w:sz w:val="18"/>
                <w:szCs w:val="18"/>
              </w:rPr>
            </w:pPr>
            <w:r w:rsidRPr="009E4C6A">
              <w:rPr>
                <w:sz w:val="18"/>
                <w:szCs w:val="18"/>
              </w:rPr>
              <w:t>29.7 (±9)</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CED097" w14:textId="77777777" w:rsidR="00DD3C03" w:rsidRPr="009E4C6A" w:rsidRDefault="00DD3C03" w:rsidP="00645BEC">
            <w:pPr>
              <w:jc w:val="center"/>
              <w:rPr>
                <w:sz w:val="18"/>
                <w:szCs w:val="18"/>
              </w:rPr>
            </w:pPr>
            <w:r w:rsidRPr="009E4C6A">
              <w:rPr>
                <w:sz w:val="18"/>
                <w:szCs w:val="18"/>
              </w:rPr>
              <w:t>26.0 (±5)</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24E7ED" w14:textId="77777777" w:rsidR="00DD3C03" w:rsidRPr="009E4C6A" w:rsidRDefault="00DD3C03" w:rsidP="00645BEC">
            <w:pPr>
              <w:jc w:val="center"/>
              <w:rPr>
                <w:sz w:val="18"/>
                <w:szCs w:val="18"/>
              </w:rPr>
            </w:pPr>
            <w:r w:rsidRPr="009E4C6A">
              <w:rPr>
                <w:sz w:val="18"/>
                <w:szCs w:val="18"/>
              </w:rPr>
              <w:t>p&lt;.001</w:t>
            </w:r>
          </w:p>
        </w:tc>
      </w:tr>
      <w:tr w:rsidR="00DD3C03" w14:paraId="4D04BFD7" w14:textId="77777777" w:rsidTr="00645BEC">
        <w:tc>
          <w:tcPr>
            <w:tcW w:w="821" w:type="dxa"/>
            <w:vAlign w:val="center"/>
          </w:tcPr>
          <w:p w14:paraId="42FD6F5D" w14:textId="77777777" w:rsidR="00DD3C03" w:rsidRPr="009E4C6A" w:rsidRDefault="00DD3C03" w:rsidP="00645BEC">
            <w:pPr>
              <w:jc w:val="center"/>
              <w:rPr>
                <w:b/>
                <w:sz w:val="18"/>
                <w:szCs w:val="18"/>
              </w:rPr>
            </w:pPr>
            <w:r w:rsidRPr="009E4C6A">
              <w:rPr>
                <w:b/>
                <w:sz w:val="18"/>
                <w:szCs w:val="18"/>
              </w:rPr>
              <w:t>DUI</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A62312" w14:textId="77777777" w:rsidR="00DD3C03" w:rsidRPr="009E4C6A" w:rsidRDefault="00DD3C03" w:rsidP="00645BEC">
            <w:pPr>
              <w:jc w:val="center"/>
              <w:rPr>
                <w:sz w:val="18"/>
                <w:szCs w:val="18"/>
              </w:rPr>
            </w:pPr>
            <w:r w:rsidRPr="009E4C6A">
              <w:rPr>
                <w:sz w:val="18"/>
                <w:szCs w:val="18"/>
              </w:rPr>
              <w:t>7.9 (±12)</w:t>
            </w:r>
          </w:p>
        </w:tc>
        <w:tc>
          <w:tcPr>
            <w:tcW w:w="9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9C2CAC" w14:textId="77777777" w:rsidR="00DD3C03" w:rsidRPr="009E4C6A" w:rsidRDefault="00DD3C03" w:rsidP="00645BEC">
            <w:pPr>
              <w:jc w:val="center"/>
              <w:rPr>
                <w:sz w:val="18"/>
                <w:szCs w:val="18"/>
              </w:rPr>
            </w:pPr>
            <w:r w:rsidRPr="009E4C6A">
              <w:rPr>
                <w:sz w:val="18"/>
                <w:szCs w:val="18"/>
              </w:rPr>
              <w:t>NA</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6AB918" w14:textId="77777777" w:rsidR="00DD3C03" w:rsidRPr="009E4C6A" w:rsidRDefault="00DD3C03" w:rsidP="00645BEC">
            <w:pPr>
              <w:jc w:val="center"/>
              <w:rPr>
                <w:sz w:val="18"/>
                <w:szCs w:val="18"/>
              </w:rPr>
            </w:pPr>
            <w:r w:rsidRPr="009E4C6A">
              <w:rPr>
                <w:sz w:val="18"/>
                <w:szCs w:val="18"/>
              </w:rPr>
              <w:t>4.2 (±7)</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4BBC3E" w14:textId="77777777" w:rsidR="00DD3C03" w:rsidRPr="009E4C6A" w:rsidRDefault="00DD3C03" w:rsidP="00645BEC">
            <w:pPr>
              <w:jc w:val="center"/>
              <w:rPr>
                <w:sz w:val="18"/>
                <w:szCs w:val="18"/>
              </w:rPr>
            </w:pPr>
            <w:r w:rsidRPr="009E4C6A">
              <w:rPr>
                <w:sz w:val="18"/>
                <w:szCs w:val="18"/>
              </w:rPr>
              <w:t>7.09 (±1)</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8146ED" w14:textId="77777777" w:rsidR="00DD3C03" w:rsidRPr="009E4C6A" w:rsidRDefault="00DD3C03" w:rsidP="00645BEC">
            <w:pPr>
              <w:jc w:val="center"/>
              <w:rPr>
                <w:sz w:val="18"/>
                <w:szCs w:val="18"/>
              </w:rPr>
            </w:pPr>
            <w:r w:rsidRPr="009E4C6A">
              <w:rPr>
                <w:sz w:val="18"/>
                <w:szCs w:val="18"/>
              </w:rPr>
              <w:t>NA</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8AD8FA" w14:textId="77777777" w:rsidR="00DD3C03" w:rsidRPr="009E4C6A" w:rsidRDefault="00DD3C03" w:rsidP="00645BEC">
            <w:pPr>
              <w:jc w:val="center"/>
              <w:rPr>
                <w:sz w:val="18"/>
                <w:szCs w:val="18"/>
              </w:rPr>
            </w:pPr>
            <w:r w:rsidRPr="009E4C6A">
              <w:rPr>
                <w:sz w:val="18"/>
                <w:szCs w:val="18"/>
              </w:rPr>
              <w:t>3.4 (±5)</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B2B15B" w14:textId="77777777" w:rsidR="00DD3C03" w:rsidRPr="009E4C6A" w:rsidRDefault="00DD3C03" w:rsidP="00645BEC">
            <w:pPr>
              <w:jc w:val="center"/>
              <w:rPr>
                <w:sz w:val="18"/>
                <w:szCs w:val="18"/>
              </w:rPr>
            </w:pPr>
            <w:r w:rsidRPr="009E4C6A">
              <w:rPr>
                <w:sz w:val="18"/>
                <w:szCs w:val="18"/>
              </w:rPr>
              <w:t>NA</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4AD54A" w14:textId="77777777" w:rsidR="00DD3C03" w:rsidRPr="009E4C6A" w:rsidRDefault="00DD3C03" w:rsidP="00645BEC">
            <w:pPr>
              <w:jc w:val="center"/>
              <w:rPr>
                <w:sz w:val="18"/>
                <w:szCs w:val="18"/>
              </w:rPr>
            </w:pPr>
            <w:r w:rsidRPr="009E4C6A">
              <w:rPr>
                <w:sz w:val="18"/>
                <w:szCs w:val="18"/>
              </w:rPr>
              <w:t>2.2 (± 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E53A92" w14:textId="77777777" w:rsidR="00DD3C03" w:rsidRPr="009E4C6A" w:rsidRDefault="00DD3C03" w:rsidP="00645BEC">
            <w:pPr>
              <w:jc w:val="center"/>
              <w:rPr>
                <w:sz w:val="18"/>
                <w:szCs w:val="18"/>
              </w:rPr>
            </w:pPr>
            <w:r w:rsidRPr="009E4C6A">
              <w:rPr>
                <w:sz w:val="18"/>
                <w:szCs w:val="18"/>
              </w:rPr>
              <w:t>p=0.03</w:t>
            </w:r>
          </w:p>
        </w:tc>
      </w:tr>
      <w:tr w:rsidR="00DD3C03" w14:paraId="2B6C4DAB" w14:textId="77777777" w:rsidTr="00645BEC">
        <w:tc>
          <w:tcPr>
            <w:tcW w:w="821" w:type="dxa"/>
            <w:vAlign w:val="center"/>
          </w:tcPr>
          <w:p w14:paraId="4A407BEA" w14:textId="77777777" w:rsidR="00DD3C03" w:rsidRPr="009E4C6A" w:rsidRDefault="00DD3C03" w:rsidP="00645BEC">
            <w:pPr>
              <w:jc w:val="center"/>
              <w:rPr>
                <w:b/>
                <w:sz w:val="18"/>
                <w:szCs w:val="18"/>
              </w:rPr>
            </w:pPr>
            <w:r w:rsidRPr="009E4C6A">
              <w:rPr>
                <w:b/>
                <w:sz w:val="18"/>
                <w:szCs w:val="18"/>
              </w:rPr>
              <w:t>PANSS pos</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DE8D8F" w14:textId="77777777" w:rsidR="00DD3C03" w:rsidRPr="009E4C6A" w:rsidRDefault="00DD3C03" w:rsidP="00645BEC">
            <w:pPr>
              <w:jc w:val="center"/>
              <w:rPr>
                <w:sz w:val="18"/>
                <w:szCs w:val="18"/>
              </w:rPr>
            </w:pPr>
            <w:r w:rsidRPr="009E4C6A">
              <w:rPr>
                <w:sz w:val="18"/>
                <w:szCs w:val="18"/>
              </w:rPr>
              <w:t>20.5 (±8.1)</w:t>
            </w:r>
          </w:p>
        </w:tc>
        <w:tc>
          <w:tcPr>
            <w:tcW w:w="9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E980B7" w14:textId="77777777" w:rsidR="00DD3C03" w:rsidRPr="009E4C6A" w:rsidRDefault="00DD3C03" w:rsidP="00645BEC">
            <w:pPr>
              <w:jc w:val="center"/>
              <w:rPr>
                <w:sz w:val="18"/>
                <w:szCs w:val="18"/>
              </w:rPr>
            </w:pPr>
            <w:r w:rsidRPr="009E4C6A">
              <w:rPr>
                <w:sz w:val="18"/>
                <w:szCs w:val="18"/>
              </w:rPr>
              <w:t>NA</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FBB730" w14:textId="77777777" w:rsidR="00DD3C03" w:rsidRPr="009E4C6A" w:rsidRDefault="00DD3C03" w:rsidP="00645BEC">
            <w:pPr>
              <w:jc w:val="center"/>
              <w:rPr>
                <w:sz w:val="18"/>
                <w:szCs w:val="18"/>
              </w:rPr>
            </w:pPr>
            <w:r w:rsidRPr="009E4C6A">
              <w:rPr>
                <w:sz w:val="18"/>
                <w:szCs w:val="18"/>
              </w:rPr>
              <w:t>13.7 (±4.1)</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AF6395" w14:textId="77777777" w:rsidR="00DD3C03" w:rsidRPr="009E4C6A" w:rsidRDefault="00DD3C03" w:rsidP="00645BEC">
            <w:pPr>
              <w:jc w:val="center"/>
              <w:rPr>
                <w:sz w:val="18"/>
                <w:szCs w:val="18"/>
              </w:rPr>
            </w:pPr>
            <w:r w:rsidRPr="009E4C6A">
              <w:rPr>
                <w:sz w:val="18"/>
                <w:szCs w:val="18"/>
              </w:rPr>
              <w:t>14.4 (±5.8)</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8C3F58" w14:textId="77777777" w:rsidR="00DD3C03" w:rsidRPr="009E4C6A" w:rsidRDefault="00DD3C03" w:rsidP="00645BEC">
            <w:pPr>
              <w:jc w:val="center"/>
              <w:rPr>
                <w:sz w:val="18"/>
                <w:szCs w:val="18"/>
              </w:rPr>
            </w:pPr>
            <w:r w:rsidRPr="009E4C6A">
              <w:rPr>
                <w:sz w:val="18"/>
                <w:szCs w:val="18"/>
              </w:rPr>
              <w:t>NA</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66E23F" w14:textId="77777777" w:rsidR="00DD3C03" w:rsidRPr="009E4C6A" w:rsidRDefault="00DD3C03" w:rsidP="00645BEC">
            <w:pPr>
              <w:jc w:val="center"/>
              <w:rPr>
                <w:sz w:val="18"/>
                <w:szCs w:val="18"/>
              </w:rPr>
            </w:pPr>
            <w:r w:rsidRPr="009E4C6A">
              <w:rPr>
                <w:sz w:val="18"/>
                <w:szCs w:val="18"/>
              </w:rPr>
              <w:t>15.4 (±6.8)</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02451B" w14:textId="77777777" w:rsidR="00DD3C03" w:rsidRPr="009E4C6A" w:rsidRDefault="00DD3C03" w:rsidP="00645BEC">
            <w:pPr>
              <w:jc w:val="center"/>
              <w:rPr>
                <w:sz w:val="18"/>
                <w:szCs w:val="18"/>
              </w:rPr>
            </w:pPr>
            <w:r w:rsidRPr="009E4C6A">
              <w:rPr>
                <w:sz w:val="18"/>
                <w:szCs w:val="18"/>
              </w:rPr>
              <w:t>15.6 (±7.1)</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21FBD1" w14:textId="77777777" w:rsidR="00DD3C03" w:rsidRPr="009E4C6A" w:rsidRDefault="00DD3C03" w:rsidP="00645BEC">
            <w:pPr>
              <w:jc w:val="center"/>
              <w:rPr>
                <w:sz w:val="18"/>
                <w:szCs w:val="18"/>
              </w:rPr>
            </w:pPr>
            <w:r w:rsidRPr="009E4C6A">
              <w:rPr>
                <w:sz w:val="18"/>
                <w:szCs w:val="18"/>
              </w:rPr>
              <w:t>13.5 (±8.6)</w:t>
            </w:r>
          </w:p>
        </w:tc>
        <w:tc>
          <w:tcPr>
            <w:tcW w:w="11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C6670D" w14:textId="77777777" w:rsidR="00DD3C03" w:rsidRPr="009E4C6A" w:rsidRDefault="00DD3C03" w:rsidP="00645BEC">
            <w:pPr>
              <w:jc w:val="center"/>
              <w:rPr>
                <w:sz w:val="18"/>
                <w:szCs w:val="18"/>
              </w:rPr>
            </w:pPr>
            <w:r w:rsidRPr="009E4C6A">
              <w:rPr>
                <w:sz w:val="18"/>
                <w:szCs w:val="18"/>
              </w:rPr>
              <w:t>p=0.132</w:t>
            </w:r>
          </w:p>
        </w:tc>
      </w:tr>
      <w:tr w:rsidR="00DD3C03" w14:paraId="4A704AE6" w14:textId="77777777" w:rsidTr="00645BEC">
        <w:tc>
          <w:tcPr>
            <w:tcW w:w="821" w:type="dxa"/>
            <w:vAlign w:val="center"/>
          </w:tcPr>
          <w:p w14:paraId="74EC5AD5" w14:textId="77777777" w:rsidR="00DD3C03" w:rsidRPr="009E4C6A" w:rsidRDefault="00DD3C03" w:rsidP="00645BEC">
            <w:pPr>
              <w:jc w:val="center"/>
              <w:rPr>
                <w:b/>
                <w:sz w:val="18"/>
                <w:szCs w:val="18"/>
              </w:rPr>
            </w:pPr>
            <w:r w:rsidRPr="009E4C6A">
              <w:rPr>
                <w:b/>
                <w:sz w:val="18"/>
                <w:szCs w:val="18"/>
              </w:rPr>
              <w:t>PANSS</w:t>
            </w:r>
          </w:p>
          <w:p w14:paraId="2A6582AF" w14:textId="77777777" w:rsidR="00DD3C03" w:rsidRPr="009E4C6A" w:rsidRDefault="00DD3C03" w:rsidP="00645BEC">
            <w:pPr>
              <w:jc w:val="center"/>
              <w:rPr>
                <w:b/>
                <w:sz w:val="18"/>
                <w:szCs w:val="18"/>
              </w:rPr>
            </w:pPr>
            <w:r w:rsidRPr="009E4C6A">
              <w:rPr>
                <w:b/>
                <w:sz w:val="18"/>
                <w:szCs w:val="18"/>
              </w:rPr>
              <w:t>neg</w:t>
            </w:r>
          </w:p>
        </w:tc>
        <w:tc>
          <w:tcPr>
            <w:tcW w:w="973" w:type="dxa"/>
            <w:vAlign w:val="center"/>
          </w:tcPr>
          <w:p w14:paraId="13533D3B" w14:textId="77777777" w:rsidR="00DD3C03" w:rsidRPr="009E4C6A" w:rsidRDefault="00DD3C03" w:rsidP="00645BEC">
            <w:pPr>
              <w:jc w:val="center"/>
              <w:rPr>
                <w:sz w:val="18"/>
                <w:szCs w:val="18"/>
              </w:rPr>
            </w:pPr>
            <w:r w:rsidRPr="009E4C6A">
              <w:rPr>
                <w:sz w:val="18"/>
                <w:szCs w:val="18"/>
              </w:rPr>
              <w:t>9.8 (±2.7)</w:t>
            </w:r>
          </w:p>
        </w:tc>
        <w:tc>
          <w:tcPr>
            <w:tcW w:w="948" w:type="dxa"/>
            <w:vAlign w:val="center"/>
          </w:tcPr>
          <w:p w14:paraId="7B60C91C" w14:textId="77777777" w:rsidR="00DD3C03" w:rsidRPr="009E4C6A" w:rsidRDefault="00DD3C03" w:rsidP="00645BEC">
            <w:pPr>
              <w:jc w:val="center"/>
              <w:rPr>
                <w:sz w:val="18"/>
                <w:szCs w:val="18"/>
              </w:rPr>
            </w:pPr>
            <w:r w:rsidRPr="009E4C6A">
              <w:rPr>
                <w:sz w:val="18"/>
                <w:szCs w:val="18"/>
              </w:rPr>
              <w:t>NA</w:t>
            </w:r>
          </w:p>
        </w:tc>
        <w:tc>
          <w:tcPr>
            <w:tcW w:w="887" w:type="dxa"/>
            <w:vAlign w:val="center"/>
          </w:tcPr>
          <w:p w14:paraId="4B103EB8" w14:textId="77777777" w:rsidR="00DD3C03" w:rsidRPr="009E4C6A" w:rsidRDefault="00DD3C03" w:rsidP="00645BEC">
            <w:pPr>
              <w:jc w:val="center"/>
              <w:rPr>
                <w:sz w:val="18"/>
                <w:szCs w:val="18"/>
              </w:rPr>
            </w:pPr>
            <w:r w:rsidRPr="009E4C6A">
              <w:rPr>
                <w:sz w:val="18"/>
                <w:szCs w:val="18"/>
              </w:rPr>
              <w:t>15.0 (±4.9)</w:t>
            </w:r>
          </w:p>
        </w:tc>
        <w:tc>
          <w:tcPr>
            <w:tcW w:w="981" w:type="dxa"/>
            <w:vAlign w:val="center"/>
          </w:tcPr>
          <w:p w14:paraId="4942E2F3" w14:textId="77777777" w:rsidR="00DD3C03" w:rsidRPr="009E4C6A" w:rsidRDefault="00DD3C03" w:rsidP="00645BEC">
            <w:pPr>
              <w:jc w:val="center"/>
              <w:rPr>
                <w:sz w:val="18"/>
                <w:szCs w:val="18"/>
              </w:rPr>
            </w:pPr>
            <w:r w:rsidRPr="009E4C6A">
              <w:rPr>
                <w:sz w:val="18"/>
                <w:szCs w:val="18"/>
              </w:rPr>
              <w:t>15.6 (±6.1)</w:t>
            </w:r>
          </w:p>
        </w:tc>
        <w:tc>
          <w:tcPr>
            <w:tcW w:w="978" w:type="dxa"/>
            <w:vAlign w:val="center"/>
          </w:tcPr>
          <w:p w14:paraId="26095068" w14:textId="77777777" w:rsidR="00DD3C03" w:rsidRPr="009E4C6A" w:rsidRDefault="00DD3C03" w:rsidP="00645BEC">
            <w:pPr>
              <w:jc w:val="center"/>
              <w:rPr>
                <w:sz w:val="18"/>
                <w:szCs w:val="18"/>
              </w:rPr>
            </w:pPr>
            <w:r w:rsidRPr="009E4C6A">
              <w:rPr>
                <w:sz w:val="18"/>
                <w:szCs w:val="18"/>
              </w:rPr>
              <w:t>NA</w:t>
            </w:r>
          </w:p>
        </w:tc>
        <w:tc>
          <w:tcPr>
            <w:tcW w:w="887" w:type="dxa"/>
            <w:vAlign w:val="center"/>
          </w:tcPr>
          <w:p w14:paraId="4E5E6E3D" w14:textId="77777777" w:rsidR="00DD3C03" w:rsidRPr="009E4C6A" w:rsidRDefault="00DD3C03" w:rsidP="00645BEC">
            <w:pPr>
              <w:jc w:val="center"/>
              <w:rPr>
                <w:sz w:val="18"/>
                <w:szCs w:val="18"/>
              </w:rPr>
            </w:pPr>
            <w:r w:rsidRPr="009E4C6A">
              <w:rPr>
                <w:sz w:val="18"/>
                <w:szCs w:val="18"/>
              </w:rPr>
              <w:t>18.9 (±7.6)</w:t>
            </w:r>
          </w:p>
        </w:tc>
        <w:tc>
          <w:tcPr>
            <w:tcW w:w="978" w:type="dxa"/>
            <w:vAlign w:val="center"/>
          </w:tcPr>
          <w:p w14:paraId="17B7E671" w14:textId="77777777" w:rsidR="00DD3C03" w:rsidRPr="009E4C6A" w:rsidRDefault="00DD3C03" w:rsidP="00645BEC">
            <w:pPr>
              <w:jc w:val="center"/>
              <w:rPr>
                <w:sz w:val="18"/>
                <w:szCs w:val="18"/>
              </w:rPr>
            </w:pPr>
            <w:r w:rsidRPr="009E4C6A">
              <w:rPr>
                <w:sz w:val="18"/>
                <w:szCs w:val="18"/>
              </w:rPr>
              <w:t>19.9 (±7.1)</w:t>
            </w:r>
          </w:p>
        </w:tc>
        <w:tc>
          <w:tcPr>
            <w:tcW w:w="978" w:type="dxa"/>
            <w:vAlign w:val="center"/>
          </w:tcPr>
          <w:p w14:paraId="05102D15" w14:textId="77777777" w:rsidR="00DD3C03" w:rsidRPr="009E4C6A" w:rsidRDefault="00DD3C03" w:rsidP="00645BEC">
            <w:pPr>
              <w:jc w:val="center"/>
              <w:rPr>
                <w:sz w:val="18"/>
                <w:szCs w:val="18"/>
              </w:rPr>
            </w:pPr>
            <w:r w:rsidRPr="009E4C6A">
              <w:rPr>
                <w:sz w:val="18"/>
                <w:szCs w:val="18"/>
              </w:rPr>
              <w:t>12.6 (±9.8)</w:t>
            </w:r>
          </w:p>
        </w:tc>
        <w:tc>
          <w:tcPr>
            <w:tcW w:w="1197" w:type="dxa"/>
            <w:vAlign w:val="center"/>
          </w:tcPr>
          <w:p w14:paraId="589E42AA" w14:textId="77777777" w:rsidR="00DD3C03" w:rsidRPr="009E4C6A" w:rsidRDefault="00DD3C03" w:rsidP="00645BEC">
            <w:pPr>
              <w:jc w:val="center"/>
              <w:rPr>
                <w:sz w:val="18"/>
                <w:szCs w:val="18"/>
              </w:rPr>
            </w:pPr>
            <w:r w:rsidRPr="009E4C6A">
              <w:rPr>
                <w:sz w:val="18"/>
                <w:szCs w:val="18"/>
              </w:rPr>
              <w:t>p=0.003</w:t>
            </w:r>
          </w:p>
        </w:tc>
      </w:tr>
      <w:tr w:rsidR="00DD3C03" w14:paraId="17F907B4" w14:textId="77777777" w:rsidTr="00645BEC">
        <w:tc>
          <w:tcPr>
            <w:tcW w:w="821" w:type="dxa"/>
            <w:vAlign w:val="center"/>
          </w:tcPr>
          <w:p w14:paraId="50F63CE9" w14:textId="77777777" w:rsidR="00DD3C03" w:rsidRPr="009E4C6A" w:rsidRDefault="00DD3C03" w:rsidP="00645BEC">
            <w:pPr>
              <w:jc w:val="center"/>
              <w:rPr>
                <w:b/>
                <w:sz w:val="18"/>
                <w:szCs w:val="18"/>
              </w:rPr>
            </w:pPr>
            <w:r w:rsidRPr="009E4C6A">
              <w:rPr>
                <w:b/>
                <w:sz w:val="18"/>
                <w:szCs w:val="18"/>
              </w:rPr>
              <w:t>PANSS</w:t>
            </w:r>
          </w:p>
          <w:p w14:paraId="118B8AF1" w14:textId="77777777" w:rsidR="00DD3C03" w:rsidRPr="009E4C6A" w:rsidRDefault="00DD3C03" w:rsidP="00645BEC">
            <w:pPr>
              <w:jc w:val="center"/>
              <w:rPr>
                <w:b/>
                <w:sz w:val="18"/>
                <w:szCs w:val="18"/>
              </w:rPr>
            </w:pPr>
            <w:r w:rsidRPr="009E4C6A">
              <w:rPr>
                <w:b/>
                <w:sz w:val="18"/>
                <w:szCs w:val="18"/>
              </w:rPr>
              <w:t>gen</w:t>
            </w:r>
          </w:p>
        </w:tc>
        <w:tc>
          <w:tcPr>
            <w:tcW w:w="973" w:type="dxa"/>
            <w:vAlign w:val="center"/>
          </w:tcPr>
          <w:p w14:paraId="315E004A" w14:textId="77777777" w:rsidR="00DD3C03" w:rsidRPr="009E4C6A" w:rsidRDefault="00DD3C03" w:rsidP="00645BEC">
            <w:pPr>
              <w:jc w:val="center"/>
              <w:rPr>
                <w:sz w:val="18"/>
                <w:szCs w:val="18"/>
              </w:rPr>
            </w:pPr>
            <w:r w:rsidRPr="009E4C6A">
              <w:rPr>
                <w:sz w:val="18"/>
                <w:szCs w:val="18"/>
              </w:rPr>
              <w:t>37.14 (±14.7)</w:t>
            </w:r>
          </w:p>
        </w:tc>
        <w:tc>
          <w:tcPr>
            <w:tcW w:w="948" w:type="dxa"/>
            <w:vAlign w:val="center"/>
          </w:tcPr>
          <w:p w14:paraId="7E3DEE52" w14:textId="77777777" w:rsidR="00DD3C03" w:rsidRPr="009E4C6A" w:rsidRDefault="00DD3C03" w:rsidP="00645BEC">
            <w:pPr>
              <w:jc w:val="center"/>
              <w:rPr>
                <w:sz w:val="18"/>
                <w:szCs w:val="18"/>
              </w:rPr>
            </w:pPr>
            <w:r w:rsidRPr="009E4C6A">
              <w:rPr>
                <w:sz w:val="18"/>
                <w:szCs w:val="18"/>
              </w:rPr>
              <w:t>NA</w:t>
            </w:r>
          </w:p>
        </w:tc>
        <w:tc>
          <w:tcPr>
            <w:tcW w:w="887" w:type="dxa"/>
            <w:vAlign w:val="center"/>
          </w:tcPr>
          <w:p w14:paraId="28ECBF05" w14:textId="77777777" w:rsidR="00DD3C03" w:rsidRPr="009E4C6A" w:rsidRDefault="00DD3C03" w:rsidP="00645BEC">
            <w:pPr>
              <w:jc w:val="center"/>
              <w:rPr>
                <w:sz w:val="18"/>
                <w:szCs w:val="18"/>
              </w:rPr>
            </w:pPr>
            <w:r w:rsidRPr="009E4C6A">
              <w:rPr>
                <w:sz w:val="18"/>
                <w:szCs w:val="18"/>
              </w:rPr>
              <w:t>31.79 (±6.8)</w:t>
            </w:r>
          </w:p>
        </w:tc>
        <w:tc>
          <w:tcPr>
            <w:tcW w:w="981" w:type="dxa"/>
            <w:vAlign w:val="center"/>
          </w:tcPr>
          <w:p w14:paraId="1D68E6C7" w14:textId="77777777" w:rsidR="00DD3C03" w:rsidRPr="009E4C6A" w:rsidRDefault="00DD3C03" w:rsidP="00645BEC">
            <w:pPr>
              <w:jc w:val="center"/>
              <w:rPr>
                <w:sz w:val="18"/>
                <w:szCs w:val="18"/>
              </w:rPr>
            </w:pPr>
            <w:r w:rsidRPr="009E4C6A">
              <w:rPr>
                <w:sz w:val="18"/>
                <w:szCs w:val="18"/>
              </w:rPr>
              <w:t>29.65 (±7.1)</w:t>
            </w:r>
          </w:p>
        </w:tc>
        <w:tc>
          <w:tcPr>
            <w:tcW w:w="978" w:type="dxa"/>
            <w:vAlign w:val="center"/>
          </w:tcPr>
          <w:p w14:paraId="5C6A3077" w14:textId="77777777" w:rsidR="00DD3C03" w:rsidRPr="009E4C6A" w:rsidRDefault="00DD3C03" w:rsidP="00645BEC">
            <w:pPr>
              <w:jc w:val="center"/>
              <w:rPr>
                <w:sz w:val="18"/>
                <w:szCs w:val="18"/>
              </w:rPr>
            </w:pPr>
            <w:r w:rsidRPr="009E4C6A">
              <w:rPr>
                <w:sz w:val="18"/>
                <w:szCs w:val="18"/>
              </w:rPr>
              <w:t>NA</w:t>
            </w:r>
          </w:p>
        </w:tc>
        <w:tc>
          <w:tcPr>
            <w:tcW w:w="887" w:type="dxa"/>
            <w:vAlign w:val="center"/>
          </w:tcPr>
          <w:p w14:paraId="70D22CB4" w14:textId="77777777" w:rsidR="00DD3C03" w:rsidRPr="009E4C6A" w:rsidRDefault="00DD3C03" w:rsidP="00645BEC">
            <w:pPr>
              <w:jc w:val="center"/>
              <w:rPr>
                <w:sz w:val="18"/>
                <w:szCs w:val="18"/>
              </w:rPr>
            </w:pPr>
            <w:r w:rsidRPr="009E4C6A">
              <w:rPr>
                <w:sz w:val="18"/>
                <w:szCs w:val="18"/>
              </w:rPr>
              <w:t>40.12 (±10.2)</w:t>
            </w:r>
          </w:p>
        </w:tc>
        <w:tc>
          <w:tcPr>
            <w:tcW w:w="978" w:type="dxa"/>
            <w:vAlign w:val="center"/>
          </w:tcPr>
          <w:p w14:paraId="4A09EFAC" w14:textId="77777777" w:rsidR="00DD3C03" w:rsidRPr="009E4C6A" w:rsidRDefault="00DD3C03" w:rsidP="00645BEC">
            <w:pPr>
              <w:jc w:val="center"/>
              <w:rPr>
                <w:sz w:val="18"/>
                <w:szCs w:val="18"/>
              </w:rPr>
            </w:pPr>
            <w:r w:rsidRPr="009E4C6A">
              <w:rPr>
                <w:sz w:val="18"/>
                <w:szCs w:val="18"/>
              </w:rPr>
              <w:t>36.03 (±10.5)</w:t>
            </w:r>
          </w:p>
        </w:tc>
        <w:tc>
          <w:tcPr>
            <w:tcW w:w="978" w:type="dxa"/>
            <w:vAlign w:val="center"/>
          </w:tcPr>
          <w:p w14:paraId="7A3C841B" w14:textId="77777777" w:rsidR="00DD3C03" w:rsidRPr="009E4C6A" w:rsidRDefault="00DD3C03" w:rsidP="00645BEC">
            <w:pPr>
              <w:jc w:val="center"/>
              <w:rPr>
                <w:sz w:val="18"/>
                <w:szCs w:val="18"/>
              </w:rPr>
            </w:pPr>
            <w:r w:rsidRPr="009E4C6A">
              <w:rPr>
                <w:sz w:val="18"/>
                <w:szCs w:val="18"/>
              </w:rPr>
              <w:t>23.7 (±19.1)</w:t>
            </w:r>
          </w:p>
        </w:tc>
        <w:tc>
          <w:tcPr>
            <w:tcW w:w="1197" w:type="dxa"/>
            <w:vAlign w:val="center"/>
          </w:tcPr>
          <w:p w14:paraId="7EA4EBDA" w14:textId="77777777" w:rsidR="00DD3C03" w:rsidRPr="009E4C6A" w:rsidRDefault="00DD3C03" w:rsidP="00645BEC">
            <w:pPr>
              <w:jc w:val="center"/>
              <w:rPr>
                <w:sz w:val="18"/>
                <w:szCs w:val="18"/>
              </w:rPr>
            </w:pPr>
            <w:r w:rsidRPr="009E4C6A">
              <w:rPr>
                <w:sz w:val="18"/>
                <w:szCs w:val="18"/>
              </w:rPr>
              <w:t>p=0.0001</w:t>
            </w:r>
          </w:p>
        </w:tc>
      </w:tr>
      <w:tr w:rsidR="00DD3C03" w14:paraId="58924F8C" w14:textId="77777777" w:rsidTr="00645BEC">
        <w:tc>
          <w:tcPr>
            <w:tcW w:w="821" w:type="dxa"/>
            <w:vAlign w:val="center"/>
          </w:tcPr>
          <w:p w14:paraId="47A94175" w14:textId="77777777" w:rsidR="00DD3C03" w:rsidRPr="009E4C6A" w:rsidRDefault="00DD3C03" w:rsidP="00645BEC">
            <w:pPr>
              <w:jc w:val="center"/>
              <w:rPr>
                <w:b/>
                <w:sz w:val="18"/>
                <w:szCs w:val="18"/>
              </w:rPr>
            </w:pPr>
            <w:r w:rsidRPr="009E4C6A">
              <w:rPr>
                <w:b/>
                <w:sz w:val="18"/>
                <w:szCs w:val="18"/>
              </w:rPr>
              <w:t>GAF</w:t>
            </w:r>
          </w:p>
        </w:tc>
        <w:tc>
          <w:tcPr>
            <w:tcW w:w="973" w:type="dxa"/>
            <w:vAlign w:val="center"/>
          </w:tcPr>
          <w:p w14:paraId="434100C4" w14:textId="77777777" w:rsidR="00DD3C03" w:rsidRPr="009E4C6A" w:rsidRDefault="00DD3C03" w:rsidP="00645BEC">
            <w:pPr>
              <w:jc w:val="center"/>
              <w:rPr>
                <w:sz w:val="18"/>
                <w:szCs w:val="18"/>
              </w:rPr>
            </w:pPr>
            <w:r w:rsidRPr="009E4C6A">
              <w:rPr>
                <w:sz w:val="18"/>
                <w:szCs w:val="18"/>
              </w:rPr>
              <w:t>50.8 (±33.8)</w:t>
            </w:r>
          </w:p>
        </w:tc>
        <w:tc>
          <w:tcPr>
            <w:tcW w:w="948" w:type="dxa"/>
            <w:vAlign w:val="center"/>
          </w:tcPr>
          <w:p w14:paraId="2FC7422F" w14:textId="77777777" w:rsidR="00DD3C03" w:rsidRPr="009E4C6A" w:rsidRDefault="00DD3C03" w:rsidP="00645BEC">
            <w:pPr>
              <w:jc w:val="center"/>
              <w:rPr>
                <w:sz w:val="18"/>
                <w:szCs w:val="18"/>
              </w:rPr>
            </w:pPr>
            <w:r w:rsidRPr="009E4C6A">
              <w:rPr>
                <w:sz w:val="18"/>
                <w:szCs w:val="18"/>
              </w:rPr>
              <w:t>NA</w:t>
            </w:r>
          </w:p>
        </w:tc>
        <w:tc>
          <w:tcPr>
            <w:tcW w:w="887" w:type="dxa"/>
            <w:vAlign w:val="center"/>
          </w:tcPr>
          <w:p w14:paraId="0A42DCE5" w14:textId="77777777" w:rsidR="00DD3C03" w:rsidRPr="009E4C6A" w:rsidRDefault="00DD3C03" w:rsidP="00645BEC">
            <w:pPr>
              <w:jc w:val="center"/>
              <w:rPr>
                <w:sz w:val="18"/>
                <w:szCs w:val="18"/>
              </w:rPr>
            </w:pPr>
            <w:r w:rsidRPr="009E4C6A">
              <w:rPr>
                <w:sz w:val="18"/>
                <w:szCs w:val="18"/>
              </w:rPr>
              <w:t>73.8 (±13.1)</w:t>
            </w:r>
          </w:p>
        </w:tc>
        <w:tc>
          <w:tcPr>
            <w:tcW w:w="981" w:type="dxa"/>
            <w:vAlign w:val="center"/>
          </w:tcPr>
          <w:p w14:paraId="4220EC2C" w14:textId="77777777" w:rsidR="00DD3C03" w:rsidRPr="009E4C6A" w:rsidRDefault="00DD3C03" w:rsidP="00645BEC">
            <w:pPr>
              <w:jc w:val="center"/>
              <w:rPr>
                <w:sz w:val="18"/>
                <w:szCs w:val="18"/>
              </w:rPr>
            </w:pPr>
            <w:r w:rsidRPr="009E4C6A">
              <w:rPr>
                <w:sz w:val="18"/>
                <w:szCs w:val="18"/>
              </w:rPr>
              <w:t>56.7 (±16.3)</w:t>
            </w:r>
          </w:p>
        </w:tc>
        <w:tc>
          <w:tcPr>
            <w:tcW w:w="978" w:type="dxa"/>
            <w:vAlign w:val="center"/>
          </w:tcPr>
          <w:p w14:paraId="0411298E" w14:textId="77777777" w:rsidR="00DD3C03" w:rsidRPr="009E4C6A" w:rsidRDefault="00DD3C03" w:rsidP="00645BEC">
            <w:pPr>
              <w:jc w:val="center"/>
              <w:rPr>
                <w:sz w:val="18"/>
                <w:szCs w:val="18"/>
              </w:rPr>
            </w:pPr>
            <w:r w:rsidRPr="009E4C6A">
              <w:rPr>
                <w:sz w:val="18"/>
                <w:szCs w:val="18"/>
              </w:rPr>
              <w:t>58.9 (±16.3)</w:t>
            </w:r>
          </w:p>
        </w:tc>
        <w:tc>
          <w:tcPr>
            <w:tcW w:w="887" w:type="dxa"/>
            <w:vAlign w:val="center"/>
          </w:tcPr>
          <w:p w14:paraId="2173F0B3" w14:textId="77777777" w:rsidR="00DD3C03" w:rsidRPr="009E4C6A" w:rsidRDefault="00DD3C03" w:rsidP="00645BEC">
            <w:pPr>
              <w:jc w:val="center"/>
              <w:rPr>
                <w:sz w:val="18"/>
                <w:szCs w:val="18"/>
              </w:rPr>
            </w:pPr>
            <w:r w:rsidRPr="009E4C6A">
              <w:rPr>
                <w:sz w:val="18"/>
                <w:szCs w:val="18"/>
              </w:rPr>
              <w:t>45.2 (±15.8)</w:t>
            </w:r>
          </w:p>
        </w:tc>
        <w:tc>
          <w:tcPr>
            <w:tcW w:w="978" w:type="dxa"/>
            <w:vAlign w:val="center"/>
          </w:tcPr>
          <w:p w14:paraId="77E5BAC5" w14:textId="77777777" w:rsidR="00DD3C03" w:rsidRPr="009E4C6A" w:rsidRDefault="00DD3C03" w:rsidP="00645BEC">
            <w:pPr>
              <w:jc w:val="center"/>
              <w:rPr>
                <w:sz w:val="18"/>
                <w:szCs w:val="18"/>
              </w:rPr>
            </w:pPr>
            <w:r w:rsidRPr="009E4C6A">
              <w:rPr>
                <w:sz w:val="18"/>
                <w:szCs w:val="18"/>
              </w:rPr>
              <w:t>50.1 (±14.7)</w:t>
            </w:r>
          </w:p>
        </w:tc>
        <w:tc>
          <w:tcPr>
            <w:tcW w:w="978" w:type="dxa"/>
            <w:vAlign w:val="center"/>
          </w:tcPr>
          <w:p w14:paraId="433B1D2A" w14:textId="77777777" w:rsidR="00DD3C03" w:rsidRPr="009E4C6A" w:rsidRDefault="00DD3C03" w:rsidP="00645BEC">
            <w:pPr>
              <w:jc w:val="center"/>
              <w:rPr>
                <w:sz w:val="18"/>
                <w:szCs w:val="18"/>
              </w:rPr>
            </w:pPr>
            <w:r w:rsidRPr="009E4C6A">
              <w:rPr>
                <w:sz w:val="18"/>
                <w:szCs w:val="18"/>
              </w:rPr>
              <w:t>NA</w:t>
            </w:r>
          </w:p>
        </w:tc>
        <w:tc>
          <w:tcPr>
            <w:tcW w:w="1197" w:type="dxa"/>
            <w:vAlign w:val="center"/>
          </w:tcPr>
          <w:p w14:paraId="4DDAA900" w14:textId="77777777" w:rsidR="00DD3C03" w:rsidRPr="009E4C6A" w:rsidRDefault="00DD3C03" w:rsidP="00645BEC">
            <w:pPr>
              <w:jc w:val="center"/>
              <w:rPr>
                <w:sz w:val="18"/>
                <w:szCs w:val="18"/>
              </w:rPr>
            </w:pPr>
            <w:r w:rsidRPr="009E4C6A">
              <w:rPr>
                <w:sz w:val="18"/>
                <w:szCs w:val="18"/>
              </w:rPr>
              <w:t>p=0.0001</w:t>
            </w:r>
          </w:p>
        </w:tc>
      </w:tr>
    </w:tbl>
    <w:p w14:paraId="1E4BF156" w14:textId="18720088" w:rsidR="00604819" w:rsidRPr="00342091" w:rsidRDefault="00342091" w:rsidP="00604819">
      <w:pPr>
        <w:rPr>
          <w:rFonts w:ascii="Calibri" w:hAnsi="Calibri"/>
          <w:sz w:val="18"/>
          <w:szCs w:val="18"/>
        </w:rPr>
      </w:pPr>
      <w:r w:rsidRPr="00342091">
        <w:rPr>
          <w:rFonts w:ascii="Calibri" w:hAnsi="Calibri"/>
          <w:sz w:val="18"/>
          <w:szCs w:val="18"/>
        </w:rPr>
        <w:t>DUI: duration of untreated illness; GAF: global assessment of functioning; PANSS: positive and negative symptoms scale.</w:t>
      </w:r>
    </w:p>
    <w:p w14:paraId="7C2A4CBF" w14:textId="7C79E1CE" w:rsidR="00CE73E3" w:rsidRDefault="009E4C6A">
      <w:pPr>
        <w:rPr>
          <w:sz w:val="22"/>
          <w:szCs w:val="22"/>
        </w:rPr>
      </w:pPr>
      <w:r w:rsidRPr="000361CD">
        <w:rPr>
          <w:b/>
          <w:bCs/>
          <w:sz w:val="22"/>
          <w:szCs w:val="22"/>
        </w:rPr>
        <w:lastRenderedPageBreak/>
        <w:t xml:space="preserve">Supplementary table </w:t>
      </w:r>
      <w:r w:rsidR="000E3927">
        <w:rPr>
          <w:b/>
          <w:bCs/>
          <w:sz w:val="22"/>
          <w:szCs w:val="22"/>
        </w:rPr>
        <w:t>3</w:t>
      </w:r>
      <w:r w:rsidR="00E92E34">
        <w:rPr>
          <w:b/>
          <w:bCs/>
          <w:sz w:val="22"/>
          <w:szCs w:val="22"/>
        </w:rPr>
        <w:t>.</w:t>
      </w:r>
      <w:r w:rsidRPr="000361CD">
        <w:rPr>
          <w:b/>
          <w:bCs/>
          <w:sz w:val="22"/>
          <w:szCs w:val="22"/>
        </w:rPr>
        <w:t xml:space="preserve"> </w:t>
      </w:r>
      <w:r w:rsidR="00DD3C03" w:rsidRPr="00966CD8">
        <w:rPr>
          <w:rFonts w:cstheme="minorHAnsi"/>
          <w:sz w:val="22"/>
          <w:szCs w:val="22"/>
        </w:rPr>
        <w:t xml:space="preserve">MR scanner systems and structural MRI sequence parameters used at the respective </w:t>
      </w:r>
      <w:proofErr w:type="spellStart"/>
      <w:r w:rsidR="00DD3C03" w:rsidRPr="00966CD8">
        <w:rPr>
          <w:rFonts w:cstheme="minorHAnsi"/>
          <w:sz w:val="22"/>
          <w:szCs w:val="22"/>
        </w:rPr>
        <w:t>ClassiFEP</w:t>
      </w:r>
      <w:proofErr w:type="spellEnd"/>
      <w:r w:rsidR="00DD3C03" w:rsidRPr="00966CD8">
        <w:rPr>
          <w:rFonts w:cstheme="minorHAnsi"/>
          <w:sz w:val="22"/>
          <w:szCs w:val="22"/>
        </w:rPr>
        <w:t xml:space="preserve"> </w:t>
      </w:r>
      <w:proofErr w:type="gramStart"/>
      <w:r w:rsidR="00DD3C03" w:rsidRPr="00966CD8">
        <w:rPr>
          <w:rFonts w:cstheme="minorHAnsi"/>
          <w:sz w:val="22"/>
          <w:szCs w:val="22"/>
        </w:rPr>
        <w:t>sites</w:t>
      </w:r>
      <w:proofErr w:type="gramEnd"/>
    </w:p>
    <w:p w14:paraId="2FE4D45F" w14:textId="78B3FCD3" w:rsidR="00DD3C03" w:rsidRDefault="00DD3C03">
      <w:pPr>
        <w:rPr>
          <w:sz w:val="22"/>
          <w:szCs w:val="22"/>
        </w:rPr>
      </w:pPr>
    </w:p>
    <w:tbl>
      <w:tblPr>
        <w:tblStyle w:val="Grigliatabella"/>
        <w:tblW w:w="0" w:type="auto"/>
        <w:tblLayout w:type="fixed"/>
        <w:tblLook w:val="04A0" w:firstRow="1" w:lastRow="0" w:firstColumn="1" w:lastColumn="0" w:noHBand="0" w:noVBand="1"/>
      </w:tblPr>
      <w:tblGrid>
        <w:gridCol w:w="1135"/>
        <w:gridCol w:w="1093"/>
        <w:gridCol w:w="1141"/>
        <w:gridCol w:w="850"/>
        <w:gridCol w:w="992"/>
        <w:gridCol w:w="1690"/>
        <w:gridCol w:w="653"/>
        <w:gridCol w:w="649"/>
        <w:gridCol w:w="935"/>
        <w:gridCol w:w="716"/>
      </w:tblGrid>
      <w:tr w:rsidR="00DD3C03" w14:paraId="2A8A4ACE" w14:textId="77777777" w:rsidTr="00645BEC">
        <w:tc>
          <w:tcPr>
            <w:tcW w:w="1135" w:type="dxa"/>
            <w:shd w:val="clear" w:color="auto" w:fill="BFBFBF" w:themeFill="background1" w:themeFillShade="BF"/>
          </w:tcPr>
          <w:p w14:paraId="72F83151" w14:textId="77777777" w:rsidR="00DD3C03" w:rsidRPr="00604819" w:rsidRDefault="00DD3C03" w:rsidP="00645BEC">
            <w:pPr>
              <w:jc w:val="center"/>
              <w:rPr>
                <w:sz w:val="20"/>
                <w:szCs w:val="20"/>
              </w:rPr>
            </w:pPr>
            <w:r w:rsidRPr="00604819">
              <w:rPr>
                <w:sz w:val="20"/>
                <w:szCs w:val="20"/>
              </w:rPr>
              <w:t>Site</w:t>
            </w:r>
          </w:p>
        </w:tc>
        <w:tc>
          <w:tcPr>
            <w:tcW w:w="1093" w:type="dxa"/>
            <w:shd w:val="clear" w:color="auto" w:fill="BFBFBF" w:themeFill="background1" w:themeFillShade="BF"/>
          </w:tcPr>
          <w:p w14:paraId="3688E41E" w14:textId="77777777" w:rsidR="00DD3C03" w:rsidRPr="00604819" w:rsidRDefault="00DD3C03" w:rsidP="00645BEC">
            <w:pPr>
              <w:jc w:val="center"/>
              <w:rPr>
                <w:sz w:val="20"/>
                <w:szCs w:val="20"/>
              </w:rPr>
            </w:pPr>
            <w:r>
              <w:rPr>
                <w:sz w:val="20"/>
                <w:szCs w:val="20"/>
              </w:rPr>
              <w:t>Model</w:t>
            </w:r>
          </w:p>
        </w:tc>
        <w:tc>
          <w:tcPr>
            <w:tcW w:w="1141" w:type="dxa"/>
            <w:shd w:val="clear" w:color="auto" w:fill="BFBFBF" w:themeFill="background1" w:themeFillShade="BF"/>
          </w:tcPr>
          <w:p w14:paraId="3CA417C2" w14:textId="77777777" w:rsidR="00DD3C03" w:rsidRPr="00604819" w:rsidRDefault="00DD3C03" w:rsidP="00645BEC">
            <w:pPr>
              <w:jc w:val="center"/>
              <w:rPr>
                <w:sz w:val="20"/>
                <w:szCs w:val="20"/>
              </w:rPr>
            </w:pPr>
            <w:r>
              <w:rPr>
                <w:sz w:val="20"/>
                <w:szCs w:val="20"/>
              </w:rPr>
              <w:t>Field Strength</w:t>
            </w:r>
          </w:p>
        </w:tc>
        <w:tc>
          <w:tcPr>
            <w:tcW w:w="850" w:type="dxa"/>
            <w:shd w:val="clear" w:color="auto" w:fill="BFBFBF" w:themeFill="background1" w:themeFillShade="BF"/>
          </w:tcPr>
          <w:p w14:paraId="7E30448A" w14:textId="77777777" w:rsidR="00DD3C03" w:rsidRPr="00604819" w:rsidRDefault="00DD3C03" w:rsidP="00645BEC">
            <w:pPr>
              <w:jc w:val="center"/>
              <w:rPr>
                <w:sz w:val="20"/>
                <w:szCs w:val="20"/>
              </w:rPr>
            </w:pPr>
            <w:r w:rsidRPr="00604819">
              <w:rPr>
                <w:sz w:val="20"/>
                <w:szCs w:val="20"/>
              </w:rPr>
              <w:t>Flip</w:t>
            </w:r>
            <w:r>
              <w:rPr>
                <w:sz w:val="20"/>
                <w:szCs w:val="20"/>
              </w:rPr>
              <w:t xml:space="preserve"> </w:t>
            </w:r>
            <w:proofErr w:type="gramStart"/>
            <w:r>
              <w:rPr>
                <w:sz w:val="20"/>
                <w:szCs w:val="20"/>
              </w:rPr>
              <w:t>a</w:t>
            </w:r>
            <w:r w:rsidRPr="00604819">
              <w:rPr>
                <w:sz w:val="20"/>
                <w:szCs w:val="20"/>
              </w:rPr>
              <w:t>ngle</w:t>
            </w:r>
            <w:r>
              <w:rPr>
                <w:sz w:val="20"/>
                <w:szCs w:val="20"/>
              </w:rPr>
              <w:t>(</w:t>
            </w:r>
            <w:proofErr w:type="gramEnd"/>
            <w:r>
              <w:rPr>
                <w:sz w:val="20"/>
                <w:szCs w:val="20"/>
              </w:rPr>
              <w:t>°)</w:t>
            </w:r>
          </w:p>
        </w:tc>
        <w:tc>
          <w:tcPr>
            <w:tcW w:w="992" w:type="dxa"/>
            <w:shd w:val="clear" w:color="auto" w:fill="BFBFBF" w:themeFill="background1" w:themeFillShade="BF"/>
          </w:tcPr>
          <w:p w14:paraId="1CC264E3" w14:textId="77777777" w:rsidR="00DD3C03" w:rsidRPr="00604819" w:rsidRDefault="00DD3C03" w:rsidP="00645BEC">
            <w:pPr>
              <w:jc w:val="center"/>
              <w:rPr>
                <w:sz w:val="20"/>
                <w:szCs w:val="20"/>
              </w:rPr>
            </w:pPr>
            <w:r>
              <w:rPr>
                <w:sz w:val="20"/>
                <w:szCs w:val="20"/>
              </w:rPr>
              <w:t>Coil Channel</w:t>
            </w:r>
          </w:p>
        </w:tc>
        <w:tc>
          <w:tcPr>
            <w:tcW w:w="1690" w:type="dxa"/>
            <w:shd w:val="clear" w:color="auto" w:fill="BFBFBF" w:themeFill="background1" w:themeFillShade="BF"/>
          </w:tcPr>
          <w:p w14:paraId="68A50A97" w14:textId="77777777" w:rsidR="00DD3C03" w:rsidRPr="00604819" w:rsidRDefault="00DD3C03" w:rsidP="00645BEC">
            <w:pPr>
              <w:jc w:val="center"/>
              <w:rPr>
                <w:sz w:val="20"/>
                <w:szCs w:val="20"/>
              </w:rPr>
            </w:pPr>
            <w:r>
              <w:rPr>
                <w:sz w:val="20"/>
                <w:szCs w:val="20"/>
              </w:rPr>
              <w:t xml:space="preserve">Voxel Size </w:t>
            </w:r>
            <w:r>
              <w:rPr>
                <w:sz w:val="20"/>
                <w:szCs w:val="20"/>
              </w:rPr>
              <w:br/>
              <w:t>(mm)</w:t>
            </w:r>
          </w:p>
        </w:tc>
        <w:tc>
          <w:tcPr>
            <w:tcW w:w="653" w:type="dxa"/>
            <w:shd w:val="clear" w:color="auto" w:fill="BFBFBF" w:themeFill="background1" w:themeFillShade="BF"/>
          </w:tcPr>
          <w:p w14:paraId="1E94308E" w14:textId="77777777" w:rsidR="00DD3C03" w:rsidRPr="00604819" w:rsidRDefault="00DD3C03" w:rsidP="00645BEC">
            <w:pPr>
              <w:jc w:val="center"/>
              <w:rPr>
                <w:sz w:val="20"/>
                <w:szCs w:val="20"/>
              </w:rPr>
            </w:pPr>
            <w:r>
              <w:rPr>
                <w:sz w:val="20"/>
                <w:szCs w:val="20"/>
              </w:rPr>
              <w:t>TR (</w:t>
            </w:r>
            <w:proofErr w:type="spellStart"/>
            <w:r>
              <w:rPr>
                <w:sz w:val="20"/>
                <w:szCs w:val="20"/>
              </w:rPr>
              <w:t>ms</w:t>
            </w:r>
            <w:proofErr w:type="spellEnd"/>
            <w:r>
              <w:rPr>
                <w:sz w:val="20"/>
                <w:szCs w:val="20"/>
              </w:rPr>
              <w:t>)</w:t>
            </w:r>
          </w:p>
        </w:tc>
        <w:tc>
          <w:tcPr>
            <w:tcW w:w="649" w:type="dxa"/>
            <w:shd w:val="clear" w:color="auto" w:fill="BFBFBF" w:themeFill="background1" w:themeFillShade="BF"/>
          </w:tcPr>
          <w:p w14:paraId="36176811" w14:textId="77777777" w:rsidR="00DD3C03" w:rsidRPr="00604819" w:rsidRDefault="00DD3C03" w:rsidP="00645BEC">
            <w:pPr>
              <w:jc w:val="center"/>
              <w:rPr>
                <w:sz w:val="20"/>
                <w:szCs w:val="20"/>
              </w:rPr>
            </w:pPr>
            <w:r>
              <w:rPr>
                <w:sz w:val="20"/>
                <w:szCs w:val="20"/>
              </w:rPr>
              <w:t>TE (</w:t>
            </w:r>
            <w:proofErr w:type="spellStart"/>
            <w:r>
              <w:rPr>
                <w:sz w:val="20"/>
                <w:szCs w:val="20"/>
              </w:rPr>
              <w:t>ms</w:t>
            </w:r>
            <w:proofErr w:type="spellEnd"/>
            <w:r>
              <w:rPr>
                <w:sz w:val="20"/>
                <w:szCs w:val="20"/>
              </w:rPr>
              <w:t>)</w:t>
            </w:r>
          </w:p>
        </w:tc>
        <w:tc>
          <w:tcPr>
            <w:tcW w:w="935" w:type="dxa"/>
            <w:shd w:val="clear" w:color="auto" w:fill="BFBFBF" w:themeFill="background1" w:themeFillShade="BF"/>
          </w:tcPr>
          <w:p w14:paraId="3B001BA8" w14:textId="77777777" w:rsidR="00DD3C03" w:rsidRPr="00604819" w:rsidRDefault="00DD3C03" w:rsidP="00645BEC">
            <w:pPr>
              <w:jc w:val="center"/>
              <w:rPr>
                <w:sz w:val="20"/>
                <w:szCs w:val="20"/>
              </w:rPr>
            </w:pPr>
            <w:r>
              <w:rPr>
                <w:sz w:val="20"/>
                <w:szCs w:val="20"/>
              </w:rPr>
              <w:t>FOV</w:t>
            </w:r>
          </w:p>
        </w:tc>
        <w:tc>
          <w:tcPr>
            <w:tcW w:w="716" w:type="dxa"/>
            <w:shd w:val="clear" w:color="auto" w:fill="BFBFBF" w:themeFill="background1" w:themeFillShade="BF"/>
          </w:tcPr>
          <w:p w14:paraId="0E31E0D0" w14:textId="77777777" w:rsidR="00DD3C03" w:rsidRPr="00604819" w:rsidRDefault="00DD3C03" w:rsidP="00645BEC">
            <w:pPr>
              <w:jc w:val="center"/>
              <w:rPr>
                <w:sz w:val="20"/>
                <w:szCs w:val="20"/>
              </w:rPr>
            </w:pPr>
            <w:r>
              <w:rPr>
                <w:sz w:val="20"/>
                <w:szCs w:val="20"/>
              </w:rPr>
              <w:t>Slices</w:t>
            </w:r>
          </w:p>
        </w:tc>
      </w:tr>
      <w:tr w:rsidR="00DD3C03" w14:paraId="09092C9C" w14:textId="77777777" w:rsidTr="00645BEC">
        <w:tc>
          <w:tcPr>
            <w:tcW w:w="1135" w:type="dxa"/>
            <w:vAlign w:val="center"/>
          </w:tcPr>
          <w:p w14:paraId="16648001" w14:textId="77777777" w:rsidR="00DD3C03" w:rsidRPr="00604819" w:rsidRDefault="00DD3C03" w:rsidP="00645BEC">
            <w:pPr>
              <w:jc w:val="center"/>
              <w:rPr>
                <w:sz w:val="22"/>
                <w:szCs w:val="22"/>
              </w:rPr>
            </w:pPr>
            <w:r w:rsidRPr="00604819">
              <w:rPr>
                <w:sz w:val="22"/>
                <w:szCs w:val="22"/>
              </w:rPr>
              <w:t>Jena</w:t>
            </w:r>
          </w:p>
        </w:tc>
        <w:tc>
          <w:tcPr>
            <w:tcW w:w="1093" w:type="dxa"/>
            <w:vAlign w:val="center"/>
          </w:tcPr>
          <w:p w14:paraId="288F5E90" w14:textId="77777777" w:rsidR="00DD3C03" w:rsidRPr="00604819" w:rsidRDefault="00DD3C03" w:rsidP="00645BEC">
            <w:pPr>
              <w:jc w:val="center"/>
              <w:rPr>
                <w:sz w:val="18"/>
                <w:szCs w:val="18"/>
              </w:rPr>
            </w:pPr>
            <w:r w:rsidRPr="00604819">
              <w:rPr>
                <w:rFonts w:ascii="Calibri" w:hAnsi="Calibri"/>
                <w:color w:val="000000"/>
                <w:sz w:val="18"/>
                <w:szCs w:val="18"/>
              </w:rPr>
              <w:t xml:space="preserve">Siemens </w:t>
            </w:r>
            <w:proofErr w:type="spellStart"/>
            <w:r w:rsidRPr="00604819">
              <w:rPr>
                <w:rFonts w:ascii="Calibri" w:hAnsi="Calibri"/>
                <w:color w:val="000000"/>
                <w:sz w:val="18"/>
                <w:szCs w:val="18"/>
              </w:rPr>
              <w:t>TrioTim</w:t>
            </w:r>
            <w:proofErr w:type="spellEnd"/>
          </w:p>
        </w:tc>
        <w:tc>
          <w:tcPr>
            <w:tcW w:w="1141" w:type="dxa"/>
            <w:vAlign w:val="center"/>
          </w:tcPr>
          <w:p w14:paraId="1F2B76A2" w14:textId="77777777" w:rsidR="00DD3C03" w:rsidRPr="00604819" w:rsidRDefault="00DD3C03" w:rsidP="00645BEC">
            <w:pPr>
              <w:jc w:val="center"/>
              <w:rPr>
                <w:sz w:val="18"/>
                <w:szCs w:val="18"/>
              </w:rPr>
            </w:pPr>
            <w:r>
              <w:rPr>
                <w:sz w:val="18"/>
                <w:szCs w:val="18"/>
              </w:rPr>
              <w:t>3T</w:t>
            </w:r>
          </w:p>
        </w:tc>
        <w:tc>
          <w:tcPr>
            <w:tcW w:w="850" w:type="dxa"/>
            <w:vAlign w:val="center"/>
          </w:tcPr>
          <w:p w14:paraId="6172E0CB" w14:textId="77777777" w:rsidR="00DD3C03" w:rsidRPr="00604819" w:rsidRDefault="00DD3C03" w:rsidP="00645BEC">
            <w:pPr>
              <w:jc w:val="center"/>
              <w:rPr>
                <w:sz w:val="18"/>
                <w:szCs w:val="18"/>
              </w:rPr>
            </w:pPr>
            <w:r w:rsidRPr="00604819">
              <w:rPr>
                <w:rFonts w:ascii="Calibri" w:hAnsi="Calibri"/>
                <w:color w:val="000000"/>
                <w:sz w:val="18"/>
                <w:szCs w:val="18"/>
              </w:rPr>
              <w:t>9</w:t>
            </w:r>
          </w:p>
        </w:tc>
        <w:tc>
          <w:tcPr>
            <w:tcW w:w="992" w:type="dxa"/>
            <w:vAlign w:val="center"/>
          </w:tcPr>
          <w:p w14:paraId="0F26B194" w14:textId="77777777" w:rsidR="00DD3C03" w:rsidRPr="00604819" w:rsidRDefault="00DD3C03" w:rsidP="00645BEC">
            <w:pPr>
              <w:jc w:val="center"/>
              <w:rPr>
                <w:sz w:val="18"/>
                <w:szCs w:val="18"/>
              </w:rPr>
            </w:pPr>
          </w:p>
        </w:tc>
        <w:tc>
          <w:tcPr>
            <w:tcW w:w="1690" w:type="dxa"/>
            <w:vAlign w:val="center"/>
          </w:tcPr>
          <w:p w14:paraId="5A772878" w14:textId="77777777" w:rsidR="00DD3C03" w:rsidRPr="003576F3" w:rsidRDefault="00DD3C03" w:rsidP="00645BEC">
            <w:pPr>
              <w:jc w:val="center"/>
              <w:rPr>
                <w:rFonts w:eastAsia="Times New Roman"/>
                <w:sz w:val="18"/>
                <w:szCs w:val="18"/>
                <w:lang w:val="it-IT" w:eastAsia="it-IT"/>
              </w:rPr>
            </w:pPr>
            <w:r w:rsidRPr="003576F3">
              <w:rPr>
                <w:rStyle w:val="fontstyle01"/>
                <w:sz w:val="18"/>
                <w:szCs w:val="18"/>
              </w:rPr>
              <w:t>1.0 x 1.0 x 1.0</w:t>
            </w:r>
          </w:p>
        </w:tc>
        <w:tc>
          <w:tcPr>
            <w:tcW w:w="653" w:type="dxa"/>
            <w:vAlign w:val="center"/>
          </w:tcPr>
          <w:p w14:paraId="28587C28" w14:textId="77777777" w:rsidR="00DD3C03" w:rsidRPr="00604819" w:rsidRDefault="00DD3C03" w:rsidP="00645BEC">
            <w:pPr>
              <w:jc w:val="center"/>
              <w:rPr>
                <w:sz w:val="18"/>
                <w:szCs w:val="18"/>
              </w:rPr>
            </w:pPr>
            <w:r>
              <w:rPr>
                <w:sz w:val="18"/>
                <w:szCs w:val="18"/>
              </w:rPr>
              <w:t>2300</w:t>
            </w:r>
          </w:p>
        </w:tc>
        <w:tc>
          <w:tcPr>
            <w:tcW w:w="649" w:type="dxa"/>
            <w:vAlign w:val="center"/>
          </w:tcPr>
          <w:p w14:paraId="659FC7F8" w14:textId="77777777" w:rsidR="00DD3C03" w:rsidRPr="00604819" w:rsidRDefault="00DD3C03" w:rsidP="00645BEC">
            <w:pPr>
              <w:jc w:val="center"/>
              <w:rPr>
                <w:sz w:val="18"/>
                <w:szCs w:val="18"/>
              </w:rPr>
            </w:pPr>
            <w:r>
              <w:rPr>
                <w:sz w:val="18"/>
                <w:szCs w:val="18"/>
              </w:rPr>
              <w:t>3.03</w:t>
            </w:r>
          </w:p>
        </w:tc>
        <w:tc>
          <w:tcPr>
            <w:tcW w:w="935" w:type="dxa"/>
            <w:vAlign w:val="center"/>
          </w:tcPr>
          <w:p w14:paraId="3DC77333" w14:textId="77777777" w:rsidR="00DD3C03" w:rsidRPr="00604819" w:rsidRDefault="00DD3C03" w:rsidP="00645BEC">
            <w:pPr>
              <w:jc w:val="center"/>
              <w:rPr>
                <w:sz w:val="18"/>
                <w:szCs w:val="18"/>
              </w:rPr>
            </w:pPr>
            <w:r>
              <w:rPr>
                <w:sz w:val="18"/>
                <w:szCs w:val="18"/>
              </w:rPr>
              <w:t>256x256</w:t>
            </w:r>
          </w:p>
        </w:tc>
        <w:tc>
          <w:tcPr>
            <w:tcW w:w="716" w:type="dxa"/>
            <w:vAlign w:val="center"/>
          </w:tcPr>
          <w:p w14:paraId="279B39E7" w14:textId="77777777" w:rsidR="00DD3C03" w:rsidRPr="00604819" w:rsidRDefault="00DD3C03" w:rsidP="00645BEC">
            <w:pPr>
              <w:jc w:val="center"/>
              <w:rPr>
                <w:sz w:val="18"/>
                <w:szCs w:val="18"/>
              </w:rPr>
            </w:pPr>
            <w:r>
              <w:rPr>
                <w:sz w:val="18"/>
                <w:szCs w:val="18"/>
              </w:rPr>
              <w:t>192</w:t>
            </w:r>
          </w:p>
        </w:tc>
      </w:tr>
      <w:tr w:rsidR="00DD3C03" w14:paraId="1A7D6ED5" w14:textId="77777777" w:rsidTr="00645BEC">
        <w:tc>
          <w:tcPr>
            <w:tcW w:w="1135" w:type="dxa"/>
            <w:vAlign w:val="center"/>
          </w:tcPr>
          <w:p w14:paraId="40012068" w14:textId="77777777" w:rsidR="00DD3C03" w:rsidRPr="00604819" w:rsidRDefault="00DD3C03" w:rsidP="00645BEC">
            <w:pPr>
              <w:jc w:val="center"/>
              <w:rPr>
                <w:sz w:val="22"/>
                <w:szCs w:val="22"/>
              </w:rPr>
            </w:pPr>
            <w:r w:rsidRPr="00604819">
              <w:rPr>
                <w:sz w:val="22"/>
                <w:szCs w:val="22"/>
              </w:rPr>
              <w:t>Prague</w:t>
            </w:r>
          </w:p>
        </w:tc>
        <w:tc>
          <w:tcPr>
            <w:tcW w:w="1093" w:type="dxa"/>
            <w:vAlign w:val="center"/>
          </w:tcPr>
          <w:p w14:paraId="0645176B" w14:textId="77777777" w:rsidR="00DD3C03" w:rsidRPr="00604819" w:rsidRDefault="00DD3C03" w:rsidP="00645BEC">
            <w:pPr>
              <w:jc w:val="center"/>
              <w:rPr>
                <w:sz w:val="18"/>
                <w:szCs w:val="18"/>
              </w:rPr>
            </w:pPr>
            <w:r w:rsidRPr="00604819">
              <w:rPr>
                <w:rFonts w:ascii="Calibri" w:hAnsi="Calibri"/>
                <w:color w:val="000000"/>
                <w:sz w:val="18"/>
                <w:szCs w:val="18"/>
              </w:rPr>
              <w:t xml:space="preserve">Siemens </w:t>
            </w:r>
            <w:proofErr w:type="spellStart"/>
            <w:r w:rsidRPr="00604819">
              <w:rPr>
                <w:rFonts w:ascii="Calibri" w:hAnsi="Calibri"/>
                <w:color w:val="000000"/>
                <w:sz w:val="18"/>
                <w:szCs w:val="18"/>
              </w:rPr>
              <w:t>TrioTim</w:t>
            </w:r>
            <w:proofErr w:type="spellEnd"/>
          </w:p>
        </w:tc>
        <w:tc>
          <w:tcPr>
            <w:tcW w:w="1141" w:type="dxa"/>
            <w:vAlign w:val="center"/>
          </w:tcPr>
          <w:p w14:paraId="23A00AFC" w14:textId="77777777" w:rsidR="00DD3C03" w:rsidRPr="00604819" w:rsidRDefault="00DD3C03" w:rsidP="00645BEC">
            <w:pPr>
              <w:jc w:val="center"/>
              <w:rPr>
                <w:sz w:val="18"/>
                <w:szCs w:val="18"/>
              </w:rPr>
            </w:pPr>
            <w:r>
              <w:rPr>
                <w:sz w:val="18"/>
                <w:szCs w:val="18"/>
              </w:rPr>
              <w:t>3T</w:t>
            </w:r>
          </w:p>
        </w:tc>
        <w:tc>
          <w:tcPr>
            <w:tcW w:w="850" w:type="dxa"/>
            <w:vAlign w:val="center"/>
          </w:tcPr>
          <w:p w14:paraId="4DD23858" w14:textId="77777777" w:rsidR="00DD3C03" w:rsidRPr="00604819" w:rsidRDefault="00DD3C03" w:rsidP="00645BEC">
            <w:pPr>
              <w:jc w:val="center"/>
              <w:rPr>
                <w:sz w:val="18"/>
                <w:szCs w:val="18"/>
              </w:rPr>
            </w:pPr>
            <w:r w:rsidRPr="00604819">
              <w:rPr>
                <w:rFonts w:ascii="Calibri" w:hAnsi="Calibri"/>
                <w:color w:val="000000"/>
                <w:sz w:val="18"/>
                <w:szCs w:val="18"/>
              </w:rPr>
              <w:t>10</w:t>
            </w:r>
          </w:p>
        </w:tc>
        <w:tc>
          <w:tcPr>
            <w:tcW w:w="992" w:type="dxa"/>
            <w:vAlign w:val="center"/>
          </w:tcPr>
          <w:p w14:paraId="14C856CC" w14:textId="77777777" w:rsidR="00DD3C03" w:rsidRPr="00604819" w:rsidRDefault="00DD3C03" w:rsidP="00645BEC">
            <w:pPr>
              <w:jc w:val="center"/>
              <w:rPr>
                <w:sz w:val="18"/>
                <w:szCs w:val="18"/>
              </w:rPr>
            </w:pPr>
            <w:r>
              <w:rPr>
                <w:sz w:val="18"/>
                <w:szCs w:val="18"/>
              </w:rPr>
              <w:t>12</w:t>
            </w:r>
          </w:p>
        </w:tc>
        <w:tc>
          <w:tcPr>
            <w:tcW w:w="1690" w:type="dxa"/>
            <w:vAlign w:val="center"/>
          </w:tcPr>
          <w:p w14:paraId="64B686E1" w14:textId="77777777" w:rsidR="00DD3C03" w:rsidRPr="003576F3" w:rsidRDefault="00DD3C03" w:rsidP="00645BEC">
            <w:pPr>
              <w:jc w:val="center"/>
              <w:rPr>
                <w:sz w:val="18"/>
                <w:szCs w:val="18"/>
              </w:rPr>
            </w:pPr>
            <w:r w:rsidRPr="003576F3">
              <w:rPr>
                <w:rStyle w:val="fontstyle01"/>
                <w:sz w:val="18"/>
                <w:szCs w:val="18"/>
              </w:rPr>
              <w:t>1.0 x 1.0 x 1.0</w:t>
            </w:r>
          </w:p>
        </w:tc>
        <w:tc>
          <w:tcPr>
            <w:tcW w:w="653" w:type="dxa"/>
            <w:vAlign w:val="center"/>
          </w:tcPr>
          <w:p w14:paraId="49615D79" w14:textId="77777777" w:rsidR="00DD3C03" w:rsidRPr="00604819" w:rsidRDefault="00DD3C03" w:rsidP="00645BEC">
            <w:pPr>
              <w:jc w:val="center"/>
              <w:rPr>
                <w:sz w:val="18"/>
                <w:szCs w:val="18"/>
              </w:rPr>
            </w:pPr>
            <w:r>
              <w:rPr>
                <w:sz w:val="18"/>
                <w:szCs w:val="18"/>
              </w:rPr>
              <w:t>2300</w:t>
            </w:r>
          </w:p>
        </w:tc>
        <w:tc>
          <w:tcPr>
            <w:tcW w:w="649" w:type="dxa"/>
            <w:vAlign w:val="center"/>
          </w:tcPr>
          <w:p w14:paraId="374BCED6" w14:textId="77777777" w:rsidR="00DD3C03" w:rsidRPr="00604819" w:rsidRDefault="00DD3C03" w:rsidP="00645BEC">
            <w:pPr>
              <w:jc w:val="center"/>
              <w:rPr>
                <w:sz w:val="18"/>
                <w:szCs w:val="18"/>
              </w:rPr>
            </w:pPr>
            <w:r>
              <w:rPr>
                <w:sz w:val="18"/>
                <w:szCs w:val="18"/>
              </w:rPr>
              <w:t>4.63</w:t>
            </w:r>
          </w:p>
        </w:tc>
        <w:tc>
          <w:tcPr>
            <w:tcW w:w="935" w:type="dxa"/>
            <w:vAlign w:val="center"/>
          </w:tcPr>
          <w:p w14:paraId="724AC673" w14:textId="77777777" w:rsidR="00DD3C03" w:rsidRPr="00604819" w:rsidRDefault="00DD3C03" w:rsidP="00645BEC">
            <w:pPr>
              <w:jc w:val="center"/>
              <w:rPr>
                <w:sz w:val="18"/>
                <w:szCs w:val="18"/>
              </w:rPr>
            </w:pPr>
            <w:r>
              <w:rPr>
                <w:sz w:val="18"/>
                <w:szCs w:val="18"/>
              </w:rPr>
              <w:t>256x256</w:t>
            </w:r>
          </w:p>
        </w:tc>
        <w:tc>
          <w:tcPr>
            <w:tcW w:w="716" w:type="dxa"/>
            <w:vAlign w:val="center"/>
          </w:tcPr>
          <w:p w14:paraId="39AC1A65" w14:textId="77777777" w:rsidR="00DD3C03" w:rsidRPr="00604819" w:rsidRDefault="00DD3C03" w:rsidP="00645BEC">
            <w:pPr>
              <w:jc w:val="center"/>
              <w:rPr>
                <w:sz w:val="18"/>
                <w:szCs w:val="18"/>
              </w:rPr>
            </w:pPr>
          </w:p>
        </w:tc>
      </w:tr>
      <w:tr w:rsidR="00DD3C03" w14:paraId="3834142B" w14:textId="77777777" w:rsidTr="00645BEC">
        <w:tc>
          <w:tcPr>
            <w:tcW w:w="1135" w:type="dxa"/>
            <w:vAlign w:val="center"/>
          </w:tcPr>
          <w:p w14:paraId="5911A88F" w14:textId="77777777" w:rsidR="00DD3C03" w:rsidRPr="00604819" w:rsidRDefault="00DD3C03" w:rsidP="00645BEC">
            <w:pPr>
              <w:jc w:val="center"/>
              <w:rPr>
                <w:sz w:val="22"/>
                <w:szCs w:val="22"/>
              </w:rPr>
            </w:pPr>
            <w:r w:rsidRPr="00604819">
              <w:rPr>
                <w:sz w:val="22"/>
                <w:szCs w:val="22"/>
              </w:rPr>
              <w:t>Santander</w:t>
            </w:r>
          </w:p>
        </w:tc>
        <w:tc>
          <w:tcPr>
            <w:tcW w:w="1093" w:type="dxa"/>
            <w:vAlign w:val="center"/>
          </w:tcPr>
          <w:p w14:paraId="157C6538" w14:textId="77777777" w:rsidR="00DD3C03" w:rsidRPr="00604819" w:rsidRDefault="00DD3C03" w:rsidP="00645BEC">
            <w:pPr>
              <w:jc w:val="center"/>
              <w:rPr>
                <w:sz w:val="18"/>
                <w:szCs w:val="18"/>
              </w:rPr>
            </w:pPr>
            <w:r w:rsidRPr="00604819">
              <w:rPr>
                <w:rFonts w:ascii="Calibri" w:hAnsi="Calibri"/>
                <w:color w:val="000000"/>
                <w:sz w:val="18"/>
                <w:szCs w:val="18"/>
              </w:rPr>
              <w:t xml:space="preserve">Philips </w:t>
            </w:r>
            <w:proofErr w:type="spellStart"/>
            <w:r w:rsidRPr="00604819">
              <w:rPr>
                <w:rFonts w:ascii="Calibri" w:hAnsi="Calibri"/>
                <w:color w:val="000000"/>
                <w:sz w:val="18"/>
                <w:szCs w:val="18"/>
              </w:rPr>
              <w:t>Achieva</w:t>
            </w:r>
            <w:proofErr w:type="spellEnd"/>
          </w:p>
        </w:tc>
        <w:tc>
          <w:tcPr>
            <w:tcW w:w="1141" w:type="dxa"/>
            <w:vAlign w:val="center"/>
          </w:tcPr>
          <w:p w14:paraId="6043E511" w14:textId="77777777" w:rsidR="00DD3C03" w:rsidRPr="00604819" w:rsidRDefault="00DD3C03" w:rsidP="00645BEC">
            <w:pPr>
              <w:jc w:val="center"/>
              <w:rPr>
                <w:sz w:val="18"/>
                <w:szCs w:val="18"/>
              </w:rPr>
            </w:pPr>
            <w:r>
              <w:rPr>
                <w:sz w:val="18"/>
                <w:szCs w:val="18"/>
              </w:rPr>
              <w:t>3T</w:t>
            </w:r>
          </w:p>
        </w:tc>
        <w:tc>
          <w:tcPr>
            <w:tcW w:w="850" w:type="dxa"/>
            <w:vAlign w:val="center"/>
          </w:tcPr>
          <w:p w14:paraId="27B7A135" w14:textId="77777777" w:rsidR="00DD3C03" w:rsidRPr="00604819" w:rsidRDefault="00DD3C03" w:rsidP="00645BEC">
            <w:pPr>
              <w:jc w:val="center"/>
              <w:rPr>
                <w:sz w:val="18"/>
                <w:szCs w:val="18"/>
              </w:rPr>
            </w:pPr>
            <w:r w:rsidRPr="00604819">
              <w:rPr>
                <w:rFonts w:ascii="Calibri" w:hAnsi="Calibri"/>
                <w:color w:val="000000"/>
                <w:sz w:val="18"/>
                <w:szCs w:val="18"/>
              </w:rPr>
              <w:t>8</w:t>
            </w:r>
          </w:p>
        </w:tc>
        <w:tc>
          <w:tcPr>
            <w:tcW w:w="992" w:type="dxa"/>
            <w:vAlign w:val="center"/>
          </w:tcPr>
          <w:p w14:paraId="4AB03489" w14:textId="77777777" w:rsidR="00DD3C03" w:rsidRPr="00604819" w:rsidRDefault="00DD3C03" w:rsidP="00645BEC">
            <w:pPr>
              <w:jc w:val="center"/>
              <w:rPr>
                <w:sz w:val="18"/>
                <w:szCs w:val="18"/>
              </w:rPr>
            </w:pPr>
          </w:p>
        </w:tc>
        <w:tc>
          <w:tcPr>
            <w:tcW w:w="1690" w:type="dxa"/>
            <w:vAlign w:val="center"/>
          </w:tcPr>
          <w:p w14:paraId="64DC5425" w14:textId="77777777" w:rsidR="00DD3C03" w:rsidRPr="003576F3" w:rsidRDefault="00DD3C03" w:rsidP="00645BEC">
            <w:pPr>
              <w:jc w:val="center"/>
              <w:rPr>
                <w:sz w:val="18"/>
                <w:szCs w:val="18"/>
              </w:rPr>
            </w:pPr>
            <w:r w:rsidRPr="003576F3">
              <w:rPr>
                <w:rStyle w:val="fontstyle01"/>
                <w:sz w:val="18"/>
                <w:szCs w:val="18"/>
              </w:rPr>
              <w:t>1.0 x 1.0 x 1.0</w:t>
            </w:r>
          </w:p>
        </w:tc>
        <w:tc>
          <w:tcPr>
            <w:tcW w:w="653" w:type="dxa"/>
            <w:vAlign w:val="center"/>
          </w:tcPr>
          <w:p w14:paraId="7394EA40" w14:textId="77777777" w:rsidR="00DD3C03" w:rsidRPr="00604819" w:rsidRDefault="00DD3C03" w:rsidP="00645BEC">
            <w:pPr>
              <w:jc w:val="center"/>
              <w:rPr>
                <w:sz w:val="18"/>
                <w:szCs w:val="18"/>
              </w:rPr>
            </w:pPr>
            <w:r>
              <w:rPr>
                <w:sz w:val="18"/>
                <w:szCs w:val="18"/>
              </w:rPr>
              <w:t>3000</w:t>
            </w:r>
          </w:p>
        </w:tc>
        <w:tc>
          <w:tcPr>
            <w:tcW w:w="649" w:type="dxa"/>
            <w:vAlign w:val="center"/>
          </w:tcPr>
          <w:p w14:paraId="32EB9F26" w14:textId="77777777" w:rsidR="00DD3C03" w:rsidRPr="00604819" w:rsidRDefault="00DD3C03" w:rsidP="00645BEC">
            <w:pPr>
              <w:jc w:val="center"/>
              <w:rPr>
                <w:sz w:val="18"/>
                <w:szCs w:val="18"/>
              </w:rPr>
            </w:pPr>
            <w:r>
              <w:rPr>
                <w:sz w:val="18"/>
                <w:szCs w:val="18"/>
              </w:rPr>
              <w:t>3.9</w:t>
            </w:r>
          </w:p>
        </w:tc>
        <w:tc>
          <w:tcPr>
            <w:tcW w:w="935" w:type="dxa"/>
            <w:vAlign w:val="center"/>
          </w:tcPr>
          <w:p w14:paraId="14453F10" w14:textId="77777777" w:rsidR="00DD3C03" w:rsidRPr="00604819" w:rsidRDefault="00DD3C03" w:rsidP="00645BEC">
            <w:pPr>
              <w:jc w:val="center"/>
              <w:rPr>
                <w:sz w:val="18"/>
                <w:szCs w:val="18"/>
              </w:rPr>
            </w:pPr>
            <w:r>
              <w:rPr>
                <w:sz w:val="18"/>
                <w:szCs w:val="18"/>
              </w:rPr>
              <w:t>256x256</w:t>
            </w:r>
          </w:p>
        </w:tc>
        <w:tc>
          <w:tcPr>
            <w:tcW w:w="716" w:type="dxa"/>
            <w:vAlign w:val="center"/>
          </w:tcPr>
          <w:p w14:paraId="3F90FC83" w14:textId="77777777" w:rsidR="00DD3C03" w:rsidRPr="00604819" w:rsidRDefault="00DD3C03" w:rsidP="00645BEC">
            <w:pPr>
              <w:jc w:val="center"/>
              <w:rPr>
                <w:sz w:val="18"/>
                <w:szCs w:val="18"/>
              </w:rPr>
            </w:pPr>
          </w:p>
        </w:tc>
      </w:tr>
      <w:tr w:rsidR="00DD3C03" w14:paraId="64B4B02F" w14:textId="77777777" w:rsidTr="00645BEC">
        <w:tc>
          <w:tcPr>
            <w:tcW w:w="1135" w:type="dxa"/>
            <w:vAlign w:val="center"/>
          </w:tcPr>
          <w:p w14:paraId="40F682A6" w14:textId="77777777" w:rsidR="00DD3C03" w:rsidRPr="00604819" w:rsidRDefault="00DD3C03" w:rsidP="00645BEC">
            <w:pPr>
              <w:jc w:val="center"/>
              <w:rPr>
                <w:sz w:val="22"/>
                <w:szCs w:val="22"/>
              </w:rPr>
            </w:pPr>
            <w:r w:rsidRPr="00604819">
              <w:rPr>
                <w:sz w:val="22"/>
                <w:szCs w:val="22"/>
              </w:rPr>
              <w:t>Verona</w:t>
            </w:r>
          </w:p>
        </w:tc>
        <w:tc>
          <w:tcPr>
            <w:tcW w:w="1093" w:type="dxa"/>
            <w:vAlign w:val="center"/>
          </w:tcPr>
          <w:p w14:paraId="4BFEE9A7" w14:textId="77777777" w:rsidR="00DD3C03" w:rsidRPr="00604819" w:rsidRDefault="00DD3C03" w:rsidP="00645BEC">
            <w:pPr>
              <w:jc w:val="center"/>
              <w:rPr>
                <w:sz w:val="18"/>
                <w:szCs w:val="18"/>
              </w:rPr>
            </w:pPr>
            <w:r w:rsidRPr="00604819">
              <w:rPr>
                <w:rFonts w:ascii="Calibri" w:hAnsi="Calibri"/>
                <w:color w:val="000000"/>
                <w:sz w:val="18"/>
                <w:szCs w:val="18"/>
              </w:rPr>
              <w:t xml:space="preserve">Siemens </w:t>
            </w:r>
            <w:proofErr w:type="spellStart"/>
            <w:r w:rsidRPr="00604819">
              <w:rPr>
                <w:rFonts w:ascii="Calibri" w:hAnsi="Calibri"/>
                <w:color w:val="000000"/>
                <w:sz w:val="18"/>
                <w:szCs w:val="18"/>
              </w:rPr>
              <w:t>Magnetom</w:t>
            </w:r>
            <w:proofErr w:type="spellEnd"/>
            <w:r w:rsidRPr="00604819">
              <w:rPr>
                <w:rFonts w:ascii="Calibri" w:hAnsi="Calibri"/>
                <w:color w:val="000000"/>
                <w:sz w:val="18"/>
                <w:szCs w:val="18"/>
              </w:rPr>
              <w:t xml:space="preserve"> Allegra</w:t>
            </w:r>
          </w:p>
        </w:tc>
        <w:tc>
          <w:tcPr>
            <w:tcW w:w="1141" w:type="dxa"/>
            <w:vAlign w:val="center"/>
          </w:tcPr>
          <w:p w14:paraId="0D569339" w14:textId="77777777" w:rsidR="00DD3C03" w:rsidRPr="00604819" w:rsidRDefault="00DD3C03" w:rsidP="00645BEC">
            <w:pPr>
              <w:jc w:val="center"/>
              <w:rPr>
                <w:sz w:val="18"/>
                <w:szCs w:val="18"/>
              </w:rPr>
            </w:pPr>
            <w:r>
              <w:rPr>
                <w:sz w:val="18"/>
                <w:szCs w:val="18"/>
              </w:rPr>
              <w:t>3T</w:t>
            </w:r>
          </w:p>
        </w:tc>
        <w:tc>
          <w:tcPr>
            <w:tcW w:w="850" w:type="dxa"/>
            <w:vAlign w:val="center"/>
          </w:tcPr>
          <w:p w14:paraId="4D5AA63B" w14:textId="77777777" w:rsidR="00DD3C03" w:rsidRPr="00604819" w:rsidRDefault="00DD3C03" w:rsidP="00645BEC">
            <w:pPr>
              <w:jc w:val="center"/>
              <w:rPr>
                <w:sz w:val="18"/>
                <w:szCs w:val="18"/>
              </w:rPr>
            </w:pPr>
            <w:r w:rsidRPr="00604819">
              <w:rPr>
                <w:rFonts w:ascii="Calibri" w:hAnsi="Calibri"/>
                <w:color w:val="000000"/>
                <w:sz w:val="18"/>
                <w:szCs w:val="18"/>
              </w:rPr>
              <w:t>15</w:t>
            </w:r>
          </w:p>
        </w:tc>
        <w:tc>
          <w:tcPr>
            <w:tcW w:w="992" w:type="dxa"/>
            <w:vAlign w:val="center"/>
          </w:tcPr>
          <w:p w14:paraId="29A80BF0" w14:textId="77777777" w:rsidR="00DD3C03" w:rsidRPr="00604819" w:rsidRDefault="00DD3C03" w:rsidP="00645BEC">
            <w:pPr>
              <w:jc w:val="center"/>
              <w:rPr>
                <w:sz w:val="18"/>
                <w:szCs w:val="18"/>
              </w:rPr>
            </w:pPr>
          </w:p>
        </w:tc>
        <w:tc>
          <w:tcPr>
            <w:tcW w:w="1690" w:type="dxa"/>
            <w:vAlign w:val="center"/>
          </w:tcPr>
          <w:p w14:paraId="2EDEBC3F" w14:textId="77777777" w:rsidR="00DD3C03" w:rsidRPr="003576F3" w:rsidRDefault="00DD3C03" w:rsidP="00645BEC">
            <w:pPr>
              <w:jc w:val="center"/>
              <w:rPr>
                <w:sz w:val="18"/>
                <w:szCs w:val="18"/>
              </w:rPr>
            </w:pPr>
            <w:r w:rsidRPr="003576F3">
              <w:rPr>
                <w:rStyle w:val="fontstyle01"/>
                <w:sz w:val="18"/>
                <w:szCs w:val="18"/>
              </w:rPr>
              <w:t>1.0 x 1.0 x 1.0</w:t>
            </w:r>
          </w:p>
        </w:tc>
        <w:tc>
          <w:tcPr>
            <w:tcW w:w="653" w:type="dxa"/>
            <w:vAlign w:val="center"/>
          </w:tcPr>
          <w:p w14:paraId="31E8905C" w14:textId="77777777" w:rsidR="00DD3C03" w:rsidRPr="00604819" w:rsidRDefault="00DD3C03" w:rsidP="00645BEC">
            <w:pPr>
              <w:jc w:val="center"/>
              <w:rPr>
                <w:sz w:val="18"/>
                <w:szCs w:val="18"/>
              </w:rPr>
            </w:pPr>
            <w:r>
              <w:rPr>
                <w:sz w:val="18"/>
                <w:szCs w:val="18"/>
              </w:rPr>
              <w:t>2060</w:t>
            </w:r>
          </w:p>
        </w:tc>
        <w:tc>
          <w:tcPr>
            <w:tcW w:w="649" w:type="dxa"/>
            <w:vAlign w:val="center"/>
          </w:tcPr>
          <w:p w14:paraId="41F6DA3C" w14:textId="77777777" w:rsidR="00DD3C03" w:rsidRPr="00604819" w:rsidRDefault="00DD3C03" w:rsidP="00645BEC">
            <w:pPr>
              <w:jc w:val="center"/>
              <w:rPr>
                <w:sz w:val="18"/>
                <w:szCs w:val="18"/>
              </w:rPr>
            </w:pPr>
            <w:r>
              <w:rPr>
                <w:sz w:val="18"/>
                <w:szCs w:val="18"/>
              </w:rPr>
              <w:t>3.93</w:t>
            </w:r>
          </w:p>
        </w:tc>
        <w:tc>
          <w:tcPr>
            <w:tcW w:w="935" w:type="dxa"/>
            <w:vAlign w:val="center"/>
          </w:tcPr>
          <w:p w14:paraId="361F0E35" w14:textId="77777777" w:rsidR="00DD3C03" w:rsidRPr="00604819" w:rsidRDefault="00DD3C03" w:rsidP="00645BEC">
            <w:pPr>
              <w:jc w:val="center"/>
              <w:rPr>
                <w:sz w:val="18"/>
                <w:szCs w:val="18"/>
              </w:rPr>
            </w:pPr>
            <w:r>
              <w:rPr>
                <w:sz w:val="18"/>
                <w:szCs w:val="18"/>
              </w:rPr>
              <w:t>256x256</w:t>
            </w:r>
          </w:p>
        </w:tc>
        <w:tc>
          <w:tcPr>
            <w:tcW w:w="716" w:type="dxa"/>
            <w:vAlign w:val="center"/>
          </w:tcPr>
          <w:p w14:paraId="6070DBFF" w14:textId="77777777" w:rsidR="00DD3C03" w:rsidRPr="00604819" w:rsidRDefault="00DD3C03" w:rsidP="00645BEC">
            <w:pPr>
              <w:jc w:val="center"/>
              <w:rPr>
                <w:sz w:val="18"/>
                <w:szCs w:val="18"/>
              </w:rPr>
            </w:pPr>
          </w:p>
        </w:tc>
      </w:tr>
      <w:tr w:rsidR="00DD3C03" w14:paraId="0E2B0349" w14:textId="77777777" w:rsidTr="00645BEC">
        <w:tc>
          <w:tcPr>
            <w:tcW w:w="1135" w:type="dxa"/>
            <w:vAlign w:val="center"/>
          </w:tcPr>
          <w:p w14:paraId="02D7E028" w14:textId="77777777" w:rsidR="00DD3C03" w:rsidRPr="00604819" w:rsidRDefault="00DD3C03" w:rsidP="00645BEC">
            <w:pPr>
              <w:jc w:val="center"/>
              <w:rPr>
                <w:sz w:val="22"/>
                <w:szCs w:val="22"/>
              </w:rPr>
            </w:pPr>
            <w:r w:rsidRPr="00604819">
              <w:rPr>
                <w:sz w:val="22"/>
                <w:szCs w:val="22"/>
              </w:rPr>
              <w:t>Rome</w:t>
            </w:r>
          </w:p>
        </w:tc>
        <w:tc>
          <w:tcPr>
            <w:tcW w:w="1093" w:type="dxa"/>
            <w:vAlign w:val="center"/>
          </w:tcPr>
          <w:p w14:paraId="2EBF1348" w14:textId="77777777" w:rsidR="00DD3C03" w:rsidRPr="00604819" w:rsidRDefault="00DD3C03" w:rsidP="00645BEC">
            <w:pPr>
              <w:jc w:val="center"/>
              <w:rPr>
                <w:sz w:val="18"/>
                <w:szCs w:val="18"/>
              </w:rPr>
            </w:pPr>
            <w:r w:rsidRPr="00604819">
              <w:rPr>
                <w:rFonts w:ascii="Calibri" w:hAnsi="Calibri"/>
                <w:color w:val="000000"/>
                <w:sz w:val="18"/>
                <w:szCs w:val="18"/>
              </w:rPr>
              <w:t>Siemens Allegra RM</w:t>
            </w:r>
          </w:p>
        </w:tc>
        <w:tc>
          <w:tcPr>
            <w:tcW w:w="1141" w:type="dxa"/>
            <w:vAlign w:val="center"/>
          </w:tcPr>
          <w:p w14:paraId="73538633" w14:textId="77777777" w:rsidR="00DD3C03" w:rsidRPr="00604819" w:rsidRDefault="00DD3C03" w:rsidP="00645BEC">
            <w:pPr>
              <w:jc w:val="center"/>
              <w:rPr>
                <w:sz w:val="18"/>
                <w:szCs w:val="18"/>
              </w:rPr>
            </w:pPr>
            <w:r>
              <w:rPr>
                <w:sz w:val="18"/>
                <w:szCs w:val="18"/>
              </w:rPr>
              <w:t>3T</w:t>
            </w:r>
          </w:p>
        </w:tc>
        <w:tc>
          <w:tcPr>
            <w:tcW w:w="850" w:type="dxa"/>
            <w:vAlign w:val="center"/>
          </w:tcPr>
          <w:p w14:paraId="66504996" w14:textId="77777777" w:rsidR="00DD3C03" w:rsidRPr="00604819" w:rsidRDefault="00DD3C03" w:rsidP="00645BEC">
            <w:pPr>
              <w:jc w:val="center"/>
              <w:rPr>
                <w:sz w:val="18"/>
                <w:szCs w:val="18"/>
              </w:rPr>
            </w:pPr>
            <w:r w:rsidRPr="00604819">
              <w:rPr>
                <w:rFonts w:ascii="Calibri" w:hAnsi="Calibri"/>
                <w:color w:val="000000"/>
                <w:sz w:val="18"/>
                <w:szCs w:val="18"/>
              </w:rPr>
              <w:t>15</w:t>
            </w:r>
          </w:p>
        </w:tc>
        <w:tc>
          <w:tcPr>
            <w:tcW w:w="992" w:type="dxa"/>
            <w:vAlign w:val="center"/>
          </w:tcPr>
          <w:p w14:paraId="3123F176" w14:textId="77777777" w:rsidR="00DD3C03" w:rsidRPr="00604819" w:rsidRDefault="00DD3C03" w:rsidP="00645BEC">
            <w:pPr>
              <w:jc w:val="center"/>
              <w:rPr>
                <w:sz w:val="18"/>
                <w:szCs w:val="18"/>
              </w:rPr>
            </w:pPr>
          </w:p>
        </w:tc>
        <w:tc>
          <w:tcPr>
            <w:tcW w:w="1690" w:type="dxa"/>
            <w:vAlign w:val="center"/>
          </w:tcPr>
          <w:p w14:paraId="4AF2F9E8" w14:textId="77777777" w:rsidR="00DD3C03" w:rsidRPr="003576F3" w:rsidRDefault="00DD3C03" w:rsidP="00645BEC">
            <w:pPr>
              <w:jc w:val="center"/>
              <w:rPr>
                <w:sz w:val="18"/>
                <w:szCs w:val="18"/>
              </w:rPr>
            </w:pPr>
            <w:r w:rsidRPr="003576F3">
              <w:rPr>
                <w:rStyle w:val="fontstyle01"/>
                <w:sz w:val="18"/>
                <w:szCs w:val="18"/>
              </w:rPr>
              <w:t>1.0 x 1.0 x 1.0</w:t>
            </w:r>
          </w:p>
        </w:tc>
        <w:tc>
          <w:tcPr>
            <w:tcW w:w="653" w:type="dxa"/>
            <w:vAlign w:val="center"/>
          </w:tcPr>
          <w:p w14:paraId="666A2267" w14:textId="5E08F909" w:rsidR="00DD3C03" w:rsidRPr="00604819" w:rsidRDefault="00DD3C03" w:rsidP="00645BEC">
            <w:pPr>
              <w:jc w:val="center"/>
              <w:rPr>
                <w:sz w:val="18"/>
                <w:szCs w:val="18"/>
              </w:rPr>
            </w:pPr>
            <w:r>
              <w:rPr>
                <w:sz w:val="18"/>
                <w:szCs w:val="18"/>
              </w:rPr>
              <w:t>2400</w:t>
            </w:r>
          </w:p>
        </w:tc>
        <w:tc>
          <w:tcPr>
            <w:tcW w:w="649" w:type="dxa"/>
            <w:vAlign w:val="center"/>
          </w:tcPr>
          <w:p w14:paraId="10B6C38E" w14:textId="77777777" w:rsidR="00DD3C03" w:rsidRPr="00604819" w:rsidRDefault="00DD3C03" w:rsidP="00645BEC">
            <w:pPr>
              <w:jc w:val="center"/>
              <w:rPr>
                <w:sz w:val="18"/>
                <w:szCs w:val="18"/>
              </w:rPr>
            </w:pPr>
            <w:r>
              <w:rPr>
                <w:sz w:val="18"/>
                <w:szCs w:val="18"/>
              </w:rPr>
              <w:t>7.9</w:t>
            </w:r>
          </w:p>
        </w:tc>
        <w:tc>
          <w:tcPr>
            <w:tcW w:w="935" w:type="dxa"/>
            <w:vAlign w:val="center"/>
          </w:tcPr>
          <w:p w14:paraId="4E78D4E9" w14:textId="77777777" w:rsidR="00DD3C03" w:rsidRPr="00604819" w:rsidRDefault="00DD3C03" w:rsidP="00645BEC">
            <w:pPr>
              <w:jc w:val="center"/>
              <w:rPr>
                <w:sz w:val="18"/>
                <w:szCs w:val="18"/>
              </w:rPr>
            </w:pPr>
            <w:r>
              <w:rPr>
                <w:sz w:val="18"/>
                <w:szCs w:val="18"/>
              </w:rPr>
              <w:t>256x256</w:t>
            </w:r>
          </w:p>
        </w:tc>
        <w:tc>
          <w:tcPr>
            <w:tcW w:w="716" w:type="dxa"/>
            <w:vAlign w:val="center"/>
          </w:tcPr>
          <w:p w14:paraId="0C8CBC93" w14:textId="77777777" w:rsidR="00DD3C03" w:rsidRPr="00604819" w:rsidRDefault="00DD3C03" w:rsidP="00645BEC">
            <w:pPr>
              <w:jc w:val="center"/>
              <w:rPr>
                <w:sz w:val="18"/>
                <w:szCs w:val="18"/>
              </w:rPr>
            </w:pPr>
          </w:p>
        </w:tc>
      </w:tr>
      <w:tr w:rsidR="00DD3C03" w14:paraId="11AE35B8" w14:textId="77777777" w:rsidTr="00645BEC">
        <w:tc>
          <w:tcPr>
            <w:tcW w:w="1135" w:type="dxa"/>
            <w:vAlign w:val="center"/>
          </w:tcPr>
          <w:p w14:paraId="2329BD9F" w14:textId="77777777" w:rsidR="00DD3C03" w:rsidRPr="00604819" w:rsidRDefault="00DD3C03" w:rsidP="00645BEC">
            <w:pPr>
              <w:jc w:val="center"/>
              <w:rPr>
                <w:sz w:val="22"/>
                <w:szCs w:val="22"/>
              </w:rPr>
            </w:pPr>
            <w:r w:rsidRPr="00604819">
              <w:rPr>
                <w:sz w:val="22"/>
                <w:szCs w:val="22"/>
              </w:rPr>
              <w:t>London</w:t>
            </w:r>
          </w:p>
        </w:tc>
        <w:tc>
          <w:tcPr>
            <w:tcW w:w="1093" w:type="dxa"/>
            <w:vAlign w:val="center"/>
          </w:tcPr>
          <w:p w14:paraId="135C35C9" w14:textId="77777777" w:rsidR="00DD3C03" w:rsidRPr="00604819" w:rsidRDefault="00DD3C03" w:rsidP="00645BEC">
            <w:pPr>
              <w:jc w:val="center"/>
              <w:rPr>
                <w:sz w:val="18"/>
                <w:szCs w:val="18"/>
              </w:rPr>
            </w:pPr>
            <w:bookmarkStart w:id="8" w:name="_Hlk45620674"/>
            <w:r w:rsidRPr="00604819">
              <w:rPr>
                <w:rFonts w:ascii="Calibri" w:hAnsi="Calibri"/>
                <w:color w:val="000000"/>
                <w:sz w:val="18"/>
                <w:szCs w:val="18"/>
              </w:rPr>
              <w:t xml:space="preserve">General Electric Signa </w:t>
            </w:r>
            <w:proofErr w:type="spellStart"/>
            <w:r w:rsidRPr="00604819">
              <w:rPr>
                <w:rFonts w:ascii="Calibri" w:hAnsi="Calibri"/>
                <w:color w:val="000000"/>
                <w:sz w:val="18"/>
                <w:szCs w:val="18"/>
              </w:rPr>
              <w:t>HDx</w:t>
            </w:r>
            <w:proofErr w:type="spellEnd"/>
            <w:r w:rsidRPr="00604819">
              <w:rPr>
                <w:rFonts w:ascii="Calibri" w:hAnsi="Calibri"/>
                <w:color w:val="000000"/>
                <w:sz w:val="18"/>
                <w:szCs w:val="18"/>
              </w:rPr>
              <w:t xml:space="preserve"> scanner</w:t>
            </w:r>
            <w:bookmarkEnd w:id="8"/>
          </w:p>
        </w:tc>
        <w:tc>
          <w:tcPr>
            <w:tcW w:w="1141" w:type="dxa"/>
            <w:vAlign w:val="center"/>
          </w:tcPr>
          <w:p w14:paraId="53881C43" w14:textId="77777777" w:rsidR="00DD3C03" w:rsidRPr="00604819" w:rsidRDefault="00DD3C03" w:rsidP="00645BEC">
            <w:pPr>
              <w:jc w:val="center"/>
              <w:rPr>
                <w:sz w:val="18"/>
                <w:szCs w:val="18"/>
              </w:rPr>
            </w:pPr>
            <w:r>
              <w:rPr>
                <w:sz w:val="18"/>
                <w:szCs w:val="18"/>
              </w:rPr>
              <w:t>3T</w:t>
            </w:r>
          </w:p>
        </w:tc>
        <w:tc>
          <w:tcPr>
            <w:tcW w:w="850" w:type="dxa"/>
            <w:vAlign w:val="center"/>
          </w:tcPr>
          <w:p w14:paraId="27B111AE" w14:textId="77777777" w:rsidR="00DD3C03" w:rsidRPr="00604819" w:rsidRDefault="00DD3C03" w:rsidP="00645BEC">
            <w:pPr>
              <w:jc w:val="center"/>
              <w:rPr>
                <w:sz w:val="18"/>
                <w:szCs w:val="18"/>
              </w:rPr>
            </w:pPr>
            <w:r w:rsidRPr="00604819">
              <w:rPr>
                <w:rFonts w:ascii="Calibri" w:hAnsi="Calibri"/>
                <w:color w:val="000000"/>
                <w:sz w:val="18"/>
                <w:szCs w:val="18"/>
              </w:rPr>
              <w:t>20</w:t>
            </w:r>
          </w:p>
        </w:tc>
        <w:tc>
          <w:tcPr>
            <w:tcW w:w="992" w:type="dxa"/>
            <w:vAlign w:val="center"/>
          </w:tcPr>
          <w:p w14:paraId="4F0003CC" w14:textId="77777777" w:rsidR="00DD3C03" w:rsidRPr="00604819" w:rsidRDefault="00DD3C03" w:rsidP="00645BEC">
            <w:pPr>
              <w:jc w:val="center"/>
              <w:rPr>
                <w:sz w:val="18"/>
                <w:szCs w:val="18"/>
              </w:rPr>
            </w:pPr>
          </w:p>
        </w:tc>
        <w:tc>
          <w:tcPr>
            <w:tcW w:w="1690" w:type="dxa"/>
            <w:vAlign w:val="center"/>
          </w:tcPr>
          <w:p w14:paraId="4E9E7CCE" w14:textId="77777777" w:rsidR="00DD3C03" w:rsidRPr="003576F3" w:rsidRDefault="00DD3C03" w:rsidP="00645BEC">
            <w:pPr>
              <w:jc w:val="center"/>
              <w:rPr>
                <w:sz w:val="18"/>
                <w:szCs w:val="18"/>
              </w:rPr>
            </w:pPr>
            <w:r w:rsidRPr="003576F3">
              <w:rPr>
                <w:sz w:val="18"/>
                <w:szCs w:val="18"/>
              </w:rPr>
              <w:t>1.09 × 1.09 × 1.1</w:t>
            </w:r>
          </w:p>
        </w:tc>
        <w:tc>
          <w:tcPr>
            <w:tcW w:w="653" w:type="dxa"/>
            <w:vAlign w:val="center"/>
          </w:tcPr>
          <w:p w14:paraId="3126C08E" w14:textId="31A5EB88" w:rsidR="00DD3C03" w:rsidRPr="00604819" w:rsidRDefault="00DD3C03" w:rsidP="00645BEC">
            <w:pPr>
              <w:jc w:val="center"/>
              <w:rPr>
                <w:sz w:val="18"/>
                <w:szCs w:val="18"/>
              </w:rPr>
            </w:pPr>
            <w:r>
              <w:rPr>
                <w:sz w:val="18"/>
                <w:szCs w:val="18"/>
              </w:rPr>
              <w:t>6980</w:t>
            </w:r>
          </w:p>
        </w:tc>
        <w:tc>
          <w:tcPr>
            <w:tcW w:w="649" w:type="dxa"/>
            <w:vAlign w:val="center"/>
          </w:tcPr>
          <w:p w14:paraId="36B5D9A2" w14:textId="77777777" w:rsidR="00DD3C03" w:rsidRPr="00604819" w:rsidRDefault="00DD3C03" w:rsidP="00645BEC">
            <w:pPr>
              <w:jc w:val="center"/>
              <w:rPr>
                <w:sz w:val="18"/>
                <w:szCs w:val="18"/>
              </w:rPr>
            </w:pPr>
            <w:r>
              <w:rPr>
                <w:sz w:val="18"/>
                <w:szCs w:val="18"/>
              </w:rPr>
              <w:t>2.81</w:t>
            </w:r>
          </w:p>
        </w:tc>
        <w:tc>
          <w:tcPr>
            <w:tcW w:w="935" w:type="dxa"/>
            <w:vAlign w:val="center"/>
          </w:tcPr>
          <w:p w14:paraId="796AF1B7" w14:textId="77777777" w:rsidR="00DD3C03" w:rsidRPr="00604819" w:rsidRDefault="00DD3C03" w:rsidP="00645BEC">
            <w:pPr>
              <w:jc w:val="center"/>
              <w:rPr>
                <w:sz w:val="18"/>
                <w:szCs w:val="18"/>
              </w:rPr>
            </w:pPr>
            <w:r w:rsidRPr="00505069">
              <w:rPr>
                <w:sz w:val="18"/>
                <w:szCs w:val="18"/>
              </w:rPr>
              <w:t>256 × 256</w:t>
            </w:r>
          </w:p>
        </w:tc>
        <w:tc>
          <w:tcPr>
            <w:tcW w:w="716" w:type="dxa"/>
            <w:vAlign w:val="center"/>
          </w:tcPr>
          <w:p w14:paraId="16C7FFD4" w14:textId="77777777" w:rsidR="00DD3C03" w:rsidRPr="00604819" w:rsidRDefault="00DD3C03" w:rsidP="00645BEC">
            <w:pPr>
              <w:jc w:val="center"/>
              <w:rPr>
                <w:sz w:val="18"/>
                <w:szCs w:val="18"/>
              </w:rPr>
            </w:pPr>
            <w:r>
              <w:rPr>
                <w:sz w:val="18"/>
                <w:szCs w:val="18"/>
              </w:rPr>
              <w:t>196</w:t>
            </w:r>
          </w:p>
        </w:tc>
      </w:tr>
      <w:tr w:rsidR="00DD3C03" w14:paraId="586B277E" w14:textId="77777777" w:rsidTr="00645BEC">
        <w:tc>
          <w:tcPr>
            <w:tcW w:w="1135" w:type="dxa"/>
            <w:vAlign w:val="center"/>
          </w:tcPr>
          <w:p w14:paraId="634F952E" w14:textId="77777777" w:rsidR="00DD3C03" w:rsidRPr="00604819" w:rsidRDefault="00DD3C03" w:rsidP="00645BEC">
            <w:pPr>
              <w:jc w:val="center"/>
              <w:rPr>
                <w:sz w:val="22"/>
                <w:szCs w:val="22"/>
              </w:rPr>
            </w:pPr>
            <w:r w:rsidRPr="00604819">
              <w:rPr>
                <w:sz w:val="22"/>
                <w:szCs w:val="22"/>
              </w:rPr>
              <w:t>Basel</w:t>
            </w:r>
          </w:p>
        </w:tc>
        <w:tc>
          <w:tcPr>
            <w:tcW w:w="1093" w:type="dxa"/>
            <w:vAlign w:val="center"/>
          </w:tcPr>
          <w:p w14:paraId="7F1AEE88" w14:textId="77777777" w:rsidR="00DD3C03" w:rsidRPr="00604819" w:rsidRDefault="00DD3C03" w:rsidP="00645BEC">
            <w:pPr>
              <w:jc w:val="center"/>
              <w:rPr>
                <w:sz w:val="18"/>
                <w:szCs w:val="18"/>
              </w:rPr>
            </w:pPr>
            <w:r w:rsidRPr="00604819">
              <w:rPr>
                <w:rFonts w:ascii="Calibri" w:hAnsi="Calibri"/>
                <w:color w:val="000000"/>
                <w:sz w:val="18"/>
                <w:szCs w:val="18"/>
              </w:rPr>
              <w:t xml:space="preserve">Siemens </w:t>
            </w:r>
            <w:proofErr w:type="spellStart"/>
            <w:r w:rsidRPr="00604819">
              <w:rPr>
                <w:rFonts w:ascii="Calibri" w:hAnsi="Calibri"/>
                <w:color w:val="000000"/>
                <w:sz w:val="18"/>
                <w:szCs w:val="18"/>
              </w:rPr>
              <w:t>Magnetom</w:t>
            </w:r>
            <w:proofErr w:type="spellEnd"/>
            <w:r w:rsidRPr="00604819">
              <w:rPr>
                <w:rFonts w:ascii="Calibri" w:hAnsi="Calibri"/>
                <w:color w:val="000000"/>
                <w:sz w:val="18"/>
                <w:szCs w:val="18"/>
              </w:rPr>
              <w:t xml:space="preserve"> </w:t>
            </w:r>
            <w:proofErr w:type="spellStart"/>
            <w:r w:rsidRPr="00604819">
              <w:rPr>
                <w:rFonts w:ascii="Calibri" w:hAnsi="Calibri"/>
                <w:color w:val="000000"/>
                <w:sz w:val="18"/>
                <w:szCs w:val="18"/>
              </w:rPr>
              <w:t>Verio</w:t>
            </w:r>
            <w:proofErr w:type="spellEnd"/>
          </w:p>
        </w:tc>
        <w:tc>
          <w:tcPr>
            <w:tcW w:w="1141" w:type="dxa"/>
            <w:vAlign w:val="center"/>
          </w:tcPr>
          <w:p w14:paraId="473DDC07" w14:textId="77777777" w:rsidR="00DD3C03" w:rsidRPr="00604819" w:rsidRDefault="00DD3C03" w:rsidP="00645BEC">
            <w:pPr>
              <w:jc w:val="center"/>
              <w:rPr>
                <w:sz w:val="18"/>
                <w:szCs w:val="18"/>
              </w:rPr>
            </w:pPr>
            <w:r>
              <w:rPr>
                <w:sz w:val="18"/>
                <w:szCs w:val="18"/>
              </w:rPr>
              <w:t>3T</w:t>
            </w:r>
          </w:p>
        </w:tc>
        <w:tc>
          <w:tcPr>
            <w:tcW w:w="850" w:type="dxa"/>
            <w:vAlign w:val="center"/>
          </w:tcPr>
          <w:p w14:paraId="2B2EE5DD" w14:textId="77777777" w:rsidR="00DD3C03" w:rsidRPr="00604819" w:rsidRDefault="00DD3C03" w:rsidP="00645BEC">
            <w:pPr>
              <w:jc w:val="center"/>
              <w:rPr>
                <w:sz w:val="18"/>
                <w:szCs w:val="18"/>
              </w:rPr>
            </w:pPr>
            <w:r w:rsidRPr="00604819">
              <w:rPr>
                <w:rFonts w:ascii="Calibri" w:hAnsi="Calibri"/>
                <w:color w:val="000000"/>
                <w:sz w:val="18"/>
                <w:szCs w:val="18"/>
              </w:rPr>
              <w:t>8</w:t>
            </w:r>
          </w:p>
        </w:tc>
        <w:tc>
          <w:tcPr>
            <w:tcW w:w="992" w:type="dxa"/>
            <w:vAlign w:val="center"/>
          </w:tcPr>
          <w:p w14:paraId="413529A6" w14:textId="77777777" w:rsidR="00DD3C03" w:rsidRPr="00604819" w:rsidRDefault="00DD3C03" w:rsidP="00645BEC">
            <w:pPr>
              <w:jc w:val="center"/>
              <w:rPr>
                <w:sz w:val="18"/>
                <w:szCs w:val="18"/>
              </w:rPr>
            </w:pPr>
            <w:r>
              <w:rPr>
                <w:sz w:val="18"/>
                <w:szCs w:val="18"/>
              </w:rPr>
              <w:t>12</w:t>
            </w:r>
          </w:p>
        </w:tc>
        <w:tc>
          <w:tcPr>
            <w:tcW w:w="1690" w:type="dxa"/>
            <w:vAlign w:val="center"/>
          </w:tcPr>
          <w:p w14:paraId="2F8BA165" w14:textId="77777777" w:rsidR="00DD3C03" w:rsidRPr="003576F3" w:rsidRDefault="00DD3C03" w:rsidP="00645BEC">
            <w:pPr>
              <w:jc w:val="center"/>
              <w:rPr>
                <w:rFonts w:eastAsia="Times New Roman"/>
                <w:sz w:val="18"/>
                <w:szCs w:val="18"/>
                <w:lang w:val="it-IT" w:eastAsia="it-IT"/>
              </w:rPr>
            </w:pPr>
            <w:r w:rsidRPr="003576F3">
              <w:rPr>
                <w:rStyle w:val="fontstyle01"/>
                <w:sz w:val="18"/>
                <w:szCs w:val="18"/>
              </w:rPr>
              <w:t>1.0 x 1.0 x 1.0</w:t>
            </w:r>
          </w:p>
          <w:p w14:paraId="1ABB5C3C" w14:textId="77777777" w:rsidR="00DD3C03" w:rsidRPr="003576F3" w:rsidRDefault="00DD3C03" w:rsidP="00645BEC">
            <w:pPr>
              <w:jc w:val="center"/>
              <w:rPr>
                <w:sz w:val="18"/>
                <w:szCs w:val="18"/>
              </w:rPr>
            </w:pPr>
          </w:p>
        </w:tc>
        <w:tc>
          <w:tcPr>
            <w:tcW w:w="653" w:type="dxa"/>
            <w:vAlign w:val="center"/>
          </w:tcPr>
          <w:p w14:paraId="20CE3AA6" w14:textId="77777777" w:rsidR="00DD3C03" w:rsidRPr="00604819" w:rsidRDefault="00DD3C03" w:rsidP="00645BEC">
            <w:pPr>
              <w:jc w:val="center"/>
              <w:rPr>
                <w:sz w:val="18"/>
                <w:szCs w:val="18"/>
              </w:rPr>
            </w:pPr>
            <w:r>
              <w:rPr>
                <w:sz w:val="18"/>
                <w:szCs w:val="18"/>
              </w:rPr>
              <w:t>2000</w:t>
            </w:r>
          </w:p>
        </w:tc>
        <w:tc>
          <w:tcPr>
            <w:tcW w:w="649" w:type="dxa"/>
            <w:vAlign w:val="center"/>
          </w:tcPr>
          <w:p w14:paraId="22ACA568" w14:textId="77777777" w:rsidR="00DD3C03" w:rsidRPr="00604819" w:rsidRDefault="00DD3C03" w:rsidP="00645BEC">
            <w:pPr>
              <w:jc w:val="center"/>
              <w:rPr>
                <w:sz w:val="18"/>
                <w:szCs w:val="18"/>
              </w:rPr>
            </w:pPr>
            <w:r>
              <w:rPr>
                <w:sz w:val="18"/>
                <w:szCs w:val="18"/>
              </w:rPr>
              <w:t>3.4</w:t>
            </w:r>
          </w:p>
        </w:tc>
        <w:tc>
          <w:tcPr>
            <w:tcW w:w="935" w:type="dxa"/>
            <w:vAlign w:val="center"/>
          </w:tcPr>
          <w:p w14:paraId="54525BF9" w14:textId="77777777" w:rsidR="00DD3C03" w:rsidRPr="00604819" w:rsidRDefault="00DD3C03" w:rsidP="00645BEC">
            <w:pPr>
              <w:jc w:val="center"/>
              <w:rPr>
                <w:sz w:val="18"/>
                <w:szCs w:val="18"/>
              </w:rPr>
            </w:pPr>
            <w:r>
              <w:rPr>
                <w:sz w:val="18"/>
                <w:szCs w:val="18"/>
              </w:rPr>
              <w:t>256x256</w:t>
            </w:r>
          </w:p>
        </w:tc>
        <w:tc>
          <w:tcPr>
            <w:tcW w:w="716" w:type="dxa"/>
            <w:vAlign w:val="center"/>
          </w:tcPr>
          <w:p w14:paraId="769F4D73" w14:textId="77777777" w:rsidR="00DD3C03" w:rsidRPr="00604819" w:rsidRDefault="00DD3C03" w:rsidP="00645BEC">
            <w:pPr>
              <w:jc w:val="center"/>
              <w:rPr>
                <w:sz w:val="18"/>
                <w:szCs w:val="18"/>
              </w:rPr>
            </w:pPr>
            <w:r>
              <w:rPr>
                <w:sz w:val="18"/>
                <w:szCs w:val="18"/>
              </w:rPr>
              <w:t>176</w:t>
            </w:r>
          </w:p>
        </w:tc>
      </w:tr>
      <w:tr w:rsidR="00DD3C03" w14:paraId="04EDDB70" w14:textId="77777777" w:rsidTr="00645BEC">
        <w:tc>
          <w:tcPr>
            <w:tcW w:w="1135" w:type="dxa"/>
            <w:vAlign w:val="center"/>
          </w:tcPr>
          <w:p w14:paraId="21D6EA36" w14:textId="77777777" w:rsidR="00DD3C03" w:rsidRPr="00604819" w:rsidRDefault="00DD3C03" w:rsidP="00645BEC">
            <w:pPr>
              <w:jc w:val="center"/>
              <w:rPr>
                <w:sz w:val="22"/>
                <w:szCs w:val="22"/>
              </w:rPr>
            </w:pPr>
            <w:r w:rsidRPr="00604819">
              <w:rPr>
                <w:sz w:val="22"/>
                <w:szCs w:val="22"/>
              </w:rPr>
              <w:t>Munich</w:t>
            </w:r>
          </w:p>
        </w:tc>
        <w:tc>
          <w:tcPr>
            <w:tcW w:w="1093" w:type="dxa"/>
            <w:vAlign w:val="center"/>
          </w:tcPr>
          <w:p w14:paraId="4CE3E080" w14:textId="77777777" w:rsidR="00DD3C03" w:rsidRPr="00604819" w:rsidRDefault="00DD3C03" w:rsidP="00645BEC">
            <w:pPr>
              <w:jc w:val="center"/>
              <w:rPr>
                <w:sz w:val="18"/>
                <w:szCs w:val="18"/>
              </w:rPr>
            </w:pPr>
            <w:r w:rsidRPr="00604819">
              <w:rPr>
                <w:sz w:val="18"/>
                <w:szCs w:val="18"/>
              </w:rPr>
              <w:t xml:space="preserve">Philips </w:t>
            </w:r>
            <w:proofErr w:type="spellStart"/>
            <w:r w:rsidRPr="00604819">
              <w:rPr>
                <w:sz w:val="18"/>
                <w:szCs w:val="18"/>
              </w:rPr>
              <w:t>Ingenia</w:t>
            </w:r>
            <w:proofErr w:type="spellEnd"/>
          </w:p>
        </w:tc>
        <w:tc>
          <w:tcPr>
            <w:tcW w:w="1141" w:type="dxa"/>
            <w:vAlign w:val="center"/>
          </w:tcPr>
          <w:p w14:paraId="5D2861E5" w14:textId="77777777" w:rsidR="00DD3C03" w:rsidRPr="00604819" w:rsidRDefault="00DD3C03" w:rsidP="00645BEC">
            <w:pPr>
              <w:jc w:val="center"/>
              <w:rPr>
                <w:sz w:val="18"/>
                <w:szCs w:val="18"/>
              </w:rPr>
            </w:pPr>
            <w:r>
              <w:rPr>
                <w:sz w:val="18"/>
                <w:szCs w:val="18"/>
              </w:rPr>
              <w:t>3T</w:t>
            </w:r>
          </w:p>
        </w:tc>
        <w:tc>
          <w:tcPr>
            <w:tcW w:w="850" w:type="dxa"/>
            <w:vAlign w:val="center"/>
          </w:tcPr>
          <w:p w14:paraId="71406E66" w14:textId="77777777" w:rsidR="00DD3C03" w:rsidRPr="00604819" w:rsidRDefault="00DD3C03" w:rsidP="00645BEC">
            <w:pPr>
              <w:jc w:val="center"/>
              <w:rPr>
                <w:sz w:val="18"/>
                <w:szCs w:val="18"/>
              </w:rPr>
            </w:pPr>
            <w:r>
              <w:rPr>
                <w:sz w:val="18"/>
                <w:szCs w:val="18"/>
              </w:rPr>
              <w:t>8</w:t>
            </w:r>
          </w:p>
        </w:tc>
        <w:tc>
          <w:tcPr>
            <w:tcW w:w="992" w:type="dxa"/>
            <w:vAlign w:val="center"/>
          </w:tcPr>
          <w:p w14:paraId="4FD82196" w14:textId="77777777" w:rsidR="00DD3C03" w:rsidRPr="00604819" w:rsidRDefault="00DD3C03" w:rsidP="00645BEC">
            <w:pPr>
              <w:jc w:val="center"/>
              <w:rPr>
                <w:sz w:val="18"/>
                <w:szCs w:val="18"/>
              </w:rPr>
            </w:pPr>
            <w:r>
              <w:rPr>
                <w:sz w:val="18"/>
                <w:szCs w:val="18"/>
              </w:rPr>
              <w:t>32</w:t>
            </w:r>
          </w:p>
        </w:tc>
        <w:tc>
          <w:tcPr>
            <w:tcW w:w="1690" w:type="dxa"/>
            <w:vAlign w:val="center"/>
          </w:tcPr>
          <w:p w14:paraId="318D4BF0" w14:textId="77777777" w:rsidR="00DD3C03" w:rsidRPr="003576F3" w:rsidRDefault="00DD3C03" w:rsidP="00645BEC">
            <w:pPr>
              <w:jc w:val="center"/>
              <w:rPr>
                <w:sz w:val="18"/>
                <w:szCs w:val="18"/>
              </w:rPr>
            </w:pPr>
            <w:r w:rsidRPr="003576F3">
              <w:rPr>
                <w:sz w:val="18"/>
                <w:szCs w:val="18"/>
              </w:rPr>
              <w:t>0.97 x 0.97 x 1.0</w:t>
            </w:r>
          </w:p>
        </w:tc>
        <w:tc>
          <w:tcPr>
            <w:tcW w:w="653" w:type="dxa"/>
            <w:vAlign w:val="center"/>
          </w:tcPr>
          <w:p w14:paraId="14A704DD" w14:textId="3CEEC5FD" w:rsidR="00DD3C03" w:rsidRPr="00604819" w:rsidRDefault="00DD3C03" w:rsidP="00645BEC">
            <w:pPr>
              <w:jc w:val="center"/>
              <w:rPr>
                <w:sz w:val="18"/>
                <w:szCs w:val="18"/>
              </w:rPr>
            </w:pPr>
            <w:r>
              <w:rPr>
                <w:sz w:val="18"/>
                <w:szCs w:val="18"/>
              </w:rPr>
              <w:t>9500</w:t>
            </w:r>
          </w:p>
        </w:tc>
        <w:tc>
          <w:tcPr>
            <w:tcW w:w="649" w:type="dxa"/>
            <w:vAlign w:val="center"/>
          </w:tcPr>
          <w:p w14:paraId="6672617B" w14:textId="77777777" w:rsidR="00DD3C03" w:rsidRPr="00604819" w:rsidRDefault="00DD3C03" w:rsidP="00645BEC">
            <w:pPr>
              <w:jc w:val="center"/>
              <w:rPr>
                <w:sz w:val="18"/>
                <w:szCs w:val="18"/>
              </w:rPr>
            </w:pPr>
            <w:r>
              <w:rPr>
                <w:sz w:val="18"/>
                <w:szCs w:val="18"/>
              </w:rPr>
              <w:t>5.5</w:t>
            </w:r>
          </w:p>
        </w:tc>
        <w:tc>
          <w:tcPr>
            <w:tcW w:w="935" w:type="dxa"/>
            <w:vAlign w:val="center"/>
          </w:tcPr>
          <w:p w14:paraId="4D12ABA9" w14:textId="77777777" w:rsidR="00DD3C03" w:rsidRPr="00604819" w:rsidRDefault="00DD3C03" w:rsidP="00645BEC">
            <w:pPr>
              <w:jc w:val="center"/>
              <w:rPr>
                <w:sz w:val="18"/>
                <w:szCs w:val="18"/>
              </w:rPr>
            </w:pPr>
            <w:r>
              <w:rPr>
                <w:sz w:val="18"/>
                <w:szCs w:val="18"/>
              </w:rPr>
              <w:t>250x250</w:t>
            </w:r>
          </w:p>
        </w:tc>
        <w:tc>
          <w:tcPr>
            <w:tcW w:w="716" w:type="dxa"/>
            <w:vAlign w:val="center"/>
          </w:tcPr>
          <w:p w14:paraId="60505586" w14:textId="77777777" w:rsidR="00DD3C03" w:rsidRPr="00604819" w:rsidRDefault="00DD3C03" w:rsidP="00645BEC">
            <w:pPr>
              <w:jc w:val="center"/>
              <w:rPr>
                <w:sz w:val="18"/>
                <w:szCs w:val="18"/>
              </w:rPr>
            </w:pPr>
            <w:r>
              <w:rPr>
                <w:sz w:val="18"/>
                <w:szCs w:val="18"/>
              </w:rPr>
              <w:t>190</w:t>
            </w:r>
          </w:p>
        </w:tc>
      </w:tr>
    </w:tbl>
    <w:p w14:paraId="2BF73353" w14:textId="77777777" w:rsidR="00DD3C03" w:rsidRPr="000361CD" w:rsidRDefault="00DD3C03">
      <w:pPr>
        <w:rPr>
          <w:sz w:val="22"/>
          <w:szCs w:val="22"/>
        </w:rPr>
      </w:pPr>
    </w:p>
    <w:p w14:paraId="02843C5D" w14:textId="260C636D" w:rsidR="009E4C6A" w:rsidRDefault="009E4C6A"/>
    <w:p w14:paraId="444F0373" w14:textId="6521424B" w:rsidR="009E4C6A" w:rsidRDefault="00645BEC">
      <w:r w:rsidRPr="00D91740">
        <w:rPr>
          <w:b/>
          <w:bCs/>
        </w:rPr>
        <w:t>Supplementary Table 4.</w:t>
      </w:r>
      <w:r>
        <w:t xml:space="preserve"> Classification analyses by site</w:t>
      </w:r>
    </w:p>
    <w:p w14:paraId="1DE9B82C" w14:textId="2A4B2988" w:rsidR="009E4C6A" w:rsidRDefault="009E4C6A"/>
    <w:tbl>
      <w:tblPr>
        <w:tblStyle w:val="Grigliatabella"/>
        <w:tblW w:w="0" w:type="auto"/>
        <w:tblLook w:val="04A0" w:firstRow="1" w:lastRow="0" w:firstColumn="1" w:lastColumn="0" w:noHBand="0" w:noVBand="1"/>
      </w:tblPr>
      <w:tblGrid>
        <w:gridCol w:w="1376"/>
        <w:gridCol w:w="1375"/>
        <w:gridCol w:w="1375"/>
        <w:gridCol w:w="1376"/>
        <w:gridCol w:w="1376"/>
        <w:gridCol w:w="1375"/>
        <w:gridCol w:w="1375"/>
      </w:tblGrid>
      <w:tr w:rsidR="00645BEC" w14:paraId="48F5A6D8" w14:textId="77777777" w:rsidTr="00D91740">
        <w:tc>
          <w:tcPr>
            <w:tcW w:w="1396" w:type="dxa"/>
            <w:shd w:val="clear" w:color="auto" w:fill="D0CECE" w:themeFill="background2" w:themeFillShade="E6"/>
          </w:tcPr>
          <w:p w14:paraId="6D89B1F7" w14:textId="31408B4F" w:rsidR="00645BEC" w:rsidRPr="009F701C" w:rsidRDefault="00645BEC" w:rsidP="00645BEC">
            <w:pPr>
              <w:spacing w:after="160" w:line="259" w:lineRule="auto"/>
              <w:rPr>
                <w:rFonts w:cstheme="minorHAnsi"/>
                <w:b/>
                <w:bCs/>
                <w:sz w:val="22"/>
                <w:szCs w:val="22"/>
              </w:rPr>
            </w:pPr>
            <w:r w:rsidRPr="00D91740">
              <w:rPr>
                <w:rFonts w:cstheme="minorHAnsi"/>
                <w:b/>
                <w:bCs/>
                <w:sz w:val="22"/>
                <w:szCs w:val="22"/>
              </w:rPr>
              <w:t>Site</w:t>
            </w:r>
          </w:p>
        </w:tc>
        <w:tc>
          <w:tcPr>
            <w:tcW w:w="1397" w:type="dxa"/>
            <w:shd w:val="clear" w:color="auto" w:fill="D0CECE" w:themeFill="background2" w:themeFillShade="E6"/>
          </w:tcPr>
          <w:p w14:paraId="567D3296" w14:textId="142D2D85" w:rsidR="00645BEC" w:rsidRPr="009F701C" w:rsidRDefault="00645BEC" w:rsidP="00645BEC">
            <w:pPr>
              <w:spacing w:after="160" w:line="259" w:lineRule="auto"/>
              <w:rPr>
                <w:rFonts w:cstheme="minorHAnsi"/>
                <w:b/>
                <w:bCs/>
                <w:sz w:val="22"/>
                <w:szCs w:val="22"/>
              </w:rPr>
            </w:pPr>
            <w:r w:rsidRPr="00D91740">
              <w:rPr>
                <w:rFonts w:cstheme="minorHAnsi"/>
                <w:b/>
                <w:bCs/>
                <w:sz w:val="22"/>
                <w:szCs w:val="22"/>
              </w:rPr>
              <w:t>BAC</w:t>
            </w:r>
          </w:p>
        </w:tc>
        <w:tc>
          <w:tcPr>
            <w:tcW w:w="1397" w:type="dxa"/>
            <w:shd w:val="clear" w:color="auto" w:fill="D0CECE" w:themeFill="background2" w:themeFillShade="E6"/>
          </w:tcPr>
          <w:p w14:paraId="1C0A8707" w14:textId="2437F64C" w:rsidR="00645BEC" w:rsidRPr="009F701C" w:rsidRDefault="00645BEC" w:rsidP="00645BEC">
            <w:pPr>
              <w:spacing w:after="160" w:line="259" w:lineRule="auto"/>
              <w:rPr>
                <w:rFonts w:cstheme="minorHAnsi"/>
                <w:b/>
                <w:bCs/>
                <w:sz w:val="22"/>
                <w:szCs w:val="22"/>
              </w:rPr>
            </w:pPr>
            <w:r w:rsidRPr="00D91740">
              <w:rPr>
                <w:rFonts w:cstheme="minorHAnsi"/>
                <w:b/>
                <w:bCs/>
                <w:sz w:val="22"/>
                <w:szCs w:val="22"/>
              </w:rPr>
              <w:t>AUC</w:t>
            </w:r>
          </w:p>
        </w:tc>
        <w:tc>
          <w:tcPr>
            <w:tcW w:w="1397" w:type="dxa"/>
            <w:shd w:val="clear" w:color="auto" w:fill="D0CECE" w:themeFill="background2" w:themeFillShade="E6"/>
          </w:tcPr>
          <w:p w14:paraId="5AEAC58C" w14:textId="11F0972E" w:rsidR="00645BEC" w:rsidRPr="009F701C" w:rsidRDefault="00645BEC" w:rsidP="00645BEC">
            <w:pPr>
              <w:spacing w:after="160" w:line="259" w:lineRule="auto"/>
              <w:rPr>
                <w:rFonts w:cstheme="minorHAnsi"/>
                <w:b/>
                <w:bCs/>
                <w:sz w:val="22"/>
                <w:szCs w:val="22"/>
              </w:rPr>
            </w:pPr>
            <w:r w:rsidRPr="00D91740">
              <w:rPr>
                <w:rFonts w:cstheme="minorHAnsi"/>
                <w:b/>
                <w:bCs/>
                <w:sz w:val="22"/>
                <w:szCs w:val="22"/>
              </w:rPr>
              <w:t>Sens</w:t>
            </w:r>
          </w:p>
        </w:tc>
        <w:tc>
          <w:tcPr>
            <w:tcW w:w="1397" w:type="dxa"/>
            <w:shd w:val="clear" w:color="auto" w:fill="D0CECE" w:themeFill="background2" w:themeFillShade="E6"/>
          </w:tcPr>
          <w:p w14:paraId="7BA979ED" w14:textId="55E483D2" w:rsidR="00645BEC" w:rsidRPr="009F701C" w:rsidRDefault="00645BEC" w:rsidP="00645BEC">
            <w:pPr>
              <w:spacing w:after="160" w:line="259" w:lineRule="auto"/>
              <w:rPr>
                <w:rFonts w:cstheme="minorHAnsi"/>
                <w:b/>
                <w:bCs/>
                <w:sz w:val="22"/>
                <w:szCs w:val="22"/>
              </w:rPr>
            </w:pPr>
            <w:r w:rsidRPr="00D91740">
              <w:rPr>
                <w:rFonts w:cstheme="minorHAnsi"/>
                <w:b/>
                <w:bCs/>
                <w:sz w:val="22"/>
                <w:szCs w:val="22"/>
              </w:rPr>
              <w:t>Spec</w:t>
            </w:r>
          </w:p>
        </w:tc>
        <w:tc>
          <w:tcPr>
            <w:tcW w:w="1397" w:type="dxa"/>
            <w:shd w:val="clear" w:color="auto" w:fill="D0CECE" w:themeFill="background2" w:themeFillShade="E6"/>
          </w:tcPr>
          <w:p w14:paraId="2FB772C8" w14:textId="3AA1ED66" w:rsidR="00645BEC" w:rsidRPr="009F701C" w:rsidRDefault="00645BEC" w:rsidP="00645BEC">
            <w:pPr>
              <w:spacing w:after="160" w:line="259" w:lineRule="auto"/>
              <w:rPr>
                <w:rFonts w:cstheme="minorHAnsi"/>
                <w:b/>
                <w:bCs/>
                <w:sz w:val="22"/>
                <w:szCs w:val="22"/>
              </w:rPr>
            </w:pPr>
            <w:r w:rsidRPr="00D91740">
              <w:rPr>
                <w:rFonts w:cstheme="minorHAnsi"/>
                <w:b/>
                <w:bCs/>
                <w:sz w:val="22"/>
                <w:szCs w:val="22"/>
              </w:rPr>
              <w:t>PPV</w:t>
            </w:r>
          </w:p>
        </w:tc>
        <w:tc>
          <w:tcPr>
            <w:tcW w:w="1397" w:type="dxa"/>
            <w:shd w:val="clear" w:color="auto" w:fill="D0CECE" w:themeFill="background2" w:themeFillShade="E6"/>
          </w:tcPr>
          <w:p w14:paraId="2BBB3BE6" w14:textId="711D4149" w:rsidR="00645BEC" w:rsidRPr="009F701C" w:rsidRDefault="00645BEC" w:rsidP="00645BEC">
            <w:pPr>
              <w:spacing w:after="160" w:line="259" w:lineRule="auto"/>
              <w:rPr>
                <w:rFonts w:cstheme="minorHAnsi"/>
                <w:b/>
                <w:bCs/>
                <w:sz w:val="22"/>
                <w:szCs w:val="22"/>
              </w:rPr>
            </w:pPr>
            <w:r w:rsidRPr="00D91740">
              <w:rPr>
                <w:rFonts w:cstheme="minorHAnsi"/>
                <w:b/>
                <w:bCs/>
                <w:sz w:val="22"/>
                <w:szCs w:val="22"/>
              </w:rPr>
              <w:t>NPV</w:t>
            </w:r>
          </w:p>
        </w:tc>
      </w:tr>
      <w:tr w:rsidR="00645BEC" w14:paraId="43934CC6" w14:textId="77777777" w:rsidTr="00645BEC">
        <w:tc>
          <w:tcPr>
            <w:tcW w:w="1396" w:type="dxa"/>
          </w:tcPr>
          <w:p w14:paraId="130E8077" w14:textId="0A5E888E" w:rsidR="00645BEC" w:rsidRPr="009F701C" w:rsidRDefault="00645BEC" w:rsidP="00645BEC">
            <w:pPr>
              <w:spacing w:after="160" w:line="259" w:lineRule="auto"/>
              <w:rPr>
                <w:rFonts w:cstheme="minorHAnsi"/>
                <w:b/>
                <w:sz w:val="22"/>
                <w:szCs w:val="22"/>
              </w:rPr>
            </w:pPr>
            <w:r w:rsidRPr="00D91740">
              <w:rPr>
                <w:rFonts w:cstheme="minorHAnsi"/>
                <w:sz w:val="22"/>
                <w:szCs w:val="22"/>
              </w:rPr>
              <w:t>Site1</w:t>
            </w:r>
          </w:p>
        </w:tc>
        <w:tc>
          <w:tcPr>
            <w:tcW w:w="1397" w:type="dxa"/>
          </w:tcPr>
          <w:p w14:paraId="2E632076" w14:textId="67A96CF3" w:rsidR="00645BEC" w:rsidRPr="00D91740" w:rsidRDefault="00645BEC" w:rsidP="00645BEC">
            <w:pPr>
              <w:spacing w:after="160" w:line="259" w:lineRule="auto"/>
              <w:rPr>
                <w:rFonts w:cstheme="minorHAnsi"/>
                <w:b/>
                <w:sz w:val="18"/>
                <w:szCs w:val="18"/>
              </w:rPr>
            </w:pPr>
            <w:r w:rsidRPr="00D91740">
              <w:rPr>
                <w:rFonts w:cstheme="minorHAnsi"/>
                <w:sz w:val="18"/>
                <w:szCs w:val="18"/>
              </w:rPr>
              <w:t>57</w:t>
            </w:r>
          </w:p>
        </w:tc>
        <w:tc>
          <w:tcPr>
            <w:tcW w:w="1397" w:type="dxa"/>
          </w:tcPr>
          <w:p w14:paraId="2BE1106E" w14:textId="69C59D69" w:rsidR="00645BEC" w:rsidRPr="00D91740" w:rsidRDefault="00645BEC" w:rsidP="00645BEC">
            <w:pPr>
              <w:spacing w:after="160" w:line="259" w:lineRule="auto"/>
              <w:rPr>
                <w:rFonts w:cstheme="minorHAnsi"/>
                <w:b/>
                <w:sz w:val="18"/>
                <w:szCs w:val="18"/>
              </w:rPr>
            </w:pPr>
            <w:r w:rsidRPr="00D91740">
              <w:rPr>
                <w:rFonts w:cstheme="minorHAnsi"/>
                <w:sz w:val="18"/>
                <w:szCs w:val="18"/>
              </w:rPr>
              <w:t>0.56</w:t>
            </w:r>
          </w:p>
        </w:tc>
        <w:tc>
          <w:tcPr>
            <w:tcW w:w="1397" w:type="dxa"/>
          </w:tcPr>
          <w:p w14:paraId="74402353" w14:textId="5D34BE01" w:rsidR="00645BEC" w:rsidRPr="00D91740" w:rsidRDefault="00645BEC" w:rsidP="00645BEC">
            <w:pPr>
              <w:spacing w:after="160" w:line="259" w:lineRule="auto"/>
              <w:rPr>
                <w:rFonts w:cstheme="minorHAnsi"/>
                <w:b/>
                <w:sz w:val="18"/>
                <w:szCs w:val="18"/>
              </w:rPr>
            </w:pPr>
            <w:r w:rsidRPr="00D91740">
              <w:rPr>
                <w:rFonts w:cstheme="minorHAnsi"/>
                <w:sz w:val="18"/>
                <w:szCs w:val="18"/>
              </w:rPr>
              <w:t>34.8</w:t>
            </w:r>
          </w:p>
        </w:tc>
        <w:tc>
          <w:tcPr>
            <w:tcW w:w="1397" w:type="dxa"/>
          </w:tcPr>
          <w:p w14:paraId="5B981F69" w14:textId="4B6A05AD" w:rsidR="00645BEC" w:rsidRPr="00D91740" w:rsidRDefault="00645BEC" w:rsidP="00645BEC">
            <w:pPr>
              <w:spacing w:after="160" w:line="259" w:lineRule="auto"/>
              <w:rPr>
                <w:rFonts w:cstheme="minorHAnsi"/>
                <w:b/>
                <w:sz w:val="18"/>
                <w:szCs w:val="18"/>
              </w:rPr>
            </w:pPr>
            <w:r w:rsidRPr="00D91740">
              <w:rPr>
                <w:rFonts w:cstheme="minorHAnsi"/>
                <w:sz w:val="18"/>
                <w:szCs w:val="18"/>
              </w:rPr>
              <w:t>79.2</w:t>
            </w:r>
          </w:p>
        </w:tc>
        <w:tc>
          <w:tcPr>
            <w:tcW w:w="1397" w:type="dxa"/>
          </w:tcPr>
          <w:p w14:paraId="75F9ED83" w14:textId="3D68AB78" w:rsidR="00645BEC" w:rsidRPr="00D91740" w:rsidRDefault="00645BEC" w:rsidP="00645BEC">
            <w:pPr>
              <w:spacing w:after="160" w:line="259" w:lineRule="auto"/>
              <w:rPr>
                <w:rFonts w:cstheme="minorHAnsi"/>
                <w:b/>
                <w:sz w:val="18"/>
                <w:szCs w:val="18"/>
              </w:rPr>
            </w:pPr>
            <w:r w:rsidRPr="00D91740">
              <w:rPr>
                <w:rFonts w:cstheme="minorHAnsi"/>
                <w:sz w:val="18"/>
                <w:szCs w:val="18"/>
              </w:rPr>
              <w:t>61.5</w:t>
            </w:r>
          </w:p>
        </w:tc>
        <w:tc>
          <w:tcPr>
            <w:tcW w:w="1397" w:type="dxa"/>
          </w:tcPr>
          <w:p w14:paraId="1019A9C9" w14:textId="7386EA77" w:rsidR="00645BEC" w:rsidRPr="00D91740" w:rsidRDefault="00645BEC" w:rsidP="00645BEC">
            <w:pPr>
              <w:spacing w:after="160" w:line="259" w:lineRule="auto"/>
              <w:rPr>
                <w:rFonts w:cstheme="minorHAnsi"/>
                <w:b/>
                <w:sz w:val="18"/>
                <w:szCs w:val="18"/>
              </w:rPr>
            </w:pPr>
            <w:r w:rsidRPr="00D91740">
              <w:rPr>
                <w:rFonts w:cstheme="minorHAnsi"/>
                <w:sz w:val="18"/>
                <w:szCs w:val="18"/>
              </w:rPr>
              <w:t>55.9</w:t>
            </w:r>
          </w:p>
        </w:tc>
      </w:tr>
      <w:tr w:rsidR="00645BEC" w14:paraId="343695D0" w14:textId="77777777" w:rsidTr="00645BEC">
        <w:tc>
          <w:tcPr>
            <w:tcW w:w="1396" w:type="dxa"/>
          </w:tcPr>
          <w:p w14:paraId="04F53015" w14:textId="19DDC933" w:rsidR="00645BEC" w:rsidRPr="009F701C" w:rsidRDefault="00645BEC" w:rsidP="00645BEC">
            <w:pPr>
              <w:spacing w:after="160" w:line="259" w:lineRule="auto"/>
              <w:rPr>
                <w:rFonts w:cstheme="minorHAnsi"/>
                <w:b/>
                <w:sz w:val="22"/>
                <w:szCs w:val="22"/>
              </w:rPr>
            </w:pPr>
            <w:r w:rsidRPr="00D91740">
              <w:rPr>
                <w:rFonts w:cstheme="minorHAnsi"/>
                <w:sz w:val="22"/>
                <w:szCs w:val="22"/>
              </w:rPr>
              <w:t>Site 2</w:t>
            </w:r>
          </w:p>
        </w:tc>
        <w:tc>
          <w:tcPr>
            <w:tcW w:w="1397" w:type="dxa"/>
          </w:tcPr>
          <w:p w14:paraId="4D425B89" w14:textId="6C7C67A4" w:rsidR="00645BEC" w:rsidRPr="00D91740" w:rsidRDefault="00645BEC" w:rsidP="00645BEC">
            <w:pPr>
              <w:spacing w:after="160" w:line="259" w:lineRule="auto"/>
              <w:rPr>
                <w:rFonts w:cstheme="minorHAnsi"/>
                <w:b/>
                <w:sz w:val="18"/>
                <w:szCs w:val="18"/>
              </w:rPr>
            </w:pPr>
            <w:r w:rsidRPr="00D91740">
              <w:rPr>
                <w:rFonts w:cstheme="minorHAnsi"/>
                <w:sz w:val="18"/>
                <w:szCs w:val="18"/>
              </w:rPr>
              <w:t>54.5</w:t>
            </w:r>
          </w:p>
        </w:tc>
        <w:tc>
          <w:tcPr>
            <w:tcW w:w="1397" w:type="dxa"/>
          </w:tcPr>
          <w:p w14:paraId="05BE82AC" w14:textId="7BA0EEAB" w:rsidR="00645BEC" w:rsidRPr="00D91740" w:rsidRDefault="00645BEC" w:rsidP="00645BEC">
            <w:pPr>
              <w:spacing w:after="160" w:line="259" w:lineRule="auto"/>
              <w:rPr>
                <w:rFonts w:cstheme="minorHAnsi"/>
                <w:b/>
                <w:sz w:val="18"/>
                <w:szCs w:val="18"/>
              </w:rPr>
            </w:pPr>
            <w:r w:rsidRPr="00D91740">
              <w:rPr>
                <w:rFonts w:cstheme="minorHAnsi"/>
                <w:sz w:val="18"/>
                <w:szCs w:val="18"/>
              </w:rPr>
              <w:t>0.63</w:t>
            </w:r>
          </w:p>
        </w:tc>
        <w:tc>
          <w:tcPr>
            <w:tcW w:w="1397" w:type="dxa"/>
          </w:tcPr>
          <w:p w14:paraId="78A7A32C" w14:textId="67F10C22" w:rsidR="00645BEC" w:rsidRPr="00D91740" w:rsidRDefault="00645BEC" w:rsidP="00645BEC">
            <w:pPr>
              <w:spacing w:after="160" w:line="259" w:lineRule="auto"/>
              <w:rPr>
                <w:rFonts w:cstheme="minorHAnsi"/>
                <w:b/>
                <w:sz w:val="18"/>
                <w:szCs w:val="18"/>
              </w:rPr>
            </w:pPr>
            <w:r w:rsidRPr="00D91740">
              <w:rPr>
                <w:rFonts w:cstheme="minorHAnsi"/>
                <w:sz w:val="18"/>
                <w:szCs w:val="18"/>
              </w:rPr>
              <w:t>12.9</w:t>
            </w:r>
          </w:p>
        </w:tc>
        <w:tc>
          <w:tcPr>
            <w:tcW w:w="1397" w:type="dxa"/>
          </w:tcPr>
          <w:p w14:paraId="522BD302" w14:textId="256B517D" w:rsidR="00645BEC" w:rsidRPr="00D91740" w:rsidRDefault="00645BEC" w:rsidP="00645BEC">
            <w:pPr>
              <w:spacing w:after="160" w:line="259" w:lineRule="auto"/>
              <w:rPr>
                <w:rFonts w:cstheme="minorHAnsi"/>
                <w:b/>
                <w:sz w:val="18"/>
                <w:szCs w:val="18"/>
              </w:rPr>
            </w:pPr>
            <w:r w:rsidRPr="00D91740">
              <w:rPr>
                <w:rFonts w:cstheme="minorHAnsi"/>
                <w:sz w:val="18"/>
                <w:szCs w:val="18"/>
              </w:rPr>
              <w:t>94</w:t>
            </w:r>
          </w:p>
        </w:tc>
        <w:tc>
          <w:tcPr>
            <w:tcW w:w="1397" w:type="dxa"/>
          </w:tcPr>
          <w:p w14:paraId="764ACFA9" w14:textId="2121F9C9" w:rsidR="00645BEC" w:rsidRPr="00D91740" w:rsidRDefault="00645BEC" w:rsidP="00645BEC">
            <w:pPr>
              <w:spacing w:after="160" w:line="259" w:lineRule="auto"/>
              <w:rPr>
                <w:rFonts w:cstheme="minorHAnsi"/>
                <w:b/>
                <w:sz w:val="18"/>
                <w:szCs w:val="18"/>
              </w:rPr>
            </w:pPr>
            <w:r w:rsidRPr="00D91740">
              <w:rPr>
                <w:rFonts w:cstheme="minorHAnsi"/>
                <w:sz w:val="18"/>
                <w:szCs w:val="18"/>
              </w:rPr>
              <w:t>4</w:t>
            </w:r>
          </w:p>
        </w:tc>
        <w:tc>
          <w:tcPr>
            <w:tcW w:w="1397" w:type="dxa"/>
          </w:tcPr>
          <w:p w14:paraId="2F0D81BA" w14:textId="2F785189" w:rsidR="00645BEC" w:rsidRPr="00D91740" w:rsidRDefault="00645BEC" w:rsidP="00645BEC">
            <w:pPr>
              <w:spacing w:after="160" w:line="259" w:lineRule="auto"/>
              <w:rPr>
                <w:rFonts w:cstheme="minorHAnsi"/>
                <w:b/>
                <w:sz w:val="18"/>
                <w:szCs w:val="18"/>
              </w:rPr>
            </w:pPr>
            <w:r w:rsidRPr="00D91740">
              <w:rPr>
                <w:rFonts w:cstheme="minorHAnsi"/>
                <w:sz w:val="18"/>
                <w:szCs w:val="18"/>
              </w:rPr>
              <w:t>77.7</w:t>
            </w:r>
          </w:p>
        </w:tc>
      </w:tr>
      <w:tr w:rsidR="00645BEC" w14:paraId="11E4A5F3" w14:textId="77777777" w:rsidTr="00645BEC">
        <w:tc>
          <w:tcPr>
            <w:tcW w:w="1396" w:type="dxa"/>
          </w:tcPr>
          <w:p w14:paraId="2D1E0CDA" w14:textId="35DCD37B" w:rsidR="00645BEC" w:rsidRPr="009F701C" w:rsidRDefault="00645BEC" w:rsidP="00645BEC">
            <w:pPr>
              <w:spacing w:after="160" w:line="259" w:lineRule="auto"/>
              <w:rPr>
                <w:rFonts w:cstheme="minorHAnsi"/>
                <w:b/>
                <w:sz w:val="22"/>
                <w:szCs w:val="22"/>
              </w:rPr>
            </w:pPr>
            <w:r w:rsidRPr="00D91740">
              <w:rPr>
                <w:rFonts w:cstheme="minorHAnsi"/>
                <w:sz w:val="22"/>
                <w:szCs w:val="22"/>
              </w:rPr>
              <w:t>Site 3</w:t>
            </w:r>
          </w:p>
        </w:tc>
        <w:tc>
          <w:tcPr>
            <w:tcW w:w="1397" w:type="dxa"/>
          </w:tcPr>
          <w:p w14:paraId="74DFDB30" w14:textId="73A9DFEF" w:rsidR="00645BEC" w:rsidRPr="00D91740" w:rsidRDefault="00645BEC" w:rsidP="00645BEC">
            <w:pPr>
              <w:spacing w:after="160" w:line="259" w:lineRule="auto"/>
              <w:rPr>
                <w:rFonts w:cstheme="minorHAnsi"/>
                <w:b/>
                <w:sz w:val="18"/>
                <w:szCs w:val="18"/>
              </w:rPr>
            </w:pPr>
            <w:r w:rsidRPr="00D91740">
              <w:rPr>
                <w:rFonts w:cstheme="minorHAnsi"/>
                <w:sz w:val="18"/>
                <w:szCs w:val="18"/>
              </w:rPr>
              <w:t>54</w:t>
            </w:r>
          </w:p>
        </w:tc>
        <w:tc>
          <w:tcPr>
            <w:tcW w:w="1397" w:type="dxa"/>
          </w:tcPr>
          <w:p w14:paraId="4AE8B207" w14:textId="5700D440" w:rsidR="00645BEC" w:rsidRPr="00D91740" w:rsidRDefault="00645BEC" w:rsidP="00645BEC">
            <w:pPr>
              <w:spacing w:after="160" w:line="259" w:lineRule="auto"/>
              <w:rPr>
                <w:rFonts w:cstheme="minorHAnsi"/>
                <w:b/>
                <w:sz w:val="18"/>
                <w:szCs w:val="18"/>
              </w:rPr>
            </w:pPr>
            <w:r w:rsidRPr="00D91740">
              <w:rPr>
                <w:rFonts w:cstheme="minorHAnsi"/>
                <w:sz w:val="18"/>
                <w:szCs w:val="18"/>
              </w:rPr>
              <w:t>0.56</w:t>
            </w:r>
          </w:p>
        </w:tc>
        <w:tc>
          <w:tcPr>
            <w:tcW w:w="1397" w:type="dxa"/>
          </w:tcPr>
          <w:p w14:paraId="5C029E78" w14:textId="55DB81FA" w:rsidR="00645BEC" w:rsidRPr="00D91740" w:rsidRDefault="00645BEC" w:rsidP="00645BEC">
            <w:pPr>
              <w:spacing w:after="160" w:line="259" w:lineRule="auto"/>
              <w:rPr>
                <w:rFonts w:cstheme="minorHAnsi"/>
                <w:b/>
                <w:sz w:val="18"/>
                <w:szCs w:val="18"/>
              </w:rPr>
            </w:pPr>
            <w:r w:rsidRPr="00D91740">
              <w:rPr>
                <w:rFonts w:cstheme="minorHAnsi"/>
                <w:sz w:val="18"/>
                <w:szCs w:val="18"/>
              </w:rPr>
              <w:t>63.6</w:t>
            </w:r>
          </w:p>
        </w:tc>
        <w:tc>
          <w:tcPr>
            <w:tcW w:w="1397" w:type="dxa"/>
          </w:tcPr>
          <w:p w14:paraId="6B8638F5" w14:textId="61162EC8" w:rsidR="00645BEC" w:rsidRPr="00D91740" w:rsidRDefault="00645BEC" w:rsidP="00645BEC">
            <w:pPr>
              <w:spacing w:after="160" w:line="259" w:lineRule="auto"/>
              <w:rPr>
                <w:rFonts w:cstheme="minorHAnsi"/>
                <w:b/>
                <w:sz w:val="18"/>
                <w:szCs w:val="18"/>
              </w:rPr>
            </w:pPr>
            <w:r w:rsidRPr="00D91740">
              <w:rPr>
                <w:rFonts w:cstheme="minorHAnsi"/>
                <w:sz w:val="18"/>
                <w:szCs w:val="18"/>
              </w:rPr>
              <w:t>42.3</w:t>
            </w:r>
          </w:p>
        </w:tc>
        <w:tc>
          <w:tcPr>
            <w:tcW w:w="1397" w:type="dxa"/>
          </w:tcPr>
          <w:p w14:paraId="17440744" w14:textId="2B0D9C21" w:rsidR="00645BEC" w:rsidRPr="00D91740" w:rsidRDefault="00645BEC" w:rsidP="00645BEC">
            <w:pPr>
              <w:spacing w:after="160" w:line="259" w:lineRule="auto"/>
              <w:rPr>
                <w:rFonts w:cstheme="minorHAnsi"/>
                <w:b/>
                <w:sz w:val="18"/>
                <w:szCs w:val="18"/>
              </w:rPr>
            </w:pPr>
            <w:r w:rsidRPr="00D91740">
              <w:rPr>
                <w:rFonts w:cstheme="minorHAnsi"/>
                <w:sz w:val="18"/>
                <w:szCs w:val="18"/>
              </w:rPr>
              <w:t>55.3</w:t>
            </w:r>
          </w:p>
        </w:tc>
        <w:tc>
          <w:tcPr>
            <w:tcW w:w="1397" w:type="dxa"/>
          </w:tcPr>
          <w:p w14:paraId="27D783B6" w14:textId="442B5FED" w:rsidR="00645BEC" w:rsidRPr="00D91740" w:rsidRDefault="00645BEC" w:rsidP="00645BEC">
            <w:pPr>
              <w:spacing w:after="160" w:line="259" w:lineRule="auto"/>
              <w:rPr>
                <w:rFonts w:cstheme="minorHAnsi"/>
                <w:b/>
                <w:sz w:val="18"/>
                <w:szCs w:val="18"/>
              </w:rPr>
            </w:pPr>
            <w:r w:rsidRPr="00D91740">
              <w:rPr>
                <w:rFonts w:cstheme="minorHAnsi"/>
                <w:sz w:val="18"/>
                <w:szCs w:val="18"/>
              </w:rPr>
              <w:t>53.2</w:t>
            </w:r>
          </w:p>
        </w:tc>
      </w:tr>
      <w:tr w:rsidR="00645BEC" w14:paraId="550DC866" w14:textId="77777777" w:rsidTr="00645BEC">
        <w:tc>
          <w:tcPr>
            <w:tcW w:w="1396" w:type="dxa"/>
          </w:tcPr>
          <w:p w14:paraId="0BBF2409" w14:textId="4F0BDAF1" w:rsidR="00645BEC" w:rsidRPr="009F701C" w:rsidRDefault="00645BEC" w:rsidP="00645BEC">
            <w:pPr>
              <w:spacing w:after="160" w:line="259" w:lineRule="auto"/>
              <w:rPr>
                <w:rFonts w:cstheme="minorHAnsi"/>
                <w:b/>
                <w:sz w:val="22"/>
                <w:szCs w:val="22"/>
              </w:rPr>
            </w:pPr>
            <w:r w:rsidRPr="00D91740">
              <w:rPr>
                <w:rFonts w:cstheme="minorHAnsi"/>
                <w:sz w:val="22"/>
                <w:szCs w:val="22"/>
              </w:rPr>
              <w:t>Site 4</w:t>
            </w:r>
          </w:p>
        </w:tc>
        <w:tc>
          <w:tcPr>
            <w:tcW w:w="1397" w:type="dxa"/>
          </w:tcPr>
          <w:p w14:paraId="3ED62F0F" w14:textId="14DB3335" w:rsidR="00645BEC" w:rsidRPr="00D91740" w:rsidRDefault="00645BEC" w:rsidP="00645BEC">
            <w:pPr>
              <w:spacing w:after="160" w:line="259" w:lineRule="auto"/>
              <w:rPr>
                <w:rFonts w:cstheme="minorHAnsi"/>
                <w:b/>
                <w:sz w:val="18"/>
                <w:szCs w:val="18"/>
              </w:rPr>
            </w:pPr>
            <w:r w:rsidRPr="00D91740">
              <w:rPr>
                <w:rFonts w:cstheme="minorHAnsi"/>
                <w:sz w:val="18"/>
                <w:szCs w:val="18"/>
              </w:rPr>
              <w:t>66.7</w:t>
            </w:r>
          </w:p>
        </w:tc>
        <w:tc>
          <w:tcPr>
            <w:tcW w:w="1397" w:type="dxa"/>
          </w:tcPr>
          <w:p w14:paraId="39D8185C" w14:textId="3848420F" w:rsidR="00645BEC" w:rsidRPr="00D91740" w:rsidRDefault="00645BEC" w:rsidP="00645BEC">
            <w:pPr>
              <w:spacing w:after="160" w:line="259" w:lineRule="auto"/>
              <w:rPr>
                <w:rFonts w:cstheme="minorHAnsi"/>
                <w:b/>
                <w:sz w:val="18"/>
                <w:szCs w:val="18"/>
              </w:rPr>
            </w:pPr>
            <w:r w:rsidRPr="00D91740">
              <w:rPr>
                <w:rFonts w:cstheme="minorHAnsi"/>
                <w:sz w:val="18"/>
                <w:szCs w:val="18"/>
              </w:rPr>
              <w:t>0.72</w:t>
            </w:r>
          </w:p>
        </w:tc>
        <w:tc>
          <w:tcPr>
            <w:tcW w:w="1397" w:type="dxa"/>
          </w:tcPr>
          <w:p w14:paraId="322B46F5" w14:textId="471B1011" w:rsidR="00645BEC" w:rsidRPr="00D91740" w:rsidRDefault="00645BEC" w:rsidP="00645BEC">
            <w:pPr>
              <w:spacing w:after="160" w:line="259" w:lineRule="auto"/>
              <w:rPr>
                <w:rFonts w:cstheme="minorHAnsi"/>
                <w:b/>
                <w:sz w:val="18"/>
                <w:szCs w:val="18"/>
              </w:rPr>
            </w:pPr>
            <w:r w:rsidRPr="00D91740">
              <w:rPr>
                <w:rFonts w:cstheme="minorHAnsi"/>
                <w:sz w:val="18"/>
                <w:szCs w:val="18"/>
              </w:rPr>
              <w:t>60.9</w:t>
            </w:r>
          </w:p>
        </w:tc>
        <w:tc>
          <w:tcPr>
            <w:tcW w:w="1397" w:type="dxa"/>
          </w:tcPr>
          <w:p w14:paraId="414DEE0F" w14:textId="7444351D" w:rsidR="00645BEC" w:rsidRPr="00D91740" w:rsidRDefault="00645BEC" w:rsidP="00645BEC">
            <w:pPr>
              <w:spacing w:after="160" w:line="259" w:lineRule="auto"/>
              <w:rPr>
                <w:rFonts w:cstheme="minorHAnsi"/>
                <w:b/>
                <w:sz w:val="18"/>
                <w:szCs w:val="18"/>
              </w:rPr>
            </w:pPr>
            <w:r w:rsidRPr="00D91740">
              <w:rPr>
                <w:rFonts w:cstheme="minorHAnsi"/>
                <w:sz w:val="18"/>
                <w:szCs w:val="18"/>
              </w:rPr>
              <w:t>73.6</w:t>
            </w:r>
          </w:p>
        </w:tc>
        <w:tc>
          <w:tcPr>
            <w:tcW w:w="1397" w:type="dxa"/>
          </w:tcPr>
          <w:p w14:paraId="65B2931C" w14:textId="77B68AAC" w:rsidR="00645BEC" w:rsidRPr="00D91740" w:rsidRDefault="00645BEC" w:rsidP="00645BEC">
            <w:pPr>
              <w:spacing w:after="160" w:line="259" w:lineRule="auto"/>
              <w:rPr>
                <w:rFonts w:cstheme="minorHAnsi"/>
                <w:b/>
                <w:sz w:val="18"/>
                <w:szCs w:val="18"/>
              </w:rPr>
            </w:pPr>
            <w:r w:rsidRPr="00D91740">
              <w:rPr>
                <w:rFonts w:cstheme="minorHAnsi"/>
                <w:sz w:val="18"/>
                <w:szCs w:val="18"/>
              </w:rPr>
              <w:t>65.1</w:t>
            </w:r>
          </w:p>
        </w:tc>
        <w:tc>
          <w:tcPr>
            <w:tcW w:w="1397" w:type="dxa"/>
          </w:tcPr>
          <w:p w14:paraId="0EC274F6" w14:textId="30F2F37A" w:rsidR="00645BEC" w:rsidRPr="00D91740" w:rsidRDefault="00645BEC" w:rsidP="00645BEC">
            <w:pPr>
              <w:spacing w:after="160" w:line="259" w:lineRule="auto"/>
              <w:rPr>
                <w:rFonts w:cstheme="minorHAnsi"/>
                <w:b/>
                <w:sz w:val="18"/>
                <w:szCs w:val="18"/>
              </w:rPr>
            </w:pPr>
            <w:r w:rsidRPr="00D91740">
              <w:rPr>
                <w:rFonts w:cstheme="minorHAnsi"/>
                <w:sz w:val="18"/>
                <w:szCs w:val="18"/>
              </w:rPr>
              <w:t>69.6</w:t>
            </w:r>
          </w:p>
        </w:tc>
      </w:tr>
      <w:tr w:rsidR="00645BEC" w14:paraId="5A0E0980" w14:textId="77777777" w:rsidTr="00645BEC">
        <w:tc>
          <w:tcPr>
            <w:tcW w:w="1396" w:type="dxa"/>
          </w:tcPr>
          <w:p w14:paraId="0CCDD264" w14:textId="7373670F" w:rsidR="00645BEC" w:rsidRPr="009F701C" w:rsidRDefault="00645BEC" w:rsidP="00645BEC">
            <w:pPr>
              <w:spacing w:after="160" w:line="259" w:lineRule="auto"/>
              <w:rPr>
                <w:rFonts w:cstheme="minorHAnsi"/>
                <w:b/>
                <w:sz w:val="22"/>
                <w:szCs w:val="22"/>
              </w:rPr>
            </w:pPr>
            <w:r w:rsidRPr="00D91740">
              <w:rPr>
                <w:rFonts w:cstheme="minorHAnsi"/>
                <w:sz w:val="22"/>
                <w:szCs w:val="22"/>
              </w:rPr>
              <w:t>Site 5</w:t>
            </w:r>
          </w:p>
        </w:tc>
        <w:tc>
          <w:tcPr>
            <w:tcW w:w="1397" w:type="dxa"/>
          </w:tcPr>
          <w:p w14:paraId="4F0CF7EE" w14:textId="2D459F30" w:rsidR="00645BEC" w:rsidRPr="00D91740" w:rsidRDefault="00645BEC" w:rsidP="00645BEC">
            <w:pPr>
              <w:spacing w:after="160" w:line="259" w:lineRule="auto"/>
              <w:rPr>
                <w:rFonts w:cstheme="minorHAnsi"/>
                <w:b/>
                <w:sz w:val="18"/>
                <w:szCs w:val="18"/>
              </w:rPr>
            </w:pPr>
            <w:r w:rsidRPr="00D91740">
              <w:rPr>
                <w:rFonts w:cstheme="minorHAnsi"/>
                <w:sz w:val="18"/>
                <w:szCs w:val="18"/>
              </w:rPr>
              <w:t>64.5</w:t>
            </w:r>
          </w:p>
        </w:tc>
        <w:tc>
          <w:tcPr>
            <w:tcW w:w="1397" w:type="dxa"/>
          </w:tcPr>
          <w:p w14:paraId="3F9048BE" w14:textId="62F8CE46" w:rsidR="00645BEC" w:rsidRPr="00D91740" w:rsidRDefault="00645BEC" w:rsidP="00645BEC">
            <w:pPr>
              <w:spacing w:after="160" w:line="259" w:lineRule="auto"/>
              <w:rPr>
                <w:rFonts w:cstheme="minorHAnsi"/>
                <w:b/>
                <w:sz w:val="18"/>
                <w:szCs w:val="18"/>
              </w:rPr>
            </w:pPr>
            <w:r w:rsidRPr="00D91740">
              <w:rPr>
                <w:rFonts w:cstheme="minorHAnsi"/>
                <w:sz w:val="18"/>
                <w:szCs w:val="18"/>
              </w:rPr>
              <w:t>0.67</w:t>
            </w:r>
          </w:p>
        </w:tc>
        <w:tc>
          <w:tcPr>
            <w:tcW w:w="1397" w:type="dxa"/>
          </w:tcPr>
          <w:p w14:paraId="1D436E5A" w14:textId="7E0E4B76" w:rsidR="00645BEC" w:rsidRPr="00D91740" w:rsidRDefault="00645BEC" w:rsidP="00645BEC">
            <w:pPr>
              <w:spacing w:after="160" w:line="259" w:lineRule="auto"/>
              <w:rPr>
                <w:rFonts w:cstheme="minorHAnsi"/>
                <w:b/>
                <w:sz w:val="18"/>
                <w:szCs w:val="18"/>
              </w:rPr>
            </w:pPr>
            <w:r w:rsidRPr="00D91740">
              <w:rPr>
                <w:rFonts w:cstheme="minorHAnsi"/>
                <w:sz w:val="18"/>
                <w:szCs w:val="18"/>
              </w:rPr>
              <w:t>72</w:t>
            </w:r>
          </w:p>
        </w:tc>
        <w:tc>
          <w:tcPr>
            <w:tcW w:w="1397" w:type="dxa"/>
          </w:tcPr>
          <w:p w14:paraId="3EED378E" w14:textId="0571EDA0" w:rsidR="00645BEC" w:rsidRPr="00D91740" w:rsidRDefault="00645BEC" w:rsidP="00645BEC">
            <w:pPr>
              <w:spacing w:after="160" w:line="259" w:lineRule="auto"/>
              <w:rPr>
                <w:rFonts w:cstheme="minorHAnsi"/>
                <w:b/>
                <w:sz w:val="18"/>
                <w:szCs w:val="18"/>
              </w:rPr>
            </w:pPr>
            <w:r w:rsidRPr="00D91740">
              <w:rPr>
                <w:rFonts w:cstheme="minorHAnsi"/>
                <w:sz w:val="18"/>
                <w:szCs w:val="18"/>
              </w:rPr>
              <w:t>58.1</w:t>
            </w:r>
          </w:p>
        </w:tc>
        <w:tc>
          <w:tcPr>
            <w:tcW w:w="1397" w:type="dxa"/>
          </w:tcPr>
          <w:p w14:paraId="2D7919A7" w14:textId="7EB5BB0F" w:rsidR="00645BEC" w:rsidRPr="00D91740" w:rsidRDefault="00645BEC" w:rsidP="00645BEC">
            <w:pPr>
              <w:spacing w:after="160" w:line="259" w:lineRule="auto"/>
              <w:rPr>
                <w:rFonts w:cstheme="minorHAnsi"/>
                <w:b/>
                <w:sz w:val="18"/>
                <w:szCs w:val="18"/>
              </w:rPr>
            </w:pPr>
            <w:r w:rsidRPr="00D91740">
              <w:rPr>
                <w:rFonts w:cstheme="minorHAnsi"/>
                <w:sz w:val="18"/>
                <w:szCs w:val="18"/>
              </w:rPr>
              <w:t>73</w:t>
            </w:r>
          </w:p>
        </w:tc>
        <w:tc>
          <w:tcPr>
            <w:tcW w:w="1397" w:type="dxa"/>
          </w:tcPr>
          <w:p w14:paraId="19D9F80F" w14:textId="1CD62789" w:rsidR="00645BEC" w:rsidRPr="00D91740" w:rsidRDefault="00645BEC" w:rsidP="00645BEC">
            <w:pPr>
              <w:spacing w:after="160" w:line="259" w:lineRule="auto"/>
              <w:rPr>
                <w:rFonts w:cstheme="minorHAnsi"/>
                <w:b/>
                <w:sz w:val="18"/>
                <w:szCs w:val="18"/>
              </w:rPr>
            </w:pPr>
            <w:r w:rsidRPr="00D91740">
              <w:rPr>
                <w:rFonts w:cstheme="minorHAnsi"/>
                <w:sz w:val="18"/>
                <w:szCs w:val="18"/>
              </w:rPr>
              <w:t>55.8</w:t>
            </w:r>
          </w:p>
        </w:tc>
      </w:tr>
      <w:tr w:rsidR="00645BEC" w14:paraId="167FCC8C" w14:textId="77777777" w:rsidTr="00645BEC">
        <w:tc>
          <w:tcPr>
            <w:tcW w:w="1396" w:type="dxa"/>
          </w:tcPr>
          <w:p w14:paraId="678F5A39" w14:textId="5EB77AA0" w:rsidR="00645BEC" w:rsidRPr="009F701C" w:rsidRDefault="00645BEC" w:rsidP="00645BEC">
            <w:pPr>
              <w:spacing w:after="160" w:line="259" w:lineRule="auto"/>
              <w:rPr>
                <w:rFonts w:cstheme="minorHAnsi"/>
                <w:b/>
                <w:sz w:val="22"/>
                <w:szCs w:val="22"/>
              </w:rPr>
            </w:pPr>
            <w:r w:rsidRPr="00D91740">
              <w:rPr>
                <w:rFonts w:cstheme="minorHAnsi"/>
                <w:sz w:val="22"/>
                <w:szCs w:val="22"/>
              </w:rPr>
              <w:t>Site 6</w:t>
            </w:r>
          </w:p>
        </w:tc>
        <w:tc>
          <w:tcPr>
            <w:tcW w:w="1397" w:type="dxa"/>
          </w:tcPr>
          <w:p w14:paraId="01853E0A" w14:textId="3FE82D62" w:rsidR="00645BEC" w:rsidRPr="00D91740" w:rsidRDefault="00645BEC" w:rsidP="00645BEC">
            <w:pPr>
              <w:spacing w:after="160" w:line="259" w:lineRule="auto"/>
              <w:rPr>
                <w:rFonts w:cstheme="minorHAnsi"/>
                <w:b/>
                <w:sz w:val="18"/>
                <w:szCs w:val="18"/>
              </w:rPr>
            </w:pPr>
            <w:r w:rsidRPr="00D91740">
              <w:rPr>
                <w:rFonts w:cstheme="minorHAnsi"/>
                <w:sz w:val="18"/>
                <w:szCs w:val="18"/>
              </w:rPr>
              <w:t>65.1</w:t>
            </w:r>
          </w:p>
        </w:tc>
        <w:tc>
          <w:tcPr>
            <w:tcW w:w="1397" w:type="dxa"/>
          </w:tcPr>
          <w:p w14:paraId="6FA9A660" w14:textId="4921D999" w:rsidR="00645BEC" w:rsidRPr="00D91740" w:rsidRDefault="00645BEC" w:rsidP="00645BEC">
            <w:pPr>
              <w:spacing w:after="160" w:line="259" w:lineRule="auto"/>
              <w:rPr>
                <w:rFonts w:cstheme="minorHAnsi"/>
                <w:b/>
                <w:sz w:val="18"/>
                <w:szCs w:val="18"/>
              </w:rPr>
            </w:pPr>
            <w:r w:rsidRPr="00D91740">
              <w:rPr>
                <w:rFonts w:cstheme="minorHAnsi"/>
                <w:sz w:val="18"/>
                <w:szCs w:val="18"/>
              </w:rPr>
              <w:t>0.69</w:t>
            </w:r>
          </w:p>
        </w:tc>
        <w:tc>
          <w:tcPr>
            <w:tcW w:w="1397" w:type="dxa"/>
          </w:tcPr>
          <w:p w14:paraId="5A60992D" w14:textId="32A5A9FC" w:rsidR="00645BEC" w:rsidRPr="00D91740" w:rsidRDefault="00645BEC" w:rsidP="00645BEC">
            <w:pPr>
              <w:spacing w:after="160" w:line="259" w:lineRule="auto"/>
              <w:rPr>
                <w:rFonts w:cstheme="minorHAnsi"/>
                <w:b/>
                <w:sz w:val="18"/>
                <w:szCs w:val="18"/>
              </w:rPr>
            </w:pPr>
            <w:r w:rsidRPr="00D91740">
              <w:rPr>
                <w:rFonts w:cstheme="minorHAnsi"/>
                <w:sz w:val="18"/>
                <w:szCs w:val="18"/>
              </w:rPr>
              <w:t>62.8</w:t>
            </w:r>
          </w:p>
        </w:tc>
        <w:tc>
          <w:tcPr>
            <w:tcW w:w="1397" w:type="dxa"/>
          </w:tcPr>
          <w:p w14:paraId="46E132BB" w14:textId="1876F580" w:rsidR="00645BEC" w:rsidRPr="00D91740" w:rsidRDefault="00645BEC" w:rsidP="00645BEC">
            <w:pPr>
              <w:spacing w:after="160" w:line="259" w:lineRule="auto"/>
              <w:rPr>
                <w:rFonts w:cstheme="minorHAnsi"/>
                <w:b/>
                <w:sz w:val="18"/>
                <w:szCs w:val="18"/>
              </w:rPr>
            </w:pPr>
            <w:r w:rsidRPr="00D91740">
              <w:rPr>
                <w:rFonts w:cstheme="minorHAnsi"/>
                <w:sz w:val="18"/>
                <w:szCs w:val="18"/>
              </w:rPr>
              <w:t>66.2</w:t>
            </w:r>
          </w:p>
        </w:tc>
        <w:tc>
          <w:tcPr>
            <w:tcW w:w="1397" w:type="dxa"/>
          </w:tcPr>
          <w:p w14:paraId="4864128A" w14:textId="26B4F7E2" w:rsidR="00645BEC" w:rsidRPr="00D91740" w:rsidRDefault="00645BEC" w:rsidP="00645BEC">
            <w:pPr>
              <w:spacing w:after="160" w:line="259" w:lineRule="auto"/>
              <w:rPr>
                <w:rFonts w:cstheme="minorHAnsi"/>
                <w:b/>
                <w:sz w:val="18"/>
                <w:szCs w:val="18"/>
              </w:rPr>
            </w:pPr>
            <w:r w:rsidRPr="00D91740">
              <w:rPr>
                <w:rFonts w:cstheme="minorHAnsi"/>
                <w:sz w:val="18"/>
                <w:szCs w:val="18"/>
              </w:rPr>
              <w:t>68.6</w:t>
            </w:r>
          </w:p>
        </w:tc>
        <w:tc>
          <w:tcPr>
            <w:tcW w:w="1397" w:type="dxa"/>
          </w:tcPr>
          <w:p w14:paraId="42281378" w14:textId="07965E6A" w:rsidR="00645BEC" w:rsidRPr="00D91740" w:rsidRDefault="00645BEC" w:rsidP="00645BEC">
            <w:pPr>
              <w:spacing w:after="160" w:line="259" w:lineRule="auto"/>
              <w:rPr>
                <w:rFonts w:cstheme="minorHAnsi"/>
                <w:b/>
                <w:sz w:val="18"/>
                <w:szCs w:val="18"/>
              </w:rPr>
            </w:pPr>
            <w:r w:rsidRPr="00D91740">
              <w:rPr>
                <w:rFonts w:cstheme="minorHAnsi"/>
                <w:sz w:val="18"/>
                <w:szCs w:val="18"/>
              </w:rPr>
              <w:t>60.5</w:t>
            </w:r>
          </w:p>
        </w:tc>
      </w:tr>
      <w:tr w:rsidR="00645BEC" w14:paraId="30247B7F" w14:textId="77777777" w:rsidTr="00D91740">
        <w:tc>
          <w:tcPr>
            <w:tcW w:w="1396" w:type="dxa"/>
            <w:shd w:val="clear" w:color="auto" w:fill="auto"/>
          </w:tcPr>
          <w:p w14:paraId="7E50B79D" w14:textId="2EB0BCA9" w:rsidR="00645BEC" w:rsidRPr="009F701C" w:rsidRDefault="00645BEC" w:rsidP="00645BEC">
            <w:pPr>
              <w:spacing w:after="160" w:line="259" w:lineRule="auto"/>
              <w:rPr>
                <w:rFonts w:cstheme="minorHAnsi"/>
                <w:b/>
                <w:sz w:val="22"/>
                <w:szCs w:val="22"/>
              </w:rPr>
            </w:pPr>
            <w:r w:rsidRPr="00D91740">
              <w:rPr>
                <w:rFonts w:cstheme="minorHAnsi"/>
                <w:sz w:val="22"/>
                <w:szCs w:val="22"/>
              </w:rPr>
              <w:t>Site 7</w:t>
            </w:r>
          </w:p>
        </w:tc>
        <w:tc>
          <w:tcPr>
            <w:tcW w:w="1397" w:type="dxa"/>
            <w:shd w:val="clear" w:color="auto" w:fill="auto"/>
          </w:tcPr>
          <w:p w14:paraId="79A10BE6" w14:textId="4D42630E" w:rsidR="00645BEC" w:rsidRPr="00D91740" w:rsidRDefault="00645BEC" w:rsidP="00645BEC">
            <w:pPr>
              <w:spacing w:after="160" w:line="259" w:lineRule="auto"/>
              <w:rPr>
                <w:rFonts w:cstheme="minorHAnsi"/>
                <w:b/>
                <w:sz w:val="18"/>
                <w:szCs w:val="18"/>
              </w:rPr>
            </w:pPr>
            <w:r w:rsidRPr="00D91740">
              <w:rPr>
                <w:rFonts w:cstheme="minorHAnsi"/>
                <w:sz w:val="18"/>
                <w:szCs w:val="18"/>
              </w:rPr>
              <w:t>60</w:t>
            </w:r>
          </w:p>
        </w:tc>
        <w:tc>
          <w:tcPr>
            <w:tcW w:w="1397" w:type="dxa"/>
            <w:shd w:val="clear" w:color="auto" w:fill="auto"/>
          </w:tcPr>
          <w:p w14:paraId="32527F26" w14:textId="06DEEAC1" w:rsidR="00645BEC" w:rsidRPr="00D91740" w:rsidRDefault="00645BEC" w:rsidP="00645BEC">
            <w:pPr>
              <w:spacing w:after="160" w:line="259" w:lineRule="auto"/>
              <w:rPr>
                <w:rFonts w:cstheme="minorHAnsi"/>
                <w:b/>
                <w:sz w:val="18"/>
                <w:szCs w:val="18"/>
              </w:rPr>
            </w:pPr>
            <w:r w:rsidRPr="00D91740">
              <w:rPr>
                <w:rFonts w:cstheme="minorHAnsi"/>
                <w:sz w:val="18"/>
                <w:szCs w:val="18"/>
              </w:rPr>
              <w:t>0.66</w:t>
            </w:r>
          </w:p>
        </w:tc>
        <w:tc>
          <w:tcPr>
            <w:tcW w:w="1397" w:type="dxa"/>
            <w:shd w:val="clear" w:color="auto" w:fill="auto"/>
          </w:tcPr>
          <w:p w14:paraId="21E4B3BE" w14:textId="30E09959" w:rsidR="00645BEC" w:rsidRPr="00D91740" w:rsidRDefault="00645BEC" w:rsidP="00645BEC">
            <w:pPr>
              <w:spacing w:after="160" w:line="259" w:lineRule="auto"/>
              <w:rPr>
                <w:rFonts w:cstheme="minorHAnsi"/>
                <w:b/>
                <w:sz w:val="18"/>
                <w:szCs w:val="18"/>
              </w:rPr>
            </w:pPr>
            <w:r w:rsidRPr="00D91740">
              <w:rPr>
                <w:rFonts w:cstheme="minorHAnsi"/>
                <w:sz w:val="18"/>
                <w:szCs w:val="18"/>
              </w:rPr>
              <w:t>33.3</w:t>
            </w:r>
          </w:p>
        </w:tc>
        <w:tc>
          <w:tcPr>
            <w:tcW w:w="1397" w:type="dxa"/>
            <w:shd w:val="clear" w:color="auto" w:fill="auto"/>
          </w:tcPr>
          <w:p w14:paraId="5DD038D1" w14:textId="3367BDC1" w:rsidR="00645BEC" w:rsidRPr="00D91740" w:rsidRDefault="00645BEC" w:rsidP="00645BEC">
            <w:pPr>
              <w:spacing w:after="160" w:line="259" w:lineRule="auto"/>
              <w:rPr>
                <w:rFonts w:cstheme="minorHAnsi"/>
                <w:b/>
                <w:sz w:val="18"/>
                <w:szCs w:val="18"/>
              </w:rPr>
            </w:pPr>
            <w:r w:rsidRPr="00D91740">
              <w:rPr>
                <w:rFonts w:cstheme="minorHAnsi"/>
                <w:sz w:val="18"/>
                <w:szCs w:val="18"/>
              </w:rPr>
              <w:t>86.8</w:t>
            </w:r>
          </w:p>
        </w:tc>
        <w:tc>
          <w:tcPr>
            <w:tcW w:w="1397" w:type="dxa"/>
            <w:shd w:val="clear" w:color="auto" w:fill="auto"/>
          </w:tcPr>
          <w:p w14:paraId="18209DFE" w14:textId="2DE76776" w:rsidR="00645BEC" w:rsidRPr="00D91740" w:rsidRDefault="00645BEC" w:rsidP="00645BEC">
            <w:pPr>
              <w:spacing w:after="160" w:line="259" w:lineRule="auto"/>
              <w:rPr>
                <w:rFonts w:cstheme="minorHAnsi"/>
                <w:b/>
                <w:sz w:val="18"/>
                <w:szCs w:val="18"/>
              </w:rPr>
            </w:pPr>
            <w:r w:rsidRPr="00D91740">
              <w:rPr>
                <w:rFonts w:cstheme="minorHAnsi"/>
                <w:sz w:val="18"/>
                <w:szCs w:val="18"/>
              </w:rPr>
              <w:t>57.1</w:t>
            </w:r>
          </w:p>
        </w:tc>
        <w:tc>
          <w:tcPr>
            <w:tcW w:w="1397" w:type="dxa"/>
            <w:shd w:val="clear" w:color="auto" w:fill="auto"/>
          </w:tcPr>
          <w:p w14:paraId="3659DA9D" w14:textId="2178E53F" w:rsidR="00645BEC" w:rsidRPr="00D91740" w:rsidRDefault="00645BEC" w:rsidP="00645BEC">
            <w:pPr>
              <w:spacing w:after="160" w:line="259" w:lineRule="auto"/>
              <w:rPr>
                <w:rFonts w:cstheme="minorHAnsi"/>
                <w:b/>
                <w:sz w:val="18"/>
                <w:szCs w:val="18"/>
              </w:rPr>
            </w:pPr>
            <w:r w:rsidRPr="00D91740">
              <w:rPr>
                <w:rFonts w:cstheme="minorHAnsi"/>
                <w:sz w:val="18"/>
                <w:szCs w:val="18"/>
              </w:rPr>
              <w:t>71.1</w:t>
            </w:r>
          </w:p>
        </w:tc>
      </w:tr>
      <w:tr w:rsidR="00645BEC" w14:paraId="44F9ECC4" w14:textId="77777777" w:rsidTr="00645BEC">
        <w:tc>
          <w:tcPr>
            <w:tcW w:w="1396" w:type="dxa"/>
          </w:tcPr>
          <w:p w14:paraId="3FD6C431" w14:textId="35FF7163" w:rsidR="00645BEC" w:rsidRPr="009F701C" w:rsidRDefault="00645BEC" w:rsidP="00645BEC">
            <w:pPr>
              <w:spacing w:after="160" w:line="259" w:lineRule="auto"/>
              <w:rPr>
                <w:rFonts w:cstheme="minorHAnsi"/>
                <w:b/>
                <w:sz w:val="22"/>
                <w:szCs w:val="22"/>
              </w:rPr>
            </w:pPr>
            <w:r w:rsidRPr="00D91740">
              <w:rPr>
                <w:rFonts w:cstheme="minorHAnsi"/>
                <w:sz w:val="22"/>
                <w:szCs w:val="22"/>
              </w:rPr>
              <w:t>Site 8</w:t>
            </w:r>
          </w:p>
        </w:tc>
        <w:tc>
          <w:tcPr>
            <w:tcW w:w="1397" w:type="dxa"/>
          </w:tcPr>
          <w:p w14:paraId="2D316185" w14:textId="23ADB217" w:rsidR="00645BEC" w:rsidRPr="00D91740" w:rsidRDefault="00645BEC" w:rsidP="00645BEC">
            <w:pPr>
              <w:spacing w:after="160" w:line="259" w:lineRule="auto"/>
              <w:rPr>
                <w:rFonts w:cstheme="minorHAnsi"/>
                <w:b/>
                <w:sz w:val="18"/>
                <w:szCs w:val="18"/>
              </w:rPr>
            </w:pPr>
            <w:r w:rsidRPr="00D91740">
              <w:rPr>
                <w:rFonts w:cstheme="minorHAnsi"/>
                <w:sz w:val="18"/>
                <w:szCs w:val="18"/>
              </w:rPr>
              <w:t>64</w:t>
            </w:r>
          </w:p>
        </w:tc>
        <w:tc>
          <w:tcPr>
            <w:tcW w:w="1397" w:type="dxa"/>
          </w:tcPr>
          <w:p w14:paraId="5A76FD5D" w14:textId="5995EF00" w:rsidR="00645BEC" w:rsidRPr="00D91740" w:rsidRDefault="00645BEC" w:rsidP="00645BEC">
            <w:pPr>
              <w:spacing w:after="160" w:line="259" w:lineRule="auto"/>
              <w:rPr>
                <w:rFonts w:cstheme="minorHAnsi"/>
                <w:b/>
                <w:sz w:val="18"/>
                <w:szCs w:val="18"/>
              </w:rPr>
            </w:pPr>
            <w:r w:rsidRPr="00D91740">
              <w:rPr>
                <w:rFonts w:cstheme="minorHAnsi"/>
                <w:sz w:val="18"/>
                <w:szCs w:val="18"/>
              </w:rPr>
              <w:t>0.71</w:t>
            </w:r>
          </w:p>
        </w:tc>
        <w:tc>
          <w:tcPr>
            <w:tcW w:w="1397" w:type="dxa"/>
          </w:tcPr>
          <w:p w14:paraId="21E2AEA8" w14:textId="67FEBA40" w:rsidR="00645BEC" w:rsidRPr="00D91740" w:rsidRDefault="00645BEC" w:rsidP="00645BEC">
            <w:pPr>
              <w:spacing w:after="160" w:line="259" w:lineRule="auto"/>
              <w:rPr>
                <w:rFonts w:cstheme="minorHAnsi"/>
                <w:b/>
                <w:sz w:val="18"/>
                <w:szCs w:val="18"/>
              </w:rPr>
            </w:pPr>
            <w:r w:rsidRPr="00D91740">
              <w:rPr>
                <w:rFonts w:cstheme="minorHAnsi"/>
                <w:sz w:val="18"/>
                <w:szCs w:val="18"/>
              </w:rPr>
              <w:t>70.7</w:t>
            </w:r>
          </w:p>
        </w:tc>
        <w:tc>
          <w:tcPr>
            <w:tcW w:w="1397" w:type="dxa"/>
          </w:tcPr>
          <w:p w14:paraId="10531CA8" w14:textId="323C0EA1" w:rsidR="00645BEC" w:rsidRPr="00D91740" w:rsidRDefault="00645BEC" w:rsidP="00645BEC">
            <w:pPr>
              <w:spacing w:after="160" w:line="259" w:lineRule="auto"/>
              <w:rPr>
                <w:rFonts w:cstheme="minorHAnsi"/>
                <w:b/>
                <w:sz w:val="18"/>
                <w:szCs w:val="18"/>
              </w:rPr>
            </w:pPr>
            <w:r w:rsidRPr="00D91740">
              <w:rPr>
                <w:rFonts w:cstheme="minorHAnsi"/>
                <w:sz w:val="18"/>
                <w:szCs w:val="18"/>
              </w:rPr>
              <w:t>57.3</w:t>
            </w:r>
          </w:p>
        </w:tc>
        <w:tc>
          <w:tcPr>
            <w:tcW w:w="1397" w:type="dxa"/>
          </w:tcPr>
          <w:p w14:paraId="5F7F004B" w14:textId="450A071C" w:rsidR="00645BEC" w:rsidRPr="00D91740" w:rsidRDefault="00645BEC" w:rsidP="00645BEC">
            <w:pPr>
              <w:spacing w:after="160" w:line="259" w:lineRule="auto"/>
              <w:rPr>
                <w:rFonts w:cstheme="minorHAnsi"/>
                <w:b/>
                <w:sz w:val="18"/>
                <w:szCs w:val="18"/>
              </w:rPr>
            </w:pPr>
            <w:r w:rsidRPr="00D91740">
              <w:rPr>
                <w:rFonts w:cstheme="minorHAnsi"/>
                <w:sz w:val="18"/>
                <w:szCs w:val="18"/>
              </w:rPr>
              <w:t>67.8</w:t>
            </w:r>
          </w:p>
        </w:tc>
        <w:tc>
          <w:tcPr>
            <w:tcW w:w="1397" w:type="dxa"/>
          </w:tcPr>
          <w:p w14:paraId="263B1DFB" w14:textId="2CBFA819" w:rsidR="00645BEC" w:rsidRPr="00D91740" w:rsidRDefault="00645BEC" w:rsidP="00645BEC">
            <w:pPr>
              <w:spacing w:after="160" w:line="259" w:lineRule="auto"/>
              <w:rPr>
                <w:rFonts w:cstheme="minorHAnsi"/>
                <w:b/>
                <w:sz w:val="18"/>
                <w:szCs w:val="18"/>
              </w:rPr>
            </w:pPr>
            <w:r w:rsidRPr="00D91740">
              <w:rPr>
                <w:rFonts w:cstheme="minorHAnsi"/>
                <w:sz w:val="18"/>
                <w:szCs w:val="18"/>
              </w:rPr>
              <w:t>60.8</w:t>
            </w:r>
          </w:p>
        </w:tc>
      </w:tr>
    </w:tbl>
    <w:p w14:paraId="42CE2CAA" w14:textId="2D5A8213" w:rsidR="0079203A" w:rsidRPr="00923702" w:rsidRDefault="007F3B6D">
      <w:pPr>
        <w:spacing w:after="160" w:line="259" w:lineRule="auto"/>
        <w:rPr>
          <w:bCs/>
          <w:sz w:val="22"/>
          <w:szCs w:val="22"/>
        </w:rPr>
      </w:pPr>
      <w:r w:rsidRPr="00923702">
        <w:rPr>
          <w:bCs/>
          <w:sz w:val="22"/>
          <w:szCs w:val="22"/>
        </w:rPr>
        <w:t>AUC: Area Under the Curve; BAC: Balanced Accuracy; NPV: Negative Predictive Value; PPV: Positive Predictive Value; Sens: sensitivity; Spec: specificity</w:t>
      </w:r>
      <w:r w:rsidR="0079203A" w:rsidRPr="00923702">
        <w:rPr>
          <w:bCs/>
          <w:sz w:val="22"/>
          <w:szCs w:val="22"/>
        </w:rPr>
        <w:br w:type="page"/>
      </w:r>
    </w:p>
    <w:p w14:paraId="25771831" w14:textId="43CA4BE3" w:rsidR="00B10589" w:rsidRPr="000361CD" w:rsidRDefault="00B10589" w:rsidP="00907779">
      <w:pPr>
        <w:jc w:val="both"/>
        <w:rPr>
          <w:b/>
          <w:sz w:val="22"/>
          <w:szCs w:val="22"/>
        </w:rPr>
      </w:pPr>
      <w:r w:rsidRPr="000361CD">
        <w:rPr>
          <w:b/>
          <w:sz w:val="22"/>
          <w:szCs w:val="22"/>
        </w:rPr>
        <w:lastRenderedPageBreak/>
        <w:t>Supplementary Figures</w:t>
      </w:r>
    </w:p>
    <w:p w14:paraId="2F5CF15D" w14:textId="77777777" w:rsidR="00B10589" w:rsidRPr="000361CD" w:rsidRDefault="00B10589" w:rsidP="00907779">
      <w:pPr>
        <w:jc w:val="both"/>
        <w:rPr>
          <w:b/>
          <w:sz w:val="22"/>
          <w:szCs w:val="22"/>
        </w:rPr>
      </w:pPr>
    </w:p>
    <w:p w14:paraId="2DC63981" w14:textId="1434FDDE" w:rsidR="00907779" w:rsidRDefault="00907779" w:rsidP="00907779">
      <w:pPr>
        <w:jc w:val="both"/>
        <w:rPr>
          <w:sz w:val="22"/>
          <w:szCs w:val="22"/>
        </w:rPr>
      </w:pPr>
      <w:r w:rsidRPr="000361CD">
        <w:rPr>
          <w:b/>
          <w:sz w:val="22"/>
          <w:szCs w:val="22"/>
        </w:rPr>
        <w:t>Supplementary Figure 1</w:t>
      </w:r>
      <w:r w:rsidR="00E92E34">
        <w:rPr>
          <w:sz w:val="22"/>
          <w:szCs w:val="22"/>
        </w:rPr>
        <w:t>.</w:t>
      </w:r>
      <w:r w:rsidRPr="000361CD">
        <w:rPr>
          <w:sz w:val="22"/>
          <w:szCs w:val="22"/>
        </w:rPr>
        <w:t xml:space="preserve"> </w:t>
      </w:r>
      <w:r w:rsidR="00E92E34">
        <w:rPr>
          <w:sz w:val="22"/>
          <w:szCs w:val="22"/>
        </w:rPr>
        <w:t>D</w:t>
      </w:r>
      <w:r w:rsidRPr="000361CD">
        <w:rPr>
          <w:sz w:val="22"/>
          <w:szCs w:val="22"/>
        </w:rPr>
        <w:t>istribution of</w:t>
      </w:r>
      <w:r w:rsidR="0000749C" w:rsidRPr="000361CD">
        <w:rPr>
          <w:sz w:val="22"/>
          <w:szCs w:val="22"/>
        </w:rPr>
        <w:t xml:space="preserve"> </w:t>
      </w:r>
      <w:r w:rsidRPr="000361CD">
        <w:rPr>
          <w:sz w:val="22"/>
          <w:szCs w:val="22"/>
        </w:rPr>
        <w:t xml:space="preserve">the Euler Number across our sample and visual correlation with reconstruction of FreeSurfer images. As shown, the lower the Euler Number, </w:t>
      </w:r>
      <w:r w:rsidR="001F617D" w:rsidRPr="000361CD">
        <w:rPr>
          <w:sz w:val="22"/>
          <w:szCs w:val="22"/>
        </w:rPr>
        <w:t>the worse the reconstruction.</w:t>
      </w:r>
    </w:p>
    <w:p w14:paraId="5AC1AA6C" w14:textId="77777777" w:rsidR="0079203A" w:rsidRDefault="0079203A" w:rsidP="00907779">
      <w:pPr>
        <w:jc w:val="both"/>
        <w:rPr>
          <w:sz w:val="22"/>
          <w:szCs w:val="22"/>
        </w:rPr>
      </w:pPr>
    </w:p>
    <w:p w14:paraId="52B3DE7B" w14:textId="77777777" w:rsidR="0079203A" w:rsidRPr="000361CD" w:rsidRDefault="0079203A" w:rsidP="00907779">
      <w:pPr>
        <w:jc w:val="both"/>
        <w:rPr>
          <w:sz w:val="22"/>
          <w:szCs w:val="22"/>
        </w:rPr>
      </w:pPr>
    </w:p>
    <w:p w14:paraId="42FCF654" w14:textId="04A0C3F6" w:rsidR="001F617D" w:rsidRDefault="008B3214" w:rsidP="00907779">
      <w:pPr>
        <w:jc w:val="both"/>
        <w:rPr>
          <w:noProof/>
        </w:rPr>
      </w:pPr>
      <w:r>
        <w:rPr>
          <w:noProof/>
          <w:lang w:val="de-DE"/>
        </w:rPr>
        <w:drawing>
          <wp:inline distT="0" distB="0" distL="0" distR="0" wp14:anchorId="268A6FDD" wp14:editId="26E0F0B4">
            <wp:extent cx="6004384" cy="345025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1.jpg"/>
                    <pic:cNvPicPr/>
                  </pic:nvPicPr>
                  <pic:blipFill rotWithShape="1">
                    <a:blip r:embed="rId6">
                      <a:extLst>
                        <a:ext uri="{28A0092B-C50C-407E-A947-70E740481C1C}">
                          <a14:useLocalDpi xmlns:a14="http://schemas.microsoft.com/office/drawing/2010/main" val="0"/>
                        </a:ext>
                      </a:extLst>
                    </a:blip>
                    <a:srcRect l="1900"/>
                    <a:stretch/>
                  </pic:blipFill>
                  <pic:spPr bwMode="auto">
                    <a:xfrm>
                      <a:off x="0" y="0"/>
                      <a:ext cx="6003858" cy="3449955"/>
                    </a:xfrm>
                    <a:prstGeom prst="rect">
                      <a:avLst/>
                    </a:prstGeom>
                    <a:ln>
                      <a:noFill/>
                    </a:ln>
                    <a:extLst>
                      <a:ext uri="{53640926-AAD7-44D8-BBD7-CCE9431645EC}">
                        <a14:shadowObscured xmlns:a14="http://schemas.microsoft.com/office/drawing/2010/main"/>
                      </a:ext>
                    </a:extLst>
                  </pic:spPr>
                </pic:pic>
              </a:graphicData>
            </a:graphic>
          </wp:inline>
        </w:drawing>
      </w:r>
    </w:p>
    <w:p w14:paraId="6E6D3C5B" w14:textId="6FB16152" w:rsidR="008B3214" w:rsidRDefault="008B3214" w:rsidP="00907779">
      <w:pPr>
        <w:jc w:val="both"/>
        <w:rPr>
          <w:noProof/>
        </w:rPr>
      </w:pPr>
    </w:p>
    <w:p w14:paraId="0128B421" w14:textId="1193051F" w:rsidR="00907779" w:rsidRDefault="00907779"/>
    <w:p w14:paraId="1AF25A2A" w14:textId="1A5E7F33" w:rsidR="001F617D" w:rsidRDefault="001F617D">
      <w:pPr>
        <w:rPr>
          <w:sz w:val="22"/>
          <w:szCs w:val="22"/>
        </w:rPr>
      </w:pPr>
      <w:r w:rsidRPr="000361CD">
        <w:rPr>
          <w:b/>
          <w:sz w:val="22"/>
          <w:szCs w:val="22"/>
        </w:rPr>
        <w:t>Supplementary Figure 2</w:t>
      </w:r>
      <w:r w:rsidR="00E92E34">
        <w:rPr>
          <w:b/>
          <w:sz w:val="22"/>
          <w:szCs w:val="22"/>
        </w:rPr>
        <w:t>.</w:t>
      </w:r>
      <w:r w:rsidRPr="000361CD">
        <w:rPr>
          <w:sz w:val="22"/>
          <w:szCs w:val="22"/>
        </w:rPr>
        <w:t xml:space="preserve"> </w:t>
      </w:r>
      <w:r w:rsidR="00E92E34">
        <w:rPr>
          <w:sz w:val="22"/>
          <w:szCs w:val="22"/>
        </w:rPr>
        <w:t>C</w:t>
      </w:r>
      <w:r w:rsidRPr="000361CD">
        <w:rPr>
          <w:sz w:val="22"/>
          <w:szCs w:val="22"/>
        </w:rPr>
        <w:t xml:space="preserve">orrelation between Decision Scores and Euler Number in the model built on all the images (without excluding images </w:t>
      </w:r>
      <w:r w:rsidR="00E3639F" w:rsidRPr="000361CD">
        <w:rPr>
          <w:sz w:val="22"/>
          <w:szCs w:val="22"/>
        </w:rPr>
        <w:t>labeled</w:t>
      </w:r>
      <w:r w:rsidRPr="000361CD">
        <w:rPr>
          <w:sz w:val="22"/>
          <w:szCs w:val="22"/>
        </w:rPr>
        <w:t xml:space="preserve"> as „poor </w:t>
      </w:r>
      <w:proofErr w:type="gramStart"/>
      <w:r w:rsidR="00E3639F" w:rsidRPr="000361CD">
        <w:rPr>
          <w:sz w:val="22"/>
          <w:szCs w:val="22"/>
        </w:rPr>
        <w:t>reconstruction“</w:t>
      </w:r>
      <w:proofErr w:type="gramEnd"/>
      <w:r w:rsidRPr="000361CD">
        <w:rPr>
          <w:sz w:val="22"/>
          <w:szCs w:val="22"/>
        </w:rPr>
        <w:t>).</w:t>
      </w:r>
    </w:p>
    <w:p w14:paraId="3078638C" w14:textId="77777777" w:rsidR="0079203A" w:rsidRPr="000361CD" w:rsidRDefault="0079203A">
      <w:pPr>
        <w:rPr>
          <w:sz w:val="22"/>
          <w:szCs w:val="22"/>
        </w:rPr>
      </w:pPr>
    </w:p>
    <w:p w14:paraId="2714A4C9" w14:textId="3086CC62" w:rsidR="000361CD" w:rsidRDefault="00E3639F" w:rsidP="00B10589">
      <w:pPr>
        <w:rPr>
          <w:noProof/>
        </w:rPr>
      </w:pPr>
      <w:r>
        <w:rPr>
          <w:noProof/>
          <w:lang w:val="de-DE"/>
        </w:rPr>
        <w:drawing>
          <wp:inline distT="0" distB="0" distL="0" distR="0" wp14:anchorId="1AFF0451" wp14:editId="37ADD862">
            <wp:extent cx="5879700" cy="3580556"/>
            <wp:effectExtent l="0" t="0" r="6985" b="1270"/>
            <wp:docPr id="4" name="Immagine 4" descr="Immagine che contiene testo, mappa, pare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p2.jpg"/>
                    <pic:cNvPicPr/>
                  </pic:nvPicPr>
                  <pic:blipFill rotWithShape="1">
                    <a:blip r:embed="rId7">
                      <a:extLst>
                        <a:ext uri="{28A0092B-C50C-407E-A947-70E740481C1C}">
                          <a14:useLocalDpi xmlns:a14="http://schemas.microsoft.com/office/drawing/2010/main" val="0"/>
                        </a:ext>
                      </a:extLst>
                    </a:blip>
                    <a:srcRect l="2372"/>
                    <a:stretch/>
                  </pic:blipFill>
                  <pic:spPr bwMode="auto">
                    <a:xfrm>
                      <a:off x="0" y="0"/>
                      <a:ext cx="5901688" cy="3593946"/>
                    </a:xfrm>
                    <a:prstGeom prst="rect">
                      <a:avLst/>
                    </a:prstGeom>
                    <a:ln>
                      <a:noFill/>
                    </a:ln>
                    <a:extLst>
                      <a:ext uri="{53640926-AAD7-44D8-BBD7-CCE9431645EC}">
                        <a14:shadowObscured xmlns:a14="http://schemas.microsoft.com/office/drawing/2010/main"/>
                      </a:ext>
                    </a:extLst>
                  </pic:spPr>
                </pic:pic>
              </a:graphicData>
            </a:graphic>
          </wp:inline>
        </w:drawing>
      </w:r>
    </w:p>
    <w:p w14:paraId="3A52A561" w14:textId="0BE55758" w:rsidR="00645BEC" w:rsidRDefault="00645BEC" w:rsidP="000361CD">
      <w:pPr>
        <w:jc w:val="both"/>
        <w:rPr>
          <w:noProof/>
          <w:sz w:val="22"/>
          <w:szCs w:val="22"/>
        </w:rPr>
      </w:pPr>
      <w:r>
        <w:rPr>
          <w:b/>
          <w:bCs/>
          <w:noProof/>
          <w:sz w:val="22"/>
          <w:szCs w:val="22"/>
        </w:rPr>
        <w:lastRenderedPageBreak/>
        <w:t xml:space="preserve">Supplementary Figure 3. </w:t>
      </w:r>
      <w:r>
        <w:rPr>
          <w:noProof/>
          <w:sz w:val="22"/>
          <w:szCs w:val="22"/>
        </w:rPr>
        <w:t>Classification gain after the main analysis. Comapred to a null-model, the classification improved the ability to distinguish between the group by a 16.9% for FEP and 15.6% for HC</w:t>
      </w:r>
      <w:r w:rsidR="001F174B">
        <w:rPr>
          <w:noProof/>
          <w:sz w:val="22"/>
          <w:szCs w:val="22"/>
        </w:rPr>
        <w:t xml:space="preserve">. These percentage are a measure of </w:t>
      </w:r>
      <w:r w:rsidR="001F174B" w:rsidRPr="001F174B">
        <w:rPr>
          <w:noProof/>
          <w:sz w:val="22"/>
          <w:szCs w:val="22"/>
        </w:rPr>
        <w:t>the size of the improvement</w:t>
      </w:r>
      <w:r w:rsidR="001F174B">
        <w:rPr>
          <w:noProof/>
          <w:sz w:val="22"/>
          <w:szCs w:val="22"/>
        </w:rPr>
        <w:t xml:space="preserve"> obtained with the SVM.</w:t>
      </w:r>
    </w:p>
    <w:p w14:paraId="2BD268FB" w14:textId="77777777" w:rsidR="00645BEC" w:rsidRDefault="00645BEC" w:rsidP="000361CD">
      <w:pPr>
        <w:jc w:val="both"/>
        <w:rPr>
          <w:noProof/>
          <w:sz w:val="22"/>
          <w:szCs w:val="22"/>
        </w:rPr>
      </w:pPr>
    </w:p>
    <w:p w14:paraId="7EE82B08" w14:textId="2BC7CA3E" w:rsidR="00645BEC" w:rsidRDefault="00645BEC" w:rsidP="000361CD">
      <w:pPr>
        <w:jc w:val="both"/>
        <w:rPr>
          <w:b/>
          <w:bCs/>
          <w:noProof/>
          <w:sz w:val="22"/>
          <w:szCs w:val="22"/>
        </w:rPr>
      </w:pPr>
    </w:p>
    <w:p w14:paraId="2AA67B93" w14:textId="5F7A886E" w:rsidR="00645BEC" w:rsidRDefault="00645BEC" w:rsidP="000361CD">
      <w:pPr>
        <w:jc w:val="both"/>
        <w:rPr>
          <w:b/>
          <w:bCs/>
          <w:noProof/>
          <w:sz w:val="22"/>
          <w:szCs w:val="22"/>
        </w:rPr>
      </w:pPr>
      <w:r>
        <w:rPr>
          <w:b/>
          <w:bCs/>
          <w:noProof/>
          <w:sz w:val="22"/>
          <w:szCs w:val="22"/>
        </w:rPr>
        <w:drawing>
          <wp:inline distT="0" distB="0" distL="0" distR="0" wp14:anchorId="7AD0C2E4" wp14:editId="3CCB2622">
            <wp:extent cx="3352800" cy="20859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3352800" cy="2085975"/>
                    </a:xfrm>
                    <a:prstGeom prst="rect">
                      <a:avLst/>
                    </a:prstGeom>
                  </pic:spPr>
                </pic:pic>
              </a:graphicData>
            </a:graphic>
          </wp:inline>
        </w:drawing>
      </w:r>
    </w:p>
    <w:p w14:paraId="4C8E24A3" w14:textId="04206639" w:rsidR="00645BEC" w:rsidRDefault="00645BEC" w:rsidP="000361CD">
      <w:pPr>
        <w:jc w:val="both"/>
        <w:rPr>
          <w:b/>
          <w:bCs/>
          <w:noProof/>
          <w:sz w:val="22"/>
          <w:szCs w:val="22"/>
        </w:rPr>
      </w:pPr>
    </w:p>
    <w:p w14:paraId="69FE467C" w14:textId="5AE30293" w:rsidR="00645BEC" w:rsidRDefault="00645BEC" w:rsidP="000361CD">
      <w:pPr>
        <w:jc w:val="both"/>
        <w:rPr>
          <w:b/>
          <w:bCs/>
          <w:noProof/>
          <w:sz w:val="22"/>
          <w:szCs w:val="22"/>
        </w:rPr>
      </w:pPr>
    </w:p>
    <w:p w14:paraId="51E6A116" w14:textId="17BEA11C" w:rsidR="00645BEC" w:rsidRDefault="00645BEC" w:rsidP="000361CD">
      <w:pPr>
        <w:jc w:val="both"/>
        <w:rPr>
          <w:b/>
          <w:bCs/>
          <w:noProof/>
          <w:sz w:val="22"/>
          <w:szCs w:val="22"/>
        </w:rPr>
      </w:pPr>
    </w:p>
    <w:p w14:paraId="07377A07" w14:textId="765123A0" w:rsidR="00645BEC" w:rsidRDefault="00645BEC" w:rsidP="000361CD">
      <w:pPr>
        <w:jc w:val="both"/>
        <w:rPr>
          <w:b/>
          <w:bCs/>
          <w:noProof/>
          <w:sz w:val="22"/>
          <w:szCs w:val="22"/>
        </w:rPr>
      </w:pPr>
    </w:p>
    <w:p w14:paraId="21D09D19" w14:textId="5B27982E" w:rsidR="00645BEC" w:rsidRDefault="00645BEC" w:rsidP="000361CD">
      <w:pPr>
        <w:jc w:val="both"/>
        <w:rPr>
          <w:b/>
          <w:bCs/>
          <w:noProof/>
          <w:sz w:val="22"/>
          <w:szCs w:val="22"/>
        </w:rPr>
      </w:pPr>
    </w:p>
    <w:p w14:paraId="5D95319C" w14:textId="3F9D281B" w:rsidR="00645BEC" w:rsidRDefault="00645BEC" w:rsidP="000361CD">
      <w:pPr>
        <w:jc w:val="both"/>
        <w:rPr>
          <w:b/>
          <w:bCs/>
          <w:noProof/>
          <w:sz w:val="22"/>
          <w:szCs w:val="22"/>
        </w:rPr>
      </w:pPr>
    </w:p>
    <w:p w14:paraId="0B186602" w14:textId="420E182B" w:rsidR="00645BEC" w:rsidRDefault="00645BEC" w:rsidP="000361CD">
      <w:pPr>
        <w:jc w:val="both"/>
        <w:rPr>
          <w:b/>
          <w:bCs/>
          <w:noProof/>
          <w:sz w:val="22"/>
          <w:szCs w:val="22"/>
        </w:rPr>
      </w:pPr>
    </w:p>
    <w:p w14:paraId="31C2015D" w14:textId="65422C38" w:rsidR="00645BEC" w:rsidRDefault="00645BEC" w:rsidP="000361CD">
      <w:pPr>
        <w:jc w:val="both"/>
        <w:rPr>
          <w:b/>
          <w:bCs/>
          <w:noProof/>
          <w:sz w:val="22"/>
          <w:szCs w:val="22"/>
        </w:rPr>
      </w:pPr>
      <w:r>
        <w:rPr>
          <w:b/>
          <w:bCs/>
          <w:noProof/>
          <w:sz w:val="22"/>
          <w:szCs w:val="22"/>
        </w:rPr>
        <w:t xml:space="preserve">Supplementary figure 4. </w:t>
      </w:r>
      <w:r>
        <w:rPr>
          <w:noProof/>
          <w:sz w:val="22"/>
          <w:szCs w:val="22"/>
        </w:rPr>
        <w:t>Calculation of p value. We randomly permuted 100 times the labels and calculated a null distribution on the classification</w:t>
      </w:r>
      <w:r w:rsidR="00F124D0">
        <w:rPr>
          <w:noProof/>
          <w:sz w:val="22"/>
          <w:szCs w:val="22"/>
        </w:rPr>
        <w:t xml:space="preserve"> models based on the permutation analysis. The red line indicates a significant BAC with a p value &lt; 0.01.</w:t>
      </w:r>
    </w:p>
    <w:p w14:paraId="770DCD95" w14:textId="6794B74D" w:rsidR="00645BEC" w:rsidRDefault="00645BEC" w:rsidP="000361CD">
      <w:pPr>
        <w:jc w:val="both"/>
        <w:rPr>
          <w:b/>
          <w:bCs/>
          <w:noProof/>
          <w:sz w:val="22"/>
          <w:szCs w:val="22"/>
        </w:rPr>
      </w:pPr>
    </w:p>
    <w:p w14:paraId="4F48EDA6" w14:textId="3BD1C9A1" w:rsidR="00645BEC" w:rsidRDefault="00645BEC" w:rsidP="000361CD">
      <w:pPr>
        <w:jc w:val="both"/>
        <w:rPr>
          <w:b/>
          <w:bCs/>
          <w:noProof/>
          <w:sz w:val="22"/>
          <w:szCs w:val="22"/>
        </w:rPr>
      </w:pPr>
    </w:p>
    <w:p w14:paraId="7A30F489" w14:textId="55ACA4F3" w:rsidR="00645BEC" w:rsidRDefault="00645BEC" w:rsidP="000361CD">
      <w:pPr>
        <w:jc w:val="both"/>
        <w:rPr>
          <w:b/>
          <w:bCs/>
          <w:noProof/>
          <w:sz w:val="22"/>
          <w:szCs w:val="22"/>
        </w:rPr>
      </w:pPr>
      <w:r>
        <w:rPr>
          <w:b/>
          <w:bCs/>
          <w:noProof/>
          <w:sz w:val="22"/>
          <w:szCs w:val="22"/>
        </w:rPr>
        <w:drawing>
          <wp:inline distT="0" distB="0" distL="0" distR="0" wp14:anchorId="5B40DBA3" wp14:editId="68E5602E">
            <wp:extent cx="4229100" cy="3958196"/>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tretch>
                      <a:fillRect/>
                    </a:stretch>
                  </pic:blipFill>
                  <pic:spPr>
                    <a:xfrm>
                      <a:off x="0" y="0"/>
                      <a:ext cx="4255214" cy="3982637"/>
                    </a:xfrm>
                    <a:prstGeom prst="rect">
                      <a:avLst/>
                    </a:prstGeom>
                  </pic:spPr>
                </pic:pic>
              </a:graphicData>
            </a:graphic>
          </wp:inline>
        </w:drawing>
      </w:r>
    </w:p>
    <w:p w14:paraId="0EDE79BA" w14:textId="07F07ACA" w:rsidR="00645BEC" w:rsidRDefault="00645BEC" w:rsidP="000361CD">
      <w:pPr>
        <w:jc w:val="both"/>
        <w:rPr>
          <w:b/>
          <w:bCs/>
          <w:noProof/>
          <w:sz w:val="22"/>
          <w:szCs w:val="22"/>
        </w:rPr>
      </w:pPr>
    </w:p>
    <w:p w14:paraId="457F1A84" w14:textId="0432BEB9" w:rsidR="00E3639F" w:rsidRPr="000361CD" w:rsidRDefault="000361CD" w:rsidP="000361CD">
      <w:pPr>
        <w:jc w:val="both"/>
        <w:rPr>
          <w:noProof/>
          <w:sz w:val="22"/>
          <w:szCs w:val="22"/>
        </w:rPr>
      </w:pPr>
      <w:r w:rsidRPr="000361CD">
        <w:rPr>
          <w:b/>
          <w:bCs/>
          <w:noProof/>
          <w:sz w:val="22"/>
          <w:szCs w:val="22"/>
        </w:rPr>
        <w:t xml:space="preserve">Supplementary Figure </w:t>
      </w:r>
      <w:r w:rsidR="00645BEC">
        <w:rPr>
          <w:b/>
          <w:bCs/>
          <w:noProof/>
          <w:sz w:val="22"/>
          <w:szCs w:val="22"/>
        </w:rPr>
        <w:t>5</w:t>
      </w:r>
      <w:r w:rsidR="00E92E34">
        <w:rPr>
          <w:b/>
          <w:bCs/>
          <w:noProof/>
          <w:sz w:val="22"/>
          <w:szCs w:val="22"/>
        </w:rPr>
        <w:t>.</w:t>
      </w:r>
      <w:r>
        <w:rPr>
          <w:noProof/>
          <w:sz w:val="22"/>
          <w:szCs w:val="22"/>
        </w:rPr>
        <w:t xml:space="preserve"> </w:t>
      </w:r>
      <w:r w:rsidRPr="000361CD">
        <w:rPr>
          <w:noProof/>
          <w:sz w:val="22"/>
          <w:szCs w:val="22"/>
        </w:rPr>
        <w:t xml:space="preserve">The reliability of predictive voxels on the Leave-Site Out analysis was plotted via a cross-validation ratio map, using FreeView (version 5.3 http://surfer.nmr.mgh.harvard.edu/) to overlay the maps on the single-participant template. </w:t>
      </w:r>
      <w:r>
        <w:rPr>
          <w:noProof/>
          <w:sz w:val="22"/>
          <w:szCs w:val="22"/>
        </w:rPr>
        <w:t xml:space="preserve">A </w:t>
      </w:r>
      <w:r w:rsidRPr="000361CD">
        <w:rPr>
          <w:noProof/>
          <w:sz w:val="22"/>
          <w:szCs w:val="22"/>
        </w:rPr>
        <w:t>threshold of ±2, which corresponded</w:t>
      </w:r>
      <w:r>
        <w:rPr>
          <w:noProof/>
          <w:sz w:val="22"/>
          <w:szCs w:val="22"/>
        </w:rPr>
        <w:t xml:space="preserve"> </w:t>
      </w:r>
      <w:r w:rsidRPr="000361CD">
        <w:rPr>
          <w:noProof/>
          <w:sz w:val="22"/>
          <w:szCs w:val="22"/>
        </w:rPr>
        <w:t>to an α</w:t>
      </w:r>
      <w:r w:rsidR="0079203A">
        <w:rPr>
          <w:noProof/>
          <w:sz w:val="22"/>
          <w:szCs w:val="22"/>
        </w:rPr>
        <w:t>-</w:t>
      </w:r>
      <w:r w:rsidRPr="000361CD">
        <w:rPr>
          <w:noProof/>
          <w:sz w:val="22"/>
          <w:szCs w:val="22"/>
        </w:rPr>
        <w:t>level of .05</w:t>
      </w:r>
      <w:r>
        <w:rPr>
          <w:noProof/>
          <w:sz w:val="22"/>
          <w:szCs w:val="22"/>
        </w:rPr>
        <w:t xml:space="preserve"> was set</w:t>
      </w:r>
      <w:r w:rsidR="009F2179">
        <w:rPr>
          <w:noProof/>
          <w:sz w:val="22"/>
          <w:szCs w:val="22"/>
        </w:rPr>
        <w:t>, as presented by Koutsouleris et al.</w:t>
      </w:r>
      <w:r w:rsidR="005913ED">
        <w:rPr>
          <w:noProof/>
          <w:sz w:val="22"/>
          <w:szCs w:val="22"/>
        </w:rPr>
        <w:fldChar w:fldCharType="begin" w:fldLock="1"/>
      </w:r>
      <w:r w:rsidR="00E4073A">
        <w:rPr>
          <w:noProof/>
          <w:sz w:val="22"/>
          <w:szCs w:val="22"/>
        </w:rPr>
        <w:instrText>ADDIN CSL_CITATION {"citationItems":[{"id":"ITEM-1","itemData":{"DOI":"10.1001/jamapsychiatry.2018.2165","ISSN":"2168-622X","PMID":"30267047","abstract":"Importance Social and occupational impairments contribute to the burden of psychosis and depression. There is a need for risk stratification tools to inform personalized functional-disability preventive strategies for individuals in at-risk and early phases of these illnesses. Objective To determine whether predictors associated with social and role functioning can be identified in patients in clinical high-risk (CHR) states for psychosis or with recent-onset depression (ROD) using clinical, imaging-based, and combined machine learning; assess the geographic, transdiagnostic, and prognostic generalizability of machine learning and compare it with human prognostication; and explore sequential prognosis encompassing clinical and combined machine learning. Design, Setting, and Participants This multisite naturalistic study followed up patients in CHR states, with ROD, and with recent-onset psychosis, and healthy control participants for 18 months in 7 academic early-recognition services in 5 European countries. Participants were recruited between February 2014 and May 2016, and data were analyzed from April 2017 to January 2018. ain Outcomes and Measures Performance and generalizability of prognostic models. Results A total of 116 individuals in CHR states (mean [SD] age, 24.0 [5.1] years; 58 [50.0%] female) and 120 patients with ROD (mean [SD] age, 26.1 [6.1] years; 65 [54.2%] female) were followed up for a mean (SD) of 329 (142) days. Machine learning predicted the 1-year social-functioning outcomes with a balanced accuracy of 76.9% of patients in CHR states and 66.2% of patients with ROD using clinical baseline data. Balanced accuracy in models using structural neuroimaging was 76.2% in patients in CHR states and 65.0% in patients with ROD, and in combined models, it was 82.7% for CHR states and 70.3% for ROD. Lower functioning before study entry was a transdiagnostic predictor. Medial prefrontal and temporo-parieto-occipital gray matter volume (GMV) reductions and cerebellar and dorsolateral prefrontal GMV increments had predictive value in the CHR group; reduced mediotemporal and increased prefrontal-perisylvian GMV had predictive value in patients with ROD. Poor prognoses were associated with increased risk of psychotic, depressive, and anxiety disorders at follow-up in patients in the CHR state but not ones with ROD. Machine learning outperformed expert prognostication. Adding neuroimaging machine learning to clinical machine learning provided a 1.9…","author":[{"dropping-particle":"","family":"Koutsouleris","given":"Nikolaos","non-dropping-particle":"","parse-names":false,"suffix":""},{"dropping-particle":"","family":"Kambeitz-Ilankovic","given":"Lana","non-dropping-particle":"","parse-names":false,"suffix":""},{"dropping-particle":"","family":"Ruhrmann","given":"Stephan","non-dropping-particle":"","parse-names":false,"suffix":""},{"dropping-particle":"","family":"Rosen","given":"Marlene","non-dropping-particle":"","parse-names":false,"suffix":""},{"dropping-particle":"","family":"Ruef","given":"Anne","non-dropping-particle":"","parse-names":false,"suffix":""},{"dropping-particle":"","family":"Dwyer","given":"Dominic B.","non-dropping-particle":"","parse-names":false,"suffix":""},{"dropping-particle":"","family":"Paolini","given":"Marco","non-dropping-particle":"","parse-names":false,"suffix":""},{"dropping-particle":"","family":"Chisholm","given":"Katharine","non-dropping-particle":"","parse-names":false,"suffix":""},{"dropping-particle":"","family":"Kambeitz","given":"Joseph","non-dropping-particle":"","parse-names":false,"suffix":""},{"dropping-particle":"","family":"Haidl","given":"Theresa","non-dropping-particle":"","parse-names":false,"suffix":""},{"dropping-particle":"","family":"Schmidt","given":"André","non-dropping-particle":"","parse-names":false,"suffix":""},{"dropping-particle":"","family":"Gillam","given":"John","non-dropping-particle":"","parse-names":false,"suffix":""},{"dropping-particle":"","family":"Schultze-Lutter","given":"Frauke","non-dropping-particle":"","parse-names":false,"suffix":""},{"dropping-particle":"","family":"Falkai","given":"Peter","non-dropping-particle":"","parse-names":false,"suffix":""},{"dropping-particle":"","family":"Reiser","given":"Maximilian","non-dropping-particle":"","parse-names":false,"suffix":""},{"dropping-particle":"","family":"Riecher-Rössler","given":"Anita","non-dropping-particle":"","parse-names":false,"suffix":""},{"dropping-particle":"","family":"Upthegrove","given":"Rachel","non-dropping-particle":"","parse-names":false,"suffix":""},{"dropping-particle":"","family":"Hietala","given":"Jarmo","non-dropping-particle":"","parse-names":false,"suffix":""},{"dropping-particle":"","family":"Salokangas","given":"Raimo K. R.","non-dropping-particle":"","parse-names":false,"suffix":""},{"dropping-particle":"","family":"Pantelis","given":"Christos","non-dropping-particle":"","parse-names":false,"suffix":""},{"dropping-particle":"","family":"Meisenzahl","given":"Eva","non-dropping-particle":"","parse-names":false,"suffix":""},{"dropping-particle":"","family":"Wood","given":"Stephen J.","non-dropping-particle":"","parse-names":false,"suffix":""},{"dropping-particle":"","family":"Beque","given":"Dirk","non-dropping-particle":"","parse-names":false,"suffix":""},{"dropping-particle":"","family":"Brambilla","given":"Paolo","non-dropping-particle":"","parse-names":false,"suffix":""},{"dropping-particle":"","family":"Borgwardt","given":"Stefan","non-dropping-particle":"","parse-names":false,"suffix":""},{"dropping-particle":"","family":"PRONIA Consortium","given":"","non-dropping-particle":"","parse-names":false,"suffix":""}],"container-title":"JAMA Psychiatry","id":"ITEM-1","issue":"11","issued":{"date-parts":[["2018","11","1"]]},"page":"1156","title":"Prediction Models of Functional Outcomes for Individuals in the Clinical High-Risk State for Psychosis or With Recent-Onset Depression","type":"article-journal","volume":"75"},"uris":["http://www.mendeley.com/documents/?uuid=461498b8-21c1-3e4a-bad8-50698c3abe17"]}],"mendeley":{"formattedCitation":"(Koutsouleris et al., 2018)","plainTextFormattedCitation":"(Koutsouleris et al., 2018)","previouslyFormattedCitation":"(Koutsouleris et al., 2018)"},"properties":{"noteIndex":0},"schema":"https://github.com/citation-style-language/schema/raw/master/csl-citation.json"}</w:instrText>
      </w:r>
      <w:r w:rsidR="005913ED">
        <w:rPr>
          <w:noProof/>
          <w:sz w:val="22"/>
          <w:szCs w:val="22"/>
        </w:rPr>
        <w:fldChar w:fldCharType="separate"/>
      </w:r>
      <w:r w:rsidR="00A24C43" w:rsidRPr="00A24C43">
        <w:rPr>
          <w:noProof/>
          <w:sz w:val="22"/>
          <w:szCs w:val="22"/>
        </w:rPr>
        <w:t>(Koutsouleris et al., 2018)</w:t>
      </w:r>
      <w:r w:rsidR="005913ED">
        <w:rPr>
          <w:noProof/>
          <w:sz w:val="22"/>
          <w:szCs w:val="22"/>
        </w:rPr>
        <w:fldChar w:fldCharType="end"/>
      </w:r>
      <w:r>
        <w:rPr>
          <w:noProof/>
          <w:sz w:val="22"/>
          <w:szCs w:val="22"/>
        </w:rPr>
        <w:t xml:space="preserve">. In this way, only significant voxels after CV are presented. </w:t>
      </w:r>
      <w:r w:rsidR="00466AAF">
        <w:rPr>
          <w:noProof/>
          <w:sz w:val="22"/>
          <w:szCs w:val="22"/>
        </w:rPr>
        <w:t>The c</w:t>
      </w:r>
      <w:r w:rsidRPr="000361CD">
        <w:rPr>
          <w:noProof/>
          <w:sz w:val="22"/>
          <w:szCs w:val="22"/>
        </w:rPr>
        <w:t>olor scale indicate</w:t>
      </w:r>
      <w:r w:rsidR="00466AAF">
        <w:rPr>
          <w:noProof/>
          <w:sz w:val="22"/>
          <w:szCs w:val="22"/>
        </w:rPr>
        <w:t>s</w:t>
      </w:r>
      <w:r w:rsidRPr="000361CD">
        <w:rPr>
          <w:noProof/>
          <w:sz w:val="22"/>
          <w:szCs w:val="22"/>
        </w:rPr>
        <w:t xml:space="preserve"> increased </w:t>
      </w:r>
      <w:r w:rsidRPr="008234DD">
        <w:rPr>
          <w:i/>
          <w:noProof/>
          <w:sz w:val="22"/>
          <w:szCs w:val="22"/>
        </w:rPr>
        <w:t>vs</w:t>
      </w:r>
      <w:r w:rsidR="0079203A">
        <w:rPr>
          <w:noProof/>
          <w:sz w:val="22"/>
          <w:szCs w:val="22"/>
        </w:rPr>
        <w:t>.</w:t>
      </w:r>
      <w:r w:rsidRPr="000361CD">
        <w:rPr>
          <w:noProof/>
          <w:sz w:val="22"/>
          <w:szCs w:val="22"/>
        </w:rPr>
        <w:t xml:space="preserve"> decreased thickness in individuals with FEP compared with HC. The cool color scale indicates reduced thickness and the warm color scale increased thickness in FEP compared to HC. Subpanels 1a and 1b show the external surface of the brain, with cluster of voxels in the superior temporal</w:t>
      </w:r>
      <w:r>
        <w:rPr>
          <w:noProof/>
          <w:sz w:val="22"/>
          <w:szCs w:val="22"/>
        </w:rPr>
        <w:t xml:space="preserve"> and planum temporale</w:t>
      </w:r>
      <w:r w:rsidRPr="000361CD">
        <w:rPr>
          <w:noProof/>
          <w:sz w:val="22"/>
          <w:szCs w:val="22"/>
        </w:rPr>
        <w:t xml:space="preserve">. Subpanels 2a and 2b show the ventral surface of the brain, </w:t>
      </w:r>
      <w:r>
        <w:rPr>
          <w:noProof/>
          <w:sz w:val="22"/>
          <w:szCs w:val="22"/>
        </w:rPr>
        <w:t xml:space="preserve">while </w:t>
      </w:r>
      <w:r w:rsidRPr="000361CD">
        <w:rPr>
          <w:noProof/>
          <w:sz w:val="22"/>
          <w:szCs w:val="22"/>
        </w:rPr>
        <w:t xml:space="preserve">subpanels 3a and 3b show the superior and inferior surface of the brain, </w:t>
      </w:r>
      <w:r>
        <w:rPr>
          <w:noProof/>
          <w:sz w:val="22"/>
          <w:szCs w:val="22"/>
        </w:rPr>
        <w:t>where so significant vowels are present</w:t>
      </w:r>
      <w:r w:rsidRPr="000361CD">
        <w:rPr>
          <w:noProof/>
          <w:sz w:val="22"/>
          <w:szCs w:val="22"/>
        </w:rPr>
        <w:t xml:space="preserve">.  </w:t>
      </w:r>
    </w:p>
    <w:p w14:paraId="6E60DF1E" w14:textId="155C663B" w:rsidR="00E3639F" w:rsidRDefault="00E3639F" w:rsidP="00B10589">
      <w:pPr>
        <w:rPr>
          <w:noProof/>
        </w:rPr>
      </w:pPr>
    </w:p>
    <w:p w14:paraId="14CAA14E" w14:textId="3C9AE5D5" w:rsidR="00E3639F" w:rsidRDefault="00E3639F" w:rsidP="00B10589">
      <w:pPr>
        <w:rPr>
          <w:noProof/>
        </w:rPr>
      </w:pPr>
    </w:p>
    <w:p w14:paraId="1D6FF492" w14:textId="5B4002E2" w:rsidR="00E3639F" w:rsidRDefault="00E3639F" w:rsidP="00B10589">
      <w:pPr>
        <w:rPr>
          <w:noProof/>
        </w:rPr>
      </w:pPr>
    </w:p>
    <w:p w14:paraId="41BB8DAA" w14:textId="6A75E14E" w:rsidR="000361CD" w:rsidRDefault="000361CD" w:rsidP="00991AE6">
      <w:pPr>
        <w:jc w:val="center"/>
        <w:rPr>
          <w:noProof/>
        </w:rPr>
      </w:pPr>
      <w:r>
        <w:rPr>
          <w:noProof/>
          <w:lang w:val="de-DE"/>
        </w:rPr>
        <w:drawing>
          <wp:inline distT="0" distB="0" distL="0" distR="0" wp14:anchorId="47515D81" wp14:editId="0005B13A">
            <wp:extent cx="4759538" cy="6002509"/>
            <wp:effectExtent l="0" t="0" r="3175" b="0"/>
            <wp:docPr id="1" name="Immagine 1" descr="Immagine che contiene frutta, fotografia, noccio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_TraschG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0218" cy="6015978"/>
                    </a:xfrm>
                    <a:prstGeom prst="rect">
                      <a:avLst/>
                    </a:prstGeom>
                  </pic:spPr>
                </pic:pic>
              </a:graphicData>
            </a:graphic>
          </wp:inline>
        </w:drawing>
      </w:r>
    </w:p>
    <w:p w14:paraId="6EB3FBA4" w14:textId="09C9A856" w:rsidR="000361CD" w:rsidRDefault="000361CD" w:rsidP="00B10589">
      <w:pPr>
        <w:rPr>
          <w:noProof/>
        </w:rPr>
      </w:pPr>
    </w:p>
    <w:p w14:paraId="184B9222" w14:textId="2631E03F" w:rsidR="000361CD" w:rsidRDefault="000361CD" w:rsidP="00B10589">
      <w:pPr>
        <w:rPr>
          <w:noProof/>
        </w:rPr>
      </w:pPr>
    </w:p>
    <w:p w14:paraId="01B7385F" w14:textId="29CB771B" w:rsidR="000361CD" w:rsidRDefault="000361CD">
      <w:pPr>
        <w:spacing w:after="160" w:line="259" w:lineRule="auto"/>
        <w:rPr>
          <w:noProof/>
        </w:rPr>
      </w:pPr>
    </w:p>
    <w:p w14:paraId="67FE4F55" w14:textId="1D6E4C24" w:rsidR="00B9291D" w:rsidRPr="004C7A83" w:rsidRDefault="00BA5666">
      <w:pPr>
        <w:rPr>
          <w:b/>
        </w:rPr>
      </w:pPr>
      <w:r w:rsidRPr="004C7A83">
        <w:rPr>
          <w:b/>
        </w:rPr>
        <w:lastRenderedPageBreak/>
        <w:t>References</w:t>
      </w:r>
    </w:p>
    <w:p w14:paraId="22E75E4C" w14:textId="1FE69292" w:rsidR="00E4073A" w:rsidRPr="00E4073A" w:rsidRDefault="005913ED" w:rsidP="00E4073A">
      <w:pPr>
        <w:widowControl w:val="0"/>
        <w:autoSpaceDE w:val="0"/>
        <w:autoSpaceDN w:val="0"/>
        <w:adjustRightInd w:val="0"/>
        <w:ind w:left="480" w:hanging="480"/>
        <w:rPr>
          <w:rFonts w:ascii="Calibri" w:hAnsi="Calibri" w:cs="Calibri"/>
          <w:noProof/>
        </w:rPr>
      </w:pPr>
      <w:r>
        <w:fldChar w:fldCharType="begin" w:fldLock="1"/>
      </w:r>
      <w:r>
        <w:instrText xml:space="preserve">ADDIN Mendeley Bibliography CSL_BIBLIOGRAPHY </w:instrText>
      </w:r>
      <w:r>
        <w:fldChar w:fldCharType="separate"/>
      </w:r>
      <w:r w:rsidR="00E4073A" w:rsidRPr="00E4073A">
        <w:rPr>
          <w:rFonts w:ascii="Calibri" w:hAnsi="Calibri" w:cs="Calibri"/>
          <w:noProof/>
        </w:rPr>
        <w:t>Dwyer, Dominic B, Cabral, C., Kambeitz-Ilankovic, L., Sanfelici, R., Kambeitz, J., Calhoun, V., Falkai, P., Pantelis, C., Meisenzahl, E., Koutsouleris, N., 2018. Brain Subtyping Enhances The Neuroanatomical Discrimination of Schizophrenia. Schizophr. Bull. 44, 1060–1069. https://doi.org/10.1093/schbul/sby008</w:t>
      </w:r>
    </w:p>
    <w:p w14:paraId="211943D5"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Dwyer, Dominic B., Falkai, P., Koutsouleris, N., 2018. Machine Learning Approaches for Clinical Psychology and Psychiatry. Annu. Rev. Clin. Psychol. 14, 91–118. https://doi.org/10.1146/annurev-clinpsy-032816-045037</w:t>
      </w:r>
    </w:p>
    <w:p w14:paraId="614BFB06"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Folstein, M.F., Folstein, S.E., McHugh, P.R., 1975. &amp;quot;Mini-mental state&amp;quot;. A practical method for grading the cognitive state of patients for the clinician. J. Psychiatr. Res. 12, 189–98.</w:t>
      </w:r>
    </w:p>
    <w:p w14:paraId="3AE9FB4F"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Gorgens, K.A., 2011. Structured Clinical Interview For DSM-IV (SCID-I/SCID-II), in: Encyclopedia of Clinical Neuropsychology. Springer New York, New York, NY, pp. 2410–2417. https://doi.org/10.1007/978-0-387-79948-3_2011</w:t>
      </w:r>
    </w:p>
    <w:p w14:paraId="3D5ACF47"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Hansen, L.K., Larsen, J., Nielsen, F.A., Strother, S.C., Rostrup, E., Savoy, R., Lange, N., Sidtis, J., Svarer, C., Paulson, O.B., 1999. Generalizable patterns in neuroimaging: how many principal components? Neuroimage 9, 534–44. https://doi.org/10.1006/nimg.1998.0425</w:t>
      </w:r>
    </w:p>
    <w:p w14:paraId="5FCEBEDE"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Jablensky, A., Sartorius, N., Ernberg, G., Anker, M., Korten, A., Cooper, J.E., Day, R., Bertelsen, A., 1992. Schizophrenia: manifestations, incidence and course in different cultures. A World Health Organization ten-country study. Psychol. Med. Monogr. Suppl. 20, 1–97.</w:t>
      </w:r>
    </w:p>
    <w:p w14:paraId="197D2FF4"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Kambeitz-Ilankovic, L., Haas, S.S., Meisenzahl, E., Dwyer, D.B., Weiske, J., Peters, H., Möller, H.-J., Falkai, P., Koutsouleris, N., 2019. Neurocognitive and neuroanatomical maturation in the clinical high-risk states for psychosis: A pattern recognition study. NeuroImage. Clin. 21, 101624. https://doi.org/10.1016/j.nicl.2018.101624</w:t>
      </w:r>
    </w:p>
    <w:p w14:paraId="72A56D4B"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Koutsouleris, N., Davatzikos, C., Borgwardt, S., Gaser, C., Bottlender, R., Frodl, T., Falkai, P., Riecher-Rössler, A., Möller, H.-J., Reiser, M., Pantelis, C., Meisenzahl, E., 2014. Accelerated brain aging in schizophrenia and beyond: a neuroanatomical marker of psychiatric disorders. Schizophr. Bull. 40, 1140–53. https://doi.org/10.1093/schbul/sbt142</w:t>
      </w:r>
    </w:p>
    <w:p w14:paraId="4F5EC54A"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Koutsouleris, N., Kahn, R.S., Chekroud, A.M., Leucht, S., Falkai, P., Wobrock, T., Derks, E.M., Fleischhacker, W.W., Hasan, A., 2016. Multisite prediction of 4-week and 52-week treatment outcomes in patients with first-episode psychosis: a machine learning approach. The Lancet Psychiatry 3, 935–946. https://doi.org/10.1016/S2215-0366(16)30171-7</w:t>
      </w:r>
    </w:p>
    <w:p w14:paraId="01C38938" w14:textId="77777777" w:rsidR="00E4073A" w:rsidRPr="00D91740" w:rsidRDefault="00E4073A" w:rsidP="00E4073A">
      <w:pPr>
        <w:widowControl w:val="0"/>
        <w:autoSpaceDE w:val="0"/>
        <w:autoSpaceDN w:val="0"/>
        <w:adjustRightInd w:val="0"/>
        <w:ind w:left="480" w:hanging="480"/>
        <w:rPr>
          <w:rFonts w:ascii="Calibri" w:hAnsi="Calibri" w:cs="Calibri"/>
          <w:noProof/>
          <w:lang w:val="it-IT"/>
        </w:rPr>
      </w:pPr>
      <w:r w:rsidRPr="00E4073A">
        <w:rPr>
          <w:rFonts w:ascii="Calibri" w:hAnsi="Calibri" w:cs="Calibri"/>
          <w:noProof/>
        </w:rPr>
        <w:t xml:space="preserve">Koutsouleris, N., Kambeitz-Ilankovic, L., Ruhrmann, S., Rosen, M., Ruef, A., Dwyer, D.B., Paolini, M., Chisholm, K., Kambeitz, J., Haidl, T., Schmidt, A., Gillam, J., Schultze-Lutter, F., Falkai, P., Reiser, M., Riecher-Rössler, A., Upthegrove, R., Hietala, J., Salokangas, R.K.R., Pantelis, C., Meisenzahl, E., Wood, S.J., Beque, D., Brambilla, P., Borgwardt, S., PRONIA Consortium, 2018. Prediction Models of Functional Outcomes for Individuals in the Clinical High-Risk State for Psychosis or With Recent-Onset Depression. </w:t>
      </w:r>
      <w:r w:rsidRPr="00D91740">
        <w:rPr>
          <w:rFonts w:ascii="Calibri" w:hAnsi="Calibri" w:cs="Calibri"/>
          <w:noProof/>
          <w:lang w:val="it-IT"/>
        </w:rPr>
        <w:t>JAMA Psychiatry 75, 1156. https://doi.org/10.1001/jamapsychiatry.2018.2165</w:t>
      </w:r>
    </w:p>
    <w:p w14:paraId="4573DAF2"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D91740">
        <w:rPr>
          <w:rFonts w:ascii="Calibri" w:hAnsi="Calibri" w:cs="Calibri"/>
          <w:noProof/>
          <w:lang w:val="it-IT"/>
        </w:rPr>
        <w:t xml:space="preserve">Lasalvia, A., Tosato, S., Brambilla, P., Bertani, M., Bonetto, C., Cristofalo, D., Bissoli, S., De Santi, K., Lazzarotto, L., Zanatta, G., Marrella, G., Mazzoncini, R., Zanoni, M., Garzotto, N., Dolce, C., Nicolau, S., Ramon, L., Perlini, C., Rambaldelli, G., Bellani, M., Tansella, M., Ruggeri, M., 2012. </w:t>
      </w:r>
      <w:r w:rsidRPr="00E4073A">
        <w:rPr>
          <w:rFonts w:ascii="Calibri" w:hAnsi="Calibri" w:cs="Calibri"/>
          <w:noProof/>
        </w:rPr>
        <w:t>Psychosis Incident Cohort Outcome Study (PICOS). A multisite study of clinical, social and biological characteristics, patterns of care and predictors of outcome in first-episode psychosis. Background, methodology and overview of the patient sample. Epidemiol. Psychiatr. Sci. 21, 281–303. https://doi.org/10.1017/S2045796012000315</w:t>
      </w:r>
    </w:p>
    <w:p w14:paraId="08A35933"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Lever, J., Krzywinski, M., Altman, N., 2017. Principal component analysis. Nat. Methods 14, 641–642. https://doi.org/10.1038/nmeth.4346</w:t>
      </w:r>
    </w:p>
    <w:p w14:paraId="7DA1B77D"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D91740">
        <w:rPr>
          <w:rFonts w:ascii="Calibri" w:hAnsi="Calibri" w:cs="Calibri"/>
          <w:noProof/>
          <w:lang w:val="it-IT"/>
        </w:rPr>
        <w:lastRenderedPageBreak/>
        <w:t xml:space="preserve">Magni, E., Binetti, G., Bianchetti, A., Rozzini, R., Trabucchi, M., 1996. </w:t>
      </w:r>
      <w:r w:rsidRPr="00E4073A">
        <w:rPr>
          <w:rFonts w:ascii="Calibri" w:hAnsi="Calibri" w:cs="Calibri"/>
          <w:noProof/>
        </w:rPr>
        <w:t>Mini-Mental State Examination: a normative study in Italian elderly population. Eur. J. Neurol. 3, 198–202. https://doi.org/10.1111/j.1468-1331.1996.tb00423.x</w:t>
      </w:r>
    </w:p>
    <w:p w14:paraId="40093EEE"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Rosen, A.F.G., Roalf, D.R., Ruparel, K., Blake, J., Seelaus, K., Villa, L.P., Ciric, R., Cook, P.A., Davatzikos, C., Elliott, M.A., Garcia de La Garza, A., Gennatas, E.D., Quarmley, M., Schmitt, J.E., Shinohara, R.T., Tisdall, M.D., Craddock, R.C., Gur, R.E., Gur, R.C., Satterthwaite, T.D., 2018. Quantitative assessment of structural image quality. Neuroimage 169, 407–418. https://doi.org/10.1016/j.neuroimage.2017.12.059</w:t>
      </w:r>
    </w:p>
    <w:p w14:paraId="3DC00881"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Ruschhaupt, M., Huber, W., Poustka, A., Mansmann, U., 2004. A compendium to ensure computational reproducibility in high-dimensional classification tasks. Stat. Appl. Genet. Mol. Biol. 3, Article37. https://doi.org/10.2202/1544-6115.1078</w:t>
      </w:r>
    </w:p>
    <w:p w14:paraId="0B1300C0"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Savalia, N.K., Agres, P.F., Chan, M.Y., Feczko, E.J., Kennedy, K.M., Wig, G.S., 2017. Motion-related artifacts in structural brain images revealed with independent estimates of in-scanner head motion. Hum. Brain Mapp. 38, 472–492. https://doi.org/10.1002/hbm.23397</w:t>
      </w:r>
    </w:p>
    <w:p w14:paraId="73108EF4"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Schnack, H.G., Kahn, R.S., 2016. Detecting Neuroimaging Biomarkers for Psychiatric Disorders: Sample Size Matters. Front. psychiatry 7, 50. https://doi.org/10.3389/fpsyt.2016.00050</w:t>
      </w:r>
    </w:p>
    <w:p w14:paraId="5D49123C"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Sheehan, D. V, Lecrubier, Y., Sheehan, K.H., Amorim, P., Janavs, J., Weiller, E., Hergueta, T., Baker, R., Dunbar, G.C., 1998. The Mini-International Neuropsychiatric Interview (M.I.N.I.): the development and validation of a structured diagnostic psychiatric interview for DSM-IV and ICD-10. J. Clin. Psychiatry 59 Suppl 20, 22-33;quiz 34-57.</w:t>
      </w:r>
    </w:p>
    <w:p w14:paraId="574D81B4" w14:textId="77777777" w:rsidR="00E4073A" w:rsidRPr="00E4073A" w:rsidRDefault="00E4073A" w:rsidP="00E4073A">
      <w:pPr>
        <w:widowControl w:val="0"/>
        <w:autoSpaceDE w:val="0"/>
        <w:autoSpaceDN w:val="0"/>
        <w:adjustRightInd w:val="0"/>
        <w:ind w:left="480" w:hanging="480"/>
        <w:rPr>
          <w:rFonts w:ascii="Calibri" w:hAnsi="Calibri" w:cs="Calibri"/>
          <w:noProof/>
        </w:rPr>
      </w:pPr>
      <w:r w:rsidRPr="00E4073A">
        <w:rPr>
          <w:rFonts w:ascii="Calibri" w:hAnsi="Calibri" w:cs="Calibri"/>
          <w:noProof/>
        </w:rPr>
        <w:t>Tordesillas-Gutierrez, D., Ayesa-Arriola, R., Delgado-Alvarado, M., Robinson, J.L., Lopez-Morinigo, J., Pujol, J., Dominguez-Ballesteros, M.E., David, A.S., Crespo-Facorro, B., 2018. The right occipital lobe and poor insight in first-episode psychosis. PLoS One 13, e0197715. https://doi.org/10.1371/journal.pone.0197715</w:t>
      </w:r>
    </w:p>
    <w:p w14:paraId="21D44FA3" w14:textId="59D18DA4" w:rsidR="004C7A83" w:rsidRDefault="005913ED" w:rsidP="001A502E">
      <w:r>
        <w:fldChar w:fldCharType="end"/>
      </w:r>
    </w:p>
    <w:sectPr w:rsidR="004C7A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31DBC"/>
    <w:multiLevelType w:val="hybridMultilevel"/>
    <w:tmpl w:val="FD88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C2302"/>
    <w:multiLevelType w:val="hybridMultilevel"/>
    <w:tmpl w:val="61F2FC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A3"/>
    <w:rsid w:val="0000749C"/>
    <w:rsid w:val="00013538"/>
    <w:rsid w:val="000170CC"/>
    <w:rsid w:val="00025C08"/>
    <w:rsid w:val="000361CD"/>
    <w:rsid w:val="00040E1A"/>
    <w:rsid w:val="00045307"/>
    <w:rsid w:val="00045419"/>
    <w:rsid w:val="00061677"/>
    <w:rsid w:val="0008008F"/>
    <w:rsid w:val="000B364E"/>
    <w:rsid w:val="000B7FC9"/>
    <w:rsid w:val="000D0B2E"/>
    <w:rsid w:val="000D46B9"/>
    <w:rsid w:val="000D7265"/>
    <w:rsid w:val="000E3927"/>
    <w:rsid w:val="000F402A"/>
    <w:rsid w:val="000F4151"/>
    <w:rsid w:val="000F52FB"/>
    <w:rsid w:val="0011132C"/>
    <w:rsid w:val="00120C44"/>
    <w:rsid w:val="0013139F"/>
    <w:rsid w:val="0013726C"/>
    <w:rsid w:val="00144ADA"/>
    <w:rsid w:val="001563C9"/>
    <w:rsid w:val="001618D3"/>
    <w:rsid w:val="00164154"/>
    <w:rsid w:val="00167DEF"/>
    <w:rsid w:val="00186033"/>
    <w:rsid w:val="001A502E"/>
    <w:rsid w:val="001B2132"/>
    <w:rsid w:val="001D2B54"/>
    <w:rsid w:val="001F174B"/>
    <w:rsid w:val="001F617D"/>
    <w:rsid w:val="00241AF7"/>
    <w:rsid w:val="00247A1B"/>
    <w:rsid w:val="00254BE7"/>
    <w:rsid w:val="00254FA3"/>
    <w:rsid w:val="00266558"/>
    <w:rsid w:val="00267329"/>
    <w:rsid w:val="00267642"/>
    <w:rsid w:val="002726C9"/>
    <w:rsid w:val="002A0068"/>
    <w:rsid w:val="002A0CB8"/>
    <w:rsid w:val="002D4113"/>
    <w:rsid w:val="002D4667"/>
    <w:rsid w:val="002F1691"/>
    <w:rsid w:val="00300044"/>
    <w:rsid w:val="00307516"/>
    <w:rsid w:val="00312E03"/>
    <w:rsid w:val="00316F90"/>
    <w:rsid w:val="00324DDA"/>
    <w:rsid w:val="00327795"/>
    <w:rsid w:val="00330FAD"/>
    <w:rsid w:val="003312FB"/>
    <w:rsid w:val="00336ACF"/>
    <w:rsid w:val="00342091"/>
    <w:rsid w:val="003576F3"/>
    <w:rsid w:val="0038188C"/>
    <w:rsid w:val="003818E6"/>
    <w:rsid w:val="003A41A6"/>
    <w:rsid w:val="003A62C3"/>
    <w:rsid w:val="003B008F"/>
    <w:rsid w:val="003C5EBD"/>
    <w:rsid w:val="003E0328"/>
    <w:rsid w:val="004000BC"/>
    <w:rsid w:val="00401F76"/>
    <w:rsid w:val="00403A0C"/>
    <w:rsid w:val="00413696"/>
    <w:rsid w:val="00436EF9"/>
    <w:rsid w:val="00437482"/>
    <w:rsid w:val="004465D6"/>
    <w:rsid w:val="00462578"/>
    <w:rsid w:val="00466AAF"/>
    <w:rsid w:val="004770BA"/>
    <w:rsid w:val="00477B64"/>
    <w:rsid w:val="004B7AC7"/>
    <w:rsid w:val="004B7DDD"/>
    <w:rsid w:val="004C0F85"/>
    <w:rsid w:val="004C7A83"/>
    <w:rsid w:val="004D1F7E"/>
    <w:rsid w:val="004D5420"/>
    <w:rsid w:val="004E2D28"/>
    <w:rsid w:val="00504CB0"/>
    <w:rsid w:val="00505069"/>
    <w:rsid w:val="005065B7"/>
    <w:rsid w:val="005132A7"/>
    <w:rsid w:val="00524284"/>
    <w:rsid w:val="00525418"/>
    <w:rsid w:val="0053629D"/>
    <w:rsid w:val="005377EF"/>
    <w:rsid w:val="00564DFB"/>
    <w:rsid w:val="00565280"/>
    <w:rsid w:val="005721AB"/>
    <w:rsid w:val="00577B88"/>
    <w:rsid w:val="005913ED"/>
    <w:rsid w:val="00594062"/>
    <w:rsid w:val="005A3C53"/>
    <w:rsid w:val="005B4B71"/>
    <w:rsid w:val="005C5C66"/>
    <w:rsid w:val="005D4ED4"/>
    <w:rsid w:val="005E1817"/>
    <w:rsid w:val="005F03D7"/>
    <w:rsid w:val="0060094A"/>
    <w:rsid w:val="00604819"/>
    <w:rsid w:val="00625D18"/>
    <w:rsid w:val="00625DEF"/>
    <w:rsid w:val="00642768"/>
    <w:rsid w:val="00644D0B"/>
    <w:rsid w:val="00645BEC"/>
    <w:rsid w:val="00650C83"/>
    <w:rsid w:val="006524E5"/>
    <w:rsid w:val="00655DD4"/>
    <w:rsid w:val="006609F9"/>
    <w:rsid w:val="0066367F"/>
    <w:rsid w:val="006B1140"/>
    <w:rsid w:val="006B34F3"/>
    <w:rsid w:val="006B4F66"/>
    <w:rsid w:val="006D100E"/>
    <w:rsid w:val="0071077D"/>
    <w:rsid w:val="00725BC3"/>
    <w:rsid w:val="00727E44"/>
    <w:rsid w:val="00730A63"/>
    <w:rsid w:val="00736BE5"/>
    <w:rsid w:val="0074365E"/>
    <w:rsid w:val="007500D7"/>
    <w:rsid w:val="0075716B"/>
    <w:rsid w:val="007839AA"/>
    <w:rsid w:val="0079203A"/>
    <w:rsid w:val="007A596F"/>
    <w:rsid w:val="007A5FB8"/>
    <w:rsid w:val="007B391F"/>
    <w:rsid w:val="007B62D6"/>
    <w:rsid w:val="007C5967"/>
    <w:rsid w:val="007F3B6D"/>
    <w:rsid w:val="007F492F"/>
    <w:rsid w:val="00816F28"/>
    <w:rsid w:val="00821755"/>
    <w:rsid w:val="008231D9"/>
    <w:rsid w:val="008234DD"/>
    <w:rsid w:val="0084528F"/>
    <w:rsid w:val="008A16A0"/>
    <w:rsid w:val="008A651F"/>
    <w:rsid w:val="008B3214"/>
    <w:rsid w:val="008C04C3"/>
    <w:rsid w:val="008C6553"/>
    <w:rsid w:val="00907779"/>
    <w:rsid w:val="00916382"/>
    <w:rsid w:val="00923015"/>
    <w:rsid w:val="00923702"/>
    <w:rsid w:val="00933CE3"/>
    <w:rsid w:val="0094285F"/>
    <w:rsid w:val="00961017"/>
    <w:rsid w:val="00966CD8"/>
    <w:rsid w:val="00967CA0"/>
    <w:rsid w:val="00972445"/>
    <w:rsid w:val="00991AE6"/>
    <w:rsid w:val="009A295C"/>
    <w:rsid w:val="009A543D"/>
    <w:rsid w:val="009D0327"/>
    <w:rsid w:val="009D5CF8"/>
    <w:rsid w:val="009E4C6A"/>
    <w:rsid w:val="009E6D04"/>
    <w:rsid w:val="009F2179"/>
    <w:rsid w:val="009F4EFE"/>
    <w:rsid w:val="009F701C"/>
    <w:rsid w:val="00A23814"/>
    <w:rsid w:val="00A24C43"/>
    <w:rsid w:val="00A3199F"/>
    <w:rsid w:val="00A354FD"/>
    <w:rsid w:val="00A46BC5"/>
    <w:rsid w:val="00A544AF"/>
    <w:rsid w:val="00A56FBD"/>
    <w:rsid w:val="00A62B84"/>
    <w:rsid w:val="00AC2B73"/>
    <w:rsid w:val="00AC4443"/>
    <w:rsid w:val="00AC5FCB"/>
    <w:rsid w:val="00AC68E0"/>
    <w:rsid w:val="00AD151C"/>
    <w:rsid w:val="00AF09B7"/>
    <w:rsid w:val="00AF65C4"/>
    <w:rsid w:val="00B06AC5"/>
    <w:rsid w:val="00B10589"/>
    <w:rsid w:val="00B16E9B"/>
    <w:rsid w:val="00B41B2B"/>
    <w:rsid w:val="00B5096E"/>
    <w:rsid w:val="00B65204"/>
    <w:rsid w:val="00B66161"/>
    <w:rsid w:val="00B75B11"/>
    <w:rsid w:val="00B84BEB"/>
    <w:rsid w:val="00B9291D"/>
    <w:rsid w:val="00B93F61"/>
    <w:rsid w:val="00BA5666"/>
    <w:rsid w:val="00BA6111"/>
    <w:rsid w:val="00BA7E8D"/>
    <w:rsid w:val="00BB346F"/>
    <w:rsid w:val="00BB59A6"/>
    <w:rsid w:val="00BD3471"/>
    <w:rsid w:val="00BD6DA2"/>
    <w:rsid w:val="00C02604"/>
    <w:rsid w:val="00C05191"/>
    <w:rsid w:val="00C103AE"/>
    <w:rsid w:val="00C215E7"/>
    <w:rsid w:val="00C3066B"/>
    <w:rsid w:val="00C372B4"/>
    <w:rsid w:val="00C4328A"/>
    <w:rsid w:val="00C772F0"/>
    <w:rsid w:val="00CA0941"/>
    <w:rsid w:val="00CA6DA0"/>
    <w:rsid w:val="00CB5426"/>
    <w:rsid w:val="00CE2A6A"/>
    <w:rsid w:val="00CE73E3"/>
    <w:rsid w:val="00D0283F"/>
    <w:rsid w:val="00D0688E"/>
    <w:rsid w:val="00D26748"/>
    <w:rsid w:val="00D3348B"/>
    <w:rsid w:val="00D438AB"/>
    <w:rsid w:val="00D4481C"/>
    <w:rsid w:val="00D47577"/>
    <w:rsid w:val="00D65598"/>
    <w:rsid w:val="00D66378"/>
    <w:rsid w:val="00D72299"/>
    <w:rsid w:val="00D91740"/>
    <w:rsid w:val="00DB2D9D"/>
    <w:rsid w:val="00DC0DA6"/>
    <w:rsid w:val="00DC254A"/>
    <w:rsid w:val="00DD3C03"/>
    <w:rsid w:val="00DD4903"/>
    <w:rsid w:val="00DD6DC7"/>
    <w:rsid w:val="00DE6C4F"/>
    <w:rsid w:val="00DF7B4B"/>
    <w:rsid w:val="00E04280"/>
    <w:rsid w:val="00E23FD6"/>
    <w:rsid w:val="00E24090"/>
    <w:rsid w:val="00E3639F"/>
    <w:rsid w:val="00E4073A"/>
    <w:rsid w:val="00E40790"/>
    <w:rsid w:val="00E4774D"/>
    <w:rsid w:val="00E54190"/>
    <w:rsid w:val="00E60A5B"/>
    <w:rsid w:val="00E70530"/>
    <w:rsid w:val="00E7608D"/>
    <w:rsid w:val="00E92E34"/>
    <w:rsid w:val="00E9321B"/>
    <w:rsid w:val="00E9627B"/>
    <w:rsid w:val="00EA3F6B"/>
    <w:rsid w:val="00EA571E"/>
    <w:rsid w:val="00EB6A7B"/>
    <w:rsid w:val="00EC6F7F"/>
    <w:rsid w:val="00F124D0"/>
    <w:rsid w:val="00F12DBD"/>
    <w:rsid w:val="00F15F64"/>
    <w:rsid w:val="00F22B7B"/>
    <w:rsid w:val="00F231BE"/>
    <w:rsid w:val="00F607CA"/>
    <w:rsid w:val="00F67F67"/>
    <w:rsid w:val="00F77746"/>
    <w:rsid w:val="00FC43AF"/>
    <w:rsid w:val="00FF1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7A8C"/>
  <w15:docId w15:val="{33C8460E-278D-4BD7-96AE-10C093C7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C03"/>
    <w:pPr>
      <w:spacing w:after="0" w:line="240" w:lineRule="auto"/>
    </w:pPr>
    <w:rPr>
      <w:rFonts w:eastAsiaTheme="minorEastAsia"/>
      <w:sz w:val="24"/>
      <w:szCs w:val="24"/>
      <w:lang w:val="en-US"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04819"/>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3C5EBD"/>
    <w:rPr>
      <w:rFonts w:ascii="Calibri" w:hAnsi="Calibri" w:cs="Calibri" w:hint="default"/>
      <w:b w:val="0"/>
      <w:bCs w:val="0"/>
      <w:i w:val="0"/>
      <w:iCs w:val="0"/>
      <w:color w:val="000000"/>
      <w:sz w:val="16"/>
      <w:szCs w:val="16"/>
    </w:rPr>
  </w:style>
  <w:style w:type="paragraph" w:styleId="Testofumetto">
    <w:name w:val="Balloon Text"/>
    <w:basedOn w:val="Normale"/>
    <w:link w:val="TestofumettoCarattere"/>
    <w:uiPriority w:val="99"/>
    <w:semiHidden/>
    <w:unhideWhenUsed/>
    <w:rsid w:val="00C306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066B"/>
    <w:rPr>
      <w:rFonts w:ascii="Segoe UI" w:eastAsiaTheme="minorEastAsia" w:hAnsi="Segoe UI" w:cs="Segoe UI"/>
      <w:sz w:val="18"/>
      <w:szCs w:val="18"/>
      <w:lang w:val="de-DE" w:eastAsia="de-DE"/>
    </w:rPr>
  </w:style>
  <w:style w:type="paragraph" w:styleId="Paragrafoelenco">
    <w:name w:val="List Paragraph"/>
    <w:basedOn w:val="Normale"/>
    <w:uiPriority w:val="34"/>
    <w:qFormat/>
    <w:rsid w:val="00C4328A"/>
    <w:pPr>
      <w:ind w:left="720"/>
      <w:contextualSpacing/>
    </w:pPr>
  </w:style>
  <w:style w:type="character" w:styleId="Rimandocommento">
    <w:name w:val="annotation reference"/>
    <w:basedOn w:val="Carpredefinitoparagrafo"/>
    <w:uiPriority w:val="99"/>
    <w:semiHidden/>
    <w:unhideWhenUsed/>
    <w:rsid w:val="00A56FBD"/>
    <w:rPr>
      <w:sz w:val="16"/>
      <w:szCs w:val="16"/>
    </w:rPr>
  </w:style>
  <w:style w:type="paragraph" w:styleId="Testocommento">
    <w:name w:val="annotation text"/>
    <w:basedOn w:val="Normale"/>
    <w:link w:val="TestocommentoCarattere"/>
    <w:uiPriority w:val="99"/>
    <w:unhideWhenUsed/>
    <w:rsid w:val="00A56FBD"/>
    <w:rPr>
      <w:sz w:val="20"/>
      <w:szCs w:val="20"/>
    </w:rPr>
  </w:style>
  <w:style w:type="character" w:customStyle="1" w:styleId="TestocommentoCarattere">
    <w:name w:val="Testo commento Carattere"/>
    <w:basedOn w:val="Carpredefinitoparagrafo"/>
    <w:link w:val="Testocommento"/>
    <w:uiPriority w:val="99"/>
    <w:rsid w:val="00A56FBD"/>
    <w:rPr>
      <w:rFonts w:eastAsiaTheme="minorEastAsia"/>
      <w:sz w:val="20"/>
      <w:szCs w:val="20"/>
      <w:lang w:val="en-US" w:eastAsia="de-DE"/>
    </w:rPr>
  </w:style>
  <w:style w:type="paragraph" w:styleId="Soggettocommento">
    <w:name w:val="annotation subject"/>
    <w:basedOn w:val="Testocommento"/>
    <w:next w:val="Testocommento"/>
    <w:link w:val="SoggettocommentoCarattere"/>
    <w:uiPriority w:val="99"/>
    <w:semiHidden/>
    <w:unhideWhenUsed/>
    <w:rsid w:val="00A56FBD"/>
    <w:rPr>
      <w:b/>
      <w:bCs/>
    </w:rPr>
  </w:style>
  <w:style w:type="character" w:customStyle="1" w:styleId="SoggettocommentoCarattere">
    <w:name w:val="Soggetto commento Carattere"/>
    <w:basedOn w:val="TestocommentoCarattere"/>
    <w:link w:val="Soggettocommento"/>
    <w:uiPriority w:val="99"/>
    <w:semiHidden/>
    <w:rsid w:val="00A56FBD"/>
    <w:rPr>
      <w:rFonts w:eastAsiaTheme="minorEastAsia"/>
      <w:b/>
      <w:bCs/>
      <w:sz w:val="20"/>
      <w:szCs w:val="20"/>
      <w:lang w:val="en-US" w:eastAsia="de-DE"/>
    </w:rPr>
  </w:style>
  <w:style w:type="paragraph" w:styleId="Revisione">
    <w:name w:val="Revision"/>
    <w:hidden/>
    <w:uiPriority w:val="99"/>
    <w:semiHidden/>
    <w:rsid w:val="00577B88"/>
    <w:pPr>
      <w:spacing w:after="0" w:line="240" w:lineRule="auto"/>
    </w:pPr>
    <w:rPr>
      <w:rFonts w:eastAsiaTheme="minorEastAsia"/>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179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931">
          <w:marLeft w:val="0"/>
          <w:marRight w:val="0"/>
          <w:marTop w:val="34"/>
          <w:marBottom w:val="34"/>
          <w:divBdr>
            <w:top w:val="none" w:sz="0" w:space="0" w:color="auto"/>
            <w:left w:val="none" w:sz="0" w:space="0" w:color="auto"/>
            <w:bottom w:val="none" w:sz="0" w:space="0" w:color="auto"/>
            <w:right w:val="none" w:sz="0" w:space="0" w:color="auto"/>
          </w:divBdr>
        </w:div>
      </w:divsChild>
    </w:div>
    <w:div w:id="290746514">
      <w:bodyDiv w:val="1"/>
      <w:marLeft w:val="0"/>
      <w:marRight w:val="0"/>
      <w:marTop w:val="0"/>
      <w:marBottom w:val="0"/>
      <w:divBdr>
        <w:top w:val="none" w:sz="0" w:space="0" w:color="auto"/>
        <w:left w:val="none" w:sz="0" w:space="0" w:color="auto"/>
        <w:bottom w:val="none" w:sz="0" w:space="0" w:color="auto"/>
        <w:right w:val="none" w:sz="0" w:space="0" w:color="auto"/>
      </w:divBdr>
    </w:div>
    <w:div w:id="354354197">
      <w:bodyDiv w:val="1"/>
      <w:marLeft w:val="0"/>
      <w:marRight w:val="0"/>
      <w:marTop w:val="0"/>
      <w:marBottom w:val="0"/>
      <w:divBdr>
        <w:top w:val="none" w:sz="0" w:space="0" w:color="auto"/>
        <w:left w:val="none" w:sz="0" w:space="0" w:color="auto"/>
        <w:bottom w:val="none" w:sz="0" w:space="0" w:color="auto"/>
        <w:right w:val="none" w:sz="0" w:space="0" w:color="auto"/>
      </w:divBdr>
    </w:div>
    <w:div w:id="555166146">
      <w:bodyDiv w:val="1"/>
      <w:marLeft w:val="0"/>
      <w:marRight w:val="0"/>
      <w:marTop w:val="0"/>
      <w:marBottom w:val="0"/>
      <w:divBdr>
        <w:top w:val="none" w:sz="0" w:space="0" w:color="auto"/>
        <w:left w:val="none" w:sz="0" w:space="0" w:color="auto"/>
        <w:bottom w:val="none" w:sz="0" w:space="0" w:color="auto"/>
        <w:right w:val="none" w:sz="0" w:space="0" w:color="auto"/>
      </w:divBdr>
    </w:div>
    <w:div w:id="730542957">
      <w:bodyDiv w:val="1"/>
      <w:marLeft w:val="0"/>
      <w:marRight w:val="0"/>
      <w:marTop w:val="0"/>
      <w:marBottom w:val="0"/>
      <w:divBdr>
        <w:top w:val="none" w:sz="0" w:space="0" w:color="auto"/>
        <w:left w:val="none" w:sz="0" w:space="0" w:color="auto"/>
        <w:bottom w:val="none" w:sz="0" w:space="0" w:color="auto"/>
        <w:right w:val="none" w:sz="0" w:space="0" w:color="auto"/>
      </w:divBdr>
    </w:div>
    <w:div w:id="863515493">
      <w:bodyDiv w:val="1"/>
      <w:marLeft w:val="0"/>
      <w:marRight w:val="0"/>
      <w:marTop w:val="0"/>
      <w:marBottom w:val="0"/>
      <w:divBdr>
        <w:top w:val="none" w:sz="0" w:space="0" w:color="auto"/>
        <w:left w:val="none" w:sz="0" w:space="0" w:color="auto"/>
        <w:bottom w:val="none" w:sz="0" w:space="0" w:color="auto"/>
        <w:right w:val="none" w:sz="0" w:space="0" w:color="auto"/>
      </w:divBdr>
      <w:divsChild>
        <w:div w:id="2044476258">
          <w:marLeft w:val="0"/>
          <w:marRight w:val="0"/>
          <w:marTop w:val="34"/>
          <w:marBottom w:val="34"/>
          <w:divBdr>
            <w:top w:val="none" w:sz="0" w:space="0" w:color="auto"/>
            <w:left w:val="none" w:sz="0" w:space="0" w:color="auto"/>
            <w:bottom w:val="none" w:sz="0" w:space="0" w:color="auto"/>
            <w:right w:val="none" w:sz="0" w:space="0" w:color="auto"/>
          </w:divBdr>
        </w:div>
      </w:divsChild>
    </w:div>
    <w:div w:id="1036855376">
      <w:bodyDiv w:val="1"/>
      <w:marLeft w:val="0"/>
      <w:marRight w:val="0"/>
      <w:marTop w:val="0"/>
      <w:marBottom w:val="0"/>
      <w:divBdr>
        <w:top w:val="none" w:sz="0" w:space="0" w:color="auto"/>
        <w:left w:val="none" w:sz="0" w:space="0" w:color="auto"/>
        <w:bottom w:val="none" w:sz="0" w:space="0" w:color="auto"/>
        <w:right w:val="none" w:sz="0" w:space="0" w:color="auto"/>
      </w:divBdr>
      <w:divsChild>
        <w:div w:id="1274902775">
          <w:marLeft w:val="0"/>
          <w:marRight w:val="0"/>
          <w:marTop w:val="34"/>
          <w:marBottom w:val="34"/>
          <w:divBdr>
            <w:top w:val="none" w:sz="0" w:space="0" w:color="auto"/>
            <w:left w:val="none" w:sz="0" w:space="0" w:color="auto"/>
            <w:bottom w:val="none" w:sz="0" w:space="0" w:color="auto"/>
            <w:right w:val="none" w:sz="0" w:space="0" w:color="auto"/>
          </w:divBdr>
        </w:div>
      </w:divsChild>
    </w:div>
    <w:div w:id="1074280517">
      <w:bodyDiv w:val="1"/>
      <w:marLeft w:val="0"/>
      <w:marRight w:val="0"/>
      <w:marTop w:val="0"/>
      <w:marBottom w:val="0"/>
      <w:divBdr>
        <w:top w:val="none" w:sz="0" w:space="0" w:color="auto"/>
        <w:left w:val="none" w:sz="0" w:space="0" w:color="auto"/>
        <w:bottom w:val="none" w:sz="0" w:space="0" w:color="auto"/>
        <w:right w:val="none" w:sz="0" w:space="0" w:color="auto"/>
      </w:divBdr>
    </w:div>
    <w:div w:id="1116874777">
      <w:bodyDiv w:val="1"/>
      <w:marLeft w:val="0"/>
      <w:marRight w:val="0"/>
      <w:marTop w:val="0"/>
      <w:marBottom w:val="0"/>
      <w:divBdr>
        <w:top w:val="none" w:sz="0" w:space="0" w:color="auto"/>
        <w:left w:val="none" w:sz="0" w:space="0" w:color="auto"/>
        <w:bottom w:val="none" w:sz="0" w:space="0" w:color="auto"/>
        <w:right w:val="none" w:sz="0" w:space="0" w:color="auto"/>
      </w:divBdr>
    </w:div>
    <w:div w:id="1230772162">
      <w:bodyDiv w:val="1"/>
      <w:marLeft w:val="0"/>
      <w:marRight w:val="0"/>
      <w:marTop w:val="0"/>
      <w:marBottom w:val="0"/>
      <w:divBdr>
        <w:top w:val="none" w:sz="0" w:space="0" w:color="auto"/>
        <w:left w:val="none" w:sz="0" w:space="0" w:color="auto"/>
        <w:bottom w:val="none" w:sz="0" w:space="0" w:color="auto"/>
        <w:right w:val="none" w:sz="0" w:space="0" w:color="auto"/>
      </w:divBdr>
    </w:div>
    <w:div w:id="1239827996">
      <w:bodyDiv w:val="1"/>
      <w:marLeft w:val="0"/>
      <w:marRight w:val="0"/>
      <w:marTop w:val="0"/>
      <w:marBottom w:val="0"/>
      <w:divBdr>
        <w:top w:val="none" w:sz="0" w:space="0" w:color="auto"/>
        <w:left w:val="none" w:sz="0" w:space="0" w:color="auto"/>
        <w:bottom w:val="none" w:sz="0" w:space="0" w:color="auto"/>
        <w:right w:val="none" w:sz="0" w:space="0" w:color="auto"/>
      </w:divBdr>
    </w:div>
    <w:div w:id="1372001772">
      <w:bodyDiv w:val="1"/>
      <w:marLeft w:val="0"/>
      <w:marRight w:val="0"/>
      <w:marTop w:val="0"/>
      <w:marBottom w:val="0"/>
      <w:divBdr>
        <w:top w:val="none" w:sz="0" w:space="0" w:color="auto"/>
        <w:left w:val="none" w:sz="0" w:space="0" w:color="auto"/>
        <w:bottom w:val="none" w:sz="0" w:space="0" w:color="auto"/>
        <w:right w:val="none" w:sz="0" w:space="0" w:color="auto"/>
      </w:divBdr>
    </w:div>
    <w:div w:id="1593511155">
      <w:bodyDiv w:val="1"/>
      <w:marLeft w:val="0"/>
      <w:marRight w:val="0"/>
      <w:marTop w:val="0"/>
      <w:marBottom w:val="0"/>
      <w:divBdr>
        <w:top w:val="none" w:sz="0" w:space="0" w:color="auto"/>
        <w:left w:val="none" w:sz="0" w:space="0" w:color="auto"/>
        <w:bottom w:val="none" w:sz="0" w:space="0" w:color="auto"/>
        <w:right w:val="none" w:sz="0" w:space="0" w:color="auto"/>
      </w:divBdr>
      <w:divsChild>
        <w:div w:id="876773167">
          <w:marLeft w:val="0"/>
          <w:marRight w:val="0"/>
          <w:marTop w:val="34"/>
          <w:marBottom w:val="34"/>
          <w:divBdr>
            <w:top w:val="none" w:sz="0" w:space="0" w:color="auto"/>
            <w:left w:val="none" w:sz="0" w:space="0" w:color="auto"/>
            <w:bottom w:val="none" w:sz="0" w:space="0" w:color="auto"/>
            <w:right w:val="none" w:sz="0" w:space="0" w:color="auto"/>
          </w:divBdr>
        </w:div>
      </w:divsChild>
    </w:div>
    <w:div w:id="1691294717">
      <w:bodyDiv w:val="1"/>
      <w:marLeft w:val="0"/>
      <w:marRight w:val="0"/>
      <w:marTop w:val="0"/>
      <w:marBottom w:val="0"/>
      <w:divBdr>
        <w:top w:val="none" w:sz="0" w:space="0" w:color="auto"/>
        <w:left w:val="none" w:sz="0" w:space="0" w:color="auto"/>
        <w:bottom w:val="none" w:sz="0" w:space="0" w:color="auto"/>
        <w:right w:val="none" w:sz="0" w:space="0" w:color="auto"/>
      </w:divBdr>
    </w:div>
    <w:div w:id="1923488691">
      <w:bodyDiv w:val="1"/>
      <w:marLeft w:val="0"/>
      <w:marRight w:val="0"/>
      <w:marTop w:val="0"/>
      <w:marBottom w:val="0"/>
      <w:divBdr>
        <w:top w:val="none" w:sz="0" w:space="0" w:color="auto"/>
        <w:left w:val="none" w:sz="0" w:space="0" w:color="auto"/>
        <w:bottom w:val="none" w:sz="0" w:space="0" w:color="auto"/>
        <w:right w:val="none" w:sz="0" w:space="0" w:color="auto"/>
      </w:divBdr>
    </w:div>
    <w:div w:id="2016759312">
      <w:bodyDiv w:val="1"/>
      <w:marLeft w:val="0"/>
      <w:marRight w:val="0"/>
      <w:marTop w:val="0"/>
      <w:marBottom w:val="0"/>
      <w:divBdr>
        <w:top w:val="none" w:sz="0" w:space="0" w:color="auto"/>
        <w:left w:val="none" w:sz="0" w:space="0" w:color="auto"/>
        <w:bottom w:val="none" w:sz="0" w:space="0" w:color="auto"/>
        <w:right w:val="none" w:sz="0" w:space="0" w:color="auto"/>
      </w:divBdr>
    </w:div>
    <w:div w:id="2035763319">
      <w:bodyDiv w:val="1"/>
      <w:marLeft w:val="0"/>
      <w:marRight w:val="0"/>
      <w:marTop w:val="0"/>
      <w:marBottom w:val="0"/>
      <w:divBdr>
        <w:top w:val="none" w:sz="0" w:space="0" w:color="auto"/>
        <w:left w:val="none" w:sz="0" w:space="0" w:color="auto"/>
        <w:bottom w:val="none" w:sz="0" w:space="0" w:color="auto"/>
        <w:right w:val="none" w:sz="0" w:space="0" w:color="auto"/>
      </w:divBdr>
    </w:div>
    <w:div w:id="20958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4E6D-4FF7-463B-8224-F6A285F0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17975</Words>
  <Characters>102458</Characters>
  <Application>Microsoft Office Word</Application>
  <DocSecurity>0</DocSecurity>
  <Lines>853</Lines>
  <Paragraphs>240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Universitätsklinikum Jena</Company>
  <LinksUpToDate>false</LinksUpToDate>
  <CharactersWithSpaces>120193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Pigoni</dc:creator>
  <cp:lastModifiedBy>Alessandro Pigoni</cp:lastModifiedBy>
  <cp:revision>11</cp:revision>
  <dcterms:created xsi:type="dcterms:W3CDTF">2021-02-17T16:22:00Z</dcterms:created>
  <dcterms:modified xsi:type="dcterms:W3CDTF">2021-03-18T13:22:00Z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ab3f25fd-5837-316d-abd0-b7b6ce6fe65d</vt:lpwstr>
  </property>
  <property fmtid="{D5CDD505-2E9C-101B-9397-08002B2CF9AE}" pid="4" name="Mendeley Citation Style_1">
    <vt:lpwstr>http://www.zotero.org/styles/european-neuropsychopharmacology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http://www.zotero.org/styles/european-neuropsychopharmacology</vt:lpwstr>
  </property>
  <property fmtid="{D5CDD505-2E9C-101B-9397-08002B2CF9AE}" pid="14" name="Mendeley Recent Style Name 4_1">
    <vt:lpwstr>European Neuropsychopharmacology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http://www.zotero.org/styles/neuropsychopharmacology</vt:lpwstr>
  </property>
  <property fmtid="{D5CDD505-2E9C-101B-9397-08002B2CF9AE}" pid="20" name="Mendeley Recent Style Name 7_1">
    <vt:lpwstr>Neuropsychopharmacology</vt:lpwstr>
  </property>
  <property fmtid="{D5CDD505-2E9C-101B-9397-08002B2CF9AE}" pid="21" name="Mendeley Recent Style Id 8_1">
    <vt:lpwstr>http://www.zotero.org/styles/the-british-journal-of-psychiatry</vt:lpwstr>
  </property>
  <property fmtid="{D5CDD505-2E9C-101B-9397-08002B2CF9AE}" pid="22" name="Mendeley Recent Style Name 8_1">
    <vt:lpwstr>The British Journal of Psychiatry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