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E2A1" w14:textId="6E5920C7" w:rsidR="008141F1" w:rsidRPr="001F5A53" w:rsidRDefault="008141F1" w:rsidP="00E14136">
      <w:pPr>
        <w:spacing w:line="360" w:lineRule="auto"/>
        <w:contextualSpacing/>
        <w:jc w:val="center"/>
        <w:rPr>
          <w:b/>
          <w:bCs/>
          <w:color w:val="000000" w:themeColor="text1"/>
          <w:lang w:val="en-GB"/>
        </w:rPr>
      </w:pPr>
      <w:r w:rsidRPr="001F5A53">
        <w:rPr>
          <w:b/>
          <w:bCs/>
          <w:color w:val="000000" w:themeColor="text1"/>
          <w:lang w:val="en-GB"/>
        </w:rPr>
        <w:t xml:space="preserve">Chapter </w:t>
      </w:r>
      <w:r w:rsidR="001F5A53" w:rsidRPr="001F5A53">
        <w:rPr>
          <w:b/>
          <w:bCs/>
          <w:color w:val="000000" w:themeColor="text1"/>
          <w:lang w:val="en-GB"/>
        </w:rPr>
        <w:t>15</w:t>
      </w:r>
    </w:p>
    <w:p w14:paraId="1A480642" w14:textId="77777777" w:rsidR="008141F1" w:rsidRDefault="008141F1" w:rsidP="00E14136">
      <w:pPr>
        <w:spacing w:line="360" w:lineRule="auto"/>
        <w:contextualSpacing/>
        <w:jc w:val="center"/>
        <w:rPr>
          <w:b/>
          <w:bCs/>
          <w:lang w:val="en-GB"/>
        </w:rPr>
      </w:pPr>
    </w:p>
    <w:p w14:paraId="63E4B14D" w14:textId="3E81F2AF" w:rsidR="00D02FDE" w:rsidRPr="00F72FB0" w:rsidRDefault="00D02FDE" w:rsidP="00E14136">
      <w:pPr>
        <w:spacing w:line="360" w:lineRule="auto"/>
        <w:contextualSpacing/>
        <w:jc w:val="center"/>
        <w:rPr>
          <w:b/>
          <w:bCs/>
          <w:lang w:val="en-GB"/>
        </w:rPr>
      </w:pPr>
      <w:r w:rsidRPr="00F72FB0">
        <w:rPr>
          <w:b/>
          <w:bCs/>
          <w:lang w:val="en-GB"/>
        </w:rPr>
        <w:t>EU</w:t>
      </w:r>
      <w:r w:rsidR="00FC2FB1" w:rsidRPr="00F72FB0">
        <w:rPr>
          <w:b/>
          <w:bCs/>
          <w:lang w:val="en-GB"/>
        </w:rPr>
        <w:t xml:space="preserve"> </w:t>
      </w:r>
      <w:r w:rsidRPr="00F72FB0">
        <w:rPr>
          <w:b/>
          <w:bCs/>
          <w:lang w:val="en-GB"/>
        </w:rPr>
        <w:t>Soft</w:t>
      </w:r>
      <w:r w:rsidR="00FC2FB1" w:rsidRPr="00F72FB0">
        <w:rPr>
          <w:b/>
          <w:bCs/>
          <w:lang w:val="en-GB"/>
        </w:rPr>
        <w:t xml:space="preserve"> </w:t>
      </w:r>
      <w:r w:rsidRPr="00F72FB0">
        <w:rPr>
          <w:b/>
          <w:bCs/>
          <w:lang w:val="en-GB"/>
        </w:rPr>
        <w:t>Law</w:t>
      </w:r>
      <w:r w:rsidR="00FC2FB1" w:rsidRPr="00F72FB0">
        <w:rPr>
          <w:b/>
          <w:bCs/>
          <w:lang w:val="en-GB"/>
        </w:rPr>
        <w:t xml:space="preserve"> </w:t>
      </w:r>
      <w:r w:rsidRPr="00F72FB0">
        <w:rPr>
          <w:b/>
          <w:bCs/>
          <w:lang w:val="en-GB"/>
        </w:rPr>
        <w:t>in</w:t>
      </w:r>
      <w:r w:rsidR="00FC2FB1" w:rsidRPr="00F72FB0">
        <w:rPr>
          <w:b/>
          <w:bCs/>
          <w:lang w:val="en-GB"/>
        </w:rPr>
        <w:t xml:space="preserve"> </w:t>
      </w:r>
      <w:r w:rsidRPr="00F72FB0">
        <w:rPr>
          <w:b/>
          <w:bCs/>
          <w:lang w:val="en-GB"/>
        </w:rPr>
        <w:t>the</w:t>
      </w:r>
      <w:r w:rsidR="00FC2FB1" w:rsidRPr="00F72FB0">
        <w:rPr>
          <w:b/>
          <w:bCs/>
          <w:lang w:val="en-GB"/>
        </w:rPr>
        <w:t xml:space="preserve"> </w:t>
      </w:r>
      <w:r w:rsidRPr="00F72FB0">
        <w:rPr>
          <w:b/>
          <w:bCs/>
          <w:lang w:val="en-GB"/>
        </w:rPr>
        <w:t>UK</w:t>
      </w:r>
      <w:r w:rsidR="00FC2FB1" w:rsidRPr="00F72FB0">
        <w:rPr>
          <w:b/>
          <w:bCs/>
          <w:lang w:val="en-GB"/>
        </w:rPr>
        <w:t xml:space="preserve"> </w:t>
      </w:r>
      <w:r w:rsidRPr="00F72FB0">
        <w:rPr>
          <w:b/>
          <w:bCs/>
          <w:lang w:val="en-GB"/>
        </w:rPr>
        <w:t>on</w:t>
      </w:r>
      <w:r w:rsidR="00FC2FB1" w:rsidRPr="00F72FB0">
        <w:rPr>
          <w:b/>
          <w:bCs/>
          <w:lang w:val="en-GB"/>
        </w:rPr>
        <w:t xml:space="preserve"> </w:t>
      </w:r>
      <w:r w:rsidRPr="00F72FB0">
        <w:rPr>
          <w:b/>
          <w:bCs/>
          <w:lang w:val="en-GB"/>
        </w:rPr>
        <w:t>the</w:t>
      </w:r>
      <w:r w:rsidR="00FC2FB1" w:rsidRPr="00F72FB0">
        <w:rPr>
          <w:b/>
          <w:bCs/>
          <w:lang w:val="en-GB"/>
        </w:rPr>
        <w:t xml:space="preserve"> </w:t>
      </w:r>
      <w:r w:rsidRPr="00F72FB0">
        <w:rPr>
          <w:b/>
          <w:bCs/>
          <w:lang w:val="en-GB"/>
        </w:rPr>
        <w:t>Eve</w:t>
      </w:r>
      <w:r w:rsidR="00FC2FB1" w:rsidRPr="00F72FB0">
        <w:rPr>
          <w:b/>
          <w:bCs/>
          <w:lang w:val="en-GB"/>
        </w:rPr>
        <w:t xml:space="preserve"> </w:t>
      </w:r>
      <w:r w:rsidRPr="00F72FB0">
        <w:rPr>
          <w:b/>
          <w:bCs/>
          <w:lang w:val="en-GB"/>
        </w:rPr>
        <w:t>of</w:t>
      </w:r>
      <w:r w:rsidR="00FC2FB1" w:rsidRPr="00F72FB0">
        <w:rPr>
          <w:b/>
          <w:bCs/>
          <w:lang w:val="en-GB"/>
        </w:rPr>
        <w:t xml:space="preserve"> </w:t>
      </w:r>
      <w:r w:rsidRPr="00F72FB0">
        <w:rPr>
          <w:b/>
          <w:bCs/>
          <w:lang w:val="en-GB"/>
        </w:rPr>
        <w:t>Brexit:</w:t>
      </w:r>
      <w:r w:rsidR="00FC2FB1" w:rsidRPr="00F72FB0">
        <w:rPr>
          <w:b/>
          <w:bCs/>
          <w:lang w:val="en-GB"/>
        </w:rPr>
        <w:t xml:space="preserve"> </w:t>
      </w:r>
      <w:r w:rsidRPr="00F72FB0">
        <w:rPr>
          <w:b/>
          <w:bCs/>
          <w:lang w:val="en-GB"/>
        </w:rPr>
        <w:t>(not)</w:t>
      </w:r>
      <w:r w:rsidR="00FC2FB1" w:rsidRPr="00F72FB0">
        <w:rPr>
          <w:b/>
          <w:bCs/>
          <w:lang w:val="en-GB"/>
        </w:rPr>
        <w:t xml:space="preserve"> </w:t>
      </w:r>
      <w:r w:rsidRPr="00A32161">
        <w:rPr>
          <w:b/>
          <w:bCs/>
          <w:lang w:val="en-GB"/>
        </w:rPr>
        <w:t>Much</w:t>
      </w:r>
      <w:r w:rsidR="00FC2FB1" w:rsidRPr="00A32161">
        <w:rPr>
          <w:b/>
          <w:bCs/>
          <w:lang w:val="en-GB"/>
        </w:rPr>
        <w:t xml:space="preserve"> </w:t>
      </w:r>
      <w:r w:rsidRPr="00A32161">
        <w:rPr>
          <w:b/>
          <w:bCs/>
          <w:lang w:val="en-GB"/>
        </w:rPr>
        <w:t>Ado</w:t>
      </w:r>
      <w:r w:rsidR="00FC2FB1" w:rsidRPr="00F72FB0">
        <w:rPr>
          <w:b/>
          <w:bCs/>
          <w:lang w:val="en-GB"/>
        </w:rPr>
        <w:t xml:space="preserve"> </w:t>
      </w:r>
      <w:r w:rsidRPr="00F72FB0">
        <w:rPr>
          <w:b/>
          <w:bCs/>
          <w:lang w:val="en-GB"/>
        </w:rPr>
        <w:t>About</w:t>
      </w:r>
      <w:r w:rsidR="00FC2FB1" w:rsidRPr="00F72FB0">
        <w:rPr>
          <w:b/>
          <w:bCs/>
          <w:lang w:val="en-GB"/>
        </w:rPr>
        <w:t xml:space="preserve"> </w:t>
      </w:r>
      <w:r w:rsidRPr="00F72FB0">
        <w:rPr>
          <w:b/>
          <w:bCs/>
          <w:lang w:val="en-GB"/>
        </w:rPr>
        <w:t>Nothing?</w:t>
      </w:r>
    </w:p>
    <w:p w14:paraId="1538BB44" w14:textId="317B8B54" w:rsidR="00D94BC6" w:rsidRDefault="00D02FDE" w:rsidP="00E14136">
      <w:pPr>
        <w:spacing w:line="360" w:lineRule="auto"/>
        <w:contextualSpacing/>
        <w:jc w:val="center"/>
        <w:rPr>
          <w:bCs/>
          <w:lang w:val="en-GB"/>
        </w:rPr>
      </w:pPr>
      <w:r w:rsidRPr="00F72FB0">
        <w:rPr>
          <w:bCs/>
          <w:lang w:val="en-GB"/>
        </w:rPr>
        <w:t>Mary</w:t>
      </w:r>
      <w:r w:rsidR="00FC2FB1" w:rsidRPr="00F72FB0">
        <w:rPr>
          <w:bCs/>
          <w:lang w:val="en-GB"/>
        </w:rPr>
        <w:t xml:space="preserve"> </w:t>
      </w:r>
      <w:r w:rsidRPr="00F72FB0">
        <w:rPr>
          <w:bCs/>
          <w:lang w:val="en-GB"/>
        </w:rPr>
        <w:t>Dobbs</w:t>
      </w:r>
      <w:r w:rsidR="00E460E1">
        <w:rPr>
          <w:bCs/>
          <w:lang w:val="en-GB"/>
        </w:rPr>
        <w:t xml:space="preserve"> </w:t>
      </w:r>
      <w:r w:rsidR="003617D7">
        <w:rPr>
          <w:bCs/>
          <w:lang w:val="en-GB"/>
        </w:rPr>
        <w:t>and</w:t>
      </w:r>
      <w:r w:rsidR="00FC2FB1" w:rsidRPr="00F72FB0">
        <w:rPr>
          <w:bCs/>
          <w:lang w:val="en-GB"/>
        </w:rPr>
        <w:t xml:space="preserve"> </w:t>
      </w:r>
      <w:r w:rsidRPr="00F72FB0">
        <w:rPr>
          <w:bCs/>
          <w:lang w:val="en-GB"/>
        </w:rPr>
        <w:t>Oana</w:t>
      </w:r>
      <w:r w:rsidR="00FC2FB1" w:rsidRPr="00F72FB0">
        <w:rPr>
          <w:bCs/>
          <w:lang w:val="en-GB"/>
        </w:rPr>
        <w:t xml:space="preserve"> </w:t>
      </w:r>
      <w:r w:rsidRPr="00F72FB0">
        <w:rPr>
          <w:bCs/>
          <w:lang w:val="en-GB"/>
        </w:rPr>
        <w:t>Stefan</w:t>
      </w:r>
      <w:r w:rsidR="0013113A">
        <w:rPr>
          <w:bCs/>
          <w:lang w:val="en-GB"/>
        </w:rPr>
        <w:t>*</w:t>
      </w:r>
    </w:p>
    <w:p w14:paraId="75BF941C" w14:textId="77777777" w:rsidR="00600F90" w:rsidRPr="00F72FB0" w:rsidRDefault="00600F90" w:rsidP="00E14136">
      <w:pPr>
        <w:spacing w:line="360" w:lineRule="auto"/>
        <w:contextualSpacing/>
        <w:jc w:val="center"/>
        <w:rPr>
          <w:bCs/>
          <w:lang w:val="en-GB"/>
        </w:rPr>
      </w:pPr>
    </w:p>
    <w:p w14:paraId="63EF300D" w14:textId="0E23284F" w:rsidR="00DD6CEA" w:rsidRPr="00600F90" w:rsidRDefault="00DD6CEA" w:rsidP="00E14136">
      <w:pPr>
        <w:pStyle w:val="Otsikko1"/>
        <w:numPr>
          <w:ilvl w:val="0"/>
          <w:numId w:val="13"/>
        </w:numPr>
        <w:spacing w:before="0" w:line="360" w:lineRule="auto"/>
        <w:contextualSpacing/>
        <w:jc w:val="center"/>
        <w:rPr>
          <w:rFonts w:ascii="Times New Roman" w:hAnsi="Times New Roman" w:cs="Times New Roman"/>
          <w:b/>
          <w:bCs/>
          <w:color w:val="000000" w:themeColor="text1"/>
          <w:sz w:val="24"/>
          <w:szCs w:val="24"/>
        </w:rPr>
      </w:pPr>
      <w:r w:rsidRPr="00600F90">
        <w:rPr>
          <w:rFonts w:ascii="Times New Roman" w:hAnsi="Times New Roman" w:cs="Times New Roman"/>
          <w:b/>
          <w:bCs/>
          <w:color w:val="000000" w:themeColor="text1"/>
          <w:sz w:val="24"/>
          <w:szCs w:val="24"/>
        </w:rPr>
        <w:t>Introduction</w:t>
      </w:r>
    </w:p>
    <w:p w14:paraId="3DA33B50" w14:textId="77777777" w:rsidR="00DD6CEA" w:rsidRPr="00F72FB0" w:rsidRDefault="00DD6CEA" w:rsidP="00E14136">
      <w:pPr>
        <w:spacing w:line="360" w:lineRule="auto"/>
        <w:contextualSpacing/>
        <w:jc w:val="both"/>
        <w:rPr>
          <w:bCs/>
          <w:lang w:val="en-GB"/>
        </w:rPr>
      </w:pPr>
    </w:p>
    <w:p w14:paraId="59925628" w14:textId="341219F3" w:rsidR="0027507B" w:rsidRPr="00F72FB0" w:rsidRDefault="00D02FDE" w:rsidP="00E14136">
      <w:pPr>
        <w:spacing w:line="360" w:lineRule="auto"/>
        <w:contextualSpacing/>
        <w:jc w:val="both"/>
        <w:rPr>
          <w:lang w:val="en-GB"/>
        </w:rPr>
      </w:pPr>
      <w:r w:rsidRPr="00F72FB0">
        <w:rPr>
          <w:bCs/>
          <w:lang w:val="en-GB"/>
        </w:rPr>
        <w:t>This</w:t>
      </w:r>
      <w:r w:rsidR="00FC2FB1" w:rsidRPr="00F72FB0">
        <w:rPr>
          <w:bCs/>
          <w:lang w:val="en-GB"/>
        </w:rPr>
        <w:t xml:space="preserve"> </w:t>
      </w:r>
      <w:r w:rsidRPr="00F72FB0">
        <w:rPr>
          <w:bCs/>
          <w:lang w:val="en-GB"/>
        </w:rPr>
        <w:t>chapter</w:t>
      </w:r>
      <w:r w:rsidR="00FC2FB1" w:rsidRPr="00F72FB0">
        <w:rPr>
          <w:bCs/>
          <w:lang w:val="en-GB"/>
        </w:rPr>
        <w:t xml:space="preserve"> </w:t>
      </w:r>
      <w:r w:rsidRPr="00F72FB0">
        <w:rPr>
          <w:bCs/>
          <w:lang w:val="en-GB"/>
        </w:rPr>
        <w:t>investigates</w:t>
      </w:r>
      <w:r w:rsidR="00FC2FB1" w:rsidRPr="00F72FB0">
        <w:rPr>
          <w:bCs/>
          <w:lang w:val="en-GB"/>
        </w:rPr>
        <w:t xml:space="preserve"> </w:t>
      </w:r>
      <w:r w:rsidRPr="00F72FB0">
        <w:rPr>
          <w:bCs/>
          <w:lang w:val="en-GB"/>
        </w:rPr>
        <w:t>the</w:t>
      </w:r>
      <w:r w:rsidR="00FC2FB1" w:rsidRPr="00F72FB0">
        <w:rPr>
          <w:bCs/>
          <w:lang w:val="en-GB"/>
        </w:rPr>
        <w:t xml:space="preserve"> </w:t>
      </w:r>
      <w:r w:rsidRPr="00F72FB0">
        <w:rPr>
          <w:bCs/>
          <w:lang w:val="en-GB"/>
        </w:rPr>
        <w:t>role</w:t>
      </w:r>
      <w:r w:rsidR="00FC2FB1" w:rsidRPr="00F72FB0">
        <w:rPr>
          <w:bCs/>
          <w:lang w:val="en-GB"/>
        </w:rPr>
        <w:t xml:space="preserve"> </w:t>
      </w:r>
      <w:r w:rsidRPr="00F72FB0">
        <w:rPr>
          <w:bCs/>
          <w:lang w:val="en-GB"/>
        </w:rPr>
        <w:t>of</w:t>
      </w:r>
      <w:r w:rsidR="00FC2FB1" w:rsidRPr="00F72FB0">
        <w:rPr>
          <w:bCs/>
          <w:lang w:val="en-GB"/>
        </w:rPr>
        <w:t xml:space="preserve"> </w:t>
      </w:r>
      <w:r w:rsidRPr="00F72FB0">
        <w:rPr>
          <w:bCs/>
          <w:lang w:val="en-GB"/>
        </w:rPr>
        <w:t>EU</w:t>
      </w:r>
      <w:r w:rsidR="00FC2FB1" w:rsidRPr="00F72FB0">
        <w:rPr>
          <w:bCs/>
          <w:lang w:val="en-GB"/>
        </w:rPr>
        <w:t xml:space="preserve"> </w:t>
      </w:r>
      <w:r w:rsidRPr="00F72FB0">
        <w:rPr>
          <w:bCs/>
          <w:lang w:val="en-GB"/>
        </w:rPr>
        <w:t>soft</w:t>
      </w:r>
      <w:r w:rsidR="00FC2FB1" w:rsidRPr="00F72FB0">
        <w:rPr>
          <w:bCs/>
          <w:lang w:val="en-GB"/>
        </w:rPr>
        <w:t xml:space="preserve"> </w:t>
      </w:r>
      <w:r w:rsidRPr="00F72FB0">
        <w:rPr>
          <w:bCs/>
          <w:lang w:val="en-GB"/>
        </w:rPr>
        <w:t>law</w:t>
      </w:r>
      <w:r w:rsidR="00FC2FB1" w:rsidRPr="00F72FB0">
        <w:rPr>
          <w:bCs/>
          <w:lang w:val="en-GB"/>
        </w:rPr>
        <w:t xml:space="preserve"> </w:t>
      </w:r>
      <w:r w:rsidRPr="00F72FB0">
        <w:rPr>
          <w:bCs/>
          <w:lang w:val="en-GB"/>
        </w:rPr>
        <w:t>instruments</w:t>
      </w:r>
      <w:r w:rsidR="00FC2FB1" w:rsidRPr="00F72FB0">
        <w:rPr>
          <w:bCs/>
          <w:lang w:val="en-GB"/>
        </w:rPr>
        <w:t xml:space="preserve"> </w:t>
      </w:r>
      <w:r w:rsidRPr="00F72FB0">
        <w:rPr>
          <w:bCs/>
          <w:lang w:val="en-GB"/>
        </w:rPr>
        <w:t>within</w:t>
      </w:r>
      <w:r w:rsidR="00FC2FB1" w:rsidRPr="00F72FB0">
        <w:rPr>
          <w:bCs/>
          <w:lang w:val="en-GB"/>
        </w:rPr>
        <w:t xml:space="preserve"> </w:t>
      </w:r>
      <w:r w:rsidRPr="00F72FB0">
        <w:rPr>
          <w:bCs/>
          <w:lang w:val="en-GB"/>
        </w:rPr>
        <w:t>the</w:t>
      </w:r>
      <w:r w:rsidR="00FC2FB1" w:rsidRPr="00F72FB0">
        <w:rPr>
          <w:bCs/>
          <w:lang w:val="en-GB"/>
        </w:rPr>
        <w:t xml:space="preserve"> </w:t>
      </w:r>
      <w:r w:rsidRPr="00F72FB0">
        <w:rPr>
          <w:bCs/>
          <w:lang w:val="en-GB"/>
        </w:rPr>
        <w:t>UK</w:t>
      </w:r>
      <w:r w:rsidR="00FC2FB1" w:rsidRPr="00F72FB0">
        <w:rPr>
          <w:bCs/>
          <w:lang w:val="en-GB"/>
        </w:rPr>
        <w:t xml:space="preserve"> </w:t>
      </w:r>
      <w:r w:rsidRPr="00F72FB0">
        <w:rPr>
          <w:bCs/>
          <w:lang w:val="en-GB"/>
        </w:rPr>
        <w:t>legal</w:t>
      </w:r>
      <w:r w:rsidR="00FC2FB1" w:rsidRPr="00F72FB0">
        <w:rPr>
          <w:bCs/>
          <w:lang w:val="en-GB"/>
        </w:rPr>
        <w:t xml:space="preserve"> </w:t>
      </w:r>
      <w:r w:rsidRPr="00F72FB0">
        <w:rPr>
          <w:bCs/>
          <w:lang w:val="en-GB"/>
        </w:rPr>
        <w:t>order.</w:t>
      </w:r>
      <w:r w:rsidR="00FC2FB1" w:rsidRPr="00F72FB0">
        <w:rPr>
          <w:bCs/>
          <w:lang w:val="en-GB"/>
        </w:rPr>
        <w:t xml:space="preserve"> </w:t>
      </w:r>
      <w:r w:rsidRPr="00F72FB0">
        <w:rPr>
          <w:bCs/>
          <w:lang w:val="en-GB"/>
        </w:rPr>
        <w:t>It</w:t>
      </w:r>
      <w:r w:rsidR="00FC2FB1" w:rsidRPr="00F72FB0">
        <w:rPr>
          <w:bCs/>
          <w:lang w:val="en-GB"/>
        </w:rPr>
        <w:t xml:space="preserve"> </w:t>
      </w:r>
      <w:r w:rsidRPr="00F72FB0">
        <w:rPr>
          <w:bCs/>
          <w:lang w:val="en-GB"/>
        </w:rPr>
        <w:t>considers</w:t>
      </w:r>
      <w:r w:rsidR="00FC2FB1" w:rsidRPr="00F72FB0">
        <w:rPr>
          <w:bCs/>
          <w:lang w:val="en-GB"/>
        </w:rPr>
        <w:t xml:space="preserve"> </w:t>
      </w:r>
      <w:r w:rsidRPr="00F72FB0">
        <w:rPr>
          <w:bCs/>
          <w:lang w:val="en-GB"/>
        </w:rPr>
        <w:t>the</w:t>
      </w:r>
      <w:r w:rsidR="00FC2FB1" w:rsidRPr="00F72FB0">
        <w:rPr>
          <w:bCs/>
          <w:lang w:val="en-GB"/>
        </w:rPr>
        <w:t xml:space="preserve"> </w:t>
      </w:r>
      <w:r w:rsidRPr="00F72FB0">
        <w:rPr>
          <w:bCs/>
          <w:lang w:val="en-GB"/>
        </w:rPr>
        <w:t>legal</w:t>
      </w:r>
      <w:r w:rsidR="00FC2FB1" w:rsidRPr="00F72FB0">
        <w:rPr>
          <w:bCs/>
          <w:lang w:val="en-GB"/>
        </w:rPr>
        <w:t xml:space="preserve"> </w:t>
      </w:r>
      <w:r w:rsidRPr="00F72FB0">
        <w:rPr>
          <w:bCs/>
          <w:lang w:val="en-GB"/>
        </w:rPr>
        <w:t>effects</w:t>
      </w:r>
      <w:r w:rsidR="00FC2FB1" w:rsidRPr="00F72FB0">
        <w:rPr>
          <w:bCs/>
          <w:lang w:val="en-GB"/>
        </w:rPr>
        <w:t xml:space="preserve"> </w:t>
      </w:r>
      <w:r w:rsidRPr="00F72FB0">
        <w:rPr>
          <w:bCs/>
          <w:lang w:val="en-GB"/>
        </w:rPr>
        <w:t>of</w:t>
      </w:r>
      <w:r w:rsidR="00FC2FB1" w:rsidRPr="00F72FB0">
        <w:rPr>
          <w:bCs/>
          <w:lang w:val="en-GB"/>
        </w:rPr>
        <w:t xml:space="preserve"> </w:t>
      </w:r>
      <w:r w:rsidRPr="00F72FB0">
        <w:rPr>
          <w:bCs/>
          <w:lang w:val="en-GB"/>
        </w:rPr>
        <w:t>these</w:t>
      </w:r>
      <w:r w:rsidR="00FC2FB1" w:rsidRPr="00F72FB0">
        <w:rPr>
          <w:bCs/>
          <w:lang w:val="en-GB"/>
        </w:rPr>
        <w:t xml:space="preserve"> </w:t>
      </w:r>
      <w:r w:rsidRPr="00F72FB0">
        <w:rPr>
          <w:bCs/>
          <w:lang w:val="en-GB"/>
        </w:rPr>
        <w:t>instruments,</w:t>
      </w:r>
      <w:r w:rsidR="00FC2FB1" w:rsidRPr="00F72FB0">
        <w:rPr>
          <w:bCs/>
          <w:lang w:val="en-GB"/>
        </w:rPr>
        <w:t xml:space="preserve"> </w:t>
      </w:r>
      <w:r w:rsidRPr="00F72FB0">
        <w:rPr>
          <w:bCs/>
          <w:lang w:val="en-GB"/>
        </w:rPr>
        <w:t>through</w:t>
      </w:r>
      <w:r w:rsidR="00FC2FB1" w:rsidRPr="00F72FB0">
        <w:rPr>
          <w:bCs/>
          <w:lang w:val="en-GB"/>
        </w:rPr>
        <w:t xml:space="preserve"> </w:t>
      </w:r>
      <w:r w:rsidRPr="00F72FB0">
        <w:rPr>
          <w:bCs/>
          <w:lang w:val="en-GB"/>
        </w:rPr>
        <w:t>examining</w:t>
      </w:r>
      <w:r w:rsidR="00FC2FB1" w:rsidRPr="00F72FB0">
        <w:rPr>
          <w:bCs/>
          <w:lang w:val="en-GB"/>
        </w:rPr>
        <w:t xml:space="preserve"> </w:t>
      </w:r>
      <w:r w:rsidRPr="00F72FB0">
        <w:rPr>
          <w:bCs/>
          <w:lang w:val="en-GB"/>
        </w:rPr>
        <w:t>case</w:t>
      </w:r>
      <w:r w:rsidR="00FC2FB1" w:rsidRPr="00F72FB0">
        <w:rPr>
          <w:bCs/>
          <w:lang w:val="en-GB"/>
        </w:rPr>
        <w:t xml:space="preserve"> </w:t>
      </w:r>
      <w:r w:rsidRPr="00F72FB0">
        <w:rPr>
          <w:bCs/>
          <w:lang w:val="en-GB"/>
        </w:rPr>
        <w:t>law</w:t>
      </w:r>
      <w:r w:rsidR="00FC2FB1" w:rsidRPr="00F72FB0">
        <w:rPr>
          <w:bCs/>
          <w:lang w:val="en-GB"/>
        </w:rPr>
        <w:t xml:space="preserve"> </w:t>
      </w:r>
      <w:r w:rsidRPr="00F72FB0">
        <w:rPr>
          <w:bCs/>
          <w:lang w:val="en-GB"/>
        </w:rPr>
        <w:t>and</w:t>
      </w:r>
      <w:r w:rsidR="00FC2FB1" w:rsidRPr="00F72FB0">
        <w:rPr>
          <w:bCs/>
          <w:lang w:val="en-GB"/>
        </w:rPr>
        <w:t xml:space="preserve"> </w:t>
      </w:r>
      <w:r w:rsidRPr="00F72FB0">
        <w:rPr>
          <w:bCs/>
          <w:lang w:val="en-GB"/>
        </w:rPr>
        <w:t>administrative</w:t>
      </w:r>
      <w:r w:rsidR="00FC2FB1" w:rsidRPr="00F72FB0">
        <w:rPr>
          <w:bCs/>
          <w:lang w:val="en-GB"/>
        </w:rPr>
        <w:t xml:space="preserve"> </w:t>
      </w:r>
      <w:r w:rsidRPr="00F72FB0">
        <w:rPr>
          <w:bCs/>
          <w:lang w:val="en-GB"/>
        </w:rPr>
        <w:t>practice</w:t>
      </w:r>
      <w:r w:rsidR="00FC2FB1" w:rsidRPr="00F72FB0">
        <w:rPr>
          <w:bCs/>
          <w:lang w:val="en-GB"/>
        </w:rPr>
        <w:t xml:space="preserve"> </w:t>
      </w:r>
      <w:r w:rsidRPr="00F72FB0">
        <w:rPr>
          <w:bCs/>
          <w:lang w:val="en-GB"/>
        </w:rPr>
        <w:t>in</w:t>
      </w:r>
      <w:r w:rsidR="00FC2FB1" w:rsidRPr="00F72FB0">
        <w:rPr>
          <w:bCs/>
          <w:lang w:val="en-GB"/>
        </w:rPr>
        <w:t xml:space="preserve"> </w:t>
      </w:r>
      <w:r w:rsidRPr="00F72FB0">
        <w:rPr>
          <w:bCs/>
          <w:lang w:val="en-GB"/>
        </w:rPr>
        <w:t>selected</w:t>
      </w:r>
      <w:r w:rsidR="00FC2FB1" w:rsidRPr="00F72FB0">
        <w:rPr>
          <w:bCs/>
          <w:lang w:val="en-GB"/>
        </w:rPr>
        <w:t xml:space="preserve"> </w:t>
      </w:r>
      <w:r w:rsidRPr="00F72FB0">
        <w:rPr>
          <w:bCs/>
          <w:lang w:val="en-GB"/>
        </w:rPr>
        <w:t>fields.</w:t>
      </w:r>
      <w:r w:rsidR="00FC2FB1" w:rsidRPr="00F72FB0">
        <w:rPr>
          <w:bCs/>
          <w:lang w:val="en-GB"/>
        </w:rPr>
        <w:t xml:space="preserve"> </w:t>
      </w:r>
      <w:r w:rsidR="00AD57B3" w:rsidRPr="00F72FB0">
        <w:rPr>
          <w:lang w:val="en-GB"/>
        </w:rPr>
        <w:t>The SoLaR methodology was employed to gather data</w:t>
      </w:r>
      <w:r w:rsidR="0013113A">
        <w:rPr>
          <w:lang w:val="en-GB"/>
        </w:rPr>
        <w:t>.</w:t>
      </w:r>
      <w:r w:rsidR="00AD57B3" w:rsidRPr="00F72FB0">
        <w:rPr>
          <w:lang w:val="en-GB"/>
        </w:rPr>
        <w:t xml:space="preserve"> </w:t>
      </w:r>
      <w:r w:rsidR="0013113A">
        <w:rPr>
          <w:lang w:val="en-GB"/>
        </w:rPr>
        <w:t>T</w:t>
      </w:r>
      <w:r w:rsidR="00AD57B3" w:rsidRPr="00F72FB0">
        <w:rPr>
          <w:lang w:val="en-GB"/>
        </w:rPr>
        <w:t>he main challenge was obtaining interviews</w:t>
      </w:r>
      <w:r w:rsidR="0013113A">
        <w:rPr>
          <w:lang w:val="en-GB"/>
        </w:rPr>
        <w:t>,</w:t>
      </w:r>
      <w:r w:rsidR="00AD57B3" w:rsidRPr="00F72FB0">
        <w:rPr>
          <w:rStyle w:val="Alaviitteenviite"/>
          <w:lang w:val="en-GB"/>
        </w:rPr>
        <w:footnoteReference w:id="1"/>
      </w:r>
      <w:r w:rsidR="0013113A">
        <w:rPr>
          <w:lang w:val="en-GB"/>
        </w:rPr>
        <w:t xml:space="preserve"> increasing the significance of other sources of data.</w:t>
      </w:r>
      <w:r w:rsidR="00AD57B3" w:rsidRPr="00F72FB0">
        <w:rPr>
          <w:lang w:val="en-GB"/>
        </w:rPr>
        <w:t xml:space="preserve"> With regards to the documentary </w:t>
      </w:r>
      <w:r w:rsidR="0013113A">
        <w:rPr>
          <w:lang w:val="en-GB"/>
        </w:rPr>
        <w:t>analysis</w:t>
      </w:r>
      <w:r w:rsidR="00AD57B3" w:rsidRPr="00F72FB0">
        <w:rPr>
          <w:lang w:val="en-GB"/>
        </w:rPr>
        <w:t>, materials were mostly accessible online in official databases, or through the portal Westlaw. For case law</w:t>
      </w:r>
      <w:r w:rsidR="0027507B" w:rsidRPr="00F72FB0">
        <w:rPr>
          <w:lang w:val="en-GB"/>
        </w:rPr>
        <w:t xml:space="preserve"> we used</w:t>
      </w:r>
      <w:r w:rsidR="00AD57B3" w:rsidRPr="00F72FB0">
        <w:rPr>
          <w:lang w:val="en-GB"/>
        </w:rPr>
        <w:t xml:space="preserve"> the </w:t>
      </w:r>
      <w:r w:rsidR="0027507B" w:rsidRPr="00F72FB0">
        <w:rPr>
          <w:lang w:val="en-GB"/>
        </w:rPr>
        <w:t>database of the British and Irish Legal Information Institute</w:t>
      </w:r>
      <w:r w:rsidR="00AD57B3" w:rsidRPr="00F72FB0">
        <w:rPr>
          <w:lang w:val="en-GB"/>
        </w:rPr>
        <w:t>.</w:t>
      </w:r>
      <w:r w:rsidR="0027507B" w:rsidRPr="00F72FB0">
        <w:rPr>
          <w:rStyle w:val="Alaviitteenviite"/>
          <w:lang w:val="en-GB"/>
        </w:rPr>
        <w:footnoteReference w:id="2"/>
      </w:r>
      <w:r w:rsidR="00AD57B3" w:rsidRPr="00F72FB0">
        <w:rPr>
          <w:lang w:val="en-GB"/>
        </w:rPr>
        <w:t xml:space="preserve"> </w:t>
      </w:r>
    </w:p>
    <w:p w14:paraId="44670C2F" w14:textId="395D4F2D" w:rsidR="00AD57B3" w:rsidRPr="00F72FB0" w:rsidRDefault="00AD57B3" w:rsidP="00E14136">
      <w:pPr>
        <w:spacing w:line="360" w:lineRule="auto"/>
        <w:contextualSpacing/>
        <w:jc w:val="both"/>
        <w:rPr>
          <w:lang w:val="en-GB"/>
        </w:rPr>
      </w:pPr>
    </w:p>
    <w:p w14:paraId="4CD9ED6C" w14:textId="6669B198" w:rsidR="00DD6CEA" w:rsidRPr="00F72FB0" w:rsidRDefault="0027507B" w:rsidP="00E14136">
      <w:pPr>
        <w:spacing w:line="360" w:lineRule="auto"/>
        <w:contextualSpacing/>
        <w:jc w:val="both"/>
        <w:rPr>
          <w:bCs/>
          <w:lang w:val="en-GB"/>
        </w:rPr>
      </w:pPr>
      <w:r w:rsidRPr="00F72FB0">
        <w:rPr>
          <w:bCs/>
          <w:lang w:val="en-GB"/>
        </w:rPr>
        <w:t xml:space="preserve">The chapter investigates whether the nature of the UK’s legal system impacts upon the role of EU soft law. </w:t>
      </w:r>
      <w:r w:rsidR="0013113A">
        <w:rPr>
          <w:bCs/>
          <w:lang w:val="en-GB"/>
        </w:rPr>
        <w:t xml:space="preserve">As shall be seen, one would expect that soft law would be utilised wherever relevant and useful, and that </w:t>
      </w:r>
      <w:r w:rsidR="00C81861">
        <w:rPr>
          <w:bCs/>
          <w:lang w:val="en-GB"/>
        </w:rPr>
        <w:t>its</w:t>
      </w:r>
      <w:r w:rsidR="0013113A">
        <w:rPr>
          <w:bCs/>
          <w:lang w:val="en-GB"/>
        </w:rPr>
        <w:t xml:space="preserve"> effects would increase through use. However, whilst the d</w:t>
      </w:r>
      <w:r w:rsidRPr="00F72FB0">
        <w:rPr>
          <w:bCs/>
          <w:lang w:val="en-GB"/>
        </w:rPr>
        <w:t xml:space="preserve">ata indicates that where these instruments are utilised, they have a strong interpretative role, </w:t>
      </w:r>
      <w:r w:rsidR="0013113A">
        <w:rPr>
          <w:bCs/>
          <w:lang w:val="en-GB"/>
        </w:rPr>
        <w:t>it also indicates</w:t>
      </w:r>
      <w:r w:rsidR="0013113A" w:rsidRPr="00F72FB0">
        <w:rPr>
          <w:bCs/>
          <w:lang w:val="en-GB"/>
        </w:rPr>
        <w:t xml:space="preserve"> </w:t>
      </w:r>
      <w:r w:rsidRPr="00F72FB0">
        <w:rPr>
          <w:bCs/>
          <w:lang w:val="en-GB"/>
        </w:rPr>
        <w:t>that the initial use of such instruments is haphazard and there is no guarantee that all instruments will be utilised where relevant. The chapter concludes with very brief consideration on the future of EU soft law in the UK in light of Brexit.</w:t>
      </w:r>
    </w:p>
    <w:p w14:paraId="7E03955C" w14:textId="77777777" w:rsidR="00600F90" w:rsidRPr="00F72FB0" w:rsidRDefault="00600F90" w:rsidP="00E14136">
      <w:pPr>
        <w:spacing w:line="360" w:lineRule="auto"/>
        <w:contextualSpacing/>
        <w:jc w:val="both"/>
        <w:rPr>
          <w:color w:val="000000" w:themeColor="text1"/>
          <w:lang w:val="en-GB"/>
        </w:rPr>
      </w:pPr>
    </w:p>
    <w:p w14:paraId="5A3249E5" w14:textId="24DA6B01" w:rsidR="000C3534" w:rsidRPr="00600F90" w:rsidRDefault="000C3534" w:rsidP="00E14136">
      <w:pPr>
        <w:pStyle w:val="Otsikko1"/>
        <w:numPr>
          <w:ilvl w:val="0"/>
          <w:numId w:val="14"/>
        </w:numPr>
        <w:spacing w:before="0" w:line="360" w:lineRule="auto"/>
        <w:contextualSpacing/>
        <w:jc w:val="center"/>
        <w:rPr>
          <w:rFonts w:ascii="Times New Roman" w:hAnsi="Times New Roman" w:cs="Times New Roman"/>
          <w:b/>
          <w:bCs/>
          <w:color w:val="000000" w:themeColor="text1"/>
          <w:sz w:val="24"/>
          <w:szCs w:val="24"/>
          <w:lang w:val="en-GB"/>
        </w:rPr>
      </w:pPr>
      <w:r w:rsidRPr="00600F90">
        <w:rPr>
          <w:rFonts w:ascii="Times New Roman" w:hAnsi="Times New Roman" w:cs="Times New Roman"/>
          <w:b/>
          <w:bCs/>
          <w:color w:val="000000" w:themeColor="text1"/>
          <w:sz w:val="24"/>
          <w:szCs w:val="24"/>
          <w:lang w:val="en-GB"/>
        </w:rPr>
        <w:t>Significance</w:t>
      </w:r>
      <w:r w:rsidR="00FC2FB1" w:rsidRPr="00600F90">
        <w:rPr>
          <w:rFonts w:ascii="Times New Roman" w:hAnsi="Times New Roman" w:cs="Times New Roman"/>
          <w:b/>
          <w:bCs/>
          <w:color w:val="000000" w:themeColor="text1"/>
          <w:sz w:val="24"/>
          <w:szCs w:val="24"/>
          <w:lang w:val="en-GB"/>
        </w:rPr>
        <w:t xml:space="preserve"> </w:t>
      </w:r>
      <w:r w:rsidRPr="00600F90">
        <w:rPr>
          <w:rFonts w:ascii="Times New Roman" w:hAnsi="Times New Roman" w:cs="Times New Roman"/>
          <w:b/>
          <w:bCs/>
          <w:color w:val="000000" w:themeColor="text1"/>
          <w:sz w:val="24"/>
          <w:szCs w:val="24"/>
          <w:lang w:val="en-GB"/>
        </w:rPr>
        <w:t>of</w:t>
      </w:r>
      <w:r w:rsidR="00FC2FB1" w:rsidRPr="00600F90">
        <w:rPr>
          <w:rFonts w:ascii="Times New Roman" w:hAnsi="Times New Roman" w:cs="Times New Roman"/>
          <w:b/>
          <w:bCs/>
          <w:color w:val="000000" w:themeColor="text1"/>
          <w:sz w:val="24"/>
          <w:szCs w:val="24"/>
          <w:lang w:val="en-GB"/>
        </w:rPr>
        <w:t xml:space="preserve"> </w:t>
      </w:r>
      <w:r w:rsidRPr="00600F90">
        <w:rPr>
          <w:rFonts w:ascii="Times New Roman" w:hAnsi="Times New Roman" w:cs="Times New Roman"/>
          <w:b/>
          <w:bCs/>
          <w:color w:val="000000" w:themeColor="text1"/>
          <w:sz w:val="24"/>
          <w:szCs w:val="24"/>
          <w:lang w:val="en-GB"/>
        </w:rPr>
        <w:t>the</w:t>
      </w:r>
      <w:r w:rsidR="00FC2FB1" w:rsidRPr="00600F90">
        <w:rPr>
          <w:rFonts w:ascii="Times New Roman" w:hAnsi="Times New Roman" w:cs="Times New Roman"/>
          <w:b/>
          <w:bCs/>
          <w:color w:val="000000" w:themeColor="text1"/>
          <w:sz w:val="24"/>
          <w:szCs w:val="24"/>
          <w:lang w:val="en-GB"/>
        </w:rPr>
        <w:t xml:space="preserve"> </w:t>
      </w:r>
      <w:r w:rsidRPr="00600F90">
        <w:rPr>
          <w:rFonts w:ascii="Times New Roman" w:hAnsi="Times New Roman" w:cs="Times New Roman"/>
          <w:b/>
          <w:bCs/>
          <w:color w:val="000000" w:themeColor="text1"/>
          <w:sz w:val="24"/>
          <w:szCs w:val="24"/>
          <w:lang w:val="en-GB"/>
        </w:rPr>
        <w:t>UK</w:t>
      </w:r>
      <w:r w:rsidR="00FC2FB1" w:rsidRPr="00600F90">
        <w:rPr>
          <w:rFonts w:ascii="Times New Roman" w:hAnsi="Times New Roman" w:cs="Times New Roman"/>
          <w:b/>
          <w:bCs/>
          <w:color w:val="000000" w:themeColor="text1"/>
          <w:sz w:val="24"/>
          <w:szCs w:val="24"/>
          <w:lang w:val="en-GB"/>
        </w:rPr>
        <w:t xml:space="preserve"> </w:t>
      </w:r>
      <w:r w:rsidR="00600F90" w:rsidRPr="00600F90">
        <w:rPr>
          <w:rFonts w:ascii="Times New Roman" w:hAnsi="Times New Roman" w:cs="Times New Roman"/>
          <w:b/>
          <w:bCs/>
          <w:color w:val="000000" w:themeColor="text1"/>
          <w:sz w:val="24"/>
          <w:szCs w:val="24"/>
          <w:lang w:val="en-GB"/>
        </w:rPr>
        <w:t>L</w:t>
      </w:r>
      <w:r w:rsidRPr="00600F90">
        <w:rPr>
          <w:rFonts w:ascii="Times New Roman" w:hAnsi="Times New Roman" w:cs="Times New Roman"/>
          <w:b/>
          <w:bCs/>
          <w:color w:val="000000" w:themeColor="text1"/>
          <w:sz w:val="24"/>
          <w:szCs w:val="24"/>
          <w:lang w:val="en-GB"/>
        </w:rPr>
        <w:t>egal</w:t>
      </w:r>
      <w:r w:rsidR="00FC2FB1" w:rsidRPr="00600F90">
        <w:rPr>
          <w:rFonts w:ascii="Times New Roman" w:hAnsi="Times New Roman" w:cs="Times New Roman"/>
          <w:b/>
          <w:bCs/>
          <w:color w:val="000000" w:themeColor="text1"/>
          <w:sz w:val="24"/>
          <w:szCs w:val="24"/>
          <w:lang w:val="en-GB"/>
        </w:rPr>
        <w:t xml:space="preserve"> </w:t>
      </w:r>
      <w:r w:rsidR="00600F90" w:rsidRPr="00600F90">
        <w:rPr>
          <w:rFonts w:ascii="Times New Roman" w:hAnsi="Times New Roman" w:cs="Times New Roman"/>
          <w:b/>
          <w:bCs/>
          <w:color w:val="000000" w:themeColor="text1"/>
          <w:sz w:val="24"/>
          <w:szCs w:val="24"/>
          <w:lang w:val="en-GB"/>
        </w:rPr>
        <w:t>S</w:t>
      </w:r>
      <w:r w:rsidRPr="00600F90">
        <w:rPr>
          <w:rFonts w:ascii="Times New Roman" w:hAnsi="Times New Roman" w:cs="Times New Roman"/>
          <w:b/>
          <w:bCs/>
          <w:color w:val="000000" w:themeColor="text1"/>
          <w:sz w:val="24"/>
          <w:szCs w:val="24"/>
          <w:lang w:val="en-GB"/>
        </w:rPr>
        <w:t>ystem’s</w:t>
      </w:r>
      <w:r w:rsidR="00FC2FB1" w:rsidRPr="00600F90">
        <w:rPr>
          <w:rFonts w:ascii="Times New Roman" w:hAnsi="Times New Roman" w:cs="Times New Roman"/>
          <w:b/>
          <w:bCs/>
          <w:color w:val="000000" w:themeColor="text1"/>
          <w:sz w:val="24"/>
          <w:szCs w:val="24"/>
          <w:lang w:val="en-GB"/>
        </w:rPr>
        <w:t xml:space="preserve"> </w:t>
      </w:r>
      <w:r w:rsidR="00600F90" w:rsidRPr="00600F90">
        <w:rPr>
          <w:rFonts w:ascii="Times New Roman" w:hAnsi="Times New Roman" w:cs="Times New Roman"/>
          <w:b/>
          <w:bCs/>
          <w:color w:val="000000" w:themeColor="text1"/>
          <w:sz w:val="24"/>
          <w:szCs w:val="24"/>
          <w:lang w:val="en-GB"/>
        </w:rPr>
        <w:t>N</w:t>
      </w:r>
      <w:r w:rsidRPr="00600F90">
        <w:rPr>
          <w:rFonts w:ascii="Times New Roman" w:hAnsi="Times New Roman" w:cs="Times New Roman"/>
          <w:b/>
          <w:bCs/>
          <w:color w:val="000000" w:themeColor="text1"/>
          <w:sz w:val="24"/>
          <w:szCs w:val="24"/>
          <w:lang w:val="en-GB"/>
        </w:rPr>
        <w:t>ature</w:t>
      </w:r>
    </w:p>
    <w:p w14:paraId="5649AEC1" w14:textId="77777777" w:rsidR="000C3534" w:rsidRPr="00F72FB0" w:rsidRDefault="000C3534" w:rsidP="00E14136">
      <w:pPr>
        <w:spacing w:line="360" w:lineRule="auto"/>
        <w:contextualSpacing/>
        <w:jc w:val="both"/>
        <w:rPr>
          <w:b/>
          <w:color w:val="000000" w:themeColor="text1"/>
          <w:lang w:val="en-GB"/>
        </w:rPr>
      </w:pPr>
    </w:p>
    <w:p w14:paraId="176BDE2F" w14:textId="3ECF585B" w:rsidR="00DD6CEA" w:rsidRPr="00F72FB0" w:rsidRDefault="000C3534" w:rsidP="00E14136">
      <w:pPr>
        <w:spacing w:line="360" w:lineRule="auto"/>
        <w:contextualSpacing/>
        <w:jc w:val="both"/>
        <w:rPr>
          <w:lang w:val="en-GB"/>
        </w:rPr>
      </w:pPr>
      <w:r w:rsidRPr="00F72FB0">
        <w:rPr>
          <w:lang w:val="en-GB"/>
        </w:rPr>
        <w:lastRenderedPageBreak/>
        <w:t>Before</w:t>
      </w:r>
      <w:r w:rsidR="00FC2FB1" w:rsidRPr="00F72FB0">
        <w:rPr>
          <w:lang w:val="en-GB"/>
        </w:rPr>
        <w:t xml:space="preserve"> </w:t>
      </w:r>
      <w:r w:rsidRPr="00F72FB0">
        <w:rPr>
          <w:lang w:val="en-GB"/>
        </w:rPr>
        <w:t>considering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approach</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first</w:t>
      </w:r>
      <w:r w:rsidR="00FC2FB1" w:rsidRPr="00F72FB0">
        <w:rPr>
          <w:lang w:val="en-GB"/>
        </w:rPr>
        <w:t xml:space="preserve"> </w:t>
      </w:r>
      <w:r w:rsidRPr="00F72FB0">
        <w:rPr>
          <w:lang w:val="en-GB"/>
        </w:rPr>
        <w:t>necessary</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sketch</w:t>
      </w:r>
      <w:r w:rsidR="00FC2FB1" w:rsidRPr="00F72FB0">
        <w:rPr>
          <w:lang w:val="en-GB"/>
        </w:rPr>
        <w:t xml:space="preserve"> </w:t>
      </w:r>
      <w:r w:rsidRPr="00F72FB0">
        <w:rPr>
          <w:lang w:val="en-GB"/>
        </w:rPr>
        <w:t>out</w:t>
      </w:r>
      <w:r w:rsidR="00FC2FB1" w:rsidRPr="00F72FB0">
        <w:rPr>
          <w:lang w:val="en-GB"/>
        </w:rPr>
        <w:t xml:space="preserve"> </w:t>
      </w:r>
      <w:r w:rsidRPr="00F72FB0">
        <w:rPr>
          <w:lang w:val="en-GB"/>
        </w:rPr>
        <w:t>briefly</w:t>
      </w:r>
      <w:r w:rsidR="00FC2FB1" w:rsidRPr="00F72FB0">
        <w:rPr>
          <w:lang w:val="en-GB"/>
        </w:rPr>
        <w:t xml:space="preserve"> </w:t>
      </w:r>
      <w:r w:rsidRPr="00F72FB0">
        <w:rPr>
          <w:lang w:val="en-GB"/>
        </w:rPr>
        <w:t>two</w:t>
      </w:r>
      <w:r w:rsidR="00FC2FB1" w:rsidRPr="00F72FB0">
        <w:rPr>
          <w:lang w:val="en-GB"/>
        </w:rPr>
        <w:t xml:space="preserve"> </w:t>
      </w:r>
      <w:r w:rsidRPr="00F72FB0">
        <w:rPr>
          <w:lang w:val="en-GB"/>
        </w:rPr>
        <w:t>contextual</w:t>
      </w:r>
      <w:r w:rsidR="00FC2FB1" w:rsidRPr="00F72FB0">
        <w:rPr>
          <w:lang w:val="en-GB"/>
        </w:rPr>
        <w:t xml:space="preserve"> </w:t>
      </w:r>
      <w:r w:rsidRPr="00F72FB0">
        <w:rPr>
          <w:lang w:val="en-GB"/>
        </w:rPr>
        <w:t>elements</w:t>
      </w:r>
      <w:r w:rsidR="00FC2FB1" w:rsidRPr="00F72FB0">
        <w:rPr>
          <w:lang w:val="en-GB"/>
        </w:rPr>
        <w:t xml:space="preserve">: first, </w:t>
      </w:r>
      <w:r w:rsidRPr="00F72FB0">
        <w:rPr>
          <w:lang w:val="en-GB"/>
        </w:rPr>
        <w:t>the</w:t>
      </w:r>
      <w:r w:rsidR="00FC2FB1" w:rsidRPr="00F72FB0">
        <w:rPr>
          <w:lang w:val="en-GB"/>
        </w:rPr>
        <w:t xml:space="preserve"> </w:t>
      </w:r>
      <w:r w:rsidRPr="00F72FB0">
        <w:rPr>
          <w:lang w:val="en-GB"/>
        </w:rPr>
        <w:t>complex</w:t>
      </w:r>
      <w:r w:rsidR="00FC2FB1" w:rsidRPr="00F72FB0">
        <w:rPr>
          <w:lang w:val="en-GB"/>
        </w:rPr>
        <w:t xml:space="preserve"> </w:t>
      </w:r>
      <w:r w:rsidRPr="00F72FB0">
        <w:rPr>
          <w:lang w:val="en-GB"/>
        </w:rPr>
        <w:t>nature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UK’s</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system</w:t>
      </w:r>
      <w:r w:rsidR="00FC2FB1" w:rsidRPr="00F72FB0">
        <w:rPr>
          <w:lang w:val="en-GB"/>
        </w:rPr>
        <w:t xml:space="preserve"> </w:t>
      </w:r>
      <w:r w:rsidRPr="00F72FB0">
        <w:rPr>
          <w:lang w:val="en-GB"/>
        </w:rPr>
        <w:t>itself</w:t>
      </w:r>
      <w:r w:rsidR="00FC2FB1" w:rsidRPr="00F72FB0">
        <w:rPr>
          <w:lang w:val="en-GB"/>
        </w:rPr>
        <w:t xml:space="preserve"> together with </w:t>
      </w:r>
      <w:r w:rsidRPr="00F72FB0">
        <w:rPr>
          <w:lang w:val="en-GB"/>
        </w:rPr>
        <w:t>its</w:t>
      </w:r>
      <w:r w:rsidR="00FC2FB1" w:rsidRPr="00F72FB0">
        <w:rPr>
          <w:lang w:val="en-GB"/>
        </w:rPr>
        <w:t xml:space="preserve"> </w:t>
      </w:r>
      <w:r w:rsidRPr="00F72FB0">
        <w:rPr>
          <w:lang w:val="en-GB"/>
        </w:rPr>
        <w:t>approach</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more</w:t>
      </w:r>
      <w:r w:rsidR="00FC2FB1" w:rsidRPr="00F72FB0">
        <w:rPr>
          <w:lang w:val="en-GB"/>
        </w:rPr>
        <w:t xml:space="preserve"> </w:t>
      </w:r>
      <w:r w:rsidRPr="00F72FB0">
        <w:rPr>
          <w:lang w:val="en-GB"/>
        </w:rPr>
        <w:t>generally</w:t>
      </w:r>
      <w:r w:rsidR="00FC2FB1" w:rsidRPr="00F72FB0">
        <w:rPr>
          <w:lang w:val="en-GB"/>
        </w:rPr>
        <w:t xml:space="preserve">, and second, </w:t>
      </w:r>
      <w:r w:rsidRPr="00F72FB0">
        <w:rPr>
          <w:lang w:val="en-GB"/>
        </w:rPr>
        <w:t>their</w:t>
      </w:r>
      <w:r w:rsidR="00FC2FB1" w:rsidRPr="00F72FB0">
        <w:rPr>
          <w:lang w:val="en-GB"/>
        </w:rPr>
        <w:t xml:space="preserve"> </w:t>
      </w:r>
      <w:r w:rsidRPr="00F72FB0">
        <w:rPr>
          <w:lang w:val="en-GB"/>
        </w:rPr>
        <w:t>likely</w:t>
      </w:r>
      <w:r w:rsidR="00FC2FB1" w:rsidRPr="00F72FB0">
        <w:rPr>
          <w:lang w:val="en-GB"/>
        </w:rPr>
        <w:t xml:space="preserve"> </w:t>
      </w:r>
      <w:r w:rsidRPr="00F72FB0">
        <w:rPr>
          <w:lang w:val="en-GB"/>
        </w:rPr>
        <w:t>impact</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reception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p>
    <w:p w14:paraId="0C521645" w14:textId="77777777" w:rsidR="00DD6CEA" w:rsidRPr="00F72FB0" w:rsidRDefault="00DD6CEA" w:rsidP="00E14136">
      <w:pPr>
        <w:spacing w:line="360" w:lineRule="auto"/>
        <w:contextualSpacing/>
        <w:jc w:val="both"/>
        <w:rPr>
          <w:b/>
          <w:bCs/>
          <w:lang w:val="en-GB"/>
        </w:rPr>
      </w:pPr>
    </w:p>
    <w:p w14:paraId="37DD7247" w14:textId="77777777" w:rsidR="0087042A" w:rsidRDefault="00600F90" w:rsidP="0087042A">
      <w:pPr>
        <w:pStyle w:val="Otsikko2"/>
        <w:spacing w:before="0" w:line="360" w:lineRule="auto"/>
        <w:contextualSpacing/>
        <w:rPr>
          <w:rFonts w:ascii="Times New Roman" w:hAnsi="Times New Roman" w:cs="Times New Roman"/>
          <w:i/>
          <w:color w:val="000000" w:themeColor="text1"/>
          <w:sz w:val="24"/>
          <w:szCs w:val="24"/>
          <w:lang w:val="en-GB"/>
        </w:rPr>
      </w:pPr>
      <w:r w:rsidRPr="00E460E1">
        <w:rPr>
          <w:rFonts w:ascii="Times New Roman" w:hAnsi="Times New Roman" w:cs="Times New Roman"/>
          <w:i/>
          <w:color w:val="000000" w:themeColor="text1"/>
          <w:sz w:val="24"/>
          <w:szCs w:val="24"/>
          <w:lang w:val="en-GB"/>
        </w:rPr>
        <w:t>A The UK Legal System – The Rule of (Hard) Law?</w:t>
      </w:r>
    </w:p>
    <w:p w14:paraId="579A3FA4" w14:textId="77777777" w:rsidR="0087042A" w:rsidRDefault="0087042A" w:rsidP="0087042A">
      <w:pPr>
        <w:pStyle w:val="Otsikko2"/>
        <w:spacing w:before="0" w:line="360" w:lineRule="auto"/>
        <w:contextualSpacing/>
        <w:rPr>
          <w:bCs/>
          <w:lang w:val="en-GB"/>
        </w:rPr>
      </w:pPr>
    </w:p>
    <w:p w14:paraId="2EAC102D" w14:textId="01E1D508" w:rsidR="002660B8" w:rsidRPr="0087042A" w:rsidRDefault="0087042A" w:rsidP="0087042A">
      <w:pPr>
        <w:pStyle w:val="Otsikko2"/>
        <w:spacing w:before="0" w:line="360" w:lineRule="auto"/>
        <w:contextualSpacing/>
        <w:rPr>
          <w:rFonts w:ascii="Times New Roman" w:hAnsi="Times New Roman" w:cs="Times New Roman"/>
          <w:i/>
          <w:color w:val="000000" w:themeColor="text1"/>
          <w:sz w:val="24"/>
          <w:szCs w:val="24"/>
          <w:lang w:val="en-GB"/>
        </w:rPr>
      </w:pPr>
      <w:r w:rsidRPr="0087042A">
        <w:rPr>
          <w:rFonts w:ascii="Times New Roman" w:hAnsi="Times New Roman" w:cs="Times New Roman"/>
          <w:bCs/>
          <w:color w:val="000000" w:themeColor="text1"/>
          <w:sz w:val="24"/>
          <w:szCs w:val="24"/>
          <w:lang w:val="en-GB"/>
        </w:rPr>
        <w:t xml:space="preserve">i) </w:t>
      </w:r>
      <w:r w:rsidR="002660B8" w:rsidRPr="0087042A">
        <w:rPr>
          <w:rFonts w:ascii="Times New Roman" w:hAnsi="Times New Roman" w:cs="Times New Roman"/>
          <w:bCs/>
          <w:color w:val="000000" w:themeColor="text1"/>
          <w:sz w:val="24"/>
          <w:szCs w:val="24"/>
          <w:lang w:val="en-GB"/>
        </w:rPr>
        <w:t>Formal</w:t>
      </w:r>
      <w:r w:rsidR="00FC2FB1" w:rsidRPr="0087042A">
        <w:rPr>
          <w:rFonts w:ascii="Times New Roman" w:hAnsi="Times New Roman" w:cs="Times New Roman"/>
          <w:bCs/>
          <w:color w:val="000000" w:themeColor="text1"/>
          <w:sz w:val="24"/>
          <w:szCs w:val="24"/>
          <w:lang w:val="en-GB"/>
        </w:rPr>
        <w:t xml:space="preserve"> </w:t>
      </w:r>
      <w:r w:rsidR="002660B8" w:rsidRPr="0087042A">
        <w:rPr>
          <w:rFonts w:ascii="Times New Roman" w:hAnsi="Times New Roman" w:cs="Times New Roman"/>
          <w:bCs/>
          <w:color w:val="000000" w:themeColor="text1"/>
          <w:sz w:val="24"/>
          <w:szCs w:val="24"/>
          <w:lang w:val="en-GB"/>
        </w:rPr>
        <w:t>status</w:t>
      </w:r>
      <w:r w:rsidR="00FC2FB1" w:rsidRPr="0087042A">
        <w:rPr>
          <w:rFonts w:ascii="Times New Roman" w:hAnsi="Times New Roman" w:cs="Times New Roman"/>
          <w:bCs/>
          <w:color w:val="000000" w:themeColor="text1"/>
          <w:sz w:val="24"/>
          <w:szCs w:val="24"/>
          <w:lang w:val="en-GB"/>
        </w:rPr>
        <w:t xml:space="preserve"> </w:t>
      </w:r>
      <w:r w:rsidR="002660B8" w:rsidRPr="0087042A">
        <w:rPr>
          <w:rFonts w:ascii="Times New Roman" w:hAnsi="Times New Roman" w:cs="Times New Roman"/>
          <w:bCs/>
          <w:color w:val="000000" w:themeColor="text1"/>
          <w:sz w:val="24"/>
          <w:szCs w:val="24"/>
          <w:lang w:val="en-GB"/>
        </w:rPr>
        <w:t>of</w:t>
      </w:r>
      <w:r w:rsidR="00FC2FB1" w:rsidRPr="0087042A">
        <w:rPr>
          <w:rFonts w:ascii="Times New Roman" w:hAnsi="Times New Roman" w:cs="Times New Roman"/>
          <w:bCs/>
          <w:color w:val="000000" w:themeColor="text1"/>
          <w:sz w:val="24"/>
          <w:szCs w:val="24"/>
          <w:lang w:val="en-GB"/>
        </w:rPr>
        <w:t xml:space="preserve"> </w:t>
      </w:r>
      <w:r w:rsidR="002660B8" w:rsidRPr="0087042A">
        <w:rPr>
          <w:rFonts w:ascii="Times New Roman" w:hAnsi="Times New Roman" w:cs="Times New Roman"/>
          <w:bCs/>
          <w:color w:val="000000" w:themeColor="text1"/>
          <w:sz w:val="24"/>
          <w:szCs w:val="24"/>
          <w:lang w:val="en-GB"/>
        </w:rPr>
        <w:t>soft</w:t>
      </w:r>
      <w:r w:rsidR="00FC2FB1" w:rsidRPr="0087042A">
        <w:rPr>
          <w:rFonts w:ascii="Times New Roman" w:hAnsi="Times New Roman" w:cs="Times New Roman"/>
          <w:bCs/>
          <w:color w:val="000000" w:themeColor="text1"/>
          <w:sz w:val="24"/>
          <w:szCs w:val="24"/>
          <w:lang w:val="en-GB"/>
        </w:rPr>
        <w:t xml:space="preserve"> </w:t>
      </w:r>
      <w:r w:rsidR="002660B8" w:rsidRPr="0087042A">
        <w:rPr>
          <w:rFonts w:ascii="Times New Roman" w:hAnsi="Times New Roman" w:cs="Times New Roman"/>
          <w:bCs/>
          <w:color w:val="000000" w:themeColor="text1"/>
          <w:sz w:val="24"/>
          <w:szCs w:val="24"/>
          <w:lang w:val="en-GB"/>
        </w:rPr>
        <w:t>law</w:t>
      </w:r>
      <w:r w:rsidR="00FC2FB1" w:rsidRPr="0087042A">
        <w:rPr>
          <w:rFonts w:ascii="Times New Roman" w:hAnsi="Times New Roman" w:cs="Times New Roman"/>
          <w:bCs/>
          <w:color w:val="000000" w:themeColor="text1"/>
          <w:sz w:val="24"/>
          <w:szCs w:val="24"/>
          <w:lang w:val="en-GB"/>
        </w:rPr>
        <w:t xml:space="preserve"> </w:t>
      </w:r>
      <w:r w:rsidR="002660B8" w:rsidRPr="0087042A">
        <w:rPr>
          <w:rFonts w:ascii="Times New Roman" w:hAnsi="Times New Roman" w:cs="Times New Roman"/>
          <w:bCs/>
          <w:color w:val="000000" w:themeColor="text1"/>
          <w:sz w:val="24"/>
          <w:szCs w:val="24"/>
          <w:lang w:val="en-GB"/>
        </w:rPr>
        <w:t>instruments</w:t>
      </w:r>
    </w:p>
    <w:p w14:paraId="1FF9B189" w14:textId="77777777" w:rsidR="00DD6CEA" w:rsidRPr="00F72FB0" w:rsidRDefault="00DD6CEA" w:rsidP="00E14136">
      <w:pPr>
        <w:spacing w:line="360" w:lineRule="auto"/>
        <w:contextualSpacing/>
        <w:jc w:val="both"/>
        <w:rPr>
          <w:lang w:val="en-GB"/>
        </w:rPr>
      </w:pPr>
    </w:p>
    <w:p w14:paraId="1F448B84" w14:textId="75790DD9" w:rsidR="000C3534" w:rsidRPr="00F72FB0" w:rsidRDefault="000C3534" w:rsidP="00E14136">
      <w:pPr>
        <w:spacing w:line="360" w:lineRule="auto"/>
        <w:contextualSpacing/>
        <w:jc w:val="both"/>
        <w:rPr>
          <w:lang w:val="en-GB"/>
        </w:rPr>
      </w:pP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constitutional</w:t>
      </w:r>
      <w:r w:rsidR="00FC2FB1" w:rsidRPr="00F72FB0">
        <w:rPr>
          <w:lang w:val="en-GB"/>
        </w:rPr>
        <w:t xml:space="preserve"> </w:t>
      </w:r>
      <w:r w:rsidRPr="00F72FB0">
        <w:rPr>
          <w:lang w:val="en-GB"/>
        </w:rPr>
        <w:t>monarchy,</w:t>
      </w:r>
      <w:r w:rsidR="00FC2FB1" w:rsidRPr="00F72FB0">
        <w:rPr>
          <w:lang w:val="en-GB"/>
        </w:rPr>
        <w:t xml:space="preserve"> </w:t>
      </w:r>
      <w:r w:rsidRPr="00F72FB0">
        <w:rPr>
          <w:lang w:val="en-GB"/>
        </w:rPr>
        <w:t>based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rule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parliamentary</w:t>
      </w:r>
      <w:r w:rsidR="00FC2FB1" w:rsidRPr="00F72FB0">
        <w:rPr>
          <w:lang w:val="en-GB"/>
        </w:rPr>
        <w:t xml:space="preserve"> </w:t>
      </w:r>
      <w:r w:rsidRPr="00F72FB0">
        <w:rPr>
          <w:lang w:val="en-GB"/>
        </w:rPr>
        <w:t>sovereignty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predominately</w:t>
      </w:r>
      <w:r w:rsidR="00FC2FB1" w:rsidRPr="00F72FB0">
        <w:rPr>
          <w:lang w:val="en-GB"/>
        </w:rPr>
        <w:t xml:space="preserve"> </w:t>
      </w:r>
      <w:r w:rsidRPr="00F72FB0">
        <w:rPr>
          <w:lang w:val="en-GB"/>
        </w:rPr>
        <w:t>common</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traditions.</w:t>
      </w:r>
      <w:r w:rsidRPr="00F72FB0">
        <w:rPr>
          <w:rStyle w:val="Alaviitteenviite"/>
          <w:lang w:val="en-GB"/>
        </w:rPr>
        <w:footnoteReference w:id="3"/>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seeming</w:t>
      </w:r>
      <w:r w:rsidR="00FC2FB1" w:rsidRPr="00F72FB0">
        <w:rPr>
          <w:lang w:val="en-GB"/>
        </w:rPr>
        <w:t xml:space="preserve"> </w:t>
      </w:r>
      <w:r w:rsidRPr="00F72FB0">
        <w:rPr>
          <w:lang w:val="en-GB"/>
        </w:rPr>
        <w:t>bundle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contradictions</w:t>
      </w:r>
      <w:r w:rsidR="00FC2FB1" w:rsidRPr="00F72FB0">
        <w:rPr>
          <w:lang w:val="en-GB"/>
        </w:rPr>
        <w:t xml:space="preserve"> </w:t>
      </w:r>
      <w:r w:rsidRPr="00F72FB0">
        <w:rPr>
          <w:lang w:val="en-GB"/>
        </w:rPr>
        <w:t>leads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w:t>
      </w:r>
      <w:r w:rsidR="00FC2FB1" w:rsidRPr="00F72FB0">
        <w:rPr>
          <w:lang w:val="en-GB"/>
        </w:rPr>
        <w:t xml:space="preserve"> </w:t>
      </w:r>
      <w:r w:rsidRPr="00F72FB0">
        <w:rPr>
          <w:lang w:val="en-GB"/>
        </w:rPr>
        <w:t>hierarchy</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norms,</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Acts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Parliament</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particularly</w:t>
      </w:r>
      <w:r w:rsidR="00FC2FB1" w:rsidRPr="00F72FB0">
        <w:rPr>
          <w:lang w:val="en-GB"/>
        </w:rPr>
        <w:t xml:space="preserve"> </w:t>
      </w:r>
      <w:r w:rsidRPr="00F72FB0">
        <w:rPr>
          <w:lang w:val="en-GB"/>
        </w:rPr>
        <w:t>‘constitutional</w:t>
      </w:r>
      <w:r w:rsidR="00FC2FB1" w:rsidRPr="00F72FB0">
        <w:rPr>
          <w:lang w:val="en-GB"/>
        </w:rPr>
        <w:t xml:space="preserve"> </w:t>
      </w:r>
      <w:r w:rsidRPr="00F72FB0">
        <w:rPr>
          <w:lang w:val="en-GB"/>
        </w:rPr>
        <w:t>statutes’</w:t>
      </w:r>
      <w:r w:rsidR="00FC2FB1" w:rsidRPr="00F72FB0">
        <w:rPr>
          <w:lang w:val="en-GB"/>
        </w:rPr>
        <w:t xml:space="preserve"> </w:t>
      </w:r>
      <w:r w:rsidRPr="00F72FB0">
        <w:rPr>
          <w:lang w:val="en-GB"/>
        </w:rPr>
        <w:t>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pinnacle.</w:t>
      </w:r>
      <w:r w:rsidRPr="00F72FB0">
        <w:rPr>
          <w:rStyle w:val="Alaviitteenviite"/>
          <w:lang w:val="en-GB"/>
        </w:rPr>
        <w:footnoteReference w:id="4"/>
      </w:r>
      <w:r w:rsidR="00FC2FB1" w:rsidRPr="00F72FB0">
        <w:rPr>
          <w:lang w:val="en-GB"/>
        </w:rPr>
        <w:t xml:space="preserve"> </w:t>
      </w:r>
      <w:r w:rsidRPr="00F72FB0">
        <w:rPr>
          <w:lang w:val="en-GB"/>
        </w:rPr>
        <w:t>Crucial</w:t>
      </w:r>
      <w:r w:rsidR="00FC2FB1" w:rsidRPr="00F72FB0">
        <w:rPr>
          <w:lang w:val="en-GB"/>
        </w:rPr>
        <w:t xml:space="preserve"> </w:t>
      </w:r>
      <w:r w:rsidRPr="00F72FB0">
        <w:rPr>
          <w:lang w:val="en-GB"/>
        </w:rPr>
        <w:t>from</w:t>
      </w:r>
      <w:r w:rsidR="00FC2FB1" w:rsidRPr="00F72FB0">
        <w:rPr>
          <w:lang w:val="en-GB"/>
        </w:rPr>
        <w:t xml:space="preserve"> </w:t>
      </w:r>
      <w:r w:rsidRPr="00F72FB0">
        <w:rPr>
          <w:lang w:val="en-GB"/>
        </w:rPr>
        <w:t>our</w:t>
      </w:r>
      <w:r w:rsidR="00FC2FB1" w:rsidRPr="00F72FB0">
        <w:rPr>
          <w:lang w:val="en-GB"/>
        </w:rPr>
        <w:t xml:space="preserve"> </w:t>
      </w:r>
      <w:r w:rsidRPr="00F72FB0">
        <w:rPr>
          <w:lang w:val="en-GB"/>
        </w:rPr>
        <w:t>perspective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while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encompasses</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statutory</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precedents,</w:t>
      </w:r>
      <w:r w:rsidR="00FC2FB1" w:rsidRPr="00F72FB0">
        <w:rPr>
          <w:lang w:val="en-GB"/>
        </w:rPr>
        <w:t xml:space="preserve"> </w:t>
      </w:r>
      <w:r w:rsidRPr="00F72FB0">
        <w:rPr>
          <w:lang w:val="en-GB"/>
        </w:rPr>
        <w:t>incorporated</w:t>
      </w:r>
      <w:r w:rsidR="00FC2FB1" w:rsidRPr="00F72FB0">
        <w:rPr>
          <w:lang w:val="en-GB"/>
        </w:rPr>
        <w:t xml:space="preserve"> </w:t>
      </w:r>
      <w:r w:rsidRPr="00F72FB0">
        <w:rPr>
          <w:lang w:val="en-GB"/>
        </w:rPr>
        <w:t>international</w:t>
      </w:r>
      <w:r w:rsidR="00FC2FB1" w:rsidRPr="00F72FB0">
        <w:rPr>
          <w:lang w:val="en-GB"/>
        </w:rPr>
        <w:t xml:space="preserve"> </w:t>
      </w:r>
      <w:r w:rsidRPr="00F72FB0">
        <w:rPr>
          <w:lang w:val="en-GB"/>
        </w:rPr>
        <w:t>treaties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so</w:t>
      </w:r>
      <w:r w:rsidR="00FC2FB1" w:rsidRPr="00F72FB0">
        <w:rPr>
          <w:lang w:val="en-GB"/>
        </w:rPr>
        <w:t xml:space="preserve"> </w:t>
      </w:r>
      <w:r w:rsidRPr="00F72FB0">
        <w:rPr>
          <w:lang w:val="en-GB"/>
        </w:rPr>
        <w:t>on,</w:t>
      </w:r>
      <w:r w:rsidRPr="00F72FB0">
        <w:rPr>
          <w:rStyle w:val="Alaviitteenviite"/>
          <w:lang w:val="en-GB"/>
        </w:rPr>
        <w:footnoteReference w:id="5"/>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clearly</w:t>
      </w:r>
      <w:r w:rsidR="00FC2FB1" w:rsidRPr="00F72FB0">
        <w:rPr>
          <w:lang w:val="en-GB"/>
        </w:rPr>
        <w:t xml:space="preserve"> </w:t>
      </w:r>
      <w:r w:rsidRPr="00F72FB0">
        <w:rPr>
          <w:lang w:val="en-GB"/>
        </w:rPr>
        <w:t>distinguish</w:t>
      </w:r>
      <w:r w:rsidR="00FC2FB1" w:rsidRPr="00F72FB0">
        <w:rPr>
          <w:lang w:val="en-GB"/>
        </w:rPr>
        <w:t xml:space="preserve"> </w:t>
      </w:r>
      <w:r w:rsidRPr="00F72FB0">
        <w:rPr>
          <w:lang w:val="en-GB"/>
        </w:rPr>
        <w:t>between</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all</w:t>
      </w:r>
      <w:r w:rsidR="00FC2FB1" w:rsidRPr="00F72FB0">
        <w:rPr>
          <w:lang w:val="en-GB"/>
        </w:rPr>
        <w:t xml:space="preserve"> </w:t>
      </w:r>
      <w:r w:rsidRPr="00F72FB0">
        <w:rPr>
          <w:lang w:val="en-GB"/>
        </w:rPr>
        <w:t>other</w:t>
      </w:r>
      <w:r w:rsidR="00FC2FB1" w:rsidRPr="00F72FB0">
        <w:rPr>
          <w:lang w:val="en-GB"/>
        </w:rPr>
        <w:t xml:space="preserve"> </w:t>
      </w:r>
      <w:r w:rsidRPr="00F72FB0">
        <w:rPr>
          <w:lang w:val="en-GB"/>
        </w:rPr>
        <w:t>non-binding</w:t>
      </w:r>
      <w:r w:rsidR="00FC2FB1" w:rsidRPr="00F72FB0">
        <w:rPr>
          <w:lang w:val="en-GB"/>
        </w:rPr>
        <w:t xml:space="preserve"> </w:t>
      </w:r>
      <w:r w:rsidRPr="00F72FB0">
        <w:rPr>
          <w:lang w:val="en-GB"/>
        </w:rPr>
        <w:t>elements.</w:t>
      </w:r>
      <w:r w:rsidRPr="00F72FB0">
        <w:rPr>
          <w:rStyle w:val="Alaviitteenviite"/>
          <w:lang w:val="en-GB"/>
        </w:rPr>
        <w:footnoteReference w:id="6"/>
      </w:r>
      <w:r w:rsidR="00FC2FB1" w:rsidRPr="00F72FB0">
        <w:rPr>
          <w:lang w:val="en-GB"/>
        </w:rPr>
        <w:t xml:space="preserve"> </w:t>
      </w:r>
      <w:r w:rsidRPr="00F72FB0">
        <w:rPr>
          <w:lang w:val="en-GB"/>
        </w:rPr>
        <w:t>Unless</w:t>
      </w:r>
      <w:r w:rsidR="00FC2FB1" w:rsidRPr="00F72FB0">
        <w:rPr>
          <w:lang w:val="en-GB"/>
        </w:rPr>
        <w:t xml:space="preserve"> </w:t>
      </w:r>
      <w:r w:rsidRPr="00F72FB0">
        <w:rPr>
          <w:lang w:val="en-GB"/>
        </w:rPr>
        <w:t>incorporated</w:t>
      </w:r>
      <w:r w:rsidR="00FC2FB1" w:rsidRPr="00F72FB0">
        <w:rPr>
          <w:lang w:val="en-GB"/>
        </w:rPr>
        <w:t xml:space="preserve"> </w:t>
      </w:r>
      <w:r w:rsidRPr="00F72FB0">
        <w:rPr>
          <w:lang w:val="en-GB"/>
        </w:rPr>
        <w:t>via</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circulars,</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etc</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only</w:t>
      </w:r>
      <w:r w:rsidR="00FC2FB1" w:rsidRPr="00F72FB0">
        <w:rPr>
          <w:lang w:val="en-GB"/>
        </w:rPr>
        <w:t xml:space="preserve"> </w:t>
      </w:r>
      <w:r w:rsidRPr="00F72FB0">
        <w:rPr>
          <w:lang w:val="en-GB"/>
        </w:rPr>
        <w:t>‘quasi-legislation’</w:t>
      </w:r>
      <w:r w:rsidRPr="00F72FB0">
        <w:rPr>
          <w:rStyle w:val="Alaviitteenviite"/>
          <w:lang w:val="en-GB"/>
        </w:rPr>
        <w:footnoteReference w:id="7"/>
      </w:r>
      <w:r w:rsidR="00FC2FB1" w:rsidRPr="00F72FB0">
        <w:rPr>
          <w:lang w:val="en-GB"/>
        </w:rPr>
        <w:t xml:space="preserve"> </w:t>
      </w:r>
      <w:r w:rsidRPr="00F72FB0">
        <w:rPr>
          <w:lang w:val="en-GB"/>
        </w:rPr>
        <w:t>–</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remain</w:t>
      </w:r>
      <w:r w:rsidR="00FC2FB1" w:rsidRPr="00F72FB0">
        <w:rPr>
          <w:lang w:val="en-GB"/>
        </w:rPr>
        <w:t xml:space="preserve"> </w:t>
      </w:r>
      <w:r w:rsidRPr="00F72FB0">
        <w:rPr>
          <w:lang w:val="en-GB"/>
        </w:rPr>
        <w:t>outside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hierarchy</w:t>
      </w:r>
      <w:r w:rsidR="00FC2FB1" w:rsidRPr="00F72FB0">
        <w:rPr>
          <w:lang w:val="en-GB"/>
        </w:rPr>
        <w:t xml:space="preserve"> </w:t>
      </w:r>
      <w:r w:rsidRPr="00F72FB0">
        <w:rPr>
          <w:lang w:val="en-GB"/>
        </w:rPr>
        <w:t>of</w:t>
      </w:r>
      <w:r w:rsidR="004963C2">
        <w:rPr>
          <w:lang w:val="en-GB"/>
        </w:rPr>
        <w:t xml:space="preserve"> (hard)</w:t>
      </w:r>
      <w:r w:rsidR="00FC2FB1" w:rsidRPr="00F72FB0">
        <w:rPr>
          <w:lang w:val="en-GB"/>
        </w:rPr>
        <w:t xml:space="preserve"> </w:t>
      </w:r>
      <w:r w:rsidRPr="00F72FB0">
        <w:rPr>
          <w:lang w:val="en-GB"/>
        </w:rPr>
        <w:t>norms.</w:t>
      </w:r>
      <w:r w:rsidR="00FC2FB1" w:rsidRPr="00F72FB0">
        <w:rPr>
          <w:lang w:val="en-GB"/>
        </w:rPr>
        <w:t xml:space="preserve"> </w:t>
      </w:r>
    </w:p>
    <w:p w14:paraId="73E1EB2E" w14:textId="77777777" w:rsidR="002660B8" w:rsidRPr="00F72FB0" w:rsidRDefault="002660B8" w:rsidP="00E14136">
      <w:pPr>
        <w:spacing w:line="360" w:lineRule="auto"/>
        <w:contextualSpacing/>
        <w:jc w:val="both"/>
        <w:rPr>
          <w:lang w:val="en-GB"/>
        </w:rPr>
      </w:pPr>
    </w:p>
    <w:p w14:paraId="60DEEE19" w14:textId="77777777" w:rsidR="00A26F0D" w:rsidRDefault="000C3534" w:rsidP="00A26F0D">
      <w:pPr>
        <w:spacing w:line="360" w:lineRule="auto"/>
        <w:contextualSpacing/>
        <w:jc w:val="both"/>
        <w:rPr>
          <w:lang w:val="en-GB"/>
        </w:rPr>
      </w:pPr>
      <w:r w:rsidRPr="00F72FB0">
        <w:rPr>
          <w:lang w:val="en-GB"/>
        </w:rPr>
        <w:t>The</w:t>
      </w:r>
      <w:r w:rsidR="00FC2FB1" w:rsidRPr="00F72FB0">
        <w:rPr>
          <w:lang w:val="en-GB"/>
        </w:rPr>
        <w:t xml:space="preserve"> </w:t>
      </w:r>
      <w:r w:rsidRPr="00F72FB0">
        <w:rPr>
          <w:lang w:val="en-GB"/>
        </w:rPr>
        <w:t>consequence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a</w:t>
      </w:r>
      <w:r w:rsidR="00FC2FB1" w:rsidRPr="00F72FB0">
        <w:rPr>
          <w:lang w:val="en-GB"/>
        </w:rPr>
        <w:t xml:space="preserve"> </w:t>
      </w:r>
      <w:r w:rsidRPr="00F72FB0">
        <w:rPr>
          <w:lang w:val="en-GB"/>
        </w:rPr>
        <w:t>statement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significant.</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lowliest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local</w:t>
      </w:r>
      <w:r w:rsidR="00FC2FB1" w:rsidRPr="00F72FB0">
        <w:rPr>
          <w:lang w:val="en-GB"/>
        </w:rPr>
        <w:t xml:space="preserve"> </w:t>
      </w:r>
      <w:r w:rsidRPr="00F72FB0">
        <w:rPr>
          <w:lang w:val="en-GB"/>
        </w:rPr>
        <w:t>bye-laws</w:t>
      </w:r>
      <w:r w:rsidR="00FC2FB1" w:rsidRPr="00F72FB0">
        <w:rPr>
          <w:lang w:val="en-GB"/>
        </w:rPr>
        <w:t xml:space="preserve"> </w:t>
      </w:r>
      <w:r w:rsidRPr="00F72FB0">
        <w:rPr>
          <w:lang w:val="en-GB"/>
        </w:rPr>
        <w:t>conflict</w:t>
      </w:r>
      <w:r w:rsidR="00FC2FB1" w:rsidRPr="00F72FB0">
        <w:rPr>
          <w:lang w:val="en-GB"/>
        </w:rPr>
        <w:t xml:space="preserve"> </w:t>
      </w:r>
      <w:r w:rsidRPr="00F72FB0">
        <w:rPr>
          <w:lang w:val="en-GB"/>
        </w:rPr>
        <w:t>directly,</w:t>
      </w:r>
      <w:r w:rsidR="00FC2FB1" w:rsidRPr="00F72FB0">
        <w:rPr>
          <w:lang w:val="en-GB"/>
        </w:rPr>
        <w:t xml:space="preserve"> </w:t>
      </w:r>
      <w:r w:rsidRPr="00F72FB0">
        <w:rPr>
          <w:lang w:val="en-GB"/>
        </w:rPr>
        <w:t>then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must</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disregarded.</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no</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force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indeed</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justiciable</w:t>
      </w:r>
      <w:r w:rsidRPr="00F72FB0">
        <w:rPr>
          <w:rStyle w:val="Alaviitteenviite"/>
          <w:lang w:val="en-GB"/>
        </w:rPr>
        <w:footnoteReference w:id="8"/>
      </w:r>
      <w:r w:rsidR="00FC2FB1" w:rsidRPr="00F72FB0">
        <w:rPr>
          <w:lang w:val="en-GB"/>
        </w:rPr>
        <w:t xml:space="preserve"> </w:t>
      </w:r>
      <w:r w:rsidRPr="00F72FB0">
        <w:rPr>
          <w:lang w:val="en-GB"/>
        </w:rPr>
        <w:t>–</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appropriate</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adjudication</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Consequently,</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might</w:t>
      </w:r>
      <w:r w:rsidR="00FC2FB1" w:rsidRPr="00F72FB0">
        <w:rPr>
          <w:lang w:val="en-GB"/>
        </w:rPr>
        <w:t xml:space="preserve"> </w:t>
      </w:r>
      <w:r w:rsidRPr="00F72FB0">
        <w:rPr>
          <w:lang w:val="en-GB"/>
        </w:rPr>
        <w:t>expect</w:t>
      </w:r>
      <w:r w:rsidR="00FC2FB1" w:rsidRPr="00F72FB0">
        <w:rPr>
          <w:lang w:val="en-GB"/>
        </w:rPr>
        <w:t xml:space="preserve"> </w:t>
      </w:r>
      <w:r w:rsidRPr="00F72FB0">
        <w:rPr>
          <w:lang w:val="en-GB"/>
        </w:rPr>
        <w:t>them</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play</w:t>
      </w:r>
      <w:r w:rsidR="00FC2FB1" w:rsidRPr="00F72FB0">
        <w:rPr>
          <w:lang w:val="en-GB"/>
        </w:rPr>
        <w:t xml:space="preserve"> </w:t>
      </w:r>
      <w:r w:rsidRPr="00F72FB0">
        <w:rPr>
          <w:lang w:val="en-GB"/>
        </w:rPr>
        <w:t>a</w:t>
      </w:r>
      <w:r w:rsidR="00FC2FB1" w:rsidRPr="00F72FB0">
        <w:rPr>
          <w:lang w:val="en-GB"/>
        </w:rPr>
        <w:t xml:space="preserve"> </w:t>
      </w:r>
      <w:r w:rsidRPr="00F72FB0">
        <w:rPr>
          <w:lang w:val="en-GB"/>
        </w:rPr>
        <w:t>significant</w:t>
      </w:r>
      <w:r w:rsidR="00FC2FB1" w:rsidRPr="00F72FB0">
        <w:rPr>
          <w:lang w:val="en-GB"/>
        </w:rPr>
        <w:t xml:space="preserve"> </w:t>
      </w:r>
      <w:r w:rsidRPr="00F72FB0">
        <w:rPr>
          <w:lang w:val="en-GB"/>
        </w:rPr>
        <w:t>role</w:t>
      </w:r>
      <w:r w:rsidR="00FC2FB1" w:rsidRPr="00F72FB0">
        <w:rPr>
          <w:lang w:val="en-GB"/>
        </w:rPr>
        <w:t xml:space="preserve"> </w:t>
      </w: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w:t>
      </w:r>
      <w:r w:rsidR="00FC2FB1" w:rsidRPr="00F72FB0">
        <w:rPr>
          <w:lang w:val="en-GB"/>
        </w:rPr>
        <w:t xml:space="preserve"> </w:t>
      </w:r>
      <w:r w:rsidRPr="00F72FB0">
        <w:rPr>
          <w:lang w:val="en-GB"/>
        </w:rPr>
        <w:t>whether</w:t>
      </w:r>
      <w:r w:rsidR="00FC2FB1" w:rsidRPr="00F72FB0">
        <w:rPr>
          <w:lang w:val="en-GB"/>
        </w:rPr>
        <w:t xml:space="preserve"> </w:t>
      </w:r>
      <w:r w:rsidRPr="00F72FB0">
        <w:rPr>
          <w:lang w:val="en-GB"/>
        </w:rPr>
        <w:t>before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executive</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administrative</w:t>
      </w:r>
      <w:r w:rsidR="00FC2FB1" w:rsidRPr="00F72FB0">
        <w:rPr>
          <w:lang w:val="en-GB"/>
        </w:rPr>
        <w:t xml:space="preserve"> </w:t>
      </w:r>
      <w:r w:rsidRPr="00F72FB0">
        <w:rPr>
          <w:lang w:val="en-GB"/>
        </w:rPr>
        <w:t>decision-making.</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end</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story.</w:t>
      </w:r>
      <w:r w:rsidRPr="00F72FB0">
        <w:rPr>
          <w:rStyle w:val="Alaviitteenviite"/>
          <w:lang w:val="en-GB"/>
        </w:rPr>
        <w:footnoteReference w:id="9"/>
      </w:r>
      <w:r w:rsidR="00FC2FB1" w:rsidRPr="00F72FB0">
        <w:rPr>
          <w:lang w:val="en-GB"/>
        </w:rPr>
        <w:t xml:space="preserve"> </w:t>
      </w:r>
    </w:p>
    <w:p w14:paraId="1D8085AB" w14:textId="77777777" w:rsidR="00A26F0D" w:rsidRDefault="00A26F0D" w:rsidP="00A26F0D">
      <w:pPr>
        <w:spacing w:line="360" w:lineRule="auto"/>
        <w:contextualSpacing/>
        <w:jc w:val="both"/>
        <w:rPr>
          <w:bCs/>
          <w:lang w:val="en-GB"/>
        </w:rPr>
      </w:pPr>
    </w:p>
    <w:p w14:paraId="40CBEA3F" w14:textId="24C78FC1" w:rsidR="002660B8" w:rsidRPr="00A26F0D" w:rsidRDefault="00A26F0D" w:rsidP="00A26F0D">
      <w:pPr>
        <w:spacing w:line="360" w:lineRule="auto"/>
        <w:contextualSpacing/>
        <w:jc w:val="both"/>
        <w:rPr>
          <w:lang w:val="en-GB"/>
        </w:rPr>
      </w:pPr>
      <w:r>
        <w:rPr>
          <w:bCs/>
          <w:lang w:val="en-GB"/>
        </w:rPr>
        <w:t xml:space="preserve">ii) </w:t>
      </w:r>
      <w:r w:rsidR="002660B8" w:rsidRPr="00F72FB0">
        <w:rPr>
          <w:bCs/>
          <w:lang w:val="en-GB"/>
        </w:rPr>
        <w:t>The</w:t>
      </w:r>
      <w:r w:rsidR="00FC2FB1" w:rsidRPr="00F72FB0">
        <w:rPr>
          <w:bCs/>
          <w:lang w:val="en-GB"/>
        </w:rPr>
        <w:t xml:space="preserve"> </w:t>
      </w:r>
      <w:r w:rsidR="002660B8" w:rsidRPr="00F72FB0">
        <w:rPr>
          <w:bCs/>
          <w:lang w:val="en-GB"/>
        </w:rPr>
        <w:t>use</w:t>
      </w:r>
      <w:r w:rsidR="00FC2FB1" w:rsidRPr="00F72FB0">
        <w:rPr>
          <w:bCs/>
          <w:lang w:val="en-GB"/>
        </w:rPr>
        <w:t xml:space="preserve"> </w:t>
      </w:r>
      <w:r w:rsidR="002660B8" w:rsidRPr="00F72FB0">
        <w:rPr>
          <w:bCs/>
          <w:lang w:val="en-GB"/>
        </w:rPr>
        <w:t>of</w:t>
      </w:r>
      <w:r w:rsidR="00FC2FB1" w:rsidRPr="00F72FB0">
        <w:rPr>
          <w:bCs/>
          <w:lang w:val="en-GB"/>
        </w:rPr>
        <w:t xml:space="preserve"> </w:t>
      </w:r>
      <w:r w:rsidR="002660B8" w:rsidRPr="00F72FB0">
        <w:rPr>
          <w:bCs/>
          <w:lang w:val="en-GB"/>
        </w:rPr>
        <w:t>soft</w:t>
      </w:r>
      <w:r w:rsidR="00FC2FB1" w:rsidRPr="00F72FB0">
        <w:rPr>
          <w:bCs/>
          <w:lang w:val="en-GB"/>
        </w:rPr>
        <w:t xml:space="preserve"> </w:t>
      </w:r>
      <w:r w:rsidR="002660B8" w:rsidRPr="00F72FB0">
        <w:rPr>
          <w:bCs/>
          <w:lang w:val="en-GB"/>
        </w:rPr>
        <w:t>law</w:t>
      </w:r>
      <w:r w:rsidR="00FC2FB1" w:rsidRPr="00F72FB0">
        <w:rPr>
          <w:bCs/>
          <w:lang w:val="en-GB"/>
        </w:rPr>
        <w:t xml:space="preserve"> </w:t>
      </w:r>
      <w:r w:rsidR="002660B8" w:rsidRPr="00F72FB0">
        <w:rPr>
          <w:bCs/>
          <w:lang w:val="en-GB"/>
        </w:rPr>
        <w:t>instruments</w:t>
      </w:r>
    </w:p>
    <w:p w14:paraId="1EE051D4" w14:textId="77777777" w:rsidR="00DD6CEA" w:rsidRPr="00F72FB0" w:rsidRDefault="00DD6CEA" w:rsidP="00E14136">
      <w:pPr>
        <w:spacing w:line="360" w:lineRule="auto"/>
        <w:contextualSpacing/>
        <w:jc w:val="both"/>
        <w:rPr>
          <w:lang w:val="en-GB"/>
        </w:rPr>
      </w:pPr>
    </w:p>
    <w:p w14:paraId="14840EBF" w14:textId="06C1C791" w:rsidR="000C3534" w:rsidRPr="00F72FB0" w:rsidRDefault="000C3534" w:rsidP="00E14136">
      <w:pPr>
        <w:spacing w:line="360" w:lineRule="auto"/>
        <w:contextualSpacing/>
        <w:jc w:val="both"/>
        <w:rPr>
          <w:lang w:val="en-GB"/>
        </w:rPr>
      </w:pPr>
      <w:r w:rsidRPr="00F72FB0">
        <w:rPr>
          <w:lang w:val="en-GB"/>
        </w:rPr>
        <w:t>Firstly,</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possible</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incorporated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reference,</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into</w:t>
      </w:r>
      <w:r w:rsidR="00FC2FB1" w:rsidRPr="00F72FB0">
        <w:rPr>
          <w:lang w:val="en-GB"/>
        </w:rPr>
        <w:t xml:space="preserve"> </w:t>
      </w:r>
      <w:r w:rsidRPr="00F72FB0">
        <w:rPr>
          <w:lang w:val="en-GB"/>
        </w:rPr>
        <w:t>Acts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Parliament,</w:t>
      </w:r>
      <w:r w:rsidR="00FC2FB1" w:rsidRPr="00F72FB0">
        <w:rPr>
          <w:lang w:val="en-GB"/>
        </w:rPr>
        <w:t xml:space="preserve"> </w:t>
      </w:r>
      <w:r w:rsidRPr="00F72FB0">
        <w:rPr>
          <w:lang w:val="en-GB"/>
        </w:rPr>
        <w:t>eg</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impose</w:t>
      </w:r>
      <w:r w:rsidR="00FC2FB1" w:rsidRPr="00F72FB0">
        <w:rPr>
          <w:lang w:val="en-GB"/>
        </w:rPr>
        <w:t xml:space="preserve"> </w:t>
      </w:r>
      <w:r w:rsidRPr="00F72FB0">
        <w:rPr>
          <w:lang w:val="en-GB"/>
        </w:rPr>
        <w:t>obligations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regard’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planning</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frameworks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statements,</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proposed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2019</w:t>
      </w:r>
      <w:r w:rsidR="00FC2FB1" w:rsidRPr="00F72FB0">
        <w:rPr>
          <w:lang w:val="en-GB"/>
        </w:rPr>
        <w:t xml:space="preserve"> </w:t>
      </w:r>
      <w:r w:rsidRPr="00F72FB0">
        <w:rPr>
          <w:lang w:val="en-GB"/>
        </w:rPr>
        <w:t>Environment</w:t>
      </w:r>
      <w:r w:rsidR="00FC2FB1" w:rsidRPr="00F72FB0">
        <w:rPr>
          <w:lang w:val="en-GB"/>
        </w:rPr>
        <w:t xml:space="preserve"> </w:t>
      </w:r>
      <w:r w:rsidRPr="00F72FB0">
        <w:rPr>
          <w:lang w:val="en-GB"/>
        </w:rPr>
        <w:t>(Principles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Governance)</w:t>
      </w:r>
      <w:r w:rsidR="00FC2FB1" w:rsidRPr="00F72FB0">
        <w:rPr>
          <w:lang w:val="en-GB"/>
        </w:rPr>
        <w:t xml:space="preserve"> </w:t>
      </w:r>
      <w:r w:rsidRPr="00F72FB0">
        <w:rPr>
          <w:lang w:val="en-GB"/>
        </w:rPr>
        <w:t>Bill</w:t>
      </w:r>
      <w:r w:rsidR="00FC2FB1" w:rsidRPr="00F72FB0">
        <w:rPr>
          <w:lang w:val="en-GB"/>
        </w:rPr>
        <w:t xml:space="preserve"> </w:t>
      </w:r>
      <w:r w:rsidRPr="00F72FB0">
        <w:rPr>
          <w:lang w:val="en-GB"/>
        </w:rPr>
        <w:t>regarding</w:t>
      </w:r>
      <w:r w:rsidR="00FC2FB1" w:rsidRPr="00F72FB0">
        <w:rPr>
          <w:lang w:val="en-GB"/>
        </w:rPr>
        <w:t xml:space="preserve"> </w:t>
      </w:r>
      <w:r w:rsidRPr="00F72FB0">
        <w:rPr>
          <w:lang w:val="en-GB"/>
        </w:rPr>
        <w:t>a</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statement</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principles.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would</w:t>
      </w:r>
      <w:r w:rsidR="00FC2FB1" w:rsidRPr="00F72FB0">
        <w:rPr>
          <w:lang w:val="en-GB"/>
        </w:rPr>
        <w:t xml:space="preserve"> </w:t>
      </w:r>
      <w:r w:rsidRPr="00F72FB0">
        <w:rPr>
          <w:lang w:val="en-GB"/>
        </w:rPr>
        <w:t>effectively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part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until</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amended.</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concern</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ease</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which</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itself</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amended</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replaced,</w:t>
      </w:r>
      <w:r w:rsidR="00FC2FB1" w:rsidRPr="00F72FB0">
        <w:rPr>
          <w:lang w:val="en-GB"/>
        </w:rPr>
        <w:t xml:space="preserve"> </w:t>
      </w:r>
      <w:r w:rsidRPr="00F72FB0">
        <w:rPr>
          <w:lang w:val="en-GB"/>
        </w:rPr>
        <w:t>thereby</w:t>
      </w:r>
      <w:r w:rsidR="00FC2FB1" w:rsidRPr="00F72FB0">
        <w:rPr>
          <w:lang w:val="en-GB"/>
        </w:rPr>
        <w:t xml:space="preserve"> </w:t>
      </w:r>
      <w:r w:rsidRPr="00F72FB0">
        <w:rPr>
          <w:lang w:val="en-GB"/>
        </w:rPr>
        <w:t>bypassing</w:t>
      </w:r>
      <w:r w:rsidR="00FC2FB1" w:rsidRPr="00F72FB0">
        <w:rPr>
          <w:lang w:val="en-GB"/>
        </w:rPr>
        <w:t xml:space="preserve"> </w:t>
      </w:r>
      <w:r w:rsidRPr="00F72FB0">
        <w:rPr>
          <w:lang w:val="en-GB"/>
        </w:rPr>
        <w:t>ordinary</w:t>
      </w:r>
      <w:r w:rsidR="00FC2FB1" w:rsidRPr="00F72FB0">
        <w:rPr>
          <w:lang w:val="en-GB"/>
        </w:rPr>
        <w:t xml:space="preserve"> </w:t>
      </w:r>
      <w:r w:rsidRPr="00F72FB0">
        <w:rPr>
          <w:lang w:val="en-GB"/>
        </w:rPr>
        <w:t>scrutiny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accountability</w:t>
      </w:r>
      <w:r w:rsidR="00FC2FB1" w:rsidRPr="00F72FB0">
        <w:rPr>
          <w:lang w:val="en-GB"/>
        </w:rPr>
        <w:t xml:space="preserve"> </w:t>
      </w:r>
      <w:r w:rsidRPr="00F72FB0">
        <w:rPr>
          <w:lang w:val="en-GB"/>
        </w:rPr>
        <w:t>measures.</w:t>
      </w:r>
      <w:r w:rsidRPr="00F72FB0">
        <w:rPr>
          <w:rStyle w:val="Alaviitteenviite"/>
          <w:lang w:val="en-GB"/>
        </w:rPr>
        <w:footnoteReference w:id="10"/>
      </w:r>
    </w:p>
    <w:p w14:paraId="41935ED5" w14:textId="77777777" w:rsidR="002660B8" w:rsidRPr="00F72FB0" w:rsidRDefault="002660B8" w:rsidP="00E14136">
      <w:pPr>
        <w:spacing w:line="360" w:lineRule="auto"/>
        <w:contextualSpacing/>
        <w:jc w:val="both"/>
        <w:rPr>
          <w:lang w:val="en-GB"/>
        </w:rPr>
      </w:pPr>
    </w:p>
    <w:p w14:paraId="68559850" w14:textId="682A7AC8" w:rsidR="000C3534" w:rsidRPr="00F72FB0" w:rsidRDefault="000C3534" w:rsidP="00E14136">
      <w:pPr>
        <w:spacing w:line="360" w:lineRule="auto"/>
        <w:contextualSpacing/>
        <w:jc w:val="both"/>
        <w:rPr>
          <w:lang w:val="en-GB"/>
        </w:rPr>
      </w:pPr>
      <w:r w:rsidRPr="00F72FB0">
        <w:rPr>
          <w:lang w:val="en-GB"/>
        </w:rPr>
        <w:t>Secondly,</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without</w:t>
      </w:r>
      <w:r w:rsidR="00FC2FB1" w:rsidRPr="00F72FB0">
        <w:rPr>
          <w:lang w:val="en-GB"/>
        </w:rPr>
        <w:t xml:space="preserve"> </w:t>
      </w:r>
      <w:r w:rsidRPr="00F72FB0">
        <w:rPr>
          <w:lang w:val="en-GB"/>
        </w:rPr>
        <w:t>incorporation,</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stop</w:t>
      </w:r>
      <w:r w:rsidR="00FC2FB1" w:rsidRPr="00F72FB0">
        <w:rPr>
          <w:lang w:val="en-GB"/>
        </w:rPr>
        <w:t xml:space="preserve"> </w:t>
      </w:r>
      <w:r w:rsidRPr="00F72FB0">
        <w:rPr>
          <w:lang w:val="en-GB"/>
        </w:rPr>
        <w:t>them</w:t>
      </w:r>
      <w:r w:rsidR="00FC2FB1" w:rsidRPr="00F72FB0">
        <w:rPr>
          <w:lang w:val="en-GB"/>
        </w:rPr>
        <w:t xml:space="preserve"> </w:t>
      </w:r>
      <w:r w:rsidRPr="00F72FB0">
        <w:rPr>
          <w:lang w:val="en-GB"/>
        </w:rPr>
        <w:t>being</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w:t>
      </w:r>
      <w:r w:rsidR="00FC2FB1" w:rsidRPr="00F72FB0">
        <w:rPr>
          <w:lang w:val="en-GB"/>
        </w:rPr>
        <w:t xml:space="preserve"> </w:t>
      </w:r>
      <w:r w:rsidRPr="00F72FB0">
        <w:rPr>
          <w:lang w:val="en-GB"/>
        </w:rPr>
        <w:t>either</w:t>
      </w:r>
      <w:r w:rsidR="00FC2FB1" w:rsidRPr="00F72FB0">
        <w:rPr>
          <w:lang w:val="en-GB"/>
        </w:rPr>
        <w:t xml:space="preserve"> </w:t>
      </w:r>
      <w:r w:rsidRPr="00F72FB0">
        <w:rPr>
          <w:lang w:val="en-GB"/>
        </w:rPr>
        <w:t>expressly</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implicitly,</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w:t>
      </w:r>
      <w:r w:rsidR="00FC2FB1" w:rsidRPr="00F72FB0">
        <w:rPr>
          <w:lang w:val="en-GB"/>
        </w:rPr>
        <w:t xml:space="preserve"> </w:t>
      </w:r>
      <w:r w:rsidRPr="00F72FB0">
        <w:rPr>
          <w:lang w:val="en-GB"/>
        </w:rPr>
        <w:t>greater</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lesser</w:t>
      </w:r>
      <w:r w:rsidR="00FC2FB1" w:rsidRPr="00F72FB0">
        <w:rPr>
          <w:lang w:val="en-GB"/>
        </w:rPr>
        <w:t xml:space="preserve"> </w:t>
      </w:r>
      <w:r w:rsidRPr="00F72FB0">
        <w:rPr>
          <w:lang w:val="en-GB"/>
        </w:rPr>
        <w:t>extent.</w:t>
      </w:r>
      <w:r w:rsidR="00FC2FB1" w:rsidRPr="00F72FB0">
        <w:rPr>
          <w:lang w:val="en-GB"/>
        </w:rPr>
        <w:t xml:space="preserve"> </w:t>
      </w:r>
      <w:r w:rsidRPr="00F72FB0">
        <w:rPr>
          <w:lang w:val="en-GB"/>
        </w:rPr>
        <w:t>Provided</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was</w:t>
      </w:r>
      <w:r w:rsidR="00FC2FB1" w:rsidRPr="00F72FB0">
        <w:rPr>
          <w:lang w:val="en-GB"/>
        </w:rPr>
        <w:t xml:space="preserve"> </w:t>
      </w:r>
      <w:r w:rsidRPr="00F72FB0">
        <w:rPr>
          <w:lang w:val="en-GB"/>
        </w:rPr>
        <w:t>no</w:t>
      </w:r>
      <w:r w:rsidR="00FC2FB1" w:rsidRPr="00F72FB0">
        <w:rPr>
          <w:lang w:val="en-GB"/>
        </w:rPr>
        <w:t xml:space="preserve"> </w:t>
      </w:r>
      <w:r w:rsidRPr="00F72FB0">
        <w:rPr>
          <w:lang w:val="en-GB"/>
        </w:rPr>
        <w:t>conflict</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norms,</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could</w:t>
      </w:r>
      <w:r w:rsidR="00FC2FB1" w:rsidRPr="00F72FB0">
        <w:rPr>
          <w:lang w:val="en-GB"/>
        </w:rPr>
        <w:t xml:space="preserve"> </w:t>
      </w:r>
      <w:r w:rsidRPr="00F72FB0">
        <w:rPr>
          <w:lang w:val="en-GB"/>
        </w:rPr>
        <w:t>avail</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them</w:t>
      </w:r>
      <w:r w:rsidR="00FC2FB1" w:rsidRPr="00F72FB0">
        <w:rPr>
          <w:lang w:val="en-GB"/>
        </w:rPr>
        <w:t xml:space="preserve"> </w:t>
      </w:r>
      <w:r w:rsidRPr="00F72FB0">
        <w:rPr>
          <w:lang w:val="en-GB"/>
        </w:rPr>
        <w:t>daily</w:t>
      </w:r>
      <w:r w:rsidR="00FC2FB1" w:rsidRPr="00F72FB0">
        <w:rPr>
          <w:lang w:val="en-GB"/>
        </w:rPr>
        <w:t xml:space="preserve"> </w:t>
      </w:r>
      <w:r w:rsidRPr="00F72FB0">
        <w:rPr>
          <w:lang w:val="en-GB"/>
        </w:rPr>
        <w:t>–</w:t>
      </w:r>
      <w:r w:rsidR="00FC2FB1" w:rsidRPr="00F72FB0">
        <w:rPr>
          <w:lang w:val="en-GB"/>
        </w:rPr>
        <w:t xml:space="preserve"> </w:t>
      </w:r>
      <w:r w:rsidRPr="00F72FB0">
        <w:rPr>
          <w:lang w:val="en-GB"/>
        </w:rPr>
        <w:t>something</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raises</w:t>
      </w:r>
      <w:r w:rsidR="00FC2FB1" w:rsidRPr="00F72FB0">
        <w:rPr>
          <w:lang w:val="en-GB"/>
        </w:rPr>
        <w:t xml:space="preserve"> </w:t>
      </w:r>
      <w:r w:rsidRPr="00F72FB0">
        <w:rPr>
          <w:lang w:val="en-GB"/>
        </w:rPr>
        <w:t>considerable</w:t>
      </w:r>
      <w:r w:rsidR="00FC2FB1" w:rsidRPr="00F72FB0">
        <w:rPr>
          <w:lang w:val="en-GB"/>
        </w:rPr>
        <w:t xml:space="preserve"> </w:t>
      </w:r>
      <w:r w:rsidRPr="00F72FB0">
        <w:rPr>
          <w:lang w:val="en-GB"/>
        </w:rPr>
        <w:t>concerns</w:t>
      </w:r>
      <w:r w:rsidR="00FC2FB1" w:rsidRPr="00F72FB0">
        <w:rPr>
          <w:lang w:val="en-GB"/>
        </w:rPr>
        <w:t xml:space="preserve"> </w:t>
      </w:r>
      <w:r w:rsidRPr="00F72FB0">
        <w:rPr>
          <w:lang w:val="en-GB"/>
        </w:rPr>
        <w:t>about</w:t>
      </w:r>
      <w:r w:rsidR="00FC2FB1" w:rsidRPr="00F72FB0">
        <w:rPr>
          <w:lang w:val="en-GB"/>
        </w:rPr>
        <w:t xml:space="preserve"> </w:t>
      </w:r>
      <w:r w:rsidRPr="00F72FB0">
        <w:rPr>
          <w:lang w:val="en-GB"/>
        </w:rPr>
        <w:t>democracy,</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certainty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rule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especially</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publicly</w:t>
      </w:r>
      <w:r w:rsidR="00FC2FB1" w:rsidRPr="00F72FB0">
        <w:rPr>
          <w:lang w:val="en-GB"/>
        </w:rPr>
        <w:t xml:space="preserve"> </w:t>
      </w:r>
      <w:r w:rsidRPr="00F72FB0">
        <w:rPr>
          <w:lang w:val="en-GB"/>
        </w:rPr>
        <w:t>available.</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generally</w:t>
      </w:r>
      <w:r w:rsidR="00FC2FB1" w:rsidRPr="00F72FB0">
        <w:rPr>
          <w:lang w:val="en-GB"/>
        </w:rPr>
        <w:t xml:space="preserve"> </w:t>
      </w:r>
      <w:r w:rsidRPr="00F72FB0">
        <w:rPr>
          <w:lang w:val="en-GB"/>
        </w:rPr>
        <w:t>ought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take</w:t>
      </w:r>
      <w:r w:rsidR="00FC2FB1" w:rsidRPr="00F72FB0">
        <w:rPr>
          <w:lang w:val="en-GB"/>
        </w:rPr>
        <w:t xml:space="preserve"> </w:t>
      </w:r>
      <w:r w:rsidRPr="00F72FB0">
        <w:rPr>
          <w:lang w:val="en-GB"/>
        </w:rPr>
        <w:t>account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any</w:t>
      </w:r>
      <w:r w:rsidR="00FC2FB1" w:rsidRPr="00F72FB0">
        <w:rPr>
          <w:lang w:val="en-GB"/>
        </w:rPr>
        <w:t xml:space="preserve"> </w:t>
      </w:r>
      <w:r w:rsidRPr="00F72FB0">
        <w:rPr>
          <w:lang w:val="en-GB"/>
        </w:rPr>
        <w:t>appropriate</w:t>
      </w:r>
      <w:r w:rsidR="00FC2FB1" w:rsidRPr="00F72FB0">
        <w:rPr>
          <w:lang w:val="en-GB"/>
        </w:rPr>
        <w:t xml:space="preserve"> </w:t>
      </w:r>
      <w:r w:rsidRPr="00F72FB0">
        <w:rPr>
          <w:lang w:val="en-GB"/>
        </w:rPr>
        <w:t>‘relevant</w:t>
      </w:r>
      <w:r w:rsidR="00FC2FB1" w:rsidRPr="00F72FB0">
        <w:rPr>
          <w:lang w:val="en-GB"/>
        </w:rPr>
        <w:t xml:space="preserve"> </w:t>
      </w:r>
      <w:r w:rsidRPr="00F72FB0">
        <w:rPr>
          <w:lang w:val="en-GB"/>
        </w:rPr>
        <w:t>considerations’</w:t>
      </w:r>
      <w:r w:rsidRPr="00F72FB0">
        <w:rPr>
          <w:rStyle w:val="Alaviitteenviite"/>
          <w:lang w:val="en-GB"/>
        </w:rPr>
        <w:footnoteReference w:id="11"/>
      </w:r>
      <w:r w:rsidR="00FC2FB1" w:rsidRPr="00F72FB0">
        <w:rPr>
          <w:lang w:val="en-GB"/>
        </w:rPr>
        <w:t xml:space="preserve"> </w:t>
      </w:r>
      <w:r w:rsidRPr="00F72FB0">
        <w:rPr>
          <w:lang w:val="en-GB"/>
        </w:rPr>
        <w:t>and</w:t>
      </w:r>
      <w:r w:rsidR="00FC2FB1" w:rsidRPr="00F72FB0">
        <w:rPr>
          <w:lang w:val="en-GB"/>
        </w:rPr>
        <w:t xml:space="preserve"> </w:t>
      </w:r>
      <w:r w:rsidRPr="00F72FB0">
        <w:rPr>
          <w:lang w:val="en-GB"/>
        </w:rPr>
        <w:t>disregard</w:t>
      </w:r>
      <w:r w:rsidR="00FC2FB1" w:rsidRPr="00F72FB0">
        <w:rPr>
          <w:lang w:val="en-GB"/>
        </w:rPr>
        <w:t xml:space="preserve"> </w:t>
      </w:r>
      <w:r w:rsidRPr="00F72FB0">
        <w:rPr>
          <w:lang w:val="en-GB"/>
        </w:rPr>
        <w:t>any</w:t>
      </w:r>
      <w:r w:rsidR="00FC2FB1" w:rsidRPr="00F72FB0">
        <w:rPr>
          <w:lang w:val="en-GB"/>
        </w:rPr>
        <w:t xml:space="preserve"> </w:t>
      </w:r>
      <w:r w:rsidRPr="00F72FB0">
        <w:rPr>
          <w:lang w:val="en-GB"/>
        </w:rPr>
        <w:t>irrelevant</w:t>
      </w:r>
      <w:r w:rsidR="00FC2FB1" w:rsidRPr="00F72FB0">
        <w:rPr>
          <w:lang w:val="en-GB"/>
        </w:rPr>
        <w:t xml:space="preserve"> </w:t>
      </w:r>
      <w:r w:rsidRPr="00F72FB0">
        <w:rPr>
          <w:lang w:val="en-GB"/>
        </w:rPr>
        <w:t>ones</w:t>
      </w:r>
      <w:r w:rsidR="00FC2FB1" w:rsidRPr="00F72FB0">
        <w:rPr>
          <w:lang w:val="en-GB"/>
        </w:rPr>
        <w:t xml:space="preserve"> </w:t>
      </w:r>
      <w:r w:rsidRPr="00F72FB0">
        <w:rPr>
          <w:lang w:val="en-GB"/>
        </w:rPr>
        <w:t>–</w:t>
      </w:r>
      <w:r w:rsidR="00FC2FB1" w:rsidRPr="00F72FB0">
        <w:rPr>
          <w:lang w:val="en-GB"/>
        </w:rPr>
        <w:t xml:space="preserve"> </w:t>
      </w:r>
      <w:r w:rsidRPr="00F72FB0">
        <w:rPr>
          <w:lang w:val="en-GB"/>
        </w:rPr>
        <w:t>begging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question</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whether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question</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relevant</w:t>
      </w:r>
      <w:r w:rsidR="00FC2FB1" w:rsidRPr="00F72FB0">
        <w:rPr>
          <w:lang w:val="en-GB"/>
        </w:rPr>
        <w:t xml:space="preserve"> </w:t>
      </w:r>
      <w:r w:rsidRPr="00F72FB0">
        <w:rPr>
          <w:lang w:val="en-GB"/>
        </w:rPr>
        <w:t>consideration.</w:t>
      </w:r>
    </w:p>
    <w:p w14:paraId="08616FA9" w14:textId="77777777" w:rsidR="002660B8" w:rsidRPr="00F72FB0" w:rsidRDefault="002660B8" w:rsidP="00E14136">
      <w:pPr>
        <w:spacing w:line="360" w:lineRule="auto"/>
        <w:contextualSpacing/>
        <w:rPr>
          <w:lang w:val="en-GB"/>
        </w:rPr>
      </w:pPr>
    </w:p>
    <w:p w14:paraId="14D5B54F" w14:textId="59724601" w:rsidR="000C3534" w:rsidRPr="00F72FB0" w:rsidRDefault="000C3534" w:rsidP="00E14136">
      <w:pPr>
        <w:spacing w:line="360" w:lineRule="auto"/>
        <w:contextualSpacing/>
        <w:jc w:val="both"/>
        <w:rPr>
          <w:lang w:val="en-GB"/>
        </w:rPr>
      </w:pPr>
      <w:r w:rsidRPr="00F72FB0">
        <w:rPr>
          <w:lang w:val="en-GB"/>
        </w:rPr>
        <w:t>Thirdly,</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common</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system</w:t>
      </w:r>
      <w:r w:rsidR="00FC2FB1" w:rsidRPr="00F72FB0">
        <w:rPr>
          <w:lang w:val="en-GB"/>
        </w:rPr>
        <w:t xml:space="preserve"> </w:t>
      </w:r>
      <w:r w:rsidRPr="00F72FB0">
        <w:rPr>
          <w:lang w:val="en-GB"/>
        </w:rPr>
        <w:t>must</w:t>
      </w:r>
      <w:r w:rsidR="00FC2FB1" w:rsidRPr="00F72FB0">
        <w:rPr>
          <w:lang w:val="en-GB"/>
        </w:rPr>
        <w:t xml:space="preserve"> </w:t>
      </w:r>
      <w:r w:rsidRPr="00F72FB0">
        <w:rPr>
          <w:lang w:val="en-GB"/>
        </w:rPr>
        <w:t>adjudicate</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debates</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clear,</w:t>
      </w:r>
      <w:r w:rsidR="00FC2FB1" w:rsidRPr="00F72FB0">
        <w:rPr>
          <w:lang w:val="en-GB"/>
        </w:rPr>
        <w:t xml:space="preserve"> </w:t>
      </w:r>
      <w:r w:rsidRPr="00F72FB0">
        <w:rPr>
          <w:lang w:val="en-GB"/>
        </w:rPr>
        <w:t>but</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opaque</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effectively</w:t>
      </w:r>
      <w:r w:rsidR="00FC2FB1" w:rsidRPr="00F72FB0">
        <w:rPr>
          <w:lang w:val="en-GB"/>
        </w:rPr>
        <w:t xml:space="preserve"> </w:t>
      </w:r>
      <w:r w:rsidRPr="00F72FB0">
        <w:rPr>
          <w:lang w:val="en-GB"/>
        </w:rPr>
        <w:t>gaps.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contrast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civil</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system:</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codified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same</w:t>
      </w:r>
      <w:r w:rsidR="00FC2FB1" w:rsidRPr="00F72FB0">
        <w:rPr>
          <w:lang w:val="en-GB"/>
        </w:rPr>
        <w:t xml:space="preserve"> </w:t>
      </w:r>
      <w:r w:rsidRPr="00F72FB0">
        <w:rPr>
          <w:lang w:val="en-GB"/>
        </w:rPr>
        <w:t>extent;</w:t>
      </w:r>
      <w:r w:rsidR="00FC2FB1" w:rsidRPr="00F72FB0">
        <w:rPr>
          <w:lang w:val="en-GB"/>
        </w:rPr>
        <w:t xml:space="preserve"> </w:t>
      </w:r>
      <w:r w:rsidRPr="00F72FB0">
        <w:rPr>
          <w:lang w:val="en-GB"/>
        </w:rPr>
        <w:t>judges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restricted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stating</w:t>
      </w:r>
      <w:r w:rsidR="00FC2FB1" w:rsidRPr="00F72FB0">
        <w:rPr>
          <w:lang w:val="en-GB"/>
        </w:rPr>
        <w:t xml:space="preserve"> </w:t>
      </w:r>
      <w:r w:rsidRPr="00F72FB0">
        <w:rPr>
          <w:lang w:val="en-GB"/>
        </w:rPr>
        <w:t>what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precedent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essential</w:t>
      </w:r>
      <w:r w:rsidR="00FC2FB1" w:rsidRPr="00F72FB0">
        <w:rPr>
          <w:lang w:val="en-GB"/>
        </w:rPr>
        <w:t xml:space="preserve"> </w:t>
      </w:r>
      <w:r w:rsidRPr="00F72FB0">
        <w:rPr>
          <w:lang w:val="en-GB"/>
        </w:rPr>
        <w:t>component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Therefore,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both</w:t>
      </w:r>
      <w:r w:rsidR="00FC2FB1" w:rsidRPr="00F72FB0">
        <w:rPr>
          <w:lang w:val="en-GB"/>
        </w:rPr>
        <w:t xml:space="preserve"> </w:t>
      </w:r>
      <w:r w:rsidRPr="00F72FB0">
        <w:rPr>
          <w:lang w:val="en-GB"/>
        </w:rPr>
        <w:t>experienced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must</w:t>
      </w:r>
      <w:r w:rsidR="00FC2FB1" w:rsidRPr="00F72FB0">
        <w:rPr>
          <w:lang w:val="en-GB"/>
        </w:rPr>
        <w:t xml:space="preserve"> </w:t>
      </w:r>
      <w:r w:rsidRPr="00F72FB0">
        <w:rPr>
          <w:lang w:val="en-GB"/>
        </w:rPr>
        <w:t>undertake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interpretation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including</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highly</w:t>
      </w:r>
      <w:r w:rsidR="00FC2FB1" w:rsidRPr="00F72FB0">
        <w:rPr>
          <w:lang w:val="en-GB"/>
        </w:rPr>
        <w:t xml:space="preserve"> </w:t>
      </w:r>
      <w:r w:rsidRPr="00F72FB0">
        <w:rPr>
          <w:lang w:val="en-GB"/>
        </w:rPr>
        <w:t>challenging.</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doing</w:t>
      </w:r>
      <w:r w:rsidR="00FC2FB1" w:rsidRPr="00F72FB0">
        <w:rPr>
          <w:lang w:val="en-GB"/>
        </w:rPr>
        <w:t xml:space="preserve"> </w:t>
      </w:r>
      <w:r w:rsidRPr="00F72FB0">
        <w:rPr>
          <w:lang w:val="en-GB"/>
        </w:rPr>
        <w:t>so,</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turn</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whatever</w:t>
      </w:r>
      <w:r w:rsidR="00FC2FB1" w:rsidRPr="00F72FB0">
        <w:rPr>
          <w:lang w:val="en-GB"/>
        </w:rPr>
        <w:t xml:space="preserve"> </w:t>
      </w:r>
      <w:r w:rsidRPr="00F72FB0">
        <w:rPr>
          <w:lang w:val="en-GB"/>
        </w:rPr>
        <w:t>seems</w:t>
      </w:r>
      <w:r w:rsidR="00FC2FB1" w:rsidRPr="00F72FB0">
        <w:rPr>
          <w:lang w:val="en-GB"/>
        </w:rPr>
        <w:t xml:space="preserve"> </w:t>
      </w:r>
      <w:r w:rsidRPr="00F72FB0">
        <w:rPr>
          <w:lang w:val="en-GB"/>
        </w:rPr>
        <w:t>reasonable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them</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avail</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obvious</w:t>
      </w:r>
      <w:r w:rsidR="00FC2FB1" w:rsidRPr="00F72FB0">
        <w:rPr>
          <w:lang w:val="en-GB"/>
        </w:rPr>
        <w:t xml:space="preserve"> </w:t>
      </w:r>
      <w:r w:rsidRPr="00F72FB0">
        <w:rPr>
          <w:lang w:val="en-GB"/>
        </w:rPr>
        <w:t>source</w:t>
      </w:r>
      <w:r w:rsidR="00FC2FB1" w:rsidRPr="00F72FB0">
        <w:rPr>
          <w:lang w:val="en-GB"/>
        </w:rPr>
        <w:t xml:space="preserve"> </w:t>
      </w:r>
      <w:r w:rsidRPr="00F72FB0">
        <w:rPr>
          <w:lang w:val="en-GB"/>
        </w:rPr>
        <w:t>–</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potentially</w:t>
      </w:r>
      <w:r w:rsidR="00FC2FB1" w:rsidRPr="00F72FB0">
        <w:rPr>
          <w:lang w:val="en-GB"/>
        </w:rPr>
        <w:t xml:space="preserve"> </w:t>
      </w:r>
      <w:r w:rsidRPr="00F72FB0">
        <w:rPr>
          <w:lang w:val="en-GB"/>
        </w:rPr>
        <w:t>directly</w:t>
      </w:r>
      <w:r w:rsidR="00FC2FB1" w:rsidRPr="00F72FB0">
        <w:rPr>
          <w:lang w:val="en-GB"/>
        </w:rPr>
        <w:t xml:space="preserve"> </w:t>
      </w:r>
      <w:r w:rsidRPr="00F72FB0">
        <w:rPr>
          <w:lang w:val="en-GB"/>
        </w:rPr>
        <w:t>relevant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issue</w:t>
      </w:r>
      <w:r w:rsidR="00FC2FB1" w:rsidRPr="00F72FB0">
        <w:rPr>
          <w:lang w:val="en-GB"/>
        </w:rPr>
        <w:t xml:space="preserve"> </w:t>
      </w:r>
      <w:r w:rsidRPr="00F72FB0">
        <w:rPr>
          <w:lang w:val="en-GB"/>
        </w:rPr>
        <w:t>at</w:t>
      </w:r>
      <w:r w:rsidR="00FC2FB1" w:rsidRPr="00F72FB0">
        <w:rPr>
          <w:lang w:val="en-GB"/>
        </w:rPr>
        <w:t xml:space="preserve"> </w:t>
      </w:r>
      <w:r w:rsidRPr="00F72FB0">
        <w:rPr>
          <w:lang w:val="en-GB"/>
        </w:rPr>
        <w:t>hand</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instance</w:t>
      </w:r>
      <w:r w:rsidR="00FC2FB1" w:rsidRPr="00F72FB0">
        <w:rPr>
          <w:lang w:val="en-GB"/>
        </w:rPr>
        <w:t xml:space="preserve"> </w:t>
      </w:r>
      <w:r w:rsidRPr="00F72FB0">
        <w:rPr>
          <w:lang w:val="en-GB"/>
        </w:rPr>
        <w:t>providing</w:t>
      </w:r>
      <w:r w:rsidR="00FC2FB1" w:rsidRPr="00F72FB0">
        <w:rPr>
          <w:lang w:val="en-GB"/>
        </w:rPr>
        <w:t xml:space="preserve"> </w:t>
      </w:r>
      <w:r w:rsidRPr="00F72FB0">
        <w:rPr>
          <w:lang w:val="en-GB"/>
        </w:rPr>
        <w:t>insight</w:t>
      </w:r>
      <w:r w:rsidR="00FC2FB1" w:rsidRPr="00F72FB0">
        <w:rPr>
          <w:lang w:val="en-GB"/>
        </w:rPr>
        <w:t xml:space="preserve"> </w:t>
      </w:r>
      <w:r w:rsidRPr="00F72FB0">
        <w:rPr>
          <w:lang w:val="en-GB"/>
        </w:rPr>
        <w:t>into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objectives</w:t>
      </w:r>
      <w:r w:rsidR="00FC2FB1" w:rsidRPr="00F72FB0">
        <w:rPr>
          <w:lang w:val="en-GB"/>
        </w:rPr>
        <w:t xml:space="preserve"> </w:t>
      </w:r>
      <w:r w:rsidRPr="00F72FB0">
        <w:rPr>
          <w:lang w:val="en-GB"/>
        </w:rPr>
        <w:t>behind</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implementation.</w:t>
      </w:r>
      <w:r w:rsidR="005602E4">
        <w:rPr>
          <w:rStyle w:val="Alaviitteenviite"/>
          <w:lang w:val="en-GB"/>
        </w:rPr>
        <w:footnoteReference w:id="12"/>
      </w:r>
      <w:r w:rsidR="00FC2FB1" w:rsidRPr="00F72FB0">
        <w:rPr>
          <w:lang w:val="en-GB"/>
        </w:rPr>
        <w:t xml:space="preserve"> </w:t>
      </w:r>
    </w:p>
    <w:p w14:paraId="720209EC" w14:textId="77777777" w:rsidR="002660B8" w:rsidRPr="00F72FB0" w:rsidRDefault="002660B8" w:rsidP="00E14136">
      <w:pPr>
        <w:spacing w:line="360" w:lineRule="auto"/>
        <w:contextualSpacing/>
        <w:jc w:val="both"/>
        <w:rPr>
          <w:lang w:val="en-GB"/>
        </w:rPr>
      </w:pPr>
    </w:p>
    <w:p w14:paraId="694ACB73" w14:textId="77777777" w:rsidR="00A26F0D" w:rsidRDefault="000C3534" w:rsidP="00A26F0D">
      <w:pPr>
        <w:spacing w:line="360" w:lineRule="auto"/>
        <w:contextualSpacing/>
        <w:jc w:val="both"/>
        <w:rPr>
          <w:lang w:val="en-GB"/>
        </w:rPr>
      </w:pPr>
      <w:r w:rsidRPr="00F72FB0">
        <w:rPr>
          <w:lang w:val="en-GB"/>
        </w:rPr>
        <w:lastRenderedPageBreak/>
        <w:t>Therefore,</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incorporated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reference,</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heightened</w:t>
      </w:r>
      <w:r w:rsidR="00FC2FB1" w:rsidRPr="00F72FB0">
        <w:rPr>
          <w:lang w:val="en-GB"/>
        </w:rPr>
        <w:t xml:space="preserve"> </w:t>
      </w:r>
      <w:r w:rsidRPr="00F72FB0">
        <w:rPr>
          <w:lang w:val="en-GB"/>
        </w:rPr>
        <w:t>expectation</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utilised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raised</w:t>
      </w:r>
      <w:r w:rsidR="00FC2FB1" w:rsidRPr="00F72FB0">
        <w:rPr>
          <w:lang w:val="en-GB"/>
        </w:rPr>
        <w:t xml:space="preserve"> </w:t>
      </w:r>
      <w:r w:rsidRPr="00F72FB0">
        <w:rPr>
          <w:lang w:val="en-GB"/>
        </w:rPr>
        <w:t>before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w:t>
      </w:r>
      <w:r w:rsidR="00FC2FB1" w:rsidRPr="00F72FB0">
        <w:rPr>
          <w:lang w:val="en-GB"/>
        </w:rPr>
        <w:t xml:space="preserve"> </w:t>
      </w:r>
      <w:r w:rsidRPr="00F72FB0">
        <w:rPr>
          <w:lang w:val="en-GB"/>
        </w:rPr>
        <w:t>indeed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decision-maker</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obliged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utilise</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without</w:t>
      </w:r>
      <w:r w:rsidR="00FC2FB1" w:rsidRPr="00F72FB0">
        <w:rPr>
          <w:lang w:val="en-GB"/>
        </w:rPr>
        <w:t xml:space="preserve"> </w:t>
      </w:r>
      <w:r w:rsidRPr="00F72FB0">
        <w:rPr>
          <w:lang w:val="en-GB"/>
        </w:rPr>
        <w:t>incorporation</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reference,</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might</w:t>
      </w:r>
      <w:r w:rsidR="00FC2FB1" w:rsidRPr="00F72FB0">
        <w:rPr>
          <w:lang w:val="en-GB"/>
        </w:rPr>
        <w:t xml:space="preserve"> </w:t>
      </w:r>
      <w:r w:rsidRPr="00F72FB0">
        <w:rPr>
          <w:lang w:val="en-GB"/>
        </w:rPr>
        <w:t>expect</w:t>
      </w:r>
      <w:r w:rsidR="00FC2FB1" w:rsidRPr="00F72FB0">
        <w:rPr>
          <w:lang w:val="en-GB"/>
        </w:rPr>
        <w:t xml:space="preserve"> </w:t>
      </w:r>
      <w:r w:rsidRPr="00F72FB0">
        <w:rPr>
          <w:lang w:val="en-GB"/>
        </w:rPr>
        <w:t>due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sheer</w:t>
      </w:r>
      <w:r w:rsidR="00FC2FB1" w:rsidRPr="00F72FB0">
        <w:rPr>
          <w:lang w:val="en-GB"/>
        </w:rPr>
        <w:t xml:space="preserve"> </w:t>
      </w:r>
      <w:r w:rsidRPr="00F72FB0">
        <w:rPr>
          <w:lang w:val="en-GB"/>
        </w:rPr>
        <w:t>convenience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see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being</w:t>
      </w:r>
      <w:r w:rsidR="00FC2FB1" w:rsidRPr="00F72FB0">
        <w:rPr>
          <w:lang w:val="en-GB"/>
        </w:rPr>
        <w:t xml:space="preserve"> </w:t>
      </w:r>
      <w:r w:rsidRPr="00F72FB0">
        <w:rPr>
          <w:lang w:val="en-GB"/>
        </w:rPr>
        <w:t>utilised</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conflict</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law.</w:t>
      </w:r>
      <w:r w:rsidR="00FC2FB1" w:rsidRPr="00F72FB0">
        <w:rPr>
          <w:lang w:val="en-GB"/>
        </w:rPr>
        <w:t xml:space="preserve"> </w:t>
      </w:r>
    </w:p>
    <w:p w14:paraId="4ABBFE87" w14:textId="77777777" w:rsidR="00A26F0D" w:rsidRDefault="00A26F0D" w:rsidP="00A26F0D">
      <w:pPr>
        <w:spacing w:line="360" w:lineRule="auto"/>
        <w:contextualSpacing/>
        <w:jc w:val="both"/>
        <w:rPr>
          <w:bCs/>
          <w:lang w:val="en-GB"/>
        </w:rPr>
      </w:pPr>
    </w:p>
    <w:p w14:paraId="19F0C0C5" w14:textId="6F26FD89" w:rsidR="002660B8" w:rsidRPr="00A26F0D" w:rsidRDefault="00A26F0D" w:rsidP="00A26F0D">
      <w:pPr>
        <w:spacing w:line="360" w:lineRule="auto"/>
        <w:contextualSpacing/>
        <w:jc w:val="both"/>
        <w:rPr>
          <w:lang w:val="en-GB"/>
        </w:rPr>
      </w:pPr>
      <w:r>
        <w:rPr>
          <w:bCs/>
          <w:lang w:val="en-GB"/>
        </w:rPr>
        <w:t xml:space="preserve">iii) </w:t>
      </w:r>
      <w:r w:rsidR="002660B8" w:rsidRPr="00F72FB0">
        <w:rPr>
          <w:bCs/>
          <w:lang w:val="en-GB"/>
        </w:rPr>
        <w:t>Burgeoning</w:t>
      </w:r>
      <w:r w:rsidR="00FC2FB1" w:rsidRPr="00F72FB0">
        <w:rPr>
          <w:bCs/>
          <w:lang w:val="en-GB"/>
        </w:rPr>
        <w:t xml:space="preserve"> </w:t>
      </w:r>
      <w:r w:rsidR="00306DA4">
        <w:rPr>
          <w:bCs/>
          <w:lang w:val="en-GB"/>
        </w:rPr>
        <w:t>legal</w:t>
      </w:r>
      <w:r w:rsidR="005C5DD0">
        <w:rPr>
          <w:bCs/>
          <w:lang w:val="en-GB"/>
        </w:rPr>
        <w:t xml:space="preserve"> </w:t>
      </w:r>
      <w:r w:rsidR="002660B8" w:rsidRPr="00F72FB0">
        <w:rPr>
          <w:bCs/>
          <w:lang w:val="en-GB"/>
        </w:rPr>
        <w:t>force</w:t>
      </w:r>
    </w:p>
    <w:p w14:paraId="55A0E390" w14:textId="77777777" w:rsidR="00DD6CEA" w:rsidRPr="00F72FB0" w:rsidRDefault="00DD6CEA" w:rsidP="00E14136">
      <w:pPr>
        <w:spacing w:line="360" w:lineRule="auto"/>
        <w:contextualSpacing/>
        <w:jc w:val="both"/>
        <w:rPr>
          <w:lang w:val="en-GB"/>
        </w:rPr>
      </w:pPr>
    </w:p>
    <w:p w14:paraId="1E5B901C" w14:textId="17D15B1B" w:rsidR="000C3534" w:rsidRPr="00F72FB0" w:rsidRDefault="000C3534" w:rsidP="00E14136">
      <w:pPr>
        <w:spacing w:line="360" w:lineRule="auto"/>
        <w:contextualSpacing/>
        <w:jc w:val="both"/>
        <w:rPr>
          <w:lang w:val="en-GB"/>
        </w:rPr>
      </w:pPr>
      <w:r w:rsidRPr="00F72FB0">
        <w:rPr>
          <w:lang w:val="en-GB"/>
        </w:rPr>
        <w:t>The</w:t>
      </w:r>
      <w:r w:rsidR="00FC2FB1" w:rsidRPr="00F72FB0">
        <w:rPr>
          <w:lang w:val="en-GB"/>
        </w:rPr>
        <w:t xml:space="preserve"> </w:t>
      </w:r>
      <w:r w:rsidRPr="00F72FB0">
        <w:rPr>
          <w:lang w:val="en-GB"/>
        </w:rPr>
        <w:t>regular</w:t>
      </w:r>
      <w:r w:rsidR="00FC2FB1" w:rsidRPr="00F72FB0">
        <w:rPr>
          <w:lang w:val="en-GB"/>
        </w:rPr>
        <w:t xml:space="preserve"> </w:t>
      </w:r>
      <w:r w:rsidRPr="00F72FB0">
        <w:rPr>
          <w:lang w:val="en-GB"/>
        </w:rPr>
        <w:t>use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give</w:t>
      </w:r>
      <w:r w:rsidR="00FC2FB1" w:rsidRPr="00F72FB0">
        <w:rPr>
          <w:lang w:val="en-GB"/>
        </w:rPr>
        <w:t xml:space="preserve"> </w:t>
      </w:r>
      <w:r w:rsidRPr="00F72FB0">
        <w:rPr>
          <w:lang w:val="en-GB"/>
        </w:rPr>
        <w:t>them</w:t>
      </w:r>
      <w:r w:rsidR="00FC2FB1" w:rsidRPr="00F72FB0">
        <w:rPr>
          <w:lang w:val="en-GB"/>
        </w:rPr>
        <w:t xml:space="preserve"> </w:t>
      </w:r>
      <w:r w:rsidRPr="00F72FB0">
        <w:rPr>
          <w:lang w:val="en-GB"/>
        </w:rPr>
        <w:t>credence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potentially</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merely</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effects</w:t>
      </w:r>
      <w:r w:rsidR="00FC2FB1" w:rsidRPr="00F72FB0">
        <w:rPr>
          <w:lang w:val="en-GB"/>
        </w:rPr>
        <w:t xml:space="preserve"> </w:t>
      </w:r>
      <w:r w:rsidRPr="00F72FB0">
        <w:rPr>
          <w:lang w:val="en-GB"/>
        </w:rPr>
        <w:t>but</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force.</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can</w:t>
      </w:r>
      <w:r w:rsidR="00FC2FB1" w:rsidRPr="00F72FB0">
        <w:rPr>
          <w:lang w:val="en-GB"/>
        </w:rPr>
        <w:t xml:space="preserve"> </w:t>
      </w:r>
      <w:r w:rsidRPr="00F72FB0">
        <w:rPr>
          <w:lang w:val="en-GB"/>
        </w:rPr>
        <w:t>occur</w:t>
      </w:r>
      <w:r w:rsidR="00FC2FB1" w:rsidRPr="00F72FB0">
        <w:rPr>
          <w:lang w:val="en-GB"/>
        </w:rPr>
        <w:t xml:space="preserve"> </w:t>
      </w:r>
      <w:r w:rsidRPr="00F72FB0">
        <w:rPr>
          <w:lang w:val="en-GB"/>
        </w:rPr>
        <w:t>via</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precedent</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via</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doctrine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legitimate</w:t>
      </w:r>
      <w:r w:rsidR="00FC2FB1" w:rsidRPr="00F72FB0">
        <w:rPr>
          <w:lang w:val="en-GB"/>
        </w:rPr>
        <w:t xml:space="preserve"> </w:t>
      </w:r>
      <w:r w:rsidRPr="00F72FB0">
        <w:rPr>
          <w:lang w:val="en-GB"/>
        </w:rPr>
        <w:t>expectation.</w:t>
      </w:r>
    </w:p>
    <w:p w14:paraId="1B62587F" w14:textId="77777777" w:rsidR="002660B8" w:rsidRPr="00F72FB0" w:rsidRDefault="002660B8" w:rsidP="00E14136">
      <w:pPr>
        <w:spacing w:line="360" w:lineRule="auto"/>
        <w:contextualSpacing/>
        <w:jc w:val="both"/>
        <w:rPr>
          <w:lang w:val="en-GB"/>
        </w:rPr>
      </w:pPr>
    </w:p>
    <w:p w14:paraId="26E9BC75" w14:textId="0C1EA38B" w:rsidR="002660B8" w:rsidRDefault="002660B8" w:rsidP="00E14136">
      <w:pPr>
        <w:spacing w:line="360" w:lineRule="auto"/>
        <w:contextualSpacing/>
        <w:jc w:val="both"/>
        <w:rPr>
          <w:lang w:val="en-GB"/>
        </w:rPr>
      </w:pP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common</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system,</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considerable</w:t>
      </w:r>
      <w:r w:rsidR="00FC2FB1" w:rsidRPr="00F72FB0">
        <w:rPr>
          <w:lang w:val="en-GB"/>
        </w:rPr>
        <w:t xml:space="preserve"> </w:t>
      </w:r>
      <w:r w:rsidRPr="00F72FB0">
        <w:rPr>
          <w:lang w:val="en-GB"/>
        </w:rPr>
        <w:t>source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form</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case</w:t>
      </w:r>
      <w:r w:rsidR="006017CE">
        <w:rPr>
          <w:lang w:val="en-GB"/>
        </w:rPr>
        <w:t xml:space="preserve"> </w:t>
      </w:r>
      <w:r w:rsidRPr="00F72FB0">
        <w:rPr>
          <w:lang w:val="en-GB"/>
        </w:rPr>
        <w:t>law</w:t>
      </w:r>
      <w:r w:rsidR="00FC2FB1" w:rsidRPr="00F72FB0">
        <w:rPr>
          <w:lang w:val="en-GB"/>
        </w:rPr>
        <w:t xml:space="preserve"> </w:t>
      </w:r>
      <w:r w:rsidRPr="00F72FB0">
        <w:rPr>
          <w:lang w:val="en-GB"/>
        </w:rPr>
        <w:t>whereby</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precedent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developed</w:t>
      </w:r>
      <w:r w:rsidR="00FC2FB1" w:rsidRPr="00F72FB0">
        <w:rPr>
          <w:lang w:val="en-GB"/>
        </w:rPr>
        <w:t xml:space="preserve"> </w:t>
      </w:r>
      <w:r w:rsidRPr="00F72FB0">
        <w:rPr>
          <w:lang w:val="en-GB"/>
        </w:rPr>
        <w:t>over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centuries</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under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doctrine</w:t>
      </w:r>
      <w:r w:rsidR="00FC2FB1" w:rsidRPr="00F72FB0">
        <w:rPr>
          <w:lang w:val="en-GB"/>
        </w:rPr>
        <w:t xml:space="preserve"> </w:t>
      </w:r>
      <w:r w:rsidRPr="00F72FB0">
        <w:rPr>
          <w:lang w:val="en-GB"/>
        </w:rPr>
        <w:t>of</w:t>
      </w:r>
      <w:r w:rsidR="00FC2FB1" w:rsidRPr="00F72FB0">
        <w:rPr>
          <w:lang w:val="en-GB"/>
        </w:rPr>
        <w:t xml:space="preserve"> </w:t>
      </w:r>
      <w:r w:rsidRPr="00F72FB0">
        <w:rPr>
          <w:i/>
          <w:iCs/>
          <w:lang w:val="en-GB"/>
        </w:rPr>
        <w:t>stare</w:t>
      </w:r>
      <w:r w:rsidR="00FC2FB1" w:rsidRPr="00F72FB0">
        <w:rPr>
          <w:i/>
          <w:iCs/>
          <w:lang w:val="en-GB"/>
        </w:rPr>
        <w:t xml:space="preserve"> </w:t>
      </w:r>
      <w:r w:rsidRPr="00F72FB0">
        <w:rPr>
          <w:i/>
          <w:iCs/>
          <w:lang w:val="en-GB"/>
        </w:rPr>
        <w:t>decisis</w:t>
      </w:r>
      <w:r w:rsidRPr="00F72FB0">
        <w:rPr>
          <w:lang w:val="en-GB"/>
        </w:rPr>
        <w:t>.</w:t>
      </w:r>
      <w:r w:rsidR="00AF298A" w:rsidRPr="00F72FB0">
        <w:rPr>
          <w:rStyle w:val="Alaviitteenviite"/>
          <w:lang w:val="en-GB"/>
        </w:rPr>
        <w:footnoteReference w:id="13"/>
      </w:r>
      <w:r w:rsidR="00FC2FB1" w:rsidRPr="00F72FB0">
        <w:rPr>
          <w:i/>
          <w:iCs/>
          <w:lang w:val="en-GB"/>
        </w:rPr>
        <w:t xml:space="preserve"> </w:t>
      </w:r>
      <w:r w:rsidRPr="00F72FB0">
        <w:rPr>
          <w:i/>
          <w:iCs/>
          <w:lang w:val="en-GB"/>
        </w:rPr>
        <w:t>Stare</w:t>
      </w:r>
      <w:r w:rsidR="00FC2FB1" w:rsidRPr="00F72FB0">
        <w:rPr>
          <w:i/>
          <w:iCs/>
          <w:lang w:val="en-GB"/>
        </w:rPr>
        <w:t xml:space="preserve"> </w:t>
      </w:r>
      <w:r w:rsidRPr="00F72FB0">
        <w:rPr>
          <w:i/>
          <w:iCs/>
          <w:lang w:val="en-GB"/>
        </w:rPr>
        <w:t>decisis</w:t>
      </w:r>
      <w:r w:rsidR="00FC2FB1" w:rsidRPr="00F72FB0">
        <w:rPr>
          <w:i/>
          <w:iCs/>
          <w:lang w:val="en-GB"/>
        </w:rPr>
        <w:t xml:space="preserve"> </w:t>
      </w:r>
      <w:r w:rsidRPr="00F72FB0">
        <w:rPr>
          <w:lang w:val="en-GB"/>
        </w:rPr>
        <w:t>(let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w:t>
      </w:r>
      <w:r w:rsidR="00FC2FB1" w:rsidRPr="00F72FB0">
        <w:rPr>
          <w:lang w:val="en-GB"/>
        </w:rPr>
        <w:t xml:space="preserve"> </w:t>
      </w:r>
      <w:r w:rsidRPr="00F72FB0">
        <w:rPr>
          <w:lang w:val="en-GB"/>
        </w:rPr>
        <w:t>stand)</w:t>
      </w:r>
      <w:r w:rsidR="00FC2FB1" w:rsidRPr="00F72FB0">
        <w:rPr>
          <w:lang w:val="en-GB"/>
        </w:rPr>
        <w:t xml:space="preserve"> </w:t>
      </w:r>
      <w:r w:rsidRPr="00F72FB0">
        <w:rPr>
          <w:lang w:val="en-GB"/>
        </w:rPr>
        <w:t>means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superior</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(High</w:t>
      </w:r>
      <w:r w:rsidR="00FC2FB1" w:rsidRPr="00F72FB0">
        <w:rPr>
          <w:lang w:val="en-GB"/>
        </w:rPr>
        <w:t xml:space="preserve"> </w:t>
      </w:r>
      <w:r w:rsidRPr="00F72FB0">
        <w:rPr>
          <w:lang w:val="en-GB"/>
        </w:rPr>
        <w:t>Court,</w:t>
      </w:r>
      <w:r w:rsidR="00FC2FB1" w:rsidRPr="00F72FB0">
        <w:rPr>
          <w:lang w:val="en-GB"/>
        </w:rPr>
        <w:t xml:space="preserve"> </w:t>
      </w:r>
      <w:r w:rsidRPr="00F72FB0">
        <w:rPr>
          <w:lang w:val="en-GB"/>
        </w:rPr>
        <w:t>Court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w:t>
      </w:r>
      <w:r w:rsidR="00206D22" w:rsidRPr="00F72FB0">
        <w:rPr>
          <w:lang w:val="en-GB"/>
        </w:rPr>
        <w:t>p</w:t>
      </w:r>
      <w:r w:rsidRPr="00F72FB0">
        <w:rPr>
          <w:lang w:val="en-GB"/>
        </w:rPr>
        <w:t>peal</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Supreme</w:t>
      </w:r>
      <w:r w:rsidR="00FC2FB1" w:rsidRPr="00F72FB0">
        <w:rPr>
          <w:lang w:val="en-GB"/>
        </w:rPr>
        <w:t xml:space="preserve"> </w:t>
      </w:r>
      <w:r w:rsidRPr="00F72FB0">
        <w:rPr>
          <w:lang w:val="en-GB"/>
        </w:rPr>
        <w:t>Court)</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lower</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usually</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same</w:t>
      </w:r>
      <w:r w:rsidR="00FC2FB1" w:rsidRPr="00F72FB0">
        <w:rPr>
          <w:lang w:val="en-GB"/>
        </w:rPr>
        <w:t xml:space="preserve"> </w:t>
      </w:r>
      <w:r w:rsidRPr="00F72FB0">
        <w:rPr>
          <w:lang w:val="en-GB"/>
        </w:rPr>
        <w:t>level.</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only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broad</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principles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doctrines</w:t>
      </w:r>
      <w:r w:rsidR="00FC2FB1" w:rsidRPr="00F72FB0">
        <w:rPr>
          <w:lang w:val="en-GB"/>
        </w:rPr>
        <w:t xml:space="preserve"> </w:t>
      </w:r>
      <w:r w:rsidRPr="00F72FB0">
        <w:rPr>
          <w:lang w:val="en-GB"/>
        </w:rPr>
        <w:t>developed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but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specific</w:t>
      </w:r>
      <w:r w:rsidR="00FC2FB1" w:rsidRPr="00F72FB0">
        <w:rPr>
          <w:lang w:val="en-GB"/>
        </w:rPr>
        <w:t xml:space="preserve"> </w:t>
      </w:r>
      <w:r w:rsidRPr="00F72FB0">
        <w:rPr>
          <w:lang w:val="en-GB"/>
        </w:rPr>
        <w:t>reasoning</w:t>
      </w:r>
      <w:r w:rsidR="00FC2FB1" w:rsidRPr="00F72FB0">
        <w:rPr>
          <w:lang w:val="en-GB"/>
        </w:rPr>
        <w:t xml:space="preserve"> </w:t>
      </w:r>
      <w:r w:rsidRPr="00F72FB0">
        <w:rPr>
          <w:lang w:val="en-GB"/>
        </w:rPr>
        <w:t>(the</w:t>
      </w:r>
      <w:r w:rsidR="00FC2FB1" w:rsidRPr="00F72FB0">
        <w:rPr>
          <w:lang w:val="en-GB"/>
        </w:rPr>
        <w:t xml:space="preserve"> </w:t>
      </w:r>
      <w:r w:rsidRPr="00F72FB0">
        <w:rPr>
          <w:i/>
          <w:iCs/>
          <w:lang w:val="en-GB"/>
        </w:rPr>
        <w:t>ratio</w:t>
      </w:r>
      <w:r w:rsidRPr="00F72FB0">
        <w:rPr>
          <w:lang w:val="en-GB"/>
        </w:rPr>
        <w:t>)</w:t>
      </w:r>
      <w:r w:rsidR="00FC2FB1" w:rsidRPr="00F72FB0">
        <w:rPr>
          <w:lang w:val="en-GB"/>
        </w:rPr>
        <w:t xml:space="preserve"> </w:t>
      </w:r>
      <w:r w:rsidRPr="00F72FB0">
        <w:rPr>
          <w:lang w:val="en-GB"/>
        </w:rPr>
        <w:t>must</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applied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similar</w:t>
      </w:r>
      <w:r w:rsidR="00FC2FB1" w:rsidRPr="00F72FB0">
        <w:rPr>
          <w:lang w:val="en-GB"/>
        </w:rPr>
        <w:t xml:space="preserve"> </w:t>
      </w:r>
      <w:r w:rsidRPr="00F72FB0">
        <w:rPr>
          <w:lang w:val="en-GB"/>
        </w:rPr>
        <w:t>cases.</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a</w:t>
      </w:r>
      <w:r w:rsidR="00FC2FB1" w:rsidRPr="00F72FB0">
        <w:rPr>
          <w:lang w:val="en-GB"/>
        </w:rPr>
        <w:t xml:space="preserve"> </w:t>
      </w:r>
      <w:r w:rsidRPr="00F72FB0">
        <w:rPr>
          <w:lang w:val="en-GB"/>
        </w:rPr>
        <w:t>superior</w:t>
      </w:r>
      <w:r w:rsidR="00FC2FB1" w:rsidRPr="00F72FB0">
        <w:rPr>
          <w:lang w:val="en-GB"/>
        </w:rPr>
        <w:t xml:space="preserve"> </w:t>
      </w:r>
      <w:r w:rsidRPr="00F72FB0">
        <w:rPr>
          <w:lang w:val="en-GB"/>
        </w:rPr>
        <w:t>court</w:t>
      </w:r>
      <w:r w:rsidR="00FC2FB1" w:rsidRPr="00F72FB0">
        <w:rPr>
          <w:lang w:val="en-GB"/>
        </w:rPr>
        <w:t xml:space="preserve"> </w:t>
      </w:r>
      <w:r w:rsidRPr="00F72FB0">
        <w:rPr>
          <w:lang w:val="en-GB"/>
        </w:rPr>
        <w:t>refers</w:t>
      </w:r>
      <w:r w:rsidR="00FC2FB1" w:rsidRPr="00F72FB0">
        <w:rPr>
          <w:lang w:val="en-GB"/>
        </w:rPr>
        <w:t xml:space="preserve"> </w:t>
      </w:r>
      <w:r w:rsidRPr="00F72FB0">
        <w:rPr>
          <w:lang w:val="en-GB"/>
        </w:rPr>
        <w:t>positively</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case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relies</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reasoning,</w:t>
      </w:r>
      <w:r w:rsidR="00FC2FB1" w:rsidRPr="00F72FB0">
        <w:rPr>
          <w:lang w:val="en-GB"/>
        </w:rPr>
        <w:t xml:space="preserve"> </w:t>
      </w:r>
      <w:r w:rsidRPr="00F72FB0">
        <w:rPr>
          <w:lang w:val="en-GB"/>
        </w:rPr>
        <w:t>eg</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help</w:t>
      </w:r>
      <w:r w:rsidR="00FC2FB1" w:rsidRPr="00F72FB0">
        <w:rPr>
          <w:lang w:val="en-GB"/>
        </w:rPr>
        <w:t xml:space="preserve"> </w:t>
      </w:r>
      <w:r w:rsidRPr="00F72FB0">
        <w:rPr>
          <w:lang w:val="en-GB"/>
        </w:rPr>
        <w:t>justify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outcome</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noting</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decision-maker</w:t>
      </w:r>
      <w:r w:rsidR="00FC2FB1" w:rsidRPr="00F72FB0">
        <w:rPr>
          <w:lang w:val="en-GB"/>
        </w:rPr>
        <w:t xml:space="preserve"> </w:t>
      </w:r>
      <w:r w:rsidRPr="00F72FB0">
        <w:rPr>
          <w:lang w:val="en-GB"/>
        </w:rPr>
        <w:t>must</w:t>
      </w:r>
      <w:r w:rsidR="00FC2FB1" w:rsidRPr="00F72FB0">
        <w:rPr>
          <w:lang w:val="en-GB"/>
        </w:rPr>
        <w:t xml:space="preserve"> </w:t>
      </w:r>
      <w:r w:rsidRPr="00F72FB0">
        <w:rPr>
          <w:lang w:val="en-GB"/>
        </w:rPr>
        <w:t>consider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then</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can</w:t>
      </w:r>
      <w:r w:rsidR="00FC2FB1" w:rsidRPr="00F72FB0">
        <w:rPr>
          <w:lang w:val="en-GB"/>
        </w:rPr>
        <w:t xml:space="preserve"> </w:t>
      </w:r>
      <w:r w:rsidRPr="00F72FB0">
        <w:rPr>
          <w:lang w:val="en-GB"/>
        </w:rPr>
        <w:t>become</w:t>
      </w:r>
      <w:r w:rsidR="00FC2FB1" w:rsidRPr="00F72FB0">
        <w:rPr>
          <w:lang w:val="en-GB"/>
        </w:rPr>
        <w:t xml:space="preserve"> </w:t>
      </w:r>
      <w:r w:rsidRPr="00F72FB0">
        <w:rPr>
          <w:lang w:val="en-GB"/>
        </w:rPr>
        <w:t>interwoven</w:t>
      </w:r>
      <w:r w:rsidR="00FC2FB1" w:rsidRPr="00F72FB0">
        <w:rPr>
          <w:lang w:val="en-GB"/>
        </w:rPr>
        <w:t xml:space="preserve"> </w:t>
      </w:r>
      <w:r w:rsidRPr="00F72FB0">
        <w:rPr>
          <w:lang w:val="en-GB"/>
        </w:rPr>
        <w:t>into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precedent.</w:t>
      </w:r>
      <w:r w:rsidR="00FC2FB1" w:rsidRPr="00F72FB0">
        <w:rPr>
          <w:lang w:val="en-GB"/>
        </w:rPr>
        <w:t xml:space="preserve"> </w:t>
      </w:r>
      <w:r w:rsidRPr="00F72FB0">
        <w:rPr>
          <w:lang w:val="en-GB"/>
        </w:rPr>
        <w:t>Thereby,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w:t>
      </w:r>
      <w:r w:rsidR="00FC2FB1" w:rsidRPr="00F72FB0">
        <w:rPr>
          <w:lang w:val="en-GB"/>
        </w:rPr>
        <w:t xml:space="preserve"> </w:t>
      </w:r>
      <w:r w:rsidRPr="00F72FB0">
        <w:rPr>
          <w:lang w:val="en-GB"/>
        </w:rPr>
        <w:t>can</w:t>
      </w:r>
      <w:r w:rsidR="00FC2FB1" w:rsidRPr="00F72FB0">
        <w:rPr>
          <w:lang w:val="en-GB"/>
        </w:rPr>
        <w:t xml:space="preserve"> </w:t>
      </w:r>
      <w:r w:rsidRPr="00F72FB0">
        <w:rPr>
          <w:lang w:val="en-GB"/>
        </w:rPr>
        <w:t>both</w:t>
      </w:r>
      <w:r w:rsidR="00FC2FB1" w:rsidRPr="00F72FB0">
        <w:rPr>
          <w:lang w:val="en-GB"/>
        </w:rPr>
        <w:t xml:space="preserve"> </w:t>
      </w:r>
      <w:r w:rsidRPr="00F72FB0">
        <w:rPr>
          <w:lang w:val="en-GB"/>
        </w:rPr>
        <w:t>help</w:t>
      </w:r>
      <w:r w:rsidR="00FC2FB1" w:rsidRPr="00F72FB0">
        <w:rPr>
          <w:lang w:val="en-GB"/>
        </w:rPr>
        <w:t xml:space="preserve"> </w:t>
      </w:r>
      <w:r w:rsidRPr="00F72FB0">
        <w:rPr>
          <w:lang w:val="en-GB"/>
        </w:rPr>
        <w:t>develop</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precedent,</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later</w:t>
      </w:r>
      <w:r w:rsidR="00FC2FB1" w:rsidRPr="00F72FB0">
        <w:rPr>
          <w:lang w:val="en-GB"/>
        </w:rPr>
        <w:t xml:space="preserve"> </w:t>
      </w:r>
      <w:r w:rsidRPr="00F72FB0">
        <w:rPr>
          <w:lang w:val="en-GB"/>
        </w:rPr>
        <w:t>cases,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given</w:t>
      </w:r>
      <w:r w:rsidR="00FC2FB1" w:rsidRPr="00F72FB0">
        <w:rPr>
          <w:lang w:val="en-GB"/>
        </w:rPr>
        <w:t xml:space="preserve"> </w:t>
      </w:r>
      <w:r w:rsidRPr="00F72FB0">
        <w:rPr>
          <w:lang w:val="en-GB"/>
        </w:rPr>
        <w:t>force</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future</w:t>
      </w:r>
      <w:r w:rsidR="00FC2FB1" w:rsidRPr="00F72FB0">
        <w:rPr>
          <w:lang w:val="en-GB"/>
        </w:rPr>
        <w:t xml:space="preserve"> </w:t>
      </w:r>
      <w:r w:rsidRPr="00F72FB0">
        <w:rPr>
          <w:lang w:val="en-GB"/>
        </w:rPr>
        <w:t>due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precedent.</w:t>
      </w:r>
    </w:p>
    <w:p w14:paraId="0E74B576" w14:textId="77777777" w:rsidR="00306DA4" w:rsidRDefault="00306DA4" w:rsidP="00E14136">
      <w:pPr>
        <w:spacing w:line="360" w:lineRule="auto"/>
        <w:contextualSpacing/>
        <w:jc w:val="both"/>
        <w:rPr>
          <w:lang w:val="en-GB"/>
        </w:rPr>
      </w:pPr>
    </w:p>
    <w:p w14:paraId="54854B3E" w14:textId="7CD78A56" w:rsidR="002660B8" w:rsidRPr="00F72FB0" w:rsidRDefault="00306DA4" w:rsidP="00E14136">
      <w:pPr>
        <w:spacing w:line="360" w:lineRule="auto"/>
        <w:contextualSpacing/>
        <w:jc w:val="both"/>
        <w:rPr>
          <w:lang w:val="en-GB"/>
        </w:rPr>
      </w:pPr>
      <w:r>
        <w:rPr>
          <w:lang w:val="en-GB"/>
        </w:rPr>
        <w:t xml:space="preserve">Another way through which soft law can be endowed with legal force is through the operation of the principle of legitimate expectations. </w:t>
      </w:r>
      <w:r w:rsidR="002660B8" w:rsidRPr="00F72FB0">
        <w:rPr>
          <w:lang w:val="en-GB"/>
        </w:rPr>
        <w:t>Legitimate</w:t>
      </w:r>
      <w:r w:rsidR="00FC2FB1" w:rsidRPr="00F72FB0">
        <w:rPr>
          <w:lang w:val="en-GB"/>
        </w:rPr>
        <w:t xml:space="preserve"> </w:t>
      </w:r>
      <w:r w:rsidR="002660B8" w:rsidRPr="00F72FB0">
        <w:rPr>
          <w:lang w:val="en-GB"/>
        </w:rPr>
        <w:t>expectation</w:t>
      </w:r>
      <w:r w:rsidR="00FC2FB1" w:rsidRPr="00F72FB0">
        <w:rPr>
          <w:lang w:val="en-GB"/>
        </w:rPr>
        <w:t xml:space="preserve"> </w:t>
      </w:r>
      <w:r w:rsidR="002660B8" w:rsidRPr="00F72FB0">
        <w:rPr>
          <w:lang w:val="en-GB"/>
        </w:rPr>
        <w:t>arises</w:t>
      </w:r>
      <w:r w:rsidR="00FC2FB1" w:rsidRPr="00F72FB0">
        <w:rPr>
          <w:lang w:val="en-GB"/>
        </w:rPr>
        <w:t xml:space="preserve"> </w:t>
      </w:r>
      <w:r w:rsidR="002660B8" w:rsidRPr="00F72FB0">
        <w:rPr>
          <w:lang w:val="en-GB"/>
        </w:rPr>
        <w:t>in</w:t>
      </w:r>
      <w:r w:rsidR="00FC2FB1" w:rsidRPr="00F72FB0">
        <w:rPr>
          <w:lang w:val="en-GB"/>
        </w:rPr>
        <w:t xml:space="preserve"> </w:t>
      </w:r>
      <w:r w:rsidR="002660B8" w:rsidRPr="00F72FB0">
        <w:rPr>
          <w:lang w:val="en-GB"/>
        </w:rPr>
        <w:t>the</w:t>
      </w:r>
      <w:r w:rsidR="00FC2FB1" w:rsidRPr="00F72FB0">
        <w:rPr>
          <w:lang w:val="en-GB"/>
        </w:rPr>
        <w:t xml:space="preserve"> </w:t>
      </w:r>
      <w:r w:rsidR="002660B8" w:rsidRPr="00F72FB0">
        <w:rPr>
          <w:lang w:val="en-GB"/>
        </w:rPr>
        <w:t>context</w:t>
      </w:r>
      <w:r w:rsidR="00FC2FB1" w:rsidRPr="00F72FB0">
        <w:rPr>
          <w:lang w:val="en-GB"/>
        </w:rPr>
        <w:t xml:space="preserve"> </w:t>
      </w:r>
      <w:r w:rsidR="002660B8" w:rsidRPr="00F72FB0">
        <w:rPr>
          <w:lang w:val="en-GB"/>
        </w:rPr>
        <w:t>of</w:t>
      </w:r>
      <w:r w:rsidR="00FC2FB1" w:rsidRPr="00F72FB0">
        <w:rPr>
          <w:lang w:val="en-GB"/>
        </w:rPr>
        <w:t xml:space="preserve"> </w:t>
      </w:r>
      <w:r w:rsidR="002660B8" w:rsidRPr="00F72FB0">
        <w:rPr>
          <w:lang w:val="en-GB"/>
        </w:rPr>
        <w:t>UK</w:t>
      </w:r>
      <w:r w:rsidR="00FC2FB1" w:rsidRPr="00F72FB0">
        <w:rPr>
          <w:lang w:val="en-GB"/>
        </w:rPr>
        <w:t xml:space="preserve"> </w:t>
      </w:r>
      <w:r w:rsidR="002660B8" w:rsidRPr="00F72FB0">
        <w:rPr>
          <w:lang w:val="en-GB"/>
        </w:rPr>
        <w:t>public</w:t>
      </w:r>
      <w:r w:rsidR="00FC2FB1" w:rsidRPr="00F72FB0">
        <w:rPr>
          <w:lang w:val="en-GB"/>
        </w:rPr>
        <w:t xml:space="preserve"> </w:t>
      </w:r>
      <w:r w:rsidR="002660B8" w:rsidRPr="00F72FB0">
        <w:rPr>
          <w:lang w:val="en-GB"/>
        </w:rPr>
        <w:t>law.</w:t>
      </w:r>
      <w:r w:rsidR="00FC2FB1" w:rsidRPr="00F72FB0">
        <w:rPr>
          <w:lang w:val="en-GB"/>
        </w:rPr>
        <w:t xml:space="preserve"> </w:t>
      </w:r>
      <w:r w:rsidR="002660B8" w:rsidRPr="00F72FB0">
        <w:rPr>
          <w:lang w:val="en-GB"/>
        </w:rPr>
        <w:t>Where</w:t>
      </w:r>
      <w:r w:rsidR="00FC2FB1" w:rsidRPr="00F72FB0">
        <w:rPr>
          <w:lang w:val="en-GB"/>
        </w:rPr>
        <w:t xml:space="preserve"> </w:t>
      </w:r>
      <w:r w:rsidR="002660B8" w:rsidRPr="00F72FB0">
        <w:rPr>
          <w:lang w:val="en-GB"/>
        </w:rPr>
        <w:t>there</w:t>
      </w:r>
      <w:r w:rsidR="00FC2FB1" w:rsidRPr="00F72FB0">
        <w:rPr>
          <w:lang w:val="en-GB"/>
        </w:rPr>
        <w:t xml:space="preserve"> </w:t>
      </w:r>
      <w:r w:rsidR="002660B8" w:rsidRPr="00F72FB0">
        <w:rPr>
          <w:lang w:val="en-GB"/>
        </w:rPr>
        <w:t>is</w:t>
      </w:r>
      <w:r w:rsidR="00FC2FB1" w:rsidRPr="00F72FB0">
        <w:rPr>
          <w:lang w:val="en-GB"/>
        </w:rPr>
        <w:t xml:space="preserve"> </w:t>
      </w:r>
      <w:r w:rsidR="002660B8" w:rsidRPr="00F72FB0">
        <w:rPr>
          <w:lang w:val="en-GB"/>
        </w:rPr>
        <w:t>a</w:t>
      </w:r>
      <w:r w:rsidR="00FC2FB1" w:rsidRPr="00F72FB0">
        <w:rPr>
          <w:lang w:val="en-GB"/>
        </w:rPr>
        <w:t xml:space="preserve"> </w:t>
      </w:r>
      <w:r w:rsidR="002660B8" w:rsidRPr="00F72FB0">
        <w:rPr>
          <w:lang w:val="en-GB"/>
        </w:rPr>
        <w:t>legitimate</w:t>
      </w:r>
      <w:r w:rsidR="00FC2FB1" w:rsidRPr="00F72FB0">
        <w:rPr>
          <w:lang w:val="en-GB"/>
        </w:rPr>
        <w:t xml:space="preserve"> </w:t>
      </w:r>
      <w:r w:rsidR="002660B8" w:rsidRPr="00F72FB0">
        <w:rPr>
          <w:lang w:val="en-GB"/>
        </w:rPr>
        <w:t>expectation</w:t>
      </w:r>
      <w:r w:rsidR="00FC2FB1" w:rsidRPr="00F72FB0">
        <w:rPr>
          <w:lang w:val="en-GB"/>
        </w:rPr>
        <w:t xml:space="preserve"> </w:t>
      </w:r>
      <w:r w:rsidR="002660B8" w:rsidRPr="00F72FB0">
        <w:rPr>
          <w:lang w:val="en-GB"/>
        </w:rPr>
        <w:t>due</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the</w:t>
      </w:r>
      <w:r w:rsidR="00FC2FB1" w:rsidRPr="00F72FB0">
        <w:rPr>
          <w:lang w:val="en-GB"/>
        </w:rPr>
        <w:t xml:space="preserve"> </w:t>
      </w:r>
      <w:r w:rsidR="002660B8" w:rsidRPr="00F72FB0">
        <w:rPr>
          <w:lang w:val="en-GB"/>
        </w:rPr>
        <w:t>prior</w:t>
      </w:r>
      <w:r w:rsidR="00FC2FB1" w:rsidRPr="00F72FB0">
        <w:rPr>
          <w:lang w:val="en-GB"/>
        </w:rPr>
        <w:t xml:space="preserve"> </w:t>
      </w:r>
      <w:r w:rsidR="002660B8" w:rsidRPr="00F72FB0">
        <w:rPr>
          <w:lang w:val="en-GB"/>
        </w:rPr>
        <w:t>actions,</w:t>
      </w:r>
      <w:r w:rsidR="00FC2FB1" w:rsidRPr="00F72FB0">
        <w:rPr>
          <w:lang w:val="en-GB"/>
        </w:rPr>
        <w:t xml:space="preserve"> </w:t>
      </w:r>
      <w:r w:rsidR="002660B8" w:rsidRPr="00F72FB0">
        <w:rPr>
          <w:lang w:val="en-GB"/>
        </w:rPr>
        <w:t>inactions</w:t>
      </w:r>
      <w:r w:rsidR="00FC2FB1" w:rsidRPr="00F72FB0">
        <w:rPr>
          <w:lang w:val="en-GB"/>
        </w:rPr>
        <w:t xml:space="preserve"> </w:t>
      </w:r>
      <w:r w:rsidR="002660B8" w:rsidRPr="00F72FB0">
        <w:rPr>
          <w:lang w:val="en-GB"/>
        </w:rPr>
        <w:t>or</w:t>
      </w:r>
      <w:r w:rsidR="00FC2FB1" w:rsidRPr="00F72FB0">
        <w:rPr>
          <w:lang w:val="en-GB"/>
        </w:rPr>
        <w:t xml:space="preserve"> </w:t>
      </w:r>
      <w:r w:rsidR="002660B8" w:rsidRPr="00F72FB0">
        <w:rPr>
          <w:lang w:val="en-GB"/>
        </w:rPr>
        <w:t>representations</w:t>
      </w:r>
      <w:r w:rsidR="00FC2FB1" w:rsidRPr="00F72FB0">
        <w:rPr>
          <w:lang w:val="en-GB"/>
        </w:rPr>
        <w:t xml:space="preserve"> </w:t>
      </w:r>
      <w:r w:rsidR="002660B8" w:rsidRPr="00F72FB0">
        <w:rPr>
          <w:lang w:val="en-GB"/>
        </w:rPr>
        <w:t>of</w:t>
      </w:r>
      <w:r w:rsidR="00FC2FB1" w:rsidRPr="00F72FB0">
        <w:rPr>
          <w:lang w:val="en-GB"/>
        </w:rPr>
        <w:t xml:space="preserve"> </w:t>
      </w:r>
      <w:r w:rsidR="002660B8" w:rsidRPr="00F72FB0">
        <w:rPr>
          <w:lang w:val="en-GB"/>
        </w:rPr>
        <w:t>decision-maker</w:t>
      </w:r>
      <w:r w:rsidR="00FC2FB1" w:rsidRPr="00F72FB0">
        <w:rPr>
          <w:lang w:val="en-GB"/>
        </w:rPr>
        <w:t xml:space="preserve"> </w:t>
      </w:r>
      <w:r w:rsidR="002660B8" w:rsidRPr="00F72FB0">
        <w:rPr>
          <w:lang w:val="en-GB"/>
        </w:rPr>
        <w:t>that</w:t>
      </w:r>
      <w:r w:rsidR="00FC2FB1" w:rsidRPr="00F72FB0">
        <w:rPr>
          <w:lang w:val="en-GB"/>
        </w:rPr>
        <w:t xml:space="preserve"> </w:t>
      </w:r>
      <w:r w:rsidR="002660B8" w:rsidRPr="00F72FB0">
        <w:rPr>
          <w:lang w:val="en-GB"/>
        </w:rPr>
        <w:t>they</w:t>
      </w:r>
      <w:r w:rsidR="00FC2FB1" w:rsidRPr="00F72FB0">
        <w:rPr>
          <w:lang w:val="en-GB"/>
        </w:rPr>
        <w:t xml:space="preserve"> </w:t>
      </w:r>
      <w:r w:rsidR="002660B8" w:rsidRPr="00F72FB0">
        <w:rPr>
          <w:lang w:val="en-GB"/>
        </w:rPr>
        <w:t>will</w:t>
      </w:r>
      <w:r w:rsidR="00FC2FB1" w:rsidRPr="00F72FB0">
        <w:rPr>
          <w:lang w:val="en-GB"/>
        </w:rPr>
        <w:t xml:space="preserve"> </w:t>
      </w:r>
      <w:r w:rsidR="002660B8" w:rsidRPr="00F72FB0">
        <w:rPr>
          <w:lang w:val="en-GB"/>
        </w:rPr>
        <w:t>behave</w:t>
      </w:r>
      <w:r w:rsidR="00FC2FB1" w:rsidRPr="00F72FB0">
        <w:rPr>
          <w:lang w:val="en-GB"/>
        </w:rPr>
        <w:t xml:space="preserve"> </w:t>
      </w:r>
      <w:r w:rsidR="002660B8" w:rsidRPr="00F72FB0">
        <w:rPr>
          <w:lang w:val="en-GB"/>
        </w:rPr>
        <w:t>in</w:t>
      </w:r>
      <w:r w:rsidR="00FC2FB1" w:rsidRPr="00F72FB0">
        <w:rPr>
          <w:lang w:val="en-GB"/>
        </w:rPr>
        <w:t xml:space="preserve"> </w:t>
      </w:r>
      <w:r w:rsidR="002660B8" w:rsidRPr="00F72FB0">
        <w:rPr>
          <w:lang w:val="en-GB"/>
        </w:rPr>
        <w:t>a</w:t>
      </w:r>
      <w:r w:rsidR="00FC2FB1" w:rsidRPr="00F72FB0">
        <w:rPr>
          <w:lang w:val="en-GB"/>
        </w:rPr>
        <w:t xml:space="preserve"> </w:t>
      </w:r>
      <w:r w:rsidR="002660B8" w:rsidRPr="00F72FB0">
        <w:rPr>
          <w:lang w:val="en-GB"/>
        </w:rPr>
        <w:t>certain</w:t>
      </w:r>
      <w:r w:rsidR="00FC2FB1" w:rsidRPr="00F72FB0">
        <w:rPr>
          <w:lang w:val="en-GB"/>
        </w:rPr>
        <w:t xml:space="preserve"> </w:t>
      </w:r>
      <w:r w:rsidR="002660B8" w:rsidRPr="00F72FB0">
        <w:rPr>
          <w:lang w:val="en-GB"/>
        </w:rPr>
        <w:t>way,</w:t>
      </w:r>
      <w:r w:rsidR="00FC2FB1" w:rsidRPr="00F72FB0">
        <w:rPr>
          <w:lang w:val="en-GB"/>
        </w:rPr>
        <w:t xml:space="preserve"> </w:t>
      </w:r>
      <w:r w:rsidR="002660B8" w:rsidRPr="00F72FB0">
        <w:rPr>
          <w:lang w:val="en-GB"/>
        </w:rPr>
        <w:t>then</w:t>
      </w:r>
      <w:r w:rsidR="00FC2FB1" w:rsidRPr="00F72FB0">
        <w:rPr>
          <w:lang w:val="en-GB"/>
        </w:rPr>
        <w:t xml:space="preserve"> </w:t>
      </w:r>
      <w:r w:rsidR="002660B8" w:rsidRPr="00F72FB0">
        <w:rPr>
          <w:lang w:val="en-GB"/>
        </w:rPr>
        <w:t>the</w:t>
      </w:r>
      <w:r w:rsidR="00FC2FB1" w:rsidRPr="00F72FB0">
        <w:rPr>
          <w:lang w:val="en-GB"/>
        </w:rPr>
        <w:t xml:space="preserve"> </w:t>
      </w:r>
      <w:r w:rsidR="002660B8" w:rsidRPr="00F72FB0">
        <w:rPr>
          <w:lang w:val="en-GB"/>
        </w:rPr>
        <w:t>courts</w:t>
      </w:r>
      <w:r w:rsidR="00FC2FB1" w:rsidRPr="00F72FB0">
        <w:rPr>
          <w:lang w:val="en-GB"/>
        </w:rPr>
        <w:t xml:space="preserve"> </w:t>
      </w:r>
      <w:r w:rsidR="002660B8" w:rsidRPr="00F72FB0">
        <w:rPr>
          <w:lang w:val="en-GB"/>
        </w:rPr>
        <w:t>may</w:t>
      </w:r>
      <w:r w:rsidR="00FC2FB1" w:rsidRPr="00F72FB0">
        <w:rPr>
          <w:lang w:val="en-GB"/>
        </w:rPr>
        <w:t xml:space="preserve"> </w:t>
      </w:r>
      <w:r w:rsidR="002660B8" w:rsidRPr="00F72FB0">
        <w:rPr>
          <w:lang w:val="en-GB"/>
        </w:rPr>
        <w:t>intervene</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prevent</w:t>
      </w:r>
      <w:r w:rsidR="00FC2FB1" w:rsidRPr="00F72FB0">
        <w:rPr>
          <w:lang w:val="en-GB"/>
        </w:rPr>
        <w:t xml:space="preserve"> </w:t>
      </w:r>
      <w:r w:rsidR="002660B8" w:rsidRPr="00F72FB0">
        <w:rPr>
          <w:lang w:val="en-GB"/>
        </w:rPr>
        <w:t>them</w:t>
      </w:r>
      <w:r w:rsidR="00FC2FB1" w:rsidRPr="00F72FB0">
        <w:rPr>
          <w:lang w:val="en-GB"/>
        </w:rPr>
        <w:t xml:space="preserve"> </w:t>
      </w:r>
      <w:r w:rsidR="002660B8" w:rsidRPr="00F72FB0">
        <w:rPr>
          <w:lang w:val="en-GB"/>
        </w:rPr>
        <w:t>going</w:t>
      </w:r>
      <w:r w:rsidR="00FC2FB1" w:rsidRPr="00F72FB0">
        <w:rPr>
          <w:lang w:val="en-GB"/>
        </w:rPr>
        <w:t xml:space="preserve"> </w:t>
      </w:r>
      <w:r w:rsidR="002660B8" w:rsidRPr="00F72FB0">
        <w:rPr>
          <w:lang w:val="en-GB"/>
        </w:rPr>
        <w:t>against</w:t>
      </w:r>
      <w:r w:rsidR="00FC2FB1" w:rsidRPr="00F72FB0">
        <w:rPr>
          <w:lang w:val="en-GB"/>
        </w:rPr>
        <w:t xml:space="preserve"> </w:t>
      </w:r>
      <w:r w:rsidR="002660B8" w:rsidRPr="00F72FB0">
        <w:rPr>
          <w:lang w:val="en-GB"/>
        </w:rPr>
        <w:t>that</w:t>
      </w:r>
      <w:r w:rsidR="00FC2FB1" w:rsidRPr="00F72FB0">
        <w:rPr>
          <w:lang w:val="en-GB"/>
        </w:rPr>
        <w:t xml:space="preserve"> </w:t>
      </w:r>
      <w:r w:rsidR="002660B8" w:rsidRPr="00F72FB0">
        <w:rPr>
          <w:lang w:val="en-GB"/>
        </w:rPr>
        <w:t>expectation</w:t>
      </w:r>
      <w:r w:rsidR="00FC2FB1" w:rsidRPr="00F72FB0">
        <w:rPr>
          <w:lang w:val="en-GB"/>
        </w:rPr>
        <w:t xml:space="preserve"> </w:t>
      </w:r>
      <w:r w:rsidR="002660B8" w:rsidRPr="00F72FB0">
        <w:rPr>
          <w:lang w:val="en-GB"/>
        </w:rPr>
        <w:t>if</w:t>
      </w:r>
      <w:r w:rsidR="00FC2FB1" w:rsidRPr="00F72FB0">
        <w:rPr>
          <w:lang w:val="en-GB"/>
        </w:rPr>
        <w:t xml:space="preserve"> </w:t>
      </w:r>
      <w:r w:rsidR="002660B8" w:rsidRPr="00F72FB0">
        <w:rPr>
          <w:lang w:val="en-GB"/>
        </w:rPr>
        <w:t>it</w:t>
      </w:r>
      <w:r w:rsidR="00FC2FB1" w:rsidRPr="00F72FB0">
        <w:rPr>
          <w:lang w:val="en-GB"/>
        </w:rPr>
        <w:t xml:space="preserve"> </w:t>
      </w:r>
      <w:r w:rsidR="002660B8" w:rsidRPr="00F72FB0">
        <w:rPr>
          <w:lang w:val="en-GB"/>
        </w:rPr>
        <w:t>were</w:t>
      </w:r>
      <w:r w:rsidR="00FC2FB1" w:rsidRPr="00F72FB0">
        <w:rPr>
          <w:lang w:val="en-GB"/>
        </w:rPr>
        <w:t xml:space="preserve"> </w:t>
      </w:r>
      <w:r w:rsidR="002660B8" w:rsidRPr="00F72FB0">
        <w:rPr>
          <w:lang w:val="en-GB"/>
        </w:rPr>
        <w:t>unfair</w:t>
      </w:r>
      <w:r w:rsidR="00FC2FB1" w:rsidRPr="00F72FB0">
        <w:rPr>
          <w:lang w:val="en-GB"/>
        </w:rPr>
        <w:t xml:space="preserve"> </w:t>
      </w:r>
      <w:r w:rsidR="002660B8" w:rsidRPr="00F72FB0">
        <w:rPr>
          <w:lang w:val="en-GB"/>
        </w:rPr>
        <w:t>or</w:t>
      </w:r>
      <w:r w:rsidR="00FC2FB1" w:rsidRPr="00F72FB0">
        <w:rPr>
          <w:lang w:val="en-GB"/>
        </w:rPr>
        <w:t xml:space="preserve"> </w:t>
      </w:r>
      <w:r w:rsidR="002660B8" w:rsidRPr="00F72FB0">
        <w:rPr>
          <w:lang w:val="en-GB"/>
        </w:rPr>
        <w:t>inconsistent</w:t>
      </w:r>
      <w:r w:rsidR="00FC2FB1" w:rsidRPr="00F72FB0">
        <w:rPr>
          <w:lang w:val="en-GB"/>
        </w:rPr>
        <w:t xml:space="preserve"> </w:t>
      </w:r>
      <w:r w:rsidR="002660B8" w:rsidRPr="00F72FB0">
        <w:rPr>
          <w:lang w:val="en-GB"/>
        </w:rPr>
        <w:t>with</w:t>
      </w:r>
      <w:r w:rsidR="00FC2FB1" w:rsidRPr="00F72FB0">
        <w:rPr>
          <w:lang w:val="en-GB"/>
        </w:rPr>
        <w:t xml:space="preserve"> </w:t>
      </w:r>
      <w:r w:rsidR="002660B8" w:rsidRPr="00F72FB0">
        <w:rPr>
          <w:lang w:val="en-GB"/>
        </w:rPr>
        <w:t>principles</w:t>
      </w:r>
      <w:r w:rsidR="00FC2FB1" w:rsidRPr="00F72FB0">
        <w:rPr>
          <w:lang w:val="en-GB"/>
        </w:rPr>
        <w:t xml:space="preserve"> </w:t>
      </w:r>
      <w:r w:rsidR="002660B8" w:rsidRPr="00F72FB0">
        <w:rPr>
          <w:lang w:val="en-GB"/>
        </w:rPr>
        <w:t>of</w:t>
      </w:r>
      <w:r w:rsidR="00FC2FB1" w:rsidRPr="00F72FB0">
        <w:rPr>
          <w:lang w:val="en-GB"/>
        </w:rPr>
        <w:t xml:space="preserve"> </w:t>
      </w:r>
      <w:r w:rsidR="002660B8" w:rsidRPr="00F72FB0">
        <w:rPr>
          <w:lang w:val="en-GB"/>
        </w:rPr>
        <w:t>good</w:t>
      </w:r>
      <w:r w:rsidR="00FC2FB1" w:rsidRPr="00F72FB0">
        <w:rPr>
          <w:lang w:val="en-GB"/>
        </w:rPr>
        <w:t xml:space="preserve"> </w:t>
      </w:r>
      <w:r w:rsidR="002660B8" w:rsidRPr="00F72FB0">
        <w:rPr>
          <w:lang w:val="en-GB"/>
        </w:rPr>
        <w:t>governance</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allow</w:t>
      </w:r>
      <w:r w:rsidR="00FC2FB1" w:rsidRPr="00F72FB0">
        <w:rPr>
          <w:lang w:val="en-GB"/>
        </w:rPr>
        <w:t xml:space="preserve"> </w:t>
      </w:r>
      <w:r w:rsidR="002660B8" w:rsidRPr="00F72FB0">
        <w:rPr>
          <w:lang w:val="en-GB"/>
        </w:rPr>
        <w:t>the</w:t>
      </w:r>
      <w:r w:rsidR="00FC2FB1" w:rsidRPr="00F72FB0">
        <w:rPr>
          <w:lang w:val="en-GB"/>
        </w:rPr>
        <w:t xml:space="preserve"> </w:t>
      </w:r>
      <w:r w:rsidR="002660B8" w:rsidRPr="00F72FB0">
        <w:rPr>
          <w:lang w:val="en-GB"/>
        </w:rPr>
        <w:t>decision-maker</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depart</w:t>
      </w:r>
      <w:r w:rsidR="00FC2FB1" w:rsidRPr="00F72FB0">
        <w:rPr>
          <w:lang w:val="en-GB"/>
        </w:rPr>
        <w:t xml:space="preserve"> </w:t>
      </w:r>
      <w:r w:rsidR="002660B8" w:rsidRPr="00F72FB0">
        <w:rPr>
          <w:lang w:val="en-GB"/>
        </w:rPr>
        <w:t>from</w:t>
      </w:r>
      <w:r w:rsidR="00FC2FB1" w:rsidRPr="00F72FB0">
        <w:rPr>
          <w:lang w:val="en-GB"/>
        </w:rPr>
        <w:t xml:space="preserve"> </w:t>
      </w:r>
      <w:r w:rsidR="002660B8" w:rsidRPr="00F72FB0">
        <w:rPr>
          <w:lang w:val="en-GB"/>
        </w:rPr>
        <w:lastRenderedPageBreak/>
        <w:t>that</w:t>
      </w:r>
      <w:r w:rsidR="00FC2FB1" w:rsidRPr="00F72FB0">
        <w:rPr>
          <w:lang w:val="en-GB"/>
        </w:rPr>
        <w:t xml:space="preserve"> </w:t>
      </w:r>
      <w:r w:rsidR="002660B8" w:rsidRPr="00F72FB0">
        <w:rPr>
          <w:lang w:val="en-GB"/>
        </w:rPr>
        <w:t>practice.</w:t>
      </w:r>
      <w:r w:rsidR="002660B8" w:rsidRPr="00F72FB0">
        <w:rPr>
          <w:rStyle w:val="Alaviitteenviite"/>
          <w:lang w:val="en-GB"/>
        </w:rPr>
        <w:footnoteReference w:id="14"/>
      </w:r>
      <w:r w:rsidR="00FC2FB1" w:rsidRPr="00F72FB0">
        <w:rPr>
          <w:lang w:val="en-GB"/>
        </w:rPr>
        <w:t xml:space="preserve"> </w:t>
      </w:r>
      <w:r w:rsidR="002660B8" w:rsidRPr="00F72FB0">
        <w:rPr>
          <w:lang w:val="en-GB"/>
        </w:rPr>
        <w:t>Thus,</w:t>
      </w:r>
      <w:r w:rsidR="00FC2FB1" w:rsidRPr="00F72FB0">
        <w:rPr>
          <w:lang w:val="en-GB"/>
        </w:rPr>
        <w:t xml:space="preserve"> </w:t>
      </w:r>
      <w:r w:rsidR="002660B8" w:rsidRPr="00F72FB0">
        <w:rPr>
          <w:lang w:val="en-GB"/>
        </w:rPr>
        <w:t>if</w:t>
      </w:r>
      <w:r w:rsidR="00FC2FB1" w:rsidRPr="00F72FB0">
        <w:rPr>
          <w:lang w:val="en-GB"/>
        </w:rPr>
        <w:t xml:space="preserve"> </w:t>
      </w:r>
      <w:r w:rsidR="002660B8" w:rsidRPr="00F72FB0">
        <w:rPr>
          <w:lang w:val="en-GB"/>
        </w:rPr>
        <w:t>a</w:t>
      </w:r>
      <w:r w:rsidR="00FC2FB1" w:rsidRPr="00F72FB0">
        <w:rPr>
          <w:lang w:val="en-GB"/>
        </w:rPr>
        <w:t xml:space="preserve"> </w:t>
      </w:r>
      <w:r w:rsidR="002660B8" w:rsidRPr="00F72FB0">
        <w:rPr>
          <w:lang w:val="en-GB"/>
        </w:rPr>
        <w:t>decision-maker</w:t>
      </w:r>
      <w:r w:rsidR="00FC2FB1" w:rsidRPr="00F72FB0">
        <w:rPr>
          <w:lang w:val="en-GB"/>
        </w:rPr>
        <w:t xml:space="preserve"> </w:t>
      </w:r>
      <w:r w:rsidR="002660B8" w:rsidRPr="00F72FB0">
        <w:rPr>
          <w:lang w:val="en-GB"/>
        </w:rPr>
        <w:t>is</w:t>
      </w:r>
      <w:r w:rsidR="00FC2FB1" w:rsidRPr="00F72FB0">
        <w:rPr>
          <w:lang w:val="en-GB"/>
        </w:rPr>
        <w:t xml:space="preserve"> </w:t>
      </w:r>
      <w:r w:rsidR="002660B8" w:rsidRPr="00F72FB0">
        <w:rPr>
          <w:lang w:val="en-GB"/>
        </w:rPr>
        <w:t>known</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avail</w:t>
      </w:r>
      <w:r w:rsidR="00FC2FB1" w:rsidRPr="00F72FB0">
        <w:rPr>
          <w:lang w:val="en-GB"/>
        </w:rPr>
        <w:t xml:space="preserve"> </w:t>
      </w:r>
      <w:r w:rsidR="002660B8" w:rsidRPr="00F72FB0">
        <w:rPr>
          <w:lang w:val="en-GB"/>
        </w:rPr>
        <w:t>of</w:t>
      </w:r>
      <w:r w:rsidR="00FC2FB1" w:rsidRPr="00F72FB0">
        <w:rPr>
          <w:lang w:val="en-GB"/>
        </w:rPr>
        <w:t xml:space="preserve"> </w:t>
      </w:r>
      <w:r w:rsidR="002660B8" w:rsidRPr="00F72FB0">
        <w:rPr>
          <w:lang w:val="en-GB"/>
        </w:rPr>
        <w:t>specific</w:t>
      </w:r>
      <w:r w:rsidR="00FC2FB1" w:rsidRPr="00F72FB0">
        <w:rPr>
          <w:lang w:val="en-GB"/>
        </w:rPr>
        <w:t xml:space="preserve"> </w:t>
      </w:r>
      <w:r w:rsidR="002660B8" w:rsidRPr="00F72FB0">
        <w:rPr>
          <w:lang w:val="en-GB"/>
        </w:rPr>
        <w:t>soft</w:t>
      </w:r>
      <w:r w:rsidR="00FC2FB1" w:rsidRPr="00F72FB0">
        <w:rPr>
          <w:lang w:val="en-GB"/>
        </w:rPr>
        <w:t xml:space="preserve"> </w:t>
      </w:r>
      <w:r w:rsidR="002660B8" w:rsidRPr="00F72FB0">
        <w:rPr>
          <w:lang w:val="en-GB"/>
        </w:rPr>
        <w:t>law</w:t>
      </w:r>
      <w:r w:rsidR="00FC2FB1" w:rsidRPr="00F72FB0">
        <w:rPr>
          <w:lang w:val="en-GB"/>
        </w:rPr>
        <w:t xml:space="preserve"> </w:t>
      </w:r>
      <w:r w:rsidR="002660B8" w:rsidRPr="00F72FB0">
        <w:rPr>
          <w:lang w:val="en-GB"/>
        </w:rPr>
        <w:t>instruments</w:t>
      </w:r>
      <w:r w:rsidR="00FC2FB1" w:rsidRPr="00F72FB0">
        <w:rPr>
          <w:lang w:val="en-GB"/>
        </w:rPr>
        <w:t xml:space="preserve"> </w:t>
      </w:r>
      <w:r w:rsidR="002660B8" w:rsidRPr="00F72FB0">
        <w:rPr>
          <w:lang w:val="en-GB"/>
        </w:rPr>
        <w:t>in</w:t>
      </w:r>
      <w:r w:rsidR="00FC2FB1" w:rsidRPr="00F72FB0">
        <w:rPr>
          <w:lang w:val="en-GB"/>
        </w:rPr>
        <w:t xml:space="preserve"> </w:t>
      </w:r>
      <w:r w:rsidR="002660B8" w:rsidRPr="00F72FB0">
        <w:rPr>
          <w:lang w:val="en-GB"/>
        </w:rPr>
        <w:t>their</w:t>
      </w:r>
      <w:r w:rsidR="00FC2FB1" w:rsidRPr="00F72FB0">
        <w:rPr>
          <w:lang w:val="en-GB"/>
        </w:rPr>
        <w:t xml:space="preserve"> </w:t>
      </w:r>
      <w:r w:rsidR="002660B8" w:rsidRPr="00F72FB0">
        <w:rPr>
          <w:lang w:val="en-GB"/>
        </w:rPr>
        <w:t>decision-making,</w:t>
      </w:r>
      <w:r w:rsidR="00FC2FB1" w:rsidRPr="00F72FB0">
        <w:rPr>
          <w:lang w:val="en-GB"/>
        </w:rPr>
        <w:t xml:space="preserve"> </w:t>
      </w:r>
      <w:r w:rsidR="002660B8" w:rsidRPr="00F72FB0">
        <w:rPr>
          <w:lang w:val="en-GB"/>
        </w:rPr>
        <w:t>then</w:t>
      </w:r>
      <w:r w:rsidR="00FC2FB1" w:rsidRPr="00F72FB0">
        <w:rPr>
          <w:lang w:val="en-GB"/>
        </w:rPr>
        <w:t xml:space="preserve"> </w:t>
      </w:r>
      <w:r w:rsidR="002660B8" w:rsidRPr="00F72FB0">
        <w:rPr>
          <w:lang w:val="en-GB"/>
        </w:rPr>
        <w:t>it</w:t>
      </w:r>
      <w:r w:rsidR="00FC2FB1" w:rsidRPr="00F72FB0">
        <w:rPr>
          <w:lang w:val="en-GB"/>
        </w:rPr>
        <w:t xml:space="preserve"> </w:t>
      </w:r>
      <w:r w:rsidR="002660B8" w:rsidRPr="00F72FB0">
        <w:rPr>
          <w:lang w:val="en-GB"/>
        </w:rPr>
        <w:t>might</w:t>
      </w:r>
      <w:r w:rsidR="00FC2FB1" w:rsidRPr="00F72FB0">
        <w:rPr>
          <w:lang w:val="en-GB"/>
        </w:rPr>
        <w:t xml:space="preserve"> </w:t>
      </w:r>
      <w:r w:rsidR="002660B8" w:rsidRPr="00F72FB0">
        <w:rPr>
          <w:lang w:val="en-GB"/>
        </w:rPr>
        <w:t>be</w:t>
      </w:r>
      <w:r w:rsidR="00FC2FB1" w:rsidRPr="00F72FB0">
        <w:rPr>
          <w:lang w:val="en-GB"/>
        </w:rPr>
        <w:t xml:space="preserve"> </w:t>
      </w:r>
      <w:r w:rsidR="002660B8" w:rsidRPr="00F72FB0">
        <w:rPr>
          <w:lang w:val="en-GB"/>
        </w:rPr>
        <w:t>possible</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establish</w:t>
      </w:r>
      <w:r w:rsidR="00FC2FB1" w:rsidRPr="00F72FB0">
        <w:rPr>
          <w:lang w:val="en-GB"/>
        </w:rPr>
        <w:t xml:space="preserve"> </w:t>
      </w:r>
      <w:r w:rsidR="002660B8" w:rsidRPr="00F72FB0">
        <w:rPr>
          <w:lang w:val="en-GB"/>
        </w:rPr>
        <w:t>a</w:t>
      </w:r>
      <w:r w:rsidR="00FC2FB1" w:rsidRPr="00F72FB0">
        <w:rPr>
          <w:lang w:val="en-GB"/>
        </w:rPr>
        <w:t xml:space="preserve"> </w:t>
      </w:r>
      <w:r w:rsidR="002660B8" w:rsidRPr="00F72FB0">
        <w:rPr>
          <w:lang w:val="en-GB"/>
        </w:rPr>
        <w:t>legitimate</w:t>
      </w:r>
      <w:r w:rsidR="00FC2FB1" w:rsidRPr="00F72FB0">
        <w:rPr>
          <w:lang w:val="en-GB"/>
        </w:rPr>
        <w:t xml:space="preserve"> </w:t>
      </w:r>
      <w:r w:rsidR="002660B8" w:rsidRPr="00F72FB0">
        <w:rPr>
          <w:lang w:val="en-GB"/>
        </w:rPr>
        <w:t>expectation</w:t>
      </w:r>
      <w:r w:rsidR="00FC2FB1" w:rsidRPr="00F72FB0">
        <w:rPr>
          <w:lang w:val="en-GB"/>
        </w:rPr>
        <w:t xml:space="preserve"> </w:t>
      </w:r>
      <w:r w:rsidR="002660B8" w:rsidRPr="00F72FB0">
        <w:rPr>
          <w:lang w:val="en-GB"/>
        </w:rPr>
        <w:t>that</w:t>
      </w:r>
      <w:r w:rsidR="00FC2FB1" w:rsidRPr="00F72FB0">
        <w:rPr>
          <w:lang w:val="en-GB"/>
        </w:rPr>
        <w:t xml:space="preserve"> </w:t>
      </w:r>
      <w:r w:rsidR="002660B8" w:rsidRPr="00F72FB0">
        <w:rPr>
          <w:lang w:val="en-GB"/>
        </w:rPr>
        <w:t>they</w:t>
      </w:r>
      <w:r w:rsidR="00FC2FB1" w:rsidRPr="00F72FB0">
        <w:rPr>
          <w:lang w:val="en-GB"/>
        </w:rPr>
        <w:t xml:space="preserve"> </w:t>
      </w:r>
      <w:r w:rsidR="002660B8" w:rsidRPr="00F72FB0">
        <w:rPr>
          <w:lang w:val="en-GB"/>
        </w:rPr>
        <w:t>would</w:t>
      </w:r>
      <w:r w:rsidR="00FC2FB1" w:rsidRPr="00F72FB0">
        <w:rPr>
          <w:lang w:val="en-GB"/>
        </w:rPr>
        <w:t xml:space="preserve"> </w:t>
      </w:r>
      <w:r w:rsidR="002660B8" w:rsidRPr="00F72FB0">
        <w:rPr>
          <w:lang w:val="en-GB"/>
        </w:rPr>
        <w:t>continue</w:t>
      </w:r>
      <w:r w:rsidR="00FC2FB1" w:rsidRPr="00F72FB0">
        <w:rPr>
          <w:lang w:val="en-GB"/>
        </w:rPr>
        <w:t xml:space="preserve"> </w:t>
      </w:r>
      <w:r w:rsidR="002660B8" w:rsidRPr="00F72FB0">
        <w:rPr>
          <w:lang w:val="en-GB"/>
        </w:rPr>
        <w:t>to</w:t>
      </w:r>
      <w:r w:rsidR="00FC2FB1" w:rsidRPr="00F72FB0">
        <w:rPr>
          <w:lang w:val="en-GB"/>
        </w:rPr>
        <w:t xml:space="preserve"> </w:t>
      </w:r>
      <w:r w:rsidR="002660B8" w:rsidRPr="00F72FB0">
        <w:rPr>
          <w:lang w:val="en-GB"/>
        </w:rPr>
        <w:t>do</w:t>
      </w:r>
      <w:r w:rsidR="00FC2FB1" w:rsidRPr="00F72FB0">
        <w:rPr>
          <w:lang w:val="en-GB"/>
        </w:rPr>
        <w:t xml:space="preserve"> </w:t>
      </w:r>
      <w:r w:rsidR="002660B8" w:rsidRPr="00F72FB0">
        <w:rPr>
          <w:lang w:val="en-GB"/>
        </w:rPr>
        <w:t>so.</w:t>
      </w:r>
      <w:r w:rsidR="00AF298A" w:rsidRPr="00F72FB0">
        <w:rPr>
          <w:rStyle w:val="Alaviitteenviite"/>
          <w:lang w:val="en-GB"/>
        </w:rPr>
        <w:footnoteReference w:id="15"/>
      </w:r>
      <w:r w:rsidR="00FC2FB1" w:rsidRPr="00F72FB0">
        <w:rPr>
          <w:lang w:val="en-GB"/>
        </w:rPr>
        <w:t xml:space="preserve"> </w:t>
      </w:r>
    </w:p>
    <w:p w14:paraId="593EEFAB" w14:textId="77777777" w:rsidR="00913485" w:rsidRDefault="00913485" w:rsidP="00E14136">
      <w:pPr>
        <w:spacing w:line="360" w:lineRule="auto"/>
        <w:contextualSpacing/>
        <w:jc w:val="both"/>
        <w:rPr>
          <w:lang w:val="en-GB"/>
        </w:rPr>
      </w:pPr>
    </w:p>
    <w:p w14:paraId="0C2E4EA6" w14:textId="511DD85E" w:rsidR="00591433" w:rsidRPr="00F72FB0" w:rsidRDefault="002660B8" w:rsidP="00E14136">
      <w:pPr>
        <w:spacing w:line="360" w:lineRule="auto"/>
        <w:contextualSpacing/>
        <w:jc w:val="both"/>
        <w:rPr>
          <w:lang w:val="en-GB"/>
        </w:rPr>
      </w:pPr>
      <w:r w:rsidRPr="00F72FB0">
        <w:rPr>
          <w:lang w:val="en-GB"/>
        </w:rPr>
        <w:t>However,</w:t>
      </w:r>
      <w:r w:rsidR="00FC2FB1" w:rsidRPr="00F72FB0">
        <w:rPr>
          <w:lang w:val="en-GB"/>
        </w:rPr>
        <w:t xml:space="preserve"> </w:t>
      </w:r>
      <w:r w:rsidR="0013113A">
        <w:rPr>
          <w:lang w:val="en-GB"/>
        </w:rPr>
        <w:t>a significant issue remains due to the decision-makers being organs of the state. I</w:t>
      </w:r>
      <w:r w:rsidR="00EF686E">
        <w:rPr>
          <w:lang w:val="en-GB"/>
        </w:rPr>
        <w:t xml:space="preserve">t is not at all clear whether legitimate expectation can be used </w:t>
      </w:r>
      <w:r w:rsidR="0013113A">
        <w:rPr>
          <w:lang w:val="en-GB"/>
        </w:rPr>
        <w:t xml:space="preserve">effectively </w:t>
      </w:r>
      <w:r w:rsidRPr="00F72FB0">
        <w:rPr>
          <w:lang w:val="en-GB"/>
        </w:rPr>
        <w:t>due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combination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parliamentary</w:t>
      </w:r>
      <w:r w:rsidR="00FC2FB1" w:rsidRPr="00F72FB0">
        <w:rPr>
          <w:lang w:val="en-GB"/>
        </w:rPr>
        <w:t xml:space="preserve"> </w:t>
      </w:r>
      <w:r w:rsidRPr="00F72FB0">
        <w:rPr>
          <w:lang w:val="en-GB"/>
        </w:rPr>
        <w:t>sovereignty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w:t>
      </w:r>
      <w:r w:rsidR="00FC2FB1" w:rsidRPr="00F72FB0">
        <w:rPr>
          <w:lang w:val="en-GB"/>
        </w:rPr>
        <w:t xml:space="preserve"> </w:t>
      </w:r>
      <w:r w:rsidRPr="00F72FB0">
        <w:rPr>
          <w:lang w:val="en-GB"/>
        </w:rPr>
        <w:t>reasonably</w:t>
      </w:r>
      <w:r w:rsidR="00FC2FB1" w:rsidRPr="00F72FB0">
        <w:rPr>
          <w:lang w:val="en-GB"/>
        </w:rPr>
        <w:t xml:space="preserve"> </w:t>
      </w:r>
      <w:r w:rsidRPr="00F72FB0">
        <w:rPr>
          <w:lang w:val="en-GB"/>
        </w:rPr>
        <w:t>strict</w:t>
      </w:r>
      <w:r w:rsidR="00FC2FB1" w:rsidRPr="00F72FB0">
        <w:rPr>
          <w:lang w:val="en-GB"/>
        </w:rPr>
        <w:t xml:space="preserve"> </w:t>
      </w:r>
      <w:r w:rsidRPr="00F72FB0">
        <w:rPr>
          <w:lang w:val="en-GB"/>
        </w:rPr>
        <w:t>separation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powers.</w:t>
      </w:r>
      <w:r w:rsidR="00FC2FB1" w:rsidRPr="00F72FB0">
        <w:rPr>
          <w:lang w:val="en-GB"/>
        </w:rPr>
        <w:t xml:space="preserve"> </w:t>
      </w:r>
      <w:r w:rsidRPr="00F72FB0">
        <w:rPr>
          <w:lang w:val="en-GB"/>
        </w:rPr>
        <w:t>Firstly,</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Act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Parliament</w:t>
      </w:r>
      <w:r w:rsidR="00FC2FB1" w:rsidRPr="00F72FB0">
        <w:rPr>
          <w:lang w:val="en-GB"/>
        </w:rPr>
        <w:t xml:space="preserve"> </w:t>
      </w:r>
      <w:r w:rsidR="00206D22" w:rsidRPr="00F72FB0">
        <w:rPr>
          <w:lang w:val="en-GB"/>
        </w:rPr>
        <w:t>is</w:t>
      </w:r>
      <w:r w:rsidR="00FC2FB1" w:rsidRPr="00F72FB0">
        <w:rPr>
          <w:lang w:val="en-GB"/>
        </w:rPr>
        <w:t xml:space="preserve"> </w:t>
      </w:r>
      <w:r w:rsidRPr="00F72FB0">
        <w:rPr>
          <w:lang w:val="en-GB"/>
        </w:rPr>
        <w:t>sacrosanct.</w:t>
      </w:r>
      <w:r w:rsidR="00FC2FB1" w:rsidRPr="00F72FB0">
        <w:rPr>
          <w:lang w:val="en-GB"/>
        </w:rPr>
        <w:t xml:space="preserve"> </w:t>
      </w:r>
      <w:r w:rsidRPr="00F72FB0">
        <w:rPr>
          <w:lang w:val="en-GB"/>
        </w:rPr>
        <w:t>Secondly,</w:t>
      </w:r>
      <w:r w:rsidR="00FC2FB1" w:rsidRPr="00F72FB0">
        <w:rPr>
          <w:lang w:val="en-GB"/>
        </w:rPr>
        <w:t xml:space="preserve"> </w:t>
      </w:r>
      <w:r w:rsidR="00EF598F" w:rsidRPr="00F72FB0">
        <w:rPr>
          <w:lang w:val="en-GB"/>
        </w:rPr>
        <w:t>within</w:t>
      </w:r>
      <w:r w:rsidR="00FC2FB1" w:rsidRPr="00F72FB0">
        <w:rPr>
          <w:lang w:val="en-GB"/>
        </w:rPr>
        <w:t xml:space="preserve"> </w:t>
      </w:r>
      <w:r w:rsidR="00EF598F" w:rsidRPr="00F72FB0">
        <w:rPr>
          <w:lang w:val="en-GB"/>
        </w:rPr>
        <w:t>the</w:t>
      </w:r>
      <w:r w:rsidR="00FC2FB1" w:rsidRPr="00F72FB0">
        <w:rPr>
          <w:lang w:val="en-GB"/>
        </w:rPr>
        <w:t xml:space="preserve"> </w:t>
      </w:r>
      <w:r w:rsidR="00EF598F" w:rsidRPr="00F72FB0">
        <w:rPr>
          <w:lang w:val="en-GB"/>
        </w:rPr>
        <w:t>judicial</w:t>
      </w:r>
      <w:r w:rsidR="00FC2FB1" w:rsidRPr="00F72FB0">
        <w:rPr>
          <w:lang w:val="en-GB"/>
        </w:rPr>
        <w:t xml:space="preserve"> </w:t>
      </w:r>
      <w:r w:rsidR="00EF598F" w:rsidRPr="00F72FB0">
        <w:rPr>
          <w:lang w:val="en-GB"/>
        </w:rPr>
        <w:t>review</w:t>
      </w:r>
      <w:r w:rsidR="00FC2FB1" w:rsidRPr="00F72FB0">
        <w:rPr>
          <w:lang w:val="en-GB"/>
        </w:rPr>
        <w:t xml:space="preserve"> </w:t>
      </w:r>
      <w:r w:rsidR="00EF598F" w:rsidRPr="00F72FB0">
        <w:rPr>
          <w:lang w:val="en-GB"/>
        </w:rPr>
        <w:t>system,</w:t>
      </w:r>
      <w:r w:rsidR="00FC2FB1" w:rsidRPr="00F72FB0">
        <w:rPr>
          <w:lang w:val="en-GB"/>
        </w:rPr>
        <w:t xml:space="preserve"> </w:t>
      </w:r>
      <w:r w:rsidR="00EF598F" w:rsidRPr="00F72FB0">
        <w:rPr>
          <w:lang w:val="en-GB"/>
        </w:rPr>
        <w:t>whilst</w:t>
      </w:r>
      <w:r w:rsidR="00FC2FB1" w:rsidRPr="00F72FB0">
        <w:rPr>
          <w:lang w:val="en-GB"/>
        </w:rPr>
        <w:t xml:space="preserve"> </w:t>
      </w:r>
      <w:r w:rsidR="00EF598F" w:rsidRPr="00F72FB0">
        <w:rPr>
          <w:lang w:val="en-GB"/>
        </w:rPr>
        <w:t>there</w:t>
      </w:r>
      <w:r w:rsidR="00FC2FB1" w:rsidRPr="00F72FB0">
        <w:rPr>
          <w:lang w:val="en-GB"/>
        </w:rPr>
        <w:t xml:space="preserve"> </w:t>
      </w:r>
      <w:r w:rsidR="00EF598F" w:rsidRPr="00F72FB0">
        <w:rPr>
          <w:lang w:val="en-GB"/>
        </w:rPr>
        <w:t>are</w:t>
      </w:r>
      <w:r w:rsidR="00FC2FB1" w:rsidRPr="00F72FB0">
        <w:rPr>
          <w:lang w:val="en-GB"/>
        </w:rPr>
        <w:t xml:space="preserve"> </w:t>
      </w:r>
      <w:r w:rsidR="00EF598F" w:rsidRPr="00F72FB0">
        <w:rPr>
          <w:lang w:val="en-GB"/>
        </w:rPr>
        <w:t>reasonably</w:t>
      </w:r>
      <w:r w:rsidR="00FC2FB1" w:rsidRPr="00F72FB0">
        <w:rPr>
          <w:lang w:val="en-GB"/>
        </w:rPr>
        <w:t xml:space="preserve"> </w:t>
      </w:r>
      <w:r w:rsidR="00EF598F" w:rsidRPr="00F72FB0">
        <w:rPr>
          <w:lang w:val="en-GB"/>
        </w:rPr>
        <w:t>tight</w:t>
      </w:r>
      <w:r w:rsidR="00FC2FB1" w:rsidRPr="00F72FB0">
        <w:rPr>
          <w:lang w:val="en-GB"/>
        </w:rPr>
        <w:t xml:space="preserve"> </w:t>
      </w:r>
      <w:r w:rsidR="00EF598F" w:rsidRPr="00F72FB0">
        <w:rPr>
          <w:lang w:val="en-GB"/>
        </w:rPr>
        <w:t>controls</w:t>
      </w:r>
      <w:r w:rsidR="00FC2FB1" w:rsidRPr="00F72FB0">
        <w:rPr>
          <w:lang w:val="en-GB"/>
        </w:rPr>
        <w:t xml:space="preserve"> </w:t>
      </w:r>
      <w:r w:rsidR="00EF598F" w:rsidRPr="00F72FB0">
        <w:rPr>
          <w:lang w:val="en-GB"/>
        </w:rPr>
        <w:t>of</w:t>
      </w:r>
      <w:r w:rsidR="00FC2FB1" w:rsidRPr="00F72FB0">
        <w:rPr>
          <w:lang w:val="en-GB"/>
        </w:rPr>
        <w:t xml:space="preserve"> </w:t>
      </w:r>
      <w:r w:rsidR="00EF598F" w:rsidRPr="00F72FB0">
        <w:rPr>
          <w:lang w:val="en-GB"/>
        </w:rPr>
        <w:t>procedural</w:t>
      </w:r>
      <w:r w:rsidR="00FC2FB1" w:rsidRPr="00F72FB0">
        <w:rPr>
          <w:lang w:val="en-GB"/>
        </w:rPr>
        <w:t xml:space="preserve"> </w:t>
      </w:r>
      <w:r w:rsidR="00EF598F" w:rsidRPr="00F72FB0">
        <w:rPr>
          <w:lang w:val="en-GB"/>
        </w:rPr>
        <w:t>elements,</w:t>
      </w:r>
      <w:r w:rsidR="00FC2FB1" w:rsidRPr="00F72FB0">
        <w:rPr>
          <w:lang w:val="en-GB"/>
        </w:rPr>
        <w:t xml:space="preserve"> </w:t>
      </w:r>
      <w:r w:rsidR="00EF598F" w:rsidRPr="00F72FB0">
        <w:rPr>
          <w:lang w:val="en-GB"/>
        </w:rPr>
        <w:t>ie</w:t>
      </w:r>
      <w:r w:rsidR="00FC2FB1" w:rsidRPr="00F72FB0">
        <w:rPr>
          <w:lang w:val="en-GB"/>
        </w:rPr>
        <w:t xml:space="preserve"> </w:t>
      </w:r>
      <w:r w:rsidR="00EF598F" w:rsidRPr="00F72FB0">
        <w:rPr>
          <w:lang w:val="en-GB"/>
        </w:rPr>
        <w:t>whether</w:t>
      </w:r>
      <w:r w:rsidR="00FC2FB1" w:rsidRPr="00F72FB0">
        <w:rPr>
          <w:lang w:val="en-GB"/>
        </w:rPr>
        <w:t xml:space="preserve"> </w:t>
      </w:r>
      <w:r w:rsidR="00EF598F" w:rsidRPr="00F72FB0">
        <w:rPr>
          <w:lang w:val="en-GB"/>
        </w:rPr>
        <w:t>specific</w:t>
      </w:r>
      <w:r w:rsidR="00FC2FB1" w:rsidRPr="00F72FB0">
        <w:rPr>
          <w:lang w:val="en-GB"/>
        </w:rPr>
        <w:t xml:space="preserve"> </w:t>
      </w:r>
      <w:r w:rsidR="00EF598F" w:rsidRPr="00F72FB0">
        <w:rPr>
          <w:lang w:val="en-GB"/>
        </w:rPr>
        <w:t>steps</w:t>
      </w:r>
      <w:r w:rsidR="00FC2FB1" w:rsidRPr="00F72FB0">
        <w:rPr>
          <w:lang w:val="en-GB"/>
        </w:rPr>
        <w:t xml:space="preserve"> </w:t>
      </w:r>
      <w:r w:rsidR="00EF598F" w:rsidRPr="00F72FB0">
        <w:rPr>
          <w:lang w:val="en-GB"/>
        </w:rPr>
        <w:t>were</w:t>
      </w:r>
      <w:r w:rsidR="00FC2FB1" w:rsidRPr="00F72FB0">
        <w:rPr>
          <w:lang w:val="en-GB"/>
        </w:rPr>
        <w:t xml:space="preserve"> </w:t>
      </w:r>
      <w:r w:rsidR="00EF598F" w:rsidRPr="00F72FB0">
        <w:rPr>
          <w:lang w:val="en-GB"/>
        </w:rPr>
        <w:t>taken</w:t>
      </w:r>
      <w:r w:rsidR="00FC2FB1" w:rsidRPr="00F72FB0">
        <w:rPr>
          <w:lang w:val="en-GB"/>
        </w:rPr>
        <w:t xml:space="preserve"> </w:t>
      </w:r>
      <w:r w:rsidR="00EF598F" w:rsidRPr="00F72FB0">
        <w:rPr>
          <w:lang w:val="en-GB"/>
        </w:rPr>
        <w:t>including</w:t>
      </w:r>
      <w:r w:rsidR="00FC2FB1" w:rsidRPr="00F72FB0">
        <w:rPr>
          <w:lang w:val="en-GB"/>
        </w:rPr>
        <w:t xml:space="preserve"> </w:t>
      </w:r>
      <w:r w:rsidR="00EF598F" w:rsidRPr="00F72FB0">
        <w:rPr>
          <w:lang w:val="en-GB"/>
        </w:rPr>
        <w:t>having</w:t>
      </w:r>
      <w:r w:rsidR="00FC2FB1" w:rsidRPr="00F72FB0">
        <w:rPr>
          <w:lang w:val="en-GB"/>
        </w:rPr>
        <w:t xml:space="preserve"> </w:t>
      </w:r>
      <w:r w:rsidR="00EF598F" w:rsidRPr="00F72FB0">
        <w:rPr>
          <w:lang w:val="en-GB"/>
        </w:rPr>
        <w:t>regards</w:t>
      </w:r>
      <w:r w:rsidR="00FC2FB1" w:rsidRPr="00F72FB0">
        <w:rPr>
          <w:lang w:val="en-GB"/>
        </w:rPr>
        <w:t xml:space="preserve"> </w:t>
      </w:r>
      <w:r w:rsidR="00EF598F" w:rsidRPr="00F72FB0">
        <w:rPr>
          <w:lang w:val="en-GB"/>
        </w:rPr>
        <w:t>to</w:t>
      </w:r>
      <w:r w:rsidR="00FC2FB1" w:rsidRPr="00F72FB0">
        <w:rPr>
          <w:lang w:val="en-GB"/>
        </w:rPr>
        <w:t xml:space="preserve"> </w:t>
      </w:r>
      <w:r w:rsidR="00EF598F" w:rsidRPr="00F72FB0">
        <w:rPr>
          <w:lang w:val="en-GB"/>
        </w:rPr>
        <w:t>guidance</w:t>
      </w:r>
      <w:r w:rsidR="00FC2FB1" w:rsidRPr="00F72FB0">
        <w:rPr>
          <w:lang w:val="en-GB"/>
        </w:rPr>
        <w:t xml:space="preserve"> </w:t>
      </w:r>
      <w:r w:rsidR="00EF598F" w:rsidRPr="00F72FB0">
        <w:rPr>
          <w:lang w:val="en-GB"/>
        </w:rPr>
        <w:t>documents</w:t>
      </w:r>
      <w:r w:rsidR="00FC2FB1" w:rsidRPr="00F72FB0">
        <w:rPr>
          <w:lang w:val="en-GB"/>
        </w:rPr>
        <w:t xml:space="preserve"> </w:t>
      </w:r>
      <w:r w:rsidR="00EF598F" w:rsidRPr="00F72FB0">
        <w:rPr>
          <w:lang w:val="en-GB"/>
        </w:rPr>
        <w:t>where</w:t>
      </w:r>
      <w:r w:rsidR="00FC2FB1" w:rsidRPr="00F72FB0">
        <w:rPr>
          <w:lang w:val="en-GB"/>
        </w:rPr>
        <w:t xml:space="preserve"> </w:t>
      </w:r>
      <w:r w:rsidR="00EF598F" w:rsidRPr="00F72FB0">
        <w:rPr>
          <w:lang w:val="en-GB"/>
        </w:rPr>
        <w:t>required,</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considerable</w:t>
      </w:r>
      <w:r w:rsidR="00FC2FB1" w:rsidRPr="00F72FB0">
        <w:rPr>
          <w:lang w:val="en-GB"/>
        </w:rPr>
        <w:t xml:space="preserve"> </w:t>
      </w:r>
      <w:r w:rsidRPr="00F72FB0">
        <w:rPr>
          <w:lang w:val="en-GB"/>
        </w:rPr>
        <w:t>deference</w:t>
      </w:r>
      <w:r w:rsidR="00FC2FB1" w:rsidRPr="00F72FB0">
        <w:rPr>
          <w:lang w:val="en-GB"/>
        </w:rPr>
        <w:t xml:space="preserve"> </w:t>
      </w:r>
      <w:r w:rsidR="00EF598F" w:rsidRPr="00F72FB0">
        <w:rPr>
          <w:lang w:val="en-GB"/>
        </w:rPr>
        <w:t>when</w:t>
      </w:r>
      <w:r w:rsidR="00FC2FB1" w:rsidRPr="00F72FB0">
        <w:rPr>
          <w:lang w:val="en-GB"/>
        </w:rPr>
        <w:t xml:space="preserve"> </w:t>
      </w:r>
      <w:r w:rsidR="00EF598F" w:rsidRPr="00F72FB0">
        <w:rPr>
          <w:lang w:val="en-GB"/>
        </w:rPr>
        <w:t>it</w:t>
      </w:r>
      <w:r w:rsidR="00FC2FB1" w:rsidRPr="00F72FB0">
        <w:rPr>
          <w:lang w:val="en-GB"/>
        </w:rPr>
        <w:t xml:space="preserve"> </w:t>
      </w:r>
      <w:r w:rsidR="00EF598F" w:rsidRPr="00F72FB0">
        <w:rPr>
          <w:lang w:val="en-GB"/>
        </w:rPr>
        <w:t>comes</w:t>
      </w:r>
      <w:r w:rsidR="00FC2FB1" w:rsidRPr="00F72FB0">
        <w:rPr>
          <w:lang w:val="en-GB"/>
        </w:rPr>
        <w:t xml:space="preserve"> </w:t>
      </w:r>
      <w:r w:rsidR="00EF598F" w:rsidRPr="00F72FB0">
        <w:rPr>
          <w:lang w:val="en-GB"/>
        </w:rPr>
        <w:t>to</w:t>
      </w:r>
      <w:r w:rsidR="00FC2FB1" w:rsidRPr="00F72FB0">
        <w:rPr>
          <w:lang w:val="en-GB"/>
        </w:rPr>
        <w:t xml:space="preserve"> </w:t>
      </w:r>
      <w:r w:rsidR="00EF598F" w:rsidRPr="00F72FB0">
        <w:rPr>
          <w:lang w:val="en-GB"/>
        </w:rPr>
        <w:t>the</w:t>
      </w:r>
      <w:r w:rsidR="00FC2FB1" w:rsidRPr="00F72FB0">
        <w:rPr>
          <w:lang w:val="en-GB"/>
        </w:rPr>
        <w:t xml:space="preserve"> </w:t>
      </w:r>
      <w:r w:rsidR="00EF598F" w:rsidRPr="00F72FB0">
        <w:rPr>
          <w:lang w:val="en-GB"/>
        </w:rPr>
        <w:t>substantive</w:t>
      </w:r>
      <w:r w:rsidR="00FC2FB1" w:rsidRPr="00F72FB0">
        <w:rPr>
          <w:lang w:val="en-GB"/>
        </w:rPr>
        <w:t xml:space="preserve"> </w:t>
      </w:r>
      <w:r w:rsidR="00EF598F" w:rsidRPr="00F72FB0">
        <w:rPr>
          <w:lang w:val="en-GB"/>
        </w:rPr>
        <w:t>decision</w:t>
      </w:r>
      <w:r w:rsidR="00EF598F" w:rsidRPr="00F72FB0">
        <w:rPr>
          <w:rStyle w:val="Alaviitteenviite"/>
          <w:lang w:val="en-GB"/>
        </w:rPr>
        <w:footnoteReference w:id="16"/>
      </w:r>
      <w:r w:rsidR="00FC2FB1" w:rsidRPr="00F72FB0">
        <w:rPr>
          <w:lang w:val="en-GB"/>
        </w:rPr>
        <w:t xml:space="preserve"> </w:t>
      </w:r>
      <w:r w:rsidRPr="00F72FB0">
        <w:rPr>
          <w:lang w:val="en-GB"/>
        </w:rPr>
        <w:t>–</w:t>
      </w:r>
      <w:r w:rsidR="00FC2FB1" w:rsidRPr="00F72FB0">
        <w:rPr>
          <w:lang w:val="en-GB"/>
        </w:rPr>
        <w:t xml:space="preserve"> </w:t>
      </w:r>
      <w:r w:rsidRPr="00F72FB0">
        <w:rPr>
          <w:lang w:val="en-GB"/>
        </w:rPr>
        <w:t>something</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focus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Aarhus</w:t>
      </w:r>
      <w:r w:rsidR="00FC2FB1" w:rsidRPr="00F72FB0">
        <w:rPr>
          <w:lang w:val="en-GB"/>
        </w:rPr>
        <w:t xml:space="preserve"> </w:t>
      </w:r>
      <w:r w:rsidRPr="00F72FB0">
        <w:rPr>
          <w:lang w:val="en-GB"/>
        </w:rPr>
        <w:t>complaint</w:t>
      </w:r>
      <w:r w:rsidR="00FC2FB1" w:rsidRPr="00F72FB0">
        <w:rPr>
          <w:lang w:val="en-GB"/>
        </w:rPr>
        <w:t xml:space="preserve"> </w:t>
      </w:r>
      <w:r w:rsidRPr="00F72FB0">
        <w:rPr>
          <w:lang w:val="en-GB"/>
        </w:rPr>
        <w:t>currently.</w:t>
      </w:r>
      <w:r w:rsidR="006D73EC" w:rsidRPr="00F72FB0">
        <w:rPr>
          <w:rStyle w:val="Alaviitteenviite"/>
          <w:lang w:val="en-GB"/>
        </w:rPr>
        <w:footnoteReference w:id="17"/>
      </w:r>
      <w:r w:rsidR="00FC2FB1" w:rsidRPr="00F72FB0">
        <w:rPr>
          <w:lang w:val="en-GB"/>
        </w:rPr>
        <w:t xml:space="preserve"> </w:t>
      </w:r>
      <w:r w:rsidRPr="00F72FB0">
        <w:rPr>
          <w:lang w:val="en-GB"/>
        </w:rPr>
        <w:t>Consequently,</w:t>
      </w:r>
      <w:r w:rsidR="00FC2FB1" w:rsidRPr="00F72FB0">
        <w:rPr>
          <w:lang w:val="en-GB"/>
        </w:rPr>
        <w:t xml:space="preserve"> </w:t>
      </w:r>
      <w:r w:rsidRPr="00F72FB0">
        <w:rPr>
          <w:lang w:val="en-GB"/>
        </w:rPr>
        <w:t>even</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were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considered</w:t>
      </w:r>
      <w:r w:rsidR="00FC2FB1" w:rsidRPr="00F72FB0">
        <w:rPr>
          <w:lang w:val="en-GB"/>
        </w:rPr>
        <w:t xml:space="preserve"> </w:t>
      </w:r>
      <w:r w:rsidRPr="00F72FB0">
        <w:rPr>
          <w:lang w:val="en-GB"/>
        </w:rPr>
        <w:t>justiciable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decisive,</w:t>
      </w:r>
      <w:r w:rsidR="00FC2FB1" w:rsidRPr="00F72FB0">
        <w:rPr>
          <w:lang w:val="en-GB"/>
        </w:rPr>
        <w:t xml:space="preserve"> </w:t>
      </w:r>
      <w:r w:rsidRPr="00F72FB0">
        <w:rPr>
          <w:lang w:val="en-GB"/>
        </w:rPr>
        <w:t>independent</w:t>
      </w:r>
      <w:r w:rsidR="00FC2FB1" w:rsidRPr="00F72FB0">
        <w:rPr>
          <w:lang w:val="en-GB"/>
        </w:rPr>
        <w:t xml:space="preserve"> </w:t>
      </w:r>
      <w:r w:rsidRPr="00F72FB0">
        <w:rPr>
          <w:lang w:val="en-GB"/>
        </w:rPr>
        <w:t>factor</w:t>
      </w:r>
      <w:r w:rsidR="00FC2FB1" w:rsidRPr="00F72FB0">
        <w:rPr>
          <w:lang w:val="en-GB"/>
        </w:rPr>
        <w:t xml:space="preserve"> </w:t>
      </w:r>
      <w:r w:rsidRPr="00F72FB0">
        <w:rPr>
          <w:lang w:val="en-GB"/>
        </w:rPr>
        <w:t>before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would</w:t>
      </w:r>
      <w:r w:rsidR="00FC2FB1" w:rsidRPr="00F72FB0">
        <w:rPr>
          <w:lang w:val="en-GB"/>
        </w:rPr>
        <w:t xml:space="preserve"> </w:t>
      </w:r>
      <w:r w:rsidRPr="00F72FB0">
        <w:rPr>
          <w:lang w:val="en-GB"/>
        </w:rPr>
        <w:t>not</w:t>
      </w:r>
      <w:r w:rsidR="00FC2FB1" w:rsidRPr="00F72FB0">
        <w:rPr>
          <w:lang w:val="en-GB"/>
        </w:rPr>
        <w:t xml:space="preserve"> </w:t>
      </w:r>
      <w:r w:rsidR="00EF598F" w:rsidRPr="00F72FB0">
        <w:rPr>
          <w:lang w:val="en-GB"/>
        </w:rPr>
        <w:t>necessarily</w:t>
      </w:r>
      <w:r w:rsidR="00FC2FB1" w:rsidRPr="00F72FB0">
        <w:rPr>
          <w:lang w:val="en-GB"/>
        </w:rPr>
        <w:t xml:space="preserve"> </w:t>
      </w:r>
      <w:r w:rsidRPr="00F72FB0">
        <w:rPr>
          <w:lang w:val="en-GB"/>
        </w:rPr>
        <w:t>enable</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held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account</w:t>
      </w:r>
      <w:r w:rsidR="00FC2FB1" w:rsidRPr="00F72FB0">
        <w:rPr>
          <w:lang w:val="en-GB"/>
        </w:rPr>
        <w:t xml:space="preserve"> </w:t>
      </w:r>
      <w:r w:rsidRPr="00F72FB0">
        <w:rPr>
          <w:lang w:val="en-GB"/>
        </w:rPr>
        <w:t>over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substantive</w:t>
      </w:r>
      <w:r w:rsidR="00FC2FB1" w:rsidRPr="00F72FB0">
        <w:rPr>
          <w:lang w:val="en-GB"/>
        </w:rPr>
        <w:t xml:space="preserve"> </w:t>
      </w:r>
      <w:r w:rsidRPr="00F72FB0">
        <w:rPr>
          <w:lang w:val="en-GB"/>
        </w:rPr>
        <w:t>decision.</w:t>
      </w:r>
      <w:r w:rsidR="006D73EC" w:rsidRPr="00F72FB0">
        <w:rPr>
          <w:rStyle w:val="Alaviitteenviite"/>
          <w:lang w:val="en-GB"/>
        </w:rPr>
        <w:footnoteReference w:id="18"/>
      </w:r>
    </w:p>
    <w:p w14:paraId="7D43F2F2" w14:textId="77777777" w:rsidR="00591433" w:rsidRPr="00F72FB0" w:rsidRDefault="00591433" w:rsidP="00E14136">
      <w:pPr>
        <w:spacing w:line="360" w:lineRule="auto"/>
        <w:contextualSpacing/>
        <w:jc w:val="both"/>
        <w:rPr>
          <w:bCs/>
          <w:lang w:val="en-GB"/>
        </w:rPr>
      </w:pPr>
    </w:p>
    <w:p w14:paraId="34D40F68" w14:textId="45D9619D" w:rsidR="008371D0" w:rsidRPr="00E460E1" w:rsidRDefault="00600F90" w:rsidP="00E14136">
      <w:pPr>
        <w:pStyle w:val="Otsikko2"/>
        <w:spacing w:before="0" w:line="360" w:lineRule="auto"/>
        <w:contextualSpacing/>
        <w:rPr>
          <w:rFonts w:ascii="Times New Roman" w:hAnsi="Times New Roman" w:cs="Times New Roman"/>
          <w:i/>
          <w:color w:val="000000" w:themeColor="text1"/>
          <w:sz w:val="24"/>
          <w:szCs w:val="24"/>
          <w:lang w:val="en-GB"/>
        </w:rPr>
      </w:pPr>
      <w:r w:rsidRPr="00E460E1">
        <w:rPr>
          <w:rFonts w:ascii="Times New Roman" w:hAnsi="Times New Roman" w:cs="Times New Roman"/>
          <w:i/>
          <w:color w:val="000000" w:themeColor="text1"/>
          <w:sz w:val="24"/>
          <w:szCs w:val="24"/>
          <w:lang w:val="en-GB"/>
        </w:rPr>
        <w:t>B Relationship with E</w:t>
      </w:r>
      <w:r w:rsidR="00936BF4" w:rsidRPr="00E460E1">
        <w:rPr>
          <w:rFonts w:ascii="Times New Roman" w:hAnsi="Times New Roman" w:cs="Times New Roman"/>
          <w:i/>
          <w:color w:val="000000" w:themeColor="text1"/>
          <w:sz w:val="24"/>
          <w:szCs w:val="24"/>
          <w:lang w:val="en-GB"/>
        </w:rPr>
        <w:t>U</w:t>
      </w:r>
      <w:r w:rsidRPr="00E460E1">
        <w:rPr>
          <w:rFonts w:ascii="Times New Roman" w:hAnsi="Times New Roman" w:cs="Times New Roman"/>
          <w:i/>
          <w:color w:val="000000" w:themeColor="text1"/>
          <w:sz w:val="24"/>
          <w:szCs w:val="24"/>
          <w:lang w:val="en-GB"/>
        </w:rPr>
        <w:t xml:space="preserve"> Law?</w:t>
      </w:r>
    </w:p>
    <w:p w14:paraId="465FDB5A" w14:textId="77777777" w:rsidR="008371D0" w:rsidRPr="00F72FB0" w:rsidRDefault="008371D0" w:rsidP="00E14136">
      <w:pPr>
        <w:spacing w:line="360" w:lineRule="auto"/>
        <w:contextualSpacing/>
        <w:jc w:val="both"/>
        <w:rPr>
          <w:b/>
          <w:bCs/>
          <w:lang w:val="en-GB"/>
        </w:rPr>
      </w:pPr>
    </w:p>
    <w:p w14:paraId="4274E49A" w14:textId="51FEDE5D" w:rsidR="006E7A5B" w:rsidRPr="00F72FB0" w:rsidRDefault="006E7A5B" w:rsidP="00E14136">
      <w:pPr>
        <w:spacing w:line="360" w:lineRule="auto"/>
        <w:contextualSpacing/>
        <w:jc w:val="both"/>
        <w:rPr>
          <w:lang w:val="en-GB"/>
        </w:rPr>
      </w:pPr>
      <w:r w:rsidRPr="00F72FB0">
        <w:rPr>
          <w:lang w:val="en-GB"/>
        </w:rPr>
        <w:t>The</w:t>
      </w:r>
      <w:r w:rsidR="00FC2FB1" w:rsidRPr="00F72FB0">
        <w:rPr>
          <w:lang w:val="en-GB"/>
        </w:rPr>
        <w:t xml:space="preserve"> </w:t>
      </w:r>
      <w:r w:rsidRPr="00F72FB0">
        <w:rPr>
          <w:lang w:val="en-GB"/>
        </w:rPr>
        <w:t>second</w:t>
      </w:r>
      <w:r w:rsidR="00FC2FB1" w:rsidRPr="00F72FB0">
        <w:rPr>
          <w:lang w:val="en-GB"/>
        </w:rPr>
        <w:t xml:space="preserve"> </w:t>
      </w:r>
      <w:r w:rsidRPr="00F72FB0">
        <w:rPr>
          <w:lang w:val="en-GB"/>
        </w:rPr>
        <w:t>contextual</w:t>
      </w:r>
      <w:r w:rsidR="00FC2FB1" w:rsidRPr="00F72FB0">
        <w:rPr>
          <w:lang w:val="en-GB"/>
        </w:rPr>
        <w:t xml:space="preserve"> </w:t>
      </w:r>
      <w:r w:rsidRPr="00F72FB0">
        <w:rPr>
          <w:lang w:val="en-GB"/>
        </w:rPr>
        <w:t>element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UK’s</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relationship</w:t>
      </w:r>
      <w:r w:rsidR="00FC2FB1" w:rsidRPr="00F72FB0">
        <w:rPr>
          <w:lang w:val="en-GB"/>
        </w:rPr>
        <w:t xml:space="preserve"> </w:t>
      </w:r>
      <w:r w:rsidRPr="00F72FB0">
        <w:rPr>
          <w:lang w:val="en-GB"/>
        </w:rPr>
        <w:t>to-date</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despite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claiming</w:t>
      </w:r>
      <w:r w:rsidR="00FC2FB1" w:rsidRPr="00F72FB0">
        <w:rPr>
          <w:lang w:val="en-GB"/>
        </w:rPr>
        <w:t xml:space="preserve"> </w:t>
      </w:r>
      <w:r w:rsidRPr="00F72FB0">
        <w:rPr>
          <w:lang w:val="en-GB"/>
        </w:rPr>
        <w:t>supremacy</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over</w:t>
      </w:r>
      <w:r w:rsidR="00FC2FB1" w:rsidRPr="00F72FB0">
        <w:rPr>
          <w:lang w:val="en-GB"/>
        </w:rPr>
        <w:t xml:space="preserve"> </w:t>
      </w:r>
      <w:r w:rsidRPr="00F72FB0">
        <w:rPr>
          <w:lang w:val="en-GB"/>
        </w:rPr>
        <w:t>domestic</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developing</w:t>
      </w:r>
      <w:r w:rsidR="00FC2FB1" w:rsidRPr="00F72FB0">
        <w:rPr>
          <w:lang w:val="en-GB"/>
        </w:rPr>
        <w:t xml:space="preserve"> </w:t>
      </w:r>
      <w:r w:rsidRPr="00F72FB0">
        <w:rPr>
          <w:lang w:val="en-GB"/>
        </w:rPr>
        <w:t>doctrines</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direct</w:t>
      </w:r>
      <w:r w:rsidR="00FC2FB1" w:rsidRPr="00F72FB0">
        <w:rPr>
          <w:lang w:val="en-GB"/>
        </w:rPr>
        <w:t xml:space="preserve"> </w:t>
      </w:r>
      <w:r w:rsidRPr="00F72FB0">
        <w:rPr>
          <w:lang w:val="en-GB"/>
        </w:rPr>
        <w:t>effect,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has</w:t>
      </w:r>
      <w:r w:rsidR="00FC2FB1" w:rsidRPr="00F72FB0">
        <w:rPr>
          <w:lang w:val="en-GB"/>
        </w:rPr>
        <w:t xml:space="preserve"> </w:t>
      </w:r>
      <w:r w:rsidRPr="00F72FB0">
        <w:rPr>
          <w:lang w:val="en-GB"/>
        </w:rPr>
        <w:t>been</w:t>
      </w:r>
      <w:r w:rsidR="00FC2FB1" w:rsidRPr="00F72FB0">
        <w:rPr>
          <w:lang w:val="en-GB"/>
        </w:rPr>
        <w:t xml:space="preserve"> </w:t>
      </w:r>
      <w:r w:rsidRPr="00F72FB0">
        <w:rPr>
          <w:lang w:val="en-GB"/>
        </w:rPr>
        <w:t>less</w:t>
      </w:r>
      <w:r w:rsidR="00FC2FB1" w:rsidRPr="00F72FB0">
        <w:rPr>
          <w:lang w:val="en-GB"/>
        </w:rPr>
        <w:t xml:space="preserve"> </w:t>
      </w:r>
      <w:r w:rsidR="00532A7B" w:rsidRPr="00F72FB0">
        <w:rPr>
          <w:lang w:val="en-GB"/>
        </w:rPr>
        <w:t>enthusiastic</w:t>
      </w:r>
      <w:r w:rsidR="00FC2FB1" w:rsidRPr="00F72FB0">
        <w:rPr>
          <w:lang w:val="en-GB"/>
        </w:rPr>
        <w:t xml:space="preserve"> </w:t>
      </w:r>
      <w:r w:rsidR="00532A7B" w:rsidRPr="00F72FB0">
        <w:rPr>
          <w:lang w:val="en-GB"/>
        </w:rPr>
        <w:t>on</w:t>
      </w:r>
      <w:r w:rsidR="00FC2FB1" w:rsidRPr="00F72FB0">
        <w:rPr>
          <w:lang w:val="en-GB"/>
        </w:rPr>
        <w:t xml:space="preserve"> </w:t>
      </w:r>
      <w:r w:rsidR="00532A7B" w:rsidRPr="00F72FB0">
        <w:rPr>
          <w:lang w:val="en-GB"/>
        </w:rPr>
        <w:t>this</w:t>
      </w:r>
      <w:r w:rsidR="00FC2FB1" w:rsidRPr="00F72FB0">
        <w:rPr>
          <w:lang w:val="en-GB"/>
        </w:rPr>
        <w:t xml:space="preserve"> </w:t>
      </w:r>
      <w:r w:rsidR="00532A7B" w:rsidRPr="00F72FB0">
        <w:rPr>
          <w:lang w:val="en-GB"/>
        </w:rPr>
        <w:t>front</w:t>
      </w:r>
      <w:r w:rsidR="00FC2FB1" w:rsidRPr="00F72FB0">
        <w:rPr>
          <w:lang w:val="en-GB"/>
        </w:rPr>
        <w:t xml:space="preserve"> </w:t>
      </w:r>
      <w:r w:rsidR="00532A7B" w:rsidRPr="00F72FB0">
        <w:rPr>
          <w:lang w:val="en-GB"/>
        </w:rPr>
        <w:t>–</w:t>
      </w:r>
      <w:r w:rsidR="00FC2FB1" w:rsidRPr="00F72FB0">
        <w:rPr>
          <w:lang w:val="en-GB"/>
        </w:rPr>
        <w:t xml:space="preserve"> </w:t>
      </w:r>
      <w:r w:rsidR="00532A7B" w:rsidRPr="00F72FB0">
        <w:rPr>
          <w:lang w:val="en-GB"/>
        </w:rPr>
        <w:t>linked</w:t>
      </w:r>
      <w:r w:rsidR="00FC2FB1" w:rsidRPr="00F72FB0">
        <w:rPr>
          <w:lang w:val="en-GB"/>
        </w:rPr>
        <w:t xml:space="preserve"> </w:t>
      </w:r>
      <w:r w:rsidR="00532A7B" w:rsidRPr="00F72FB0">
        <w:rPr>
          <w:lang w:val="en-GB"/>
        </w:rPr>
        <w:t>to</w:t>
      </w:r>
      <w:r w:rsidR="00FC2FB1" w:rsidRPr="00F72FB0">
        <w:rPr>
          <w:lang w:val="en-GB"/>
        </w:rPr>
        <w:t xml:space="preserve"> </w:t>
      </w:r>
      <w:r w:rsidR="00532A7B" w:rsidRPr="00F72FB0">
        <w:rPr>
          <w:lang w:val="en-GB"/>
        </w:rPr>
        <w:t>the</w:t>
      </w:r>
      <w:r w:rsidR="00FC2FB1" w:rsidRPr="00F72FB0">
        <w:rPr>
          <w:lang w:val="en-GB"/>
        </w:rPr>
        <w:t xml:space="preserve"> </w:t>
      </w:r>
      <w:r w:rsidR="00532A7B" w:rsidRPr="00F72FB0">
        <w:rPr>
          <w:lang w:val="en-GB"/>
        </w:rPr>
        <w:t>UK’s</w:t>
      </w:r>
      <w:r w:rsidR="00FC2FB1" w:rsidRPr="00F72FB0">
        <w:rPr>
          <w:lang w:val="en-GB"/>
        </w:rPr>
        <w:t xml:space="preserve"> </w:t>
      </w:r>
      <w:r w:rsidR="00532A7B" w:rsidRPr="00F72FB0">
        <w:rPr>
          <w:lang w:val="en-GB"/>
        </w:rPr>
        <w:t>dualist</w:t>
      </w:r>
      <w:r w:rsidR="00FC2FB1" w:rsidRPr="00F72FB0">
        <w:rPr>
          <w:lang w:val="en-GB"/>
        </w:rPr>
        <w:t xml:space="preserve"> </w:t>
      </w:r>
      <w:r w:rsidR="00532A7B" w:rsidRPr="00F72FB0">
        <w:rPr>
          <w:lang w:val="en-GB"/>
        </w:rPr>
        <w:t>system</w:t>
      </w:r>
      <w:r w:rsidR="00FC2FB1" w:rsidRPr="00F72FB0">
        <w:rPr>
          <w:lang w:val="en-GB"/>
        </w:rPr>
        <w:t xml:space="preserve"> </w:t>
      </w:r>
      <w:r w:rsidR="00532A7B" w:rsidRPr="00F72FB0">
        <w:rPr>
          <w:lang w:val="en-GB"/>
        </w:rPr>
        <w:t>and</w:t>
      </w:r>
      <w:r w:rsidR="00FC2FB1" w:rsidRPr="00F72FB0">
        <w:rPr>
          <w:lang w:val="en-GB"/>
        </w:rPr>
        <w:t xml:space="preserve"> </w:t>
      </w:r>
      <w:r w:rsidR="00532A7B" w:rsidRPr="00F72FB0">
        <w:rPr>
          <w:lang w:val="en-GB"/>
        </w:rPr>
        <w:t>Parliamentary</w:t>
      </w:r>
      <w:r w:rsidR="00FC2FB1" w:rsidRPr="00F72FB0">
        <w:rPr>
          <w:lang w:val="en-GB"/>
        </w:rPr>
        <w:t xml:space="preserve"> </w:t>
      </w:r>
      <w:r w:rsidR="00532A7B" w:rsidRPr="00F72FB0">
        <w:rPr>
          <w:lang w:val="en-GB"/>
        </w:rPr>
        <w:t>sovereignty</w:t>
      </w:r>
      <w:r w:rsidRPr="00F72FB0">
        <w:rPr>
          <w:lang w:val="en-GB"/>
        </w:rPr>
        <w:t>.</w:t>
      </w:r>
      <w:r w:rsidR="00FC2FB1" w:rsidRPr="00F72FB0">
        <w:rPr>
          <w:lang w:val="en-GB"/>
        </w:rPr>
        <w:t xml:space="preserve"> </w:t>
      </w:r>
      <w:r w:rsidR="002351B5" w:rsidRPr="00F72FB0">
        <w:rPr>
          <w:lang w:val="en-GB"/>
        </w:rPr>
        <w:t>Nonetheless</w:t>
      </w:r>
      <w:r w:rsidR="00532A7B" w:rsidRPr="00F72FB0">
        <w:rPr>
          <w:lang w:val="en-GB"/>
        </w:rPr>
        <w:t>,</w:t>
      </w:r>
      <w:r w:rsidR="00FC2FB1" w:rsidRPr="00F72FB0">
        <w:rPr>
          <w:lang w:val="en-GB"/>
        </w:rPr>
        <w:t xml:space="preserve"> </w:t>
      </w:r>
      <w:r w:rsidR="00532A7B" w:rsidRPr="00F72FB0">
        <w:rPr>
          <w:lang w:val="en-GB"/>
        </w:rPr>
        <w:t>eventually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00314A07" w:rsidRPr="00F72FB0">
        <w:rPr>
          <w:lang w:val="en-GB"/>
        </w:rPr>
        <w:t>relied</w:t>
      </w:r>
      <w:r w:rsidR="00FC2FB1" w:rsidRPr="00F72FB0">
        <w:rPr>
          <w:lang w:val="en-GB"/>
        </w:rPr>
        <w:t xml:space="preserve"> </w:t>
      </w:r>
      <w:r w:rsidR="00314A07"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Parliament’s</w:t>
      </w:r>
      <w:r w:rsidR="00FC2FB1" w:rsidRPr="00F72FB0">
        <w:rPr>
          <w:lang w:val="en-GB"/>
        </w:rPr>
        <w:t xml:space="preserve"> </w:t>
      </w:r>
      <w:r w:rsidRPr="00F72FB0">
        <w:rPr>
          <w:lang w:val="en-GB"/>
        </w:rPr>
        <w:t>decision</w:t>
      </w:r>
      <w:r w:rsidR="00FC2FB1" w:rsidRPr="00F72FB0">
        <w:rPr>
          <w:lang w:val="en-GB"/>
        </w:rPr>
        <w:t xml:space="preserve"> </w:t>
      </w:r>
      <w:r w:rsidRPr="00F72FB0">
        <w:rPr>
          <w:lang w:val="en-GB"/>
        </w:rPr>
        <w:t>(under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European</w:t>
      </w:r>
      <w:r w:rsidR="00FC2FB1" w:rsidRPr="00F72FB0">
        <w:rPr>
          <w:lang w:val="en-GB"/>
        </w:rPr>
        <w:t xml:space="preserve"> </w:t>
      </w:r>
      <w:r w:rsidRPr="00F72FB0">
        <w:rPr>
          <w:lang w:val="en-GB"/>
        </w:rPr>
        <w:t>Communities</w:t>
      </w:r>
      <w:r w:rsidR="00FC2FB1" w:rsidRPr="00F72FB0">
        <w:rPr>
          <w:lang w:val="en-GB"/>
        </w:rPr>
        <w:t xml:space="preserve"> </w:t>
      </w:r>
      <w:r w:rsidRPr="00F72FB0">
        <w:rPr>
          <w:lang w:val="en-GB"/>
        </w:rPr>
        <w:t>Act</w:t>
      </w:r>
      <w:r w:rsidR="00FC2FB1" w:rsidRPr="00F72FB0">
        <w:rPr>
          <w:lang w:val="en-GB"/>
        </w:rPr>
        <w:t xml:space="preserve"> </w:t>
      </w:r>
      <w:r w:rsidRPr="00F72FB0">
        <w:rPr>
          <w:lang w:val="en-GB"/>
        </w:rPr>
        <w:t>1972)</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abide</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concluded</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any</w:t>
      </w:r>
      <w:r w:rsidR="00FC2FB1" w:rsidRPr="00F72FB0">
        <w:rPr>
          <w:lang w:val="en-GB"/>
        </w:rPr>
        <w:t xml:space="preserve"> </w:t>
      </w:r>
      <w:r w:rsidRPr="00F72FB0">
        <w:rPr>
          <w:lang w:val="en-GB"/>
        </w:rPr>
        <w:t>domestic</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directly</w:t>
      </w:r>
      <w:r w:rsidR="00FC2FB1" w:rsidRPr="00F72FB0">
        <w:rPr>
          <w:lang w:val="en-GB"/>
        </w:rPr>
        <w:t xml:space="preserve"> </w:t>
      </w:r>
      <w:r w:rsidRPr="00F72FB0">
        <w:rPr>
          <w:lang w:val="en-GB"/>
        </w:rPr>
        <w:t>conflicted</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would</w:t>
      </w:r>
      <w:r w:rsidR="00FC2FB1" w:rsidRPr="00F72FB0">
        <w:rPr>
          <w:lang w:val="en-GB"/>
        </w:rPr>
        <w:t xml:space="preserve"> </w:t>
      </w:r>
      <w:r w:rsidRPr="00F72FB0">
        <w:rPr>
          <w:lang w:val="en-GB"/>
        </w:rPr>
        <w:t>simply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disapplied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instance.</w:t>
      </w:r>
      <w:r w:rsidR="002351B5" w:rsidRPr="00F72FB0">
        <w:rPr>
          <w:rStyle w:val="Alaviitteenviite"/>
          <w:lang w:val="en-GB"/>
        </w:rPr>
        <w:footnoteReference w:id="19"/>
      </w:r>
      <w:r w:rsidR="00FC2FB1" w:rsidRPr="00F72FB0">
        <w:rPr>
          <w:lang w:val="en-GB"/>
        </w:rPr>
        <w:t xml:space="preserve"> </w:t>
      </w:r>
    </w:p>
    <w:p w14:paraId="1C0E1D81" w14:textId="77777777" w:rsidR="006E7A5B" w:rsidRPr="00F72FB0" w:rsidRDefault="006E7A5B" w:rsidP="00E14136">
      <w:pPr>
        <w:spacing w:line="360" w:lineRule="auto"/>
        <w:contextualSpacing/>
        <w:jc w:val="both"/>
        <w:rPr>
          <w:b/>
          <w:bCs/>
          <w:lang w:val="en-GB"/>
        </w:rPr>
      </w:pPr>
    </w:p>
    <w:p w14:paraId="648E983B" w14:textId="67CBE59F" w:rsidR="006E7A5B" w:rsidRPr="00F72FB0" w:rsidRDefault="006E7A5B" w:rsidP="00E14136">
      <w:pPr>
        <w:spacing w:line="360" w:lineRule="auto"/>
        <w:contextualSpacing/>
        <w:jc w:val="both"/>
        <w:rPr>
          <w:lang w:val="en-GB"/>
        </w:rPr>
      </w:pPr>
      <w:r w:rsidRPr="00F72FB0">
        <w:rPr>
          <w:lang w:val="en-GB"/>
        </w:rPr>
        <w:lastRenderedPageBreak/>
        <w:t>Two</w:t>
      </w:r>
      <w:r w:rsidR="00FC2FB1" w:rsidRPr="00F72FB0">
        <w:rPr>
          <w:lang w:val="en-GB"/>
        </w:rPr>
        <w:t xml:space="preserve"> </w:t>
      </w:r>
      <w:r w:rsidRPr="00F72FB0">
        <w:rPr>
          <w:lang w:val="en-GB"/>
        </w:rPr>
        <w:t>points</w:t>
      </w:r>
      <w:r w:rsidR="00FC2FB1" w:rsidRPr="00F72FB0">
        <w:rPr>
          <w:lang w:val="en-GB"/>
        </w:rPr>
        <w:t xml:space="preserve"> </w:t>
      </w:r>
      <w:r w:rsidRPr="00F72FB0">
        <w:rPr>
          <w:lang w:val="en-GB"/>
        </w:rPr>
        <w:t>regarding</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need</w:t>
      </w:r>
      <w:r w:rsidR="00FC2FB1" w:rsidRPr="00F72FB0">
        <w:rPr>
          <w:lang w:val="en-GB"/>
        </w:rPr>
        <w:t xml:space="preserve"> </w:t>
      </w:r>
      <w:r w:rsidR="00532A7B" w:rsidRPr="00F72FB0">
        <w:rPr>
          <w:lang w:val="en-GB"/>
        </w:rPr>
        <w:t>highlighting</w:t>
      </w:r>
      <w:r w:rsidRPr="00F72FB0">
        <w:rPr>
          <w:lang w:val="en-GB"/>
        </w:rPr>
        <w:t>.</w:t>
      </w:r>
      <w:r w:rsidR="00FC2FB1" w:rsidRPr="00F72FB0">
        <w:rPr>
          <w:lang w:val="en-GB"/>
        </w:rPr>
        <w:t xml:space="preserve"> </w:t>
      </w:r>
      <w:r w:rsidRPr="00F72FB0">
        <w:rPr>
          <w:lang w:val="en-GB"/>
        </w:rPr>
        <w:t>Firstly,</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remains</w:t>
      </w:r>
      <w:r w:rsidR="00FC2FB1" w:rsidRPr="00F72FB0">
        <w:rPr>
          <w:lang w:val="en-GB"/>
        </w:rPr>
        <w:t xml:space="preserve"> </w:t>
      </w:r>
      <w:r w:rsidRPr="00F72FB0">
        <w:rPr>
          <w:lang w:val="en-GB"/>
        </w:rPr>
        <w:t>‘soft’</w:t>
      </w:r>
      <w:r w:rsidR="00911EA7" w:rsidRPr="00F72FB0">
        <w:rPr>
          <w:lang w:val="en-GB"/>
        </w:rPr>
        <w:t>,</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obligation</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transpose,</w:t>
      </w:r>
      <w:r w:rsidR="00FC2FB1" w:rsidRPr="00F72FB0">
        <w:rPr>
          <w:lang w:val="en-GB"/>
        </w:rPr>
        <w:t xml:space="preserve"> </w:t>
      </w:r>
      <w:r w:rsidRPr="00F72FB0">
        <w:rPr>
          <w:lang w:val="en-GB"/>
        </w:rPr>
        <w:t>implement</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enforce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extend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Any</w:t>
      </w:r>
      <w:r w:rsidR="00FC2FB1" w:rsidRPr="00F72FB0">
        <w:rPr>
          <w:lang w:val="en-GB"/>
        </w:rPr>
        <w:t xml:space="preserve"> </w:t>
      </w:r>
      <w:r w:rsidRPr="00F72FB0">
        <w:rPr>
          <w:lang w:val="en-GB"/>
        </w:rPr>
        <w:t>adherence</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depend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ancillary</w:t>
      </w:r>
      <w:r w:rsidR="00FC2FB1" w:rsidRPr="00F72FB0">
        <w:rPr>
          <w:lang w:val="en-GB"/>
        </w:rPr>
        <w:t xml:space="preserve"> </w:t>
      </w:r>
      <w:r w:rsidRPr="00F72FB0">
        <w:rPr>
          <w:lang w:val="en-GB"/>
        </w:rPr>
        <w:t>obligations</w:t>
      </w:r>
      <w:r w:rsidR="00FC2FB1" w:rsidRPr="00F72FB0">
        <w:rPr>
          <w:lang w:val="en-GB"/>
        </w:rPr>
        <w:t xml:space="preserve"> </w:t>
      </w:r>
      <w:r w:rsidRPr="00F72FB0">
        <w:rPr>
          <w:lang w:val="en-GB"/>
        </w:rPr>
        <w:t>created</w:t>
      </w:r>
      <w:r w:rsidR="00FC2FB1" w:rsidRPr="00F72FB0">
        <w:rPr>
          <w:lang w:val="en-GB"/>
        </w:rPr>
        <w:t xml:space="preserve"> </w:t>
      </w:r>
      <w:r w:rsidRPr="00F72FB0">
        <w:rPr>
          <w:lang w:val="en-GB"/>
        </w:rPr>
        <w:t>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domestic</w:t>
      </w:r>
      <w:r w:rsidR="00FC2FB1" w:rsidRPr="00F72FB0">
        <w:rPr>
          <w:lang w:val="en-GB"/>
        </w:rPr>
        <w:t xml:space="preserve"> </w:t>
      </w:r>
      <w:r w:rsidRPr="00F72FB0">
        <w:rPr>
          <w:lang w:val="en-GB"/>
        </w:rPr>
        <w:t>level,</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just</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what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nationally</w:t>
      </w:r>
      <w:r w:rsidR="004C7119">
        <w:rPr>
          <w:lang w:val="en-GB"/>
        </w:rPr>
        <w:t xml:space="preserve"> (see, for instance, the obligation to comply or explain with financial regulation soft law issued by the European Supervisory Authorities)</w:t>
      </w:r>
      <w:r w:rsidRPr="00F72FB0">
        <w:rPr>
          <w:lang w:val="en-GB"/>
        </w:rPr>
        <w:t>.</w:t>
      </w:r>
      <w:r w:rsidR="00FC2FB1" w:rsidRPr="00F72FB0">
        <w:rPr>
          <w:lang w:val="en-GB"/>
        </w:rPr>
        <w:t xml:space="preserve"> </w:t>
      </w:r>
      <w:r w:rsidRPr="00F72FB0">
        <w:rPr>
          <w:lang w:val="en-GB"/>
        </w:rPr>
        <w:t>Secondly,</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prove</w:t>
      </w:r>
      <w:r w:rsidR="00FC2FB1" w:rsidRPr="00F72FB0">
        <w:rPr>
          <w:lang w:val="en-GB"/>
        </w:rPr>
        <w:t xml:space="preserve"> </w:t>
      </w:r>
      <w:r w:rsidRPr="00F72FB0">
        <w:rPr>
          <w:lang w:val="en-GB"/>
        </w:rPr>
        <w:t>especially</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influenced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mixed</w:t>
      </w:r>
      <w:r w:rsidR="00FC2FB1" w:rsidRPr="00F72FB0">
        <w:rPr>
          <w:lang w:val="en-GB"/>
        </w:rPr>
        <w:t xml:space="preserve"> </w:t>
      </w:r>
      <w:r w:rsidRPr="00F72FB0">
        <w:rPr>
          <w:lang w:val="en-GB"/>
        </w:rPr>
        <w:t>origins</w:t>
      </w:r>
      <w:r w:rsidR="00FC2FB1" w:rsidRPr="00F72FB0">
        <w:rPr>
          <w:lang w:val="en-GB"/>
        </w:rPr>
        <w:t xml:space="preserve"> </w:t>
      </w:r>
      <w:r w:rsidRPr="00F72FB0">
        <w:rPr>
          <w:lang w:val="en-GB"/>
        </w:rPr>
        <w:t>–</w:t>
      </w:r>
      <w:r w:rsidR="00FC2FB1" w:rsidRPr="00F72FB0">
        <w:rPr>
          <w:lang w:val="en-GB"/>
        </w:rPr>
        <w:t xml:space="preserve"> </w:t>
      </w:r>
      <w:r w:rsidRPr="00F72FB0">
        <w:rPr>
          <w:lang w:val="en-GB"/>
        </w:rPr>
        <w:t>both</w:t>
      </w:r>
      <w:r w:rsidR="00FC2FB1" w:rsidRPr="00F72FB0">
        <w:rPr>
          <w:lang w:val="en-GB"/>
        </w:rPr>
        <w:t xml:space="preserve"> </w:t>
      </w:r>
      <w:r w:rsidRPr="00F72FB0">
        <w:rPr>
          <w:lang w:val="en-GB"/>
        </w:rPr>
        <w:t>common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civil</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remains</w:t>
      </w:r>
      <w:r w:rsidR="00FC2FB1" w:rsidRPr="00F72FB0">
        <w:rPr>
          <w:lang w:val="en-GB"/>
        </w:rPr>
        <w:t xml:space="preserve"> </w:t>
      </w:r>
      <w:r w:rsidRPr="00F72FB0">
        <w:rPr>
          <w:lang w:val="en-GB"/>
        </w:rPr>
        <w:t>relatively</w:t>
      </w:r>
      <w:r w:rsidR="00FC2FB1" w:rsidRPr="00F72FB0">
        <w:rPr>
          <w:lang w:val="en-GB"/>
        </w:rPr>
        <w:t xml:space="preserve"> </w:t>
      </w:r>
      <w:r w:rsidRPr="00F72FB0">
        <w:rPr>
          <w:lang w:val="en-GB"/>
        </w:rPr>
        <w:t>new,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growing</w:t>
      </w:r>
      <w:r w:rsidR="00FC2FB1" w:rsidRPr="00F72FB0">
        <w:rPr>
          <w:lang w:val="en-GB"/>
        </w:rPr>
        <w:t xml:space="preserve"> </w:t>
      </w:r>
      <w:r w:rsidRPr="00F72FB0">
        <w:rPr>
          <w:lang w:val="en-GB"/>
        </w:rPr>
        <w:t>continuously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frequently</w:t>
      </w:r>
      <w:r w:rsidR="00FC2FB1" w:rsidRPr="00F72FB0">
        <w:rPr>
          <w:lang w:val="en-GB"/>
        </w:rPr>
        <w:t xml:space="preserve"> </w:t>
      </w:r>
      <w:r w:rsidRPr="00F72FB0">
        <w:rPr>
          <w:lang w:val="en-GB"/>
        </w:rPr>
        <w:t>technical.</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creation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hard</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becomes</w:t>
      </w:r>
      <w:r w:rsidR="00FC2FB1" w:rsidRPr="00F72FB0">
        <w:rPr>
          <w:lang w:val="en-GB"/>
        </w:rPr>
        <w:t xml:space="preserve"> </w:t>
      </w:r>
      <w:r w:rsidRPr="00F72FB0">
        <w:rPr>
          <w:lang w:val="en-GB"/>
        </w:rPr>
        <w:t>more</w:t>
      </w:r>
      <w:r w:rsidR="00FC2FB1" w:rsidRPr="00F72FB0">
        <w:rPr>
          <w:lang w:val="en-GB"/>
        </w:rPr>
        <w:t xml:space="preserve"> </w:t>
      </w:r>
      <w:r w:rsidRPr="00F72FB0">
        <w:rPr>
          <w:lang w:val="en-GB"/>
        </w:rPr>
        <w:t>politically</w:t>
      </w:r>
      <w:r w:rsidR="00FC2FB1" w:rsidRPr="00F72FB0">
        <w:rPr>
          <w:lang w:val="en-GB"/>
        </w:rPr>
        <w:t xml:space="preserve"> </w:t>
      </w:r>
      <w:r w:rsidRPr="00F72FB0">
        <w:rPr>
          <w:lang w:val="en-GB"/>
        </w:rPr>
        <w:t>challenging</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increased</w:t>
      </w:r>
      <w:r w:rsidR="00FC2FB1" w:rsidRPr="00F72FB0">
        <w:rPr>
          <w:lang w:val="en-GB"/>
        </w:rPr>
        <w:t xml:space="preserve"> </w:t>
      </w:r>
      <w:r w:rsidRPr="00F72FB0">
        <w:rPr>
          <w:lang w:val="en-GB"/>
        </w:rPr>
        <w:t>numbers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Member</w:t>
      </w:r>
      <w:r w:rsidR="00FC2FB1" w:rsidRPr="00F72FB0">
        <w:rPr>
          <w:lang w:val="en-GB"/>
        </w:rPr>
        <w:t xml:space="preserve"> </w:t>
      </w:r>
      <w:r w:rsidRPr="00F72FB0">
        <w:rPr>
          <w:lang w:val="en-GB"/>
        </w:rPr>
        <w:t>States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principle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subsidiarity</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impacts</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level</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detail</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areas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shared</w:t>
      </w:r>
      <w:r w:rsidR="00FC2FB1" w:rsidRPr="00F72FB0">
        <w:rPr>
          <w:lang w:val="en-GB"/>
        </w:rPr>
        <w:t xml:space="preserve"> </w:t>
      </w:r>
      <w:r w:rsidRPr="00F72FB0">
        <w:rPr>
          <w:lang w:val="en-GB"/>
        </w:rPr>
        <w:t>competence</w:t>
      </w:r>
      <w:r w:rsidR="00FC2FB1" w:rsidRPr="00F72FB0">
        <w:rPr>
          <w:lang w:val="en-GB"/>
        </w:rPr>
        <w:t xml:space="preserve"> </w:t>
      </w:r>
      <w:r w:rsidRPr="00F72FB0">
        <w:rPr>
          <w:lang w:val="en-GB"/>
        </w:rPr>
        <w:t>especially.</w:t>
      </w:r>
      <w:r w:rsidR="00FC2FB1" w:rsidRPr="00F72FB0">
        <w:rPr>
          <w:lang w:val="en-GB"/>
        </w:rPr>
        <w:t xml:space="preserve"> </w:t>
      </w:r>
      <w:r w:rsidRPr="00F72FB0">
        <w:rPr>
          <w:lang w:val="en-GB"/>
        </w:rPr>
        <w:t>Consequently,</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abound</w:t>
      </w:r>
      <w:r w:rsidR="00FC2FB1" w:rsidRPr="00F72FB0">
        <w:rPr>
          <w:lang w:val="en-GB"/>
        </w:rPr>
        <w:t xml:space="preserve"> </w:t>
      </w:r>
      <w:r w:rsidRPr="00F72FB0">
        <w:rPr>
          <w:lang w:val="en-GB"/>
        </w:rPr>
        <w:t>and</w:t>
      </w:r>
      <w:r w:rsidR="00FC2FB1" w:rsidRPr="00F72FB0">
        <w:rPr>
          <w:lang w:val="en-GB"/>
        </w:rPr>
        <w:t xml:space="preserve"> </w:t>
      </w:r>
      <w:r w:rsidR="00911EA7" w:rsidRPr="00F72FB0">
        <w:rPr>
          <w:lang w:val="en-GB"/>
        </w:rPr>
        <w:t>may</w:t>
      </w:r>
      <w:r w:rsidR="00FC2FB1" w:rsidRPr="00F72FB0">
        <w:rPr>
          <w:lang w:val="en-GB"/>
        </w:rPr>
        <w:t xml:space="preserve"> </w:t>
      </w:r>
      <w:r w:rsidR="00911EA7" w:rsidRPr="00F72FB0">
        <w:rPr>
          <w:lang w:val="en-GB"/>
        </w:rPr>
        <w:t>be</w:t>
      </w:r>
      <w:r w:rsidR="00FC2FB1" w:rsidRPr="00F72FB0">
        <w:rPr>
          <w:lang w:val="en-GB"/>
        </w:rPr>
        <w:t xml:space="preserve"> </w:t>
      </w:r>
      <w:r w:rsidRPr="00F72FB0">
        <w:rPr>
          <w:lang w:val="en-GB"/>
        </w:rPr>
        <w:t>very</w:t>
      </w:r>
      <w:r w:rsidR="00FC2FB1" w:rsidRPr="00F72FB0">
        <w:rPr>
          <w:lang w:val="en-GB"/>
        </w:rPr>
        <w:t xml:space="preserve"> </w:t>
      </w:r>
      <w:r w:rsidR="00532A7B" w:rsidRPr="00F72FB0">
        <w:rPr>
          <w:lang w:val="en-GB"/>
        </w:rPr>
        <w:t>helpful</w:t>
      </w:r>
      <w:r w:rsidR="00FC2FB1" w:rsidRPr="00F72FB0">
        <w:rPr>
          <w:lang w:val="en-GB"/>
        </w:rPr>
        <w:t xml:space="preserve"> </w:t>
      </w:r>
      <w:r w:rsidRPr="00F72FB0">
        <w:rPr>
          <w:lang w:val="en-GB"/>
        </w:rPr>
        <w:t>(if</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questionable</w:t>
      </w:r>
      <w:r w:rsidR="00FC2FB1" w:rsidRPr="00F72FB0">
        <w:rPr>
          <w:lang w:val="en-GB"/>
        </w:rPr>
        <w:t xml:space="preserve"> </w:t>
      </w:r>
      <w:r w:rsidRPr="00F72FB0">
        <w:rPr>
          <w:lang w:val="en-GB"/>
        </w:rPr>
        <w:t>democratically)</w:t>
      </w:r>
      <w:r w:rsidR="00FC2FB1" w:rsidRPr="00F72FB0">
        <w:rPr>
          <w:lang w:val="en-GB"/>
        </w:rPr>
        <w:t xml:space="preserve"> </w:t>
      </w:r>
      <w:r w:rsidR="00532A7B" w:rsidRPr="00F72FB0">
        <w:rPr>
          <w:lang w:val="en-GB"/>
        </w:rPr>
        <w:t>–</w:t>
      </w:r>
      <w:r w:rsidR="00FC2FB1" w:rsidRPr="00F72FB0">
        <w:rPr>
          <w:lang w:val="en-GB"/>
        </w:rPr>
        <w:t xml:space="preserve"> </w:t>
      </w:r>
      <w:r w:rsidR="00532A7B" w:rsidRPr="00F72FB0">
        <w:rPr>
          <w:lang w:val="en-GB"/>
        </w:rPr>
        <w:t>increasing</w:t>
      </w:r>
      <w:r w:rsidR="00FC2FB1" w:rsidRPr="00F72FB0">
        <w:rPr>
          <w:lang w:val="en-GB"/>
        </w:rPr>
        <w:t xml:space="preserve"> </w:t>
      </w:r>
      <w:r w:rsidR="00532A7B" w:rsidRPr="00F72FB0">
        <w:rPr>
          <w:lang w:val="en-GB"/>
        </w:rPr>
        <w:t>the</w:t>
      </w:r>
      <w:r w:rsidR="00FC2FB1" w:rsidRPr="00F72FB0">
        <w:rPr>
          <w:lang w:val="en-GB"/>
        </w:rPr>
        <w:t xml:space="preserve"> </w:t>
      </w:r>
      <w:r w:rsidR="00532A7B" w:rsidRPr="00F72FB0">
        <w:rPr>
          <w:lang w:val="en-GB"/>
        </w:rPr>
        <w:t>likelihood</w:t>
      </w:r>
      <w:r w:rsidR="00FC2FB1" w:rsidRPr="00F72FB0">
        <w:rPr>
          <w:lang w:val="en-GB"/>
        </w:rPr>
        <w:t xml:space="preserve"> </w:t>
      </w:r>
      <w:r w:rsidR="00532A7B" w:rsidRPr="00F72FB0">
        <w:rPr>
          <w:lang w:val="en-GB"/>
        </w:rPr>
        <w:t>of</w:t>
      </w:r>
      <w:r w:rsidR="00FC2FB1" w:rsidRPr="00F72FB0">
        <w:rPr>
          <w:lang w:val="en-GB"/>
        </w:rPr>
        <w:t xml:space="preserve"> </w:t>
      </w:r>
      <w:r w:rsidR="00532A7B" w:rsidRPr="00F72FB0">
        <w:rPr>
          <w:lang w:val="en-GB"/>
        </w:rPr>
        <w:t>their</w:t>
      </w:r>
      <w:r w:rsidR="00FC2FB1" w:rsidRPr="00F72FB0">
        <w:rPr>
          <w:lang w:val="en-GB"/>
        </w:rPr>
        <w:t xml:space="preserve"> </w:t>
      </w:r>
      <w:r w:rsidR="00532A7B" w:rsidRPr="00F72FB0">
        <w:rPr>
          <w:lang w:val="en-GB"/>
        </w:rPr>
        <w:t>use.</w:t>
      </w:r>
      <w:r w:rsidR="00FC2FB1" w:rsidRPr="00F72FB0">
        <w:rPr>
          <w:lang w:val="en-GB"/>
        </w:rPr>
        <w:t xml:space="preserve"> </w:t>
      </w:r>
    </w:p>
    <w:p w14:paraId="4D72FC61" w14:textId="77777777" w:rsidR="006E7A5B" w:rsidRPr="00F72FB0" w:rsidRDefault="006E7A5B" w:rsidP="00E14136">
      <w:pPr>
        <w:spacing w:line="360" w:lineRule="auto"/>
        <w:contextualSpacing/>
        <w:jc w:val="both"/>
        <w:rPr>
          <w:lang w:val="en-GB"/>
        </w:rPr>
      </w:pPr>
    </w:p>
    <w:p w14:paraId="6C20F69E" w14:textId="0C2CB66E" w:rsidR="00591433" w:rsidRPr="00F72FB0" w:rsidRDefault="00EF598F" w:rsidP="00E14136">
      <w:pPr>
        <w:spacing w:line="360" w:lineRule="auto"/>
        <w:contextualSpacing/>
        <w:jc w:val="both"/>
        <w:rPr>
          <w:lang w:val="en-GB"/>
        </w:rPr>
      </w:pPr>
      <w:r w:rsidRPr="00F72FB0">
        <w:rPr>
          <w:lang w:val="en-GB"/>
        </w:rPr>
        <w:t>Overall</w:t>
      </w:r>
      <w:r w:rsidR="00FC2FB1" w:rsidRPr="00F72FB0">
        <w:rPr>
          <w:lang w:val="en-GB"/>
        </w:rPr>
        <w:t xml:space="preserve"> </w:t>
      </w:r>
      <w:r w:rsidRPr="00F72FB0">
        <w:rPr>
          <w:lang w:val="en-GB"/>
        </w:rPr>
        <w:t>therefore,</w:t>
      </w:r>
      <w:r w:rsidR="00FC2FB1" w:rsidRPr="00F72FB0">
        <w:rPr>
          <w:lang w:val="en-GB"/>
        </w:rPr>
        <w:t xml:space="preserve"> </w:t>
      </w:r>
      <w:r w:rsidRPr="00F72FB0">
        <w:rPr>
          <w:lang w:val="en-GB"/>
        </w:rPr>
        <w:t>whilst</w:t>
      </w:r>
      <w:r w:rsidR="00FC2FB1" w:rsidRPr="00F72FB0">
        <w:rPr>
          <w:lang w:val="en-GB"/>
        </w:rPr>
        <w:t xml:space="preserve"> </w:t>
      </w:r>
      <w:r w:rsidRPr="00F72FB0">
        <w:rPr>
          <w:lang w:val="en-GB"/>
        </w:rPr>
        <w:t>neither</w:t>
      </w:r>
      <w:r w:rsidR="00FC2FB1" w:rsidRPr="00F72FB0">
        <w:rPr>
          <w:lang w:val="en-GB"/>
        </w:rPr>
        <w:t xml:space="preserve"> </w:t>
      </w:r>
      <w:r w:rsidRPr="00F72FB0">
        <w:rPr>
          <w:lang w:val="en-GB"/>
        </w:rPr>
        <w:t>domestic</w:t>
      </w:r>
      <w:r w:rsidR="00FC2FB1" w:rsidRPr="00F72FB0">
        <w:rPr>
          <w:lang w:val="en-GB"/>
        </w:rPr>
        <w:t xml:space="preserve"> </w:t>
      </w:r>
      <w:r w:rsidRPr="00F72FB0">
        <w:rPr>
          <w:lang w:val="en-GB"/>
        </w:rPr>
        <w:t>nor</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E0384B">
        <w:rPr>
          <w:lang w:val="en-GB"/>
        </w:rPr>
        <w:t>,</w:t>
      </w:r>
      <w:r w:rsidR="00FC2FB1" w:rsidRPr="00F72FB0">
        <w:rPr>
          <w:lang w:val="en-GB"/>
        </w:rPr>
        <w:t xml:space="preserve"> </w:t>
      </w:r>
      <w:r w:rsidR="00E0384B">
        <w:rPr>
          <w:lang w:val="en-GB"/>
        </w:rPr>
        <w:t xml:space="preserve">in principle, </w:t>
      </w:r>
      <w:r w:rsidRPr="00F72FB0">
        <w:rPr>
          <w:lang w:val="en-GB"/>
        </w:rPr>
        <w:t>binding</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the</w:t>
      </w:r>
      <w:r w:rsidR="00FC2FB1" w:rsidRPr="00F72FB0">
        <w:rPr>
          <w:lang w:val="en-GB"/>
        </w:rPr>
        <w:t xml:space="preserve"> </w:t>
      </w:r>
      <w:r w:rsidR="008A3085">
        <w:rPr>
          <w:lang w:val="en-GB"/>
        </w:rPr>
        <w:t>c</w:t>
      </w:r>
      <w:r w:rsidRPr="00F72FB0">
        <w:rPr>
          <w:lang w:val="en-GB"/>
        </w:rPr>
        <w:t>ourts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would</w:t>
      </w:r>
      <w:r w:rsidR="00FC2FB1" w:rsidRPr="00F72FB0">
        <w:rPr>
          <w:lang w:val="en-GB"/>
        </w:rPr>
        <w:t xml:space="preserve"> </w:t>
      </w:r>
      <w:r w:rsidRPr="00F72FB0">
        <w:rPr>
          <w:lang w:val="en-GB"/>
        </w:rPr>
        <w:t>expect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see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being</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wherever</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00911EA7" w:rsidRPr="00F72FB0">
        <w:rPr>
          <w:lang w:val="en-GB"/>
        </w:rPr>
        <w:t>to</w:t>
      </w:r>
      <w:r w:rsidR="00FC2FB1" w:rsidRPr="00F72FB0">
        <w:rPr>
          <w:lang w:val="en-GB"/>
        </w:rPr>
        <w:t xml:space="preserve"> </w:t>
      </w:r>
      <w:r w:rsidR="00911EA7" w:rsidRPr="00F72FB0">
        <w:rPr>
          <w:lang w:val="en-GB"/>
        </w:rPr>
        <w:t>help</w:t>
      </w:r>
      <w:r w:rsidR="00FC2FB1" w:rsidRPr="00F72FB0">
        <w:rPr>
          <w:lang w:val="en-GB"/>
        </w:rPr>
        <w:t xml:space="preserve"> </w:t>
      </w:r>
      <w:r w:rsidR="00911EA7" w:rsidRPr="00F72FB0">
        <w:rPr>
          <w:lang w:val="en-GB"/>
        </w:rPr>
        <w:t>interpret</w:t>
      </w:r>
      <w:r w:rsidR="00FC2FB1" w:rsidRPr="00F72FB0">
        <w:rPr>
          <w:lang w:val="en-GB"/>
        </w:rPr>
        <w:t xml:space="preserve"> </w:t>
      </w:r>
      <w:r w:rsidR="00911EA7" w:rsidRPr="00F72FB0">
        <w:rPr>
          <w:lang w:val="en-GB"/>
        </w:rPr>
        <w:t>the</w:t>
      </w:r>
      <w:r w:rsidR="00FC2FB1" w:rsidRPr="00F72FB0">
        <w:rPr>
          <w:lang w:val="en-GB"/>
        </w:rPr>
        <w:t xml:space="preserve"> </w:t>
      </w:r>
      <w:r w:rsidR="00911EA7" w:rsidRPr="00F72FB0">
        <w:rPr>
          <w:lang w:val="en-GB"/>
        </w:rPr>
        <w:t>hard</w:t>
      </w:r>
      <w:r w:rsidR="00FC2FB1" w:rsidRPr="00F72FB0">
        <w:rPr>
          <w:lang w:val="en-GB"/>
        </w:rPr>
        <w:t xml:space="preserve"> </w:t>
      </w:r>
      <w:r w:rsidR="00911EA7" w:rsidRPr="00F72FB0">
        <w:rPr>
          <w:lang w:val="en-GB"/>
        </w:rPr>
        <w:t>law</w:t>
      </w:r>
      <w:r w:rsidR="00FC2FB1" w:rsidRPr="00F72FB0">
        <w:rPr>
          <w:lang w:val="en-GB"/>
        </w:rPr>
        <w:t xml:space="preserve"> </w:t>
      </w:r>
      <w:r w:rsidR="00911EA7" w:rsidRPr="00F72FB0">
        <w:rPr>
          <w:lang w:val="en-GB"/>
        </w:rPr>
        <w:t>or</w:t>
      </w:r>
      <w:r w:rsidR="00FC2FB1" w:rsidRPr="00F72FB0">
        <w:rPr>
          <w:lang w:val="en-GB"/>
        </w:rPr>
        <w:t xml:space="preserve"> </w:t>
      </w:r>
      <w:r w:rsidR="00911EA7" w:rsidRPr="00F72FB0">
        <w:rPr>
          <w:lang w:val="en-GB"/>
        </w:rPr>
        <w:t>develop</w:t>
      </w:r>
      <w:r w:rsidR="00FC2FB1" w:rsidRPr="00F72FB0">
        <w:rPr>
          <w:lang w:val="en-GB"/>
        </w:rPr>
        <w:t xml:space="preserve"> </w:t>
      </w:r>
      <w:r w:rsidR="00911EA7" w:rsidRPr="00F72FB0">
        <w:rPr>
          <w:lang w:val="en-GB"/>
        </w:rPr>
        <w:t>policies</w:t>
      </w:r>
      <w:r w:rsidR="00FC2FB1" w:rsidRPr="00F72FB0">
        <w:rPr>
          <w:lang w:val="en-GB"/>
        </w:rPr>
        <w:t xml:space="preserve"> </w:t>
      </w:r>
      <w:r w:rsidRPr="00F72FB0">
        <w:rPr>
          <w:lang w:val="en-GB"/>
        </w:rPr>
        <w:t>–</w:t>
      </w:r>
      <w:r w:rsidR="00FC2FB1" w:rsidRPr="00F72FB0">
        <w:rPr>
          <w:lang w:val="en-GB"/>
        </w:rPr>
        <w:t xml:space="preserve"> </w:t>
      </w:r>
      <w:r w:rsidRPr="00F72FB0">
        <w:rPr>
          <w:lang w:val="en-GB"/>
        </w:rPr>
        <w:t>although</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guarantee</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expressly</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expressly,</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then</w:t>
      </w:r>
      <w:r w:rsidR="00FC2FB1" w:rsidRPr="00F72FB0">
        <w:rPr>
          <w:lang w:val="en-GB"/>
        </w:rPr>
        <w:t xml:space="preserve"> </w:t>
      </w:r>
      <w:r w:rsidRPr="00F72FB0">
        <w:rPr>
          <w:lang w:val="en-GB"/>
        </w:rPr>
        <w:t>their</w:t>
      </w:r>
      <w:r w:rsidR="00FC2FB1" w:rsidRPr="00F72FB0">
        <w:rPr>
          <w:lang w:val="en-GB"/>
        </w:rPr>
        <w:t xml:space="preserve"> </w:t>
      </w:r>
      <w:r w:rsidRPr="00F72FB0">
        <w:rPr>
          <w:lang w:val="en-GB"/>
        </w:rPr>
        <w:t>influence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strength</w:t>
      </w:r>
      <w:r w:rsidR="00FC2FB1" w:rsidRPr="00F72FB0">
        <w:rPr>
          <w:lang w:val="en-GB"/>
        </w:rPr>
        <w:t xml:space="preserve"> </w:t>
      </w:r>
      <w:r w:rsidRPr="00F72FB0">
        <w:rPr>
          <w:lang w:val="en-GB"/>
        </w:rPr>
        <w:t>grow</w:t>
      </w:r>
      <w:r w:rsidR="00FC2FB1" w:rsidRPr="00F72FB0">
        <w:rPr>
          <w:lang w:val="en-GB"/>
        </w:rPr>
        <w:t xml:space="preserve"> </w:t>
      </w:r>
      <w:r w:rsidRPr="00F72FB0">
        <w:rPr>
          <w:lang w:val="en-GB"/>
        </w:rPr>
        <w: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point</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end</w:t>
      </w:r>
      <w:r w:rsidR="00FC2FB1" w:rsidRPr="00F72FB0">
        <w:rPr>
          <w:lang w:val="en-GB"/>
        </w:rPr>
        <w:t xml:space="preserve"> </w:t>
      </w:r>
      <w:r w:rsidRPr="00F72FB0">
        <w:rPr>
          <w:lang w:val="en-GB"/>
        </w:rPr>
        <w:t>up</w:t>
      </w:r>
      <w:r w:rsidR="00FC2FB1" w:rsidRPr="00F72FB0">
        <w:rPr>
          <w:lang w:val="en-GB"/>
        </w:rPr>
        <w:t xml:space="preserve"> </w:t>
      </w:r>
      <w:r w:rsidRPr="00F72FB0">
        <w:rPr>
          <w:lang w:val="en-GB"/>
        </w:rPr>
        <w:t>with</w:t>
      </w:r>
      <w:r w:rsidR="00FC2FB1" w:rsidRPr="00F72FB0">
        <w:rPr>
          <w:lang w:val="en-GB"/>
        </w:rPr>
        <w:t xml:space="preserve"> </w:t>
      </w:r>
      <w:r w:rsidRPr="00F72FB0">
        <w:rPr>
          <w:i/>
          <w:iCs/>
          <w:lang w:val="en-GB"/>
        </w:rPr>
        <w:t>de</w:t>
      </w:r>
      <w:r w:rsidR="00FC2FB1" w:rsidRPr="00F72FB0">
        <w:rPr>
          <w:i/>
          <w:iCs/>
          <w:lang w:val="en-GB"/>
        </w:rPr>
        <w:t xml:space="preserve"> </w:t>
      </w:r>
      <w:r w:rsidRPr="00F72FB0">
        <w:rPr>
          <w:i/>
          <w:iCs/>
          <w:lang w:val="en-GB"/>
        </w:rPr>
        <w:t>facto</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force</w:t>
      </w:r>
      <w:r w:rsidR="00FC2FB1" w:rsidRPr="00F72FB0">
        <w:rPr>
          <w:lang w:val="en-GB"/>
        </w:rPr>
        <w:t xml:space="preserve"> </w:t>
      </w:r>
      <w:r w:rsidR="00911EA7" w:rsidRPr="00F72FB0">
        <w:rPr>
          <w:lang w:val="en-GB"/>
        </w:rPr>
        <w:t>in</w:t>
      </w:r>
      <w:r w:rsidR="00FC2FB1" w:rsidRPr="00F72FB0">
        <w:rPr>
          <w:lang w:val="en-GB"/>
        </w:rPr>
        <w:t xml:space="preserve"> </w:t>
      </w:r>
      <w:r w:rsidR="00911EA7" w:rsidRPr="00F72FB0">
        <w:rPr>
          <w:lang w:val="en-GB"/>
        </w:rPr>
        <w:t>the</w:t>
      </w:r>
      <w:r w:rsidR="00FC2FB1" w:rsidRPr="00F72FB0">
        <w:rPr>
          <w:lang w:val="en-GB"/>
        </w:rPr>
        <w:t xml:space="preserve"> </w:t>
      </w:r>
      <w:r w:rsidR="00911EA7" w:rsidRPr="00F72FB0">
        <w:rPr>
          <w:lang w:val="en-GB"/>
        </w:rPr>
        <w:t>long-run</w:t>
      </w:r>
      <w:r w:rsidRPr="00F72FB0">
        <w:rPr>
          <w:lang w:val="en-GB"/>
        </w:rPr>
        <w:t>.</w:t>
      </w:r>
      <w:r w:rsidR="00FC2FB1" w:rsidRPr="00F72FB0">
        <w:rPr>
          <w:lang w:val="en-GB"/>
        </w:rPr>
        <w:t xml:space="preserve"> </w:t>
      </w:r>
      <w:r w:rsidRPr="00F72FB0">
        <w:rPr>
          <w:lang w:val="en-GB"/>
        </w:rPr>
        <w:t>Th</w:t>
      </w:r>
      <w:r w:rsidR="00911EA7" w:rsidRPr="00F72FB0">
        <w:rPr>
          <w:lang w:val="en-GB"/>
        </w:rPr>
        <w:t>us,</w:t>
      </w:r>
      <w:r w:rsidR="00FC2FB1" w:rsidRPr="00F72FB0">
        <w:rPr>
          <w:lang w:val="en-GB"/>
        </w:rPr>
        <w:t xml:space="preserve"> </w:t>
      </w:r>
      <w:r w:rsidR="00911EA7" w:rsidRPr="00F72FB0">
        <w:rPr>
          <w:lang w:val="en-GB"/>
        </w:rPr>
        <w:t>th</w:t>
      </w:r>
      <w:r w:rsidRPr="00F72FB0">
        <w:rPr>
          <w:lang w:val="en-GB"/>
        </w:rPr>
        <w:t>eir</w:t>
      </w:r>
      <w:r w:rsidR="00FC2FB1" w:rsidRPr="00F72FB0">
        <w:rPr>
          <w:lang w:val="en-GB"/>
        </w:rPr>
        <w:t xml:space="preserve"> </w:t>
      </w:r>
      <w:r w:rsidRPr="00F72FB0">
        <w:rPr>
          <w:lang w:val="en-GB"/>
        </w:rPr>
        <w:t>role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weight</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uniform,</w:t>
      </w:r>
      <w:r w:rsidR="00FC2FB1" w:rsidRPr="00F72FB0">
        <w:rPr>
          <w:lang w:val="en-GB"/>
        </w:rPr>
        <w:t xml:space="preserve"> </w:t>
      </w:r>
      <w:r w:rsidRPr="00F72FB0">
        <w:rPr>
          <w:lang w:val="en-GB"/>
        </w:rPr>
        <w:t>but</w:t>
      </w:r>
      <w:r w:rsidR="00FC2FB1" w:rsidRPr="00F72FB0">
        <w:rPr>
          <w:lang w:val="en-GB"/>
        </w:rPr>
        <w:t xml:space="preserve"> </w:t>
      </w:r>
      <w:r w:rsidRPr="00F72FB0">
        <w:rPr>
          <w:lang w:val="en-GB"/>
        </w:rPr>
        <w:t>instead</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depend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how</w:t>
      </w:r>
      <w:r w:rsidR="00FC2FB1" w:rsidRPr="00F72FB0">
        <w:rPr>
          <w:lang w:val="en-GB"/>
        </w:rPr>
        <w:t xml:space="preserve"> </w:t>
      </w:r>
      <w:r w:rsidR="001F73D8" w:rsidRPr="00F72FB0">
        <w:rPr>
          <w:lang w:val="en-GB"/>
        </w:rPr>
        <w:t>helpfu</w:t>
      </w:r>
      <w:r w:rsidRPr="00F72FB0">
        <w:rPr>
          <w:lang w:val="en-GB"/>
        </w:rPr>
        <w:t>l</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their</w:t>
      </w:r>
      <w:r w:rsidR="00FC2FB1" w:rsidRPr="00F72FB0">
        <w:rPr>
          <w:lang w:val="en-GB"/>
        </w:rPr>
        <w:t xml:space="preserve"> </w:t>
      </w:r>
      <w:r w:rsidRPr="00F72FB0">
        <w:rPr>
          <w:lang w:val="en-GB"/>
        </w:rPr>
        <w:t>use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date.</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limitation</w:t>
      </w:r>
      <w:r w:rsidR="00FC2FB1" w:rsidRPr="00F72FB0">
        <w:rPr>
          <w:lang w:val="en-GB"/>
        </w:rPr>
        <w:t xml:space="preserve"> </w:t>
      </w:r>
      <w:r w:rsidRPr="00F72FB0">
        <w:rPr>
          <w:lang w:val="en-GB"/>
        </w:rPr>
        <w:t>remains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system</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provide</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effective</w:t>
      </w:r>
      <w:r w:rsidR="00FC2FB1" w:rsidRPr="00F72FB0">
        <w:rPr>
          <w:lang w:val="en-GB"/>
        </w:rPr>
        <w:t xml:space="preserve"> </w:t>
      </w:r>
      <w:r w:rsidRPr="00F72FB0">
        <w:rPr>
          <w:lang w:val="en-GB"/>
        </w:rPr>
        <w:t>substantive</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review</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thereby</w:t>
      </w:r>
      <w:r w:rsidR="00FC2FB1" w:rsidRPr="00F72FB0">
        <w:rPr>
          <w:lang w:val="en-GB"/>
        </w:rPr>
        <w:t xml:space="preserve"> </w:t>
      </w:r>
      <w:r w:rsidRPr="00F72FB0">
        <w:rPr>
          <w:lang w:val="en-GB"/>
        </w:rPr>
        <w:t>curtails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role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any</w:t>
      </w:r>
      <w:r w:rsidR="00FC2FB1" w:rsidRPr="00F72FB0">
        <w:rPr>
          <w:lang w:val="en-GB"/>
        </w:rPr>
        <w:t xml:space="preserve"> </w:t>
      </w:r>
      <w:r w:rsidRPr="00F72FB0">
        <w:rPr>
          <w:lang w:val="en-GB"/>
        </w:rPr>
        <w:t>hard</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p>
    <w:p w14:paraId="5C5A9582" w14:textId="0E8662CD" w:rsidR="00591433" w:rsidRDefault="00591433" w:rsidP="00E14136">
      <w:pPr>
        <w:spacing w:line="360" w:lineRule="auto"/>
        <w:contextualSpacing/>
        <w:jc w:val="both"/>
        <w:rPr>
          <w:color w:val="000000" w:themeColor="text1"/>
          <w:lang w:val="en-GB"/>
        </w:rPr>
      </w:pPr>
    </w:p>
    <w:p w14:paraId="54891E86" w14:textId="77777777" w:rsidR="00600F90" w:rsidRPr="00F72FB0" w:rsidRDefault="00600F90" w:rsidP="00E14136">
      <w:pPr>
        <w:spacing w:line="360" w:lineRule="auto"/>
        <w:contextualSpacing/>
        <w:jc w:val="both"/>
        <w:rPr>
          <w:color w:val="000000" w:themeColor="text1"/>
          <w:lang w:val="en-GB"/>
        </w:rPr>
      </w:pPr>
    </w:p>
    <w:p w14:paraId="52A2A06A" w14:textId="7D24F98C" w:rsidR="00D02FDE" w:rsidRPr="00D94BC6" w:rsidRDefault="00D02FDE" w:rsidP="00E14136">
      <w:pPr>
        <w:pStyle w:val="Otsikko1"/>
        <w:numPr>
          <w:ilvl w:val="0"/>
          <w:numId w:val="19"/>
        </w:numPr>
        <w:spacing w:before="0" w:line="360" w:lineRule="auto"/>
        <w:contextualSpacing/>
        <w:jc w:val="center"/>
        <w:rPr>
          <w:rFonts w:ascii="Times New Roman" w:hAnsi="Times New Roman" w:cs="Times New Roman"/>
          <w:b/>
          <w:bCs/>
          <w:color w:val="000000" w:themeColor="text1"/>
          <w:sz w:val="24"/>
          <w:szCs w:val="24"/>
          <w:lang w:val="en-GB"/>
        </w:rPr>
      </w:pPr>
      <w:r w:rsidRPr="00D94BC6">
        <w:rPr>
          <w:rFonts w:ascii="Times New Roman" w:hAnsi="Times New Roman" w:cs="Times New Roman"/>
          <w:b/>
          <w:bCs/>
          <w:color w:val="000000" w:themeColor="text1"/>
          <w:sz w:val="24"/>
          <w:szCs w:val="24"/>
          <w:lang w:val="en-GB"/>
        </w:rPr>
        <w:t>Findings</w:t>
      </w:r>
      <w:r w:rsidR="00FC2FB1" w:rsidRPr="00D94BC6">
        <w:rPr>
          <w:rFonts w:ascii="Times New Roman" w:hAnsi="Times New Roman" w:cs="Times New Roman"/>
          <w:b/>
          <w:bCs/>
          <w:color w:val="000000" w:themeColor="text1"/>
          <w:sz w:val="24"/>
          <w:szCs w:val="24"/>
          <w:lang w:val="en-GB"/>
        </w:rPr>
        <w:t xml:space="preserve"> </w:t>
      </w:r>
      <w:r w:rsidR="00600F90" w:rsidRPr="00D94BC6">
        <w:rPr>
          <w:rFonts w:ascii="Times New Roman" w:hAnsi="Times New Roman" w:cs="Times New Roman"/>
          <w:b/>
          <w:bCs/>
          <w:color w:val="000000" w:themeColor="text1"/>
          <w:sz w:val="24"/>
          <w:szCs w:val="24"/>
          <w:lang w:val="en-GB"/>
        </w:rPr>
        <w:t xml:space="preserve">Regarding the Impact of </w:t>
      </w:r>
      <w:r w:rsidR="00BB42D0" w:rsidRPr="00D94BC6">
        <w:rPr>
          <w:rFonts w:ascii="Times New Roman" w:hAnsi="Times New Roman" w:cs="Times New Roman"/>
          <w:b/>
          <w:bCs/>
          <w:color w:val="000000" w:themeColor="text1"/>
          <w:sz w:val="24"/>
          <w:szCs w:val="24"/>
          <w:lang w:val="en-GB"/>
        </w:rPr>
        <w:t xml:space="preserve">EU </w:t>
      </w:r>
      <w:r w:rsidR="00600F90" w:rsidRPr="00D94BC6">
        <w:rPr>
          <w:rFonts w:ascii="Times New Roman" w:hAnsi="Times New Roman" w:cs="Times New Roman"/>
          <w:b/>
          <w:bCs/>
          <w:color w:val="000000" w:themeColor="text1"/>
          <w:sz w:val="24"/>
          <w:szCs w:val="24"/>
          <w:lang w:val="en-GB"/>
        </w:rPr>
        <w:t>Soft Law on Specific Fields</w:t>
      </w:r>
    </w:p>
    <w:p w14:paraId="532F7A64" w14:textId="77777777" w:rsidR="00FC14E7" w:rsidRPr="00F72FB0" w:rsidRDefault="00FC14E7" w:rsidP="00E14136">
      <w:pPr>
        <w:spacing w:line="360" w:lineRule="auto"/>
        <w:contextualSpacing/>
        <w:jc w:val="both"/>
        <w:rPr>
          <w:color w:val="000000" w:themeColor="text1"/>
          <w:lang w:val="en-GB"/>
        </w:rPr>
      </w:pPr>
    </w:p>
    <w:p w14:paraId="684BC78F" w14:textId="77777777" w:rsidR="00E60757" w:rsidRPr="00F72FB0" w:rsidRDefault="000112DF" w:rsidP="00E14136">
      <w:pPr>
        <w:spacing w:line="360" w:lineRule="auto"/>
        <w:contextualSpacing/>
        <w:jc w:val="both"/>
        <w:rPr>
          <w:lang w:val="en-GB"/>
        </w:rPr>
      </w:pPr>
      <w:r w:rsidRPr="00F72FB0">
        <w:rPr>
          <w:lang w:val="en-GB"/>
        </w:rPr>
        <w:t>This</w:t>
      </w:r>
      <w:r w:rsidR="00FC2FB1" w:rsidRPr="00F72FB0">
        <w:rPr>
          <w:lang w:val="en-GB"/>
        </w:rPr>
        <w:t xml:space="preserve"> </w:t>
      </w:r>
      <w:r w:rsidRPr="00F72FB0">
        <w:rPr>
          <w:lang w:val="en-GB"/>
        </w:rPr>
        <w:t>section</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based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empirical</w:t>
      </w:r>
      <w:r w:rsidR="00FC2FB1" w:rsidRPr="00F72FB0">
        <w:rPr>
          <w:lang w:val="en-GB"/>
        </w:rPr>
        <w:t xml:space="preserve"> </w:t>
      </w:r>
      <w:r w:rsidRPr="00F72FB0">
        <w:rPr>
          <w:lang w:val="en-GB"/>
        </w:rPr>
        <w:t>research</w:t>
      </w:r>
      <w:r w:rsidR="00FC2FB1" w:rsidRPr="00F72FB0">
        <w:rPr>
          <w:lang w:val="en-GB"/>
        </w:rPr>
        <w:t xml:space="preserve"> </w:t>
      </w:r>
      <w:r w:rsidRPr="00F72FB0">
        <w:rPr>
          <w:lang w:val="en-GB"/>
        </w:rPr>
        <w:t>undertaken</w:t>
      </w:r>
      <w:r w:rsidR="00FC2FB1" w:rsidRPr="00F72FB0">
        <w:rPr>
          <w:lang w:val="en-GB"/>
        </w:rPr>
        <w:t xml:space="preserve"> </w:t>
      </w: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SoLaR</w:t>
      </w:r>
      <w:r w:rsidR="00FC2FB1" w:rsidRPr="00F72FB0">
        <w:rPr>
          <w:lang w:val="en-GB"/>
        </w:rPr>
        <w:t xml:space="preserve"> </w:t>
      </w:r>
      <w:r w:rsidRPr="00F72FB0">
        <w:rPr>
          <w:lang w:val="en-GB"/>
        </w:rPr>
        <w:t>project</w:t>
      </w:r>
      <w:r w:rsidR="00FC2FB1" w:rsidRPr="00F72FB0">
        <w:rPr>
          <w:lang w:val="en-GB"/>
        </w:rPr>
        <w:t xml:space="preserve"> </w:t>
      </w:r>
      <w:r w:rsidRPr="00F72FB0">
        <w:rPr>
          <w:lang w:val="en-GB"/>
        </w:rPr>
        <w:t>regarding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role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sample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in</w:t>
      </w:r>
      <w:r w:rsidR="00FC2FB1" w:rsidRPr="00F72FB0">
        <w:rPr>
          <w:lang w:val="en-GB"/>
        </w:rPr>
        <w:t xml:space="preserve"> </w:t>
      </w:r>
      <w:r w:rsidR="005F498E" w:rsidRPr="00F72FB0">
        <w:rPr>
          <w:lang w:val="en-GB"/>
        </w:rPr>
        <w:t>the</w:t>
      </w:r>
      <w:r w:rsidR="00FC2FB1" w:rsidRPr="00F72FB0">
        <w:rPr>
          <w:lang w:val="en-GB"/>
        </w:rPr>
        <w:t xml:space="preserve"> </w:t>
      </w:r>
      <w:r w:rsidR="005F498E" w:rsidRPr="00F72FB0">
        <w:rPr>
          <w:lang w:val="en-GB"/>
        </w:rPr>
        <w:t>UK</w:t>
      </w:r>
      <w:r w:rsidR="00FC2FB1" w:rsidRPr="00F72FB0">
        <w:rPr>
          <w:lang w:val="en-GB"/>
        </w:rPr>
        <w:t xml:space="preserve"> </w:t>
      </w:r>
      <w:r w:rsidR="005F498E"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fields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competition,</w:t>
      </w:r>
      <w:r w:rsidR="00FC2FB1" w:rsidRPr="00F72FB0">
        <w:rPr>
          <w:lang w:val="en-GB"/>
        </w:rPr>
        <w:t xml:space="preserve"> </w:t>
      </w:r>
      <w:r w:rsidRPr="00F72FB0">
        <w:rPr>
          <w:lang w:val="en-GB"/>
        </w:rPr>
        <w:t>environment,</w:t>
      </w:r>
      <w:r w:rsidR="00FC2FB1" w:rsidRPr="00F72FB0">
        <w:rPr>
          <w:lang w:val="en-GB"/>
        </w:rPr>
        <w:t xml:space="preserve"> </w:t>
      </w:r>
      <w:r w:rsidRPr="00F72FB0">
        <w:rPr>
          <w:lang w:val="en-GB"/>
        </w:rPr>
        <w:t>financial</w:t>
      </w:r>
      <w:r w:rsidR="00FC2FB1" w:rsidRPr="00F72FB0">
        <w:rPr>
          <w:lang w:val="en-GB"/>
        </w:rPr>
        <w:t xml:space="preserve"> </w:t>
      </w:r>
      <w:r w:rsidRPr="00F72FB0">
        <w:rPr>
          <w:lang w:val="en-GB"/>
        </w:rPr>
        <w:t>regulation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social</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choice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fields</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particularly</w:t>
      </w:r>
      <w:r w:rsidR="00FC2FB1" w:rsidRPr="00F72FB0">
        <w:rPr>
          <w:lang w:val="en-GB"/>
        </w:rPr>
        <w:t xml:space="preserve"> </w:t>
      </w:r>
      <w:r w:rsidRPr="00F72FB0">
        <w:rPr>
          <w:lang w:val="en-GB"/>
        </w:rPr>
        <w:t>interesting</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provides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varying</w:t>
      </w:r>
      <w:r w:rsidR="00FC2FB1" w:rsidRPr="00F72FB0">
        <w:rPr>
          <w:lang w:val="en-GB"/>
        </w:rPr>
        <w:t xml:space="preserve"> </w:t>
      </w:r>
      <w:r w:rsidRPr="00F72FB0">
        <w:rPr>
          <w:lang w:val="en-GB"/>
        </w:rPr>
        <w:t>contexts.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instance,</w:t>
      </w:r>
      <w:r w:rsidR="00FC2FB1" w:rsidRPr="00F72FB0">
        <w:rPr>
          <w:lang w:val="en-GB"/>
        </w:rPr>
        <w:t xml:space="preserve"> </w:t>
      </w:r>
      <w:r w:rsidRPr="00F72FB0">
        <w:rPr>
          <w:lang w:val="en-GB"/>
        </w:rPr>
        <w:t>due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extraordinary</w:t>
      </w:r>
      <w:r w:rsidR="00FC2FB1" w:rsidRPr="00F72FB0">
        <w:rPr>
          <w:lang w:val="en-GB"/>
        </w:rPr>
        <w:t xml:space="preserve"> </w:t>
      </w:r>
      <w:r w:rsidRPr="00F72FB0">
        <w:rPr>
          <w:lang w:val="en-GB"/>
        </w:rPr>
        <w:t>experience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regulating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biggest</w:t>
      </w:r>
      <w:r w:rsidR="00FC2FB1" w:rsidRPr="00F72FB0">
        <w:rPr>
          <w:lang w:val="en-GB"/>
        </w:rPr>
        <w:t xml:space="preserve"> </w:t>
      </w:r>
      <w:r w:rsidRPr="00F72FB0">
        <w:rPr>
          <w:lang w:val="en-GB"/>
        </w:rPr>
        <w:t>financial</w:t>
      </w:r>
      <w:r w:rsidR="00FC2FB1" w:rsidRPr="00F72FB0">
        <w:rPr>
          <w:lang w:val="en-GB"/>
        </w:rPr>
        <w:t xml:space="preserve"> </w:t>
      </w:r>
      <w:r w:rsidRPr="00F72FB0">
        <w:rPr>
          <w:lang w:val="en-GB"/>
        </w:rPr>
        <w:t>market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experts</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played</w:t>
      </w:r>
      <w:r w:rsidR="00FC2FB1" w:rsidRPr="00F72FB0">
        <w:rPr>
          <w:lang w:val="en-GB"/>
        </w:rPr>
        <w:t xml:space="preserve"> </w:t>
      </w:r>
      <w:r w:rsidRPr="00F72FB0">
        <w:rPr>
          <w:lang w:val="en-GB"/>
        </w:rPr>
        <w:t>a</w:t>
      </w:r>
      <w:r w:rsidR="00FC2FB1" w:rsidRPr="00F72FB0">
        <w:rPr>
          <w:lang w:val="en-GB"/>
        </w:rPr>
        <w:t xml:space="preserve"> </w:t>
      </w:r>
      <w:r w:rsidRPr="00F72FB0">
        <w:rPr>
          <w:lang w:val="en-GB"/>
        </w:rPr>
        <w:t>leading</w:t>
      </w:r>
      <w:r w:rsidR="00FC2FB1" w:rsidRPr="00F72FB0">
        <w:rPr>
          <w:lang w:val="en-GB"/>
        </w:rPr>
        <w:t xml:space="preserve"> </w:t>
      </w:r>
      <w:r w:rsidRPr="00F72FB0">
        <w:rPr>
          <w:lang w:val="en-GB"/>
        </w:rPr>
        <w:t>role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drafting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issued</w:t>
      </w:r>
      <w:r w:rsidR="00FC2FB1" w:rsidRPr="00F72FB0">
        <w:rPr>
          <w:lang w:val="en-GB"/>
        </w:rPr>
        <w:t xml:space="preserve"> </w:t>
      </w:r>
      <w:r w:rsidRPr="00F72FB0">
        <w:rPr>
          <w:lang w:val="en-GB"/>
        </w:rPr>
        <w:t>by</w:t>
      </w:r>
      <w:r w:rsidR="00FC2FB1" w:rsidRPr="00F72FB0">
        <w:rPr>
          <w:lang w:val="en-GB"/>
        </w:rPr>
        <w:t xml:space="preserve"> </w:t>
      </w:r>
      <w:r w:rsidR="00304F8E" w:rsidRPr="00F72FB0">
        <w:rPr>
          <w:lang w:val="en-GB"/>
        </w:rPr>
        <w:t>the</w:t>
      </w:r>
      <w:r w:rsidR="00FC2FB1" w:rsidRPr="00F72FB0">
        <w:rPr>
          <w:lang w:val="en-GB"/>
        </w:rPr>
        <w:t xml:space="preserve"> </w:t>
      </w:r>
      <w:r w:rsidR="00304F8E" w:rsidRPr="00F72FB0">
        <w:rPr>
          <w:lang w:val="en-GB"/>
        </w:rPr>
        <w:t>European</w:t>
      </w:r>
      <w:r w:rsidR="00FC2FB1" w:rsidRPr="00F72FB0">
        <w:rPr>
          <w:lang w:val="en-GB"/>
        </w:rPr>
        <w:t xml:space="preserve"> </w:t>
      </w:r>
      <w:r w:rsidR="00304F8E" w:rsidRPr="00F72FB0">
        <w:rPr>
          <w:lang w:val="en-GB"/>
        </w:rPr>
        <w:t>Securities</w:t>
      </w:r>
      <w:r w:rsidR="00FC2FB1" w:rsidRPr="00F72FB0">
        <w:rPr>
          <w:lang w:val="en-GB"/>
        </w:rPr>
        <w:t xml:space="preserve"> </w:t>
      </w:r>
      <w:r w:rsidR="00304F8E" w:rsidRPr="00F72FB0">
        <w:rPr>
          <w:lang w:val="en-GB"/>
        </w:rPr>
        <w:t>and</w:t>
      </w:r>
      <w:r w:rsidR="00FC2FB1" w:rsidRPr="00F72FB0">
        <w:rPr>
          <w:lang w:val="en-GB"/>
        </w:rPr>
        <w:t xml:space="preserve"> </w:t>
      </w:r>
      <w:r w:rsidR="00304F8E" w:rsidRPr="00F72FB0">
        <w:rPr>
          <w:lang w:val="en-GB"/>
        </w:rPr>
        <w:t>Markets</w:t>
      </w:r>
      <w:r w:rsidR="00FC2FB1" w:rsidRPr="00F72FB0">
        <w:rPr>
          <w:lang w:val="en-GB"/>
        </w:rPr>
        <w:t xml:space="preserve"> </w:t>
      </w:r>
      <w:r w:rsidR="00304F8E" w:rsidRPr="00F72FB0">
        <w:rPr>
          <w:lang w:val="en-GB"/>
        </w:rPr>
        <w:t>Authority</w:t>
      </w:r>
      <w:r w:rsidR="00FC2FB1" w:rsidRPr="00F72FB0">
        <w:rPr>
          <w:lang w:val="en-GB"/>
        </w:rPr>
        <w:t xml:space="preserve"> </w:t>
      </w:r>
      <w:r w:rsidR="00304F8E" w:rsidRPr="00F72FB0">
        <w:rPr>
          <w:lang w:val="en-GB"/>
        </w:rPr>
        <w:t>(</w:t>
      </w:r>
      <w:r w:rsidRPr="00F72FB0">
        <w:rPr>
          <w:lang w:val="en-GB"/>
        </w:rPr>
        <w:t>ESMA</w:t>
      </w:r>
      <w:r w:rsidR="00304F8E" w:rsidRPr="00F72FB0">
        <w:rPr>
          <w:lang w:val="en-GB"/>
        </w:rPr>
        <w:t>)</w:t>
      </w:r>
      <w:r w:rsidRPr="00F72FB0">
        <w:rPr>
          <w:lang w:val="en-GB"/>
        </w:rPr>
        <w:t>.</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competition</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w:t>
      </w:r>
      <w:r w:rsidR="00FC2FB1" w:rsidRPr="00F72FB0">
        <w:rPr>
          <w:lang w:val="en-GB"/>
        </w:rPr>
        <w:t xml:space="preserve"> </w:t>
      </w:r>
      <w:r w:rsidRPr="00F72FB0">
        <w:rPr>
          <w:lang w:val="en-GB"/>
        </w:rPr>
        <w:t>blanket</w:t>
      </w:r>
      <w:r w:rsidR="00FC2FB1" w:rsidRPr="00F72FB0">
        <w:rPr>
          <w:lang w:val="en-GB"/>
        </w:rPr>
        <w:t xml:space="preserve"> </w:t>
      </w:r>
      <w:r w:rsidRPr="00F72FB0">
        <w:rPr>
          <w:lang w:val="en-GB"/>
        </w:rPr>
        <w:t>stipulation</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legislation</w:t>
      </w:r>
      <w:r w:rsidR="00FC2FB1" w:rsidRPr="00F72FB0">
        <w:rPr>
          <w:lang w:val="en-GB"/>
        </w:rPr>
        <w:t xml:space="preserve"> </w:t>
      </w:r>
      <w:r w:rsidRPr="00F72FB0">
        <w:rPr>
          <w:lang w:val="en-GB"/>
        </w:rPr>
        <w:t>provides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statutory</w:t>
      </w:r>
      <w:r w:rsidR="00FC2FB1" w:rsidRPr="00F72FB0">
        <w:rPr>
          <w:lang w:val="en-GB"/>
        </w:rPr>
        <w:t xml:space="preserve"> </w:t>
      </w:r>
      <w:r w:rsidRPr="00F72FB0">
        <w:rPr>
          <w:lang w:val="en-GB"/>
        </w:rPr>
        <w:lastRenderedPageBreak/>
        <w:t>interpretation</w:t>
      </w:r>
      <w:r w:rsidR="00FC2FB1" w:rsidRPr="00F72FB0">
        <w:rPr>
          <w:lang w:val="en-GB"/>
        </w:rPr>
        <w:t xml:space="preserve"> </w:t>
      </w:r>
      <w:r w:rsidRPr="00F72FB0">
        <w:rPr>
          <w:lang w:val="en-GB"/>
        </w:rPr>
        <w:t>should</w:t>
      </w:r>
      <w:r w:rsidR="00FC2FB1" w:rsidRPr="00F72FB0">
        <w:rPr>
          <w:lang w:val="en-GB"/>
        </w:rPr>
        <w:t xml:space="preserve"> </w:t>
      </w:r>
      <w:r w:rsidRPr="00F72FB0">
        <w:rPr>
          <w:lang w:val="en-GB"/>
        </w:rPr>
        <w:t>pay</w:t>
      </w:r>
      <w:r w:rsidR="00FC2FB1" w:rsidRPr="00F72FB0">
        <w:rPr>
          <w:lang w:val="en-GB"/>
        </w:rPr>
        <w:t xml:space="preserve"> </w:t>
      </w:r>
      <w:r w:rsidRPr="00F72FB0">
        <w:rPr>
          <w:lang w:val="en-GB"/>
        </w:rPr>
        <w:t>due</w:t>
      </w:r>
      <w:r w:rsidR="00FC2FB1" w:rsidRPr="00F72FB0">
        <w:rPr>
          <w:lang w:val="en-GB"/>
        </w:rPr>
        <w:t xml:space="preserve"> </w:t>
      </w:r>
      <w:r w:rsidRPr="00F72FB0">
        <w:rPr>
          <w:lang w:val="en-GB"/>
        </w:rPr>
        <w:t>regard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statements</w:t>
      </w:r>
      <w:r w:rsidR="00FC2FB1" w:rsidRPr="00F72FB0">
        <w:rPr>
          <w:lang w:val="en-GB"/>
        </w:rPr>
        <w:t xml:space="preserve"> </w:t>
      </w:r>
      <w:r w:rsidRPr="00F72FB0">
        <w:rPr>
          <w:lang w:val="en-GB"/>
        </w:rPr>
        <w:t>issued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European</w:t>
      </w:r>
      <w:r w:rsidR="00FC2FB1" w:rsidRPr="00F72FB0">
        <w:rPr>
          <w:lang w:val="en-GB"/>
        </w:rPr>
        <w:t xml:space="preserve"> </w:t>
      </w:r>
      <w:r w:rsidRPr="00F72FB0">
        <w:rPr>
          <w:lang w:val="en-GB"/>
        </w:rPr>
        <w:t>Commission.</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area</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devolved</w:t>
      </w:r>
      <w:r w:rsidR="00FC2FB1" w:rsidRPr="00F72FB0">
        <w:rPr>
          <w:lang w:val="en-GB"/>
        </w:rPr>
        <w:t xml:space="preserve"> </w:t>
      </w:r>
      <w:r w:rsidRPr="00F72FB0">
        <w:rPr>
          <w:lang w:val="en-GB"/>
        </w:rPr>
        <w:t>(decentralised)</w:t>
      </w:r>
      <w:r w:rsidR="00FC2FB1" w:rsidRPr="00F72FB0">
        <w:rPr>
          <w:lang w:val="en-GB"/>
        </w:rPr>
        <w:t xml:space="preserve"> </w:t>
      </w:r>
      <w:r w:rsidRPr="00F72FB0">
        <w:rPr>
          <w:lang w:val="en-GB"/>
        </w:rPr>
        <w:t>power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while,</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social</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British</w:t>
      </w:r>
      <w:r w:rsidR="00FC2FB1" w:rsidRPr="00F72FB0">
        <w:rPr>
          <w:lang w:val="en-GB"/>
        </w:rPr>
        <w:t xml:space="preserve"> </w:t>
      </w:r>
      <w:r w:rsidRPr="00F72FB0">
        <w:rPr>
          <w:lang w:val="en-GB"/>
        </w:rPr>
        <w:t>exceptionalism</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widely</w:t>
      </w:r>
      <w:r w:rsidR="00FC2FB1" w:rsidRPr="00F72FB0">
        <w:rPr>
          <w:lang w:val="en-GB"/>
        </w:rPr>
        <w:t xml:space="preserve"> </w:t>
      </w:r>
      <w:r w:rsidRPr="00F72FB0">
        <w:rPr>
          <w:lang w:val="en-GB"/>
        </w:rPr>
        <w:t>known.</w:t>
      </w:r>
      <w:r w:rsidR="00626F1D" w:rsidRPr="00F72FB0">
        <w:rPr>
          <w:lang w:val="en-GB"/>
        </w:rPr>
        <w:t xml:space="preserve"> </w:t>
      </w:r>
      <w:r w:rsidR="001875A3" w:rsidRPr="00F72FB0">
        <w:rPr>
          <w:lang w:val="en-GB"/>
        </w:rPr>
        <w:t>The data is gathered from interviews to a limited extent, but in particular from documentary analysis of official websites, laws, and cases.</w:t>
      </w:r>
      <w:r w:rsidR="00626F1D" w:rsidRPr="00F72FB0">
        <w:rPr>
          <w:lang w:val="en-GB"/>
        </w:rPr>
        <w:t xml:space="preserve"> The results suggest </w:t>
      </w:r>
      <w:r w:rsidR="00F5377A" w:rsidRPr="00F72FB0">
        <w:rPr>
          <w:lang w:val="en-GB"/>
        </w:rPr>
        <w:t>a</w:t>
      </w:r>
      <w:r w:rsidR="00FC2FB1" w:rsidRPr="00F72FB0">
        <w:rPr>
          <w:lang w:val="en-GB"/>
        </w:rPr>
        <w:t xml:space="preserve"> </w:t>
      </w:r>
      <w:r w:rsidR="00F5377A" w:rsidRPr="00F72FB0">
        <w:rPr>
          <w:lang w:val="en-GB"/>
        </w:rPr>
        <w:t>number</w:t>
      </w:r>
      <w:r w:rsidR="00FC2FB1" w:rsidRPr="00F72FB0">
        <w:rPr>
          <w:lang w:val="en-GB"/>
        </w:rPr>
        <w:t xml:space="preserve"> </w:t>
      </w:r>
      <w:r w:rsidR="00F5377A" w:rsidRPr="00F72FB0">
        <w:rPr>
          <w:lang w:val="en-GB"/>
        </w:rPr>
        <w:t>of</w:t>
      </w:r>
      <w:r w:rsidR="00FC2FB1" w:rsidRPr="00F72FB0">
        <w:rPr>
          <w:lang w:val="en-GB"/>
        </w:rPr>
        <w:t xml:space="preserve"> </w:t>
      </w:r>
      <w:r w:rsidR="00F5377A" w:rsidRPr="00F72FB0">
        <w:rPr>
          <w:lang w:val="en-GB"/>
        </w:rPr>
        <w:t>interesting</w:t>
      </w:r>
      <w:r w:rsidR="00FC2FB1" w:rsidRPr="00F72FB0">
        <w:rPr>
          <w:lang w:val="en-GB"/>
        </w:rPr>
        <w:t xml:space="preserve"> </w:t>
      </w:r>
      <w:r w:rsidR="00F5377A" w:rsidRPr="00F72FB0">
        <w:rPr>
          <w:lang w:val="en-GB"/>
        </w:rPr>
        <w:t>trends,</w:t>
      </w:r>
      <w:r w:rsidR="00FC2FB1" w:rsidRPr="00F72FB0">
        <w:rPr>
          <w:lang w:val="en-GB"/>
        </w:rPr>
        <w:t xml:space="preserve"> </w:t>
      </w:r>
      <w:r w:rsidR="00F5377A" w:rsidRPr="00F72FB0">
        <w:rPr>
          <w:lang w:val="en-GB"/>
        </w:rPr>
        <w:t>which</w:t>
      </w:r>
      <w:r w:rsidR="00FC2FB1" w:rsidRPr="00F72FB0">
        <w:rPr>
          <w:lang w:val="en-GB"/>
        </w:rPr>
        <w:t xml:space="preserve"> </w:t>
      </w:r>
      <w:r w:rsidR="00F5377A" w:rsidRPr="00F72FB0">
        <w:rPr>
          <w:lang w:val="en-GB"/>
        </w:rPr>
        <w:t>can</w:t>
      </w:r>
      <w:r w:rsidR="00FC2FB1" w:rsidRPr="00F72FB0">
        <w:rPr>
          <w:lang w:val="en-GB"/>
        </w:rPr>
        <w:t xml:space="preserve"> </w:t>
      </w:r>
      <w:r w:rsidR="00F5377A" w:rsidRPr="00F72FB0">
        <w:rPr>
          <w:lang w:val="en-GB"/>
        </w:rPr>
        <w:t>be</w:t>
      </w:r>
      <w:r w:rsidR="00FC2FB1" w:rsidRPr="00F72FB0">
        <w:rPr>
          <w:lang w:val="en-GB"/>
        </w:rPr>
        <w:t xml:space="preserve"> </w:t>
      </w:r>
      <w:r w:rsidR="00F5377A" w:rsidRPr="00F72FB0">
        <w:rPr>
          <w:lang w:val="en-GB"/>
        </w:rPr>
        <w:t>grouped</w:t>
      </w:r>
      <w:r w:rsidR="00FC2FB1" w:rsidRPr="00F72FB0">
        <w:rPr>
          <w:lang w:val="en-GB"/>
        </w:rPr>
        <w:t xml:space="preserve"> </w:t>
      </w:r>
      <w:r w:rsidR="00F5377A" w:rsidRPr="00F72FB0">
        <w:rPr>
          <w:lang w:val="en-GB"/>
        </w:rPr>
        <w:t>in</w:t>
      </w:r>
      <w:r w:rsidR="00FC2FB1" w:rsidRPr="00F72FB0">
        <w:rPr>
          <w:lang w:val="en-GB"/>
        </w:rPr>
        <w:t xml:space="preserve"> </w:t>
      </w:r>
      <w:r w:rsidR="00F5377A" w:rsidRPr="00F72FB0">
        <w:rPr>
          <w:lang w:val="en-GB"/>
        </w:rPr>
        <w:t>three</w:t>
      </w:r>
      <w:r w:rsidR="00FC2FB1" w:rsidRPr="00F72FB0">
        <w:rPr>
          <w:lang w:val="en-GB"/>
        </w:rPr>
        <w:t xml:space="preserve"> </w:t>
      </w:r>
      <w:r w:rsidR="00F5377A" w:rsidRPr="00F72FB0">
        <w:rPr>
          <w:lang w:val="en-GB"/>
        </w:rPr>
        <w:t>categories,</w:t>
      </w:r>
      <w:r w:rsidR="00FC2FB1" w:rsidRPr="00F72FB0">
        <w:rPr>
          <w:lang w:val="en-GB"/>
        </w:rPr>
        <w:t xml:space="preserve"> </w:t>
      </w:r>
      <w:r w:rsidR="00F5377A" w:rsidRPr="00F72FB0">
        <w:rPr>
          <w:lang w:val="en-GB"/>
        </w:rPr>
        <w:t>relating</w:t>
      </w:r>
      <w:r w:rsidR="00FC2FB1" w:rsidRPr="00F72FB0">
        <w:rPr>
          <w:lang w:val="en-GB"/>
        </w:rPr>
        <w:t xml:space="preserve"> </w:t>
      </w:r>
      <w:r w:rsidR="00F5377A" w:rsidRPr="00F72FB0">
        <w:rPr>
          <w:lang w:val="en-GB"/>
        </w:rPr>
        <w:t>to</w:t>
      </w:r>
      <w:r w:rsidR="00FC2FB1" w:rsidRPr="00F72FB0">
        <w:rPr>
          <w:lang w:val="en-GB"/>
        </w:rPr>
        <w:t xml:space="preserve"> </w:t>
      </w:r>
      <w:r w:rsidR="00F5377A" w:rsidRPr="00F72FB0">
        <w:rPr>
          <w:lang w:val="en-GB"/>
        </w:rPr>
        <w:t>the</w:t>
      </w:r>
      <w:r w:rsidR="00FC2FB1" w:rsidRPr="00F72FB0">
        <w:rPr>
          <w:lang w:val="en-GB"/>
        </w:rPr>
        <w:t xml:space="preserve"> </w:t>
      </w:r>
      <w:r w:rsidR="00F5377A" w:rsidRPr="00F72FB0">
        <w:rPr>
          <w:lang w:val="en-GB"/>
        </w:rPr>
        <w:t>transposition</w:t>
      </w:r>
      <w:r w:rsidR="00FC2FB1" w:rsidRPr="00F72FB0">
        <w:rPr>
          <w:lang w:val="en-GB"/>
        </w:rPr>
        <w:t xml:space="preserve"> </w:t>
      </w:r>
      <w:r w:rsidR="00F5377A" w:rsidRPr="00F72FB0">
        <w:rPr>
          <w:lang w:val="en-GB"/>
        </w:rPr>
        <w:t>of</w:t>
      </w:r>
      <w:r w:rsidR="00FC2FB1" w:rsidRPr="00F72FB0">
        <w:rPr>
          <w:lang w:val="en-GB"/>
        </w:rPr>
        <w:t xml:space="preserve"> </w:t>
      </w:r>
      <w:r w:rsidR="00F5377A" w:rsidRPr="00F72FB0">
        <w:rPr>
          <w:lang w:val="en-GB"/>
        </w:rPr>
        <w:t>EU</w:t>
      </w:r>
      <w:r w:rsidR="00FC2FB1" w:rsidRPr="00F72FB0">
        <w:rPr>
          <w:lang w:val="en-GB"/>
        </w:rPr>
        <w:t xml:space="preserve"> </w:t>
      </w:r>
      <w:r w:rsidR="00F5377A" w:rsidRPr="00F72FB0">
        <w:rPr>
          <w:lang w:val="en-GB"/>
        </w:rPr>
        <w:t>soft</w:t>
      </w:r>
      <w:r w:rsidR="00FC2FB1" w:rsidRPr="00F72FB0">
        <w:rPr>
          <w:lang w:val="en-GB"/>
        </w:rPr>
        <w:t xml:space="preserve"> </w:t>
      </w:r>
      <w:r w:rsidR="00F5377A" w:rsidRPr="00F72FB0">
        <w:rPr>
          <w:lang w:val="en-GB"/>
        </w:rPr>
        <w:t>law</w:t>
      </w:r>
      <w:r w:rsidR="00FC2FB1" w:rsidRPr="00F72FB0">
        <w:rPr>
          <w:lang w:val="en-GB"/>
        </w:rPr>
        <w:t xml:space="preserve"> </w:t>
      </w:r>
      <w:r w:rsidR="00F5377A" w:rsidRPr="00F72FB0">
        <w:rPr>
          <w:lang w:val="en-GB"/>
        </w:rPr>
        <w:t>in</w:t>
      </w:r>
      <w:r w:rsidR="00FC2FB1" w:rsidRPr="00F72FB0">
        <w:rPr>
          <w:lang w:val="en-GB"/>
        </w:rPr>
        <w:t xml:space="preserve"> </w:t>
      </w:r>
      <w:r w:rsidR="00F5377A" w:rsidRPr="00F72FB0">
        <w:rPr>
          <w:lang w:val="en-GB"/>
        </w:rPr>
        <w:t>the</w:t>
      </w:r>
      <w:r w:rsidR="00FC2FB1" w:rsidRPr="00F72FB0">
        <w:rPr>
          <w:lang w:val="en-GB"/>
        </w:rPr>
        <w:t xml:space="preserve"> </w:t>
      </w:r>
      <w:r w:rsidR="00F5377A" w:rsidRPr="00F72FB0">
        <w:rPr>
          <w:lang w:val="en-GB"/>
        </w:rPr>
        <w:t>UK,</w:t>
      </w:r>
      <w:r w:rsidR="00FC2FB1" w:rsidRPr="00F72FB0">
        <w:rPr>
          <w:lang w:val="en-GB"/>
        </w:rPr>
        <w:t xml:space="preserve"> </w:t>
      </w:r>
      <w:r w:rsidR="00F5377A" w:rsidRPr="00F72FB0">
        <w:rPr>
          <w:lang w:val="en-GB"/>
        </w:rPr>
        <w:t>the</w:t>
      </w:r>
      <w:r w:rsidR="00FC2FB1" w:rsidRPr="00F72FB0">
        <w:rPr>
          <w:lang w:val="en-GB"/>
        </w:rPr>
        <w:t xml:space="preserve"> </w:t>
      </w:r>
      <w:r w:rsidR="00F5377A" w:rsidRPr="00F72FB0">
        <w:rPr>
          <w:lang w:val="en-GB"/>
        </w:rPr>
        <w:t>use</w:t>
      </w:r>
      <w:r w:rsidR="00FC2FB1" w:rsidRPr="00F72FB0">
        <w:rPr>
          <w:lang w:val="en-GB"/>
        </w:rPr>
        <w:t xml:space="preserve"> </w:t>
      </w:r>
      <w:r w:rsidR="00F5377A" w:rsidRPr="00F72FB0">
        <w:rPr>
          <w:lang w:val="en-GB"/>
        </w:rPr>
        <w:t>made</w:t>
      </w:r>
      <w:r w:rsidR="00FC2FB1" w:rsidRPr="00F72FB0">
        <w:rPr>
          <w:lang w:val="en-GB"/>
        </w:rPr>
        <w:t xml:space="preserve"> </w:t>
      </w:r>
      <w:r w:rsidR="00F5377A" w:rsidRPr="00F72FB0">
        <w:rPr>
          <w:lang w:val="en-GB"/>
        </w:rPr>
        <w:t>by</w:t>
      </w:r>
      <w:r w:rsidR="00FC2FB1" w:rsidRPr="00F72FB0">
        <w:rPr>
          <w:lang w:val="en-GB"/>
        </w:rPr>
        <w:t xml:space="preserve"> </w:t>
      </w:r>
      <w:r w:rsidR="00F5377A" w:rsidRPr="00F72FB0">
        <w:rPr>
          <w:lang w:val="en-GB"/>
        </w:rPr>
        <w:t>administrations</w:t>
      </w:r>
      <w:r w:rsidR="00FC2FB1" w:rsidRPr="00F72FB0">
        <w:rPr>
          <w:lang w:val="en-GB"/>
        </w:rPr>
        <w:t xml:space="preserve"> </w:t>
      </w:r>
      <w:r w:rsidR="00F5377A" w:rsidRPr="00F72FB0">
        <w:rPr>
          <w:lang w:val="en-GB"/>
        </w:rPr>
        <w:t>and</w:t>
      </w:r>
      <w:r w:rsidR="00FC2FB1" w:rsidRPr="00F72FB0">
        <w:rPr>
          <w:lang w:val="en-GB"/>
        </w:rPr>
        <w:t xml:space="preserve"> </w:t>
      </w:r>
      <w:r w:rsidR="00574B0B" w:rsidRPr="00F72FB0">
        <w:rPr>
          <w:lang w:val="en-GB"/>
        </w:rPr>
        <w:t>courts,</w:t>
      </w:r>
      <w:r w:rsidR="00FC2FB1" w:rsidRPr="00F72FB0">
        <w:rPr>
          <w:lang w:val="en-GB"/>
        </w:rPr>
        <w:t xml:space="preserve"> </w:t>
      </w:r>
      <w:r w:rsidR="00574B0B" w:rsidRPr="00F72FB0">
        <w:rPr>
          <w:lang w:val="en-GB"/>
        </w:rPr>
        <w:t>and</w:t>
      </w:r>
      <w:r w:rsidR="00FC2FB1" w:rsidRPr="00F72FB0">
        <w:rPr>
          <w:lang w:val="en-GB"/>
        </w:rPr>
        <w:t xml:space="preserve"> </w:t>
      </w:r>
      <w:r w:rsidR="00F5377A" w:rsidRPr="00F72FB0">
        <w:rPr>
          <w:lang w:val="en-GB"/>
        </w:rPr>
        <w:t>finally</w:t>
      </w:r>
      <w:r w:rsidR="00FC2FB1" w:rsidRPr="00F72FB0">
        <w:rPr>
          <w:lang w:val="en-GB"/>
        </w:rPr>
        <w:t xml:space="preserve"> </w:t>
      </w:r>
      <w:r w:rsidR="00F5377A" w:rsidRPr="00F72FB0">
        <w:rPr>
          <w:lang w:val="en-GB"/>
        </w:rPr>
        <w:t>the</w:t>
      </w:r>
      <w:r w:rsidR="00FC2FB1" w:rsidRPr="00F72FB0">
        <w:rPr>
          <w:lang w:val="en-GB"/>
        </w:rPr>
        <w:t xml:space="preserve"> </w:t>
      </w:r>
      <w:r w:rsidR="00574B0B" w:rsidRPr="00F72FB0">
        <w:rPr>
          <w:lang w:val="en-GB"/>
        </w:rPr>
        <w:t>effects</w:t>
      </w:r>
      <w:r w:rsidR="00FC2FB1" w:rsidRPr="00F72FB0">
        <w:rPr>
          <w:lang w:val="en-GB"/>
        </w:rPr>
        <w:t xml:space="preserve"> </w:t>
      </w:r>
      <w:r w:rsidR="00574B0B" w:rsidRPr="00F72FB0">
        <w:rPr>
          <w:lang w:val="en-GB"/>
        </w:rPr>
        <w:t>of</w:t>
      </w:r>
      <w:r w:rsidR="00FC2FB1" w:rsidRPr="00F72FB0">
        <w:rPr>
          <w:lang w:val="en-GB"/>
        </w:rPr>
        <w:t xml:space="preserve"> </w:t>
      </w:r>
      <w:r w:rsidR="00574B0B" w:rsidRPr="00F72FB0">
        <w:rPr>
          <w:lang w:val="en-GB"/>
        </w:rPr>
        <w:t>EU</w:t>
      </w:r>
      <w:r w:rsidR="00FC2FB1" w:rsidRPr="00F72FB0">
        <w:rPr>
          <w:lang w:val="en-GB"/>
        </w:rPr>
        <w:t xml:space="preserve"> </w:t>
      </w:r>
      <w:r w:rsidR="00574B0B" w:rsidRPr="00F72FB0">
        <w:rPr>
          <w:lang w:val="en-GB"/>
        </w:rPr>
        <w:t>soft</w:t>
      </w:r>
      <w:r w:rsidR="00FC2FB1" w:rsidRPr="00F72FB0">
        <w:rPr>
          <w:lang w:val="en-GB"/>
        </w:rPr>
        <w:t xml:space="preserve"> </w:t>
      </w:r>
      <w:r w:rsidR="00574B0B" w:rsidRPr="00F72FB0">
        <w:rPr>
          <w:lang w:val="en-GB"/>
        </w:rPr>
        <w:t>law</w:t>
      </w:r>
      <w:r w:rsidR="00FC2FB1" w:rsidRPr="00F72FB0">
        <w:rPr>
          <w:lang w:val="en-GB"/>
        </w:rPr>
        <w:t xml:space="preserve"> </w:t>
      </w:r>
      <w:r w:rsidR="00574B0B" w:rsidRPr="00F72FB0">
        <w:rPr>
          <w:lang w:val="en-GB"/>
        </w:rPr>
        <w:t>in</w:t>
      </w:r>
      <w:r w:rsidR="00FC2FB1" w:rsidRPr="00F72FB0">
        <w:rPr>
          <w:lang w:val="en-GB"/>
        </w:rPr>
        <w:t xml:space="preserve"> </w:t>
      </w:r>
      <w:r w:rsidR="00574B0B" w:rsidRPr="00F72FB0">
        <w:rPr>
          <w:lang w:val="en-GB"/>
        </w:rPr>
        <w:t>the</w:t>
      </w:r>
      <w:r w:rsidR="00FC2FB1" w:rsidRPr="00F72FB0">
        <w:rPr>
          <w:lang w:val="en-GB"/>
        </w:rPr>
        <w:t xml:space="preserve"> </w:t>
      </w:r>
      <w:r w:rsidR="00574B0B" w:rsidRPr="00F72FB0">
        <w:rPr>
          <w:lang w:val="en-GB"/>
        </w:rPr>
        <w:t>UK</w:t>
      </w:r>
      <w:r w:rsidR="00FC2FB1" w:rsidRPr="00F72FB0">
        <w:rPr>
          <w:lang w:val="en-GB"/>
        </w:rPr>
        <w:t xml:space="preserve"> </w:t>
      </w:r>
      <w:r w:rsidR="00574B0B" w:rsidRPr="00F72FB0">
        <w:rPr>
          <w:lang w:val="en-GB"/>
        </w:rPr>
        <w:t>legal</w:t>
      </w:r>
      <w:r w:rsidR="00FC2FB1" w:rsidRPr="00F72FB0">
        <w:rPr>
          <w:lang w:val="en-GB"/>
        </w:rPr>
        <w:t xml:space="preserve"> </w:t>
      </w:r>
      <w:r w:rsidR="00574B0B" w:rsidRPr="00F72FB0">
        <w:rPr>
          <w:lang w:val="en-GB"/>
        </w:rPr>
        <w:t>order</w:t>
      </w:r>
      <w:r w:rsidR="00886640" w:rsidRPr="00F72FB0">
        <w:rPr>
          <w:lang w:val="en-GB"/>
        </w:rPr>
        <w:t>.</w:t>
      </w:r>
    </w:p>
    <w:p w14:paraId="5D8FEA2A" w14:textId="77777777" w:rsidR="00E60757" w:rsidRPr="00F72FB0" w:rsidRDefault="00E60757" w:rsidP="00E14136">
      <w:pPr>
        <w:spacing w:line="360" w:lineRule="auto"/>
        <w:contextualSpacing/>
        <w:jc w:val="both"/>
        <w:rPr>
          <w:color w:val="000000" w:themeColor="text1"/>
          <w:lang w:val="en-GB"/>
        </w:rPr>
      </w:pPr>
    </w:p>
    <w:p w14:paraId="4EB9E2BE" w14:textId="77777777" w:rsidR="00A26F0D" w:rsidRDefault="00600F90" w:rsidP="00A26F0D">
      <w:pPr>
        <w:pStyle w:val="Otsikko2"/>
        <w:spacing w:before="0" w:line="360" w:lineRule="auto"/>
        <w:contextualSpacing/>
        <w:rPr>
          <w:rFonts w:ascii="Times New Roman" w:hAnsi="Times New Roman" w:cs="Times New Roman"/>
          <w:i/>
          <w:color w:val="000000" w:themeColor="text1"/>
          <w:sz w:val="24"/>
          <w:szCs w:val="24"/>
          <w:lang w:val="en-GB"/>
        </w:rPr>
      </w:pPr>
      <w:r w:rsidRPr="00E460E1">
        <w:rPr>
          <w:rFonts w:ascii="Times New Roman" w:hAnsi="Times New Roman" w:cs="Times New Roman"/>
          <w:i/>
          <w:color w:val="000000" w:themeColor="text1"/>
          <w:sz w:val="24"/>
          <w:szCs w:val="24"/>
          <w:lang w:val="en-GB"/>
        </w:rPr>
        <w:t>A Status of EU Soft Law in the UK Legal Order</w:t>
      </w:r>
    </w:p>
    <w:p w14:paraId="486506B6" w14:textId="77777777" w:rsidR="00A26F0D" w:rsidRDefault="00A26F0D" w:rsidP="00A26F0D">
      <w:pPr>
        <w:pStyle w:val="Otsikko2"/>
        <w:spacing w:before="0" w:line="360" w:lineRule="auto"/>
        <w:contextualSpacing/>
        <w:rPr>
          <w:rFonts w:ascii="Times New Roman" w:hAnsi="Times New Roman" w:cs="Times New Roman"/>
          <w:color w:val="000000" w:themeColor="text1"/>
          <w:lang w:val="en-GB"/>
        </w:rPr>
      </w:pPr>
    </w:p>
    <w:p w14:paraId="6C973D8B" w14:textId="5856664F" w:rsidR="00F5377A" w:rsidRPr="00A26F0D" w:rsidRDefault="00A26F0D" w:rsidP="00A26F0D">
      <w:pPr>
        <w:pStyle w:val="Otsikko2"/>
        <w:spacing w:before="0" w:line="360" w:lineRule="auto"/>
        <w:contextualSpacing/>
        <w:rPr>
          <w:rFonts w:ascii="Times New Roman" w:hAnsi="Times New Roman" w:cs="Times New Roman"/>
          <w:i/>
          <w:color w:val="000000" w:themeColor="text1"/>
          <w:sz w:val="24"/>
          <w:szCs w:val="24"/>
          <w:lang w:val="en-GB"/>
        </w:rPr>
      </w:pPr>
      <w:r>
        <w:rPr>
          <w:rFonts w:ascii="Times New Roman" w:hAnsi="Times New Roman" w:cs="Times New Roman"/>
          <w:color w:val="000000" w:themeColor="text1"/>
          <w:lang w:val="en-GB"/>
        </w:rPr>
        <w:t xml:space="preserve">i) </w:t>
      </w:r>
      <w:r w:rsidR="00F5377A" w:rsidRPr="00F72FB0">
        <w:rPr>
          <w:rFonts w:ascii="Times New Roman" w:hAnsi="Times New Roman" w:cs="Times New Roman"/>
          <w:color w:val="000000" w:themeColor="text1"/>
          <w:lang w:val="en-GB"/>
        </w:rPr>
        <w:t>The</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transposition</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of</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EU</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soft</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law</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in</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the</w:t>
      </w:r>
      <w:r w:rsidR="00FC2FB1" w:rsidRPr="00F72FB0">
        <w:rPr>
          <w:rFonts w:ascii="Times New Roman" w:hAnsi="Times New Roman" w:cs="Times New Roman"/>
          <w:color w:val="000000" w:themeColor="text1"/>
          <w:lang w:val="en-GB"/>
        </w:rPr>
        <w:t xml:space="preserve"> </w:t>
      </w:r>
      <w:r w:rsidR="00F5377A" w:rsidRPr="00F72FB0">
        <w:rPr>
          <w:rFonts w:ascii="Times New Roman" w:hAnsi="Times New Roman" w:cs="Times New Roman"/>
          <w:color w:val="000000" w:themeColor="text1"/>
          <w:lang w:val="en-GB"/>
        </w:rPr>
        <w:t>UK</w:t>
      </w:r>
    </w:p>
    <w:p w14:paraId="34C30EC6" w14:textId="77777777" w:rsidR="00F5377A" w:rsidRPr="00F72FB0" w:rsidRDefault="00F5377A" w:rsidP="00E14136">
      <w:pPr>
        <w:spacing w:line="360" w:lineRule="auto"/>
        <w:contextualSpacing/>
        <w:jc w:val="both"/>
        <w:rPr>
          <w:lang w:val="en-GB"/>
        </w:rPr>
      </w:pPr>
    </w:p>
    <w:p w14:paraId="1F4B42A7" w14:textId="2A5F57DA" w:rsidR="0031704C" w:rsidRPr="00F72FB0" w:rsidRDefault="00306932" w:rsidP="00E14136">
      <w:pPr>
        <w:spacing w:line="360" w:lineRule="auto"/>
        <w:contextualSpacing/>
        <w:jc w:val="both"/>
        <w:rPr>
          <w:lang w:val="en-GB"/>
        </w:rPr>
      </w:pPr>
      <w:r>
        <w:rPr>
          <w:lang w:val="en-GB"/>
        </w:rPr>
        <w:t>Judging from their official websites and documents published</w:t>
      </w:r>
      <w:r w:rsidR="00886640" w:rsidRPr="00F72FB0">
        <w:rPr>
          <w:lang w:val="en-GB"/>
        </w:rPr>
        <w:t>,</w:t>
      </w:r>
      <w:r w:rsidR="00FC2FB1" w:rsidRPr="00F72FB0">
        <w:rPr>
          <w:lang w:val="en-GB"/>
        </w:rPr>
        <w:t xml:space="preserve"> </w:t>
      </w:r>
      <w:r w:rsidR="00886640" w:rsidRPr="00F72FB0">
        <w:rPr>
          <w:lang w:val="en-GB"/>
        </w:rPr>
        <w:t>UK</w:t>
      </w:r>
      <w:r w:rsidR="00FC2FB1" w:rsidRPr="00F72FB0">
        <w:rPr>
          <w:lang w:val="en-GB"/>
        </w:rPr>
        <w:t xml:space="preserve"> </w:t>
      </w:r>
      <w:r w:rsidR="00886640" w:rsidRPr="00F72FB0">
        <w:rPr>
          <w:lang w:val="en-GB"/>
        </w:rPr>
        <w:t>authorities</w:t>
      </w:r>
      <w:r w:rsidR="00FC2FB1" w:rsidRPr="00F72FB0">
        <w:rPr>
          <w:lang w:val="en-GB"/>
        </w:rPr>
        <w:t xml:space="preserve"> </w:t>
      </w:r>
      <w:r w:rsidR="00886640" w:rsidRPr="00F72FB0">
        <w:rPr>
          <w:lang w:val="en-GB"/>
        </w:rPr>
        <w:t>consider</w:t>
      </w:r>
      <w:r w:rsidR="00FC2FB1" w:rsidRPr="00F72FB0">
        <w:rPr>
          <w:lang w:val="en-GB"/>
        </w:rPr>
        <w:t xml:space="preserve"> </w:t>
      </w:r>
      <w:r w:rsidR="00886640" w:rsidRPr="00F72FB0">
        <w:rPr>
          <w:lang w:val="en-GB"/>
        </w:rPr>
        <w:t>that</w:t>
      </w:r>
      <w:r w:rsidR="00FC2FB1" w:rsidRPr="00F72FB0">
        <w:rPr>
          <w:lang w:val="en-GB"/>
        </w:rPr>
        <w:t xml:space="preserve"> </w:t>
      </w:r>
      <w:r w:rsidR="00886640" w:rsidRPr="00F72FB0">
        <w:rPr>
          <w:lang w:val="en-GB"/>
        </w:rPr>
        <w:t>all</w:t>
      </w:r>
      <w:r w:rsidR="00FC2FB1" w:rsidRPr="00F72FB0">
        <w:rPr>
          <w:lang w:val="en-GB"/>
        </w:rPr>
        <w:t xml:space="preserve"> </w:t>
      </w:r>
      <w:r w:rsidR="00886640" w:rsidRPr="00F72FB0">
        <w:rPr>
          <w:lang w:val="en-GB"/>
        </w:rPr>
        <w:t>types</w:t>
      </w:r>
      <w:r w:rsidR="00FC2FB1" w:rsidRPr="00F72FB0">
        <w:rPr>
          <w:lang w:val="en-GB"/>
        </w:rPr>
        <w:t xml:space="preserve"> </w:t>
      </w:r>
      <w:r w:rsidR="00886640" w:rsidRPr="00F72FB0">
        <w:rPr>
          <w:lang w:val="en-GB"/>
        </w:rPr>
        <w:t>of</w:t>
      </w:r>
      <w:r w:rsidR="00FC2FB1" w:rsidRPr="00F72FB0">
        <w:rPr>
          <w:lang w:val="en-GB"/>
        </w:rPr>
        <w:t xml:space="preserve"> </w:t>
      </w:r>
      <w:r w:rsidR="00886640" w:rsidRPr="00F72FB0">
        <w:rPr>
          <w:lang w:val="en-GB"/>
        </w:rPr>
        <w:t>EU</w:t>
      </w:r>
      <w:r w:rsidR="00FC2FB1" w:rsidRPr="00F72FB0">
        <w:rPr>
          <w:lang w:val="en-GB"/>
        </w:rPr>
        <w:t xml:space="preserve"> </w:t>
      </w:r>
      <w:r w:rsidR="00886640" w:rsidRPr="00F72FB0">
        <w:rPr>
          <w:lang w:val="en-GB"/>
        </w:rPr>
        <w:t>soft</w:t>
      </w:r>
      <w:r w:rsidR="00FC2FB1" w:rsidRPr="00F72FB0">
        <w:rPr>
          <w:lang w:val="en-GB"/>
        </w:rPr>
        <w:t xml:space="preserve"> </w:t>
      </w:r>
      <w:r w:rsidR="00886640" w:rsidRPr="00F72FB0">
        <w:rPr>
          <w:lang w:val="en-GB"/>
        </w:rPr>
        <w:t>law</w:t>
      </w:r>
      <w:r w:rsidR="00FC2FB1" w:rsidRPr="00F72FB0">
        <w:rPr>
          <w:lang w:val="en-GB"/>
        </w:rPr>
        <w:t xml:space="preserve"> </w:t>
      </w:r>
      <w:r w:rsidR="00886640" w:rsidRPr="00F72FB0">
        <w:rPr>
          <w:lang w:val="en-GB"/>
        </w:rPr>
        <w:t>instruments</w:t>
      </w:r>
      <w:r w:rsidR="00FC2FB1" w:rsidRPr="00F72FB0">
        <w:rPr>
          <w:lang w:val="en-GB"/>
        </w:rPr>
        <w:t xml:space="preserve"> </w:t>
      </w:r>
      <w:r w:rsidR="00886640" w:rsidRPr="00F72FB0">
        <w:rPr>
          <w:lang w:val="en-GB"/>
        </w:rPr>
        <w:t>are</w:t>
      </w:r>
      <w:r w:rsidR="00FC2FB1" w:rsidRPr="00F72FB0">
        <w:rPr>
          <w:lang w:val="en-GB"/>
        </w:rPr>
        <w:t xml:space="preserve"> </w:t>
      </w:r>
      <w:r w:rsidR="00886640" w:rsidRPr="00F72FB0">
        <w:rPr>
          <w:lang w:val="en-GB"/>
        </w:rPr>
        <w:t>relevant,</w:t>
      </w:r>
      <w:r w:rsidR="00FC2FB1" w:rsidRPr="00F72FB0">
        <w:rPr>
          <w:lang w:val="en-GB"/>
        </w:rPr>
        <w:t xml:space="preserve"> </w:t>
      </w:r>
      <w:r w:rsidR="00886640" w:rsidRPr="00F72FB0">
        <w:rPr>
          <w:lang w:val="en-GB"/>
        </w:rPr>
        <w:t>including</w:t>
      </w:r>
      <w:r w:rsidR="00FC2FB1" w:rsidRPr="00F72FB0">
        <w:rPr>
          <w:lang w:val="en-GB"/>
        </w:rPr>
        <w:t xml:space="preserve"> </w:t>
      </w:r>
      <w:r w:rsidR="00886640" w:rsidRPr="00F72FB0">
        <w:rPr>
          <w:lang w:val="en-GB"/>
        </w:rPr>
        <w:t>everything</w:t>
      </w:r>
      <w:r w:rsidR="00FC2FB1" w:rsidRPr="00F72FB0">
        <w:rPr>
          <w:lang w:val="en-GB"/>
        </w:rPr>
        <w:t xml:space="preserve"> </w:t>
      </w:r>
      <w:r w:rsidR="00886640" w:rsidRPr="00F72FB0">
        <w:rPr>
          <w:lang w:val="en-GB"/>
        </w:rPr>
        <w:t>from</w:t>
      </w:r>
      <w:r w:rsidR="00FC2FB1" w:rsidRPr="00F72FB0">
        <w:rPr>
          <w:lang w:val="en-GB"/>
        </w:rPr>
        <w:t xml:space="preserve"> </w:t>
      </w:r>
      <w:r w:rsidR="00886640" w:rsidRPr="00F72FB0">
        <w:rPr>
          <w:lang w:val="en-GB"/>
        </w:rPr>
        <w:t>official</w:t>
      </w:r>
      <w:r w:rsidR="00FC2FB1" w:rsidRPr="00F72FB0">
        <w:rPr>
          <w:lang w:val="en-GB"/>
        </w:rPr>
        <w:t xml:space="preserve"> </w:t>
      </w:r>
      <w:r w:rsidR="00886640" w:rsidRPr="00F72FB0">
        <w:rPr>
          <w:lang w:val="en-GB"/>
        </w:rPr>
        <w:t>guidance</w:t>
      </w:r>
      <w:r w:rsidR="00FC2FB1" w:rsidRPr="00F72FB0">
        <w:rPr>
          <w:lang w:val="en-GB"/>
        </w:rPr>
        <w:t xml:space="preserve"> </w:t>
      </w:r>
      <w:r w:rsidR="00886640" w:rsidRPr="00F72FB0">
        <w:rPr>
          <w:lang w:val="en-GB"/>
        </w:rPr>
        <w:t>to</w:t>
      </w:r>
      <w:r w:rsidR="00FC2FB1" w:rsidRPr="00F72FB0">
        <w:rPr>
          <w:lang w:val="en-GB"/>
        </w:rPr>
        <w:t xml:space="preserve"> </w:t>
      </w:r>
      <w:r w:rsidR="00886640" w:rsidRPr="00F72FB0">
        <w:rPr>
          <w:lang w:val="en-GB"/>
        </w:rPr>
        <w:t>even</w:t>
      </w:r>
      <w:r w:rsidR="00FC2FB1" w:rsidRPr="00F72FB0">
        <w:rPr>
          <w:lang w:val="en-GB"/>
        </w:rPr>
        <w:t xml:space="preserve"> </w:t>
      </w:r>
      <w:r w:rsidR="00886640" w:rsidRPr="00F72FB0">
        <w:rPr>
          <w:lang w:val="en-GB"/>
        </w:rPr>
        <w:t>Q&amp;As,</w:t>
      </w:r>
      <w:r w:rsidR="00886640" w:rsidRPr="00F72FB0">
        <w:rPr>
          <w:rStyle w:val="Alaviitteenviite"/>
          <w:lang w:val="en-GB"/>
        </w:rPr>
        <w:footnoteReference w:id="20"/>
      </w:r>
      <w:r w:rsidR="00FC2FB1" w:rsidRPr="00F72FB0">
        <w:rPr>
          <w:lang w:val="en-GB"/>
        </w:rPr>
        <w:t xml:space="preserve"> </w:t>
      </w:r>
      <w:r w:rsidR="00886640" w:rsidRPr="00F72FB0">
        <w:rPr>
          <w:lang w:val="en-GB"/>
        </w:rPr>
        <w:t>preventing</w:t>
      </w:r>
      <w:r w:rsidR="00FC2FB1" w:rsidRPr="00F72FB0">
        <w:rPr>
          <w:lang w:val="en-GB"/>
        </w:rPr>
        <w:t xml:space="preserve"> </w:t>
      </w:r>
      <w:r w:rsidR="00886640" w:rsidRPr="00F72FB0">
        <w:rPr>
          <w:lang w:val="en-GB"/>
        </w:rPr>
        <w:t>a</w:t>
      </w:r>
      <w:r w:rsidR="00FC2FB1" w:rsidRPr="00F72FB0">
        <w:rPr>
          <w:lang w:val="en-GB"/>
        </w:rPr>
        <w:t xml:space="preserve"> </w:t>
      </w:r>
      <w:r w:rsidR="00886640" w:rsidRPr="00F72FB0">
        <w:rPr>
          <w:lang w:val="en-GB"/>
        </w:rPr>
        <w:t>ranking/taxonomy</w:t>
      </w:r>
      <w:r w:rsidR="00FC2FB1" w:rsidRPr="00F72FB0">
        <w:rPr>
          <w:lang w:val="en-GB"/>
        </w:rPr>
        <w:t xml:space="preserve"> </w:t>
      </w:r>
      <w:r w:rsidR="00886640" w:rsidRPr="00F72FB0">
        <w:rPr>
          <w:lang w:val="en-GB"/>
        </w:rPr>
        <w:t>of</w:t>
      </w:r>
      <w:r w:rsidR="00FC2FB1" w:rsidRPr="00F72FB0">
        <w:rPr>
          <w:lang w:val="en-GB"/>
        </w:rPr>
        <w:t xml:space="preserve"> </w:t>
      </w:r>
      <w:r w:rsidR="00886640" w:rsidRPr="00F72FB0">
        <w:rPr>
          <w:lang w:val="en-GB"/>
        </w:rPr>
        <w:t>EU</w:t>
      </w:r>
      <w:r w:rsidR="00FC2FB1" w:rsidRPr="00F72FB0">
        <w:rPr>
          <w:lang w:val="en-GB"/>
        </w:rPr>
        <w:t xml:space="preserve"> </w:t>
      </w:r>
      <w:r w:rsidR="00886640" w:rsidRPr="00F72FB0">
        <w:rPr>
          <w:lang w:val="en-GB"/>
        </w:rPr>
        <w:t>soft</w:t>
      </w:r>
      <w:r w:rsidR="00FC2FB1" w:rsidRPr="00F72FB0">
        <w:rPr>
          <w:lang w:val="en-GB"/>
        </w:rPr>
        <w:t xml:space="preserve"> </w:t>
      </w:r>
      <w:r w:rsidR="00886640" w:rsidRPr="00F72FB0">
        <w:rPr>
          <w:lang w:val="en-GB"/>
        </w:rPr>
        <w:t>law.</w:t>
      </w:r>
      <w:r w:rsidR="00FC2FB1" w:rsidRPr="00F72FB0">
        <w:rPr>
          <w:lang w:val="en-GB"/>
        </w:rPr>
        <w:t xml:space="preserve"> </w:t>
      </w:r>
      <w:r w:rsidR="00886640" w:rsidRPr="00F72FB0">
        <w:rPr>
          <w:lang w:val="en-GB"/>
        </w:rPr>
        <w:t>However,</w:t>
      </w:r>
      <w:r w:rsidR="00FC2FB1" w:rsidRPr="00F72FB0">
        <w:rPr>
          <w:lang w:val="en-GB"/>
        </w:rPr>
        <w:t xml:space="preserve"> </w:t>
      </w:r>
      <w:r w:rsidR="007228DF" w:rsidRPr="00F72FB0">
        <w:rPr>
          <w:lang w:val="en-GB"/>
        </w:rPr>
        <w:t>EU</w:t>
      </w:r>
      <w:r w:rsidR="00FC2FB1" w:rsidRPr="00F72FB0">
        <w:rPr>
          <w:lang w:val="en-GB"/>
        </w:rPr>
        <w:t xml:space="preserve"> </w:t>
      </w:r>
      <w:r w:rsidR="007228DF" w:rsidRPr="00F72FB0">
        <w:rPr>
          <w:lang w:val="en-GB"/>
        </w:rPr>
        <w:t>soft</w:t>
      </w:r>
      <w:r w:rsidR="00FC2FB1" w:rsidRPr="00F72FB0">
        <w:rPr>
          <w:lang w:val="en-GB"/>
        </w:rPr>
        <w:t xml:space="preserve"> </w:t>
      </w:r>
      <w:r w:rsidR="007228DF" w:rsidRPr="00F72FB0">
        <w:rPr>
          <w:lang w:val="en-GB"/>
        </w:rPr>
        <w:t>law</w:t>
      </w:r>
      <w:r w:rsidR="00FC2FB1" w:rsidRPr="00F72FB0">
        <w:rPr>
          <w:lang w:val="en-GB"/>
        </w:rPr>
        <w:t xml:space="preserve"> </w:t>
      </w:r>
      <w:r w:rsidR="007228DF" w:rsidRPr="00F72FB0">
        <w:rPr>
          <w:lang w:val="en-GB"/>
        </w:rPr>
        <w:t>is</w:t>
      </w:r>
      <w:r w:rsidR="00FC2FB1" w:rsidRPr="00F72FB0">
        <w:rPr>
          <w:lang w:val="en-GB"/>
        </w:rPr>
        <w:t xml:space="preserve"> </w:t>
      </w:r>
      <w:r w:rsidR="007228DF" w:rsidRPr="00F72FB0">
        <w:rPr>
          <w:lang w:val="en-GB"/>
        </w:rPr>
        <w:t>not</w:t>
      </w:r>
      <w:r w:rsidR="00FC2FB1" w:rsidRPr="00F72FB0">
        <w:rPr>
          <w:lang w:val="en-GB"/>
        </w:rPr>
        <w:t xml:space="preserve"> </w:t>
      </w:r>
      <w:r w:rsidR="007228DF" w:rsidRPr="00F72FB0">
        <w:rPr>
          <w:lang w:val="en-GB"/>
        </w:rPr>
        <w:t>systematically</w:t>
      </w:r>
      <w:r w:rsidR="00FC2FB1" w:rsidRPr="00F72FB0">
        <w:rPr>
          <w:lang w:val="en-GB"/>
        </w:rPr>
        <w:t xml:space="preserve"> </w:t>
      </w:r>
      <w:r w:rsidR="00924127" w:rsidRPr="00F72FB0">
        <w:rPr>
          <w:lang w:val="en-GB"/>
        </w:rPr>
        <w:t>or</w:t>
      </w:r>
      <w:r w:rsidR="00FC2FB1" w:rsidRPr="00F72FB0">
        <w:rPr>
          <w:lang w:val="en-GB"/>
        </w:rPr>
        <w:t xml:space="preserve"> </w:t>
      </w:r>
      <w:r w:rsidR="00924127" w:rsidRPr="00F72FB0">
        <w:rPr>
          <w:lang w:val="en-GB"/>
        </w:rPr>
        <w:t>officially</w:t>
      </w:r>
      <w:r w:rsidR="00FC2FB1" w:rsidRPr="00F72FB0">
        <w:rPr>
          <w:lang w:val="en-GB"/>
        </w:rPr>
        <w:t xml:space="preserve"> </w:t>
      </w:r>
      <w:r w:rsidR="007228DF" w:rsidRPr="00F72FB0">
        <w:rPr>
          <w:lang w:val="en-GB"/>
        </w:rPr>
        <w:t>transposed</w:t>
      </w:r>
      <w:r w:rsidR="00FC2FB1" w:rsidRPr="00F72FB0">
        <w:rPr>
          <w:lang w:val="en-GB"/>
        </w:rPr>
        <w:t xml:space="preserve"> </w:t>
      </w:r>
      <w:r w:rsidR="007228DF" w:rsidRPr="00F72FB0">
        <w:rPr>
          <w:lang w:val="en-GB"/>
        </w:rPr>
        <w:t>in</w:t>
      </w:r>
      <w:r w:rsidR="00FC2FB1" w:rsidRPr="00F72FB0">
        <w:rPr>
          <w:lang w:val="en-GB"/>
        </w:rPr>
        <w:t xml:space="preserve"> </w:t>
      </w:r>
      <w:r w:rsidR="007228DF" w:rsidRPr="00F72FB0">
        <w:rPr>
          <w:lang w:val="en-GB"/>
        </w:rPr>
        <w:t>the</w:t>
      </w:r>
      <w:r w:rsidR="00FC2FB1" w:rsidRPr="00F72FB0">
        <w:rPr>
          <w:lang w:val="en-GB"/>
        </w:rPr>
        <w:t xml:space="preserve"> </w:t>
      </w:r>
      <w:r w:rsidR="007228DF" w:rsidRPr="00F72FB0">
        <w:rPr>
          <w:lang w:val="en-GB"/>
        </w:rPr>
        <w:t>UK</w:t>
      </w:r>
      <w:r w:rsidR="00FC2FB1" w:rsidRPr="00F72FB0">
        <w:rPr>
          <w:lang w:val="en-GB"/>
        </w:rPr>
        <w:t xml:space="preserve"> </w:t>
      </w:r>
      <w:r w:rsidR="007228DF" w:rsidRPr="00F72FB0">
        <w:rPr>
          <w:lang w:val="en-GB"/>
        </w:rPr>
        <w:t>legal</w:t>
      </w:r>
      <w:r w:rsidR="00FC2FB1" w:rsidRPr="00F72FB0">
        <w:rPr>
          <w:lang w:val="en-GB"/>
        </w:rPr>
        <w:t xml:space="preserve"> </w:t>
      </w:r>
      <w:r w:rsidR="007228DF" w:rsidRPr="00F72FB0">
        <w:rPr>
          <w:lang w:val="en-GB"/>
        </w:rPr>
        <w:t>order</w:t>
      </w:r>
      <w:r w:rsidR="00FC2FB1" w:rsidRPr="00F72FB0">
        <w:rPr>
          <w:lang w:val="en-GB"/>
        </w:rPr>
        <w:t xml:space="preserve"> </w:t>
      </w:r>
      <w:r w:rsidR="00765BAB" w:rsidRPr="00F72FB0">
        <w:rPr>
          <w:lang w:val="en-GB"/>
        </w:rPr>
        <w:t>and</w:t>
      </w:r>
      <w:r w:rsidR="00FC2FB1" w:rsidRPr="00F72FB0">
        <w:rPr>
          <w:lang w:val="en-GB"/>
        </w:rPr>
        <w:t xml:space="preserve"> </w:t>
      </w:r>
      <w:r w:rsidR="00765BAB" w:rsidRPr="00F72FB0">
        <w:rPr>
          <w:lang w:val="en-GB"/>
        </w:rPr>
        <w:t>t</w:t>
      </w:r>
      <w:r w:rsidR="0031704C" w:rsidRPr="00F72FB0">
        <w:rPr>
          <w:lang w:val="en-GB"/>
        </w:rPr>
        <w:t>he</w:t>
      </w:r>
      <w:r w:rsidR="00FC2FB1" w:rsidRPr="00F72FB0">
        <w:rPr>
          <w:lang w:val="en-GB"/>
        </w:rPr>
        <w:t xml:space="preserve"> </w:t>
      </w:r>
      <w:r w:rsidR="0031704C" w:rsidRPr="00F72FB0">
        <w:rPr>
          <w:lang w:val="en-GB"/>
        </w:rPr>
        <w:t>approach</w:t>
      </w:r>
      <w:r w:rsidR="00FC2FB1" w:rsidRPr="00F72FB0">
        <w:rPr>
          <w:lang w:val="en-GB"/>
        </w:rPr>
        <w:t xml:space="preserve"> </w:t>
      </w:r>
      <w:r w:rsidR="0031704C" w:rsidRPr="00F72FB0">
        <w:rPr>
          <w:lang w:val="en-GB"/>
        </w:rPr>
        <w:t>appears</w:t>
      </w:r>
      <w:r w:rsidR="00FC2FB1" w:rsidRPr="00F72FB0">
        <w:rPr>
          <w:lang w:val="en-GB"/>
        </w:rPr>
        <w:t xml:space="preserve"> </w:t>
      </w:r>
      <w:r w:rsidR="0031704C" w:rsidRPr="00F72FB0">
        <w:rPr>
          <w:lang w:val="en-GB"/>
        </w:rPr>
        <w:t>in</w:t>
      </w:r>
      <w:r w:rsidR="00FC2FB1" w:rsidRPr="00F72FB0">
        <w:rPr>
          <w:lang w:val="en-GB"/>
        </w:rPr>
        <w:t xml:space="preserve"> </w:t>
      </w:r>
      <w:r w:rsidR="0031704C" w:rsidRPr="00F72FB0">
        <w:rPr>
          <w:lang w:val="en-GB"/>
        </w:rPr>
        <w:t>part</w:t>
      </w:r>
      <w:r w:rsidR="00FC2FB1" w:rsidRPr="00F72FB0">
        <w:rPr>
          <w:lang w:val="en-GB"/>
        </w:rPr>
        <w:t xml:space="preserve"> </w:t>
      </w:r>
      <w:r w:rsidR="000C7124" w:rsidRPr="00F72FB0">
        <w:rPr>
          <w:lang w:val="en-GB"/>
        </w:rPr>
        <w:t>sector</w:t>
      </w:r>
      <w:r w:rsidR="00FC2FB1" w:rsidRPr="00F72FB0">
        <w:rPr>
          <w:lang w:val="en-GB"/>
        </w:rPr>
        <w:t xml:space="preserve"> </w:t>
      </w:r>
      <w:r w:rsidR="000C7124" w:rsidRPr="00F72FB0">
        <w:rPr>
          <w:lang w:val="en-GB"/>
        </w:rPr>
        <w:t>dependent</w:t>
      </w:r>
      <w:r w:rsidR="00FC2FB1" w:rsidRPr="00F72FB0">
        <w:rPr>
          <w:lang w:val="en-GB"/>
        </w:rPr>
        <w:t xml:space="preserve"> </w:t>
      </w:r>
      <w:r w:rsidR="00765BAB" w:rsidRPr="00F72FB0">
        <w:rPr>
          <w:lang w:val="en-GB"/>
        </w:rPr>
        <w:t>and</w:t>
      </w:r>
      <w:r w:rsidR="00FC2FB1" w:rsidRPr="00F72FB0">
        <w:rPr>
          <w:lang w:val="en-GB"/>
        </w:rPr>
        <w:t xml:space="preserve"> </w:t>
      </w:r>
      <w:r w:rsidR="00765BAB" w:rsidRPr="00F72FB0">
        <w:rPr>
          <w:lang w:val="en-GB"/>
        </w:rPr>
        <w:t>indeed</w:t>
      </w:r>
      <w:r w:rsidR="00FC2FB1" w:rsidRPr="00F72FB0">
        <w:rPr>
          <w:lang w:val="en-GB"/>
        </w:rPr>
        <w:t xml:space="preserve"> </w:t>
      </w:r>
      <w:r w:rsidR="00765BAB" w:rsidRPr="00F72FB0">
        <w:rPr>
          <w:lang w:val="en-GB"/>
        </w:rPr>
        <w:t>in</w:t>
      </w:r>
      <w:r w:rsidR="00FC2FB1" w:rsidRPr="00F72FB0">
        <w:rPr>
          <w:lang w:val="en-GB"/>
        </w:rPr>
        <w:t xml:space="preserve"> </w:t>
      </w:r>
      <w:r w:rsidR="00765BAB" w:rsidRPr="00F72FB0">
        <w:rPr>
          <w:lang w:val="en-GB"/>
        </w:rPr>
        <w:t>social</w:t>
      </w:r>
      <w:r w:rsidR="00FC2FB1" w:rsidRPr="00F72FB0">
        <w:rPr>
          <w:lang w:val="en-GB"/>
        </w:rPr>
        <w:t xml:space="preserve"> </w:t>
      </w:r>
      <w:r w:rsidR="00765BAB" w:rsidRPr="00F72FB0">
        <w:rPr>
          <w:lang w:val="en-GB"/>
        </w:rPr>
        <w:t>policy</w:t>
      </w:r>
      <w:r w:rsidR="00FC2FB1" w:rsidRPr="00F72FB0">
        <w:rPr>
          <w:lang w:val="en-GB"/>
        </w:rPr>
        <w:t xml:space="preserve"> </w:t>
      </w:r>
      <w:r w:rsidR="00765BAB" w:rsidRPr="00F72FB0">
        <w:rPr>
          <w:lang w:val="en-GB"/>
        </w:rPr>
        <w:t>our</w:t>
      </w:r>
      <w:r w:rsidR="00FC2FB1" w:rsidRPr="00F72FB0">
        <w:rPr>
          <w:lang w:val="en-GB"/>
        </w:rPr>
        <w:t xml:space="preserve"> </w:t>
      </w:r>
      <w:r w:rsidR="00765BAB" w:rsidRPr="00F72FB0">
        <w:rPr>
          <w:lang w:val="en-GB"/>
        </w:rPr>
        <w:t>team</w:t>
      </w:r>
      <w:r w:rsidR="00FC2FB1" w:rsidRPr="00F72FB0">
        <w:rPr>
          <w:lang w:val="en-GB"/>
        </w:rPr>
        <w:t xml:space="preserve"> </w:t>
      </w:r>
      <w:r w:rsidR="00765BAB" w:rsidRPr="00F72FB0">
        <w:rPr>
          <w:lang w:val="en-GB"/>
        </w:rPr>
        <w:t>could</w:t>
      </w:r>
      <w:r w:rsidR="00FC2FB1" w:rsidRPr="00F72FB0">
        <w:rPr>
          <w:lang w:val="en-GB"/>
        </w:rPr>
        <w:t xml:space="preserve"> </w:t>
      </w:r>
      <w:r w:rsidR="00765BAB" w:rsidRPr="00F72FB0">
        <w:rPr>
          <w:lang w:val="en-GB"/>
        </w:rPr>
        <w:t>not</w:t>
      </w:r>
      <w:r w:rsidR="00FC2FB1" w:rsidRPr="00F72FB0">
        <w:rPr>
          <w:lang w:val="en-GB"/>
        </w:rPr>
        <w:t xml:space="preserve"> </w:t>
      </w:r>
      <w:r w:rsidR="00765BAB" w:rsidRPr="00F72FB0">
        <w:rPr>
          <w:lang w:val="en-GB"/>
        </w:rPr>
        <w:t>retrieve</w:t>
      </w:r>
      <w:r w:rsidR="00FC2FB1" w:rsidRPr="00F72FB0">
        <w:rPr>
          <w:lang w:val="en-GB"/>
        </w:rPr>
        <w:t xml:space="preserve"> </w:t>
      </w:r>
      <w:r w:rsidR="00765BAB" w:rsidRPr="00F72FB0">
        <w:rPr>
          <w:lang w:val="en-GB"/>
        </w:rPr>
        <w:t>any</w:t>
      </w:r>
      <w:r w:rsidR="00FC2FB1" w:rsidRPr="00F72FB0">
        <w:rPr>
          <w:lang w:val="en-GB"/>
        </w:rPr>
        <w:t xml:space="preserve"> </w:t>
      </w:r>
      <w:r w:rsidR="00765BAB" w:rsidRPr="00F72FB0">
        <w:rPr>
          <w:lang w:val="en-GB"/>
        </w:rPr>
        <w:t>form</w:t>
      </w:r>
      <w:r w:rsidR="00FC2FB1" w:rsidRPr="00F72FB0">
        <w:rPr>
          <w:lang w:val="en-GB"/>
        </w:rPr>
        <w:t xml:space="preserve"> </w:t>
      </w:r>
      <w:r w:rsidR="00765BAB" w:rsidRPr="00F72FB0">
        <w:rPr>
          <w:lang w:val="en-GB"/>
        </w:rPr>
        <w:t>of</w:t>
      </w:r>
      <w:r w:rsidR="00FC2FB1" w:rsidRPr="00F72FB0">
        <w:rPr>
          <w:lang w:val="en-GB"/>
        </w:rPr>
        <w:t xml:space="preserve"> </w:t>
      </w:r>
      <w:r w:rsidR="00765BAB" w:rsidRPr="00F72FB0">
        <w:rPr>
          <w:lang w:val="en-GB"/>
        </w:rPr>
        <w:t>transposition</w:t>
      </w:r>
      <w:r w:rsidR="00FC2FB1" w:rsidRPr="00F72FB0">
        <w:rPr>
          <w:lang w:val="en-GB"/>
        </w:rPr>
        <w:t xml:space="preserve"> </w:t>
      </w:r>
      <w:r w:rsidR="00765BAB" w:rsidRPr="00F72FB0">
        <w:rPr>
          <w:lang w:val="en-GB"/>
        </w:rPr>
        <w:t>of</w:t>
      </w:r>
      <w:r w:rsidR="00FC2FB1" w:rsidRPr="00F72FB0">
        <w:rPr>
          <w:lang w:val="en-GB"/>
        </w:rPr>
        <w:t xml:space="preserve"> </w:t>
      </w:r>
      <w:r w:rsidR="00765BAB" w:rsidRPr="00F72FB0">
        <w:rPr>
          <w:lang w:val="en-GB"/>
        </w:rPr>
        <w:t>the</w:t>
      </w:r>
      <w:r w:rsidR="00FC2FB1" w:rsidRPr="00F72FB0">
        <w:rPr>
          <w:lang w:val="en-GB"/>
        </w:rPr>
        <w:t xml:space="preserve"> </w:t>
      </w:r>
      <w:r w:rsidR="00765BAB" w:rsidRPr="00F72FB0">
        <w:rPr>
          <w:lang w:val="en-GB"/>
        </w:rPr>
        <w:t>targeted</w:t>
      </w:r>
      <w:r w:rsidR="00FC2FB1" w:rsidRPr="00F72FB0">
        <w:rPr>
          <w:lang w:val="en-GB"/>
        </w:rPr>
        <w:t xml:space="preserve"> </w:t>
      </w:r>
      <w:r w:rsidR="00765BAB" w:rsidRPr="00F72FB0">
        <w:rPr>
          <w:lang w:val="en-GB"/>
        </w:rPr>
        <w:t>EU</w:t>
      </w:r>
      <w:r w:rsidR="00FC2FB1" w:rsidRPr="00F72FB0">
        <w:rPr>
          <w:lang w:val="en-GB"/>
        </w:rPr>
        <w:t xml:space="preserve"> </w:t>
      </w:r>
      <w:r w:rsidR="00765BAB" w:rsidRPr="00F72FB0">
        <w:rPr>
          <w:lang w:val="en-GB"/>
        </w:rPr>
        <w:t>soft</w:t>
      </w:r>
      <w:r w:rsidR="00FC2FB1" w:rsidRPr="00F72FB0">
        <w:rPr>
          <w:lang w:val="en-GB"/>
        </w:rPr>
        <w:t xml:space="preserve"> </w:t>
      </w:r>
      <w:r w:rsidR="00765BAB" w:rsidRPr="00F72FB0">
        <w:rPr>
          <w:lang w:val="en-GB"/>
        </w:rPr>
        <w:t>law.</w:t>
      </w:r>
    </w:p>
    <w:p w14:paraId="65E1BDBD" w14:textId="7E8D1B7F" w:rsidR="001B2382" w:rsidRPr="00F72FB0" w:rsidRDefault="001B2382" w:rsidP="00E14136">
      <w:pPr>
        <w:spacing w:line="360" w:lineRule="auto"/>
        <w:contextualSpacing/>
        <w:jc w:val="both"/>
        <w:rPr>
          <w:lang w:val="en-GB"/>
        </w:rPr>
      </w:pPr>
    </w:p>
    <w:p w14:paraId="32246DDD" w14:textId="71CD0233" w:rsidR="00793FEC" w:rsidRPr="00F72FB0" w:rsidRDefault="00074C43" w:rsidP="00E14136">
      <w:pPr>
        <w:spacing w:line="360" w:lineRule="auto"/>
        <w:contextualSpacing/>
        <w:jc w:val="both"/>
        <w:rPr>
          <w:lang w:val="en-GB"/>
        </w:rPr>
      </w:pPr>
      <w:r w:rsidRPr="00F72FB0">
        <w:rPr>
          <w:lang w:val="en-GB"/>
        </w:rPr>
        <w:t>T</w:t>
      </w:r>
      <w:r w:rsidR="001B2382" w:rsidRPr="00F72FB0">
        <w:rPr>
          <w:lang w:val="en-GB"/>
        </w:rPr>
        <w:t>he</w:t>
      </w:r>
      <w:r w:rsidR="00FC2FB1" w:rsidRPr="00F72FB0">
        <w:rPr>
          <w:lang w:val="en-GB"/>
        </w:rPr>
        <w:t xml:space="preserve"> </w:t>
      </w:r>
      <w:r w:rsidR="001B2382" w:rsidRPr="00F72FB0">
        <w:rPr>
          <w:lang w:val="en-GB"/>
        </w:rPr>
        <w:t>most</w:t>
      </w:r>
      <w:r w:rsidR="00FC2FB1" w:rsidRPr="00F72FB0">
        <w:rPr>
          <w:lang w:val="en-GB"/>
        </w:rPr>
        <w:t xml:space="preserve"> </w:t>
      </w:r>
      <w:r w:rsidR="001B2382" w:rsidRPr="00F72FB0">
        <w:rPr>
          <w:lang w:val="en-GB"/>
        </w:rPr>
        <w:t>popular</w:t>
      </w:r>
      <w:r w:rsidR="00FC2FB1" w:rsidRPr="00F72FB0">
        <w:rPr>
          <w:lang w:val="en-GB"/>
        </w:rPr>
        <w:t xml:space="preserve"> </w:t>
      </w:r>
      <w:r w:rsidR="001B2382" w:rsidRPr="00F72FB0">
        <w:rPr>
          <w:lang w:val="en-GB"/>
        </w:rPr>
        <w:t>way</w:t>
      </w:r>
      <w:r w:rsidR="00FC2FB1" w:rsidRPr="00F72FB0">
        <w:rPr>
          <w:lang w:val="en-GB"/>
        </w:rPr>
        <w:t xml:space="preserve"> </w:t>
      </w:r>
      <w:r w:rsidR="001B2382" w:rsidRPr="00F72FB0">
        <w:rPr>
          <w:lang w:val="en-GB"/>
        </w:rPr>
        <w:t>of</w:t>
      </w:r>
      <w:r w:rsidR="00FC2FB1" w:rsidRPr="00F72FB0">
        <w:rPr>
          <w:lang w:val="en-GB"/>
        </w:rPr>
        <w:t xml:space="preserve"> </w:t>
      </w:r>
      <w:r w:rsidR="001B2382" w:rsidRPr="00F72FB0">
        <w:rPr>
          <w:lang w:val="en-GB"/>
        </w:rPr>
        <w:t>‘transposing’</w:t>
      </w:r>
      <w:r w:rsidR="00FC2FB1" w:rsidRPr="00F72FB0">
        <w:rPr>
          <w:lang w:val="en-GB"/>
        </w:rPr>
        <w:t xml:space="preserve"> </w:t>
      </w:r>
      <w:r w:rsidR="001B2382" w:rsidRPr="00F72FB0">
        <w:rPr>
          <w:lang w:val="en-GB"/>
        </w:rPr>
        <w:t>EU</w:t>
      </w:r>
      <w:r w:rsidR="00FC2FB1" w:rsidRPr="00F72FB0">
        <w:rPr>
          <w:lang w:val="en-GB"/>
        </w:rPr>
        <w:t xml:space="preserve"> </w:t>
      </w:r>
      <w:r w:rsidR="001B2382" w:rsidRPr="00F72FB0">
        <w:rPr>
          <w:lang w:val="en-GB"/>
        </w:rPr>
        <w:t>soft</w:t>
      </w:r>
      <w:r w:rsidR="00FC2FB1" w:rsidRPr="00F72FB0">
        <w:rPr>
          <w:lang w:val="en-GB"/>
        </w:rPr>
        <w:t xml:space="preserve"> </w:t>
      </w:r>
      <w:r w:rsidR="001B2382" w:rsidRPr="00F72FB0">
        <w:rPr>
          <w:lang w:val="en-GB"/>
        </w:rPr>
        <w:t>law</w:t>
      </w:r>
      <w:r w:rsidR="00FC2FB1" w:rsidRPr="00F72FB0">
        <w:rPr>
          <w:lang w:val="en-GB"/>
        </w:rPr>
        <w:t xml:space="preserve"> </w:t>
      </w:r>
      <w:r w:rsidR="001B2382" w:rsidRPr="00F72FB0">
        <w:rPr>
          <w:lang w:val="en-GB"/>
        </w:rPr>
        <w:t>is</w:t>
      </w:r>
      <w:r w:rsidR="00FC2FB1" w:rsidRPr="00F72FB0">
        <w:rPr>
          <w:lang w:val="en-GB"/>
        </w:rPr>
        <w:t xml:space="preserve"> </w:t>
      </w:r>
      <w:r w:rsidR="001B2382" w:rsidRPr="00F72FB0">
        <w:rPr>
          <w:lang w:val="en-GB"/>
        </w:rPr>
        <w:t>by</w:t>
      </w:r>
      <w:r w:rsidR="00FC2FB1" w:rsidRPr="00F72FB0">
        <w:rPr>
          <w:lang w:val="en-GB"/>
        </w:rPr>
        <w:t xml:space="preserve"> </w:t>
      </w:r>
      <w:r w:rsidR="001B2382" w:rsidRPr="00F72FB0">
        <w:rPr>
          <w:lang w:val="en-GB"/>
        </w:rPr>
        <w:t>way</w:t>
      </w:r>
      <w:r w:rsidR="00FC2FB1" w:rsidRPr="00F72FB0">
        <w:rPr>
          <w:lang w:val="en-GB"/>
        </w:rPr>
        <w:t xml:space="preserve"> </w:t>
      </w:r>
      <w:r w:rsidR="001B2382" w:rsidRPr="00F72FB0">
        <w:rPr>
          <w:lang w:val="en-GB"/>
        </w:rPr>
        <w:t>of</w:t>
      </w:r>
      <w:r w:rsidR="00FC2FB1" w:rsidRPr="00F72FB0">
        <w:rPr>
          <w:lang w:val="en-GB"/>
        </w:rPr>
        <w:t xml:space="preserve"> </w:t>
      </w:r>
      <w:r w:rsidR="001B2382" w:rsidRPr="00F72FB0">
        <w:rPr>
          <w:lang w:val="en-GB"/>
        </w:rPr>
        <w:t>reference</w:t>
      </w:r>
      <w:r w:rsidR="00FC2FB1" w:rsidRPr="00F72FB0">
        <w:rPr>
          <w:lang w:val="en-GB"/>
        </w:rPr>
        <w:t xml:space="preserve"> </w:t>
      </w:r>
      <w:r w:rsidR="001B2382" w:rsidRPr="00F72FB0">
        <w:rPr>
          <w:lang w:val="en-GB"/>
        </w:rPr>
        <w:t>within</w:t>
      </w:r>
      <w:r w:rsidR="00FC2FB1" w:rsidRPr="00F72FB0">
        <w:rPr>
          <w:lang w:val="en-GB"/>
        </w:rPr>
        <w:t xml:space="preserve"> </w:t>
      </w:r>
      <w:r w:rsidR="001B2382" w:rsidRPr="00F72FB0">
        <w:rPr>
          <w:lang w:val="en-GB"/>
        </w:rPr>
        <w:t>national</w:t>
      </w:r>
      <w:r w:rsidR="00FC2FB1" w:rsidRPr="00F72FB0">
        <w:rPr>
          <w:lang w:val="en-GB"/>
        </w:rPr>
        <w:t xml:space="preserve"> </w:t>
      </w:r>
      <w:r w:rsidR="001B2382" w:rsidRPr="00F72FB0">
        <w:rPr>
          <w:lang w:val="en-GB"/>
        </w:rPr>
        <w:t>guidance</w:t>
      </w:r>
      <w:r w:rsidR="00FC2FB1" w:rsidRPr="00F72FB0">
        <w:rPr>
          <w:lang w:val="en-GB"/>
        </w:rPr>
        <w:t xml:space="preserve"> </w:t>
      </w:r>
      <w:r w:rsidR="001B2382" w:rsidRPr="00F72FB0">
        <w:rPr>
          <w:lang w:val="en-GB"/>
        </w:rPr>
        <w:t>on</w:t>
      </w:r>
      <w:r w:rsidR="00FC2FB1" w:rsidRPr="00F72FB0">
        <w:rPr>
          <w:lang w:val="en-GB"/>
        </w:rPr>
        <w:t xml:space="preserve"> </w:t>
      </w:r>
      <w:r w:rsidR="001B2382" w:rsidRPr="00F72FB0">
        <w:rPr>
          <w:lang w:val="en-GB"/>
        </w:rPr>
        <w:t>various</w:t>
      </w:r>
      <w:r w:rsidR="00FC2FB1" w:rsidRPr="00F72FB0">
        <w:rPr>
          <w:lang w:val="en-GB"/>
        </w:rPr>
        <w:t xml:space="preserve"> </w:t>
      </w:r>
      <w:r w:rsidR="001B2382" w:rsidRPr="00F72FB0">
        <w:rPr>
          <w:lang w:val="en-GB"/>
        </w:rPr>
        <w:t>websites</w:t>
      </w:r>
      <w:r w:rsidR="00FC2FB1" w:rsidRPr="00F72FB0">
        <w:rPr>
          <w:lang w:val="en-GB"/>
        </w:rPr>
        <w:t xml:space="preserve"> </w:t>
      </w:r>
      <w:r w:rsidR="001B2382" w:rsidRPr="00F72FB0">
        <w:rPr>
          <w:lang w:val="en-GB"/>
        </w:rPr>
        <w:t>or</w:t>
      </w:r>
      <w:r w:rsidR="00FC2FB1" w:rsidRPr="00F72FB0">
        <w:rPr>
          <w:lang w:val="en-GB"/>
        </w:rPr>
        <w:t xml:space="preserve"> </w:t>
      </w:r>
      <w:r w:rsidR="001B2382" w:rsidRPr="00F72FB0">
        <w:rPr>
          <w:lang w:val="en-GB"/>
        </w:rPr>
        <w:t>in</w:t>
      </w:r>
      <w:r w:rsidR="00FC2FB1" w:rsidRPr="00F72FB0">
        <w:rPr>
          <w:lang w:val="en-GB"/>
        </w:rPr>
        <w:t xml:space="preserve"> </w:t>
      </w:r>
      <w:r w:rsidR="001B2382" w:rsidRPr="00F72FB0">
        <w:rPr>
          <w:lang w:val="en-GB"/>
        </w:rPr>
        <w:t>handbooks.</w:t>
      </w:r>
      <w:r w:rsidR="00FC2FB1" w:rsidRPr="00F72FB0">
        <w:rPr>
          <w:lang w:val="en-GB"/>
        </w:rPr>
        <w:t xml:space="preserve"> </w:t>
      </w:r>
      <w:r w:rsidRPr="00F72FB0">
        <w:rPr>
          <w:lang w:val="en-GB"/>
        </w:rPr>
        <w:t>Thus,</w:t>
      </w:r>
      <w:r w:rsidR="00FC2FB1" w:rsidRPr="00F72FB0">
        <w:rPr>
          <w:lang w:val="en-GB"/>
        </w:rPr>
        <w:t xml:space="preserve"> </w:t>
      </w:r>
      <w:r w:rsidR="007E535A" w:rsidRPr="00F72FB0">
        <w:rPr>
          <w:lang w:val="en-GB"/>
        </w:rPr>
        <w:t>Dobbs</w:t>
      </w:r>
      <w:bookmarkStart w:id="0" w:name="_Ref37865737"/>
      <w:r w:rsidR="00306932">
        <w:rPr>
          <w:rStyle w:val="Alaviitteenviite"/>
          <w:lang w:val="en-GB"/>
        </w:rPr>
        <w:footnoteReference w:id="21"/>
      </w:r>
      <w:bookmarkEnd w:id="0"/>
      <w:r w:rsidR="00FC2FB1" w:rsidRPr="00F72FB0">
        <w:rPr>
          <w:lang w:val="en-GB"/>
        </w:rPr>
        <w:t xml:space="preserve"> </w:t>
      </w:r>
      <w:r w:rsidR="007E535A" w:rsidRPr="00F72FB0">
        <w:rPr>
          <w:lang w:val="en-GB"/>
        </w:rPr>
        <w:t>notes</w:t>
      </w:r>
      <w:r w:rsidR="00FC2FB1" w:rsidRPr="00F72FB0">
        <w:rPr>
          <w:lang w:val="en-GB"/>
        </w:rPr>
        <w:t xml:space="preserve"> </w:t>
      </w:r>
      <w:r w:rsidR="007E535A" w:rsidRPr="00F72FB0">
        <w:rPr>
          <w:lang w:val="en-GB"/>
        </w:rPr>
        <w:t>that</w:t>
      </w:r>
      <w:r w:rsidR="00FC2FB1" w:rsidRPr="00F72FB0">
        <w:rPr>
          <w:lang w:val="en-GB"/>
        </w:rPr>
        <w:t xml:space="preserve"> </w:t>
      </w:r>
      <w:r w:rsidR="007E535A" w:rsidRPr="00F72FB0">
        <w:rPr>
          <w:lang w:val="en-GB"/>
        </w:rPr>
        <w:t>when</w:t>
      </w:r>
      <w:r w:rsidR="00FC2FB1" w:rsidRPr="00F72FB0">
        <w:rPr>
          <w:lang w:val="en-GB"/>
        </w:rPr>
        <w:t xml:space="preserve"> </w:t>
      </w:r>
      <w:r w:rsidR="007E535A" w:rsidRPr="00F72FB0">
        <w:rPr>
          <w:lang w:val="en-GB"/>
        </w:rPr>
        <w:t>EU</w:t>
      </w:r>
      <w:r w:rsidR="00FC2FB1" w:rsidRPr="00F72FB0">
        <w:rPr>
          <w:lang w:val="en-GB"/>
        </w:rPr>
        <w:t xml:space="preserve"> </w:t>
      </w:r>
      <w:r w:rsidR="007E535A" w:rsidRPr="00F72FB0">
        <w:rPr>
          <w:lang w:val="en-GB"/>
        </w:rPr>
        <w:t>and</w:t>
      </w:r>
      <w:r w:rsidR="00FC2FB1" w:rsidRPr="00F72FB0">
        <w:rPr>
          <w:lang w:val="en-GB"/>
        </w:rPr>
        <w:t xml:space="preserve"> </w:t>
      </w:r>
      <w:r w:rsidR="007E535A" w:rsidRPr="00F72FB0">
        <w:rPr>
          <w:lang w:val="en-GB"/>
        </w:rPr>
        <w:t>national</w:t>
      </w:r>
      <w:r w:rsidR="00FC2FB1" w:rsidRPr="00F72FB0">
        <w:rPr>
          <w:lang w:val="en-GB"/>
        </w:rPr>
        <w:t xml:space="preserve"> </w:t>
      </w:r>
      <w:r w:rsidR="007E535A" w:rsidRPr="00F72FB0">
        <w:rPr>
          <w:lang w:val="en-GB"/>
        </w:rPr>
        <w:t>environmental</w:t>
      </w:r>
      <w:r w:rsidR="00FC2FB1" w:rsidRPr="00F72FB0">
        <w:rPr>
          <w:lang w:val="en-GB"/>
        </w:rPr>
        <w:t xml:space="preserve"> </w:t>
      </w:r>
      <w:r w:rsidR="007E535A" w:rsidRPr="00F72FB0">
        <w:rPr>
          <w:lang w:val="en-GB"/>
        </w:rPr>
        <w:t>protection</w:t>
      </w:r>
      <w:r w:rsidR="00FC2FB1" w:rsidRPr="00F72FB0">
        <w:rPr>
          <w:lang w:val="en-GB"/>
        </w:rPr>
        <w:t xml:space="preserve"> </w:t>
      </w:r>
      <w:r w:rsidR="007E535A" w:rsidRPr="00F72FB0">
        <w:rPr>
          <w:lang w:val="en-GB"/>
        </w:rPr>
        <w:t>systems</w:t>
      </w:r>
      <w:r w:rsidR="00FC2FB1" w:rsidRPr="00F72FB0">
        <w:rPr>
          <w:lang w:val="en-GB"/>
        </w:rPr>
        <w:t xml:space="preserve"> </w:t>
      </w:r>
      <w:r w:rsidR="007E535A" w:rsidRPr="00F72FB0">
        <w:rPr>
          <w:lang w:val="en-GB"/>
        </w:rPr>
        <w:t>overlap,</w:t>
      </w:r>
      <w:r w:rsidR="00FC2FB1" w:rsidRPr="00F72FB0">
        <w:rPr>
          <w:lang w:val="en-GB"/>
        </w:rPr>
        <w:t xml:space="preserve"> </w:t>
      </w:r>
      <w:r w:rsidR="007E535A" w:rsidRPr="00F72FB0">
        <w:rPr>
          <w:lang w:val="en-GB"/>
        </w:rPr>
        <w:t>the</w:t>
      </w:r>
      <w:r w:rsidR="00FC2FB1" w:rsidRPr="00F72FB0">
        <w:rPr>
          <w:lang w:val="en-GB"/>
        </w:rPr>
        <w:t xml:space="preserve"> </w:t>
      </w:r>
      <w:r w:rsidR="007E535A" w:rsidRPr="00F72FB0">
        <w:rPr>
          <w:lang w:val="en-GB"/>
        </w:rPr>
        <w:t>domestic</w:t>
      </w:r>
      <w:r w:rsidR="00FC2FB1" w:rsidRPr="00F72FB0">
        <w:rPr>
          <w:lang w:val="en-GB"/>
        </w:rPr>
        <w:t xml:space="preserve"> </w:t>
      </w:r>
      <w:r w:rsidR="007E535A" w:rsidRPr="00F72FB0">
        <w:rPr>
          <w:lang w:val="en-GB"/>
        </w:rPr>
        <w:t>guidance</w:t>
      </w:r>
      <w:r w:rsidR="00FC2FB1" w:rsidRPr="00F72FB0">
        <w:rPr>
          <w:lang w:val="en-GB"/>
        </w:rPr>
        <w:t xml:space="preserve"> </w:t>
      </w:r>
      <w:r w:rsidR="007E535A" w:rsidRPr="00F72FB0">
        <w:rPr>
          <w:lang w:val="en-GB"/>
        </w:rPr>
        <w:t>might</w:t>
      </w:r>
      <w:r w:rsidR="00FC2FB1" w:rsidRPr="00F72FB0">
        <w:rPr>
          <w:lang w:val="en-GB"/>
        </w:rPr>
        <w:t xml:space="preserve"> </w:t>
      </w:r>
      <w:r w:rsidR="007E535A" w:rsidRPr="00F72FB0">
        <w:rPr>
          <w:lang w:val="en-GB"/>
        </w:rPr>
        <w:t>make</w:t>
      </w:r>
      <w:r w:rsidR="00FC2FB1" w:rsidRPr="00F72FB0">
        <w:rPr>
          <w:lang w:val="en-GB"/>
        </w:rPr>
        <w:t xml:space="preserve"> </w:t>
      </w:r>
      <w:r w:rsidR="007E535A" w:rsidRPr="00F72FB0">
        <w:rPr>
          <w:lang w:val="en-GB"/>
        </w:rPr>
        <w:t>brief</w:t>
      </w:r>
      <w:r w:rsidR="00FC2FB1" w:rsidRPr="00F72FB0">
        <w:rPr>
          <w:lang w:val="en-GB"/>
        </w:rPr>
        <w:t xml:space="preserve"> </w:t>
      </w:r>
      <w:r w:rsidR="007E535A" w:rsidRPr="00F72FB0">
        <w:rPr>
          <w:lang w:val="en-GB"/>
        </w:rPr>
        <w:t>references</w:t>
      </w:r>
      <w:r w:rsidR="00FC2FB1" w:rsidRPr="00F72FB0">
        <w:rPr>
          <w:lang w:val="en-GB"/>
        </w:rPr>
        <w:t xml:space="preserve"> </w:t>
      </w:r>
      <w:r w:rsidR="007E535A" w:rsidRPr="00F72FB0">
        <w:rPr>
          <w:lang w:val="en-GB"/>
        </w:rPr>
        <w:t>to</w:t>
      </w:r>
      <w:r w:rsidR="00FC2FB1" w:rsidRPr="00F72FB0">
        <w:rPr>
          <w:lang w:val="en-GB"/>
        </w:rPr>
        <w:t xml:space="preserve"> </w:t>
      </w:r>
      <w:r w:rsidR="007E535A" w:rsidRPr="00F72FB0">
        <w:rPr>
          <w:lang w:val="en-GB"/>
        </w:rPr>
        <w:t>EU</w:t>
      </w:r>
      <w:r w:rsidR="00FC2FB1" w:rsidRPr="00F72FB0">
        <w:rPr>
          <w:lang w:val="en-GB"/>
        </w:rPr>
        <w:t xml:space="preserve"> </w:t>
      </w:r>
      <w:r w:rsidR="007E535A" w:rsidRPr="00F72FB0">
        <w:rPr>
          <w:lang w:val="en-GB"/>
        </w:rPr>
        <w:t>guidance.</w:t>
      </w:r>
      <w:r w:rsidR="007E535A" w:rsidRPr="00F72FB0">
        <w:rPr>
          <w:rStyle w:val="Alaviitteenviite"/>
          <w:lang w:val="en-GB"/>
        </w:rPr>
        <w:footnoteReference w:id="22"/>
      </w:r>
      <w:r w:rsidR="00FC2FB1" w:rsidRPr="00F72FB0">
        <w:rPr>
          <w:lang w:val="en-GB"/>
        </w:rPr>
        <w:t xml:space="preserve"> </w:t>
      </w:r>
      <w:r w:rsidR="0013113A">
        <w:rPr>
          <w:lang w:val="en-GB"/>
        </w:rPr>
        <w:t>The key mechanism to</w:t>
      </w:r>
      <w:r w:rsidR="00885E6A" w:rsidRPr="00F72FB0">
        <w:rPr>
          <w:lang w:val="en-GB"/>
        </w:rPr>
        <w:t xml:space="preserve"> transpose EU </w:t>
      </w:r>
      <w:r w:rsidR="00765BAB" w:rsidRPr="00F72FB0">
        <w:rPr>
          <w:lang w:val="en-GB"/>
        </w:rPr>
        <w:t>environmental</w:t>
      </w:r>
      <w:r w:rsidR="00FC2FB1" w:rsidRPr="00F72FB0">
        <w:rPr>
          <w:lang w:val="en-GB"/>
        </w:rPr>
        <w:t xml:space="preserve"> </w:t>
      </w:r>
      <w:r w:rsidR="00765BAB" w:rsidRPr="00F72FB0">
        <w:rPr>
          <w:lang w:val="en-GB"/>
        </w:rPr>
        <w:t>soft</w:t>
      </w:r>
      <w:r w:rsidR="00FC2FB1" w:rsidRPr="00F72FB0">
        <w:rPr>
          <w:lang w:val="en-GB"/>
        </w:rPr>
        <w:t xml:space="preserve"> </w:t>
      </w:r>
      <w:r w:rsidR="00765BAB" w:rsidRPr="00F72FB0">
        <w:rPr>
          <w:lang w:val="en-GB"/>
        </w:rPr>
        <w:t>law</w:t>
      </w:r>
      <w:r w:rsidR="00FC2FB1" w:rsidRPr="00F72FB0">
        <w:rPr>
          <w:lang w:val="en-GB"/>
        </w:rPr>
        <w:t xml:space="preserve"> </w:t>
      </w:r>
      <w:r w:rsidR="00765BAB" w:rsidRPr="00F72FB0">
        <w:rPr>
          <w:lang w:val="en-GB"/>
        </w:rPr>
        <w:t>is</w:t>
      </w:r>
      <w:r w:rsidR="00FC2FB1" w:rsidRPr="00F72FB0">
        <w:rPr>
          <w:lang w:val="en-GB"/>
        </w:rPr>
        <w:t xml:space="preserve"> </w:t>
      </w:r>
      <w:r w:rsidR="00765BAB" w:rsidRPr="00F72FB0">
        <w:rPr>
          <w:lang w:val="en-GB"/>
        </w:rPr>
        <w:t>through</w:t>
      </w:r>
      <w:r w:rsidR="00FC2FB1" w:rsidRPr="00F72FB0">
        <w:rPr>
          <w:lang w:val="en-GB"/>
        </w:rPr>
        <w:t xml:space="preserve"> </w:t>
      </w:r>
      <w:r w:rsidR="00765BAB" w:rsidRPr="00F72FB0">
        <w:rPr>
          <w:lang w:val="en-GB"/>
        </w:rPr>
        <w:t>circulars,</w:t>
      </w:r>
      <w:r w:rsidR="00765BAB" w:rsidRPr="00F72FB0">
        <w:rPr>
          <w:rStyle w:val="Alaviitteenviite"/>
          <w:lang w:val="en-GB"/>
        </w:rPr>
        <w:footnoteReference w:id="23"/>
      </w:r>
      <w:r w:rsidR="00FC2FB1" w:rsidRPr="00F72FB0">
        <w:rPr>
          <w:lang w:val="en-GB"/>
        </w:rPr>
        <w:t xml:space="preserve"> </w:t>
      </w:r>
      <w:r w:rsidR="00765BAB" w:rsidRPr="00F72FB0">
        <w:rPr>
          <w:lang w:val="en-GB"/>
        </w:rPr>
        <w:t>which</w:t>
      </w:r>
      <w:r w:rsidR="00FC2FB1" w:rsidRPr="00F72FB0">
        <w:rPr>
          <w:lang w:val="en-GB"/>
        </w:rPr>
        <w:t xml:space="preserve"> </w:t>
      </w:r>
      <w:r w:rsidR="00765BAB" w:rsidRPr="00F72FB0">
        <w:rPr>
          <w:lang w:val="en-GB"/>
        </w:rPr>
        <w:t>should</w:t>
      </w:r>
      <w:r w:rsidR="00FC2FB1" w:rsidRPr="00F72FB0">
        <w:rPr>
          <w:lang w:val="en-GB"/>
        </w:rPr>
        <w:t xml:space="preserve"> </w:t>
      </w:r>
      <w:r w:rsidR="00765BAB" w:rsidRPr="00F72FB0">
        <w:rPr>
          <w:lang w:val="en-GB"/>
        </w:rPr>
        <w:t>be</w:t>
      </w:r>
      <w:r w:rsidR="00FC2FB1" w:rsidRPr="00F72FB0">
        <w:rPr>
          <w:lang w:val="en-GB"/>
        </w:rPr>
        <w:t xml:space="preserve"> </w:t>
      </w:r>
      <w:r w:rsidR="00765BAB" w:rsidRPr="00F72FB0">
        <w:rPr>
          <w:lang w:val="en-GB"/>
        </w:rPr>
        <w:t>considered</w:t>
      </w:r>
      <w:r w:rsidR="00FC2FB1" w:rsidRPr="00F72FB0">
        <w:rPr>
          <w:lang w:val="en-GB"/>
        </w:rPr>
        <w:t xml:space="preserve"> </w:t>
      </w:r>
      <w:r w:rsidR="00765BAB" w:rsidRPr="00F72FB0">
        <w:rPr>
          <w:lang w:val="en-GB"/>
        </w:rPr>
        <w:t>by</w:t>
      </w:r>
      <w:r w:rsidR="00FC2FB1" w:rsidRPr="00F72FB0">
        <w:rPr>
          <w:lang w:val="en-GB"/>
        </w:rPr>
        <w:t xml:space="preserve"> </w:t>
      </w:r>
      <w:r w:rsidR="00765BAB" w:rsidRPr="00F72FB0">
        <w:rPr>
          <w:lang w:val="en-GB"/>
        </w:rPr>
        <w:t>the</w:t>
      </w:r>
      <w:r w:rsidR="00FC2FB1" w:rsidRPr="00F72FB0">
        <w:rPr>
          <w:lang w:val="en-GB"/>
        </w:rPr>
        <w:t xml:space="preserve"> </w:t>
      </w:r>
      <w:r w:rsidR="00765BAB" w:rsidRPr="00F72FB0">
        <w:rPr>
          <w:lang w:val="en-GB"/>
        </w:rPr>
        <w:t>decision-makers,</w:t>
      </w:r>
      <w:r w:rsidR="00765BAB" w:rsidRPr="00F72FB0">
        <w:rPr>
          <w:rStyle w:val="Alaviitteenviite"/>
          <w:lang w:val="en-GB"/>
        </w:rPr>
        <w:footnoteReference w:id="24"/>
      </w:r>
      <w:r w:rsidR="00FC2FB1" w:rsidRPr="00F72FB0">
        <w:rPr>
          <w:lang w:val="en-GB"/>
        </w:rPr>
        <w:t xml:space="preserve"> </w:t>
      </w:r>
      <w:r w:rsidR="00765BAB" w:rsidRPr="00F72FB0">
        <w:rPr>
          <w:lang w:val="en-GB"/>
        </w:rPr>
        <w:t>but</w:t>
      </w:r>
      <w:r w:rsidR="00FC2FB1" w:rsidRPr="00F72FB0">
        <w:rPr>
          <w:lang w:val="en-GB"/>
        </w:rPr>
        <w:t xml:space="preserve"> </w:t>
      </w:r>
      <w:r w:rsidR="00765BAB" w:rsidRPr="00F72FB0">
        <w:rPr>
          <w:lang w:val="en-GB"/>
        </w:rPr>
        <w:t>the</w:t>
      </w:r>
      <w:r w:rsidR="00FC2FB1" w:rsidRPr="00F72FB0">
        <w:rPr>
          <w:lang w:val="en-GB"/>
        </w:rPr>
        <w:t xml:space="preserve"> </w:t>
      </w:r>
      <w:r w:rsidR="00765BAB" w:rsidRPr="00F72FB0">
        <w:rPr>
          <w:lang w:val="en-GB"/>
        </w:rPr>
        <w:t>reception</w:t>
      </w:r>
      <w:r w:rsidR="00FC2FB1" w:rsidRPr="00F72FB0">
        <w:rPr>
          <w:lang w:val="en-GB"/>
        </w:rPr>
        <w:t xml:space="preserve"> </w:t>
      </w:r>
      <w:r w:rsidR="00765BAB" w:rsidRPr="00F72FB0">
        <w:rPr>
          <w:lang w:val="en-GB"/>
        </w:rPr>
        <w:t>across</w:t>
      </w:r>
      <w:r w:rsidR="00FC2FB1" w:rsidRPr="00F72FB0">
        <w:rPr>
          <w:lang w:val="en-GB"/>
        </w:rPr>
        <w:t xml:space="preserve"> </w:t>
      </w:r>
      <w:r w:rsidR="00765BAB" w:rsidRPr="00F72FB0">
        <w:rPr>
          <w:lang w:val="en-GB"/>
        </w:rPr>
        <w:t>the</w:t>
      </w:r>
      <w:r w:rsidR="00FC2FB1" w:rsidRPr="00F72FB0">
        <w:rPr>
          <w:lang w:val="en-GB"/>
        </w:rPr>
        <w:t xml:space="preserve"> </w:t>
      </w:r>
      <w:r w:rsidR="00765BAB" w:rsidRPr="00F72FB0">
        <w:rPr>
          <w:lang w:val="en-GB"/>
        </w:rPr>
        <w:t>UK</w:t>
      </w:r>
      <w:r w:rsidR="00FC2FB1" w:rsidRPr="00F72FB0">
        <w:rPr>
          <w:lang w:val="en-GB"/>
        </w:rPr>
        <w:t xml:space="preserve"> </w:t>
      </w:r>
      <w:r w:rsidR="00765BAB" w:rsidRPr="00F72FB0">
        <w:rPr>
          <w:lang w:val="en-GB"/>
        </w:rPr>
        <w:t>varies.</w:t>
      </w:r>
      <w:r w:rsidR="00FC2FB1" w:rsidRPr="00F72FB0">
        <w:rPr>
          <w:lang w:val="en-GB"/>
        </w:rPr>
        <w:t xml:space="preserve"> </w:t>
      </w:r>
      <w:r w:rsidR="007E535A" w:rsidRPr="00F72FB0">
        <w:rPr>
          <w:lang w:val="en-GB"/>
        </w:rPr>
        <w:t>Similarly,</w:t>
      </w:r>
      <w:r w:rsidR="00FC2FB1" w:rsidRPr="00F72FB0">
        <w:rPr>
          <w:lang w:val="en-GB"/>
        </w:rPr>
        <w:t xml:space="preserve"> </w:t>
      </w:r>
      <w:r w:rsidR="007E535A" w:rsidRPr="00F72FB0">
        <w:rPr>
          <w:lang w:val="en-GB"/>
        </w:rPr>
        <w:t>national</w:t>
      </w:r>
      <w:r w:rsidR="00FC2FB1" w:rsidRPr="00F72FB0">
        <w:rPr>
          <w:lang w:val="en-GB"/>
        </w:rPr>
        <w:t xml:space="preserve"> </w:t>
      </w:r>
      <w:r w:rsidR="007E535A" w:rsidRPr="00F72FB0">
        <w:rPr>
          <w:lang w:val="en-GB"/>
        </w:rPr>
        <w:t>competition</w:t>
      </w:r>
      <w:r w:rsidR="00FC2FB1" w:rsidRPr="00F72FB0">
        <w:rPr>
          <w:lang w:val="en-GB"/>
        </w:rPr>
        <w:t xml:space="preserve"> </w:t>
      </w:r>
      <w:r w:rsidR="007E535A" w:rsidRPr="00F72FB0">
        <w:rPr>
          <w:lang w:val="en-GB"/>
        </w:rPr>
        <w:t>law</w:t>
      </w:r>
      <w:r w:rsidR="00FC2FB1" w:rsidRPr="00F72FB0">
        <w:rPr>
          <w:lang w:val="en-GB"/>
        </w:rPr>
        <w:t xml:space="preserve"> </w:t>
      </w:r>
      <w:r w:rsidR="007E535A" w:rsidRPr="00F72FB0">
        <w:rPr>
          <w:lang w:val="en-GB"/>
        </w:rPr>
        <w:t>guidance</w:t>
      </w:r>
      <w:r w:rsidR="00FC2FB1" w:rsidRPr="00F72FB0">
        <w:rPr>
          <w:lang w:val="en-GB"/>
        </w:rPr>
        <w:t xml:space="preserve"> </w:t>
      </w:r>
      <w:r w:rsidR="007E535A" w:rsidRPr="00F72FB0">
        <w:rPr>
          <w:lang w:val="en-GB"/>
        </w:rPr>
        <w:t>refers</w:t>
      </w:r>
      <w:r w:rsidR="00FC2FB1" w:rsidRPr="00F72FB0">
        <w:rPr>
          <w:lang w:val="en-GB"/>
        </w:rPr>
        <w:t xml:space="preserve"> </w:t>
      </w:r>
      <w:r w:rsidR="007E535A" w:rsidRPr="00F72FB0">
        <w:rPr>
          <w:lang w:val="en-GB"/>
        </w:rPr>
        <w:t>frequently</w:t>
      </w:r>
      <w:r w:rsidR="00FC2FB1" w:rsidRPr="00F72FB0">
        <w:rPr>
          <w:lang w:val="en-GB"/>
        </w:rPr>
        <w:t xml:space="preserve"> </w:t>
      </w:r>
      <w:r w:rsidR="007E535A" w:rsidRPr="00F72FB0">
        <w:rPr>
          <w:lang w:val="en-GB"/>
        </w:rPr>
        <w:t>to</w:t>
      </w:r>
      <w:r w:rsidR="00FC2FB1" w:rsidRPr="00F72FB0">
        <w:rPr>
          <w:lang w:val="en-GB"/>
        </w:rPr>
        <w:t xml:space="preserve"> </w:t>
      </w:r>
      <w:r w:rsidR="007E535A" w:rsidRPr="00F72FB0">
        <w:rPr>
          <w:lang w:val="en-GB"/>
        </w:rPr>
        <w:t>soft</w:t>
      </w:r>
      <w:r w:rsidR="00FC2FB1" w:rsidRPr="00F72FB0">
        <w:rPr>
          <w:lang w:val="en-GB"/>
        </w:rPr>
        <w:t xml:space="preserve"> </w:t>
      </w:r>
      <w:r w:rsidR="007E535A" w:rsidRPr="00F72FB0">
        <w:rPr>
          <w:lang w:val="en-GB"/>
        </w:rPr>
        <w:lastRenderedPageBreak/>
        <w:t>law.</w:t>
      </w:r>
      <w:r w:rsidR="00FC2FB1" w:rsidRPr="00F72FB0">
        <w:rPr>
          <w:lang w:val="en-GB"/>
        </w:rPr>
        <w:t xml:space="preserve"> </w:t>
      </w:r>
      <w:r w:rsidR="007E535A" w:rsidRPr="00F72FB0">
        <w:rPr>
          <w:lang w:val="en-GB"/>
        </w:rPr>
        <w:t>In</w:t>
      </w:r>
      <w:r w:rsidR="00FC2FB1" w:rsidRPr="00F72FB0">
        <w:rPr>
          <w:lang w:val="en-GB"/>
        </w:rPr>
        <w:t xml:space="preserve"> </w:t>
      </w:r>
      <w:r w:rsidR="007E535A" w:rsidRPr="00F72FB0">
        <w:rPr>
          <w:lang w:val="en-GB"/>
        </w:rPr>
        <w:t>State</w:t>
      </w:r>
      <w:r w:rsidR="00FC2FB1" w:rsidRPr="00F72FB0">
        <w:rPr>
          <w:lang w:val="en-GB"/>
        </w:rPr>
        <w:t xml:space="preserve"> </w:t>
      </w:r>
      <w:r w:rsidR="007E535A" w:rsidRPr="00F72FB0">
        <w:rPr>
          <w:lang w:val="en-GB"/>
        </w:rPr>
        <w:t>aid,</w:t>
      </w:r>
      <w:r w:rsidR="00FC2FB1" w:rsidRPr="00F72FB0">
        <w:rPr>
          <w:lang w:val="en-GB"/>
        </w:rPr>
        <w:t xml:space="preserve"> </w:t>
      </w:r>
      <w:r w:rsidR="007E535A" w:rsidRPr="00F72FB0">
        <w:rPr>
          <w:lang w:val="en-GB"/>
        </w:rPr>
        <w:t>the</w:t>
      </w:r>
      <w:r w:rsidR="00FC2FB1" w:rsidRPr="00F72FB0">
        <w:rPr>
          <w:lang w:val="en-GB"/>
        </w:rPr>
        <w:t xml:space="preserve"> </w:t>
      </w:r>
      <w:r w:rsidR="007E535A" w:rsidRPr="00F72FB0">
        <w:rPr>
          <w:lang w:val="en-GB"/>
        </w:rPr>
        <w:t>Manual</w:t>
      </w:r>
      <w:r w:rsidR="00FC2FB1" w:rsidRPr="00F72FB0">
        <w:rPr>
          <w:lang w:val="en-GB"/>
        </w:rPr>
        <w:t xml:space="preserve"> </w:t>
      </w:r>
      <w:r w:rsidR="007E535A" w:rsidRPr="00F72FB0">
        <w:rPr>
          <w:lang w:val="en-GB"/>
        </w:rPr>
        <w:t>published</w:t>
      </w:r>
      <w:r w:rsidR="00FC2FB1" w:rsidRPr="00F72FB0">
        <w:rPr>
          <w:lang w:val="en-GB"/>
        </w:rPr>
        <w:t xml:space="preserve"> </w:t>
      </w:r>
      <w:r w:rsidR="007E535A" w:rsidRPr="00F72FB0">
        <w:rPr>
          <w:lang w:val="en-GB"/>
        </w:rPr>
        <w:t>by</w:t>
      </w:r>
      <w:r w:rsidR="00FC2FB1" w:rsidRPr="00F72FB0">
        <w:rPr>
          <w:lang w:val="en-GB"/>
        </w:rPr>
        <w:t xml:space="preserve"> </w:t>
      </w:r>
      <w:r w:rsidR="005B0084" w:rsidRPr="00F72FB0">
        <w:rPr>
          <w:lang w:val="en-GB"/>
        </w:rPr>
        <w:t>the</w:t>
      </w:r>
      <w:r w:rsidR="00FC2FB1" w:rsidRPr="00F72FB0">
        <w:rPr>
          <w:lang w:val="en-GB"/>
        </w:rPr>
        <w:t xml:space="preserve"> </w:t>
      </w:r>
      <w:r w:rsidR="005B0084" w:rsidRPr="00F72FB0">
        <w:rPr>
          <w:lang w:val="en-GB"/>
        </w:rPr>
        <w:t>Department</w:t>
      </w:r>
      <w:r w:rsidR="00FC2FB1" w:rsidRPr="00F72FB0">
        <w:rPr>
          <w:lang w:val="en-GB"/>
        </w:rPr>
        <w:t xml:space="preserve"> </w:t>
      </w:r>
      <w:r w:rsidR="005B0084" w:rsidRPr="00F72FB0">
        <w:rPr>
          <w:lang w:val="en-GB"/>
        </w:rPr>
        <w:t>for</w:t>
      </w:r>
      <w:r w:rsidR="00FC2FB1" w:rsidRPr="00F72FB0">
        <w:rPr>
          <w:lang w:val="en-GB"/>
        </w:rPr>
        <w:t xml:space="preserve"> </w:t>
      </w:r>
      <w:r w:rsidR="005B0084" w:rsidRPr="00F72FB0">
        <w:rPr>
          <w:lang w:val="en-GB"/>
        </w:rPr>
        <w:t>Business,</w:t>
      </w:r>
      <w:r w:rsidR="00FC2FB1" w:rsidRPr="00F72FB0">
        <w:rPr>
          <w:lang w:val="en-GB"/>
        </w:rPr>
        <w:t xml:space="preserve"> </w:t>
      </w:r>
      <w:r w:rsidR="005B0084" w:rsidRPr="00F72FB0">
        <w:rPr>
          <w:lang w:val="en-GB"/>
        </w:rPr>
        <w:t>Energy,</w:t>
      </w:r>
      <w:r w:rsidR="00FC2FB1" w:rsidRPr="00F72FB0">
        <w:rPr>
          <w:lang w:val="en-GB"/>
        </w:rPr>
        <w:t xml:space="preserve"> </w:t>
      </w:r>
      <w:r w:rsidR="005B0084" w:rsidRPr="00F72FB0">
        <w:rPr>
          <w:lang w:val="en-GB"/>
        </w:rPr>
        <w:t>and</w:t>
      </w:r>
      <w:r w:rsidR="00FC2FB1" w:rsidRPr="00F72FB0">
        <w:rPr>
          <w:lang w:val="en-GB"/>
        </w:rPr>
        <w:t xml:space="preserve"> </w:t>
      </w:r>
      <w:r w:rsidR="005B0084" w:rsidRPr="00F72FB0">
        <w:rPr>
          <w:lang w:val="en-GB"/>
        </w:rPr>
        <w:t>Industrial</w:t>
      </w:r>
      <w:r w:rsidR="00FC2FB1" w:rsidRPr="00F72FB0">
        <w:rPr>
          <w:lang w:val="en-GB"/>
        </w:rPr>
        <w:t xml:space="preserve"> </w:t>
      </w:r>
      <w:r w:rsidR="005B0084" w:rsidRPr="00F72FB0">
        <w:rPr>
          <w:lang w:val="en-GB"/>
        </w:rPr>
        <w:t>Strategy</w:t>
      </w:r>
      <w:r w:rsidR="00FC2FB1" w:rsidRPr="00F72FB0">
        <w:rPr>
          <w:lang w:val="en-GB"/>
        </w:rPr>
        <w:t xml:space="preserve"> </w:t>
      </w:r>
      <w:r w:rsidR="005B0084" w:rsidRPr="00F72FB0">
        <w:rPr>
          <w:lang w:val="en-GB"/>
        </w:rPr>
        <w:t>(</w:t>
      </w:r>
      <w:r w:rsidR="007E535A" w:rsidRPr="00F72FB0">
        <w:rPr>
          <w:lang w:val="en-GB"/>
        </w:rPr>
        <w:t>BEIS</w:t>
      </w:r>
      <w:r w:rsidR="005B0084" w:rsidRPr="00F72FB0">
        <w:rPr>
          <w:lang w:val="en-GB"/>
        </w:rPr>
        <w:t>)</w:t>
      </w:r>
      <w:r w:rsidR="007E535A" w:rsidRPr="00F72FB0">
        <w:rPr>
          <w:rStyle w:val="Alaviitteenviite"/>
          <w:lang w:val="en-GB"/>
        </w:rPr>
        <w:footnoteReference w:id="25"/>
      </w:r>
      <w:r w:rsidR="00FC2FB1" w:rsidRPr="00F72FB0">
        <w:rPr>
          <w:lang w:val="en-GB"/>
        </w:rPr>
        <w:t xml:space="preserve"> </w:t>
      </w:r>
      <w:r w:rsidR="007E535A" w:rsidRPr="00F72FB0">
        <w:rPr>
          <w:lang w:val="en-GB"/>
        </w:rPr>
        <w:t>includes</w:t>
      </w:r>
      <w:r w:rsidR="00FC2FB1" w:rsidRPr="00F72FB0">
        <w:rPr>
          <w:lang w:val="en-GB"/>
        </w:rPr>
        <w:t xml:space="preserve"> </w:t>
      </w:r>
      <w:r w:rsidR="007E535A" w:rsidRPr="00F72FB0">
        <w:rPr>
          <w:lang w:val="en-GB"/>
        </w:rPr>
        <w:t>reference</w:t>
      </w:r>
      <w:r w:rsidR="00FC2FB1" w:rsidRPr="00F72FB0">
        <w:rPr>
          <w:lang w:val="en-GB"/>
        </w:rPr>
        <w:t xml:space="preserve"> </w:t>
      </w:r>
      <w:r w:rsidR="007E535A" w:rsidRPr="00F72FB0">
        <w:rPr>
          <w:lang w:val="en-GB"/>
        </w:rPr>
        <w:t>to</w:t>
      </w:r>
      <w:r w:rsidR="00FC2FB1" w:rsidRPr="00F72FB0">
        <w:rPr>
          <w:lang w:val="en-GB"/>
        </w:rPr>
        <w:t xml:space="preserve"> </w:t>
      </w:r>
      <w:r w:rsidR="007E535A" w:rsidRPr="00F72FB0">
        <w:rPr>
          <w:lang w:val="en-GB"/>
        </w:rPr>
        <w:t>both</w:t>
      </w:r>
      <w:r w:rsidR="00FC2FB1" w:rsidRPr="00F72FB0">
        <w:rPr>
          <w:lang w:val="en-GB"/>
        </w:rPr>
        <w:t xml:space="preserve"> </w:t>
      </w:r>
      <w:r w:rsidR="007E535A" w:rsidRPr="00F72FB0">
        <w:rPr>
          <w:lang w:val="en-GB"/>
        </w:rPr>
        <w:t>hard</w:t>
      </w:r>
      <w:r w:rsidR="00FC2FB1" w:rsidRPr="00F72FB0">
        <w:rPr>
          <w:lang w:val="en-GB"/>
        </w:rPr>
        <w:t xml:space="preserve"> </w:t>
      </w:r>
      <w:r w:rsidR="007E535A" w:rsidRPr="00F72FB0">
        <w:rPr>
          <w:lang w:val="en-GB"/>
        </w:rPr>
        <w:t>and</w:t>
      </w:r>
      <w:r w:rsidR="00FC2FB1" w:rsidRPr="00F72FB0">
        <w:rPr>
          <w:lang w:val="en-GB"/>
        </w:rPr>
        <w:t xml:space="preserve"> </w:t>
      </w:r>
      <w:r w:rsidR="007E535A" w:rsidRPr="00F72FB0">
        <w:rPr>
          <w:lang w:val="en-GB"/>
        </w:rPr>
        <w:t>soft</w:t>
      </w:r>
      <w:r w:rsidR="00FC2FB1" w:rsidRPr="00F72FB0">
        <w:rPr>
          <w:lang w:val="en-GB"/>
        </w:rPr>
        <w:t xml:space="preserve"> </w:t>
      </w:r>
      <w:r w:rsidR="007E535A" w:rsidRPr="00F72FB0">
        <w:rPr>
          <w:lang w:val="en-GB"/>
        </w:rPr>
        <w:t>law.</w:t>
      </w:r>
      <w:r w:rsidR="00FC2FB1" w:rsidRPr="00F72FB0">
        <w:rPr>
          <w:lang w:val="en-GB"/>
        </w:rPr>
        <w:t xml:space="preserve"> </w:t>
      </w:r>
      <w:r w:rsidRPr="00F72FB0">
        <w:rPr>
          <w:lang w:val="en-GB"/>
        </w:rPr>
        <w:t>A</w:t>
      </w:r>
      <w:r w:rsidR="00FC2FB1" w:rsidRPr="00F72FB0">
        <w:rPr>
          <w:lang w:val="en-GB"/>
        </w:rPr>
        <w:t xml:space="preserve"> </w:t>
      </w:r>
      <w:r w:rsidR="007E535A" w:rsidRPr="00F72FB0">
        <w:rPr>
          <w:lang w:val="en-GB"/>
        </w:rPr>
        <w:t>civil</w:t>
      </w:r>
      <w:r w:rsidR="00FC2FB1" w:rsidRPr="00F72FB0">
        <w:rPr>
          <w:lang w:val="en-GB"/>
        </w:rPr>
        <w:t xml:space="preserve"> </w:t>
      </w:r>
      <w:r w:rsidR="007E535A" w:rsidRPr="00F72FB0">
        <w:rPr>
          <w:lang w:val="en-GB"/>
        </w:rPr>
        <w:t>servant</w:t>
      </w:r>
      <w:r w:rsidR="00FC2FB1" w:rsidRPr="00F72FB0">
        <w:rPr>
          <w:lang w:val="en-GB"/>
        </w:rPr>
        <w:t xml:space="preserve"> </w:t>
      </w:r>
      <w:r w:rsidR="00886640" w:rsidRPr="00F72FB0">
        <w:rPr>
          <w:lang w:val="en-GB"/>
        </w:rPr>
        <w:t>stated</w:t>
      </w:r>
      <w:r w:rsidR="00FC2FB1" w:rsidRPr="00F72FB0">
        <w:rPr>
          <w:lang w:val="en-GB"/>
        </w:rPr>
        <w:t xml:space="preserve"> </w:t>
      </w:r>
      <w:r w:rsidR="00886640" w:rsidRPr="00F72FB0">
        <w:rPr>
          <w:lang w:val="en-GB"/>
        </w:rPr>
        <w:t>in</w:t>
      </w:r>
      <w:r w:rsidR="00FC2FB1" w:rsidRPr="00F72FB0">
        <w:rPr>
          <w:lang w:val="en-GB"/>
        </w:rPr>
        <w:t xml:space="preserve"> </w:t>
      </w:r>
      <w:r w:rsidR="00886640" w:rsidRPr="00F72FB0">
        <w:rPr>
          <w:lang w:val="en-GB"/>
        </w:rPr>
        <w:t>an</w:t>
      </w:r>
      <w:r w:rsidR="00FC2FB1" w:rsidRPr="00F72FB0">
        <w:rPr>
          <w:lang w:val="en-GB"/>
        </w:rPr>
        <w:t xml:space="preserve"> </w:t>
      </w:r>
      <w:r w:rsidRPr="00F72FB0">
        <w:rPr>
          <w:lang w:val="en-GB"/>
        </w:rPr>
        <w:t>interview</w:t>
      </w:r>
      <w:r w:rsidR="00FC2FB1" w:rsidRPr="00F72FB0">
        <w:rPr>
          <w:lang w:val="en-GB"/>
        </w:rPr>
        <w:t xml:space="preserve"> </w:t>
      </w:r>
      <w:r w:rsidR="007E535A" w:rsidRPr="00F72FB0">
        <w:rPr>
          <w:lang w:val="en-GB"/>
        </w:rPr>
        <w:t>that</w:t>
      </w:r>
      <w:r w:rsidR="00FC2FB1" w:rsidRPr="00F72FB0">
        <w:rPr>
          <w:lang w:val="en-GB"/>
        </w:rPr>
        <w:t xml:space="preserve"> </w:t>
      </w:r>
      <w:r w:rsidR="007E535A" w:rsidRPr="00F72FB0">
        <w:rPr>
          <w:lang w:val="en-GB"/>
        </w:rPr>
        <w:t>the</w:t>
      </w:r>
      <w:r w:rsidR="00FC2FB1" w:rsidRPr="00F72FB0">
        <w:rPr>
          <w:lang w:val="en-GB"/>
        </w:rPr>
        <w:t xml:space="preserve"> </w:t>
      </w:r>
      <w:r w:rsidR="007E535A" w:rsidRPr="00F72FB0">
        <w:rPr>
          <w:lang w:val="en-GB"/>
        </w:rPr>
        <w:t>Manual</w:t>
      </w:r>
      <w:r w:rsidR="00FC2FB1" w:rsidRPr="00F72FB0">
        <w:rPr>
          <w:lang w:val="en-GB"/>
        </w:rPr>
        <w:t xml:space="preserve"> </w:t>
      </w:r>
      <w:r w:rsidR="00334581">
        <w:t>is a translation of formal EU documentation into a more practical guide to the rules</w:t>
      </w:r>
      <w:r w:rsidR="007E535A" w:rsidRPr="00F72FB0">
        <w:rPr>
          <w:lang w:val="en-GB"/>
        </w:rPr>
        <w:t>.</w:t>
      </w:r>
      <w:r w:rsidR="00FC2FB1" w:rsidRPr="00F72FB0">
        <w:rPr>
          <w:lang w:val="en-GB"/>
        </w:rPr>
        <w:t xml:space="preserve"> </w:t>
      </w:r>
      <w:r w:rsidR="007E535A" w:rsidRPr="00F72FB0">
        <w:rPr>
          <w:lang w:val="en-GB"/>
        </w:rPr>
        <w:t>This</w:t>
      </w:r>
      <w:r w:rsidR="00FC2FB1" w:rsidRPr="00F72FB0">
        <w:rPr>
          <w:lang w:val="en-GB"/>
        </w:rPr>
        <w:t xml:space="preserve"> </w:t>
      </w:r>
      <w:r w:rsidR="007E535A" w:rsidRPr="00F72FB0">
        <w:rPr>
          <w:lang w:val="en-GB"/>
        </w:rPr>
        <w:t>is</w:t>
      </w:r>
      <w:r w:rsidR="00FC2FB1" w:rsidRPr="00F72FB0">
        <w:rPr>
          <w:lang w:val="en-GB"/>
        </w:rPr>
        <w:t xml:space="preserve"> </w:t>
      </w:r>
      <w:r w:rsidR="007E535A" w:rsidRPr="00F72FB0">
        <w:rPr>
          <w:lang w:val="en-GB"/>
        </w:rPr>
        <w:t>because</w:t>
      </w:r>
      <w:r w:rsidR="00FC2FB1" w:rsidRPr="00F72FB0">
        <w:rPr>
          <w:lang w:val="en-GB"/>
        </w:rPr>
        <w:t xml:space="preserve"> </w:t>
      </w:r>
      <w:r w:rsidR="007E535A" w:rsidRPr="00F72FB0">
        <w:rPr>
          <w:lang w:val="en-GB"/>
        </w:rPr>
        <w:t>EU</w:t>
      </w:r>
      <w:r w:rsidR="00FC2FB1" w:rsidRPr="00F72FB0">
        <w:rPr>
          <w:lang w:val="en-GB"/>
        </w:rPr>
        <w:t xml:space="preserve"> </w:t>
      </w:r>
      <w:r w:rsidR="007E535A" w:rsidRPr="00F72FB0">
        <w:rPr>
          <w:lang w:val="en-GB"/>
        </w:rPr>
        <w:t>guidance</w:t>
      </w:r>
      <w:r w:rsidR="00FC2FB1" w:rsidRPr="00F72FB0">
        <w:rPr>
          <w:lang w:val="en-GB"/>
        </w:rPr>
        <w:t xml:space="preserve"> </w:t>
      </w:r>
      <w:r w:rsidR="007E535A" w:rsidRPr="00F72FB0">
        <w:rPr>
          <w:lang w:val="en-GB"/>
        </w:rPr>
        <w:t>is</w:t>
      </w:r>
      <w:r w:rsidR="00FC2FB1" w:rsidRPr="00F72FB0">
        <w:rPr>
          <w:lang w:val="en-GB"/>
        </w:rPr>
        <w:t xml:space="preserve"> </w:t>
      </w:r>
      <w:r w:rsidR="007E535A" w:rsidRPr="00F72FB0">
        <w:rPr>
          <w:lang w:val="en-GB"/>
        </w:rPr>
        <w:t>written</w:t>
      </w:r>
      <w:r w:rsidR="00FC2FB1" w:rsidRPr="00F72FB0">
        <w:rPr>
          <w:lang w:val="en-GB"/>
        </w:rPr>
        <w:t xml:space="preserve"> </w:t>
      </w:r>
      <w:r w:rsidR="007E535A" w:rsidRPr="00F72FB0">
        <w:rPr>
          <w:lang w:val="en-GB"/>
        </w:rPr>
        <w:t>in</w:t>
      </w:r>
      <w:r w:rsidR="00FC2FB1" w:rsidRPr="00F72FB0">
        <w:rPr>
          <w:lang w:val="en-GB"/>
        </w:rPr>
        <w:t xml:space="preserve"> </w:t>
      </w:r>
      <w:r w:rsidR="007E535A" w:rsidRPr="00F72FB0">
        <w:rPr>
          <w:lang w:val="en-GB"/>
        </w:rPr>
        <w:t>a</w:t>
      </w:r>
      <w:r w:rsidR="00FC2FB1" w:rsidRPr="00F72FB0">
        <w:rPr>
          <w:lang w:val="en-GB"/>
        </w:rPr>
        <w:t xml:space="preserve"> </w:t>
      </w:r>
      <w:r w:rsidR="007E535A" w:rsidRPr="00F72FB0">
        <w:rPr>
          <w:lang w:val="en-GB"/>
        </w:rPr>
        <w:t>very</w:t>
      </w:r>
      <w:r w:rsidR="00FC2FB1" w:rsidRPr="00F72FB0">
        <w:rPr>
          <w:lang w:val="en-GB"/>
        </w:rPr>
        <w:t xml:space="preserve"> </w:t>
      </w:r>
      <w:r w:rsidR="007E535A" w:rsidRPr="00F72FB0">
        <w:rPr>
          <w:lang w:val="en-GB"/>
        </w:rPr>
        <w:t>continental,</w:t>
      </w:r>
      <w:r w:rsidR="00FC2FB1" w:rsidRPr="00F72FB0">
        <w:rPr>
          <w:lang w:val="en-GB"/>
        </w:rPr>
        <w:t xml:space="preserve"> </w:t>
      </w:r>
      <w:r w:rsidR="007E535A" w:rsidRPr="00F72FB0">
        <w:rPr>
          <w:lang w:val="en-GB"/>
        </w:rPr>
        <w:t>civil</w:t>
      </w:r>
      <w:r w:rsidR="00FC2FB1" w:rsidRPr="00F72FB0">
        <w:rPr>
          <w:lang w:val="en-GB"/>
        </w:rPr>
        <w:t xml:space="preserve"> </w:t>
      </w:r>
      <w:r w:rsidR="007E535A" w:rsidRPr="00F72FB0">
        <w:rPr>
          <w:lang w:val="en-GB"/>
        </w:rPr>
        <w:t>law</w:t>
      </w:r>
      <w:r w:rsidR="00FC2FB1" w:rsidRPr="00F72FB0">
        <w:rPr>
          <w:lang w:val="en-GB"/>
        </w:rPr>
        <w:t xml:space="preserve"> </w:t>
      </w:r>
      <w:r w:rsidR="00F7130A" w:rsidRPr="00F72FB0">
        <w:rPr>
          <w:lang w:val="en-GB"/>
        </w:rPr>
        <w:t>fashion</w:t>
      </w:r>
      <w:r w:rsidR="007E535A" w:rsidRPr="00F72FB0">
        <w:rPr>
          <w:lang w:val="en-GB"/>
        </w:rPr>
        <w:t>,</w:t>
      </w:r>
      <w:r w:rsidR="00FC2FB1" w:rsidRPr="00F72FB0">
        <w:rPr>
          <w:lang w:val="en-GB"/>
        </w:rPr>
        <w:t xml:space="preserve"> </w:t>
      </w:r>
      <w:r w:rsidR="007E535A" w:rsidRPr="00F72FB0">
        <w:rPr>
          <w:lang w:val="en-GB"/>
        </w:rPr>
        <w:t>which</w:t>
      </w:r>
      <w:r w:rsidR="00FC2FB1" w:rsidRPr="00F72FB0">
        <w:rPr>
          <w:lang w:val="en-GB"/>
        </w:rPr>
        <w:t xml:space="preserve"> </w:t>
      </w:r>
      <w:r w:rsidR="007E535A" w:rsidRPr="00F72FB0">
        <w:rPr>
          <w:lang w:val="en-GB"/>
        </w:rPr>
        <w:t>does</w:t>
      </w:r>
      <w:r w:rsidR="00FC2FB1" w:rsidRPr="00F72FB0">
        <w:rPr>
          <w:lang w:val="en-GB"/>
        </w:rPr>
        <w:t xml:space="preserve"> </w:t>
      </w:r>
      <w:r w:rsidR="007E535A" w:rsidRPr="00F72FB0">
        <w:rPr>
          <w:lang w:val="en-GB"/>
        </w:rPr>
        <w:t>not</w:t>
      </w:r>
      <w:r w:rsidR="00FC2FB1" w:rsidRPr="00F72FB0">
        <w:rPr>
          <w:lang w:val="en-GB"/>
        </w:rPr>
        <w:t xml:space="preserve"> </w:t>
      </w:r>
      <w:r w:rsidR="007E535A" w:rsidRPr="00F72FB0">
        <w:rPr>
          <w:lang w:val="en-GB"/>
        </w:rPr>
        <w:t>always</w:t>
      </w:r>
      <w:r w:rsidR="00FC2FB1" w:rsidRPr="00F72FB0">
        <w:rPr>
          <w:lang w:val="en-GB"/>
        </w:rPr>
        <w:t xml:space="preserve"> </w:t>
      </w:r>
      <w:r w:rsidR="007E535A" w:rsidRPr="00F72FB0">
        <w:rPr>
          <w:lang w:val="en-GB"/>
        </w:rPr>
        <w:t>translate</w:t>
      </w:r>
      <w:r w:rsidR="00FC2FB1" w:rsidRPr="00F72FB0">
        <w:rPr>
          <w:lang w:val="en-GB"/>
        </w:rPr>
        <w:t xml:space="preserve"> </w:t>
      </w:r>
      <w:r w:rsidR="007E535A" w:rsidRPr="00F72FB0">
        <w:rPr>
          <w:lang w:val="en-GB"/>
        </w:rPr>
        <w:t>in</w:t>
      </w:r>
      <w:r w:rsidR="00FC2FB1" w:rsidRPr="00F72FB0">
        <w:rPr>
          <w:lang w:val="en-GB"/>
        </w:rPr>
        <w:t xml:space="preserve"> </w:t>
      </w:r>
      <w:r w:rsidR="007E535A" w:rsidRPr="00F72FB0">
        <w:rPr>
          <w:lang w:val="en-GB"/>
        </w:rPr>
        <w:t>common</w:t>
      </w:r>
      <w:r w:rsidR="00FC2FB1" w:rsidRPr="00F72FB0">
        <w:rPr>
          <w:lang w:val="en-GB"/>
        </w:rPr>
        <w:t xml:space="preserve"> </w:t>
      </w:r>
      <w:r w:rsidR="007E535A" w:rsidRPr="00F72FB0">
        <w:rPr>
          <w:lang w:val="en-GB"/>
        </w:rPr>
        <w:t>law</w:t>
      </w:r>
      <w:r w:rsidR="00FC2FB1" w:rsidRPr="00F72FB0">
        <w:rPr>
          <w:lang w:val="en-GB"/>
        </w:rPr>
        <w:t xml:space="preserve"> </w:t>
      </w:r>
      <w:r w:rsidR="007E535A" w:rsidRPr="00F72FB0">
        <w:rPr>
          <w:lang w:val="en-GB"/>
        </w:rPr>
        <w:t>terms.</w:t>
      </w:r>
      <w:bookmarkStart w:id="1" w:name="_Ref37865847"/>
      <w:r w:rsidR="00AA24DF">
        <w:rPr>
          <w:rStyle w:val="Alaviitteenviite"/>
          <w:lang w:val="en-GB"/>
        </w:rPr>
        <w:footnoteReference w:id="26"/>
      </w:r>
      <w:bookmarkEnd w:id="1"/>
      <w:r w:rsidR="00FC2FB1" w:rsidRPr="00F72FB0">
        <w:rPr>
          <w:lang w:val="en-GB"/>
        </w:rPr>
        <w:t xml:space="preserve"> </w:t>
      </w:r>
      <w:r w:rsidR="008132DE" w:rsidRPr="00F72FB0">
        <w:rPr>
          <w:lang w:val="en-GB"/>
        </w:rPr>
        <w:t>In</w:t>
      </w:r>
      <w:r w:rsidR="00FC2FB1" w:rsidRPr="00F72FB0">
        <w:rPr>
          <w:lang w:val="en-GB"/>
        </w:rPr>
        <w:t xml:space="preserve"> </w:t>
      </w:r>
      <w:r w:rsidR="008132DE" w:rsidRPr="00F72FB0">
        <w:rPr>
          <w:lang w:val="en-GB"/>
        </w:rPr>
        <w:t>financial</w:t>
      </w:r>
      <w:r w:rsidR="00FC2FB1" w:rsidRPr="00F72FB0">
        <w:rPr>
          <w:lang w:val="en-GB"/>
        </w:rPr>
        <w:t xml:space="preserve"> </w:t>
      </w:r>
      <w:r w:rsidR="008132DE" w:rsidRPr="00F72FB0">
        <w:rPr>
          <w:lang w:val="en-GB"/>
        </w:rPr>
        <w:t>regulation,</w:t>
      </w:r>
      <w:r w:rsidR="00FC2FB1" w:rsidRPr="00F72FB0">
        <w:rPr>
          <w:lang w:val="en-GB"/>
        </w:rPr>
        <w:t xml:space="preserve"> </w:t>
      </w:r>
      <w:r w:rsidR="008132DE" w:rsidRPr="00F72FB0">
        <w:rPr>
          <w:lang w:val="en-GB"/>
        </w:rPr>
        <w:t>EU</w:t>
      </w:r>
      <w:r w:rsidR="00FC2FB1" w:rsidRPr="00F72FB0">
        <w:rPr>
          <w:lang w:val="en-GB"/>
        </w:rPr>
        <w:t xml:space="preserve"> </w:t>
      </w:r>
      <w:r w:rsidR="008132DE" w:rsidRPr="00F72FB0">
        <w:rPr>
          <w:lang w:val="en-GB"/>
        </w:rPr>
        <w:t>guidance</w:t>
      </w:r>
      <w:r w:rsidR="00FC2FB1" w:rsidRPr="00F72FB0">
        <w:rPr>
          <w:lang w:val="en-GB"/>
        </w:rPr>
        <w:t xml:space="preserve"> </w:t>
      </w:r>
      <w:r w:rsidR="008132DE" w:rsidRPr="00F72FB0">
        <w:rPr>
          <w:lang w:val="en-GB"/>
        </w:rPr>
        <w:t>is</w:t>
      </w:r>
      <w:r w:rsidR="00FC2FB1" w:rsidRPr="00F72FB0">
        <w:rPr>
          <w:lang w:val="en-GB"/>
        </w:rPr>
        <w:t xml:space="preserve"> </w:t>
      </w:r>
      <w:r w:rsidR="008132DE" w:rsidRPr="00F72FB0">
        <w:rPr>
          <w:lang w:val="en-GB"/>
        </w:rPr>
        <w:t>mostly</w:t>
      </w:r>
      <w:r w:rsidR="00FC2FB1" w:rsidRPr="00F72FB0">
        <w:rPr>
          <w:lang w:val="en-GB"/>
        </w:rPr>
        <w:t xml:space="preserve"> </w:t>
      </w:r>
      <w:r w:rsidR="008132DE" w:rsidRPr="00F72FB0">
        <w:rPr>
          <w:lang w:val="en-GB"/>
        </w:rPr>
        <w:t>included</w:t>
      </w:r>
      <w:r w:rsidR="00FC2FB1" w:rsidRPr="00F72FB0">
        <w:rPr>
          <w:lang w:val="en-GB"/>
        </w:rPr>
        <w:t xml:space="preserve"> </w:t>
      </w:r>
      <w:r w:rsidR="008132DE" w:rsidRPr="00F72FB0">
        <w:rPr>
          <w:lang w:val="en-GB"/>
        </w:rPr>
        <w:t>in</w:t>
      </w:r>
      <w:r w:rsidR="00FC2FB1" w:rsidRPr="00F72FB0">
        <w:rPr>
          <w:lang w:val="en-GB"/>
        </w:rPr>
        <w:t xml:space="preserve"> </w:t>
      </w:r>
      <w:r w:rsidR="008132DE" w:rsidRPr="00F72FB0">
        <w:rPr>
          <w:lang w:val="en-GB"/>
        </w:rPr>
        <w:t>the</w:t>
      </w:r>
      <w:r w:rsidR="00FC2FB1" w:rsidRPr="00F72FB0">
        <w:rPr>
          <w:lang w:val="en-GB"/>
        </w:rPr>
        <w:t xml:space="preserve"> </w:t>
      </w:r>
      <w:r w:rsidR="008132DE" w:rsidRPr="00F72FB0">
        <w:rPr>
          <w:lang w:val="en-GB"/>
        </w:rPr>
        <w:t>interactive</w:t>
      </w:r>
      <w:r w:rsidR="00FC2FB1" w:rsidRPr="00F72FB0">
        <w:rPr>
          <w:lang w:val="en-GB"/>
        </w:rPr>
        <w:t xml:space="preserve"> </w:t>
      </w:r>
      <w:r w:rsidR="008132DE" w:rsidRPr="00F72FB0">
        <w:rPr>
          <w:lang w:val="en-GB"/>
        </w:rPr>
        <w:t>handbook</w:t>
      </w:r>
      <w:r w:rsidR="008132DE" w:rsidRPr="00F72FB0">
        <w:rPr>
          <w:rStyle w:val="Alaviitteenviite"/>
          <w:lang w:val="en-GB"/>
        </w:rPr>
        <w:footnoteReference w:id="27"/>
      </w:r>
      <w:r w:rsidR="00FC2FB1" w:rsidRPr="00F72FB0">
        <w:rPr>
          <w:lang w:val="en-GB"/>
        </w:rPr>
        <w:t xml:space="preserve"> </w:t>
      </w:r>
      <w:r w:rsidR="008132DE" w:rsidRPr="00F72FB0">
        <w:rPr>
          <w:lang w:val="en-GB"/>
        </w:rPr>
        <w:t>of</w:t>
      </w:r>
      <w:r w:rsidR="00FC2FB1" w:rsidRPr="00F72FB0">
        <w:rPr>
          <w:lang w:val="en-GB"/>
        </w:rPr>
        <w:t xml:space="preserve"> </w:t>
      </w:r>
      <w:r w:rsidR="008132DE" w:rsidRPr="00F72FB0">
        <w:rPr>
          <w:lang w:val="en-GB"/>
        </w:rPr>
        <w:t>the</w:t>
      </w:r>
      <w:r w:rsidR="00FC2FB1" w:rsidRPr="00F72FB0">
        <w:rPr>
          <w:lang w:val="en-GB"/>
        </w:rPr>
        <w:t xml:space="preserve"> </w:t>
      </w:r>
      <w:r w:rsidR="008132DE" w:rsidRPr="00F72FB0">
        <w:rPr>
          <w:lang w:val="en-GB"/>
        </w:rPr>
        <w:t>Financial</w:t>
      </w:r>
      <w:r w:rsidR="00FC2FB1" w:rsidRPr="00F72FB0">
        <w:rPr>
          <w:lang w:val="en-GB"/>
        </w:rPr>
        <w:t xml:space="preserve"> </w:t>
      </w:r>
      <w:r w:rsidR="008132DE" w:rsidRPr="00F72FB0">
        <w:rPr>
          <w:lang w:val="en-GB"/>
        </w:rPr>
        <w:t>Conduct</w:t>
      </w:r>
      <w:r w:rsidR="00FC2FB1" w:rsidRPr="00F72FB0">
        <w:rPr>
          <w:lang w:val="en-GB"/>
        </w:rPr>
        <w:t xml:space="preserve"> </w:t>
      </w:r>
      <w:r w:rsidR="008132DE" w:rsidRPr="00F72FB0">
        <w:rPr>
          <w:lang w:val="en-GB"/>
        </w:rPr>
        <w:t>Authority</w:t>
      </w:r>
      <w:r w:rsidR="00FC2FB1" w:rsidRPr="00F72FB0">
        <w:rPr>
          <w:lang w:val="en-GB"/>
        </w:rPr>
        <w:t xml:space="preserve"> </w:t>
      </w:r>
      <w:r w:rsidR="008132DE" w:rsidRPr="00F72FB0">
        <w:rPr>
          <w:lang w:val="en-GB"/>
        </w:rPr>
        <w:t>(FCA).</w:t>
      </w:r>
      <w:r w:rsidR="00FC2FB1" w:rsidRPr="00F72FB0">
        <w:rPr>
          <w:lang w:val="en-GB"/>
        </w:rPr>
        <w:t xml:space="preserve"> </w:t>
      </w:r>
      <w:r w:rsidR="00C13784" w:rsidRPr="00F72FB0">
        <w:rPr>
          <w:lang w:val="en-GB"/>
        </w:rPr>
        <w:t>Such</w:t>
      </w:r>
      <w:r w:rsidR="00FC2FB1" w:rsidRPr="00F72FB0">
        <w:rPr>
          <w:lang w:val="en-GB"/>
        </w:rPr>
        <w:t xml:space="preserve"> </w:t>
      </w:r>
      <w:r w:rsidR="00C13784" w:rsidRPr="00F72FB0">
        <w:rPr>
          <w:lang w:val="en-GB"/>
        </w:rPr>
        <w:t>non-binding</w:t>
      </w:r>
      <w:r w:rsidR="00FC2FB1" w:rsidRPr="00F72FB0">
        <w:rPr>
          <w:lang w:val="en-GB"/>
        </w:rPr>
        <w:t xml:space="preserve"> </w:t>
      </w:r>
      <w:r w:rsidR="00C13784" w:rsidRPr="00F72FB0">
        <w:rPr>
          <w:lang w:val="en-GB"/>
        </w:rPr>
        <w:t>guidance</w:t>
      </w:r>
      <w:r w:rsidR="00FC2FB1" w:rsidRPr="00F72FB0">
        <w:rPr>
          <w:lang w:val="en-GB"/>
        </w:rPr>
        <w:t xml:space="preserve"> </w:t>
      </w:r>
      <w:r w:rsidR="00C13784" w:rsidRPr="00F72FB0">
        <w:rPr>
          <w:lang w:val="en-GB"/>
        </w:rPr>
        <w:t>is</w:t>
      </w:r>
      <w:r w:rsidR="00FC2FB1" w:rsidRPr="00F72FB0">
        <w:rPr>
          <w:lang w:val="en-GB"/>
        </w:rPr>
        <w:t xml:space="preserve"> </w:t>
      </w:r>
      <w:r w:rsidR="009326C6" w:rsidRPr="00F72FB0">
        <w:rPr>
          <w:lang w:val="en-GB"/>
        </w:rPr>
        <w:t>influential,</w:t>
      </w:r>
      <w:r w:rsidR="00FC2FB1" w:rsidRPr="00F72FB0">
        <w:rPr>
          <w:lang w:val="en-GB"/>
        </w:rPr>
        <w:t xml:space="preserve"> </w:t>
      </w:r>
      <w:r w:rsidR="009326C6" w:rsidRPr="00F72FB0">
        <w:rPr>
          <w:lang w:val="en-GB"/>
        </w:rPr>
        <w:t>as</w:t>
      </w:r>
      <w:r w:rsidR="00FC2FB1" w:rsidRPr="00F72FB0">
        <w:rPr>
          <w:lang w:val="en-GB"/>
        </w:rPr>
        <w:t xml:space="preserve"> </w:t>
      </w:r>
      <w:r w:rsidR="009326C6" w:rsidRPr="00F72FB0">
        <w:rPr>
          <w:lang w:val="en-GB"/>
        </w:rPr>
        <w:t>FCA</w:t>
      </w:r>
      <w:r w:rsidR="00FC2FB1" w:rsidRPr="00F72FB0">
        <w:rPr>
          <w:lang w:val="en-GB"/>
        </w:rPr>
        <w:t xml:space="preserve"> </w:t>
      </w:r>
      <w:r w:rsidR="009326C6" w:rsidRPr="00F72FB0">
        <w:rPr>
          <w:lang w:val="en-GB"/>
        </w:rPr>
        <w:t>treats</w:t>
      </w:r>
      <w:r w:rsidR="00FC2FB1" w:rsidRPr="00F72FB0">
        <w:rPr>
          <w:lang w:val="en-GB"/>
        </w:rPr>
        <w:t xml:space="preserve"> </w:t>
      </w:r>
      <w:r w:rsidR="009326C6" w:rsidRPr="00F72FB0">
        <w:rPr>
          <w:lang w:val="en-GB"/>
        </w:rPr>
        <w:t>compliance</w:t>
      </w:r>
      <w:r w:rsidR="00FC2FB1" w:rsidRPr="00F72FB0">
        <w:rPr>
          <w:lang w:val="en-GB"/>
        </w:rPr>
        <w:t xml:space="preserve"> </w:t>
      </w:r>
      <w:r w:rsidR="009326C6" w:rsidRPr="00F72FB0">
        <w:rPr>
          <w:lang w:val="en-GB"/>
        </w:rPr>
        <w:t>thereto</w:t>
      </w:r>
      <w:r w:rsidR="00FC2FB1" w:rsidRPr="00F72FB0">
        <w:rPr>
          <w:lang w:val="en-GB"/>
        </w:rPr>
        <w:t xml:space="preserve"> </w:t>
      </w:r>
      <w:r w:rsidR="009326C6" w:rsidRPr="00F72FB0">
        <w:rPr>
          <w:lang w:val="en-GB"/>
        </w:rPr>
        <w:t>as</w:t>
      </w:r>
      <w:r w:rsidR="00FC2FB1" w:rsidRPr="00F72FB0">
        <w:rPr>
          <w:lang w:val="en-GB"/>
        </w:rPr>
        <w:t xml:space="preserve"> </w:t>
      </w:r>
      <w:r w:rsidR="009326C6" w:rsidRPr="00F72FB0">
        <w:rPr>
          <w:lang w:val="en-GB"/>
        </w:rPr>
        <w:t>compliance</w:t>
      </w:r>
      <w:r w:rsidR="00FC2FB1" w:rsidRPr="00F72FB0">
        <w:rPr>
          <w:lang w:val="en-GB"/>
        </w:rPr>
        <w:t xml:space="preserve"> </w:t>
      </w:r>
      <w:r w:rsidR="009326C6" w:rsidRPr="00F72FB0">
        <w:rPr>
          <w:lang w:val="en-GB"/>
        </w:rPr>
        <w:t>with</w:t>
      </w:r>
      <w:r w:rsidR="00FC2FB1" w:rsidRPr="00F72FB0">
        <w:rPr>
          <w:lang w:val="en-GB"/>
        </w:rPr>
        <w:t xml:space="preserve"> </w:t>
      </w:r>
      <w:r w:rsidR="009326C6" w:rsidRPr="00F72FB0">
        <w:rPr>
          <w:lang w:val="en-GB"/>
        </w:rPr>
        <w:t>the</w:t>
      </w:r>
      <w:r w:rsidR="00FC2FB1" w:rsidRPr="00F72FB0">
        <w:rPr>
          <w:lang w:val="en-GB"/>
        </w:rPr>
        <w:t xml:space="preserve"> </w:t>
      </w:r>
      <w:r w:rsidR="009326C6" w:rsidRPr="00F72FB0">
        <w:rPr>
          <w:lang w:val="en-GB"/>
        </w:rPr>
        <w:t>binding</w:t>
      </w:r>
      <w:r w:rsidR="00FC2FB1" w:rsidRPr="00F72FB0">
        <w:rPr>
          <w:lang w:val="en-GB"/>
        </w:rPr>
        <w:t xml:space="preserve"> </w:t>
      </w:r>
      <w:r w:rsidR="009326C6" w:rsidRPr="00F72FB0">
        <w:rPr>
          <w:lang w:val="en-GB"/>
        </w:rPr>
        <w:t>rule</w:t>
      </w:r>
      <w:r w:rsidR="00FC2FB1" w:rsidRPr="00F72FB0">
        <w:rPr>
          <w:lang w:val="en-GB"/>
        </w:rPr>
        <w:t xml:space="preserve"> </w:t>
      </w:r>
      <w:r w:rsidR="009326C6" w:rsidRPr="00F72FB0">
        <w:rPr>
          <w:lang w:val="en-GB"/>
        </w:rPr>
        <w:t>to</w:t>
      </w:r>
      <w:r w:rsidR="00FC2FB1" w:rsidRPr="00F72FB0">
        <w:rPr>
          <w:lang w:val="en-GB"/>
        </w:rPr>
        <w:t xml:space="preserve"> </w:t>
      </w:r>
      <w:r w:rsidR="009326C6" w:rsidRPr="00F72FB0">
        <w:rPr>
          <w:lang w:val="en-GB"/>
        </w:rPr>
        <w:t>which</w:t>
      </w:r>
      <w:r w:rsidR="00FC2FB1" w:rsidRPr="00F72FB0">
        <w:rPr>
          <w:lang w:val="en-GB"/>
        </w:rPr>
        <w:t xml:space="preserve"> </w:t>
      </w:r>
      <w:r w:rsidR="009326C6" w:rsidRPr="00F72FB0">
        <w:rPr>
          <w:lang w:val="en-GB"/>
        </w:rPr>
        <w:t>the</w:t>
      </w:r>
      <w:r w:rsidR="00FC2FB1" w:rsidRPr="00F72FB0">
        <w:rPr>
          <w:lang w:val="en-GB"/>
        </w:rPr>
        <w:t xml:space="preserve"> </w:t>
      </w:r>
      <w:r w:rsidR="009326C6" w:rsidRPr="00F72FB0">
        <w:rPr>
          <w:lang w:val="en-GB"/>
        </w:rPr>
        <w:t>guidance</w:t>
      </w:r>
      <w:r w:rsidR="00FC2FB1" w:rsidRPr="00F72FB0">
        <w:rPr>
          <w:lang w:val="en-GB"/>
        </w:rPr>
        <w:t xml:space="preserve"> </w:t>
      </w:r>
      <w:r w:rsidR="009326C6" w:rsidRPr="00F72FB0">
        <w:rPr>
          <w:lang w:val="en-GB"/>
        </w:rPr>
        <w:t>relates.</w:t>
      </w:r>
      <w:r w:rsidR="009326C6" w:rsidRPr="00F72FB0">
        <w:rPr>
          <w:rStyle w:val="Alaviitteenviite"/>
          <w:lang w:val="en-GB"/>
        </w:rPr>
        <w:footnoteReference w:id="28"/>
      </w:r>
      <w:r w:rsidR="00FC2FB1" w:rsidRPr="00F72FB0">
        <w:rPr>
          <w:lang w:val="en-GB"/>
        </w:rPr>
        <w:t xml:space="preserve"> </w:t>
      </w:r>
      <w:r w:rsidR="00020293" w:rsidRPr="00F72FB0">
        <w:rPr>
          <w:lang w:val="en-GB"/>
        </w:rPr>
        <w:t>As</w:t>
      </w:r>
      <w:r w:rsidR="00FC2FB1" w:rsidRPr="00F72FB0">
        <w:rPr>
          <w:lang w:val="en-GB"/>
        </w:rPr>
        <w:t xml:space="preserve"> </w:t>
      </w:r>
      <w:r w:rsidR="00020293" w:rsidRPr="00F72FB0">
        <w:rPr>
          <w:lang w:val="en-GB"/>
        </w:rPr>
        <w:t>noted</w:t>
      </w:r>
      <w:r w:rsidR="00FC2FB1" w:rsidRPr="00F72FB0">
        <w:rPr>
          <w:lang w:val="en-GB"/>
        </w:rPr>
        <w:t xml:space="preserve"> </w:t>
      </w:r>
      <w:r w:rsidR="00020293" w:rsidRPr="00F72FB0">
        <w:rPr>
          <w:lang w:val="en-GB"/>
        </w:rPr>
        <w:t>by</w:t>
      </w:r>
      <w:r w:rsidR="00FC2FB1" w:rsidRPr="00F72FB0">
        <w:rPr>
          <w:lang w:val="en-GB"/>
        </w:rPr>
        <w:t xml:space="preserve"> </w:t>
      </w:r>
      <w:r w:rsidR="00020293" w:rsidRPr="00F72FB0">
        <w:rPr>
          <w:lang w:val="en-GB"/>
        </w:rPr>
        <w:t>Post</w:t>
      </w:r>
      <w:r w:rsidR="00FC2FB1" w:rsidRPr="00F72FB0">
        <w:rPr>
          <w:lang w:val="en-GB"/>
        </w:rPr>
        <w:t xml:space="preserve"> </w:t>
      </w:r>
      <w:r w:rsidR="00020293" w:rsidRPr="00F72FB0">
        <w:rPr>
          <w:lang w:val="en-GB"/>
        </w:rPr>
        <w:t>in</w:t>
      </w:r>
      <w:r w:rsidR="00FC2FB1" w:rsidRPr="00F72FB0">
        <w:rPr>
          <w:lang w:val="en-GB"/>
        </w:rPr>
        <w:t xml:space="preserve"> </w:t>
      </w:r>
      <w:r w:rsidR="00020293" w:rsidRPr="00F72FB0">
        <w:rPr>
          <w:lang w:val="en-GB"/>
        </w:rPr>
        <w:t>the</w:t>
      </w:r>
      <w:r w:rsidR="00FC2FB1" w:rsidRPr="00F72FB0">
        <w:rPr>
          <w:lang w:val="en-GB"/>
        </w:rPr>
        <w:t xml:space="preserve"> </w:t>
      </w:r>
      <w:r w:rsidR="00F7130A" w:rsidRPr="00F72FB0">
        <w:rPr>
          <w:lang w:val="en-GB"/>
        </w:rPr>
        <w:t xml:space="preserve">UK </w:t>
      </w:r>
      <w:r w:rsidR="00020293" w:rsidRPr="00F72FB0">
        <w:rPr>
          <w:lang w:val="en-GB"/>
        </w:rPr>
        <w:t>financial</w:t>
      </w:r>
      <w:r w:rsidR="00FC2FB1" w:rsidRPr="00F72FB0">
        <w:rPr>
          <w:lang w:val="en-GB"/>
        </w:rPr>
        <w:t xml:space="preserve"> </w:t>
      </w:r>
      <w:r w:rsidR="00020293" w:rsidRPr="00F72FB0">
        <w:rPr>
          <w:lang w:val="en-GB"/>
        </w:rPr>
        <w:t>regulation</w:t>
      </w:r>
      <w:r w:rsidR="00FC2FB1" w:rsidRPr="00F72FB0">
        <w:rPr>
          <w:lang w:val="en-GB"/>
        </w:rPr>
        <w:t xml:space="preserve"> </w:t>
      </w:r>
      <w:r w:rsidR="00020293" w:rsidRPr="00F72FB0">
        <w:rPr>
          <w:lang w:val="en-GB"/>
        </w:rPr>
        <w:t>report,</w:t>
      </w:r>
      <w:r w:rsidR="00FC2FB1" w:rsidRPr="00F72FB0">
        <w:rPr>
          <w:lang w:val="en-GB"/>
        </w:rPr>
        <w:t xml:space="preserve"> </w:t>
      </w:r>
      <w:r w:rsidR="00020293" w:rsidRPr="00F72FB0">
        <w:rPr>
          <w:lang w:val="en-GB"/>
        </w:rPr>
        <w:t>however,</w:t>
      </w:r>
      <w:r w:rsidR="00FC2FB1" w:rsidRPr="00F72FB0">
        <w:rPr>
          <w:lang w:val="en-GB"/>
        </w:rPr>
        <w:t xml:space="preserve"> </w:t>
      </w:r>
      <w:r w:rsidR="00020293" w:rsidRPr="00F72FB0">
        <w:rPr>
          <w:lang w:val="en-GB"/>
        </w:rPr>
        <w:t>the</w:t>
      </w:r>
      <w:r w:rsidR="00FC2FB1" w:rsidRPr="00F72FB0">
        <w:rPr>
          <w:lang w:val="en-GB"/>
        </w:rPr>
        <w:t xml:space="preserve"> </w:t>
      </w:r>
      <w:r w:rsidR="00F1750A" w:rsidRPr="00F72FB0">
        <w:rPr>
          <w:lang w:val="en-GB"/>
        </w:rPr>
        <w:t>targeted</w:t>
      </w:r>
      <w:r w:rsidR="00FC2FB1" w:rsidRPr="00F72FB0">
        <w:rPr>
          <w:lang w:val="en-GB"/>
        </w:rPr>
        <w:t xml:space="preserve"> </w:t>
      </w:r>
      <w:r w:rsidR="00020293" w:rsidRPr="00F72FB0">
        <w:rPr>
          <w:lang w:val="en-GB"/>
        </w:rPr>
        <w:t>European</w:t>
      </w:r>
      <w:r w:rsidR="00FC2FB1" w:rsidRPr="00F72FB0">
        <w:rPr>
          <w:lang w:val="en-GB"/>
        </w:rPr>
        <w:t xml:space="preserve"> </w:t>
      </w:r>
      <w:r w:rsidR="00020293" w:rsidRPr="00F72FB0">
        <w:rPr>
          <w:lang w:val="en-GB"/>
        </w:rPr>
        <w:t>Supervisory</w:t>
      </w:r>
      <w:r w:rsidR="00FC2FB1" w:rsidRPr="00F72FB0">
        <w:rPr>
          <w:lang w:val="en-GB"/>
        </w:rPr>
        <w:t xml:space="preserve"> </w:t>
      </w:r>
      <w:r w:rsidR="00020293" w:rsidRPr="00F72FB0">
        <w:rPr>
          <w:lang w:val="en-GB"/>
        </w:rPr>
        <w:t>Authorities</w:t>
      </w:r>
      <w:r w:rsidR="00E85DBE" w:rsidRPr="00F72FB0">
        <w:rPr>
          <w:lang w:val="en-GB"/>
        </w:rPr>
        <w:t>’</w:t>
      </w:r>
      <w:r w:rsidR="00FC2FB1" w:rsidRPr="00F72FB0">
        <w:rPr>
          <w:lang w:val="en-GB"/>
        </w:rPr>
        <w:t xml:space="preserve"> </w:t>
      </w:r>
      <w:r w:rsidR="00E85DBE" w:rsidRPr="00F72FB0">
        <w:rPr>
          <w:lang w:val="en-GB"/>
        </w:rPr>
        <w:t>(ESAs)</w:t>
      </w:r>
      <w:r w:rsidR="00FC2FB1" w:rsidRPr="00F72FB0">
        <w:rPr>
          <w:lang w:val="en-GB"/>
        </w:rPr>
        <w:t xml:space="preserve"> </w:t>
      </w:r>
      <w:r w:rsidR="00F1750A" w:rsidRPr="00F72FB0">
        <w:rPr>
          <w:lang w:val="en-GB"/>
        </w:rPr>
        <w:t>guidelines</w:t>
      </w:r>
      <w:r w:rsidR="00FC2FB1" w:rsidRPr="00F72FB0">
        <w:rPr>
          <w:lang w:val="en-GB"/>
        </w:rPr>
        <w:t xml:space="preserve"> </w:t>
      </w:r>
      <w:r w:rsidR="00020293" w:rsidRPr="00F72FB0">
        <w:rPr>
          <w:lang w:val="en-GB"/>
        </w:rPr>
        <w:t>are</w:t>
      </w:r>
      <w:r w:rsidR="00FC2FB1" w:rsidRPr="00F72FB0">
        <w:rPr>
          <w:lang w:val="en-GB"/>
        </w:rPr>
        <w:t xml:space="preserve"> </w:t>
      </w:r>
      <w:r w:rsidR="00020293" w:rsidRPr="00F72FB0">
        <w:rPr>
          <w:lang w:val="en-GB"/>
        </w:rPr>
        <w:t>‘normally</w:t>
      </w:r>
      <w:r w:rsidR="00FC2FB1" w:rsidRPr="00F72FB0">
        <w:rPr>
          <w:lang w:val="en-GB"/>
        </w:rPr>
        <w:t xml:space="preserve"> </w:t>
      </w:r>
      <w:r w:rsidR="00020293" w:rsidRPr="00F72FB0">
        <w:rPr>
          <w:lang w:val="en-GB"/>
        </w:rPr>
        <w:t>only</w:t>
      </w:r>
      <w:r w:rsidR="00FC2FB1" w:rsidRPr="00F72FB0">
        <w:rPr>
          <w:lang w:val="en-GB"/>
        </w:rPr>
        <w:t xml:space="preserve"> </w:t>
      </w:r>
      <w:r w:rsidR="00020293" w:rsidRPr="00F72FB0">
        <w:rPr>
          <w:lang w:val="en-GB"/>
        </w:rPr>
        <w:t>added</w:t>
      </w:r>
      <w:r w:rsidR="00FC2FB1" w:rsidRPr="00F72FB0">
        <w:rPr>
          <w:lang w:val="en-GB"/>
        </w:rPr>
        <w:t xml:space="preserve"> </w:t>
      </w:r>
      <w:r w:rsidR="00020293" w:rsidRPr="00F72FB0">
        <w:rPr>
          <w:lang w:val="en-GB"/>
        </w:rPr>
        <w:t>into</w:t>
      </w:r>
      <w:r w:rsidR="00FC2FB1" w:rsidRPr="00F72FB0">
        <w:rPr>
          <w:lang w:val="en-GB"/>
        </w:rPr>
        <w:t xml:space="preserve"> </w:t>
      </w:r>
      <w:r w:rsidR="00020293" w:rsidRPr="00F72FB0">
        <w:rPr>
          <w:lang w:val="en-GB"/>
        </w:rPr>
        <w:t>the</w:t>
      </w:r>
      <w:r w:rsidR="00FC2FB1" w:rsidRPr="00F72FB0">
        <w:rPr>
          <w:lang w:val="en-GB"/>
        </w:rPr>
        <w:t xml:space="preserve"> </w:t>
      </w:r>
      <w:r w:rsidR="00020293" w:rsidRPr="00F72FB0">
        <w:rPr>
          <w:lang w:val="en-GB"/>
        </w:rPr>
        <w:t>handbook</w:t>
      </w:r>
      <w:r w:rsidR="00FC2FB1" w:rsidRPr="00F72FB0">
        <w:rPr>
          <w:lang w:val="en-GB"/>
        </w:rPr>
        <w:t xml:space="preserve"> </w:t>
      </w:r>
      <w:r w:rsidR="00020293" w:rsidRPr="00F72FB0">
        <w:rPr>
          <w:lang w:val="en-GB"/>
        </w:rPr>
        <w:t>by</w:t>
      </w:r>
      <w:r w:rsidR="00FC2FB1" w:rsidRPr="00F72FB0">
        <w:rPr>
          <w:lang w:val="en-GB"/>
        </w:rPr>
        <w:t xml:space="preserve"> </w:t>
      </w:r>
      <w:r w:rsidR="00020293" w:rsidRPr="00F72FB0">
        <w:rPr>
          <w:lang w:val="en-GB"/>
        </w:rPr>
        <w:t>way</w:t>
      </w:r>
      <w:r w:rsidR="00FC2FB1" w:rsidRPr="00F72FB0">
        <w:rPr>
          <w:lang w:val="en-GB"/>
        </w:rPr>
        <w:t xml:space="preserve"> </w:t>
      </w:r>
      <w:r w:rsidR="00020293" w:rsidRPr="00F72FB0">
        <w:rPr>
          <w:lang w:val="en-GB"/>
        </w:rPr>
        <w:t>of</w:t>
      </w:r>
      <w:r w:rsidR="00FC2FB1" w:rsidRPr="00F72FB0">
        <w:rPr>
          <w:lang w:val="en-GB"/>
        </w:rPr>
        <w:t xml:space="preserve"> </w:t>
      </w:r>
      <w:r w:rsidR="00020293" w:rsidRPr="00F72FB0">
        <w:rPr>
          <w:lang w:val="en-GB"/>
        </w:rPr>
        <w:t>reference</w:t>
      </w:r>
      <w:r w:rsidR="00FC2FB1" w:rsidRPr="00F72FB0">
        <w:rPr>
          <w:lang w:val="en-GB"/>
        </w:rPr>
        <w:t xml:space="preserve"> </w:t>
      </w:r>
      <w:r w:rsidR="00020293" w:rsidRPr="00F72FB0">
        <w:rPr>
          <w:lang w:val="en-GB"/>
        </w:rPr>
        <w:t>at</w:t>
      </w:r>
      <w:r w:rsidR="00FC2FB1" w:rsidRPr="00F72FB0">
        <w:rPr>
          <w:lang w:val="en-GB"/>
        </w:rPr>
        <w:t xml:space="preserve"> </w:t>
      </w:r>
      <w:r w:rsidR="00020293" w:rsidRPr="00F72FB0">
        <w:rPr>
          <w:lang w:val="en-GB"/>
        </w:rPr>
        <w:t>the</w:t>
      </w:r>
      <w:r w:rsidR="00FC2FB1" w:rsidRPr="00F72FB0">
        <w:rPr>
          <w:lang w:val="en-GB"/>
        </w:rPr>
        <w:t xml:space="preserve"> </w:t>
      </w:r>
      <w:r w:rsidR="00020293" w:rsidRPr="00F72FB0">
        <w:rPr>
          <w:lang w:val="en-GB"/>
        </w:rPr>
        <w:t>beginning</w:t>
      </w:r>
      <w:r w:rsidR="00FC2FB1" w:rsidRPr="00F72FB0">
        <w:rPr>
          <w:lang w:val="en-GB"/>
        </w:rPr>
        <w:t xml:space="preserve"> </w:t>
      </w:r>
      <w:r w:rsidR="00020293" w:rsidRPr="00F72FB0">
        <w:rPr>
          <w:lang w:val="en-GB"/>
        </w:rPr>
        <w:t>of</w:t>
      </w:r>
      <w:r w:rsidR="00FC2FB1" w:rsidRPr="00F72FB0">
        <w:rPr>
          <w:lang w:val="en-GB"/>
        </w:rPr>
        <w:t xml:space="preserve"> </w:t>
      </w:r>
      <w:r w:rsidR="00020293" w:rsidRPr="00F72FB0">
        <w:rPr>
          <w:lang w:val="en-GB"/>
        </w:rPr>
        <w:t>a</w:t>
      </w:r>
      <w:r w:rsidR="00FC2FB1" w:rsidRPr="00F72FB0">
        <w:rPr>
          <w:lang w:val="en-GB"/>
        </w:rPr>
        <w:t xml:space="preserve"> </w:t>
      </w:r>
      <w:r w:rsidR="00020293" w:rsidRPr="00F72FB0">
        <w:rPr>
          <w:lang w:val="en-GB"/>
        </w:rPr>
        <w:t>section’</w:t>
      </w:r>
      <w:r w:rsidR="00442E3C">
        <w:rPr>
          <w:lang w:val="en-GB"/>
        </w:rPr>
        <w:t>.</w:t>
      </w:r>
      <w:bookmarkStart w:id="2" w:name="_Ref37950475"/>
      <w:r w:rsidR="00020293" w:rsidRPr="00F72FB0">
        <w:rPr>
          <w:rStyle w:val="Alaviitteenviite"/>
          <w:lang w:val="en-GB"/>
        </w:rPr>
        <w:footnoteReference w:id="29"/>
      </w:r>
      <w:bookmarkEnd w:id="2"/>
      <w:r w:rsidR="00FC2FB1" w:rsidRPr="00F72FB0">
        <w:rPr>
          <w:lang w:val="en-GB"/>
        </w:rPr>
        <w:t xml:space="preserve"> </w:t>
      </w:r>
    </w:p>
    <w:p w14:paraId="5F9C78DA" w14:textId="77777777" w:rsidR="00793FEC" w:rsidRPr="00F72FB0" w:rsidRDefault="00793FEC" w:rsidP="00E14136">
      <w:pPr>
        <w:spacing w:line="360" w:lineRule="auto"/>
        <w:contextualSpacing/>
        <w:jc w:val="both"/>
        <w:rPr>
          <w:lang w:val="en-GB"/>
        </w:rPr>
      </w:pPr>
    </w:p>
    <w:p w14:paraId="496AE616" w14:textId="77777777" w:rsidR="00CC672E" w:rsidRDefault="00765BAB" w:rsidP="00CC672E">
      <w:pPr>
        <w:spacing w:line="360" w:lineRule="auto"/>
        <w:contextualSpacing/>
        <w:jc w:val="both"/>
        <w:rPr>
          <w:lang w:val="en-GB"/>
        </w:rPr>
      </w:pPr>
      <w:r w:rsidRPr="00F72FB0">
        <w:rPr>
          <w:lang w:val="en-GB"/>
        </w:rPr>
        <w:t>Such</w:t>
      </w:r>
      <w:r w:rsidR="00FC2FB1" w:rsidRPr="00F72FB0">
        <w:rPr>
          <w:lang w:val="en-GB"/>
        </w:rPr>
        <w:t xml:space="preserve"> </w:t>
      </w:r>
      <w:r w:rsidRPr="00F72FB0">
        <w:rPr>
          <w:lang w:val="en-GB"/>
        </w:rPr>
        <w:t>unsystematic,</w:t>
      </w:r>
      <w:r w:rsidR="00FC2FB1" w:rsidRPr="00F72FB0">
        <w:rPr>
          <w:lang w:val="en-GB"/>
        </w:rPr>
        <w:t xml:space="preserve"> </w:t>
      </w:r>
      <w:r w:rsidRPr="00F72FB0">
        <w:rPr>
          <w:lang w:val="en-GB"/>
        </w:rPr>
        <w:t>selective</w:t>
      </w:r>
      <w:r w:rsidR="00FC2FB1" w:rsidRPr="00F72FB0">
        <w:rPr>
          <w:lang w:val="en-GB"/>
        </w:rPr>
        <w:t xml:space="preserve"> </w:t>
      </w:r>
      <w:r w:rsidRPr="00F72FB0">
        <w:rPr>
          <w:lang w:val="en-GB"/>
        </w:rPr>
        <w:t>presence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regulatory</w:t>
      </w:r>
      <w:r w:rsidR="00FC2FB1" w:rsidRPr="00F72FB0">
        <w:rPr>
          <w:lang w:val="en-GB"/>
        </w:rPr>
        <w:t xml:space="preserve"> </w:t>
      </w:r>
      <w:r w:rsidRPr="00F72FB0">
        <w:rPr>
          <w:lang w:val="en-GB"/>
        </w:rPr>
        <w:t>landscape</w:t>
      </w:r>
      <w:r w:rsidR="00FC2FB1" w:rsidRPr="00F72FB0">
        <w:rPr>
          <w:lang w:val="en-GB"/>
        </w:rPr>
        <w:t xml:space="preserve"> </w:t>
      </w:r>
      <w:r w:rsidRPr="00F72FB0">
        <w:rPr>
          <w:lang w:val="en-GB"/>
        </w:rPr>
        <w:t>makes</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difficult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track</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certain</w:t>
      </w:r>
      <w:r w:rsidR="00FC2FB1" w:rsidRPr="00F72FB0">
        <w:rPr>
          <w:lang w:val="en-GB"/>
        </w:rPr>
        <w:t xml:space="preserve"> </w:t>
      </w:r>
      <w:r w:rsidRPr="00F72FB0">
        <w:rPr>
          <w:lang w:val="en-GB"/>
        </w:rPr>
        <w:t>pattern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transposition.</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might</w:t>
      </w:r>
      <w:r w:rsidR="00FC2FB1" w:rsidRPr="00F72FB0">
        <w:rPr>
          <w:lang w:val="en-GB"/>
        </w:rPr>
        <w:t xml:space="preserve"> </w:t>
      </w:r>
      <w:r w:rsidRPr="00F72FB0">
        <w:rPr>
          <w:lang w:val="en-GB"/>
        </w:rPr>
        <w:t>negatively</w:t>
      </w:r>
      <w:r w:rsidR="00FC2FB1" w:rsidRPr="00F72FB0">
        <w:rPr>
          <w:lang w:val="en-GB"/>
        </w:rPr>
        <w:t xml:space="preserve"> </w:t>
      </w:r>
      <w:r w:rsidRPr="00F72FB0">
        <w:rPr>
          <w:lang w:val="en-GB"/>
        </w:rPr>
        <w:t>impact</w:t>
      </w:r>
      <w:r w:rsidR="00FC2FB1" w:rsidRPr="00F72FB0">
        <w:rPr>
          <w:lang w:val="en-GB"/>
        </w:rPr>
        <w:t xml:space="preserve"> </w:t>
      </w:r>
      <w:r w:rsidRPr="00F72FB0">
        <w:rPr>
          <w:lang w:val="en-GB"/>
        </w:rPr>
        <w:t>stakeholders,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instance</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obscuring</w:t>
      </w:r>
      <w:r w:rsidR="00FC2FB1" w:rsidRPr="00F72FB0">
        <w:rPr>
          <w:lang w:val="en-GB"/>
        </w:rPr>
        <w:t xml:space="preserve"> </w:t>
      </w:r>
      <w:r w:rsidRPr="00F72FB0">
        <w:rPr>
          <w:lang w:val="en-GB"/>
        </w:rPr>
        <w:t>planning</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licensing</w:t>
      </w:r>
      <w:r w:rsidR="00FC2FB1" w:rsidRPr="00F72FB0">
        <w:rPr>
          <w:lang w:val="en-GB"/>
        </w:rPr>
        <w:t xml:space="preserve"> </w:t>
      </w:r>
      <w:r w:rsidRPr="00F72FB0">
        <w:rPr>
          <w:lang w:val="en-GB"/>
        </w:rPr>
        <w:t>processes</w:t>
      </w:r>
      <w:r w:rsidR="00FC2FB1" w:rsidRPr="00F72FB0">
        <w:rPr>
          <w:lang w:val="en-GB"/>
        </w:rPr>
        <w:t xml:space="preserve"> </w:t>
      </w:r>
      <w:r w:rsidRPr="00F72FB0">
        <w:rPr>
          <w:lang w:val="en-GB"/>
        </w:rPr>
        <w:t>regarding</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protection</w:t>
      </w:r>
      <w:r w:rsidR="00FC2FB1" w:rsidRPr="00F72FB0">
        <w:rPr>
          <w:lang w:val="en-GB"/>
        </w:rPr>
        <w:t xml:space="preserve"> </w:t>
      </w:r>
      <w:r w:rsidRPr="00F72FB0">
        <w:rPr>
          <w:lang w:val="en-GB"/>
        </w:rPr>
        <w:t>–</w:t>
      </w:r>
      <w:r w:rsidR="00FC2FB1" w:rsidRPr="00F72FB0">
        <w:rPr>
          <w:lang w:val="en-GB"/>
        </w:rPr>
        <w:t xml:space="preserve"> </w:t>
      </w:r>
      <w:r w:rsidRPr="00F72FB0">
        <w:rPr>
          <w:lang w:val="en-GB"/>
        </w:rPr>
        <w:t>despite</w:t>
      </w:r>
      <w:r w:rsidR="00FC2FB1" w:rsidRPr="00F72FB0">
        <w:rPr>
          <w:lang w:val="en-GB"/>
        </w:rPr>
        <w:t xml:space="preserve"> </w:t>
      </w:r>
      <w:r w:rsidRPr="00F72FB0">
        <w:rPr>
          <w:lang w:val="en-GB"/>
        </w:rPr>
        <w:t>non-transposition,</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relevant</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decision-makers.</w:t>
      </w:r>
      <w:r w:rsidR="00FC2FB1" w:rsidRPr="00F72FB0">
        <w:rPr>
          <w:lang w:val="en-GB"/>
        </w:rPr>
        <w:t xml:space="preserve"> </w:t>
      </w:r>
    </w:p>
    <w:p w14:paraId="02BA47BC" w14:textId="77777777" w:rsidR="00CC672E" w:rsidRDefault="00CC672E" w:rsidP="00CC672E">
      <w:pPr>
        <w:spacing w:line="360" w:lineRule="auto"/>
        <w:contextualSpacing/>
        <w:jc w:val="both"/>
        <w:rPr>
          <w:color w:val="000000" w:themeColor="text1"/>
          <w:lang w:val="en-GB"/>
        </w:rPr>
      </w:pPr>
    </w:p>
    <w:p w14:paraId="2329056B" w14:textId="0A1B9202" w:rsidR="00D54B7B" w:rsidRPr="00CC672E" w:rsidRDefault="00CC672E" w:rsidP="00CC672E">
      <w:pPr>
        <w:spacing w:line="360" w:lineRule="auto"/>
        <w:contextualSpacing/>
        <w:jc w:val="both"/>
        <w:rPr>
          <w:lang w:val="en-GB"/>
        </w:rPr>
      </w:pPr>
      <w:r>
        <w:rPr>
          <w:color w:val="000000" w:themeColor="text1"/>
          <w:lang w:val="en-GB"/>
        </w:rPr>
        <w:t xml:space="preserve">ii) </w:t>
      </w:r>
      <w:r w:rsidR="00D54B7B" w:rsidRPr="00F72FB0">
        <w:rPr>
          <w:color w:val="000000" w:themeColor="text1"/>
          <w:lang w:val="en-GB"/>
        </w:rPr>
        <w:t>Place</w:t>
      </w:r>
      <w:r w:rsidR="00FC2FB1" w:rsidRPr="00F72FB0">
        <w:rPr>
          <w:color w:val="000000" w:themeColor="text1"/>
          <w:lang w:val="en-GB"/>
        </w:rPr>
        <w:t xml:space="preserve"> </w:t>
      </w:r>
      <w:r w:rsidR="00D54B7B" w:rsidRPr="00F72FB0">
        <w:rPr>
          <w:color w:val="000000" w:themeColor="text1"/>
          <w:lang w:val="en-GB"/>
        </w:rPr>
        <w:t>of</w:t>
      </w:r>
      <w:r w:rsidR="00FC2FB1" w:rsidRPr="00F72FB0">
        <w:rPr>
          <w:color w:val="000000" w:themeColor="text1"/>
          <w:lang w:val="en-GB"/>
        </w:rPr>
        <w:t xml:space="preserve"> </w:t>
      </w:r>
      <w:r w:rsidR="00D54B7B" w:rsidRPr="00F72FB0">
        <w:rPr>
          <w:color w:val="000000" w:themeColor="text1"/>
          <w:lang w:val="en-GB"/>
        </w:rPr>
        <w:t>EU</w:t>
      </w:r>
      <w:r w:rsidR="00FC2FB1" w:rsidRPr="00F72FB0">
        <w:rPr>
          <w:color w:val="000000" w:themeColor="text1"/>
          <w:lang w:val="en-GB"/>
        </w:rPr>
        <w:t xml:space="preserve"> </w:t>
      </w:r>
      <w:r w:rsidR="00D54B7B" w:rsidRPr="00F72FB0">
        <w:rPr>
          <w:color w:val="000000" w:themeColor="text1"/>
          <w:lang w:val="en-GB"/>
        </w:rPr>
        <w:t>soft</w:t>
      </w:r>
      <w:r w:rsidR="00FC2FB1" w:rsidRPr="00F72FB0">
        <w:rPr>
          <w:color w:val="000000" w:themeColor="text1"/>
          <w:lang w:val="en-GB"/>
        </w:rPr>
        <w:t xml:space="preserve"> </w:t>
      </w:r>
      <w:r w:rsidR="00D54B7B" w:rsidRPr="00F72FB0">
        <w:rPr>
          <w:color w:val="000000" w:themeColor="text1"/>
          <w:lang w:val="en-GB"/>
        </w:rPr>
        <w:t>law</w:t>
      </w:r>
      <w:r w:rsidR="00FC2FB1" w:rsidRPr="00F72FB0">
        <w:rPr>
          <w:color w:val="000000" w:themeColor="text1"/>
          <w:lang w:val="en-GB"/>
        </w:rPr>
        <w:t xml:space="preserve"> </w:t>
      </w:r>
      <w:r w:rsidR="00D54B7B" w:rsidRPr="00F72FB0">
        <w:rPr>
          <w:color w:val="000000" w:themeColor="text1"/>
          <w:lang w:val="en-GB"/>
        </w:rPr>
        <w:t>in</w:t>
      </w:r>
      <w:r w:rsidR="00FC2FB1" w:rsidRPr="00F72FB0">
        <w:rPr>
          <w:color w:val="000000" w:themeColor="text1"/>
          <w:lang w:val="en-GB"/>
        </w:rPr>
        <w:t xml:space="preserve"> </w:t>
      </w:r>
      <w:r w:rsidR="00D54B7B" w:rsidRPr="00F72FB0">
        <w:rPr>
          <w:color w:val="000000" w:themeColor="text1"/>
          <w:lang w:val="en-GB"/>
        </w:rPr>
        <w:t>the</w:t>
      </w:r>
      <w:r w:rsidR="00FC2FB1" w:rsidRPr="00F72FB0">
        <w:rPr>
          <w:color w:val="000000" w:themeColor="text1"/>
          <w:lang w:val="en-GB"/>
        </w:rPr>
        <w:t xml:space="preserve"> </w:t>
      </w:r>
      <w:r w:rsidR="00D54B7B" w:rsidRPr="00F72FB0">
        <w:rPr>
          <w:color w:val="000000" w:themeColor="text1"/>
          <w:lang w:val="en-GB"/>
        </w:rPr>
        <w:t>hierarchy</w:t>
      </w:r>
      <w:r w:rsidR="00FC2FB1" w:rsidRPr="00F72FB0">
        <w:rPr>
          <w:color w:val="000000" w:themeColor="text1"/>
          <w:lang w:val="en-GB"/>
        </w:rPr>
        <w:t xml:space="preserve"> </w:t>
      </w:r>
      <w:r w:rsidR="00D54B7B" w:rsidRPr="00F72FB0">
        <w:rPr>
          <w:color w:val="000000" w:themeColor="text1"/>
          <w:lang w:val="en-GB"/>
        </w:rPr>
        <w:t>of</w:t>
      </w:r>
      <w:r w:rsidR="00FC2FB1" w:rsidRPr="00F72FB0">
        <w:rPr>
          <w:color w:val="000000" w:themeColor="text1"/>
          <w:lang w:val="en-GB"/>
        </w:rPr>
        <w:t xml:space="preserve"> </w:t>
      </w:r>
      <w:r w:rsidR="00D54B7B" w:rsidRPr="00F72FB0">
        <w:rPr>
          <w:color w:val="000000" w:themeColor="text1"/>
          <w:lang w:val="en-GB"/>
        </w:rPr>
        <w:t>legal</w:t>
      </w:r>
      <w:r w:rsidR="00FC2FB1" w:rsidRPr="00F72FB0">
        <w:rPr>
          <w:color w:val="000000" w:themeColor="text1"/>
          <w:lang w:val="en-GB"/>
        </w:rPr>
        <w:t xml:space="preserve"> </w:t>
      </w:r>
      <w:r w:rsidR="00D54B7B" w:rsidRPr="00F72FB0">
        <w:rPr>
          <w:color w:val="000000" w:themeColor="text1"/>
          <w:lang w:val="en-GB"/>
        </w:rPr>
        <w:t>sources</w:t>
      </w:r>
    </w:p>
    <w:p w14:paraId="294FB01C" w14:textId="7123F890" w:rsidR="00D54B7B" w:rsidRPr="00F72FB0" w:rsidRDefault="00D54B7B" w:rsidP="00E14136">
      <w:pPr>
        <w:spacing w:line="360" w:lineRule="auto"/>
        <w:contextualSpacing/>
        <w:jc w:val="both"/>
        <w:rPr>
          <w:lang w:val="en-GB"/>
        </w:rPr>
      </w:pPr>
    </w:p>
    <w:p w14:paraId="03487164" w14:textId="77777777" w:rsidR="00CC672E" w:rsidRDefault="00E85DBE" w:rsidP="00CC672E">
      <w:pPr>
        <w:spacing w:line="360" w:lineRule="auto"/>
        <w:contextualSpacing/>
        <w:jc w:val="both"/>
        <w:rPr>
          <w:lang w:val="en-GB"/>
        </w:rPr>
      </w:pPr>
      <w:r w:rsidRPr="00F72FB0">
        <w:rPr>
          <w:lang w:val="en-GB"/>
        </w:rPr>
        <w:t>One</w:t>
      </w:r>
      <w:r w:rsidR="00FC2FB1" w:rsidRPr="00F72FB0">
        <w:rPr>
          <w:lang w:val="en-GB"/>
        </w:rPr>
        <w:t xml:space="preserve"> </w:t>
      </w:r>
      <w:r w:rsidRPr="00F72FB0">
        <w:rPr>
          <w:lang w:val="en-GB"/>
        </w:rPr>
        <w:t>serious</w:t>
      </w:r>
      <w:r w:rsidR="00FC2FB1" w:rsidRPr="00F72FB0">
        <w:rPr>
          <w:lang w:val="en-GB"/>
        </w:rPr>
        <w:t xml:space="preserve"> </w:t>
      </w:r>
      <w:r w:rsidRPr="00F72FB0">
        <w:rPr>
          <w:lang w:val="en-GB"/>
        </w:rPr>
        <w:t>consideration</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transposition</w:t>
      </w:r>
      <w:r w:rsidR="00FC2FB1" w:rsidRPr="00F72FB0">
        <w:rPr>
          <w:lang w:val="en-GB"/>
        </w:rPr>
        <w:t xml:space="preserve"> </w:t>
      </w:r>
      <w:r w:rsidRPr="00F72FB0">
        <w:rPr>
          <w:lang w:val="en-GB"/>
        </w:rPr>
        <w:t>concerns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weight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attached</w:t>
      </w:r>
      <w:r w:rsidR="00FC2FB1" w:rsidRPr="00F72FB0">
        <w:rPr>
          <w:lang w:val="en-GB"/>
        </w:rPr>
        <w:t xml:space="preserve"> </w:t>
      </w:r>
      <w:r w:rsidRPr="00F72FB0">
        <w:rPr>
          <w:lang w:val="en-GB"/>
        </w:rPr>
        <w:t>to</w:t>
      </w:r>
      <w:r w:rsidR="00FC2FB1" w:rsidRPr="00F72FB0">
        <w:rPr>
          <w:lang w:val="en-GB"/>
        </w:rPr>
        <w:t xml:space="preserve"> </w:t>
      </w:r>
      <w:r w:rsidR="00F7130A"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00D54B7B" w:rsidRPr="00F72FB0">
        <w:rPr>
          <w:lang w:val="en-GB"/>
        </w:rPr>
        <w:t>In</w:t>
      </w:r>
      <w:r w:rsidR="00FC2FB1" w:rsidRPr="00F72FB0">
        <w:rPr>
          <w:lang w:val="en-GB"/>
        </w:rPr>
        <w:t xml:space="preserve"> </w:t>
      </w:r>
      <w:r w:rsidR="00D54B7B" w:rsidRPr="00F72FB0">
        <w:rPr>
          <w:lang w:val="en-GB"/>
        </w:rPr>
        <w:t>some</w:t>
      </w:r>
      <w:r w:rsidR="00FC2FB1" w:rsidRPr="00F72FB0">
        <w:rPr>
          <w:lang w:val="en-GB"/>
        </w:rPr>
        <w:t xml:space="preserve"> </w:t>
      </w:r>
      <w:r w:rsidR="00D54B7B" w:rsidRPr="00F72FB0">
        <w:rPr>
          <w:lang w:val="en-GB"/>
        </w:rPr>
        <w:t>sectors,</w:t>
      </w:r>
      <w:r w:rsidR="00FC2FB1" w:rsidRPr="00F72FB0">
        <w:rPr>
          <w:lang w:val="en-GB"/>
        </w:rPr>
        <w:t xml:space="preserve"> </w:t>
      </w:r>
      <w:r w:rsidR="00D54B7B" w:rsidRPr="00F72FB0">
        <w:rPr>
          <w:lang w:val="en-GB"/>
        </w:rPr>
        <w:t>such</w:t>
      </w:r>
      <w:r w:rsidR="00FC2FB1" w:rsidRPr="00F72FB0">
        <w:rPr>
          <w:lang w:val="en-GB"/>
        </w:rPr>
        <w:t xml:space="preserve"> </w:t>
      </w:r>
      <w:r w:rsidR="00D54B7B" w:rsidRPr="00F72FB0">
        <w:rPr>
          <w:lang w:val="en-GB"/>
        </w:rPr>
        <w:t>as</w:t>
      </w:r>
      <w:r w:rsidR="00FC2FB1" w:rsidRPr="00F72FB0">
        <w:rPr>
          <w:lang w:val="en-GB"/>
        </w:rPr>
        <w:t xml:space="preserve"> </w:t>
      </w:r>
      <w:r w:rsidR="00D54B7B" w:rsidRPr="00F72FB0">
        <w:rPr>
          <w:lang w:val="en-GB"/>
        </w:rPr>
        <w:t>financial</w:t>
      </w:r>
      <w:r w:rsidR="00FC2FB1" w:rsidRPr="00F72FB0">
        <w:rPr>
          <w:lang w:val="en-GB"/>
        </w:rPr>
        <w:t xml:space="preserve"> </w:t>
      </w:r>
      <w:r w:rsidR="00D54B7B" w:rsidRPr="00F72FB0">
        <w:rPr>
          <w:lang w:val="en-GB"/>
        </w:rPr>
        <w:t>regulation,</w:t>
      </w:r>
      <w:r w:rsidR="00FC2FB1" w:rsidRPr="00F72FB0">
        <w:rPr>
          <w:lang w:val="en-GB"/>
        </w:rPr>
        <w:t xml:space="preserve"> </w:t>
      </w:r>
      <w:r w:rsidR="00D54B7B" w:rsidRPr="00F72FB0">
        <w:rPr>
          <w:lang w:val="en-GB"/>
        </w:rPr>
        <w:t>authorities</w:t>
      </w:r>
      <w:r w:rsidR="00FC2FB1" w:rsidRPr="00F72FB0">
        <w:rPr>
          <w:lang w:val="en-GB"/>
        </w:rPr>
        <w:t xml:space="preserve"> </w:t>
      </w:r>
      <w:r w:rsidR="0013113A">
        <w:rPr>
          <w:lang w:val="en-GB"/>
        </w:rPr>
        <w:t xml:space="preserve">occasionally </w:t>
      </w:r>
      <w:r w:rsidR="00D54B7B" w:rsidRPr="00F72FB0">
        <w:rPr>
          <w:lang w:val="en-GB"/>
        </w:rPr>
        <w:t>make</w:t>
      </w:r>
      <w:r w:rsidR="00FC2FB1" w:rsidRPr="00F72FB0">
        <w:rPr>
          <w:lang w:val="en-GB"/>
        </w:rPr>
        <w:t xml:space="preserve"> </w:t>
      </w:r>
      <w:r w:rsidR="00D54B7B" w:rsidRPr="00F72FB0">
        <w:rPr>
          <w:lang w:val="en-GB"/>
        </w:rPr>
        <w:t>clear</w:t>
      </w:r>
      <w:r w:rsidR="00FC2FB1" w:rsidRPr="00F72FB0">
        <w:rPr>
          <w:lang w:val="en-GB"/>
        </w:rPr>
        <w:t xml:space="preserve"> </w:t>
      </w:r>
      <w:r w:rsidR="00D54B7B" w:rsidRPr="00F72FB0">
        <w:rPr>
          <w:lang w:val="en-GB"/>
        </w:rPr>
        <w:t>that</w:t>
      </w:r>
      <w:r w:rsidR="00FC2FB1" w:rsidRPr="00F72FB0">
        <w:rPr>
          <w:lang w:val="en-GB"/>
        </w:rPr>
        <w:t xml:space="preserve"> </w:t>
      </w:r>
      <w:r w:rsidR="00D54B7B" w:rsidRPr="00F72FB0">
        <w:rPr>
          <w:lang w:val="en-GB"/>
        </w:rPr>
        <w:t>EU</w:t>
      </w:r>
      <w:r w:rsidR="00FC2FB1" w:rsidRPr="00F72FB0">
        <w:rPr>
          <w:lang w:val="en-GB"/>
        </w:rPr>
        <w:t xml:space="preserve"> </w:t>
      </w:r>
      <w:r w:rsidR="00D54B7B" w:rsidRPr="00F72FB0">
        <w:rPr>
          <w:lang w:val="en-GB"/>
        </w:rPr>
        <w:t>guidance</w:t>
      </w:r>
      <w:r w:rsidR="00FC2FB1" w:rsidRPr="00F72FB0">
        <w:rPr>
          <w:lang w:val="en-GB"/>
        </w:rPr>
        <w:t xml:space="preserve"> </w:t>
      </w:r>
      <w:r w:rsidR="00D54B7B" w:rsidRPr="00F72FB0">
        <w:rPr>
          <w:lang w:val="en-GB"/>
        </w:rPr>
        <w:t>is</w:t>
      </w:r>
      <w:r w:rsidR="00FC2FB1" w:rsidRPr="00F72FB0">
        <w:rPr>
          <w:lang w:val="en-GB"/>
        </w:rPr>
        <w:t xml:space="preserve"> </w:t>
      </w:r>
      <w:r w:rsidR="00D54B7B" w:rsidRPr="00F72FB0">
        <w:rPr>
          <w:lang w:val="en-GB"/>
        </w:rPr>
        <w:t>superior</w:t>
      </w:r>
      <w:r w:rsidR="00FC2FB1" w:rsidRPr="00F72FB0">
        <w:rPr>
          <w:lang w:val="en-GB"/>
        </w:rPr>
        <w:t xml:space="preserve"> </w:t>
      </w:r>
      <w:r w:rsidR="00D54B7B" w:rsidRPr="00F72FB0">
        <w:rPr>
          <w:lang w:val="en-GB"/>
        </w:rPr>
        <w:t>to</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national</w:t>
      </w:r>
      <w:r w:rsidR="00FC2FB1" w:rsidRPr="00F72FB0">
        <w:rPr>
          <w:lang w:val="en-GB"/>
        </w:rPr>
        <w:t xml:space="preserve"> </w:t>
      </w:r>
      <w:r w:rsidR="00D54B7B" w:rsidRPr="00F72FB0">
        <w:rPr>
          <w:lang w:val="en-GB"/>
        </w:rPr>
        <w:t>guidance</w:t>
      </w:r>
      <w:r w:rsidR="00FC2FB1" w:rsidRPr="00F72FB0">
        <w:rPr>
          <w:lang w:val="en-GB"/>
        </w:rPr>
        <w:t xml:space="preserve"> </w:t>
      </w:r>
      <w:r w:rsidR="00D54B7B" w:rsidRPr="00F72FB0">
        <w:rPr>
          <w:lang w:val="en-GB"/>
        </w:rPr>
        <w:t>in</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hierarchy</w:t>
      </w:r>
      <w:r w:rsidR="00FC2FB1" w:rsidRPr="00F72FB0">
        <w:rPr>
          <w:lang w:val="en-GB"/>
        </w:rPr>
        <w:t xml:space="preserve"> </w:t>
      </w:r>
      <w:r w:rsidR="00D54B7B" w:rsidRPr="00F72FB0">
        <w:rPr>
          <w:lang w:val="en-GB"/>
        </w:rPr>
        <w:t>of</w:t>
      </w:r>
      <w:r w:rsidR="00FC2FB1" w:rsidRPr="00F72FB0">
        <w:rPr>
          <w:lang w:val="en-GB"/>
        </w:rPr>
        <w:t xml:space="preserve"> </w:t>
      </w:r>
      <w:r w:rsidR="00D54B7B" w:rsidRPr="00F72FB0">
        <w:rPr>
          <w:lang w:val="en-GB"/>
        </w:rPr>
        <w:t>legal</w:t>
      </w:r>
      <w:r w:rsidR="00FC2FB1" w:rsidRPr="00F72FB0">
        <w:rPr>
          <w:lang w:val="en-GB"/>
        </w:rPr>
        <w:t xml:space="preserve"> </w:t>
      </w:r>
      <w:r w:rsidR="00D54B7B" w:rsidRPr="00F72FB0">
        <w:rPr>
          <w:lang w:val="en-GB"/>
        </w:rPr>
        <w:t>sources.</w:t>
      </w:r>
      <w:r w:rsidR="00D54B7B" w:rsidRPr="00F72FB0">
        <w:rPr>
          <w:rStyle w:val="Alaviitteenviite"/>
          <w:lang w:val="en-GB"/>
        </w:rPr>
        <w:footnoteReference w:id="30"/>
      </w:r>
      <w:r w:rsidR="00FC2FB1" w:rsidRPr="00F72FB0">
        <w:rPr>
          <w:lang w:val="en-GB"/>
        </w:rPr>
        <w:t xml:space="preserve"> </w:t>
      </w:r>
      <w:r w:rsidR="00D54B7B" w:rsidRPr="00F72FB0">
        <w:rPr>
          <w:lang w:val="en-GB"/>
        </w:rPr>
        <w:t>This</w:t>
      </w:r>
      <w:r w:rsidR="00FC2FB1" w:rsidRPr="00F72FB0">
        <w:rPr>
          <w:lang w:val="en-GB"/>
        </w:rPr>
        <w:t xml:space="preserve"> </w:t>
      </w:r>
      <w:r w:rsidR="00D54B7B" w:rsidRPr="00F72FB0">
        <w:rPr>
          <w:lang w:val="en-GB"/>
        </w:rPr>
        <w:t>might</w:t>
      </w:r>
      <w:r w:rsidR="00FC2FB1" w:rsidRPr="00F72FB0">
        <w:rPr>
          <w:lang w:val="en-GB"/>
        </w:rPr>
        <w:t xml:space="preserve"> </w:t>
      </w:r>
      <w:r w:rsidR="00D54B7B" w:rsidRPr="00F72FB0">
        <w:rPr>
          <w:lang w:val="en-GB"/>
        </w:rPr>
        <w:t>be</w:t>
      </w:r>
      <w:r w:rsidR="00FC2FB1" w:rsidRPr="00F72FB0">
        <w:rPr>
          <w:lang w:val="en-GB"/>
        </w:rPr>
        <w:t xml:space="preserve"> </w:t>
      </w:r>
      <w:r w:rsidR="00D54B7B" w:rsidRPr="00F72FB0">
        <w:rPr>
          <w:lang w:val="en-GB"/>
        </w:rPr>
        <w:t>explained</w:t>
      </w:r>
      <w:r w:rsidR="00FC2FB1" w:rsidRPr="00F72FB0">
        <w:rPr>
          <w:lang w:val="en-GB"/>
        </w:rPr>
        <w:t xml:space="preserve"> </w:t>
      </w:r>
      <w:r w:rsidR="00D54B7B" w:rsidRPr="00F72FB0">
        <w:rPr>
          <w:lang w:val="en-GB"/>
        </w:rPr>
        <w:t>by</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fact</w:t>
      </w:r>
      <w:r w:rsidR="00FC2FB1" w:rsidRPr="00F72FB0">
        <w:rPr>
          <w:lang w:val="en-GB"/>
        </w:rPr>
        <w:t xml:space="preserve"> </w:t>
      </w:r>
      <w:r w:rsidR="00D54B7B" w:rsidRPr="00F72FB0">
        <w:rPr>
          <w:lang w:val="en-GB"/>
        </w:rPr>
        <w:t>that</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UK</w:t>
      </w:r>
      <w:r w:rsidR="00FC2FB1" w:rsidRPr="00F72FB0">
        <w:rPr>
          <w:lang w:val="en-GB"/>
        </w:rPr>
        <w:t xml:space="preserve"> </w:t>
      </w:r>
      <w:r w:rsidR="00D54B7B" w:rsidRPr="00F72FB0">
        <w:rPr>
          <w:lang w:val="en-GB"/>
        </w:rPr>
        <w:t>financial</w:t>
      </w:r>
      <w:r w:rsidR="00FC2FB1" w:rsidRPr="00F72FB0">
        <w:rPr>
          <w:lang w:val="en-GB"/>
        </w:rPr>
        <w:t xml:space="preserve"> </w:t>
      </w:r>
      <w:r w:rsidR="00D54B7B" w:rsidRPr="00F72FB0">
        <w:rPr>
          <w:lang w:val="en-GB"/>
        </w:rPr>
        <w:t>authorities</w:t>
      </w:r>
      <w:r w:rsidR="00FC2FB1" w:rsidRPr="00F72FB0">
        <w:rPr>
          <w:lang w:val="en-GB"/>
        </w:rPr>
        <w:t xml:space="preserve"> </w:t>
      </w:r>
      <w:r w:rsidR="00D54B7B" w:rsidRPr="00F72FB0">
        <w:rPr>
          <w:lang w:val="en-GB"/>
        </w:rPr>
        <w:t>are</w:t>
      </w:r>
      <w:r w:rsidR="00FC2FB1" w:rsidRPr="00F72FB0">
        <w:rPr>
          <w:lang w:val="en-GB"/>
        </w:rPr>
        <w:t xml:space="preserve"> </w:t>
      </w:r>
      <w:r w:rsidR="00D54B7B" w:rsidRPr="00F72FB0">
        <w:rPr>
          <w:lang w:val="en-GB"/>
        </w:rPr>
        <w:t>quite</w:t>
      </w:r>
      <w:r w:rsidR="00FC2FB1" w:rsidRPr="00F72FB0">
        <w:rPr>
          <w:lang w:val="en-GB"/>
        </w:rPr>
        <w:t xml:space="preserve"> </w:t>
      </w:r>
      <w:r w:rsidR="00D54B7B" w:rsidRPr="00F72FB0">
        <w:rPr>
          <w:lang w:val="en-GB"/>
        </w:rPr>
        <w:t>influential</w:t>
      </w:r>
      <w:r w:rsidR="00FC2FB1" w:rsidRPr="00F72FB0">
        <w:rPr>
          <w:lang w:val="en-GB"/>
        </w:rPr>
        <w:t xml:space="preserve"> </w:t>
      </w:r>
      <w:r w:rsidR="00D54B7B" w:rsidRPr="00F72FB0">
        <w:rPr>
          <w:lang w:val="en-GB"/>
        </w:rPr>
        <w:t>in</w:t>
      </w:r>
      <w:r w:rsidR="00FC2FB1" w:rsidRPr="00F72FB0">
        <w:rPr>
          <w:lang w:val="en-GB"/>
        </w:rPr>
        <w:t xml:space="preserve"> </w:t>
      </w:r>
      <w:r w:rsidR="00D54B7B" w:rsidRPr="00F72FB0">
        <w:rPr>
          <w:lang w:val="en-GB"/>
        </w:rPr>
        <w:t>drafting</w:t>
      </w:r>
      <w:r w:rsidR="00FC2FB1" w:rsidRPr="00F72FB0">
        <w:rPr>
          <w:lang w:val="en-GB"/>
        </w:rPr>
        <w:t xml:space="preserve"> </w:t>
      </w:r>
      <w:r w:rsidR="00D54B7B" w:rsidRPr="00F72FB0">
        <w:rPr>
          <w:lang w:val="en-GB"/>
        </w:rPr>
        <w:t>EU</w:t>
      </w:r>
      <w:r w:rsidR="00FC2FB1" w:rsidRPr="00F72FB0">
        <w:rPr>
          <w:lang w:val="en-GB"/>
        </w:rPr>
        <w:t xml:space="preserve"> </w:t>
      </w:r>
      <w:r w:rsidR="00D54B7B" w:rsidRPr="00F72FB0">
        <w:rPr>
          <w:lang w:val="en-GB"/>
        </w:rPr>
        <w:t>guidance</w:t>
      </w:r>
      <w:r w:rsidR="00FC2FB1" w:rsidRPr="00F72FB0">
        <w:rPr>
          <w:lang w:val="en-GB"/>
        </w:rPr>
        <w:t xml:space="preserve"> </w:t>
      </w:r>
      <w:r w:rsidR="00D54B7B" w:rsidRPr="00F72FB0">
        <w:rPr>
          <w:lang w:val="en-GB"/>
        </w:rPr>
        <w:t>themselves.</w:t>
      </w:r>
      <w:bookmarkStart w:id="3" w:name="_Ref37950552"/>
      <w:r w:rsidR="00D54B7B" w:rsidRPr="00F72FB0">
        <w:rPr>
          <w:rStyle w:val="Alaviitteenviite"/>
          <w:lang w:val="en-GB"/>
        </w:rPr>
        <w:footnoteReference w:id="31"/>
      </w:r>
      <w:bookmarkEnd w:id="3"/>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noted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Dobbs,</w:t>
      </w:r>
      <w:r w:rsidR="000D46F7">
        <w:rPr>
          <w:rStyle w:val="Alaviitteenviite"/>
          <w:lang w:val="en-GB"/>
        </w:rPr>
        <w:footnoteReference w:id="32"/>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00602A92" w:rsidRPr="00F72FB0">
        <w:rPr>
          <w:lang w:val="en-GB"/>
        </w:rPr>
        <w:t>in</w:t>
      </w:r>
      <w:r w:rsidR="00FC2FB1" w:rsidRPr="00F72FB0">
        <w:rPr>
          <w:lang w:val="en-GB"/>
        </w:rPr>
        <w:t xml:space="preserve"> </w:t>
      </w:r>
      <w:r w:rsidR="00602A92" w:rsidRPr="00F72FB0">
        <w:rPr>
          <w:lang w:val="en-GB"/>
        </w:rPr>
        <w:t>contrast</w:t>
      </w:r>
      <w:r w:rsidR="00FC2FB1" w:rsidRPr="00F72FB0">
        <w:rPr>
          <w:lang w:val="en-GB"/>
        </w:rPr>
        <w:t xml:space="preserve"> </w:t>
      </w:r>
      <w:r w:rsidR="00602A92" w:rsidRPr="00F72FB0">
        <w:rPr>
          <w:lang w:val="en-GB"/>
        </w:rPr>
        <w:t>with</w:t>
      </w:r>
      <w:r w:rsidR="00FC2FB1" w:rsidRPr="00F72FB0">
        <w:rPr>
          <w:lang w:val="en-GB"/>
        </w:rPr>
        <w:t xml:space="preserve"> </w:t>
      </w:r>
      <w:r w:rsidR="00602A92" w:rsidRPr="00F72FB0">
        <w:rPr>
          <w:lang w:val="en-GB"/>
        </w:rPr>
        <w:t>EU</w:t>
      </w:r>
      <w:r w:rsidR="00FC2FB1" w:rsidRPr="00F72FB0">
        <w:rPr>
          <w:lang w:val="en-GB"/>
        </w:rPr>
        <w:t xml:space="preserve"> </w:t>
      </w:r>
      <w:r w:rsidR="00602A92" w:rsidRPr="00F72FB0">
        <w:rPr>
          <w:lang w:val="en-GB"/>
        </w:rPr>
        <w:t>hard</w:t>
      </w:r>
      <w:r w:rsidR="00FC2FB1" w:rsidRPr="00F72FB0">
        <w:rPr>
          <w:lang w:val="en-GB"/>
        </w:rPr>
        <w:t xml:space="preserve"> </w:t>
      </w:r>
      <w:r w:rsidR="00602A92" w:rsidRPr="00F72FB0">
        <w:rPr>
          <w:lang w:val="en-GB"/>
        </w:rPr>
        <w:lastRenderedPageBreak/>
        <w:t>law</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never</w:t>
      </w:r>
      <w:r w:rsidR="00FC2FB1" w:rsidRPr="00F72FB0">
        <w:rPr>
          <w:lang w:val="en-GB"/>
        </w:rPr>
        <w:t xml:space="preserve"> </w:t>
      </w:r>
      <w:r w:rsidRPr="00F72FB0">
        <w:rPr>
          <w:lang w:val="en-GB"/>
        </w:rPr>
        <w:t>directly</w:t>
      </w:r>
      <w:r w:rsidR="00FC2FB1" w:rsidRPr="00F72FB0">
        <w:rPr>
          <w:lang w:val="en-GB"/>
        </w:rPr>
        <w:t xml:space="preserve"> </w:t>
      </w:r>
      <w:r w:rsidRPr="00F72FB0">
        <w:rPr>
          <w:lang w:val="en-GB"/>
        </w:rPr>
        <w:t>trump</w:t>
      </w:r>
      <w:r w:rsidR="00FC2FB1" w:rsidRPr="00F72FB0">
        <w:rPr>
          <w:lang w:val="en-GB"/>
        </w:rPr>
        <w:t xml:space="preserve"> </w:t>
      </w:r>
      <w:r w:rsidRPr="00F72FB0">
        <w:rPr>
          <w:lang w:val="en-GB"/>
        </w:rPr>
        <w:t>national</w:t>
      </w:r>
      <w:r w:rsidR="00FC2FB1" w:rsidRPr="00F72FB0">
        <w:rPr>
          <w:lang w:val="en-GB"/>
        </w:rPr>
        <w:t xml:space="preserve"> </w:t>
      </w:r>
      <w:r w:rsidRPr="001379A4">
        <w:rPr>
          <w:i/>
          <w:iCs/>
          <w:lang w:val="en-GB"/>
        </w:rPr>
        <w:t>legislation</w:t>
      </w:r>
      <w:r w:rsidRPr="00F72FB0">
        <w:rPr>
          <w:lang w:val="en-GB"/>
        </w:rPr>
        <w:t>.</w:t>
      </w:r>
      <w:r w:rsidRPr="00F72FB0">
        <w:rPr>
          <w:rStyle w:val="Alaviitteenviite"/>
          <w:lang w:val="en-GB"/>
        </w:rPr>
        <w:footnoteReference w:id="33"/>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interviews</w:t>
      </w:r>
      <w:r w:rsidR="00FC2FB1" w:rsidRPr="00F72FB0">
        <w:rPr>
          <w:lang w:val="en-GB"/>
        </w:rPr>
        <w:t xml:space="preserve"> </w:t>
      </w:r>
      <w:r w:rsidRPr="00F72FB0">
        <w:rPr>
          <w:lang w:val="en-GB"/>
        </w:rPr>
        <w:t>for</w:t>
      </w:r>
      <w:r w:rsidR="00FC2FB1" w:rsidRPr="00F72FB0">
        <w:rPr>
          <w:lang w:val="en-GB"/>
        </w:rPr>
        <w:t xml:space="preserve"> </w:t>
      </w:r>
      <w:r w:rsidR="00D54B7B" w:rsidRPr="00F72FB0">
        <w:rPr>
          <w:lang w:val="en-GB"/>
        </w:rPr>
        <w:t>competition</w:t>
      </w:r>
      <w:r w:rsidR="00FC2FB1" w:rsidRPr="00F72FB0">
        <w:rPr>
          <w:lang w:val="en-GB"/>
        </w:rPr>
        <w:t xml:space="preserve"> </w:t>
      </w:r>
      <w:r w:rsidR="00D54B7B" w:rsidRPr="00F72FB0">
        <w:rPr>
          <w:lang w:val="en-GB"/>
        </w:rPr>
        <w:t>and</w:t>
      </w:r>
      <w:r w:rsidR="00FC2FB1" w:rsidRPr="00F72FB0">
        <w:rPr>
          <w:lang w:val="en-GB"/>
        </w:rPr>
        <w:t xml:space="preserve"> </w:t>
      </w:r>
      <w:r w:rsidR="00D54B7B" w:rsidRPr="00F72FB0">
        <w:rPr>
          <w:lang w:val="en-GB"/>
        </w:rPr>
        <w:t>State</w:t>
      </w:r>
      <w:r w:rsidR="00FC2FB1" w:rsidRPr="00F72FB0">
        <w:rPr>
          <w:lang w:val="en-GB"/>
        </w:rPr>
        <w:t xml:space="preserve"> </w:t>
      </w:r>
      <w:r w:rsidR="00D54B7B" w:rsidRPr="00F72FB0">
        <w:rPr>
          <w:lang w:val="en-GB"/>
        </w:rPr>
        <w:t>aid</w:t>
      </w:r>
      <w:r w:rsidR="00FC2FB1" w:rsidRPr="00F72FB0">
        <w:rPr>
          <w:lang w:val="en-GB"/>
        </w:rPr>
        <w:t xml:space="preserve"> </w:t>
      </w:r>
      <w:r w:rsidR="00D54B7B" w:rsidRPr="00F72FB0">
        <w:rPr>
          <w:lang w:val="en-GB"/>
        </w:rPr>
        <w:t>confirmed</w:t>
      </w:r>
      <w:r w:rsidR="00FC2FB1" w:rsidRPr="00F72FB0">
        <w:rPr>
          <w:lang w:val="en-GB"/>
        </w:rPr>
        <w:t xml:space="preserve"> </w:t>
      </w:r>
      <w:r w:rsidR="00D54B7B" w:rsidRPr="00F72FB0">
        <w:rPr>
          <w:lang w:val="en-GB"/>
        </w:rPr>
        <w:t>that</w:t>
      </w:r>
      <w:r w:rsidR="00FC2FB1" w:rsidRPr="00F72FB0">
        <w:rPr>
          <w:lang w:val="en-GB"/>
        </w:rPr>
        <w:t xml:space="preserve"> </w:t>
      </w:r>
      <w:r w:rsidR="00D54B7B" w:rsidRPr="00F72FB0">
        <w:rPr>
          <w:lang w:val="en-GB"/>
        </w:rPr>
        <w:t>soft</w:t>
      </w:r>
      <w:r w:rsidR="00FC2FB1" w:rsidRPr="00F72FB0">
        <w:rPr>
          <w:lang w:val="en-GB"/>
        </w:rPr>
        <w:t xml:space="preserve"> </w:t>
      </w:r>
      <w:r w:rsidR="00D54B7B" w:rsidRPr="00F72FB0">
        <w:rPr>
          <w:lang w:val="en-GB"/>
        </w:rPr>
        <w:t>law</w:t>
      </w:r>
      <w:r w:rsidR="00FC2FB1" w:rsidRPr="00F72FB0">
        <w:rPr>
          <w:lang w:val="en-GB"/>
        </w:rPr>
        <w:t xml:space="preserve"> </w:t>
      </w:r>
      <w:r w:rsidR="00D54B7B" w:rsidRPr="00F72FB0">
        <w:rPr>
          <w:lang w:val="en-GB"/>
        </w:rPr>
        <w:t>is</w:t>
      </w:r>
      <w:r w:rsidR="00FC2FB1" w:rsidRPr="00F72FB0">
        <w:rPr>
          <w:lang w:val="en-GB"/>
        </w:rPr>
        <w:t xml:space="preserve"> </w:t>
      </w:r>
      <w:r w:rsidR="00D54B7B" w:rsidRPr="00F72FB0">
        <w:rPr>
          <w:lang w:val="en-GB"/>
        </w:rPr>
        <w:t>placed</w:t>
      </w:r>
      <w:r w:rsidR="00FC2FB1" w:rsidRPr="00F72FB0">
        <w:rPr>
          <w:lang w:val="en-GB"/>
        </w:rPr>
        <w:t xml:space="preserve"> </w:t>
      </w:r>
      <w:r w:rsidR="00D54B7B" w:rsidRPr="00F72FB0">
        <w:rPr>
          <w:lang w:val="en-GB"/>
        </w:rPr>
        <w:t>at</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bottom</w:t>
      </w:r>
      <w:r w:rsidR="00FC2FB1" w:rsidRPr="00F72FB0">
        <w:rPr>
          <w:lang w:val="en-GB"/>
        </w:rPr>
        <w:t xml:space="preserve"> </w:t>
      </w:r>
      <w:r w:rsidR="00D54B7B" w:rsidRPr="00F72FB0">
        <w:rPr>
          <w:lang w:val="en-GB"/>
        </w:rPr>
        <w:t>of</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hierarchy</w:t>
      </w:r>
      <w:r w:rsidR="00FC2FB1" w:rsidRPr="00F72FB0">
        <w:rPr>
          <w:lang w:val="en-GB"/>
        </w:rPr>
        <w:t xml:space="preserve"> </w:t>
      </w:r>
      <w:r w:rsidR="00D54B7B" w:rsidRPr="00F72FB0">
        <w:rPr>
          <w:lang w:val="en-GB"/>
        </w:rPr>
        <w:t>of</w:t>
      </w:r>
      <w:r w:rsidR="00FC2FB1" w:rsidRPr="00F72FB0">
        <w:rPr>
          <w:lang w:val="en-GB"/>
        </w:rPr>
        <w:t xml:space="preserve"> </w:t>
      </w:r>
      <w:r w:rsidR="00D54B7B" w:rsidRPr="00F72FB0">
        <w:rPr>
          <w:lang w:val="en-GB"/>
        </w:rPr>
        <w:t>legal</w:t>
      </w:r>
      <w:r w:rsidR="00FC2FB1" w:rsidRPr="00F72FB0">
        <w:rPr>
          <w:lang w:val="en-GB"/>
        </w:rPr>
        <w:t xml:space="preserve"> </w:t>
      </w:r>
      <w:r w:rsidR="00D54B7B" w:rsidRPr="00F72FB0">
        <w:rPr>
          <w:lang w:val="en-GB"/>
        </w:rPr>
        <w:t>sources</w:t>
      </w:r>
      <w:r w:rsidR="00F7130A" w:rsidRPr="00F72FB0">
        <w:rPr>
          <w:lang w:val="en-GB"/>
        </w:rPr>
        <w:t>. Hard law instruments (that are further explained by soft law), as well as case law rank higher</w:t>
      </w:r>
      <w:r w:rsidR="009B1B9D" w:rsidRPr="00F72FB0">
        <w:rPr>
          <w:lang w:val="en-GB"/>
        </w:rPr>
        <w:t xml:space="preserve">. </w:t>
      </w:r>
      <w:r w:rsidR="00D54B7B" w:rsidRPr="00F72FB0">
        <w:rPr>
          <w:lang w:val="en-GB"/>
        </w:rPr>
        <w:t>One</w:t>
      </w:r>
      <w:r w:rsidR="00FC2FB1" w:rsidRPr="00F72FB0">
        <w:rPr>
          <w:lang w:val="en-GB"/>
        </w:rPr>
        <w:t xml:space="preserve"> </w:t>
      </w:r>
      <w:r w:rsidR="00D54B7B" w:rsidRPr="00F72FB0">
        <w:rPr>
          <w:lang w:val="en-GB"/>
        </w:rPr>
        <w:t>interviewee</w:t>
      </w:r>
      <w:r w:rsidR="00FC2FB1" w:rsidRPr="00F72FB0">
        <w:rPr>
          <w:lang w:val="en-GB"/>
        </w:rPr>
        <w:t xml:space="preserve"> </w:t>
      </w:r>
      <w:r w:rsidR="00D54B7B" w:rsidRPr="00F72FB0">
        <w:rPr>
          <w:lang w:val="en-GB"/>
        </w:rPr>
        <w:t>mentioned</w:t>
      </w:r>
      <w:r w:rsidR="00FC2FB1" w:rsidRPr="00F72FB0">
        <w:rPr>
          <w:lang w:val="en-GB"/>
        </w:rPr>
        <w:t xml:space="preserve"> </w:t>
      </w:r>
      <w:r w:rsidR="00D54B7B" w:rsidRPr="00F72FB0">
        <w:rPr>
          <w:lang w:val="en-GB"/>
        </w:rPr>
        <w:t>that</w:t>
      </w:r>
      <w:r w:rsidR="00FC2FB1" w:rsidRPr="00F72FB0">
        <w:rPr>
          <w:lang w:val="en-GB"/>
        </w:rPr>
        <w:t xml:space="preserve"> </w:t>
      </w:r>
      <w:r w:rsidR="00D54B7B" w:rsidRPr="00F72FB0">
        <w:rPr>
          <w:lang w:val="en-GB"/>
        </w:rPr>
        <w:t>it</w:t>
      </w:r>
      <w:r w:rsidR="00FC2FB1" w:rsidRPr="00F72FB0">
        <w:rPr>
          <w:lang w:val="en-GB"/>
        </w:rPr>
        <w:t xml:space="preserve"> </w:t>
      </w:r>
      <w:r w:rsidR="00D54B7B" w:rsidRPr="00F72FB0">
        <w:rPr>
          <w:lang w:val="en-GB"/>
        </w:rPr>
        <w:t>is</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duty</w:t>
      </w:r>
      <w:r w:rsidR="00FC2FB1" w:rsidRPr="00F72FB0">
        <w:rPr>
          <w:lang w:val="en-GB"/>
        </w:rPr>
        <w:t xml:space="preserve"> </w:t>
      </w:r>
      <w:r w:rsidR="00D54B7B" w:rsidRPr="00F72FB0">
        <w:rPr>
          <w:lang w:val="en-GB"/>
        </w:rPr>
        <w:t>of</w:t>
      </w:r>
      <w:r w:rsidR="00FC2FB1" w:rsidRPr="00F72FB0">
        <w:rPr>
          <w:lang w:val="en-GB"/>
        </w:rPr>
        <w:t xml:space="preserve"> </w:t>
      </w:r>
      <w:r w:rsidR="00D54B7B" w:rsidRPr="00F72FB0">
        <w:rPr>
          <w:lang w:val="en-GB"/>
        </w:rPr>
        <w:t>the</w:t>
      </w:r>
      <w:r w:rsidR="00FC2FB1" w:rsidRPr="00F72FB0">
        <w:rPr>
          <w:lang w:val="en-GB"/>
        </w:rPr>
        <w:t xml:space="preserve"> </w:t>
      </w:r>
      <w:r w:rsidR="00D54B7B" w:rsidRPr="00F72FB0">
        <w:rPr>
          <w:lang w:val="en-GB"/>
        </w:rPr>
        <w:t>administration</w:t>
      </w:r>
      <w:r w:rsidR="00FC2FB1" w:rsidRPr="00F72FB0">
        <w:rPr>
          <w:lang w:val="en-GB"/>
        </w:rPr>
        <w:t xml:space="preserve"> </w:t>
      </w:r>
      <w:r w:rsidR="00D54B7B" w:rsidRPr="00F72FB0">
        <w:rPr>
          <w:lang w:val="en-GB"/>
        </w:rPr>
        <w:t>to</w:t>
      </w:r>
      <w:r w:rsidR="00FC2FB1" w:rsidRPr="00F72FB0">
        <w:rPr>
          <w:lang w:val="en-GB"/>
        </w:rPr>
        <w:t xml:space="preserve"> </w:t>
      </w:r>
      <w:r w:rsidR="00D54B7B" w:rsidRPr="00F72FB0">
        <w:rPr>
          <w:lang w:val="en-GB"/>
        </w:rPr>
        <w:t>keep</w:t>
      </w:r>
      <w:r w:rsidR="00FC2FB1" w:rsidRPr="00F72FB0">
        <w:rPr>
          <w:lang w:val="en-GB"/>
        </w:rPr>
        <w:t xml:space="preserve"> </w:t>
      </w:r>
      <w:r w:rsidR="00D54B7B" w:rsidRPr="00F72FB0">
        <w:rPr>
          <w:lang w:val="en-GB"/>
        </w:rPr>
        <w:t>track</w:t>
      </w:r>
      <w:r w:rsidR="00FC2FB1" w:rsidRPr="00F72FB0">
        <w:rPr>
          <w:lang w:val="en-GB"/>
        </w:rPr>
        <w:t xml:space="preserve"> </w:t>
      </w:r>
      <w:r w:rsidR="00D54B7B" w:rsidRPr="00F72FB0">
        <w:rPr>
          <w:lang w:val="en-GB"/>
        </w:rPr>
        <w:t>of</w:t>
      </w:r>
      <w:r w:rsidR="00FC2FB1" w:rsidRPr="00F72FB0">
        <w:rPr>
          <w:lang w:val="en-GB"/>
        </w:rPr>
        <w:t xml:space="preserve"> </w:t>
      </w:r>
      <w:r w:rsidR="00D54B7B" w:rsidRPr="00F72FB0">
        <w:rPr>
          <w:lang w:val="en-GB"/>
        </w:rPr>
        <w:t>such</w:t>
      </w:r>
      <w:r w:rsidR="00FC2FB1" w:rsidRPr="00F72FB0">
        <w:rPr>
          <w:lang w:val="en-GB"/>
        </w:rPr>
        <w:t xml:space="preserve"> </w:t>
      </w:r>
      <w:r w:rsidR="00D54B7B" w:rsidRPr="00F72FB0">
        <w:rPr>
          <w:lang w:val="en-GB"/>
        </w:rPr>
        <w:t>clashes,</w:t>
      </w:r>
      <w:r w:rsidR="00FC2FB1" w:rsidRPr="00F72FB0">
        <w:rPr>
          <w:lang w:val="en-GB"/>
        </w:rPr>
        <w:t xml:space="preserve"> </w:t>
      </w:r>
      <w:r w:rsidR="00D54B7B" w:rsidRPr="00F72FB0">
        <w:rPr>
          <w:lang w:val="en-GB"/>
        </w:rPr>
        <w:t>as</w:t>
      </w:r>
      <w:r w:rsidR="00FC2FB1" w:rsidRPr="00F72FB0">
        <w:rPr>
          <w:lang w:val="en-GB"/>
        </w:rPr>
        <w:t xml:space="preserve"> </w:t>
      </w:r>
      <w:r w:rsidR="00D54B7B" w:rsidRPr="00F72FB0">
        <w:rPr>
          <w:lang w:val="en-GB"/>
        </w:rPr>
        <w:t>businesses</w:t>
      </w:r>
      <w:r w:rsidR="00FC2FB1" w:rsidRPr="00F72FB0">
        <w:rPr>
          <w:lang w:val="en-GB"/>
        </w:rPr>
        <w:t xml:space="preserve"> </w:t>
      </w:r>
      <w:r w:rsidR="00D54B7B" w:rsidRPr="00F72FB0">
        <w:rPr>
          <w:lang w:val="en-GB"/>
        </w:rPr>
        <w:t>(especially</w:t>
      </w:r>
      <w:r w:rsidR="00FC2FB1" w:rsidRPr="00F72FB0">
        <w:rPr>
          <w:lang w:val="en-GB"/>
        </w:rPr>
        <w:t xml:space="preserve"> </w:t>
      </w:r>
      <w:r w:rsidR="00D54B7B" w:rsidRPr="00F72FB0">
        <w:rPr>
          <w:lang w:val="en-GB"/>
        </w:rPr>
        <w:t>SMEs)</w:t>
      </w:r>
      <w:r w:rsidR="00FC2FB1" w:rsidRPr="00F72FB0">
        <w:rPr>
          <w:lang w:val="en-GB"/>
        </w:rPr>
        <w:t xml:space="preserve"> </w:t>
      </w:r>
      <w:r w:rsidR="00D54B7B" w:rsidRPr="00F72FB0">
        <w:rPr>
          <w:lang w:val="en-GB"/>
        </w:rPr>
        <w:t>will</w:t>
      </w:r>
      <w:r w:rsidR="00FC2FB1" w:rsidRPr="00F72FB0">
        <w:rPr>
          <w:lang w:val="en-GB"/>
        </w:rPr>
        <w:t xml:space="preserve"> </w:t>
      </w:r>
      <w:r w:rsidR="00D54B7B" w:rsidRPr="00F72FB0">
        <w:rPr>
          <w:lang w:val="en-GB"/>
        </w:rPr>
        <w:t>find</w:t>
      </w:r>
      <w:r w:rsidR="00FC2FB1" w:rsidRPr="00F72FB0">
        <w:rPr>
          <w:lang w:val="en-GB"/>
        </w:rPr>
        <w:t xml:space="preserve"> </w:t>
      </w:r>
      <w:r w:rsidR="00D54B7B" w:rsidRPr="00F72FB0">
        <w:rPr>
          <w:lang w:val="en-GB"/>
        </w:rPr>
        <w:t>it</w:t>
      </w:r>
      <w:r w:rsidR="00FC2FB1" w:rsidRPr="00F72FB0">
        <w:rPr>
          <w:lang w:val="en-GB"/>
        </w:rPr>
        <w:t xml:space="preserve"> </w:t>
      </w:r>
      <w:r w:rsidR="00D54B7B" w:rsidRPr="00F72FB0">
        <w:rPr>
          <w:lang w:val="en-GB"/>
        </w:rPr>
        <w:t>difficult</w:t>
      </w:r>
      <w:r w:rsidR="00FC2FB1" w:rsidRPr="00F72FB0">
        <w:rPr>
          <w:lang w:val="en-GB"/>
        </w:rPr>
        <w:t xml:space="preserve"> </w:t>
      </w:r>
      <w:r w:rsidR="00D54B7B" w:rsidRPr="00F72FB0">
        <w:rPr>
          <w:lang w:val="en-GB"/>
        </w:rPr>
        <w:t>to</w:t>
      </w:r>
      <w:r w:rsidR="00FC2FB1" w:rsidRPr="00F72FB0">
        <w:rPr>
          <w:lang w:val="en-GB"/>
        </w:rPr>
        <w:t xml:space="preserve"> </w:t>
      </w:r>
      <w:r w:rsidR="00D54B7B" w:rsidRPr="00F72FB0">
        <w:rPr>
          <w:lang w:val="en-GB"/>
        </w:rPr>
        <w:t>scrutini</w:t>
      </w:r>
      <w:r w:rsidR="00B7637E">
        <w:rPr>
          <w:lang w:val="en-GB"/>
        </w:rPr>
        <w:t>s</w:t>
      </w:r>
      <w:r w:rsidR="00D54B7B" w:rsidRPr="00F72FB0">
        <w:rPr>
          <w:lang w:val="en-GB"/>
        </w:rPr>
        <w:t>e</w:t>
      </w:r>
      <w:r w:rsidR="00FC2FB1" w:rsidRPr="00F72FB0">
        <w:rPr>
          <w:lang w:val="en-GB"/>
        </w:rPr>
        <w:t xml:space="preserve"> </w:t>
      </w:r>
      <w:r w:rsidR="00D54B7B" w:rsidRPr="00F72FB0">
        <w:rPr>
          <w:lang w:val="en-GB"/>
        </w:rPr>
        <w:t>everything.</w:t>
      </w:r>
      <w:r w:rsidR="00FC2FB1" w:rsidRPr="00F72FB0">
        <w:rPr>
          <w:lang w:val="en-GB"/>
        </w:rPr>
        <w:t xml:space="preserve"> </w:t>
      </w:r>
      <w:r w:rsidR="000D46F7">
        <w:rPr>
          <w:rStyle w:val="Alaviitteenviite"/>
          <w:lang w:val="en-GB"/>
        </w:rPr>
        <w:footnoteReference w:id="34"/>
      </w:r>
    </w:p>
    <w:p w14:paraId="6F98CFF7" w14:textId="77777777" w:rsidR="00CC672E" w:rsidRDefault="00CC672E" w:rsidP="00CC672E">
      <w:pPr>
        <w:spacing w:line="360" w:lineRule="auto"/>
        <w:contextualSpacing/>
        <w:jc w:val="both"/>
        <w:rPr>
          <w:color w:val="000000" w:themeColor="text1"/>
          <w:lang w:val="en-GB"/>
        </w:rPr>
      </w:pPr>
    </w:p>
    <w:p w14:paraId="57040986" w14:textId="352F84D5" w:rsidR="00D54B7B" w:rsidRPr="00CC672E" w:rsidRDefault="00CC672E" w:rsidP="00CC672E">
      <w:pPr>
        <w:spacing w:line="360" w:lineRule="auto"/>
        <w:contextualSpacing/>
        <w:jc w:val="both"/>
        <w:rPr>
          <w:lang w:val="en-GB"/>
        </w:rPr>
      </w:pPr>
      <w:r>
        <w:rPr>
          <w:color w:val="000000" w:themeColor="text1"/>
          <w:lang w:val="en-GB"/>
        </w:rPr>
        <w:t xml:space="preserve">iii) </w:t>
      </w:r>
      <w:r w:rsidR="00D54B7B" w:rsidRPr="00F72FB0">
        <w:rPr>
          <w:color w:val="000000" w:themeColor="text1"/>
          <w:lang w:val="en-GB"/>
        </w:rPr>
        <w:t>Mutual</w:t>
      </w:r>
      <w:r w:rsidR="00FC2FB1" w:rsidRPr="00F72FB0">
        <w:rPr>
          <w:color w:val="000000" w:themeColor="text1"/>
          <w:lang w:val="en-GB"/>
        </w:rPr>
        <w:t xml:space="preserve"> </w:t>
      </w:r>
      <w:r w:rsidR="00D54B7B" w:rsidRPr="00F72FB0">
        <w:rPr>
          <w:color w:val="000000" w:themeColor="text1"/>
          <w:lang w:val="en-GB"/>
        </w:rPr>
        <w:t>learning</w:t>
      </w:r>
      <w:r w:rsidR="00FC2FB1" w:rsidRPr="00F72FB0">
        <w:rPr>
          <w:color w:val="000000" w:themeColor="text1"/>
          <w:lang w:val="en-GB"/>
        </w:rPr>
        <w:t xml:space="preserve"> </w:t>
      </w:r>
      <w:r w:rsidR="00D54B7B" w:rsidRPr="00F72FB0">
        <w:rPr>
          <w:color w:val="000000" w:themeColor="text1"/>
          <w:lang w:val="en-GB"/>
        </w:rPr>
        <w:t>through</w:t>
      </w:r>
      <w:r w:rsidR="00FC2FB1" w:rsidRPr="00F72FB0">
        <w:rPr>
          <w:color w:val="000000" w:themeColor="text1"/>
          <w:lang w:val="en-GB"/>
        </w:rPr>
        <w:t xml:space="preserve"> </w:t>
      </w:r>
      <w:r w:rsidR="00D54B7B" w:rsidRPr="00F72FB0">
        <w:rPr>
          <w:color w:val="000000" w:themeColor="text1"/>
          <w:lang w:val="en-GB"/>
        </w:rPr>
        <w:t>soft</w:t>
      </w:r>
      <w:r w:rsidR="00FC2FB1" w:rsidRPr="00F72FB0">
        <w:rPr>
          <w:color w:val="000000" w:themeColor="text1"/>
          <w:lang w:val="en-GB"/>
        </w:rPr>
        <w:t xml:space="preserve"> </w:t>
      </w:r>
      <w:r w:rsidR="00D54B7B" w:rsidRPr="00F72FB0">
        <w:rPr>
          <w:color w:val="000000" w:themeColor="text1"/>
          <w:lang w:val="en-GB"/>
        </w:rPr>
        <w:t>law</w:t>
      </w:r>
    </w:p>
    <w:p w14:paraId="31F86234" w14:textId="20DC38F6" w:rsidR="00D54B7B" w:rsidRPr="00F72FB0" w:rsidRDefault="00D54B7B" w:rsidP="00E14136">
      <w:pPr>
        <w:spacing w:line="360" w:lineRule="auto"/>
        <w:contextualSpacing/>
        <w:jc w:val="both"/>
        <w:rPr>
          <w:color w:val="000000" w:themeColor="text1"/>
          <w:lang w:val="en-GB"/>
        </w:rPr>
      </w:pPr>
    </w:p>
    <w:p w14:paraId="72D22595" w14:textId="77777777" w:rsidR="00CC672E" w:rsidRDefault="00D54B7B" w:rsidP="00E14136">
      <w:pPr>
        <w:spacing w:line="360" w:lineRule="auto"/>
        <w:contextualSpacing/>
        <w:jc w:val="both"/>
        <w:rPr>
          <w:lang w:val="en-GB"/>
        </w:rPr>
      </w:pP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shows</w:t>
      </w:r>
      <w:r w:rsidR="00FC2FB1" w:rsidRPr="00F72FB0">
        <w:rPr>
          <w:lang w:val="en-GB"/>
        </w:rPr>
        <w:t xml:space="preserve"> </w:t>
      </w:r>
      <w:r w:rsidRPr="00F72FB0">
        <w:rPr>
          <w:lang w:val="en-GB"/>
        </w:rPr>
        <w:t>once</w:t>
      </w:r>
      <w:r w:rsidR="00FC2FB1" w:rsidRPr="00F72FB0">
        <w:rPr>
          <w:lang w:val="en-GB"/>
        </w:rPr>
        <w:t xml:space="preserve"> </w:t>
      </w:r>
      <w:r w:rsidRPr="00F72FB0">
        <w:rPr>
          <w:lang w:val="en-GB"/>
        </w:rPr>
        <w:t>again</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legal</w:t>
      </w:r>
      <w:r w:rsidR="00FC2FB1" w:rsidRPr="00F72FB0">
        <w:rPr>
          <w:lang w:val="en-GB"/>
        </w:rPr>
        <w:t xml:space="preserve"> </w:t>
      </w:r>
      <w:r w:rsidRPr="00F72FB0">
        <w:rPr>
          <w:lang w:val="en-GB"/>
        </w:rPr>
        <w:t>systems</w:t>
      </w:r>
      <w:r w:rsidR="00FC2FB1" w:rsidRPr="00F72FB0">
        <w:rPr>
          <w:lang w:val="en-GB"/>
        </w:rPr>
        <w:t xml:space="preserve"> </w:t>
      </w:r>
      <w:r w:rsidRPr="00F72FB0">
        <w:rPr>
          <w:lang w:val="en-GB"/>
        </w:rPr>
        <w:t>coexist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environment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dialogue</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mutual</w:t>
      </w:r>
      <w:r w:rsidR="00FC2FB1" w:rsidRPr="00F72FB0">
        <w:rPr>
          <w:lang w:val="en-GB"/>
        </w:rPr>
        <w:t xml:space="preserve"> </w:t>
      </w:r>
      <w:r w:rsidRPr="00F72FB0">
        <w:rPr>
          <w:lang w:val="en-GB"/>
        </w:rPr>
        <w:t>exchange.</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hand,</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writing</w:t>
      </w:r>
      <w:r w:rsidR="00FC2FB1" w:rsidRPr="00F72FB0">
        <w:rPr>
          <w:lang w:val="en-GB"/>
        </w:rPr>
        <w:t xml:space="preserve"> </w:t>
      </w:r>
      <w:r w:rsidRPr="00F72FB0">
        <w:rPr>
          <w:lang w:val="en-GB"/>
        </w:rPr>
        <w:t>techniques</w:t>
      </w:r>
      <w:r w:rsidR="00FC2FB1" w:rsidRPr="00F72FB0">
        <w:rPr>
          <w:lang w:val="en-GB"/>
        </w:rPr>
        <w:t xml:space="preserve"> </w:t>
      </w:r>
      <w:r w:rsidRPr="00F72FB0">
        <w:rPr>
          <w:lang w:val="en-GB"/>
        </w:rPr>
        <w:t>might</w:t>
      </w:r>
      <w:r w:rsidR="00FC2FB1" w:rsidRPr="00F72FB0">
        <w:rPr>
          <w:lang w:val="en-GB"/>
        </w:rPr>
        <w:t xml:space="preserve"> </w:t>
      </w:r>
      <w:r w:rsidRPr="00F72FB0">
        <w:rPr>
          <w:lang w:val="en-GB"/>
        </w:rPr>
        <w:t>inspire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authorities.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example,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FCA</w:t>
      </w:r>
      <w:r w:rsidR="00FC2FB1" w:rsidRPr="00F72FB0">
        <w:rPr>
          <w:lang w:val="en-GB"/>
        </w:rPr>
        <w:t xml:space="preserve"> </w:t>
      </w:r>
      <w:r w:rsidRPr="00F72FB0">
        <w:rPr>
          <w:lang w:val="en-GB"/>
        </w:rPr>
        <w:t>makes</w:t>
      </w:r>
      <w:r w:rsidR="00FC2FB1" w:rsidRPr="00F72FB0">
        <w:rPr>
          <w:lang w:val="en-GB"/>
        </w:rPr>
        <w:t xml:space="preserve"> </w:t>
      </w:r>
      <w:r w:rsidRPr="00F72FB0">
        <w:rPr>
          <w:lang w:val="en-GB"/>
        </w:rPr>
        <w:t>recourse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Q&amp;As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handbook</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order</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shed</w:t>
      </w:r>
      <w:r w:rsidR="00FC2FB1" w:rsidRPr="00F72FB0">
        <w:rPr>
          <w:lang w:val="en-GB"/>
        </w:rPr>
        <w:t xml:space="preserve"> </w:t>
      </w:r>
      <w:r w:rsidRPr="00F72FB0">
        <w:rPr>
          <w:lang w:val="en-GB"/>
        </w:rPr>
        <w:t>further</w:t>
      </w:r>
      <w:r w:rsidR="00FC2FB1" w:rsidRPr="00F72FB0">
        <w:rPr>
          <w:lang w:val="en-GB"/>
        </w:rPr>
        <w:t xml:space="preserve"> </w:t>
      </w:r>
      <w:r w:rsidRPr="00F72FB0">
        <w:rPr>
          <w:lang w:val="en-GB"/>
        </w:rPr>
        <w:t>light</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rules.</w:t>
      </w:r>
      <w:r w:rsidRPr="00F72FB0">
        <w:rPr>
          <w:rStyle w:val="Alaviitteenviite"/>
          <w:lang w:val="en-GB"/>
        </w:rPr>
        <w:footnoteReference w:id="35"/>
      </w:r>
      <w:r w:rsidR="00FC2FB1" w:rsidRPr="00F72FB0">
        <w:rPr>
          <w:lang w:val="en-GB"/>
        </w:rPr>
        <w:t xml:space="preserve"> </w:t>
      </w:r>
      <w:r w:rsidRPr="00F72FB0">
        <w:rPr>
          <w:lang w:val="en-GB"/>
        </w:rPr>
        <w:t>Furthermore,</w:t>
      </w:r>
      <w:r w:rsidR="00FC2FB1" w:rsidRPr="00F72FB0">
        <w:rPr>
          <w:lang w:val="en-GB"/>
        </w:rPr>
        <w:t xml:space="preserve"> </w:t>
      </w:r>
      <w:r w:rsidRPr="00F72FB0">
        <w:rPr>
          <w:lang w:val="en-GB"/>
        </w:rPr>
        <w:t>some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heavily</w:t>
      </w:r>
      <w:r w:rsidR="00FC2FB1" w:rsidRPr="00F72FB0">
        <w:rPr>
          <w:lang w:val="en-GB"/>
        </w:rPr>
        <w:t xml:space="preserve"> </w:t>
      </w:r>
      <w:r w:rsidRPr="00F72FB0">
        <w:rPr>
          <w:lang w:val="en-GB"/>
        </w:rPr>
        <w:t>influenced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content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regional</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Pr="00F72FB0">
        <w:rPr>
          <w:rStyle w:val="Alaviitteenviite"/>
          <w:lang w:val="en-GB"/>
        </w:rPr>
        <w:footnoteReference w:id="36"/>
      </w:r>
      <w:r w:rsidR="00FC2FB1" w:rsidRPr="00F72FB0">
        <w:rPr>
          <w:lang w:val="en-GB"/>
        </w:rPr>
        <w:t xml:space="preserve"> </w:t>
      </w:r>
      <w:r w:rsidRPr="00F72FB0">
        <w:rPr>
          <w:lang w:val="en-GB"/>
        </w:rPr>
        <w:t>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other</w:t>
      </w:r>
      <w:r w:rsidR="00FC2FB1" w:rsidRPr="00F72FB0">
        <w:rPr>
          <w:lang w:val="en-GB"/>
        </w:rPr>
        <w:t xml:space="preserve"> </w:t>
      </w:r>
      <w:r w:rsidRPr="00F72FB0">
        <w:rPr>
          <w:lang w:val="en-GB"/>
        </w:rPr>
        <w:t>hand,</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sometimes</w:t>
      </w:r>
      <w:r w:rsidR="00FC2FB1" w:rsidRPr="00F72FB0">
        <w:rPr>
          <w:lang w:val="en-GB"/>
        </w:rPr>
        <w:t xml:space="preserve"> </w:t>
      </w:r>
      <w:r w:rsidRPr="00F72FB0">
        <w:rPr>
          <w:lang w:val="en-GB"/>
        </w:rPr>
        <w:t>either</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inspired</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drafted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collaboration</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authorities.</w:t>
      </w:r>
      <w:r w:rsidR="00FC2FB1" w:rsidRPr="00F72FB0">
        <w:rPr>
          <w:lang w:val="en-GB"/>
        </w:rPr>
        <w:t xml:space="preserve"> </w:t>
      </w:r>
      <w:r w:rsidRPr="00F72FB0">
        <w:rPr>
          <w:lang w:val="en-GB"/>
        </w:rPr>
        <w:t>Some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recent,</w:t>
      </w:r>
      <w:r w:rsidR="00FC2FB1" w:rsidRPr="00F72FB0">
        <w:rPr>
          <w:lang w:val="en-GB"/>
        </w:rPr>
        <w:t xml:space="preserve"> </w:t>
      </w:r>
      <w:r w:rsidRPr="00F72FB0">
        <w:rPr>
          <w:lang w:val="en-GB"/>
        </w:rPr>
        <w:t>most</w:t>
      </w:r>
      <w:r w:rsidR="00FC2FB1" w:rsidRPr="00F72FB0">
        <w:rPr>
          <w:lang w:val="en-GB"/>
        </w:rPr>
        <w:t xml:space="preserve"> </w:t>
      </w:r>
      <w:r w:rsidRPr="00F72FB0">
        <w:rPr>
          <w:lang w:val="en-GB"/>
        </w:rPr>
        <w:t>interesting</w:t>
      </w:r>
      <w:r w:rsidR="00FC2FB1" w:rsidRPr="00F72FB0">
        <w:rPr>
          <w:lang w:val="en-GB"/>
        </w:rPr>
        <w:t xml:space="preserve"> </w:t>
      </w:r>
      <w:r w:rsidRPr="00F72FB0">
        <w:rPr>
          <w:lang w:val="en-GB"/>
        </w:rPr>
        <w:t>developments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compatibility</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State</w:t>
      </w:r>
      <w:r w:rsidR="00FC2FB1" w:rsidRPr="00F72FB0">
        <w:rPr>
          <w:lang w:val="en-GB"/>
        </w:rPr>
        <w:t xml:space="preserve"> </w:t>
      </w:r>
      <w:r w:rsidRPr="00F72FB0">
        <w:rPr>
          <w:lang w:val="en-GB"/>
        </w:rPr>
        <w:t>aid</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energy</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objectives</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been</w:t>
      </w:r>
      <w:r w:rsidR="00FC2FB1" w:rsidRPr="00F72FB0">
        <w:rPr>
          <w:lang w:val="en-GB"/>
        </w:rPr>
        <w:t xml:space="preserve"> </w:t>
      </w:r>
      <w:r w:rsidRPr="00F72FB0">
        <w:rPr>
          <w:lang w:val="en-GB"/>
        </w:rPr>
        <w:t>modelled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cases</w:t>
      </w:r>
      <w:r w:rsidRPr="00F72FB0">
        <w:rPr>
          <w:vertAlign w:val="superscript"/>
          <w:lang w:val="en-GB"/>
        </w:rPr>
        <w:footnoteReference w:id="37"/>
      </w:r>
      <w:r w:rsidR="00FC2FB1" w:rsidRPr="00F72FB0">
        <w:rPr>
          <w:lang w:val="en-GB"/>
        </w:rPr>
        <w:t xml:space="preserve"> </w:t>
      </w:r>
      <w:r w:rsidRPr="00F72FB0">
        <w:rPr>
          <w:lang w:val="en-GB"/>
        </w:rPr>
        <w:t>approving</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various</w:t>
      </w:r>
      <w:r w:rsidR="00FC2FB1" w:rsidRPr="00F72FB0">
        <w:rPr>
          <w:lang w:val="en-GB"/>
        </w:rPr>
        <w:t xml:space="preserve"> </w:t>
      </w:r>
      <w:r w:rsidRPr="00F72FB0">
        <w:rPr>
          <w:lang w:val="en-GB"/>
        </w:rPr>
        <w:t>forms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support</w:t>
      </w:r>
      <w:r w:rsidR="00FC2FB1" w:rsidRPr="00F72FB0">
        <w:rPr>
          <w:lang w:val="en-GB"/>
        </w:rPr>
        <w:t xml:space="preserve"> </w:t>
      </w:r>
      <w:r w:rsidRPr="00F72FB0">
        <w:rPr>
          <w:lang w:val="en-GB"/>
        </w:rPr>
        <w:t>foreseen</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Electricity</w:t>
      </w:r>
      <w:r w:rsidR="00FC2FB1" w:rsidRPr="00F72FB0">
        <w:rPr>
          <w:lang w:val="en-GB"/>
        </w:rPr>
        <w:t xml:space="preserve"> </w:t>
      </w:r>
      <w:r w:rsidRPr="00F72FB0">
        <w:rPr>
          <w:lang w:val="en-GB"/>
        </w:rPr>
        <w:t>Market</w:t>
      </w:r>
      <w:r w:rsidR="00FC2FB1" w:rsidRPr="00F72FB0">
        <w:rPr>
          <w:lang w:val="en-GB"/>
        </w:rPr>
        <w:t xml:space="preserve"> </w:t>
      </w:r>
      <w:r w:rsidRPr="00F72FB0">
        <w:rPr>
          <w:lang w:val="en-GB"/>
        </w:rPr>
        <w:t>Reform.</w:t>
      </w:r>
      <w:r w:rsidRPr="00F72FB0">
        <w:rPr>
          <w:vertAlign w:val="superscript"/>
          <w:lang w:val="en-GB"/>
        </w:rPr>
        <w:footnoteReference w:id="38"/>
      </w:r>
      <w:r w:rsidR="00FC2FB1" w:rsidRPr="00F72FB0">
        <w:rPr>
          <w:lang w:val="en-GB"/>
        </w:rPr>
        <w:t xml:space="preserve"> </w:t>
      </w:r>
      <w:r w:rsidRPr="00F72FB0">
        <w:rPr>
          <w:lang w:val="en-GB"/>
        </w:rPr>
        <w:t>These</w:t>
      </w:r>
      <w:r w:rsidR="00FC2FB1" w:rsidRPr="00F72FB0">
        <w:rPr>
          <w:lang w:val="en-GB"/>
        </w:rPr>
        <w:t xml:space="preserve"> </w:t>
      </w:r>
      <w:r w:rsidRPr="00F72FB0">
        <w:rPr>
          <w:lang w:val="en-GB"/>
        </w:rPr>
        <w:t>developments</w:t>
      </w:r>
      <w:r w:rsidR="00FC2FB1" w:rsidRPr="00F72FB0">
        <w:rPr>
          <w:lang w:val="en-GB"/>
        </w:rPr>
        <w:t xml:space="preserve"> </w:t>
      </w:r>
      <w:r w:rsidRPr="00F72FB0">
        <w:rPr>
          <w:lang w:val="en-GB"/>
        </w:rPr>
        <w:t>were</w:t>
      </w:r>
      <w:r w:rsidR="00FC2FB1" w:rsidRPr="00F72FB0">
        <w:rPr>
          <w:lang w:val="en-GB"/>
        </w:rPr>
        <w:t xml:space="preserve"> </w:t>
      </w:r>
      <w:r w:rsidRPr="00F72FB0">
        <w:rPr>
          <w:lang w:val="en-GB"/>
        </w:rPr>
        <w:t>later</w:t>
      </w:r>
      <w:r w:rsidR="00FC2FB1" w:rsidRPr="00F72FB0">
        <w:rPr>
          <w:lang w:val="en-GB"/>
        </w:rPr>
        <w:t xml:space="preserve"> </w:t>
      </w:r>
      <w:r w:rsidRPr="00F72FB0">
        <w:rPr>
          <w:lang w:val="en-GB"/>
        </w:rPr>
        <w:t>codified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2014</w:t>
      </w:r>
      <w:r w:rsidR="00FC2FB1" w:rsidRPr="00F72FB0">
        <w:rPr>
          <w:lang w:val="en-GB"/>
        </w:rPr>
        <w:t xml:space="preserve"> </w:t>
      </w:r>
      <w:r w:rsidRPr="00F72FB0">
        <w:rPr>
          <w:i/>
          <w:lang w:val="en-GB"/>
        </w:rPr>
        <w:t>Energy</w:t>
      </w:r>
      <w:r w:rsidR="00FC2FB1" w:rsidRPr="00F72FB0">
        <w:rPr>
          <w:i/>
          <w:lang w:val="en-GB"/>
        </w:rPr>
        <w:t xml:space="preserve"> </w:t>
      </w:r>
      <w:r w:rsidRPr="00F72FB0">
        <w:rPr>
          <w:i/>
          <w:lang w:val="en-GB"/>
        </w:rPr>
        <w:t>and</w:t>
      </w:r>
      <w:r w:rsidR="00FC2FB1" w:rsidRPr="00F72FB0">
        <w:rPr>
          <w:i/>
          <w:lang w:val="en-GB"/>
        </w:rPr>
        <w:t xml:space="preserve"> </w:t>
      </w:r>
      <w:r w:rsidRPr="00F72FB0">
        <w:rPr>
          <w:i/>
          <w:lang w:val="en-GB"/>
        </w:rPr>
        <w:t>Environmental</w:t>
      </w:r>
      <w:r w:rsidR="00FC2FB1" w:rsidRPr="00F72FB0">
        <w:rPr>
          <w:i/>
          <w:lang w:val="en-GB"/>
        </w:rPr>
        <w:t xml:space="preserve"> </w:t>
      </w:r>
      <w:r w:rsidRPr="00F72FB0">
        <w:rPr>
          <w:i/>
          <w:lang w:val="en-GB"/>
        </w:rPr>
        <w:t>Aid</w:t>
      </w:r>
      <w:r w:rsidR="00FC2FB1" w:rsidRPr="00F72FB0">
        <w:rPr>
          <w:i/>
          <w:lang w:val="en-GB"/>
        </w:rPr>
        <w:t xml:space="preserve"> </w:t>
      </w:r>
      <w:r w:rsidRPr="00F72FB0">
        <w:rPr>
          <w:i/>
          <w:lang w:val="en-GB"/>
        </w:rPr>
        <w:t>guidelines</w:t>
      </w:r>
      <w:r w:rsidRPr="00F72FB0">
        <w:rPr>
          <w:lang w:val="en-GB"/>
        </w:rPr>
        <w:t>.</w:t>
      </w:r>
      <w:r w:rsidRPr="00F72FB0">
        <w:rPr>
          <w:vertAlign w:val="superscript"/>
          <w:lang w:val="en-GB"/>
        </w:rPr>
        <w:footnoteReference w:id="39"/>
      </w:r>
      <w:r w:rsidR="00FC2FB1" w:rsidRPr="00F72FB0">
        <w:rPr>
          <w:lang w:val="en-GB"/>
        </w:rPr>
        <w:t xml:space="preserve"> </w:t>
      </w:r>
    </w:p>
    <w:p w14:paraId="19B4C24A" w14:textId="77777777" w:rsidR="00CC672E" w:rsidRDefault="00CC672E" w:rsidP="00E14136">
      <w:pPr>
        <w:spacing w:line="360" w:lineRule="auto"/>
        <w:contextualSpacing/>
        <w:jc w:val="both"/>
        <w:rPr>
          <w:lang w:val="en-GB"/>
        </w:rPr>
      </w:pPr>
    </w:p>
    <w:p w14:paraId="2D699987" w14:textId="02F8B141" w:rsidR="00E60757" w:rsidRPr="00F72FB0" w:rsidRDefault="00D54B7B" w:rsidP="00E14136">
      <w:pPr>
        <w:spacing w:line="360" w:lineRule="auto"/>
        <w:contextualSpacing/>
        <w:jc w:val="both"/>
        <w:rPr>
          <w:lang w:val="en-GB"/>
        </w:rPr>
      </w:pPr>
      <w:r w:rsidRPr="00F72FB0">
        <w:rPr>
          <w:lang w:val="en-GB"/>
        </w:rPr>
        <w:lastRenderedPageBreak/>
        <w:t>With</w:t>
      </w:r>
      <w:r w:rsidR="00FC2FB1" w:rsidRPr="00F72FB0">
        <w:rPr>
          <w:lang w:val="en-GB"/>
        </w:rPr>
        <w:t xml:space="preserve"> </w:t>
      </w:r>
      <w:r w:rsidRPr="00F72FB0">
        <w:rPr>
          <w:lang w:val="en-GB"/>
        </w:rPr>
        <w:t>regards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social</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McGaughey</w:t>
      </w:r>
      <w:r w:rsidR="00FC2FB1" w:rsidRPr="00F72FB0">
        <w:rPr>
          <w:lang w:val="en-GB"/>
        </w:rPr>
        <w:t xml:space="preserve"> </w:t>
      </w:r>
      <w:r w:rsidRPr="00F72FB0">
        <w:rPr>
          <w:lang w:val="en-GB"/>
        </w:rPr>
        <w:t>considers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studied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SoLaR</w:t>
      </w:r>
      <w:r w:rsidR="00FC2FB1" w:rsidRPr="00F72FB0">
        <w:rPr>
          <w:lang w:val="en-GB"/>
        </w:rPr>
        <w:t xml:space="preserve"> </w:t>
      </w:r>
      <w:r w:rsidRPr="00F72FB0">
        <w:rPr>
          <w:lang w:val="en-GB"/>
        </w:rPr>
        <w:t>team</w:t>
      </w:r>
      <w:r w:rsidR="00FC2FB1" w:rsidRPr="00F72FB0">
        <w:rPr>
          <w:lang w:val="en-GB"/>
        </w:rPr>
        <w:t xml:space="preserve"> </w:t>
      </w:r>
      <w:r w:rsidRPr="00F72FB0">
        <w:rPr>
          <w:lang w:val="en-GB"/>
        </w:rPr>
        <w:t>has</w:t>
      </w:r>
      <w:r w:rsidR="00FC2FB1" w:rsidRPr="00F72FB0">
        <w:rPr>
          <w:lang w:val="en-GB"/>
        </w:rPr>
        <w:t xml:space="preserve"> </w:t>
      </w:r>
      <w:r w:rsidRPr="00F72FB0">
        <w:rPr>
          <w:lang w:val="en-GB"/>
        </w:rPr>
        <w:t>been</w:t>
      </w:r>
      <w:r w:rsidR="00FC2FB1" w:rsidRPr="00F72FB0">
        <w:rPr>
          <w:lang w:val="en-GB"/>
        </w:rPr>
        <w:t xml:space="preserve"> </w:t>
      </w:r>
      <w:r w:rsidRPr="00F72FB0">
        <w:rPr>
          <w:lang w:val="en-GB"/>
        </w:rPr>
        <w:t>influenced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policies</w:t>
      </w:r>
      <w:r w:rsidR="00FC2FB1" w:rsidRPr="00F72FB0">
        <w:rPr>
          <w:lang w:val="en-GB"/>
        </w:rPr>
        <w:t xml:space="preserve"> </w:t>
      </w:r>
      <w:r w:rsidRPr="00F72FB0">
        <w:rPr>
          <w:lang w:val="en-GB"/>
        </w:rPr>
        <w:t>developed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under</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most</w:t>
      </w:r>
      <w:r w:rsidR="00FC2FB1" w:rsidRPr="00F72FB0">
        <w:rPr>
          <w:lang w:val="en-GB"/>
        </w:rPr>
        <w:t xml:space="preserve"> </w:t>
      </w:r>
      <w:r w:rsidRPr="00F72FB0">
        <w:rPr>
          <w:lang w:val="en-GB"/>
        </w:rPr>
        <w:t>actively</w:t>
      </w:r>
      <w:r w:rsidR="00FC2FB1" w:rsidRPr="00F72FB0">
        <w:rPr>
          <w:lang w:val="en-GB"/>
        </w:rPr>
        <w:t xml:space="preserve"> </w:t>
      </w:r>
      <w:r w:rsidRPr="00F72FB0">
        <w:rPr>
          <w:lang w:val="en-GB"/>
        </w:rPr>
        <w:t>pro-EU</w:t>
      </w:r>
      <w:r w:rsidR="00FC2FB1" w:rsidRPr="00F72FB0">
        <w:rPr>
          <w:lang w:val="en-GB"/>
        </w:rPr>
        <w:t xml:space="preserve"> </w:t>
      </w:r>
      <w:r w:rsidRPr="00F72FB0">
        <w:rPr>
          <w:lang w:val="en-GB"/>
        </w:rPr>
        <w:t>government,</w:t>
      </w:r>
      <w:r w:rsidR="00FC2FB1" w:rsidRPr="00F72FB0">
        <w:rPr>
          <w:lang w:val="en-GB"/>
        </w:rPr>
        <w:t xml:space="preserve"> </w:t>
      </w:r>
      <w:r w:rsidRPr="00F72FB0">
        <w:rPr>
          <w:lang w:val="en-GB"/>
        </w:rPr>
        <w:t>namely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Tony</w:t>
      </w:r>
      <w:r w:rsidR="00FC2FB1" w:rsidRPr="00F72FB0">
        <w:rPr>
          <w:lang w:val="en-GB"/>
        </w:rPr>
        <w:t xml:space="preserve"> </w:t>
      </w:r>
      <w:r w:rsidRPr="00F72FB0">
        <w:rPr>
          <w:lang w:val="en-GB"/>
        </w:rPr>
        <w:t>Blair</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Gordon</w:t>
      </w:r>
      <w:r w:rsidR="00FC2FB1" w:rsidRPr="00F72FB0">
        <w:rPr>
          <w:lang w:val="en-GB"/>
        </w:rPr>
        <w:t xml:space="preserve"> </w:t>
      </w:r>
      <w:r w:rsidRPr="00F72FB0">
        <w:rPr>
          <w:lang w:val="en-GB"/>
        </w:rPr>
        <w:t>Brown</w:t>
      </w:r>
      <w:r w:rsidR="00FC2FB1" w:rsidRPr="00F72FB0">
        <w:rPr>
          <w:lang w:val="en-GB"/>
        </w:rPr>
        <w:t xml:space="preserve"> </w:t>
      </w:r>
      <w:r w:rsidRPr="00F72FB0">
        <w:rPr>
          <w:lang w:val="en-GB"/>
        </w:rPr>
        <w:t>administrations.</w:t>
      </w:r>
      <w:bookmarkStart w:id="4" w:name="_Ref37950576"/>
      <w:r w:rsidRPr="00F72FB0">
        <w:rPr>
          <w:rStyle w:val="Alaviitteenviite"/>
          <w:lang w:val="en-GB"/>
        </w:rPr>
        <w:footnoteReference w:id="40"/>
      </w:r>
      <w:bookmarkEnd w:id="4"/>
      <w:r w:rsidR="00FC2FB1" w:rsidRPr="00F72FB0">
        <w:rPr>
          <w:lang w:val="en-GB"/>
        </w:rPr>
        <w:t xml:space="preserve"> </w:t>
      </w:r>
      <w:r w:rsidRPr="00F72FB0">
        <w:rPr>
          <w:lang w:val="en-GB"/>
        </w:rPr>
        <w:t>Finally,</w:t>
      </w:r>
      <w:r w:rsidR="00FC2FB1" w:rsidRPr="00F72FB0">
        <w:rPr>
          <w:lang w:val="en-GB"/>
        </w:rPr>
        <w:t xml:space="preserve"> </w:t>
      </w:r>
      <w:r w:rsidR="00C72120" w:rsidRPr="00F72FB0">
        <w:rPr>
          <w:lang w:val="en-GB"/>
        </w:rPr>
        <w:t>regarding</w:t>
      </w:r>
      <w:r w:rsidR="00FC2FB1" w:rsidRPr="00F72FB0">
        <w:rPr>
          <w:lang w:val="en-GB"/>
        </w:rPr>
        <w:t xml:space="preserve"> </w:t>
      </w:r>
      <w:r w:rsidRPr="00F72FB0">
        <w:rPr>
          <w:lang w:val="en-GB"/>
        </w:rPr>
        <w:t>financial</w:t>
      </w:r>
      <w:r w:rsidR="00FC2FB1" w:rsidRPr="00F72FB0">
        <w:rPr>
          <w:lang w:val="en-GB"/>
        </w:rPr>
        <w:t xml:space="preserve"> </w:t>
      </w:r>
      <w:r w:rsidRPr="00F72FB0">
        <w:rPr>
          <w:lang w:val="en-GB"/>
        </w:rPr>
        <w:t>regulation,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weight</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representatives</w:t>
      </w:r>
      <w:r w:rsidR="00FC2FB1" w:rsidRPr="00F72FB0">
        <w:rPr>
          <w:lang w:val="en-GB"/>
        </w:rPr>
        <w:t xml:space="preserve"> </w:t>
      </w:r>
      <w:r w:rsidRPr="00F72FB0">
        <w:rPr>
          <w:lang w:val="en-GB"/>
        </w:rPr>
        <w:t>have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board</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ESAs</w:t>
      </w:r>
      <w:r w:rsidR="00FC2FB1" w:rsidRPr="00F72FB0">
        <w:rPr>
          <w:lang w:val="en-GB"/>
        </w:rPr>
        <w:t xml:space="preserve"> </w:t>
      </w:r>
      <w:r w:rsidRPr="00F72FB0">
        <w:rPr>
          <w:lang w:val="en-GB"/>
        </w:rPr>
        <w:t>has</w:t>
      </w:r>
      <w:r w:rsidR="00FC2FB1" w:rsidRPr="00F72FB0">
        <w:rPr>
          <w:lang w:val="en-GB"/>
        </w:rPr>
        <w:t xml:space="preserve"> </w:t>
      </w:r>
      <w:r w:rsidRPr="00F72FB0">
        <w:rPr>
          <w:lang w:val="en-GB"/>
        </w:rPr>
        <w:t>been</w:t>
      </w:r>
      <w:r w:rsidR="00FC2FB1" w:rsidRPr="00F72FB0">
        <w:rPr>
          <w:lang w:val="en-GB"/>
        </w:rPr>
        <w:t xml:space="preserve"> </w:t>
      </w:r>
      <w:r w:rsidRPr="00F72FB0">
        <w:rPr>
          <w:lang w:val="en-GB"/>
        </w:rPr>
        <w:t>documented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literature.</w:t>
      </w:r>
      <w:r w:rsidRPr="00F72FB0">
        <w:rPr>
          <w:rStyle w:val="Alaviitteenviite"/>
          <w:lang w:val="en-GB"/>
        </w:rPr>
        <w:footnoteReference w:id="41"/>
      </w:r>
    </w:p>
    <w:p w14:paraId="224B88D2" w14:textId="77777777" w:rsidR="00E60757" w:rsidRPr="00F72FB0" w:rsidRDefault="00E60757" w:rsidP="00E14136">
      <w:pPr>
        <w:spacing w:line="360" w:lineRule="auto"/>
        <w:contextualSpacing/>
        <w:jc w:val="both"/>
        <w:rPr>
          <w:color w:val="000000" w:themeColor="text1"/>
          <w:lang w:val="en-GB"/>
        </w:rPr>
      </w:pPr>
    </w:p>
    <w:p w14:paraId="3DAE5EA7" w14:textId="468E42CA" w:rsidR="00F5377A" w:rsidRPr="003F764C" w:rsidRDefault="00600F90" w:rsidP="00E14136">
      <w:pPr>
        <w:pStyle w:val="Otsikko2"/>
        <w:spacing w:before="0" w:line="360" w:lineRule="auto"/>
        <w:contextualSpacing/>
        <w:rPr>
          <w:rFonts w:ascii="Times New Roman" w:hAnsi="Times New Roman" w:cs="Times New Roman"/>
          <w:i/>
          <w:color w:val="000000" w:themeColor="text1"/>
          <w:sz w:val="24"/>
          <w:szCs w:val="24"/>
          <w:lang w:val="en-GB"/>
        </w:rPr>
      </w:pPr>
      <w:r w:rsidRPr="003F764C">
        <w:rPr>
          <w:rFonts w:ascii="Times New Roman" w:hAnsi="Times New Roman" w:cs="Times New Roman"/>
          <w:i/>
          <w:color w:val="000000" w:themeColor="text1"/>
          <w:sz w:val="24"/>
          <w:szCs w:val="24"/>
          <w:lang w:val="en-GB"/>
        </w:rPr>
        <w:t>B Is EU Soft Law Referred to in the Case Law and Administrative Practice?</w:t>
      </w:r>
    </w:p>
    <w:p w14:paraId="65721497" w14:textId="4254AC23" w:rsidR="00F5377A" w:rsidRPr="00F72FB0" w:rsidRDefault="00F5377A" w:rsidP="00E14136">
      <w:pPr>
        <w:spacing w:line="360" w:lineRule="auto"/>
        <w:contextualSpacing/>
        <w:jc w:val="both"/>
        <w:rPr>
          <w:lang w:val="en-GB"/>
        </w:rPr>
      </w:pPr>
    </w:p>
    <w:p w14:paraId="25CE51EB" w14:textId="6F0DB588" w:rsidR="00FA1768" w:rsidRPr="00F72FB0" w:rsidRDefault="00CD24C2" w:rsidP="00E14136">
      <w:pPr>
        <w:widowControl w:val="0"/>
        <w:autoSpaceDE w:val="0"/>
        <w:autoSpaceDN w:val="0"/>
        <w:adjustRightInd w:val="0"/>
        <w:spacing w:line="360" w:lineRule="auto"/>
        <w:contextualSpacing/>
        <w:jc w:val="both"/>
        <w:rPr>
          <w:lang w:val="en-GB"/>
        </w:rPr>
      </w:pPr>
      <w:r w:rsidRPr="00F72FB0">
        <w:rPr>
          <w:lang w:val="en-GB"/>
        </w:rPr>
        <w:t>O</w:t>
      </w:r>
      <w:r w:rsidR="00EA26BD" w:rsidRPr="00F72FB0">
        <w:rPr>
          <w:lang w:val="en-GB"/>
        </w:rPr>
        <w:t>ur</w:t>
      </w:r>
      <w:r w:rsidR="00FC2FB1" w:rsidRPr="00F72FB0">
        <w:rPr>
          <w:lang w:val="en-GB"/>
        </w:rPr>
        <w:t xml:space="preserve"> </w:t>
      </w:r>
      <w:r w:rsidR="00EA26BD" w:rsidRPr="00F72FB0">
        <w:rPr>
          <w:lang w:val="en-GB"/>
        </w:rPr>
        <w:t>empirical</w:t>
      </w:r>
      <w:r w:rsidR="00FC2FB1" w:rsidRPr="00F72FB0">
        <w:rPr>
          <w:lang w:val="en-GB"/>
        </w:rPr>
        <w:t xml:space="preserve"> </w:t>
      </w:r>
      <w:r w:rsidR="00EA26BD" w:rsidRPr="00F72FB0">
        <w:rPr>
          <w:lang w:val="en-GB"/>
        </w:rPr>
        <w:t>research</w:t>
      </w:r>
      <w:r w:rsidR="00FC2FB1" w:rsidRPr="00F72FB0">
        <w:rPr>
          <w:lang w:val="en-GB"/>
        </w:rPr>
        <w:t xml:space="preserve"> </w:t>
      </w:r>
      <w:r w:rsidR="00EA26BD" w:rsidRPr="00F72FB0">
        <w:rPr>
          <w:lang w:val="en-GB"/>
        </w:rPr>
        <w:t>shows</w:t>
      </w:r>
      <w:r w:rsidR="00FC2FB1" w:rsidRPr="00F72FB0">
        <w:rPr>
          <w:lang w:val="en-GB"/>
        </w:rPr>
        <w:t xml:space="preserve"> </w:t>
      </w:r>
      <w:r w:rsidR="00EA26BD" w:rsidRPr="00F72FB0">
        <w:rPr>
          <w:lang w:val="en-GB"/>
        </w:rPr>
        <w:t>that</w:t>
      </w:r>
      <w:r w:rsidR="00FC2FB1" w:rsidRPr="00F72FB0">
        <w:rPr>
          <w:lang w:val="en-GB"/>
        </w:rPr>
        <w:t xml:space="preserve"> </w:t>
      </w:r>
      <w:r w:rsidR="00EA26BD" w:rsidRPr="00F72FB0">
        <w:rPr>
          <w:lang w:val="en-GB"/>
        </w:rPr>
        <w:t>soft</w:t>
      </w:r>
      <w:r w:rsidR="00FC2FB1" w:rsidRPr="00F72FB0">
        <w:rPr>
          <w:lang w:val="en-GB"/>
        </w:rPr>
        <w:t xml:space="preserve"> </w:t>
      </w:r>
      <w:r w:rsidR="00EA26BD" w:rsidRPr="00F72FB0">
        <w:rPr>
          <w:lang w:val="en-GB"/>
        </w:rPr>
        <w:t>law</w:t>
      </w:r>
      <w:r w:rsidR="00FC2FB1" w:rsidRPr="00F72FB0">
        <w:rPr>
          <w:lang w:val="en-GB"/>
        </w:rPr>
        <w:t xml:space="preserve"> </w:t>
      </w:r>
      <w:r w:rsidR="00EA26BD" w:rsidRPr="00F72FB0">
        <w:rPr>
          <w:lang w:val="en-GB"/>
        </w:rPr>
        <w:t>does</w:t>
      </w:r>
      <w:r w:rsidR="00FC2FB1" w:rsidRPr="00F72FB0">
        <w:rPr>
          <w:lang w:val="en-GB"/>
        </w:rPr>
        <w:t xml:space="preserve"> </w:t>
      </w:r>
      <w:r w:rsidR="00EA26BD" w:rsidRPr="00F72FB0">
        <w:rPr>
          <w:lang w:val="en-GB"/>
        </w:rPr>
        <w:t>feature</w:t>
      </w:r>
      <w:r w:rsidR="00FC2FB1" w:rsidRPr="00F72FB0">
        <w:rPr>
          <w:lang w:val="en-GB"/>
        </w:rPr>
        <w:t xml:space="preserve"> </w:t>
      </w:r>
      <w:r w:rsidR="00EA26BD" w:rsidRPr="00F72FB0">
        <w:rPr>
          <w:lang w:val="en-GB"/>
        </w:rPr>
        <w:t>in</w:t>
      </w:r>
      <w:r w:rsidR="00FC2FB1" w:rsidRPr="00F72FB0">
        <w:rPr>
          <w:lang w:val="en-GB"/>
        </w:rPr>
        <w:t xml:space="preserve"> </w:t>
      </w:r>
      <w:r w:rsidR="00EA26BD" w:rsidRPr="00F72FB0">
        <w:rPr>
          <w:lang w:val="en-GB"/>
        </w:rPr>
        <w:t>the</w:t>
      </w:r>
      <w:r w:rsidR="00FC2FB1" w:rsidRPr="00F72FB0">
        <w:rPr>
          <w:lang w:val="en-GB"/>
        </w:rPr>
        <w:t xml:space="preserve"> </w:t>
      </w:r>
      <w:r w:rsidR="00F13494" w:rsidRPr="00F72FB0">
        <w:rPr>
          <w:lang w:val="en-GB"/>
        </w:rPr>
        <w:t>UK’s</w:t>
      </w:r>
      <w:r w:rsidR="00FC2FB1" w:rsidRPr="00F72FB0">
        <w:rPr>
          <w:lang w:val="en-GB"/>
        </w:rPr>
        <w:t xml:space="preserve"> </w:t>
      </w:r>
      <w:r w:rsidR="00F13494" w:rsidRPr="00F72FB0">
        <w:rPr>
          <w:lang w:val="en-GB"/>
        </w:rPr>
        <w:t>administrative</w:t>
      </w:r>
      <w:r w:rsidR="00FC2FB1" w:rsidRPr="00F72FB0">
        <w:rPr>
          <w:lang w:val="en-GB"/>
        </w:rPr>
        <w:t xml:space="preserve"> </w:t>
      </w:r>
      <w:r w:rsidR="00F13494" w:rsidRPr="00F72FB0">
        <w:rPr>
          <w:lang w:val="en-GB"/>
        </w:rPr>
        <w:t>practice</w:t>
      </w:r>
      <w:r w:rsidR="00FC2FB1" w:rsidRPr="00F72FB0">
        <w:rPr>
          <w:lang w:val="en-GB"/>
        </w:rPr>
        <w:t xml:space="preserve"> </w:t>
      </w:r>
      <w:r w:rsidR="00F13494" w:rsidRPr="00F72FB0">
        <w:rPr>
          <w:lang w:val="en-GB"/>
        </w:rPr>
        <w:t>and</w:t>
      </w:r>
      <w:r w:rsidR="00FC2FB1" w:rsidRPr="00F72FB0">
        <w:rPr>
          <w:lang w:val="en-GB"/>
        </w:rPr>
        <w:t xml:space="preserve"> </w:t>
      </w:r>
      <w:r w:rsidR="00EA26BD" w:rsidRPr="00F72FB0">
        <w:rPr>
          <w:lang w:val="en-GB"/>
        </w:rPr>
        <w:t>case</w:t>
      </w:r>
      <w:r w:rsidR="00455DA3">
        <w:rPr>
          <w:lang w:val="en-GB"/>
        </w:rPr>
        <w:t xml:space="preserve"> </w:t>
      </w:r>
      <w:r w:rsidR="00EA26BD" w:rsidRPr="00F72FB0">
        <w:rPr>
          <w:lang w:val="en-GB"/>
        </w:rPr>
        <w:t>law.</w:t>
      </w:r>
      <w:r w:rsidR="00FC2FB1" w:rsidRPr="00F72FB0">
        <w:rPr>
          <w:lang w:val="en-GB"/>
        </w:rPr>
        <w:t xml:space="preserve"> </w:t>
      </w:r>
      <w:r w:rsidR="00EA26BD" w:rsidRPr="00F72FB0">
        <w:rPr>
          <w:lang w:val="en-GB"/>
        </w:rPr>
        <w:t>One</w:t>
      </w:r>
      <w:r w:rsidR="00FC2FB1" w:rsidRPr="00F72FB0">
        <w:rPr>
          <w:lang w:val="en-GB"/>
        </w:rPr>
        <w:t xml:space="preserve"> </w:t>
      </w:r>
      <w:r w:rsidR="00EA26BD" w:rsidRPr="00F72FB0">
        <w:rPr>
          <w:lang w:val="en-GB"/>
        </w:rPr>
        <w:t>interviewee</w:t>
      </w:r>
      <w:r w:rsidR="00FC2FB1" w:rsidRPr="00F72FB0">
        <w:rPr>
          <w:lang w:val="en-GB"/>
        </w:rPr>
        <w:t xml:space="preserve"> </w:t>
      </w:r>
      <w:r w:rsidR="00EA26BD" w:rsidRPr="00F72FB0">
        <w:rPr>
          <w:lang w:val="en-GB"/>
        </w:rPr>
        <w:t>identified</w:t>
      </w:r>
      <w:r w:rsidR="00FC2FB1" w:rsidRPr="00F72FB0">
        <w:rPr>
          <w:lang w:val="en-GB"/>
        </w:rPr>
        <w:t xml:space="preserve"> </w:t>
      </w:r>
      <w:r w:rsidR="00EA26BD" w:rsidRPr="00F72FB0">
        <w:rPr>
          <w:lang w:val="en-GB"/>
        </w:rPr>
        <w:t>UK</w:t>
      </w:r>
      <w:r w:rsidR="00FC2FB1" w:rsidRPr="00F72FB0">
        <w:rPr>
          <w:lang w:val="en-GB"/>
        </w:rPr>
        <w:t xml:space="preserve"> </w:t>
      </w:r>
      <w:r w:rsidR="00EA26BD" w:rsidRPr="00F72FB0">
        <w:rPr>
          <w:lang w:val="en-GB"/>
        </w:rPr>
        <w:t>courts</w:t>
      </w:r>
      <w:r w:rsidR="00FC2FB1" w:rsidRPr="00F72FB0">
        <w:rPr>
          <w:lang w:val="en-GB"/>
        </w:rPr>
        <w:t xml:space="preserve"> </w:t>
      </w:r>
      <w:r w:rsidR="00EA26BD" w:rsidRPr="00F72FB0">
        <w:rPr>
          <w:lang w:val="en-GB"/>
        </w:rPr>
        <w:t>as</w:t>
      </w:r>
      <w:r w:rsidR="00FC2FB1" w:rsidRPr="00F72FB0">
        <w:rPr>
          <w:lang w:val="en-GB"/>
        </w:rPr>
        <w:t xml:space="preserve"> </w:t>
      </w:r>
      <w:r w:rsidR="00EA26BD" w:rsidRPr="00F72FB0">
        <w:rPr>
          <w:lang w:val="en-GB"/>
        </w:rPr>
        <w:t>generally</w:t>
      </w:r>
      <w:r w:rsidR="00FC2FB1" w:rsidRPr="00F72FB0">
        <w:rPr>
          <w:lang w:val="en-GB"/>
        </w:rPr>
        <w:t xml:space="preserve"> </w:t>
      </w:r>
      <w:r w:rsidR="00EA26BD" w:rsidRPr="00F72FB0">
        <w:rPr>
          <w:lang w:val="en-GB"/>
        </w:rPr>
        <w:t>‘open</w:t>
      </w:r>
      <w:r w:rsidR="00FC2FB1" w:rsidRPr="00F72FB0">
        <w:rPr>
          <w:lang w:val="en-GB"/>
        </w:rPr>
        <w:t xml:space="preserve"> </w:t>
      </w:r>
      <w:r w:rsidR="00EA26BD" w:rsidRPr="00F72FB0">
        <w:rPr>
          <w:lang w:val="en-GB"/>
        </w:rPr>
        <w:t>minded</w:t>
      </w:r>
      <w:r w:rsidR="00FC2FB1" w:rsidRPr="00F72FB0">
        <w:rPr>
          <w:lang w:val="en-GB"/>
        </w:rPr>
        <w:t xml:space="preserve"> </w:t>
      </w:r>
      <w:r w:rsidR="00EA26BD" w:rsidRPr="00F72FB0">
        <w:rPr>
          <w:lang w:val="en-GB"/>
        </w:rPr>
        <w:t>when</w:t>
      </w:r>
      <w:r w:rsidR="00FC2FB1" w:rsidRPr="00F72FB0">
        <w:rPr>
          <w:lang w:val="en-GB"/>
        </w:rPr>
        <w:t xml:space="preserve"> </w:t>
      </w:r>
      <w:r w:rsidR="00EA26BD" w:rsidRPr="00F72FB0">
        <w:rPr>
          <w:lang w:val="en-GB"/>
        </w:rPr>
        <w:t>it</w:t>
      </w:r>
      <w:r w:rsidR="00FC2FB1" w:rsidRPr="00F72FB0">
        <w:rPr>
          <w:lang w:val="en-GB"/>
        </w:rPr>
        <w:t xml:space="preserve"> </w:t>
      </w:r>
      <w:r w:rsidR="00EA26BD" w:rsidRPr="00F72FB0">
        <w:rPr>
          <w:lang w:val="en-GB"/>
        </w:rPr>
        <w:t>comes</w:t>
      </w:r>
      <w:r w:rsidR="00FC2FB1" w:rsidRPr="00F72FB0">
        <w:rPr>
          <w:lang w:val="en-GB"/>
        </w:rPr>
        <w:t xml:space="preserve"> </w:t>
      </w:r>
      <w:r w:rsidR="00EA26BD" w:rsidRPr="00F72FB0">
        <w:rPr>
          <w:lang w:val="en-GB"/>
        </w:rPr>
        <w:t>to</w:t>
      </w:r>
      <w:r w:rsidR="00FC2FB1" w:rsidRPr="00F72FB0">
        <w:rPr>
          <w:lang w:val="en-GB"/>
        </w:rPr>
        <w:t xml:space="preserve"> </w:t>
      </w:r>
      <w:r w:rsidR="00EA26BD" w:rsidRPr="00F72FB0">
        <w:rPr>
          <w:lang w:val="en-GB"/>
        </w:rPr>
        <w:t>soft</w:t>
      </w:r>
      <w:r w:rsidR="00FC2FB1" w:rsidRPr="00F72FB0">
        <w:rPr>
          <w:lang w:val="en-GB"/>
        </w:rPr>
        <w:t xml:space="preserve"> </w:t>
      </w:r>
      <w:r w:rsidR="00EA26BD" w:rsidRPr="00F72FB0">
        <w:rPr>
          <w:lang w:val="en-GB"/>
        </w:rPr>
        <w:t>law’</w:t>
      </w:r>
      <w:r w:rsidR="00F13494" w:rsidRPr="00F72FB0">
        <w:rPr>
          <w:lang w:val="en-GB"/>
        </w:rPr>
        <w:t>,</w:t>
      </w:r>
      <w:r w:rsidR="002470C0">
        <w:rPr>
          <w:rStyle w:val="Alaviitteenviite"/>
          <w:lang w:val="en-GB"/>
        </w:rPr>
        <w:footnoteReference w:id="42"/>
      </w:r>
      <w:r w:rsidR="00FC2FB1" w:rsidRPr="00F72FB0">
        <w:rPr>
          <w:lang w:val="en-GB"/>
        </w:rPr>
        <w:t xml:space="preserve"> </w:t>
      </w:r>
      <w:r w:rsidR="00EA26BD" w:rsidRPr="00F72FB0">
        <w:rPr>
          <w:lang w:val="en-GB"/>
        </w:rPr>
        <w:t>while</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Court</w:t>
      </w:r>
      <w:r w:rsidR="00FC2FB1" w:rsidRPr="00F72FB0">
        <w:rPr>
          <w:lang w:val="en-GB"/>
        </w:rPr>
        <w:t xml:space="preserve"> </w:t>
      </w:r>
      <w:r w:rsidR="00EA26BD" w:rsidRPr="00F72FB0">
        <w:rPr>
          <w:lang w:val="en-GB"/>
        </w:rPr>
        <w:t>of</w:t>
      </w:r>
      <w:r w:rsidR="00FC2FB1" w:rsidRPr="00F72FB0">
        <w:rPr>
          <w:lang w:val="en-GB"/>
        </w:rPr>
        <w:t xml:space="preserve"> </w:t>
      </w:r>
      <w:r w:rsidR="00EA26BD" w:rsidRPr="00F72FB0">
        <w:rPr>
          <w:lang w:val="en-GB"/>
        </w:rPr>
        <w:t>Appeal</w:t>
      </w:r>
      <w:r w:rsidR="00FC2FB1" w:rsidRPr="00F72FB0">
        <w:rPr>
          <w:lang w:val="en-GB"/>
        </w:rPr>
        <w:t xml:space="preserve"> </w:t>
      </w:r>
      <w:r w:rsidR="00EA26BD" w:rsidRPr="00F72FB0">
        <w:rPr>
          <w:lang w:val="en-GB"/>
        </w:rPr>
        <w:t>has</w:t>
      </w:r>
      <w:r w:rsidR="00FC2FB1" w:rsidRPr="00F72FB0">
        <w:rPr>
          <w:lang w:val="en-GB"/>
        </w:rPr>
        <w:t xml:space="preserve"> </w:t>
      </w:r>
      <w:r w:rsidR="00EA26BD" w:rsidRPr="00F72FB0">
        <w:rPr>
          <w:lang w:val="en-GB"/>
        </w:rPr>
        <w:t>noted</w:t>
      </w:r>
      <w:r w:rsidR="00FC2FB1" w:rsidRPr="00F72FB0">
        <w:rPr>
          <w:lang w:val="en-GB"/>
        </w:rPr>
        <w:t xml:space="preserve"> </w:t>
      </w:r>
      <w:r w:rsidR="00EA26BD" w:rsidRPr="00F72FB0">
        <w:rPr>
          <w:lang w:val="en-GB"/>
        </w:rPr>
        <w:t>that</w:t>
      </w:r>
      <w:r w:rsidR="00FC2FB1" w:rsidRPr="00F72FB0">
        <w:rPr>
          <w:lang w:val="en-GB"/>
        </w:rPr>
        <w:t xml:space="preserve"> </w:t>
      </w:r>
      <w:r w:rsidR="00EA26BD" w:rsidRPr="00F72FB0">
        <w:rPr>
          <w:color w:val="000000"/>
          <w:lang w:val="en-GB"/>
        </w:rPr>
        <w:t>‘[a]lthough</w:t>
      </w:r>
      <w:r w:rsidR="00FC2FB1" w:rsidRPr="00F72FB0">
        <w:rPr>
          <w:color w:val="000000"/>
          <w:lang w:val="en-GB"/>
        </w:rPr>
        <w:t xml:space="preserve"> </w:t>
      </w:r>
      <w:r w:rsidR="00EA26BD" w:rsidRPr="00F72FB0">
        <w:rPr>
          <w:color w:val="000000"/>
          <w:lang w:val="en-GB"/>
        </w:rPr>
        <w:t>the</w:t>
      </w:r>
      <w:r w:rsidR="00FC2FB1" w:rsidRPr="00F72FB0">
        <w:rPr>
          <w:color w:val="000000"/>
          <w:lang w:val="en-GB"/>
        </w:rPr>
        <w:t xml:space="preserve"> </w:t>
      </w:r>
      <w:r w:rsidR="00EA26BD" w:rsidRPr="00F72FB0">
        <w:rPr>
          <w:color w:val="000000"/>
          <w:lang w:val="en-GB"/>
        </w:rPr>
        <w:t>Guidance</w:t>
      </w:r>
      <w:r w:rsidR="00FC2FB1" w:rsidRPr="00F72FB0">
        <w:rPr>
          <w:color w:val="000000"/>
          <w:lang w:val="en-GB"/>
        </w:rPr>
        <w:t xml:space="preserve"> </w:t>
      </w:r>
      <w:r w:rsidR="00EA26BD" w:rsidRPr="00F72FB0">
        <w:rPr>
          <w:color w:val="000000"/>
          <w:lang w:val="en-GB"/>
        </w:rPr>
        <w:t>is</w:t>
      </w:r>
      <w:r w:rsidR="00FC2FB1" w:rsidRPr="00F72FB0">
        <w:rPr>
          <w:color w:val="000000"/>
          <w:lang w:val="en-GB"/>
        </w:rPr>
        <w:t xml:space="preserve"> </w:t>
      </w:r>
      <w:r w:rsidR="00EA26BD" w:rsidRPr="00F72FB0">
        <w:rPr>
          <w:color w:val="000000"/>
          <w:lang w:val="en-GB"/>
        </w:rPr>
        <w:t>not</w:t>
      </w:r>
      <w:r w:rsidR="00FC2FB1" w:rsidRPr="00F72FB0">
        <w:rPr>
          <w:color w:val="000000"/>
          <w:lang w:val="en-GB"/>
        </w:rPr>
        <w:t xml:space="preserve"> </w:t>
      </w:r>
      <w:r w:rsidR="00EA26BD" w:rsidRPr="00F72FB0">
        <w:rPr>
          <w:color w:val="000000"/>
          <w:lang w:val="en-GB"/>
        </w:rPr>
        <w:t>binding,</w:t>
      </w:r>
      <w:r w:rsidR="00FC2FB1" w:rsidRPr="00F72FB0">
        <w:rPr>
          <w:color w:val="000000"/>
          <w:lang w:val="en-GB"/>
        </w:rPr>
        <w:t xml:space="preserve"> </w:t>
      </w:r>
      <w:r w:rsidR="00EA26BD" w:rsidRPr="00F72FB0">
        <w:rPr>
          <w:color w:val="000000"/>
          <w:lang w:val="en-GB"/>
        </w:rPr>
        <w:t>it</w:t>
      </w:r>
      <w:r w:rsidR="00FC2FB1" w:rsidRPr="00F72FB0">
        <w:rPr>
          <w:color w:val="000000"/>
          <w:lang w:val="en-GB"/>
        </w:rPr>
        <w:t xml:space="preserve"> </w:t>
      </w:r>
      <w:r w:rsidR="00EA26BD" w:rsidRPr="00F72FB0">
        <w:rPr>
          <w:color w:val="000000"/>
          <w:lang w:val="en-GB"/>
        </w:rPr>
        <w:t>is</w:t>
      </w:r>
      <w:r w:rsidR="00FC2FB1" w:rsidRPr="00F72FB0">
        <w:rPr>
          <w:color w:val="000000"/>
          <w:lang w:val="en-GB"/>
        </w:rPr>
        <w:t xml:space="preserve"> </w:t>
      </w:r>
      <w:r w:rsidR="00EA26BD" w:rsidRPr="00F72FB0">
        <w:rPr>
          <w:color w:val="000000"/>
          <w:lang w:val="en-GB"/>
        </w:rPr>
        <w:t>nonetheless</w:t>
      </w:r>
      <w:r w:rsidR="00FC2FB1" w:rsidRPr="00F72FB0">
        <w:rPr>
          <w:color w:val="000000"/>
          <w:lang w:val="en-GB"/>
        </w:rPr>
        <w:t xml:space="preserve"> </w:t>
      </w:r>
      <w:r w:rsidR="00EA26BD" w:rsidRPr="00F72FB0">
        <w:rPr>
          <w:color w:val="000000"/>
          <w:lang w:val="en-GB"/>
        </w:rPr>
        <w:t>instructive</w:t>
      </w:r>
      <w:r w:rsidR="00FC2FB1" w:rsidRPr="00F72FB0">
        <w:rPr>
          <w:color w:val="000000"/>
          <w:lang w:val="en-GB"/>
        </w:rPr>
        <w:t xml:space="preserve"> </w:t>
      </w:r>
      <w:r w:rsidR="00EA26BD" w:rsidRPr="00F72FB0">
        <w:rPr>
          <w:color w:val="000000"/>
          <w:lang w:val="en-GB"/>
        </w:rPr>
        <w:t>and</w:t>
      </w:r>
      <w:r w:rsidR="00FC2FB1" w:rsidRPr="00F72FB0">
        <w:rPr>
          <w:color w:val="000000"/>
          <w:lang w:val="en-GB"/>
        </w:rPr>
        <w:t xml:space="preserve"> </w:t>
      </w:r>
      <w:r w:rsidR="00EA26BD" w:rsidRPr="00F72FB0">
        <w:rPr>
          <w:color w:val="000000"/>
          <w:lang w:val="en-GB"/>
        </w:rPr>
        <w:t>compelling’</w:t>
      </w:r>
      <w:r w:rsidR="00455DA3">
        <w:rPr>
          <w:color w:val="000000"/>
          <w:lang w:val="en-GB"/>
        </w:rPr>
        <w:t>.</w:t>
      </w:r>
      <w:r w:rsidR="00EA26BD" w:rsidRPr="00F72FB0">
        <w:rPr>
          <w:rStyle w:val="Alaviitteenviite"/>
          <w:color w:val="000000"/>
          <w:lang w:val="en-GB"/>
        </w:rPr>
        <w:footnoteReference w:id="43"/>
      </w:r>
      <w:r w:rsidR="00FC2FB1" w:rsidRPr="00F72FB0">
        <w:rPr>
          <w:color w:val="000000"/>
          <w:lang w:val="en-GB"/>
        </w:rPr>
        <w:t xml:space="preserve"> </w:t>
      </w:r>
      <w:r w:rsidR="00FA1768" w:rsidRPr="00F72FB0">
        <w:rPr>
          <w:lang w:val="en-GB"/>
        </w:rPr>
        <w:t>Overall,</w:t>
      </w:r>
      <w:r w:rsidR="00FC2FB1" w:rsidRPr="00F72FB0">
        <w:rPr>
          <w:lang w:val="en-GB"/>
        </w:rPr>
        <w:t xml:space="preserve"> </w:t>
      </w:r>
      <w:r w:rsidR="00FA1768" w:rsidRPr="00F72FB0">
        <w:rPr>
          <w:lang w:val="en-GB"/>
        </w:rPr>
        <w:t>in</w:t>
      </w:r>
      <w:r w:rsidR="001332EC" w:rsidRPr="00F72FB0">
        <w:rPr>
          <w:lang w:val="en-GB"/>
        </w:rPr>
        <w:t>t</w:t>
      </w:r>
      <w:r w:rsidR="00FA1768" w:rsidRPr="00F72FB0">
        <w:rPr>
          <w:lang w:val="en-GB"/>
        </w:rPr>
        <w:t>erviewees</w:t>
      </w:r>
      <w:r w:rsidR="00FC2FB1" w:rsidRPr="00F72FB0">
        <w:rPr>
          <w:lang w:val="en-GB"/>
        </w:rPr>
        <w:t xml:space="preserve"> </w:t>
      </w:r>
      <w:r w:rsidR="00FA1768" w:rsidRPr="00F72FB0">
        <w:rPr>
          <w:lang w:val="en-GB"/>
        </w:rPr>
        <w:t>agreed</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EU</w:t>
      </w:r>
      <w:r w:rsidR="00FC2FB1" w:rsidRPr="00F72FB0">
        <w:rPr>
          <w:lang w:val="en-GB"/>
        </w:rPr>
        <w:t xml:space="preserve"> </w:t>
      </w:r>
      <w:r w:rsidR="00FA1768" w:rsidRPr="00F72FB0">
        <w:rPr>
          <w:lang w:val="en-GB"/>
        </w:rPr>
        <w:t>legal</w:t>
      </w:r>
      <w:r w:rsidR="00FC2FB1" w:rsidRPr="00F72FB0">
        <w:rPr>
          <w:lang w:val="en-GB"/>
        </w:rPr>
        <w:t xml:space="preserve"> </w:t>
      </w:r>
      <w:r w:rsidR="00FA1768" w:rsidRPr="00F72FB0">
        <w:rPr>
          <w:lang w:val="en-GB"/>
        </w:rPr>
        <w:t>order</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better</w:t>
      </w:r>
      <w:r w:rsidR="00FC2FB1" w:rsidRPr="00F72FB0">
        <w:rPr>
          <w:lang w:val="en-GB"/>
        </w:rPr>
        <w:t xml:space="preserve"> </w:t>
      </w:r>
      <w:r w:rsidR="00FA1768" w:rsidRPr="00F72FB0">
        <w:rPr>
          <w:lang w:val="en-GB"/>
        </w:rPr>
        <w:t>off</w:t>
      </w:r>
      <w:r w:rsidR="00FC2FB1" w:rsidRPr="00F72FB0">
        <w:rPr>
          <w:lang w:val="en-GB"/>
        </w:rPr>
        <w:t xml:space="preserve"> </w:t>
      </w:r>
      <w:r w:rsidR="00FA1768" w:rsidRPr="00F72FB0">
        <w:rPr>
          <w:lang w:val="en-GB"/>
        </w:rPr>
        <w:t>with</w:t>
      </w:r>
      <w:r w:rsidR="00FC2FB1" w:rsidRPr="00F72FB0">
        <w:rPr>
          <w:lang w:val="en-GB"/>
        </w:rPr>
        <w:t xml:space="preserve"> </w:t>
      </w:r>
      <w:r w:rsidR="00FA1768" w:rsidRPr="00F72FB0">
        <w:rPr>
          <w:lang w:val="en-GB"/>
        </w:rPr>
        <w:t>soft</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than</w:t>
      </w:r>
      <w:r w:rsidR="00FC2FB1" w:rsidRPr="00F72FB0">
        <w:rPr>
          <w:lang w:val="en-GB"/>
        </w:rPr>
        <w:t xml:space="preserve"> </w:t>
      </w:r>
      <w:r w:rsidR="00FA1768" w:rsidRPr="00F72FB0">
        <w:rPr>
          <w:lang w:val="en-GB"/>
        </w:rPr>
        <w:t>without</w:t>
      </w:r>
      <w:r w:rsidR="00FC2FB1" w:rsidRPr="00F72FB0">
        <w:rPr>
          <w:lang w:val="en-GB"/>
        </w:rPr>
        <w:t xml:space="preserve"> </w:t>
      </w:r>
      <w:r w:rsidR="00FA1768" w:rsidRPr="00F72FB0">
        <w:rPr>
          <w:lang w:val="en-GB"/>
        </w:rPr>
        <w:t>soft</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words</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one</w:t>
      </w:r>
      <w:r w:rsidR="00FC2FB1" w:rsidRPr="00F72FB0">
        <w:rPr>
          <w:lang w:val="en-GB"/>
        </w:rPr>
        <w:t xml:space="preserve"> </w:t>
      </w:r>
      <w:r w:rsidR="00FA1768" w:rsidRPr="00F72FB0">
        <w:rPr>
          <w:lang w:val="en-GB"/>
        </w:rPr>
        <w:t>interviewee,</w:t>
      </w:r>
      <w:r w:rsidR="00FC2FB1" w:rsidRPr="00F72FB0">
        <w:rPr>
          <w:lang w:val="en-GB"/>
        </w:rPr>
        <w:t xml:space="preserve"> </w:t>
      </w:r>
      <w:r w:rsidR="00FA1768" w:rsidRPr="00F72FB0">
        <w:rPr>
          <w:lang w:val="en-GB"/>
        </w:rPr>
        <w:t>soft</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only</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question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regulating,</w:t>
      </w:r>
      <w:r w:rsidR="00FC2FB1" w:rsidRPr="00F72FB0">
        <w:rPr>
          <w:lang w:val="en-GB"/>
        </w:rPr>
        <w:t xml:space="preserve"> </w:t>
      </w:r>
      <w:r w:rsidR="00FA1768" w:rsidRPr="00F72FB0">
        <w:rPr>
          <w:lang w:val="en-GB"/>
        </w:rPr>
        <w:t>but</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question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transparency,</w:t>
      </w:r>
      <w:r w:rsidR="00FC2FB1" w:rsidRPr="00F72FB0">
        <w:rPr>
          <w:lang w:val="en-GB"/>
        </w:rPr>
        <w:t xml:space="preserve"> </w:t>
      </w:r>
      <w:r w:rsidR="00FA1768" w:rsidRPr="00F72FB0">
        <w:rPr>
          <w:lang w:val="en-GB"/>
        </w:rPr>
        <w:t>consistency,</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certainty’</w:t>
      </w:r>
      <w:r w:rsidR="00285699">
        <w:rPr>
          <w:lang w:val="en-GB"/>
        </w:rPr>
        <w:t>.</w:t>
      </w:r>
      <w:r w:rsidR="002470C0">
        <w:rPr>
          <w:rStyle w:val="Alaviitteenviite"/>
          <w:lang w:val="en-GB"/>
        </w:rPr>
        <w:footnoteReference w:id="44"/>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the</w:t>
      </w:r>
      <w:r w:rsidR="00FC2FB1" w:rsidRPr="00F72FB0">
        <w:rPr>
          <w:lang w:val="en-GB"/>
        </w:rPr>
        <w:t xml:space="preserve"> </w:t>
      </w:r>
      <w:r w:rsidR="00F13494" w:rsidRPr="00F72FB0">
        <w:rPr>
          <w:lang w:val="en-GB"/>
        </w:rPr>
        <w:t>references</w:t>
      </w:r>
      <w:r w:rsidR="00FC2FB1" w:rsidRPr="00F72FB0">
        <w:rPr>
          <w:lang w:val="en-GB"/>
        </w:rPr>
        <w:t xml:space="preserve"> </w:t>
      </w:r>
      <w:r w:rsidRPr="00F72FB0">
        <w:rPr>
          <w:lang w:val="en-GB"/>
        </w:rPr>
        <w:t>vary</w:t>
      </w:r>
      <w:r w:rsidR="00FC2FB1" w:rsidRPr="00F72FB0">
        <w:rPr>
          <w:lang w:val="en-GB"/>
        </w:rPr>
        <w:t xml:space="preserve"> </w:t>
      </w:r>
      <w:r w:rsidRPr="00F72FB0">
        <w:rPr>
          <w:lang w:val="en-GB"/>
        </w:rPr>
        <w:t>greatly.</w:t>
      </w:r>
    </w:p>
    <w:p w14:paraId="097F99FD" w14:textId="77777777" w:rsidR="00CD24C2" w:rsidRPr="00F72FB0" w:rsidRDefault="00CD24C2" w:rsidP="00E14136">
      <w:pPr>
        <w:widowControl w:val="0"/>
        <w:autoSpaceDE w:val="0"/>
        <w:autoSpaceDN w:val="0"/>
        <w:adjustRightInd w:val="0"/>
        <w:spacing w:line="360" w:lineRule="auto"/>
        <w:contextualSpacing/>
        <w:jc w:val="both"/>
        <w:rPr>
          <w:lang w:val="en-GB"/>
        </w:rPr>
      </w:pPr>
    </w:p>
    <w:p w14:paraId="170AA7F8" w14:textId="5568B9C2" w:rsidR="00CD24C2" w:rsidRPr="00F72FB0" w:rsidRDefault="00CD24C2" w:rsidP="00E14136">
      <w:pPr>
        <w:widowControl w:val="0"/>
        <w:autoSpaceDE w:val="0"/>
        <w:autoSpaceDN w:val="0"/>
        <w:adjustRightInd w:val="0"/>
        <w:spacing w:line="360" w:lineRule="auto"/>
        <w:contextualSpacing/>
        <w:jc w:val="both"/>
        <w:rPr>
          <w:lang w:val="en-GB"/>
        </w:rPr>
      </w:pPr>
      <w:r w:rsidRPr="00F72FB0">
        <w:rPr>
          <w:lang w:val="en-GB"/>
        </w:rPr>
        <w:t>Thus,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competition</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already</w:t>
      </w:r>
      <w:r w:rsidR="00FC2FB1" w:rsidRPr="00F72FB0">
        <w:rPr>
          <w:lang w:val="en-GB"/>
        </w:rPr>
        <w:t xml:space="preserve"> </w:t>
      </w:r>
      <w:r w:rsidRPr="00F72FB0">
        <w:rPr>
          <w:lang w:val="en-GB"/>
        </w:rPr>
        <w:t>noted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Devine</w:t>
      </w:r>
      <w:r w:rsidR="00FC2FB1" w:rsidRPr="00F72FB0">
        <w:rPr>
          <w:lang w:val="en-GB"/>
        </w:rPr>
        <w:t xml:space="preserve"> </w:t>
      </w:r>
      <w:r w:rsidR="00285699">
        <w:rPr>
          <w:lang w:val="en-GB"/>
        </w:rPr>
        <w:t>and</w:t>
      </w:r>
      <w:r w:rsidR="00285699" w:rsidRPr="00F72FB0">
        <w:rPr>
          <w:lang w:val="en-GB"/>
        </w:rPr>
        <w:t xml:space="preserve"> </w:t>
      </w:r>
      <w:r w:rsidRPr="00F72FB0">
        <w:rPr>
          <w:lang w:val="en-GB"/>
        </w:rPr>
        <w:t>Eliantonio,</w:t>
      </w:r>
      <w:bookmarkStart w:id="5" w:name="_Ref37944788"/>
      <w:r w:rsidR="002470C0">
        <w:rPr>
          <w:rStyle w:val="Alaviitteenviite"/>
          <w:lang w:val="en-GB"/>
        </w:rPr>
        <w:footnoteReference w:id="45"/>
      </w:r>
      <w:bookmarkEnd w:id="5"/>
      <w:r w:rsidR="00FC2FB1" w:rsidRPr="00F72FB0">
        <w:rPr>
          <w:lang w:val="en-GB"/>
        </w:rPr>
        <w:t xml:space="preserve"> </w:t>
      </w:r>
      <w:r w:rsidRPr="00F72FB0">
        <w:rPr>
          <w:lang w:val="en-GB"/>
        </w:rPr>
        <w:t>our</w:t>
      </w:r>
      <w:r w:rsidR="00FC2FB1" w:rsidRPr="00F72FB0">
        <w:rPr>
          <w:lang w:val="en-GB"/>
        </w:rPr>
        <w:t xml:space="preserve"> </w:t>
      </w:r>
      <w:r w:rsidRPr="00F72FB0">
        <w:rPr>
          <w:lang w:val="en-GB"/>
        </w:rPr>
        <w:t>empirical</w:t>
      </w:r>
      <w:r w:rsidR="00FC2FB1" w:rsidRPr="00F72FB0">
        <w:rPr>
          <w:lang w:val="en-GB"/>
        </w:rPr>
        <w:t xml:space="preserve"> </w:t>
      </w:r>
      <w:r w:rsidRPr="00F72FB0">
        <w:rPr>
          <w:lang w:val="en-GB"/>
        </w:rPr>
        <w:t>research</w:t>
      </w:r>
      <w:r w:rsidR="00FC2FB1" w:rsidRPr="00F72FB0">
        <w:rPr>
          <w:lang w:val="en-GB"/>
        </w:rPr>
        <w:t xml:space="preserve"> </w:t>
      </w:r>
      <w:r w:rsidRPr="00F72FB0">
        <w:rPr>
          <w:lang w:val="en-GB"/>
        </w:rPr>
        <w:t>shows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00D358C8" w:rsidRPr="00F72FB0">
        <w:rPr>
          <w:lang w:val="en-GB"/>
        </w:rPr>
        <w:t>Competition</w:t>
      </w:r>
      <w:r w:rsidR="00FC2FB1" w:rsidRPr="00F72FB0">
        <w:rPr>
          <w:lang w:val="en-GB"/>
        </w:rPr>
        <w:t xml:space="preserve"> </w:t>
      </w:r>
      <w:r w:rsidR="00D358C8" w:rsidRPr="00F72FB0">
        <w:rPr>
          <w:lang w:val="en-GB"/>
        </w:rPr>
        <w:t>and</w:t>
      </w:r>
      <w:r w:rsidR="00FC2FB1" w:rsidRPr="00F72FB0">
        <w:rPr>
          <w:lang w:val="en-GB"/>
        </w:rPr>
        <w:t xml:space="preserve"> </w:t>
      </w:r>
      <w:r w:rsidR="00D358C8" w:rsidRPr="00F72FB0">
        <w:rPr>
          <w:lang w:val="en-GB"/>
        </w:rPr>
        <w:t>Markets</w:t>
      </w:r>
      <w:r w:rsidR="00FC2FB1" w:rsidRPr="00F72FB0">
        <w:rPr>
          <w:lang w:val="en-GB"/>
        </w:rPr>
        <w:t xml:space="preserve"> </w:t>
      </w:r>
      <w:r w:rsidR="00D358C8" w:rsidRPr="00F72FB0">
        <w:rPr>
          <w:lang w:val="en-GB"/>
        </w:rPr>
        <w:t>Authority</w:t>
      </w:r>
      <w:r w:rsidR="00FC2FB1" w:rsidRPr="00F72FB0">
        <w:rPr>
          <w:lang w:val="en-GB"/>
        </w:rPr>
        <w:t xml:space="preserve"> </w:t>
      </w:r>
      <w:r w:rsidR="00D358C8" w:rsidRPr="00F72FB0">
        <w:rPr>
          <w:lang w:val="en-GB"/>
        </w:rPr>
        <w:t>(the</w:t>
      </w:r>
      <w:r w:rsidR="00FC2FB1" w:rsidRPr="00F72FB0">
        <w:rPr>
          <w:lang w:val="en-GB"/>
        </w:rPr>
        <w:t xml:space="preserve"> </w:t>
      </w:r>
      <w:r w:rsidRPr="00F72FB0">
        <w:rPr>
          <w:lang w:val="en-GB"/>
        </w:rPr>
        <w:t>CMA</w:t>
      </w:r>
      <w:r w:rsidR="00D358C8" w:rsidRPr="00F72FB0">
        <w:rPr>
          <w:lang w:val="en-GB"/>
        </w:rPr>
        <w:t>)</w:t>
      </w:r>
      <w:r w:rsidR="00FC2FB1" w:rsidRPr="00F72FB0">
        <w:rPr>
          <w:lang w:val="en-GB"/>
        </w:rPr>
        <w:t xml:space="preserve"> </w:t>
      </w:r>
      <w:r w:rsidRPr="00F72FB0">
        <w:rPr>
          <w:lang w:val="en-GB"/>
        </w:rPr>
        <w:t>relies</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when</w:t>
      </w:r>
      <w:r w:rsidR="00FC2FB1" w:rsidRPr="00F72FB0">
        <w:rPr>
          <w:lang w:val="en-GB"/>
        </w:rPr>
        <w:t xml:space="preserve"> </w:t>
      </w:r>
      <w:r w:rsidRPr="00F72FB0">
        <w:rPr>
          <w:lang w:val="en-GB"/>
        </w:rPr>
        <w:t>deciding</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cases.</w:t>
      </w:r>
      <w:r w:rsidR="009C58A4">
        <w:rPr>
          <w:rStyle w:val="Alaviitteenviite"/>
          <w:lang w:val="en-GB"/>
        </w:rPr>
        <w:footnoteReference w:id="46"/>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either</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own,</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conjunction</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case</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observed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Post,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FCA</w:t>
      </w:r>
      <w:r w:rsidR="00FC2FB1" w:rsidRPr="00F72FB0">
        <w:rPr>
          <w:lang w:val="en-GB"/>
        </w:rPr>
        <w:t xml:space="preserve"> </w:t>
      </w:r>
      <w:r w:rsidRPr="00F72FB0">
        <w:rPr>
          <w:lang w:val="en-GB"/>
        </w:rPr>
        <w:t>relies</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ESMA</w:t>
      </w:r>
      <w:r w:rsidR="00FC2FB1" w:rsidRPr="00F72FB0">
        <w:rPr>
          <w:lang w:val="en-GB"/>
        </w:rPr>
        <w:t xml:space="preserve"> </w:t>
      </w:r>
      <w:r w:rsidRPr="00F72FB0">
        <w:rPr>
          <w:lang w:val="en-GB"/>
        </w:rPr>
        <w:t>guidelines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Q&amp;As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its</w:t>
      </w:r>
      <w:r w:rsidR="00FC2FB1" w:rsidRPr="00F72FB0">
        <w:rPr>
          <w:lang w:val="en-GB"/>
        </w:rPr>
        <w:t xml:space="preserve"> </w:t>
      </w:r>
      <w:r w:rsidRPr="00F72FB0">
        <w:rPr>
          <w:lang w:val="en-GB"/>
        </w:rPr>
        <w:t>enforcement</w:t>
      </w:r>
      <w:r w:rsidR="00FC2FB1" w:rsidRPr="00F72FB0">
        <w:rPr>
          <w:lang w:val="en-GB"/>
        </w:rPr>
        <w:t xml:space="preserve"> </w:t>
      </w:r>
      <w:r w:rsidRPr="00F72FB0">
        <w:rPr>
          <w:lang w:val="en-GB"/>
        </w:rPr>
        <w:t>actions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UK</w:t>
      </w:r>
      <w:r w:rsidR="0013113A">
        <w:rPr>
          <w:lang w:val="en-GB"/>
        </w:rPr>
        <w:t>; i</w:t>
      </w:r>
      <w:r w:rsidRPr="00F72FB0">
        <w:rPr>
          <w:lang w:val="en-GB"/>
        </w:rPr>
        <w:t>n</w:t>
      </w:r>
      <w:r w:rsidR="00FC2FB1" w:rsidRPr="00F72FB0">
        <w:rPr>
          <w:lang w:val="en-GB"/>
        </w:rPr>
        <w:t xml:space="preserve"> </w:t>
      </w:r>
      <w:r w:rsidRPr="00F72FB0">
        <w:rPr>
          <w:lang w:val="en-GB"/>
        </w:rPr>
        <w:t>fact,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FCA</w:t>
      </w:r>
      <w:r w:rsidR="00FC2FB1" w:rsidRPr="00F72FB0">
        <w:rPr>
          <w:lang w:val="en-GB"/>
        </w:rPr>
        <w:t xml:space="preserve"> </w:t>
      </w:r>
      <w:r w:rsidRPr="00F72FB0">
        <w:rPr>
          <w:lang w:val="en-GB"/>
        </w:rPr>
        <w:t>seems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consider</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enforce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duties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firms</w:t>
      </w:r>
      <w:r w:rsidR="00FC2FB1" w:rsidRPr="00F72FB0">
        <w:rPr>
          <w:lang w:val="en-GB"/>
        </w:rPr>
        <w:t xml:space="preserve"> </w:t>
      </w: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remit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ESMA.</w:t>
      </w:r>
      <w:r w:rsidRPr="00F72FB0">
        <w:rPr>
          <w:rStyle w:val="Alaviitteenviite"/>
          <w:lang w:val="en-GB"/>
        </w:rPr>
        <w:footnoteReference w:id="47"/>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complete</w:t>
      </w:r>
      <w:r w:rsidR="00FC2FB1" w:rsidRPr="00F72FB0">
        <w:rPr>
          <w:lang w:val="en-GB"/>
        </w:rPr>
        <w:t xml:space="preserve"> </w:t>
      </w:r>
      <w:r w:rsidRPr="00F72FB0">
        <w:rPr>
          <w:lang w:val="en-GB"/>
        </w:rPr>
        <w:t>vacuum</w:t>
      </w:r>
      <w:r w:rsidR="00FC2FB1" w:rsidRPr="00F72FB0">
        <w:rPr>
          <w:lang w:val="en-GB"/>
        </w:rPr>
        <w:t xml:space="preserve"> </w:t>
      </w:r>
      <w:r w:rsidRPr="00F72FB0">
        <w:rPr>
          <w:lang w:val="en-GB"/>
        </w:rPr>
        <w:t>arose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context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social</w:t>
      </w:r>
      <w:r w:rsidR="00FC2FB1" w:rsidRPr="00F72FB0">
        <w:rPr>
          <w:lang w:val="en-GB"/>
        </w:rPr>
        <w:t xml:space="preserve"> </w:t>
      </w:r>
      <w:r w:rsidRPr="00F72FB0">
        <w:rPr>
          <w:lang w:val="en-GB"/>
        </w:rPr>
        <w:t>policy</w:t>
      </w:r>
      <w:r w:rsidR="00FC2FB1" w:rsidRPr="00F72FB0">
        <w:rPr>
          <w:lang w:val="en-GB"/>
        </w:rPr>
        <w:t xml:space="preserve"> </w:t>
      </w:r>
      <w:r w:rsidR="00F13494" w:rsidRPr="00F72FB0">
        <w:rPr>
          <w:lang w:val="en-GB"/>
        </w:rPr>
        <w:t>instruments.</w:t>
      </w:r>
    </w:p>
    <w:p w14:paraId="05310D84" w14:textId="77777777" w:rsidR="00CD24C2" w:rsidRPr="00F72FB0" w:rsidRDefault="00CD24C2" w:rsidP="00E14136">
      <w:pPr>
        <w:spacing w:line="360" w:lineRule="auto"/>
        <w:contextualSpacing/>
        <w:jc w:val="both"/>
        <w:rPr>
          <w:lang w:val="en-GB"/>
        </w:rPr>
      </w:pPr>
    </w:p>
    <w:p w14:paraId="4DAEC80F" w14:textId="5285EC8E" w:rsidR="00CD24C2" w:rsidRPr="00F72FB0" w:rsidRDefault="00CD24C2" w:rsidP="00E14136">
      <w:pPr>
        <w:spacing w:line="360" w:lineRule="auto"/>
        <w:contextualSpacing/>
        <w:jc w:val="both"/>
        <w:rPr>
          <w:lang w:val="en-GB"/>
        </w:rPr>
      </w:pPr>
      <w:r w:rsidRPr="00F72FB0">
        <w:rPr>
          <w:lang w:val="en-GB"/>
        </w:rPr>
        <w:t>This</w:t>
      </w:r>
      <w:r w:rsidR="00FC2FB1" w:rsidRPr="00F72FB0">
        <w:rPr>
          <w:lang w:val="en-GB"/>
        </w:rPr>
        <w:t xml:space="preserve"> </w:t>
      </w:r>
      <w:r w:rsidRPr="00F72FB0">
        <w:rPr>
          <w:lang w:val="en-GB"/>
        </w:rPr>
        <w:t>variation</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use</w:t>
      </w:r>
      <w:r w:rsidR="00FC2FB1" w:rsidRPr="00F72FB0">
        <w:rPr>
          <w:lang w:val="en-GB"/>
        </w:rPr>
        <w:t xml:space="preserve"> </w:t>
      </w:r>
      <w:r w:rsidRPr="00F72FB0">
        <w:rPr>
          <w:lang w:val="en-GB"/>
        </w:rPr>
        <w:t>begs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question</w:t>
      </w:r>
      <w:r w:rsidR="00FC2FB1" w:rsidRPr="00F72FB0">
        <w:rPr>
          <w:lang w:val="en-GB"/>
        </w:rPr>
        <w:t xml:space="preserve"> </w:t>
      </w:r>
      <w:r w:rsidRPr="00F72FB0">
        <w:rPr>
          <w:lang w:val="en-GB"/>
        </w:rPr>
        <w:t>why</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some</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never</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part,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answer</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sector-specific</w:t>
      </w:r>
      <w:r w:rsidR="00FC2FB1" w:rsidRPr="00F72FB0">
        <w:rPr>
          <w:lang w:val="en-GB"/>
        </w:rPr>
        <w:t xml:space="preserve"> </w:t>
      </w:r>
      <w:r w:rsidR="00285699">
        <w:rPr>
          <w:lang w:val="en-GB"/>
        </w:rPr>
        <w:t>–</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social</w:t>
      </w:r>
      <w:r w:rsidR="00FC2FB1" w:rsidRPr="00F72FB0">
        <w:rPr>
          <w:lang w:val="en-GB"/>
        </w:rPr>
        <w:t xml:space="preserve"> </w:t>
      </w:r>
      <w:r w:rsidRPr="00F72FB0">
        <w:rPr>
          <w:lang w:val="en-GB"/>
        </w:rPr>
        <w:t>policy</w:t>
      </w:r>
      <w:r w:rsidR="00FC2FB1" w:rsidRPr="00F72FB0">
        <w:rPr>
          <w:lang w:val="en-GB"/>
        </w:rPr>
        <w:t xml:space="preserve"> </w:t>
      </w:r>
      <w:r w:rsidRPr="00F72FB0">
        <w:rPr>
          <w:lang w:val="en-GB"/>
        </w:rPr>
        <w:t>sector,</w:t>
      </w:r>
      <w:r w:rsidR="00FC2FB1" w:rsidRPr="00F72FB0">
        <w:rPr>
          <w:lang w:val="en-GB"/>
        </w:rPr>
        <w:t xml:space="preserve"> </w:t>
      </w:r>
      <w:r w:rsidRPr="00F72FB0">
        <w:rPr>
          <w:lang w:val="en-GB"/>
        </w:rPr>
        <w:t>McGaughey</w:t>
      </w:r>
      <w:r w:rsidR="00FC2FB1" w:rsidRPr="00F72FB0">
        <w:rPr>
          <w:lang w:val="en-GB"/>
        </w:rPr>
        <w:t xml:space="preserve"> </w:t>
      </w:r>
      <w:r w:rsidRPr="00F72FB0">
        <w:rPr>
          <w:lang w:val="en-GB"/>
        </w:rPr>
        <w:t>noted</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complete</w:t>
      </w:r>
      <w:r w:rsidR="00FC2FB1" w:rsidRPr="00F72FB0">
        <w:rPr>
          <w:lang w:val="en-GB"/>
        </w:rPr>
        <w:t xml:space="preserve"> </w:t>
      </w:r>
      <w:r w:rsidRPr="00F72FB0">
        <w:rPr>
          <w:lang w:val="en-GB"/>
        </w:rPr>
        <w:t>lack</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awareness</w:t>
      </w:r>
      <w:r w:rsidR="00FC2FB1" w:rsidRPr="00F72FB0">
        <w:rPr>
          <w:lang w:val="en-GB"/>
        </w:rPr>
        <w:t xml:space="preserve"> </w:t>
      </w:r>
      <w:r w:rsidRPr="00F72FB0">
        <w:rPr>
          <w:lang w:val="en-GB"/>
        </w:rPr>
        <w:t>towards</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team</w:t>
      </w:r>
      <w:r w:rsidR="00FC2FB1" w:rsidRPr="00F72FB0">
        <w:rPr>
          <w:lang w:val="en-GB"/>
        </w:rPr>
        <w:t xml:space="preserve"> </w:t>
      </w:r>
      <w:r w:rsidRPr="00F72FB0">
        <w:rPr>
          <w:lang w:val="en-GB"/>
        </w:rPr>
        <w:t>contacted</w:t>
      </w:r>
      <w:r w:rsidR="00FC2FB1" w:rsidRPr="00F72FB0">
        <w:rPr>
          <w:lang w:val="en-GB"/>
        </w:rPr>
        <w:t xml:space="preserve"> </w:t>
      </w:r>
      <w:r w:rsidRPr="00F72FB0">
        <w:rPr>
          <w:lang w:val="en-GB"/>
        </w:rPr>
        <w:t>multiple</w:t>
      </w:r>
      <w:r w:rsidR="00FC2FB1" w:rsidRPr="00F72FB0">
        <w:rPr>
          <w:lang w:val="en-GB"/>
        </w:rPr>
        <w:t xml:space="preserve"> </w:t>
      </w:r>
      <w:r w:rsidRPr="00F72FB0">
        <w:rPr>
          <w:lang w:val="en-GB"/>
        </w:rPr>
        <w:t>sources</w:t>
      </w:r>
      <w:r w:rsidR="00FC2FB1" w:rsidRPr="00F72FB0">
        <w:rPr>
          <w:lang w:val="en-GB"/>
        </w:rPr>
        <w:t xml:space="preserve"> </w:t>
      </w:r>
      <w:r w:rsidRPr="00F72FB0">
        <w:rPr>
          <w:lang w:val="en-GB"/>
        </w:rPr>
        <w:t>from</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Crown</w:t>
      </w:r>
      <w:r w:rsidR="00FC2FB1" w:rsidRPr="00F72FB0">
        <w:rPr>
          <w:lang w:val="en-GB"/>
        </w:rPr>
        <w:t xml:space="preserve"> </w:t>
      </w:r>
      <w:r w:rsidRPr="00F72FB0">
        <w:rPr>
          <w:lang w:val="en-GB"/>
        </w:rPr>
        <w:lastRenderedPageBreak/>
        <w:t>Commercial</w:t>
      </w:r>
      <w:r w:rsidR="00FC2FB1" w:rsidRPr="00F72FB0">
        <w:rPr>
          <w:lang w:val="en-GB"/>
        </w:rPr>
        <w:t xml:space="preserve"> </w:t>
      </w:r>
      <w:r w:rsidRPr="00F72FB0">
        <w:rPr>
          <w:lang w:val="en-GB"/>
        </w:rPr>
        <w:t>Service,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Child</w:t>
      </w:r>
      <w:r w:rsidR="00FC2FB1" w:rsidRPr="00F72FB0">
        <w:rPr>
          <w:lang w:val="en-GB"/>
        </w:rPr>
        <w:t xml:space="preserve"> </w:t>
      </w:r>
      <w:r w:rsidRPr="00F72FB0">
        <w:rPr>
          <w:lang w:val="en-GB"/>
        </w:rPr>
        <w:t>Poverty</w:t>
      </w:r>
      <w:r w:rsidR="00FC2FB1" w:rsidRPr="00F72FB0">
        <w:rPr>
          <w:lang w:val="en-GB"/>
        </w:rPr>
        <w:t xml:space="preserve"> </w:t>
      </w:r>
      <w:r w:rsidRPr="00F72FB0">
        <w:rPr>
          <w:lang w:val="en-GB"/>
        </w:rPr>
        <w:t>Unit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Department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Work</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Pensions,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Government</w:t>
      </w:r>
      <w:r w:rsidR="00FC2FB1" w:rsidRPr="00F72FB0">
        <w:rPr>
          <w:lang w:val="en-GB"/>
        </w:rPr>
        <w:t xml:space="preserve"> </w:t>
      </w:r>
      <w:r w:rsidRPr="00F72FB0">
        <w:rPr>
          <w:lang w:val="en-GB"/>
        </w:rPr>
        <w:t>Equalities</w:t>
      </w:r>
      <w:r w:rsidR="00FC2FB1" w:rsidRPr="00F72FB0">
        <w:rPr>
          <w:lang w:val="en-GB"/>
        </w:rPr>
        <w:t xml:space="preserve"> </w:t>
      </w:r>
      <w:r w:rsidRPr="00F72FB0">
        <w:rPr>
          <w:lang w:val="en-GB"/>
        </w:rPr>
        <w:t>Office’s</w:t>
      </w:r>
      <w:r w:rsidR="00FC2FB1" w:rsidRPr="00F72FB0">
        <w:rPr>
          <w:lang w:val="en-GB"/>
        </w:rPr>
        <w:t xml:space="preserve"> </w:t>
      </w:r>
      <w:r w:rsidRPr="00F72FB0">
        <w:rPr>
          <w:lang w:val="en-GB"/>
        </w:rPr>
        <w:t>Gender</w:t>
      </w:r>
      <w:r w:rsidR="00FC2FB1" w:rsidRPr="00F72FB0">
        <w:rPr>
          <w:lang w:val="en-GB"/>
        </w:rPr>
        <w:t xml:space="preserve"> </w:t>
      </w:r>
      <w:r w:rsidRPr="00F72FB0">
        <w:rPr>
          <w:lang w:val="en-GB"/>
        </w:rPr>
        <w:t>Pay</w:t>
      </w:r>
      <w:r w:rsidR="00FC2FB1" w:rsidRPr="00F72FB0">
        <w:rPr>
          <w:lang w:val="en-GB"/>
        </w:rPr>
        <w:t xml:space="preserve"> </w:t>
      </w:r>
      <w:r w:rsidRPr="00F72FB0">
        <w:rPr>
          <w:lang w:val="en-GB"/>
        </w:rPr>
        <w:t>Gap</w:t>
      </w:r>
      <w:r w:rsidR="00FC2FB1" w:rsidRPr="00F72FB0">
        <w:rPr>
          <w:lang w:val="en-GB"/>
        </w:rPr>
        <w:t xml:space="preserve"> </w:t>
      </w:r>
      <w:r w:rsidRPr="00F72FB0">
        <w:rPr>
          <w:lang w:val="en-GB"/>
        </w:rPr>
        <w:t>Reporting</w:t>
      </w:r>
      <w:r w:rsidR="00FC2FB1" w:rsidRPr="00F72FB0">
        <w:rPr>
          <w:lang w:val="en-GB"/>
        </w:rPr>
        <w:t xml:space="preserve"> </w:t>
      </w:r>
      <w:r w:rsidRPr="00F72FB0">
        <w:rPr>
          <w:lang w:val="en-GB"/>
        </w:rPr>
        <w:t>staff.</w:t>
      </w:r>
      <w:r w:rsidR="00FC2FB1" w:rsidRPr="00F72FB0">
        <w:rPr>
          <w:lang w:val="en-GB"/>
        </w:rPr>
        <w:t xml:space="preserve"> </w:t>
      </w:r>
      <w:r w:rsidRPr="00F72FB0">
        <w:rPr>
          <w:lang w:val="en-GB" w:eastAsia="ar-SA"/>
        </w:rPr>
        <w:t>Unfortunately,</w:t>
      </w:r>
      <w:r w:rsidR="00FC2FB1" w:rsidRPr="00F72FB0">
        <w:rPr>
          <w:lang w:val="en-GB" w:eastAsia="ar-SA"/>
        </w:rPr>
        <w:t xml:space="preserve"> </w:t>
      </w:r>
      <w:r w:rsidRPr="00F72FB0">
        <w:rPr>
          <w:lang w:val="en-GB" w:eastAsia="ar-SA"/>
        </w:rPr>
        <w:t>there</w:t>
      </w:r>
      <w:r w:rsidR="00FC2FB1" w:rsidRPr="00F72FB0">
        <w:rPr>
          <w:lang w:val="en-GB" w:eastAsia="ar-SA"/>
        </w:rPr>
        <w:t xml:space="preserve"> </w:t>
      </w:r>
      <w:r w:rsidRPr="00F72FB0">
        <w:rPr>
          <w:lang w:val="en-GB" w:eastAsia="ar-SA"/>
        </w:rPr>
        <w:t>appeared</w:t>
      </w:r>
      <w:r w:rsidR="00FC2FB1" w:rsidRPr="00F72FB0">
        <w:rPr>
          <w:lang w:val="en-GB" w:eastAsia="ar-SA"/>
        </w:rPr>
        <w:t xml:space="preserve"> </w:t>
      </w:r>
      <w:r w:rsidRPr="00F72FB0">
        <w:rPr>
          <w:lang w:val="en-GB" w:eastAsia="ar-SA"/>
        </w:rPr>
        <w:t>to</w:t>
      </w:r>
      <w:r w:rsidR="00FC2FB1" w:rsidRPr="00F72FB0">
        <w:rPr>
          <w:lang w:val="en-GB" w:eastAsia="ar-SA"/>
        </w:rPr>
        <w:t xml:space="preserve"> </w:t>
      </w:r>
      <w:r w:rsidRPr="00F72FB0">
        <w:rPr>
          <w:lang w:val="en-GB" w:eastAsia="ar-SA"/>
        </w:rPr>
        <w:t>be</w:t>
      </w:r>
      <w:r w:rsidR="00FC2FB1" w:rsidRPr="00F72FB0">
        <w:rPr>
          <w:lang w:val="en-GB" w:eastAsia="ar-SA"/>
        </w:rPr>
        <w:t xml:space="preserve"> </w:t>
      </w:r>
      <w:r w:rsidRPr="00F72FB0">
        <w:rPr>
          <w:i/>
          <w:iCs/>
          <w:lang w:val="en-GB" w:eastAsia="ar-SA"/>
        </w:rPr>
        <w:t>nobody</w:t>
      </w:r>
      <w:r w:rsidR="00FC2FB1" w:rsidRPr="00F72FB0">
        <w:rPr>
          <w:lang w:val="en-GB" w:eastAsia="ar-SA"/>
        </w:rPr>
        <w:t xml:space="preserve"> </w:t>
      </w:r>
      <w:r w:rsidRPr="00F72FB0">
        <w:rPr>
          <w:lang w:val="en-GB" w:eastAsia="ar-SA"/>
        </w:rPr>
        <w:t>with</w:t>
      </w:r>
      <w:r w:rsidR="00FC2FB1" w:rsidRPr="00F72FB0">
        <w:rPr>
          <w:lang w:val="en-GB" w:eastAsia="ar-SA"/>
        </w:rPr>
        <w:t xml:space="preserve"> </w:t>
      </w:r>
      <w:r w:rsidRPr="00F72FB0">
        <w:rPr>
          <w:lang w:val="en-GB" w:eastAsia="ar-SA"/>
        </w:rPr>
        <w:t>sufficient</w:t>
      </w:r>
      <w:r w:rsidR="00FC2FB1" w:rsidRPr="00F72FB0">
        <w:rPr>
          <w:lang w:val="en-GB" w:eastAsia="ar-SA"/>
        </w:rPr>
        <w:t xml:space="preserve"> </w:t>
      </w:r>
      <w:r w:rsidRPr="00F72FB0">
        <w:rPr>
          <w:lang w:val="en-GB" w:eastAsia="ar-SA"/>
        </w:rPr>
        <w:t>knowledge</w:t>
      </w:r>
      <w:r w:rsidR="00FC2FB1" w:rsidRPr="00F72FB0">
        <w:rPr>
          <w:lang w:val="en-GB" w:eastAsia="ar-SA"/>
        </w:rPr>
        <w:t xml:space="preserve"> </w:t>
      </w:r>
      <w:r w:rsidRPr="00F72FB0">
        <w:rPr>
          <w:lang w:val="en-GB" w:eastAsia="ar-SA"/>
        </w:rPr>
        <w:t>or</w:t>
      </w:r>
      <w:r w:rsidR="00FC2FB1" w:rsidRPr="00F72FB0">
        <w:rPr>
          <w:lang w:val="en-GB" w:eastAsia="ar-SA"/>
        </w:rPr>
        <w:t xml:space="preserve"> </w:t>
      </w:r>
      <w:r w:rsidRPr="00F72FB0">
        <w:rPr>
          <w:lang w:val="en-GB" w:eastAsia="ar-SA"/>
        </w:rPr>
        <w:t>awareness</w:t>
      </w:r>
      <w:r w:rsidR="00FC2FB1" w:rsidRPr="00F72FB0">
        <w:rPr>
          <w:lang w:val="en-GB" w:eastAsia="ar-SA"/>
        </w:rPr>
        <w:t xml:space="preserve"> </w:t>
      </w:r>
      <w:r w:rsidRPr="00F72FB0">
        <w:rPr>
          <w:lang w:val="en-GB" w:eastAsia="ar-SA"/>
        </w:rPr>
        <w:t>of</w:t>
      </w:r>
      <w:r w:rsidR="00FC2FB1" w:rsidRPr="00F72FB0">
        <w:rPr>
          <w:lang w:val="en-GB" w:eastAsia="ar-SA"/>
        </w:rPr>
        <w:t xml:space="preserve"> </w:t>
      </w:r>
      <w:r w:rsidRPr="00F72FB0">
        <w:rPr>
          <w:i/>
          <w:iCs/>
          <w:lang w:val="en-GB" w:eastAsia="ar-SA"/>
        </w:rPr>
        <w:t>any</w:t>
      </w:r>
      <w:r w:rsidR="00FC2FB1" w:rsidRPr="00F72FB0">
        <w:rPr>
          <w:i/>
          <w:iCs/>
          <w:lang w:val="en-GB" w:eastAsia="ar-SA"/>
        </w:rPr>
        <w:t xml:space="preserve"> </w:t>
      </w:r>
      <w:r w:rsidRPr="00F72FB0">
        <w:rPr>
          <w:lang w:val="en-GB" w:eastAsia="ar-SA"/>
        </w:rPr>
        <w:t>EU</w:t>
      </w:r>
      <w:r w:rsidR="00FC2FB1" w:rsidRPr="00F72FB0">
        <w:rPr>
          <w:lang w:val="en-GB" w:eastAsia="ar-SA"/>
        </w:rPr>
        <w:t xml:space="preserve"> </w:t>
      </w:r>
      <w:r w:rsidRPr="00F72FB0">
        <w:rPr>
          <w:lang w:val="en-GB" w:eastAsia="ar-SA"/>
        </w:rPr>
        <w:t>soft</w:t>
      </w:r>
      <w:r w:rsidR="00FC2FB1" w:rsidRPr="00F72FB0">
        <w:rPr>
          <w:lang w:val="en-GB" w:eastAsia="ar-SA"/>
        </w:rPr>
        <w:t xml:space="preserve"> </w:t>
      </w:r>
      <w:r w:rsidRPr="00F72FB0">
        <w:rPr>
          <w:lang w:val="en-GB" w:eastAsia="ar-SA"/>
        </w:rPr>
        <w:t>law</w:t>
      </w:r>
      <w:r w:rsidR="00FC2FB1" w:rsidRPr="00F72FB0">
        <w:rPr>
          <w:lang w:val="en-GB" w:eastAsia="ar-SA"/>
        </w:rPr>
        <w:t xml:space="preserve"> </w:t>
      </w:r>
      <w:r w:rsidRPr="00F72FB0">
        <w:rPr>
          <w:lang w:val="en-GB" w:eastAsia="ar-SA"/>
        </w:rPr>
        <w:t>measure.</w:t>
      </w:r>
      <w:r w:rsidRPr="00F72FB0">
        <w:rPr>
          <w:rStyle w:val="Alaviitteenviite"/>
          <w:lang w:val="en-GB" w:eastAsia="ar-SA"/>
        </w:rPr>
        <w:footnoteReference w:id="48"/>
      </w:r>
      <w:r w:rsidR="002470C0">
        <w:rPr>
          <w:lang w:val="en-GB" w:eastAsia="ar-SA"/>
        </w:rPr>
        <w:t xml:space="preserve"> </w:t>
      </w:r>
      <w:r w:rsidRPr="00F72FB0">
        <w:rPr>
          <w:lang w:val="en-GB"/>
        </w:rPr>
        <w:t>However,</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account</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all</w:t>
      </w:r>
      <w:r w:rsidR="00FC2FB1" w:rsidRPr="00F72FB0">
        <w:rPr>
          <w:lang w:val="en-GB"/>
        </w:rPr>
        <w:t xml:space="preserve"> </w:t>
      </w:r>
      <w:r w:rsidRPr="00F72FB0">
        <w:rPr>
          <w:lang w:val="en-GB"/>
        </w:rPr>
        <w:t>variations.</w:t>
      </w:r>
      <w:r w:rsidR="00FC2FB1" w:rsidRPr="00F72FB0">
        <w:rPr>
          <w:lang w:val="en-GB"/>
        </w:rPr>
        <w:t xml:space="preserve"> </w:t>
      </w:r>
    </w:p>
    <w:p w14:paraId="6EC8130F" w14:textId="77777777" w:rsidR="00CD24C2" w:rsidRPr="00F72FB0" w:rsidRDefault="00CD24C2" w:rsidP="00E14136">
      <w:pPr>
        <w:spacing w:line="360" w:lineRule="auto"/>
        <w:contextualSpacing/>
        <w:jc w:val="both"/>
        <w:rPr>
          <w:lang w:val="en-GB"/>
        </w:rPr>
      </w:pPr>
    </w:p>
    <w:p w14:paraId="3B645B18" w14:textId="3F3883F9" w:rsidR="00CD24C2" w:rsidRPr="00F72FB0" w:rsidRDefault="00CD24C2" w:rsidP="00E14136">
      <w:pPr>
        <w:spacing w:line="360" w:lineRule="auto"/>
        <w:contextualSpacing/>
        <w:jc w:val="both"/>
        <w:rPr>
          <w:lang w:val="en-GB"/>
        </w:rPr>
      </w:pPr>
      <w:r w:rsidRPr="00F72FB0">
        <w:rPr>
          <w:lang w:val="en-GB"/>
        </w:rPr>
        <w:t>A</w:t>
      </w:r>
      <w:r w:rsidR="00FC2FB1" w:rsidRPr="00F72FB0">
        <w:rPr>
          <w:lang w:val="en-GB"/>
        </w:rPr>
        <w:t xml:space="preserve"> </w:t>
      </w:r>
      <w:r w:rsidRPr="00F72FB0">
        <w:rPr>
          <w:lang w:val="en-GB"/>
        </w:rPr>
        <w:t>further</w:t>
      </w:r>
      <w:r w:rsidR="00FC2FB1" w:rsidRPr="00F72FB0">
        <w:rPr>
          <w:lang w:val="en-GB"/>
        </w:rPr>
        <w:t xml:space="preserve"> </w:t>
      </w:r>
      <w:r w:rsidRPr="00F72FB0">
        <w:rPr>
          <w:lang w:val="en-GB"/>
        </w:rPr>
        <w:t>cause</w:t>
      </w:r>
      <w:r w:rsidR="00FC2FB1" w:rsidRPr="00F72FB0">
        <w:rPr>
          <w:lang w:val="en-GB"/>
        </w:rPr>
        <w:t xml:space="preserve"> </w:t>
      </w:r>
      <w:r w:rsidRPr="00F72FB0">
        <w:rPr>
          <w:lang w:val="en-GB"/>
        </w:rPr>
        <w:t>could</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high</w:t>
      </w:r>
      <w:r w:rsidR="00FC2FB1" w:rsidRPr="00F72FB0">
        <w:rPr>
          <w:lang w:val="en-GB"/>
        </w:rPr>
        <w:t xml:space="preserve"> </w:t>
      </w:r>
      <w:r w:rsidRPr="00F72FB0">
        <w:rPr>
          <w:lang w:val="en-GB"/>
        </w:rPr>
        <w:t>degree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generality</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confirmed</w:t>
      </w:r>
      <w:r w:rsidR="00FC2FB1" w:rsidRPr="00F72FB0">
        <w:rPr>
          <w:lang w:val="en-GB"/>
        </w:rPr>
        <w:t xml:space="preserve"> </w:t>
      </w:r>
      <w:r w:rsidRPr="00F72FB0">
        <w:rPr>
          <w:lang w:val="en-GB"/>
        </w:rPr>
        <w:t>by</w:t>
      </w:r>
      <w:r w:rsidR="00FC2FB1" w:rsidRPr="00F72FB0">
        <w:rPr>
          <w:lang w:val="en-GB"/>
        </w:rPr>
        <w:t xml:space="preserve"> </w:t>
      </w:r>
      <w:r w:rsidR="00A0240A" w:rsidRPr="00F72FB0">
        <w:rPr>
          <w:lang w:val="en-GB"/>
        </w:rPr>
        <w:t>an</w:t>
      </w:r>
      <w:r w:rsidR="00FC2FB1" w:rsidRPr="00F72FB0">
        <w:rPr>
          <w:lang w:val="en-GB"/>
        </w:rPr>
        <w:t xml:space="preserve"> </w:t>
      </w:r>
      <w:r w:rsidRPr="00F72FB0">
        <w:rPr>
          <w:lang w:val="en-GB"/>
        </w:rPr>
        <w:t>interviewee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relation</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Technology</w:t>
      </w:r>
      <w:r w:rsidR="00FC2FB1" w:rsidRPr="00F72FB0">
        <w:rPr>
          <w:lang w:val="en-GB"/>
        </w:rPr>
        <w:t xml:space="preserve"> </w:t>
      </w:r>
      <w:r w:rsidRPr="00F72FB0">
        <w:rPr>
          <w:lang w:val="en-GB"/>
        </w:rPr>
        <w:t>Transfer</w:t>
      </w:r>
      <w:r w:rsidR="00FC2FB1" w:rsidRPr="00F72FB0">
        <w:rPr>
          <w:lang w:val="en-GB"/>
        </w:rPr>
        <w:t xml:space="preserve"> </w:t>
      </w:r>
      <w:r w:rsidRPr="00F72FB0">
        <w:rPr>
          <w:lang w:val="en-GB"/>
        </w:rPr>
        <w:t>Guidelines.</w:t>
      </w:r>
      <w:r w:rsidR="00A24708">
        <w:rPr>
          <w:rStyle w:val="Alaviitteenviite"/>
          <w:lang w:val="en-GB"/>
        </w:rPr>
        <w:footnoteReference w:id="49"/>
      </w:r>
      <w:r w:rsidR="00FC2FB1" w:rsidRPr="00F72FB0">
        <w:rPr>
          <w:lang w:val="en-GB"/>
        </w:rPr>
        <w:t xml:space="preserve"> </w:t>
      </w:r>
      <w:r w:rsidR="00A0240A" w:rsidRPr="00F72FB0">
        <w:rPr>
          <w:lang w:val="en-GB"/>
        </w:rPr>
        <w:t>Interviews reveal that m</w:t>
      </w:r>
      <w:r w:rsidR="00F13494" w:rsidRPr="00F72FB0">
        <w:rPr>
          <w:lang w:val="en-GB"/>
        </w:rPr>
        <w:t>ost</w:t>
      </w:r>
      <w:r w:rsidR="00FC2FB1" w:rsidRPr="00F72FB0">
        <w:rPr>
          <w:lang w:val="en-GB"/>
        </w:rPr>
        <w:t xml:space="preserve"> </w:t>
      </w:r>
      <w:r w:rsidR="00F13494" w:rsidRPr="00F72FB0">
        <w:rPr>
          <w:lang w:val="en-GB"/>
        </w:rPr>
        <w:t>people</w:t>
      </w:r>
      <w:r w:rsidR="00FC2FB1" w:rsidRPr="00F72FB0">
        <w:rPr>
          <w:lang w:val="en-GB"/>
        </w:rPr>
        <w:t xml:space="preserve"> </w:t>
      </w:r>
      <w:r w:rsidR="00F13494" w:rsidRPr="00F72FB0">
        <w:rPr>
          <w:lang w:val="en-GB"/>
        </w:rPr>
        <w:t>in</w:t>
      </w:r>
      <w:r w:rsidR="00FC2FB1" w:rsidRPr="00F72FB0">
        <w:rPr>
          <w:lang w:val="en-GB"/>
        </w:rPr>
        <w:t xml:space="preserve"> </w:t>
      </w:r>
      <w:r w:rsidR="00F13494" w:rsidRPr="00F72FB0">
        <w:rPr>
          <w:lang w:val="en-GB"/>
        </w:rPr>
        <w:t>the</w:t>
      </w:r>
      <w:r w:rsidR="00FC2FB1" w:rsidRPr="00F72FB0">
        <w:rPr>
          <w:lang w:val="en-GB"/>
        </w:rPr>
        <w:t xml:space="preserve"> </w:t>
      </w:r>
      <w:r w:rsidR="00F13494" w:rsidRPr="00F72FB0">
        <w:rPr>
          <w:lang w:val="en-GB"/>
        </w:rPr>
        <w:t>public</w:t>
      </w:r>
      <w:r w:rsidR="00FC2FB1" w:rsidRPr="00F72FB0">
        <w:rPr>
          <w:lang w:val="en-GB"/>
        </w:rPr>
        <w:t xml:space="preserve"> </w:t>
      </w:r>
      <w:r w:rsidR="00F13494" w:rsidRPr="00F72FB0">
        <w:rPr>
          <w:lang w:val="en-GB"/>
        </w:rPr>
        <w:t>sector</w:t>
      </w:r>
      <w:r w:rsidR="00FC2FB1" w:rsidRPr="00F72FB0">
        <w:rPr>
          <w:lang w:val="en-GB"/>
        </w:rPr>
        <w:t xml:space="preserve"> </w:t>
      </w:r>
      <w:r w:rsidR="00F13494" w:rsidRPr="00F72FB0">
        <w:rPr>
          <w:lang w:val="en-GB"/>
        </w:rPr>
        <w:t>recogni</w:t>
      </w:r>
      <w:r w:rsidR="0001692B">
        <w:rPr>
          <w:lang w:val="en-GB"/>
        </w:rPr>
        <w:t>s</w:t>
      </w:r>
      <w:r w:rsidR="00F13494" w:rsidRPr="00F72FB0">
        <w:rPr>
          <w:lang w:val="en-GB"/>
        </w:rPr>
        <w:t>e</w:t>
      </w:r>
      <w:r w:rsidR="00FC2FB1" w:rsidRPr="00F72FB0">
        <w:rPr>
          <w:lang w:val="en-GB"/>
        </w:rPr>
        <w:t xml:space="preserve"> </w:t>
      </w:r>
      <w:r w:rsidR="00F13494" w:rsidRPr="00F72FB0">
        <w:rPr>
          <w:lang w:val="en-GB"/>
        </w:rPr>
        <w:t>that</w:t>
      </w:r>
      <w:r w:rsidR="00FC2FB1" w:rsidRPr="00F72FB0">
        <w:rPr>
          <w:lang w:val="en-GB"/>
        </w:rPr>
        <w:t xml:space="preserve"> </w:t>
      </w:r>
      <w:r w:rsidR="00F13494" w:rsidRPr="00F72FB0">
        <w:rPr>
          <w:lang w:val="en-GB"/>
        </w:rPr>
        <w:t>a</w:t>
      </w:r>
      <w:r w:rsidR="00FC2FB1" w:rsidRPr="00F72FB0">
        <w:rPr>
          <w:lang w:val="en-GB"/>
        </w:rPr>
        <w:t xml:space="preserve"> </w:t>
      </w:r>
      <w:r w:rsidR="00F13494" w:rsidRPr="00F72FB0">
        <w:rPr>
          <w:lang w:val="en-GB"/>
        </w:rPr>
        <w:t>framework</w:t>
      </w:r>
      <w:r w:rsidR="00FC2FB1" w:rsidRPr="00F72FB0">
        <w:rPr>
          <w:lang w:val="en-GB"/>
        </w:rPr>
        <w:t xml:space="preserve"> </w:t>
      </w:r>
      <w:r w:rsidR="00F13494" w:rsidRPr="00F72FB0">
        <w:rPr>
          <w:lang w:val="en-GB"/>
        </w:rPr>
        <w:t>is</w:t>
      </w:r>
      <w:r w:rsidR="00FC2FB1" w:rsidRPr="00F72FB0">
        <w:rPr>
          <w:lang w:val="en-GB"/>
        </w:rPr>
        <w:t xml:space="preserve"> </w:t>
      </w:r>
      <w:r w:rsidR="00F13494" w:rsidRPr="00F72FB0">
        <w:rPr>
          <w:lang w:val="en-GB"/>
        </w:rPr>
        <w:t>needed</w:t>
      </w:r>
      <w:r w:rsidR="00FC2FB1" w:rsidRPr="00F72FB0">
        <w:rPr>
          <w:lang w:val="en-GB"/>
        </w:rPr>
        <w:t xml:space="preserve"> </w:t>
      </w:r>
      <w:r w:rsidR="00F13494" w:rsidRPr="00F72FB0">
        <w:rPr>
          <w:lang w:val="en-GB"/>
        </w:rPr>
        <w:t>in</w:t>
      </w:r>
      <w:r w:rsidR="00FC2FB1" w:rsidRPr="00F72FB0">
        <w:rPr>
          <w:lang w:val="en-GB"/>
        </w:rPr>
        <w:t xml:space="preserve"> </w:t>
      </w:r>
      <w:r w:rsidR="00F13494" w:rsidRPr="00F72FB0">
        <w:rPr>
          <w:lang w:val="en-GB"/>
        </w:rPr>
        <w:t>order</w:t>
      </w:r>
      <w:r w:rsidR="00FC2FB1" w:rsidRPr="00F72FB0">
        <w:rPr>
          <w:lang w:val="en-GB"/>
        </w:rPr>
        <w:t xml:space="preserve"> </w:t>
      </w:r>
      <w:r w:rsidR="00F13494" w:rsidRPr="00F72FB0">
        <w:rPr>
          <w:lang w:val="en-GB"/>
        </w:rPr>
        <w:t>to</w:t>
      </w:r>
      <w:r w:rsidR="00FC2FB1" w:rsidRPr="00F72FB0">
        <w:rPr>
          <w:lang w:val="en-GB"/>
        </w:rPr>
        <w:t xml:space="preserve"> </w:t>
      </w:r>
      <w:r w:rsidR="00F13494" w:rsidRPr="00F72FB0">
        <w:rPr>
          <w:lang w:val="en-GB"/>
        </w:rPr>
        <w:t>facilitate</w:t>
      </w:r>
      <w:r w:rsidR="00FC2FB1" w:rsidRPr="00F72FB0">
        <w:rPr>
          <w:lang w:val="en-GB"/>
        </w:rPr>
        <w:t xml:space="preserve"> </w:t>
      </w:r>
      <w:r w:rsidR="00F13494" w:rsidRPr="00F72FB0">
        <w:rPr>
          <w:lang w:val="en-GB"/>
        </w:rPr>
        <w:t>competition</w:t>
      </w:r>
      <w:r w:rsidR="00FC2FB1" w:rsidRPr="00F72FB0">
        <w:rPr>
          <w:lang w:val="en-GB"/>
        </w:rPr>
        <w:t xml:space="preserve"> </w:t>
      </w:r>
      <w:r w:rsidR="00F13494" w:rsidRPr="00F72FB0">
        <w:rPr>
          <w:lang w:val="en-GB"/>
        </w:rPr>
        <w:t>within</w:t>
      </w:r>
      <w:r w:rsidR="00FC2FB1" w:rsidRPr="00F72FB0">
        <w:rPr>
          <w:lang w:val="en-GB"/>
        </w:rPr>
        <w:t xml:space="preserve"> </w:t>
      </w:r>
      <w:r w:rsidR="00F13494" w:rsidRPr="00F72FB0">
        <w:rPr>
          <w:lang w:val="en-GB"/>
        </w:rPr>
        <w:t>the</w:t>
      </w:r>
      <w:r w:rsidR="00FC2FB1" w:rsidRPr="00F72FB0">
        <w:rPr>
          <w:lang w:val="en-GB"/>
        </w:rPr>
        <w:t xml:space="preserve"> </w:t>
      </w:r>
      <w:r w:rsidR="00F13494" w:rsidRPr="00F72FB0">
        <w:rPr>
          <w:lang w:val="en-GB"/>
        </w:rPr>
        <w:t>market</w:t>
      </w:r>
      <w:r w:rsidR="00FC2FB1" w:rsidRPr="00F72FB0">
        <w:rPr>
          <w:lang w:val="en-GB"/>
        </w:rPr>
        <w:t xml:space="preserve"> </w:t>
      </w:r>
      <w:r w:rsidR="00F13494" w:rsidRPr="00F72FB0">
        <w:rPr>
          <w:lang w:val="en-GB"/>
        </w:rPr>
        <w:t>and</w:t>
      </w:r>
      <w:r w:rsidR="00FC2FB1" w:rsidRPr="00F72FB0">
        <w:rPr>
          <w:lang w:val="en-GB"/>
        </w:rPr>
        <w:t xml:space="preserve"> </w:t>
      </w:r>
      <w:r w:rsidR="00F13494" w:rsidRPr="00F72FB0">
        <w:rPr>
          <w:lang w:val="en-GB"/>
        </w:rPr>
        <w:t>to</w:t>
      </w:r>
      <w:r w:rsidR="00FC2FB1" w:rsidRPr="00F72FB0">
        <w:rPr>
          <w:lang w:val="en-GB"/>
        </w:rPr>
        <w:t xml:space="preserve"> </w:t>
      </w:r>
      <w:r w:rsidR="00F13494" w:rsidRPr="00F72FB0">
        <w:rPr>
          <w:lang w:val="en-GB"/>
        </w:rPr>
        <w:t>limit</w:t>
      </w:r>
      <w:r w:rsidR="00FC2FB1" w:rsidRPr="00F72FB0">
        <w:rPr>
          <w:lang w:val="en-GB"/>
        </w:rPr>
        <w:t xml:space="preserve"> </w:t>
      </w:r>
      <w:r w:rsidR="00F13494" w:rsidRPr="00F72FB0">
        <w:rPr>
          <w:lang w:val="en-GB"/>
        </w:rPr>
        <w:t>financial</w:t>
      </w:r>
      <w:r w:rsidR="00FC2FB1" w:rsidRPr="00F72FB0">
        <w:rPr>
          <w:lang w:val="en-GB"/>
        </w:rPr>
        <w:t xml:space="preserve"> </w:t>
      </w:r>
      <w:r w:rsidR="00F13494" w:rsidRPr="00F72FB0">
        <w:rPr>
          <w:lang w:val="en-GB"/>
        </w:rPr>
        <w:t>expenses.</w:t>
      </w:r>
      <w:r w:rsidR="00FC2FB1" w:rsidRPr="00F72FB0">
        <w:rPr>
          <w:lang w:val="en-GB"/>
        </w:rPr>
        <w:t xml:space="preserve"> </w:t>
      </w:r>
      <w:r w:rsidR="00F13494" w:rsidRPr="00F72FB0">
        <w:rPr>
          <w:lang w:val="en-GB"/>
        </w:rPr>
        <w:t>However,</w:t>
      </w:r>
      <w:r w:rsidR="00FC2FB1" w:rsidRPr="00F72FB0">
        <w:rPr>
          <w:lang w:val="en-GB"/>
        </w:rPr>
        <w:t xml:space="preserve"> </w:t>
      </w:r>
      <w:r w:rsidR="00F13494" w:rsidRPr="00F72FB0">
        <w:rPr>
          <w:lang w:val="en-GB"/>
        </w:rPr>
        <w:t>this</w:t>
      </w:r>
      <w:r w:rsidR="00FC2FB1" w:rsidRPr="00F72FB0">
        <w:rPr>
          <w:lang w:val="en-GB"/>
        </w:rPr>
        <w:t xml:space="preserve"> </w:t>
      </w:r>
      <w:r w:rsidR="00F13494" w:rsidRPr="00F72FB0">
        <w:rPr>
          <w:lang w:val="en-GB"/>
        </w:rPr>
        <w:t>does</w:t>
      </w:r>
      <w:r w:rsidR="00FC2FB1" w:rsidRPr="00F72FB0">
        <w:rPr>
          <w:lang w:val="en-GB"/>
        </w:rPr>
        <w:t xml:space="preserve"> </w:t>
      </w:r>
      <w:r w:rsidR="00F13494" w:rsidRPr="00F72FB0">
        <w:rPr>
          <w:lang w:val="en-GB"/>
        </w:rPr>
        <w:t>not</w:t>
      </w:r>
      <w:r w:rsidR="00FC2FB1" w:rsidRPr="00F72FB0">
        <w:rPr>
          <w:lang w:val="en-GB"/>
        </w:rPr>
        <w:t xml:space="preserve"> </w:t>
      </w:r>
      <w:r w:rsidR="00F13494" w:rsidRPr="00F72FB0">
        <w:rPr>
          <w:lang w:val="en-GB"/>
        </w:rPr>
        <w:t>mean</w:t>
      </w:r>
      <w:r w:rsidR="00FC2FB1" w:rsidRPr="00F72FB0">
        <w:rPr>
          <w:lang w:val="en-GB"/>
        </w:rPr>
        <w:t xml:space="preserve"> </w:t>
      </w:r>
      <w:r w:rsidR="00F13494" w:rsidRPr="00F72FB0">
        <w:rPr>
          <w:lang w:val="en-GB"/>
        </w:rPr>
        <w:t>that</w:t>
      </w:r>
      <w:r w:rsidR="00FC2FB1" w:rsidRPr="00F72FB0">
        <w:rPr>
          <w:lang w:val="en-GB"/>
        </w:rPr>
        <w:t xml:space="preserve"> </w:t>
      </w:r>
      <w:r w:rsidR="00F13494" w:rsidRPr="00F72FB0">
        <w:rPr>
          <w:lang w:val="en-GB"/>
        </w:rPr>
        <w:t>they</w:t>
      </w:r>
      <w:r w:rsidR="00FC2FB1" w:rsidRPr="00F72FB0">
        <w:rPr>
          <w:lang w:val="en-GB"/>
        </w:rPr>
        <w:t xml:space="preserve"> </w:t>
      </w:r>
      <w:r w:rsidR="00F13494" w:rsidRPr="00F72FB0">
        <w:rPr>
          <w:lang w:val="en-GB"/>
        </w:rPr>
        <w:t>will</w:t>
      </w:r>
      <w:r w:rsidR="00FC2FB1" w:rsidRPr="00F72FB0">
        <w:rPr>
          <w:lang w:val="en-GB"/>
        </w:rPr>
        <w:t xml:space="preserve"> </w:t>
      </w:r>
      <w:r w:rsidR="00F13494" w:rsidRPr="00F72FB0">
        <w:rPr>
          <w:lang w:val="en-GB"/>
        </w:rPr>
        <w:t>use</w:t>
      </w:r>
      <w:r w:rsidR="00FC2FB1" w:rsidRPr="00F72FB0">
        <w:rPr>
          <w:lang w:val="en-GB"/>
        </w:rPr>
        <w:t xml:space="preserve"> </w:t>
      </w:r>
      <w:r w:rsidR="00F13494" w:rsidRPr="00F72FB0">
        <w:rPr>
          <w:lang w:val="en-GB"/>
        </w:rPr>
        <w:t>any</w:t>
      </w:r>
      <w:r w:rsidR="00FC2FB1" w:rsidRPr="00F72FB0">
        <w:rPr>
          <w:lang w:val="en-GB"/>
        </w:rPr>
        <w:t xml:space="preserve"> </w:t>
      </w:r>
      <w:r w:rsidR="00F13494" w:rsidRPr="00F72FB0">
        <w:rPr>
          <w:lang w:val="en-GB"/>
        </w:rPr>
        <w:t>framework</w:t>
      </w:r>
      <w:r w:rsidR="00FC2FB1" w:rsidRPr="00F72FB0">
        <w:rPr>
          <w:lang w:val="en-GB"/>
        </w:rPr>
        <w:t xml:space="preserve"> </w:t>
      </w:r>
      <w:r w:rsidR="00F13494" w:rsidRPr="00F72FB0">
        <w:rPr>
          <w:lang w:val="en-GB"/>
        </w:rPr>
        <w:t>–</w:t>
      </w:r>
      <w:r w:rsidR="00FC2FB1" w:rsidRPr="00F72FB0">
        <w:rPr>
          <w:lang w:val="en-GB"/>
        </w:rPr>
        <w:t xml:space="preserve"> </w:t>
      </w:r>
      <w:r w:rsidR="00F13494" w:rsidRPr="00F72FB0">
        <w:rPr>
          <w:lang w:val="en-GB"/>
        </w:rPr>
        <w:t>the</w:t>
      </w:r>
      <w:r w:rsidR="00FC2FB1" w:rsidRPr="00F72FB0">
        <w:rPr>
          <w:lang w:val="en-GB"/>
        </w:rPr>
        <w:t xml:space="preserve"> </w:t>
      </w:r>
      <w:r w:rsidR="00F13494" w:rsidRPr="00F72FB0">
        <w:rPr>
          <w:lang w:val="en-GB"/>
        </w:rPr>
        <w:t>uptake</w:t>
      </w:r>
      <w:r w:rsidR="00FC2FB1" w:rsidRPr="00F72FB0">
        <w:rPr>
          <w:lang w:val="en-GB"/>
        </w:rPr>
        <w:t xml:space="preserve"> </w:t>
      </w:r>
      <w:r w:rsidR="00F13494" w:rsidRPr="00F72FB0">
        <w:rPr>
          <w:lang w:val="en-GB"/>
        </w:rPr>
        <w:t>of</w:t>
      </w:r>
      <w:r w:rsidR="00FC2FB1" w:rsidRPr="00F72FB0">
        <w:rPr>
          <w:lang w:val="en-GB"/>
        </w:rPr>
        <w:t xml:space="preserve"> </w:t>
      </w:r>
      <w:r w:rsidR="00F13494" w:rsidRPr="00F72FB0">
        <w:rPr>
          <w:lang w:val="en-GB"/>
        </w:rPr>
        <w:t>soft</w:t>
      </w:r>
      <w:r w:rsidR="00FC2FB1" w:rsidRPr="00F72FB0">
        <w:rPr>
          <w:lang w:val="en-GB"/>
        </w:rPr>
        <w:t xml:space="preserve"> </w:t>
      </w:r>
      <w:r w:rsidR="00F13494" w:rsidRPr="00F72FB0">
        <w:rPr>
          <w:lang w:val="en-GB"/>
        </w:rPr>
        <w:t>law</w:t>
      </w:r>
      <w:r w:rsidR="00FC2FB1" w:rsidRPr="00F72FB0">
        <w:rPr>
          <w:lang w:val="en-GB"/>
        </w:rPr>
        <w:t xml:space="preserve"> </w:t>
      </w:r>
      <w:r w:rsidR="00F13494" w:rsidRPr="00F72FB0">
        <w:rPr>
          <w:lang w:val="en-GB"/>
        </w:rPr>
        <w:t>by</w:t>
      </w:r>
      <w:r w:rsidR="00FC2FB1" w:rsidRPr="00F72FB0">
        <w:rPr>
          <w:lang w:val="en-GB"/>
        </w:rPr>
        <w:t xml:space="preserve"> </w:t>
      </w:r>
      <w:r w:rsidR="00F13494" w:rsidRPr="00F72FB0">
        <w:rPr>
          <w:lang w:val="en-GB"/>
        </w:rPr>
        <w:t>decision-makers</w:t>
      </w:r>
      <w:r w:rsidR="00FC2FB1" w:rsidRPr="00F72FB0">
        <w:rPr>
          <w:lang w:val="en-GB"/>
        </w:rPr>
        <w:t xml:space="preserve"> </w:t>
      </w:r>
      <w:r w:rsidR="00F13494" w:rsidRPr="00F72FB0">
        <w:rPr>
          <w:lang w:val="en-GB"/>
        </w:rPr>
        <w:t>clearly</w:t>
      </w:r>
      <w:r w:rsidR="00FC2FB1" w:rsidRPr="00F72FB0">
        <w:rPr>
          <w:lang w:val="en-GB"/>
        </w:rPr>
        <w:t xml:space="preserve"> </w:t>
      </w:r>
      <w:r w:rsidR="00F13494" w:rsidRPr="00F72FB0">
        <w:rPr>
          <w:lang w:val="en-GB"/>
        </w:rPr>
        <w:t>depends</w:t>
      </w:r>
      <w:r w:rsidR="00FC2FB1" w:rsidRPr="00F72FB0">
        <w:rPr>
          <w:lang w:val="en-GB"/>
        </w:rPr>
        <w:t xml:space="preserve"> </w:t>
      </w:r>
      <w:r w:rsidR="00F13494" w:rsidRPr="00F72FB0">
        <w:rPr>
          <w:lang w:val="en-GB"/>
        </w:rPr>
        <w:t>on</w:t>
      </w:r>
      <w:r w:rsidR="00FC2FB1" w:rsidRPr="00F72FB0">
        <w:rPr>
          <w:lang w:val="en-GB"/>
        </w:rPr>
        <w:t xml:space="preserve"> </w:t>
      </w:r>
      <w:r w:rsidR="00F13494" w:rsidRPr="00F72FB0">
        <w:rPr>
          <w:lang w:val="en-GB"/>
        </w:rPr>
        <w:t>awareness,</w:t>
      </w:r>
      <w:r w:rsidR="00FC2FB1" w:rsidRPr="00F72FB0">
        <w:rPr>
          <w:lang w:val="en-GB"/>
        </w:rPr>
        <w:t xml:space="preserve"> </w:t>
      </w:r>
      <w:r w:rsidR="00F13494" w:rsidRPr="00F72FB0">
        <w:rPr>
          <w:lang w:val="en-GB"/>
        </w:rPr>
        <w:t>clarity</w:t>
      </w:r>
      <w:r w:rsidR="00FC2FB1" w:rsidRPr="00F72FB0">
        <w:rPr>
          <w:lang w:val="en-GB"/>
        </w:rPr>
        <w:t xml:space="preserve"> </w:t>
      </w:r>
      <w:r w:rsidR="00F13494" w:rsidRPr="00F72FB0">
        <w:rPr>
          <w:lang w:val="en-GB"/>
        </w:rPr>
        <w:t>and</w:t>
      </w:r>
      <w:r w:rsidR="00FC2FB1" w:rsidRPr="00F72FB0">
        <w:rPr>
          <w:lang w:val="en-GB"/>
        </w:rPr>
        <w:t xml:space="preserve"> </w:t>
      </w:r>
      <w:r w:rsidR="00F13494" w:rsidRPr="00F72FB0">
        <w:rPr>
          <w:lang w:val="en-GB"/>
        </w:rPr>
        <w:t>relevance.</w:t>
      </w:r>
    </w:p>
    <w:p w14:paraId="33C583F7" w14:textId="77777777" w:rsidR="00CD24C2" w:rsidRPr="00F72FB0" w:rsidRDefault="00CD24C2" w:rsidP="00E14136">
      <w:pPr>
        <w:widowControl w:val="0"/>
        <w:autoSpaceDE w:val="0"/>
        <w:autoSpaceDN w:val="0"/>
        <w:adjustRightInd w:val="0"/>
        <w:spacing w:line="360" w:lineRule="auto"/>
        <w:contextualSpacing/>
        <w:jc w:val="both"/>
        <w:rPr>
          <w:lang w:val="en-GB"/>
        </w:rPr>
      </w:pPr>
    </w:p>
    <w:p w14:paraId="0923AD13" w14:textId="1A12C7A0" w:rsidR="00290F9C" w:rsidRPr="00F72FB0" w:rsidRDefault="00F13494" w:rsidP="00E14136">
      <w:pPr>
        <w:spacing w:line="360" w:lineRule="auto"/>
        <w:contextualSpacing/>
        <w:jc w:val="both"/>
        <w:rPr>
          <w:lang w:val="en-GB"/>
        </w:rPr>
      </w:pPr>
      <w:r w:rsidRPr="00F72FB0">
        <w:rPr>
          <w:color w:val="000000"/>
          <w:lang w:val="en-GB"/>
        </w:rPr>
        <w:t>These</w:t>
      </w:r>
      <w:r w:rsidR="00FC2FB1" w:rsidRPr="00F72FB0">
        <w:rPr>
          <w:color w:val="000000"/>
          <w:lang w:val="en-GB"/>
        </w:rPr>
        <w:t xml:space="preserve"> </w:t>
      </w:r>
      <w:r w:rsidRPr="00F72FB0">
        <w:rPr>
          <w:color w:val="000000"/>
          <w:lang w:val="en-GB"/>
        </w:rPr>
        <w:t>variations</w:t>
      </w:r>
      <w:r w:rsidR="00FC2FB1" w:rsidRPr="00F72FB0">
        <w:rPr>
          <w:color w:val="000000"/>
          <w:lang w:val="en-GB"/>
        </w:rPr>
        <w:t xml:space="preserve"> </w:t>
      </w:r>
      <w:r w:rsidRPr="00F72FB0">
        <w:rPr>
          <w:color w:val="000000"/>
          <w:lang w:val="en-GB"/>
        </w:rPr>
        <w:t>are</w:t>
      </w:r>
      <w:r w:rsidR="00FC2FB1" w:rsidRPr="00F72FB0">
        <w:rPr>
          <w:color w:val="000000"/>
          <w:lang w:val="en-GB"/>
        </w:rPr>
        <w:t xml:space="preserve"> </w:t>
      </w:r>
      <w:r w:rsidRPr="00F72FB0">
        <w:rPr>
          <w:color w:val="000000"/>
          <w:lang w:val="en-GB"/>
        </w:rPr>
        <w:t>accentuated</w:t>
      </w:r>
      <w:r w:rsidR="00FC2FB1" w:rsidRPr="00F72FB0">
        <w:rPr>
          <w:color w:val="000000"/>
          <w:lang w:val="en-GB"/>
        </w:rPr>
        <w:t xml:space="preserve"> </w:t>
      </w:r>
      <w:r w:rsidRPr="00F72FB0">
        <w:rPr>
          <w:color w:val="000000"/>
          <w:lang w:val="en-GB"/>
        </w:rPr>
        <w:t>when</w:t>
      </w:r>
      <w:r w:rsidR="00FC2FB1" w:rsidRPr="00F72FB0">
        <w:rPr>
          <w:color w:val="000000"/>
          <w:lang w:val="en-GB"/>
        </w:rPr>
        <w:t xml:space="preserve"> </w:t>
      </w:r>
      <w:r w:rsidRPr="00F72FB0">
        <w:rPr>
          <w:color w:val="000000"/>
          <w:lang w:val="en-GB"/>
        </w:rPr>
        <w:t>it</w:t>
      </w:r>
      <w:r w:rsidR="00FC2FB1" w:rsidRPr="00F72FB0">
        <w:rPr>
          <w:color w:val="000000"/>
          <w:lang w:val="en-GB"/>
        </w:rPr>
        <w:t xml:space="preserve"> </w:t>
      </w:r>
      <w:r w:rsidRPr="00F72FB0">
        <w:rPr>
          <w:color w:val="000000"/>
          <w:lang w:val="en-GB"/>
        </w:rPr>
        <w:t>comes</w:t>
      </w:r>
      <w:r w:rsidR="00FC2FB1" w:rsidRPr="00F72FB0">
        <w:rPr>
          <w:color w:val="000000"/>
          <w:lang w:val="en-GB"/>
        </w:rPr>
        <w:t xml:space="preserve"> </w:t>
      </w:r>
      <w:r w:rsidRPr="00F72FB0">
        <w:rPr>
          <w:color w:val="000000"/>
          <w:lang w:val="en-GB"/>
        </w:rPr>
        <w:t>to</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results</w:t>
      </w:r>
      <w:r w:rsidR="00FC2FB1" w:rsidRPr="00F72FB0">
        <w:rPr>
          <w:color w:val="000000"/>
          <w:lang w:val="en-GB"/>
        </w:rPr>
        <w:t xml:space="preserve"> </w:t>
      </w:r>
      <w:r w:rsidRPr="00F72FB0">
        <w:rPr>
          <w:color w:val="000000"/>
          <w:lang w:val="en-GB"/>
        </w:rPr>
        <w:t>of</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case</w:t>
      </w:r>
      <w:r w:rsidR="00DA2F56">
        <w:rPr>
          <w:color w:val="000000"/>
          <w:lang w:val="en-GB"/>
        </w:rPr>
        <w:t xml:space="preserve"> </w:t>
      </w:r>
      <w:r w:rsidRPr="00F72FB0">
        <w:rPr>
          <w:color w:val="000000"/>
          <w:lang w:val="en-GB"/>
        </w:rPr>
        <w:t>law</w:t>
      </w:r>
      <w:r w:rsidR="00FC2FB1" w:rsidRPr="00F72FB0">
        <w:rPr>
          <w:color w:val="000000"/>
          <w:lang w:val="en-GB"/>
        </w:rPr>
        <w:t xml:space="preserve"> </w:t>
      </w:r>
      <w:r w:rsidRPr="00F72FB0">
        <w:rPr>
          <w:color w:val="000000"/>
          <w:lang w:val="en-GB"/>
        </w:rPr>
        <w:t>searches.</w:t>
      </w:r>
      <w:r w:rsidR="00FC2FB1" w:rsidRPr="00F72FB0">
        <w:rPr>
          <w:color w:val="000000"/>
          <w:lang w:val="en-GB"/>
        </w:rPr>
        <w:t xml:space="preserve"> </w:t>
      </w:r>
      <w:r w:rsidRPr="00F72FB0">
        <w:rPr>
          <w:lang w:val="en-GB"/>
        </w:rPr>
        <w:t>I</w:t>
      </w:r>
      <w:r w:rsidR="00EA26BD" w:rsidRPr="00F72FB0">
        <w:rPr>
          <w:lang w:val="en-GB"/>
        </w:rPr>
        <w:t>n</w:t>
      </w:r>
      <w:r w:rsidR="00FC2FB1" w:rsidRPr="00F72FB0">
        <w:rPr>
          <w:lang w:val="en-GB"/>
        </w:rPr>
        <w:t xml:space="preserve"> </w:t>
      </w:r>
      <w:r w:rsidR="00EA26BD" w:rsidRPr="00F72FB0">
        <w:rPr>
          <w:lang w:val="en-GB"/>
        </w:rPr>
        <w:t>social</w:t>
      </w:r>
      <w:r w:rsidR="00FC2FB1" w:rsidRPr="00F72FB0">
        <w:rPr>
          <w:lang w:val="en-GB"/>
        </w:rPr>
        <w:t xml:space="preserve"> </w:t>
      </w:r>
      <w:r w:rsidR="00EA26BD" w:rsidRPr="00F72FB0">
        <w:rPr>
          <w:lang w:val="en-GB"/>
        </w:rPr>
        <w:t>policy</w:t>
      </w:r>
      <w:r w:rsidR="00FC2FB1" w:rsidRPr="00F72FB0">
        <w:rPr>
          <w:lang w:val="en-GB"/>
        </w:rPr>
        <w:t xml:space="preserve"> </w:t>
      </w:r>
      <w:r w:rsidR="00EA26BD" w:rsidRPr="00F72FB0">
        <w:rPr>
          <w:lang w:val="en-GB"/>
        </w:rPr>
        <w:t>and</w:t>
      </w:r>
      <w:r w:rsidR="00FC2FB1" w:rsidRPr="00F72FB0">
        <w:rPr>
          <w:lang w:val="en-GB"/>
        </w:rPr>
        <w:t xml:space="preserve"> </w:t>
      </w:r>
      <w:r w:rsidR="00EA26BD" w:rsidRPr="00F72FB0">
        <w:rPr>
          <w:lang w:val="en-GB"/>
        </w:rPr>
        <w:t>financial</w:t>
      </w:r>
      <w:r w:rsidR="00FC2FB1" w:rsidRPr="00F72FB0">
        <w:rPr>
          <w:lang w:val="en-GB"/>
        </w:rPr>
        <w:t xml:space="preserve"> </w:t>
      </w:r>
      <w:r w:rsidR="00EA26BD" w:rsidRPr="00F72FB0">
        <w:rPr>
          <w:lang w:val="en-GB"/>
        </w:rPr>
        <w:t>regulation</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searches</w:t>
      </w:r>
      <w:r w:rsidR="00FC2FB1" w:rsidRPr="00F72FB0">
        <w:rPr>
          <w:lang w:val="en-GB"/>
        </w:rPr>
        <w:t xml:space="preserve"> </w:t>
      </w:r>
      <w:r w:rsidR="00EA26BD" w:rsidRPr="00F72FB0">
        <w:rPr>
          <w:lang w:val="en-GB"/>
        </w:rPr>
        <w:t>for</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EU</w:t>
      </w:r>
      <w:r w:rsidR="00FC2FB1" w:rsidRPr="00F72FB0">
        <w:rPr>
          <w:lang w:val="en-GB"/>
        </w:rPr>
        <w:t xml:space="preserve"> </w:t>
      </w:r>
      <w:r w:rsidR="00EA26BD" w:rsidRPr="00F72FB0">
        <w:rPr>
          <w:lang w:val="en-GB"/>
        </w:rPr>
        <w:t>guidance</w:t>
      </w:r>
      <w:r w:rsidR="00FC2FB1" w:rsidRPr="00F72FB0">
        <w:rPr>
          <w:lang w:val="en-GB"/>
        </w:rPr>
        <w:t xml:space="preserve"> </w:t>
      </w:r>
      <w:r w:rsidR="00EA26BD" w:rsidRPr="00F72FB0">
        <w:rPr>
          <w:lang w:val="en-GB"/>
        </w:rPr>
        <w:t>documents</w:t>
      </w:r>
      <w:r w:rsidR="00FC2FB1" w:rsidRPr="00F72FB0">
        <w:rPr>
          <w:lang w:val="en-GB"/>
        </w:rPr>
        <w:t xml:space="preserve"> </w:t>
      </w:r>
      <w:r w:rsidR="00EA26BD" w:rsidRPr="00F72FB0">
        <w:rPr>
          <w:lang w:val="en-GB"/>
        </w:rPr>
        <w:t>chosen</w:t>
      </w:r>
      <w:r w:rsidR="00FC2FB1" w:rsidRPr="00F72FB0">
        <w:rPr>
          <w:lang w:val="en-GB"/>
        </w:rPr>
        <w:t xml:space="preserve"> </w:t>
      </w:r>
      <w:r w:rsidR="00EA26BD" w:rsidRPr="00F72FB0">
        <w:rPr>
          <w:lang w:val="en-GB"/>
        </w:rPr>
        <w:t>by</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SoLaR</w:t>
      </w:r>
      <w:r w:rsidR="00FC2FB1" w:rsidRPr="00F72FB0">
        <w:rPr>
          <w:lang w:val="en-GB"/>
        </w:rPr>
        <w:t xml:space="preserve"> </w:t>
      </w:r>
      <w:r w:rsidR="00EA26BD" w:rsidRPr="00F72FB0">
        <w:rPr>
          <w:lang w:val="en-GB"/>
        </w:rPr>
        <w:t>team</w:t>
      </w:r>
      <w:r w:rsidR="00FC2FB1" w:rsidRPr="00F72FB0">
        <w:rPr>
          <w:lang w:val="en-GB"/>
        </w:rPr>
        <w:t xml:space="preserve"> </w:t>
      </w:r>
      <w:r w:rsidR="00EA26BD" w:rsidRPr="00F72FB0">
        <w:rPr>
          <w:lang w:val="en-GB"/>
        </w:rPr>
        <w:t>yielded</w:t>
      </w:r>
      <w:r w:rsidR="00FC2FB1" w:rsidRPr="00F72FB0">
        <w:rPr>
          <w:lang w:val="en-GB"/>
        </w:rPr>
        <w:t xml:space="preserve"> </w:t>
      </w:r>
      <w:r w:rsidR="00EA26BD" w:rsidRPr="00F72FB0">
        <w:rPr>
          <w:lang w:val="en-GB"/>
        </w:rPr>
        <w:t>no</w:t>
      </w:r>
      <w:r w:rsidR="00FC2FB1" w:rsidRPr="00F72FB0">
        <w:rPr>
          <w:lang w:val="en-GB"/>
        </w:rPr>
        <w:t xml:space="preserve"> </w:t>
      </w:r>
      <w:r w:rsidR="00EA26BD" w:rsidRPr="00F72FB0">
        <w:rPr>
          <w:lang w:val="en-GB"/>
        </w:rPr>
        <w:t>results.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former</w:t>
      </w:r>
      <w:r w:rsidR="00FC2FB1" w:rsidRPr="00F72FB0">
        <w:rPr>
          <w:lang w:val="en-GB"/>
        </w:rPr>
        <w:t xml:space="preserve"> </w:t>
      </w:r>
      <w:r w:rsidRPr="00F72FB0">
        <w:rPr>
          <w:lang w:val="en-GB"/>
        </w:rPr>
        <w:t>could</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explained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same</w:t>
      </w:r>
      <w:r w:rsidR="00FC2FB1" w:rsidRPr="00F72FB0">
        <w:rPr>
          <w:lang w:val="en-GB"/>
        </w:rPr>
        <w:t xml:space="preserve"> </w:t>
      </w:r>
      <w:r w:rsidRPr="00F72FB0">
        <w:rPr>
          <w:lang w:val="en-GB"/>
        </w:rPr>
        <w:t>reasons</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uptake</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indeed</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knock-on</w:t>
      </w:r>
      <w:r w:rsidR="00FC2FB1" w:rsidRPr="00F72FB0">
        <w:rPr>
          <w:lang w:val="en-GB"/>
        </w:rPr>
        <w:t xml:space="preserve"> </w:t>
      </w:r>
      <w:r w:rsidRPr="00F72FB0">
        <w:rPr>
          <w:lang w:val="en-GB"/>
        </w:rPr>
        <w:t>effect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vacuum.</w:t>
      </w:r>
      <w:r w:rsidR="00FC2FB1" w:rsidRPr="00F72FB0">
        <w:rPr>
          <w:lang w:val="en-GB"/>
        </w:rPr>
        <w:t xml:space="preserve"> </w:t>
      </w:r>
      <w:r w:rsidRPr="00F72FB0">
        <w:rPr>
          <w:lang w:val="en-GB"/>
        </w:rPr>
        <w:t>Regarding</w:t>
      </w:r>
      <w:r w:rsidR="00FC2FB1" w:rsidRPr="00F72FB0">
        <w:rPr>
          <w:lang w:val="en-GB"/>
        </w:rPr>
        <w:t xml:space="preserve"> </w:t>
      </w:r>
      <w:r w:rsidRPr="00F72FB0">
        <w:rPr>
          <w:lang w:val="en-GB"/>
        </w:rPr>
        <w:t>financial</w:t>
      </w:r>
      <w:r w:rsidR="00FC2FB1" w:rsidRPr="00F72FB0">
        <w:rPr>
          <w:lang w:val="en-GB"/>
        </w:rPr>
        <w:t xml:space="preserve"> </w:t>
      </w:r>
      <w:r w:rsidRPr="00F72FB0">
        <w:rPr>
          <w:lang w:val="en-GB"/>
        </w:rPr>
        <w:t>regulation,</w:t>
      </w:r>
      <w:r w:rsidR="00FC2FB1" w:rsidRPr="00F72FB0">
        <w:rPr>
          <w:lang w:val="en-GB"/>
        </w:rPr>
        <w:t xml:space="preserve"> </w:t>
      </w:r>
      <w:r w:rsidRPr="00F72FB0">
        <w:rPr>
          <w:lang w:val="en-GB"/>
        </w:rPr>
        <w:t>t</w:t>
      </w:r>
      <w:r w:rsidR="00EA26BD" w:rsidRPr="00F72FB0">
        <w:rPr>
          <w:lang w:val="en-GB"/>
        </w:rPr>
        <w:t>his</w:t>
      </w:r>
      <w:r w:rsidR="00FC2FB1" w:rsidRPr="00F72FB0">
        <w:rPr>
          <w:lang w:val="en-GB"/>
        </w:rPr>
        <w:t xml:space="preserve"> </w:t>
      </w:r>
      <w:r w:rsidR="00EA26BD" w:rsidRPr="00F72FB0">
        <w:rPr>
          <w:lang w:val="en-GB"/>
        </w:rPr>
        <w:t>might</w:t>
      </w:r>
      <w:r w:rsidR="00FC2FB1" w:rsidRPr="00F72FB0">
        <w:rPr>
          <w:lang w:val="en-GB"/>
        </w:rPr>
        <w:t xml:space="preserve"> </w:t>
      </w:r>
      <w:r w:rsidR="00EA26BD" w:rsidRPr="00F72FB0">
        <w:rPr>
          <w:lang w:val="en-GB"/>
        </w:rPr>
        <w:t>be</w:t>
      </w:r>
      <w:r w:rsidR="00FC2FB1" w:rsidRPr="00F72FB0">
        <w:rPr>
          <w:lang w:val="en-GB"/>
        </w:rPr>
        <w:t xml:space="preserve"> </w:t>
      </w:r>
      <w:r w:rsidR="00EA26BD" w:rsidRPr="00F72FB0">
        <w:rPr>
          <w:lang w:val="en-GB"/>
        </w:rPr>
        <w:t>related</w:t>
      </w:r>
      <w:r w:rsidR="00FC2FB1" w:rsidRPr="00F72FB0">
        <w:rPr>
          <w:lang w:val="en-GB"/>
        </w:rPr>
        <w:t xml:space="preserve"> </w:t>
      </w:r>
      <w:r w:rsidR="00EA26BD" w:rsidRPr="00F72FB0">
        <w:rPr>
          <w:lang w:val="en-GB"/>
        </w:rPr>
        <w:t>to</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narrow</w:t>
      </w:r>
      <w:r w:rsidR="00FC2FB1" w:rsidRPr="00F72FB0">
        <w:rPr>
          <w:lang w:val="en-GB"/>
        </w:rPr>
        <w:t xml:space="preserve"> </w:t>
      </w:r>
      <w:r w:rsidRPr="00F72FB0">
        <w:rPr>
          <w:lang w:val="en-GB"/>
        </w:rPr>
        <w:t>scope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research,</w:t>
      </w:r>
      <w:r w:rsidR="00FC2FB1" w:rsidRPr="00F72FB0">
        <w:rPr>
          <w:lang w:val="en-GB"/>
        </w:rPr>
        <w:t xml:space="preserve"> </w:t>
      </w:r>
      <w:r w:rsidRPr="00F72FB0">
        <w:rPr>
          <w:lang w:val="en-GB"/>
        </w:rPr>
        <w:t>but</w:t>
      </w:r>
      <w:r w:rsidR="00FC2FB1" w:rsidRPr="00F72FB0">
        <w:rPr>
          <w:lang w:val="en-GB"/>
        </w:rPr>
        <w:t xml:space="preserve"> </w:t>
      </w:r>
      <w:r w:rsidR="00EA26BD" w:rsidRPr="00F72FB0">
        <w:rPr>
          <w:lang w:val="en-GB"/>
        </w:rPr>
        <w:t>after</w:t>
      </w:r>
      <w:r w:rsidR="00FC2FB1" w:rsidRPr="00F72FB0">
        <w:rPr>
          <w:lang w:val="en-GB"/>
        </w:rPr>
        <w:t xml:space="preserve"> </w:t>
      </w:r>
      <w:r w:rsidR="00EA26BD" w:rsidRPr="00F72FB0">
        <w:rPr>
          <w:lang w:val="en-GB"/>
        </w:rPr>
        <w:t>expanding</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searches</w:t>
      </w:r>
      <w:r w:rsidR="00FC2FB1" w:rsidRPr="00F72FB0">
        <w:rPr>
          <w:lang w:val="en-GB"/>
        </w:rPr>
        <w:t xml:space="preserve"> </w:t>
      </w:r>
      <w:r w:rsidR="00EA26BD" w:rsidRPr="00F72FB0">
        <w:rPr>
          <w:lang w:val="en-GB"/>
        </w:rPr>
        <w:t>to</w:t>
      </w:r>
      <w:r w:rsidR="00FC2FB1" w:rsidRPr="00F72FB0">
        <w:rPr>
          <w:lang w:val="en-GB"/>
        </w:rPr>
        <w:t xml:space="preserve"> </w:t>
      </w:r>
      <w:r w:rsidR="00EA26BD" w:rsidRPr="00F72FB0">
        <w:rPr>
          <w:lang w:val="en-GB"/>
        </w:rPr>
        <w:t>other</w:t>
      </w:r>
      <w:r w:rsidR="00FC2FB1" w:rsidRPr="00F72FB0">
        <w:rPr>
          <w:lang w:val="en-GB"/>
        </w:rPr>
        <w:t xml:space="preserve"> </w:t>
      </w:r>
      <w:r w:rsidR="00EA26BD" w:rsidRPr="00F72FB0">
        <w:rPr>
          <w:lang w:val="en-GB"/>
        </w:rPr>
        <w:t>EU</w:t>
      </w:r>
      <w:r w:rsidR="00FC2FB1" w:rsidRPr="00F72FB0">
        <w:rPr>
          <w:lang w:val="en-GB"/>
        </w:rPr>
        <w:t xml:space="preserve"> </w:t>
      </w:r>
      <w:r w:rsidR="00EA26BD" w:rsidRPr="00F72FB0">
        <w:rPr>
          <w:lang w:val="en-GB"/>
        </w:rPr>
        <w:t>soft</w:t>
      </w:r>
      <w:r w:rsidR="00FC2FB1" w:rsidRPr="00F72FB0">
        <w:rPr>
          <w:lang w:val="en-GB"/>
        </w:rPr>
        <w:t xml:space="preserve"> </w:t>
      </w:r>
      <w:r w:rsidR="00EA26BD" w:rsidRPr="00F72FB0">
        <w:rPr>
          <w:lang w:val="en-GB"/>
        </w:rPr>
        <w:t>law,</w:t>
      </w:r>
      <w:r w:rsidR="00FC2FB1" w:rsidRPr="00F72FB0">
        <w:rPr>
          <w:lang w:val="en-GB"/>
        </w:rPr>
        <w:t xml:space="preserve"> </w:t>
      </w:r>
      <w:r w:rsidR="00EA26BD" w:rsidRPr="00F72FB0">
        <w:rPr>
          <w:lang w:val="en-GB"/>
        </w:rPr>
        <w:t>only</w:t>
      </w:r>
      <w:r w:rsidR="00FC2FB1" w:rsidRPr="00F72FB0">
        <w:rPr>
          <w:lang w:val="en-GB"/>
        </w:rPr>
        <w:t xml:space="preserve"> </w:t>
      </w:r>
      <w:r w:rsidR="00EA26BD" w:rsidRPr="00F72FB0">
        <w:rPr>
          <w:lang w:val="en-GB"/>
        </w:rPr>
        <w:t>one</w:t>
      </w:r>
      <w:r w:rsidR="00FC2FB1" w:rsidRPr="00F72FB0">
        <w:rPr>
          <w:lang w:val="en-GB"/>
        </w:rPr>
        <w:t xml:space="preserve"> </w:t>
      </w:r>
      <w:r w:rsidR="00EA26BD" w:rsidRPr="00F72FB0">
        <w:rPr>
          <w:lang w:val="en-GB"/>
        </w:rPr>
        <w:t>financial</w:t>
      </w:r>
      <w:r w:rsidR="00FC2FB1" w:rsidRPr="00F72FB0">
        <w:rPr>
          <w:lang w:val="en-GB"/>
        </w:rPr>
        <w:t xml:space="preserve"> </w:t>
      </w:r>
      <w:r w:rsidR="00EA26BD" w:rsidRPr="00F72FB0">
        <w:rPr>
          <w:lang w:val="en-GB"/>
        </w:rPr>
        <w:t>regulation</w:t>
      </w:r>
      <w:r w:rsidR="00FC2FB1" w:rsidRPr="00F72FB0">
        <w:rPr>
          <w:lang w:val="en-GB"/>
        </w:rPr>
        <w:t xml:space="preserve"> </w:t>
      </w:r>
      <w:r w:rsidR="00EA26BD" w:rsidRPr="00F72FB0">
        <w:rPr>
          <w:lang w:val="en-GB"/>
        </w:rPr>
        <w:t>court</w:t>
      </w:r>
      <w:r w:rsidR="00FC2FB1" w:rsidRPr="00F72FB0">
        <w:rPr>
          <w:lang w:val="en-GB"/>
        </w:rPr>
        <w:t xml:space="preserve"> </w:t>
      </w:r>
      <w:r w:rsidR="00EA26BD" w:rsidRPr="00F72FB0">
        <w:rPr>
          <w:lang w:val="en-GB"/>
        </w:rPr>
        <w:t>case</w:t>
      </w:r>
      <w:r w:rsidR="00FC2FB1" w:rsidRPr="00F72FB0">
        <w:rPr>
          <w:lang w:val="en-GB"/>
        </w:rPr>
        <w:t xml:space="preserve"> </w:t>
      </w:r>
      <w:r w:rsidR="00EA26BD" w:rsidRPr="00F72FB0">
        <w:rPr>
          <w:lang w:val="en-GB"/>
        </w:rPr>
        <w:t>was</w:t>
      </w:r>
      <w:r w:rsidR="00FC2FB1" w:rsidRPr="00F72FB0">
        <w:rPr>
          <w:lang w:val="en-GB"/>
        </w:rPr>
        <w:t xml:space="preserve"> </w:t>
      </w:r>
      <w:r w:rsidR="00EA26BD" w:rsidRPr="00F72FB0">
        <w:rPr>
          <w:lang w:val="en-GB"/>
        </w:rPr>
        <w:t>found</w:t>
      </w:r>
      <w:r w:rsidR="00FC2FB1" w:rsidRPr="00F72FB0">
        <w:rPr>
          <w:lang w:val="en-GB"/>
        </w:rPr>
        <w:t xml:space="preserve"> </w:t>
      </w:r>
      <w:r w:rsidR="00EA26BD" w:rsidRPr="00F72FB0">
        <w:rPr>
          <w:lang w:val="en-GB"/>
        </w:rPr>
        <w:t>which</w:t>
      </w:r>
      <w:r w:rsidR="00FC2FB1" w:rsidRPr="00F72FB0">
        <w:rPr>
          <w:lang w:val="en-GB"/>
        </w:rPr>
        <w:t xml:space="preserve"> </w:t>
      </w:r>
      <w:r w:rsidR="00EA26BD" w:rsidRPr="00F72FB0">
        <w:rPr>
          <w:lang w:val="en-GB"/>
        </w:rPr>
        <w:t>dealt</w:t>
      </w:r>
      <w:r w:rsidR="00FC2FB1" w:rsidRPr="00F72FB0">
        <w:rPr>
          <w:lang w:val="en-GB"/>
        </w:rPr>
        <w:t xml:space="preserve"> </w:t>
      </w:r>
      <w:r w:rsidR="00EA26BD" w:rsidRPr="00F72FB0">
        <w:rPr>
          <w:lang w:val="en-GB"/>
        </w:rPr>
        <w:t>with</w:t>
      </w:r>
      <w:r w:rsidR="00FC2FB1" w:rsidRPr="00F72FB0">
        <w:rPr>
          <w:lang w:val="en-GB"/>
        </w:rPr>
        <w:t xml:space="preserve"> </w:t>
      </w:r>
      <w:r w:rsidR="00EA26BD" w:rsidRPr="00F72FB0">
        <w:rPr>
          <w:lang w:val="en-GB"/>
        </w:rPr>
        <w:t>one</w:t>
      </w:r>
      <w:r w:rsidR="00FC2FB1" w:rsidRPr="00F72FB0">
        <w:rPr>
          <w:lang w:val="en-GB"/>
        </w:rPr>
        <w:t xml:space="preserve"> </w:t>
      </w:r>
      <w:r w:rsidR="00EA26BD" w:rsidRPr="00F72FB0">
        <w:rPr>
          <w:lang w:val="en-GB"/>
        </w:rPr>
        <w:t>national</w:t>
      </w:r>
      <w:r w:rsidR="00FC2FB1" w:rsidRPr="00F72FB0">
        <w:rPr>
          <w:lang w:val="en-GB"/>
        </w:rPr>
        <w:t xml:space="preserve"> </w:t>
      </w:r>
      <w:r w:rsidR="00EA26BD" w:rsidRPr="00F72FB0">
        <w:rPr>
          <w:lang w:val="en-GB"/>
        </w:rPr>
        <w:t>guidance</w:t>
      </w:r>
      <w:r w:rsidR="00FC2FB1" w:rsidRPr="00F72FB0">
        <w:rPr>
          <w:lang w:val="en-GB"/>
        </w:rPr>
        <w:t xml:space="preserve"> </w:t>
      </w:r>
      <w:r w:rsidR="00EA26BD" w:rsidRPr="00F72FB0">
        <w:rPr>
          <w:lang w:val="en-GB"/>
        </w:rPr>
        <w:t>document</w:t>
      </w:r>
      <w:r w:rsidR="00FC2FB1" w:rsidRPr="00F72FB0">
        <w:rPr>
          <w:lang w:val="en-GB"/>
        </w:rPr>
        <w:t xml:space="preserve"> </w:t>
      </w:r>
      <w:r w:rsidR="00EA26BD" w:rsidRPr="00F72FB0">
        <w:rPr>
          <w:lang w:val="en-GB"/>
        </w:rPr>
        <w:t>that</w:t>
      </w:r>
      <w:r w:rsidR="00FC2FB1" w:rsidRPr="00F72FB0">
        <w:rPr>
          <w:lang w:val="en-GB"/>
        </w:rPr>
        <w:t xml:space="preserve"> </w:t>
      </w:r>
      <w:r w:rsidR="00EA26BD" w:rsidRPr="00F72FB0">
        <w:rPr>
          <w:lang w:val="en-GB"/>
        </w:rPr>
        <w:t>appeared</w:t>
      </w:r>
      <w:r w:rsidR="00FC2FB1" w:rsidRPr="00F72FB0">
        <w:rPr>
          <w:lang w:val="en-GB"/>
        </w:rPr>
        <w:t xml:space="preserve"> </w:t>
      </w:r>
      <w:r w:rsidR="00EA26BD" w:rsidRPr="00F72FB0">
        <w:rPr>
          <w:lang w:val="en-GB"/>
        </w:rPr>
        <w:t>to</w:t>
      </w:r>
      <w:r w:rsidR="00FC2FB1" w:rsidRPr="00F72FB0">
        <w:rPr>
          <w:lang w:val="en-GB"/>
        </w:rPr>
        <w:t xml:space="preserve"> </w:t>
      </w:r>
      <w:r w:rsidR="00EA26BD" w:rsidRPr="00F72FB0">
        <w:rPr>
          <w:lang w:val="en-GB"/>
        </w:rPr>
        <w:t>be</w:t>
      </w:r>
      <w:r w:rsidR="00FC2FB1" w:rsidRPr="00F72FB0">
        <w:rPr>
          <w:lang w:val="en-GB"/>
        </w:rPr>
        <w:t xml:space="preserve"> </w:t>
      </w:r>
      <w:r w:rsidR="00EA26BD" w:rsidRPr="00F72FB0">
        <w:rPr>
          <w:lang w:val="en-GB"/>
        </w:rPr>
        <w:t>drafted</w:t>
      </w:r>
      <w:r w:rsidR="00FC2FB1" w:rsidRPr="00F72FB0">
        <w:rPr>
          <w:lang w:val="en-GB"/>
        </w:rPr>
        <w:t xml:space="preserve"> </w:t>
      </w:r>
      <w:r w:rsidR="00EA26BD" w:rsidRPr="00F72FB0">
        <w:rPr>
          <w:lang w:val="en-GB"/>
        </w:rPr>
        <w:t>in</w:t>
      </w:r>
      <w:r w:rsidR="00FC2FB1" w:rsidRPr="00F72FB0">
        <w:rPr>
          <w:lang w:val="en-GB"/>
        </w:rPr>
        <w:t xml:space="preserve"> </w:t>
      </w:r>
      <w:r w:rsidR="00EA26BD" w:rsidRPr="00F72FB0">
        <w:rPr>
          <w:lang w:val="en-GB"/>
        </w:rPr>
        <w:t>identical</w:t>
      </w:r>
      <w:r w:rsidR="00FC2FB1" w:rsidRPr="00F72FB0">
        <w:rPr>
          <w:lang w:val="en-GB"/>
        </w:rPr>
        <w:t xml:space="preserve"> </w:t>
      </w:r>
      <w:r w:rsidR="00EA26BD" w:rsidRPr="00F72FB0">
        <w:rPr>
          <w:lang w:val="en-GB"/>
        </w:rPr>
        <w:t>terms</w:t>
      </w:r>
      <w:r w:rsidR="00FC2FB1" w:rsidRPr="00F72FB0">
        <w:rPr>
          <w:lang w:val="en-GB"/>
        </w:rPr>
        <w:t xml:space="preserve"> </w:t>
      </w:r>
      <w:r w:rsidRPr="00F72FB0">
        <w:rPr>
          <w:lang w:val="en-GB"/>
        </w:rPr>
        <w:t>to</w:t>
      </w:r>
      <w:r w:rsidR="00FC2FB1" w:rsidRPr="00F72FB0">
        <w:rPr>
          <w:lang w:val="en-GB"/>
        </w:rPr>
        <w:t xml:space="preserve"> </w:t>
      </w:r>
      <w:r w:rsidR="00EA26BD" w:rsidRPr="00F72FB0">
        <w:rPr>
          <w:lang w:val="en-GB"/>
        </w:rPr>
        <w:t>corresponding</w:t>
      </w:r>
      <w:r w:rsidR="00FC2FB1" w:rsidRPr="00F72FB0">
        <w:rPr>
          <w:lang w:val="en-GB"/>
        </w:rPr>
        <w:t xml:space="preserve"> </w:t>
      </w:r>
      <w:r w:rsidR="00EA26BD" w:rsidRPr="00F72FB0">
        <w:rPr>
          <w:lang w:val="en-GB"/>
        </w:rPr>
        <w:t>EU</w:t>
      </w:r>
      <w:r w:rsidR="00FC2FB1" w:rsidRPr="00F72FB0">
        <w:rPr>
          <w:lang w:val="en-GB"/>
        </w:rPr>
        <w:t xml:space="preserve"> </w:t>
      </w:r>
      <w:r w:rsidR="00EA26BD" w:rsidRPr="00F72FB0">
        <w:rPr>
          <w:lang w:val="en-GB"/>
        </w:rPr>
        <w:t>guidance.</w:t>
      </w:r>
      <w:r w:rsidR="00C078EB">
        <w:rPr>
          <w:rStyle w:val="Alaviitteenviite"/>
          <w:lang w:val="en-GB"/>
        </w:rPr>
        <w:footnoteReference w:id="50"/>
      </w:r>
      <w:r w:rsidR="0013113A">
        <w:rPr>
          <w:lang w:val="en-GB"/>
        </w:rPr>
        <w:t xml:space="preserve"> </w:t>
      </w:r>
      <w:r w:rsidR="00EA26BD" w:rsidRPr="00F72FB0">
        <w:rPr>
          <w:lang w:val="en-GB"/>
        </w:rPr>
        <w:t>In</w:t>
      </w:r>
      <w:r w:rsidR="00FC2FB1" w:rsidRPr="00F72FB0">
        <w:rPr>
          <w:lang w:val="en-GB"/>
        </w:rPr>
        <w:t xml:space="preserve"> </w:t>
      </w:r>
      <w:r w:rsidR="00EA26BD" w:rsidRPr="00F72FB0">
        <w:rPr>
          <w:lang w:val="en-GB"/>
        </w:rPr>
        <w:t>State</w:t>
      </w:r>
      <w:r w:rsidR="00FC2FB1" w:rsidRPr="00F72FB0">
        <w:rPr>
          <w:lang w:val="en-GB"/>
        </w:rPr>
        <w:t xml:space="preserve"> </w:t>
      </w:r>
      <w:r w:rsidR="00EA26BD" w:rsidRPr="00F72FB0">
        <w:rPr>
          <w:lang w:val="en-GB"/>
        </w:rPr>
        <w:t>aid,</w:t>
      </w:r>
      <w:r w:rsidR="00FC2FB1" w:rsidRPr="00F72FB0">
        <w:rPr>
          <w:lang w:val="en-GB"/>
        </w:rPr>
        <w:t xml:space="preserve"> </w:t>
      </w:r>
      <w:r w:rsidR="00EA26BD" w:rsidRPr="00F72FB0">
        <w:rPr>
          <w:lang w:val="en-GB"/>
        </w:rPr>
        <w:t>three</w:t>
      </w:r>
      <w:r w:rsidR="00FC2FB1" w:rsidRPr="00F72FB0">
        <w:rPr>
          <w:lang w:val="en-GB"/>
        </w:rPr>
        <w:t xml:space="preserve"> </w:t>
      </w:r>
      <w:r w:rsidR="00EA26BD" w:rsidRPr="00F72FB0">
        <w:rPr>
          <w:lang w:val="en-GB"/>
        </w:rPr>
        <w:t>cases</w:t>
      </w:r>
      <w:r w:rsidR="00FC2FB1" w:rsidRPr="00F72FB0">
        <w:rPr>
          <w:lang w:val="en-GB"/>
        </w:rPr>
        <w:t xml:space="preserve"> </w:t>
      </w:r>
      <w:r w:rsidR="00EA26BD" w:rsidRPr="00F72FB0">
        <w:rPr>
          <w:lang w:val="en-GB"/>
        </w:rPr>
        <w:t>referred</w:t>
      </w:r>
      <w:r w:rsidR="00FC2FB1" w:rsidRPr="00F72FB0">
        <w:rPr>
          <w:lang w:val="en-GB"/>
        </w:rPr>
        <w:t xml:space="preserve"> </w:t>
      </w:r>
      <w:r w:rsidR="00EA26BD" w:rsidRPr="00F72FB0">
        <w:rPr>
          <w:lang w:val="en-GB"/>
        </w:rPr>
        <w:t>to</w:t>
      </w:r>
      <w:r w:rsidR="00FC2FB1" w:rsidRPr="00F72FB0">
        <w:rPr>
          <w:lang w:val="en-GB"/>
        </w:rPr>
        <w:t xml:space="preserve"> </w:t>
      </w:r>
      <w:r w:rsidR="00EA26BD" w:rsidRPr="00F72FB0">
        <w:rPr>
          <w:lang w:val="en-GB"/>
        </w:rPr>
        <w:t>soft</w:t>
      </w:r>
      <w:r w:rsidR="00FC2FB1" w:rsidRPr="00F72FB0">
        <w:rPr>
          <w:lang w:val="en-GB"/>
        </w:rPr>
        <w:t xml:space="preserve"> </w:t>
      </w:r>
      <w:r w:rsidR="00EA26BD" w:rsidRPr="00F72FB0">
        <w:rPr>
          <w:lang w:val="en-GB"/>
        </w:rPr>
        <w:t>law,</w:t>
      </w:r>
      <w:r w:rsidR="00FC2FB1" w:rsidRPr="00F72FB0">
        <w:rPr>
          <w:lang w:val="en-GB"/>
        </w:rPr>
        <w:t xml:space="preserve"> </w:t>
      </w:r>
      <w:r w:rsidR="00EA26BD" w:rsidRPr="00F72FB0">
        <w:rPr>
          <w:lang w:val="en-GB"/>
        </w:rPr>
        <w:t>mostly</w:t>
      </w:r>
      <w:r w:rsidR="00FC2FB1" w:rsidRPr="00F72FB0">
        <w:rPr>
          <w:lang w:val="en-GB"/>
        </w:rPr>
        <w:t xml:space="preserve"> </w:t>
      </w:r>
      <w:r w:rsidR="00EA26BD" w:rsidRPr="00F72FB0">
        <w:rPr>
          <w:lang w:val="en-GB"/>
        </w:rPr>
        <w:t>outside</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SoLaR</w:t>
      </w:r>
      <w:r w:rsidR="00FC2FB1" w:rsidRPr="00F72FB0">
        <w:rPr>
          <w:lang w:val="en-GB"/>
        </w:rPr>
        <w:t xml:space="preserve"> </w:t>
      </w:r>
      <w:r w:rsidR="00EA26BD" w:rsidRPr="00F72FB0">
        <w:rPr>
          <w:lang w:val="en-GB"/>
        </w:rPr>
        <w:t>sample,</w:t>
      </w:r>
      <w:r w:rsidR="00FC2FB1" w:rsidRPr="00F72FB0">
        <w:rPr>
          <w:lang w:val="en-GB"/>
        </w:rPr>
        <w:t xml:space="preserve"> </w:t>
      </w:r>
      <w:r w:rsidR="00EA26BD" w:rsidRPr="00F72FB0">
        <w:rPr>
          <w:lang w:val="en-GB"/>
        </w:rPr>
        <w:t>yet,</w:t>
      </w:r>
      <w:r w:rsidR="00FC2FB1" w:rsidRPr="00F72FB0">
        <w:rPr>
          <w:lang w:val="en-GB"/>
        </w:rPr>
        <w:t xml:space="preserve"> </w:t>
      </w:r>
      <w:r w:rsidR="00EA26BD" w:rsidRPr="00F72FB0">
        <w:rPr>
          <w:lang w:val="en-GB"/>
        </w:rPr>
        <w:t>the</w:t>
      </w:r>
      <w:r w:rsidR="00FC2FB1" w:rsidRPr="00F72FB0">
        <w:rPr>
          <w:lang w:val="en-GB"/>
        </w:rPr>
        <w:t xml:space="preserve"> </w:t>
      </w:r>
      <w:r w:rsidR="00EA26BD" w:rsidRPr="00F72FB0">
        <w:rPr>
          <w:lang w:val="en-GB"/>
        </w:rPr>
        <w:t>situation</w:t>
      </w:r>
      <w:r w:rsidR="00FC2FB1" w:rsidRPr="00F72FB0">
        <w:rPr>
          <w:lang w:val="en-GB"/>
        </w:rPr>
        <w:t xml:space="preserve"> </w:t>
      </w:r>
      <w:r w:rsidR="00EA26BD" w:rsidRPr="00F72FB0">
        <w:rPr>
          <w:lang w:val="en-GB"/>
        </w:rPr>
        <w:t>is</w:t>
      </w:r>
      <w:r w:rsidR="00FC2FB1" w:rsidRPr="00F72FB0">
        <w:rPr>
          <w:lang w:val="en-GB"/>
        </w:rPr>
        <w:t xml:space="preserve"> </w:t>
      </w:r>
      <w:r w:rsidR="00EA26BD" w:rsidRPr="00F72FB0">
        <w:rPr>
          <w:lang w:val="en-GB"/>
        </w:rPr>
        <w:t>slightly</w:t>
      </w:r>
      <w:r w:rsidR="00FC2FB1" w:rsidRPr="00F72FB0">
        <w:rPr>
          <w:lang w:val="en-GB"/>
        </w:rPr>
        <w:t xml:space="preserve"> </w:t>
      </w:r>
      <w:r w:rsidR="00EA26BD" w:rsidRPr="00F72FB0">
        <w:rPr>
          <w:lang w:val="en-GB"/>
        </w:rPr>
        <w:t>different</w:t>
      </w:r>
      <w:r w:rsidR="00FC2FB1" w:rsidRPr="00F72FB0">
        <w:rPr>
          <w:lang w:val="en-GB"/>
        </w:rPr>
        <w:t xml:space="preserve"> </w:t>
      </w:r>
      <w:r w:rsidR="00EA26BD" w:rsidRPr="00F72FB0">
        <w:rPr>
          <w:lang w:val="en-GB"/>
        </w:rPr>
        <w:t>than</w:t>
      </w:r>
      <w:r w:rsidR="00FC2FB1" w:rsidRPr="00F72FB0">
        <w:rPr>
          <w:lang w:val="en-GB"/>
        </w:rPr>
        <w:t xml:space="preserve"> </w:t>
      </w:r>
      <w:r w:rsidR="00EA26BD" w:rsidRPr="00F72FB0">
        <w:rPr>
          <w:lang w:val="en-GB"/>
        </w:rPr>
        <w:t>for</w:t>
      </w:r>
      <w:r w:rsidR="00FC2FB1" w:rsidRPr="00F72FB0">
        <w:rPr>
          <w:lang w:val="en-GB"/>
        </w:rPr>
        <w:t xml:space="preserve"> </w:t>
      </w:r>
      <w:r w:rsidR="00EA26BD" w:rsidRPr="00F72FB0">
        <w:rPr>
          <w:lang w:val="en-GB"/>
        </w:rPr>
        <w:t>financial</w:t>
      </w:r>
      <w:r w:rsidR="00FC2FB1" w:rsidRPr="00F72FB0">
        <w:rPr>
          <w:lang w:val="en-GB"/>
        </w:rPr>
        <w:t xml:space="preserve"> </w:t>
      </w:r>
      <w:r w:rsidR="00EA26BD" w:rsidRPr="00F72FB0">
        <w:rPr>
          <w:lang w:val="en-GB"/>
        </w:rPr>
        <w:t>regulation</w:t>
      </w:r>
      <w:r w:rsidR="00FC2FB1" w:rsidRPr="00F72FB0">
        <w:rPr>
          <w:lang w:val="en-GB"/>
        </w:rPr>
        <w:t xml:space="preserve"> </w:t>
      </w:r>
      <w:r w:rsidR="00EA26BD" w:rsidRPr="00F72FB0">
        <w:rPr>
          <w:lang w:val="en-GB"/>
        </w:rPr>
        <w:t>and</w:t>
      </w:r>
      <w:r w:rsidR="00FC2FB1" w:rsidRPr="00F72FB0">
        <w:rPr>
          <w:lang w:val="en-GB"/>
        </w:rPr>
        <w:t xml:space="preserve"> </w:t>
      </w:r>
      <w:r w:rsidR="00EA26BD" w:rsidRPr="00F72FB0">
        <w:rPr>
          <w:lang w:val="en-GB"/>
        </w:rPr>
        <w:t>social</w:t>
      </w:r>
      <w:r w:rsidR="00FC2FB1" w:rsidRPr="00F72FB0">
        <w:rPr>
          <w:lang w:val="en-GB"/>
        </w:rPr>
        <w:t xml:space="preserve"> </w:t>
      </w:r>
      <w:r w:rsidR="00EA26BD" w:rsidRPr="00F72FB0">
        <w:rPr>
          <w:lang w:val="en-GB"/>
        </w:rPr>
        <w:t>policy,</w:t>
      </w:r>
      <w:r w:rsidR="00FC2FB1" w:rsidRPr="00F72FB0">
        <w:rPr>
          <w:lang w:val="en-GB"/>
        </w:rPr>
        <w:t xml:space="preserve"> </w:t>
      </w:r>
      <w:r w:rsidR="00EA26BD" w:rsidRPr="00F72FB0">
        <w:rPr>
          <w:lang w:val="en-GB"/>
        </w:rPr>
        <w:t>as</w:t>
      </w:r>
      <w:r w:rsidR="00FC2FB1" w:rsidRPr="00F72FB0">
        <w:rPr>
          <w:lang w:val="en-GB"/>
        </w:rPr>
        <w:t xml:space="preserve"> </w:t>
      </w:r>
      <w:r w:rsidR="00EA26BD" w:rsidRPr="00F72FB0">
        <w:rPr>
          <w:lang w:val="en-GB"/>
        </w:rPr>
        <w:t>UK</w:t>
      </w:r>
      <w:r w:rsidR="00FC2FB1" w:rsidRPr="00F72FB0">
        <w:rPr>
          <w:lang w:val="en-GB"/>
        </w:rPr>
        <w:t xml:space="preserve"> </w:t>
      </w:r>
      <w:r w:rsidR="00EA26BD" w:rsidRPr="00F72FB0">
        <w:rPr>
          <w:lang w:val="en-GB"/>
        </w:rPr>
        <w:t>courts</w:t>
      </w:r>
      <w:r w:rsidR="00FC2FB1" w:rsidRPr="00F72FB0">
        <w:rPr>
          <w:lang w:val="en-GB"/>
        </w:rPr>
        <w:t xml:space="preserve"> </w:t>
      </w:r>
      <w:r w:rsidR="00EA26BD" w:rsidRPr="00F72FB0">
        <w:rPr>
          <w:lang w:val="en-GB"/>
        </w:rPr>
        <w:t>rarely</w:t>
      </w:r>
      <w:r w:rsidR="00FC2FB1" w:rsidRPr="00F72FB0">
        <w:rPr>
          <w:lang w:val="en-GB"/>
        </w:rPr>
        <w:t xml:space="preserve"> </w:t>
      </w:r>
      <w:r w:rsidR="00EA26BD" w:rsidRPr="00F72FB0">
        <w:rPr>
          <w:lang w:val="en-GB"/>
        </w:rPr>
        <w:t>deal</w:t>
      </w:r>
      <w:r w:rsidR="00FC2FB1" w:rsidRPr="00F72FB0">
        <w:rPr>
          <w:lang w:val="en-GB"/>
        </w:rPr>
        <w:t xml:space="preserve"> </w:t>
      </w:r>
      <w:r w:rsidR="00EA26BD" w:rsidRPr="00F72FB0">
        <w:rPr>
          <w:lang w:val="en-GB"/>
        </w:rPr>
        <w:t>with</w:t>
      </w:r>
      <w:r w:rsidR="00FC2FB1" w:rsidRPr="00F72FB0">
        <w:rPr>
          <w:lang w:val="en-GB"/>
        </w:rPr>
        <w:t xml:space="preserve"> </w:t>
      </w:r>
      <w:r w:rsidR="00EA26BD" w:rsidRPr="00F72FB0">
        <w:rPr>
          <w:lang w:val="en-GB"/>
        </w:rPr>
        <w:t>State</w:t>
      </w:r>
      <w:r w:rsidR="00FC2FB1" w:rsidRPr="00F72FB0">
        <w:rPr>
          <w:lang w:val="en-GB"/>
        </w:rPr>
        <w:t xml:space="preserve"> </w:t>
      </w:r>
      <w:r w:rsidR="00EA26BD" w:rsidRPr="00F72FB0">
        <w:rPr>
          <w:lang w:val="en-GB"/>
        </w:rPr>
        <w:t>aid</w:t>
      </w:r>
      <w:r w:rsidR="00FC2FB1" w:rsidRPr="00F72FB0">
        <w:rPr>
          <w:lang w:val="en-GB"/>
        </w:rPr>
        <w:t xml:space="preserve"> </w:t>
      </w:r>
      <w:r w:rsidR="00EA26BD" w:rsidRPr="00F72FB0">
        <w:rPr>
          <w:lang w:val="en-GB"/>
        </w:rPr>
        <w:t>cases.</w:t>
      </w:r>
      <w:r w:rsidR="00C078EB">
        <w:rPr>
          <w:rStyle w:val="Alaviitteenviite"/>
          <w:lang w:val="en-GB"/>
        </w:rPr>
        <w:footnoteReference w:id="51"/>
      </w:r>
      <w:r w:rsidR="00FC2FB1" w:rsidRPr="00F72FB0">
        <w:rPr>
          <w:lang w:val="en-GB"/>
        </w:rPr>
        <w:t xml:space="preserve"> </w:t>
      </w:r>
    </w:p>
    <w:p w14:paraId="540E99E0" w14:textId="77777777" w:rsidR="00290F9C" w:rsidRPr="00F72FB0" w:rsidRDefault="00290F9C" w:rsidP="00E14136">
      <w:pPr>
        <w:spacing w:line="360" w:lineRule="auto"/>
        <w:contextualSpacing/>
        <w:jc w:val="both"/>
        <w:rPr>
          <w:lang w:val="en-GB"/>
        </w:rPr>
      </w:pPr>
    </w:p>
    <w:p w14:paraId="00F97872" w14:textId="3E9D0264" w:rsidR="00FA1768" w:rsidRPr="00F72FB0" w:rsidRDefault="00EA26BD" w:rsidP="00E14136">
      <w:pPr>
        <w:spacing w:line="360" w:lineRule="auto"/>
        <w:contextualSpacing/>
        <w:jc w:val="both"/>
        <w:rPr>
          <w:lang w:val="en-GB"/>
        </w:rPr>
      </w:pPr>
      <w:r w:rsidRPr="00F72FB0">
        <w:rPr>
          <w:lang w:val="en-GB"/>
        </w:rPr>
        <w:t>By</w:t>
      </w:r>
      <w:r w:rsidR="00FC2FB1" w:rsidRPr="00F72FB0">
        <w:rPr>
          <w:lang w:val="en-GB"/>
        </w:rPr>
        <w:t xml:space="preserve"> </w:t>
      </w:r>
      <w:r w:rsidRPr="00F72FB0">
        <w:rPr>
          <w:lang w:val="en-GB"/>
        </w:rPr>
        <w:t>contrast,</w:t>
      </w:r>
      <w:r w:rsidR="00FC2FB1" w:rsidRPr="00F72FB0">
        <w:rPr>
          <w:lang w:val="en-GB"/>
        </w:rPr>
        <w:t xml:space="preserve"> </w:t>
      </w:r>
      <w:r w:rsidRPr="00F72FB0">
        <w:rPr>
          <w:lang w:val="en-GB"/>
        </w:rPr>
        <w:t>numerous</w:t>
      </w:r>
      <w:r w:rsidR="00FC2FB1" w:rsidRPr="00F72FB0">
        <w:rPr>
          <w:lang w:val="en-GB"/>
        </w:rPr>
        <w:t xml:space="preserve"> </w:t>
      </w:r>
      <w:r w:rsidRPr="00F72FB0">
        <w:rPr>
          <w:lang w:val="en-GB"/>
        </w:rPr>
        <w:t>references</w:t>
      </w:r>
      <w:r w:rsidR="00FC2FB1" w:rsidRPr="00F72FB0">
        <w:rPr>
          <w:lang w:val="en-GB"/>
        </w:rPr>
        <w:t xml:space="preserve"> </w:t>
      </w:r>
      <w:r w:rsidRPr="00F72FB0">
        <w:rPr>
          <w:lang w:val="en-GB"/>
        </w:rPr>
        <w:t>were</w:t>
      </w:r>
      <w:r w:rsidR="00FC2FB1" w:rsidRPr="00F72FB0">
        <w:rPr>
          <w:lang w:val="en-GB"/>
        </w:rPr>
        <w:t xml:space="preserve"> </w:t>
      </w:r>
      <w:r w:rsidRPr="00F72FB0">
        <w:rPr>
          <w:lang w:val="en-GB"/>
        </w:rPr>
        <w:t>found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fields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competition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environment.</w:t>
      </w:r>
      <w:r w:rsidR="00FC2FB1" w:rsidRPr="00F72FB0">
        <w:rPr>
          <w:lang w:val="en-GB"/>
        </w:rPr>
        <w:t xml:space="preserve"> </w:t>
      </w:r>
      <w:r w:rsidR="00FA1768" w:rsidRPr="00F72FB0">
        <w:rPr>
          <w:lang w:val="en-GB"/>
        </w:rPr>
        <w:t>Substanti</w:t>
      </w:r>
      <w:r w:rsidR="00CD24C2" w:rsidRPr="00F72FB0">
        <w:rPr>
          <w:lang w:val="en-GB"/>
        </w:rPr>
        <w:t>al</w:t>
      </w:r>
      <w:r w:rsidR="00FC2FB1" w:rsidRPr="00F72FB0">
        <w:rPr>
          <w:lang w:val="en-GB"/>
        </w:rPr>
        <w:t xml:space="preserve"> </w:t>
      </w:r>
      <w:r w:rsidR="00FA1768" w:rsidRPr="00F72FB0">
        <w:rPr>
          <w:lang w:val="en-GB"/>
        </w:rPr>
        <w:t>references</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soft</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are</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rare,</w:t>
      </w:r>
      <w:r w:rsidR="00FC2FB1" w:rsidRPr="00F72FB0">
        <w:rPr>
          <w:lang w:val="en-GB"/>
        </w:rPr>
        <w:t xml:space="preserve"> </w:t>
      </w:r>
      <w:r w:rsidR="00FA1768" w:rsidRPr="00F72FB0">
        <w:rPr>
          <w:lang w:val="en-GB"/>
        </w:rPr>
        <w:t>with</w:t>
      </w:r>
      <w:r w:rsidR="00FC2FB1" w:rsidRPr="00F72FB0">
        <w:rPr>
          <w:lang w:val="en-GB"/>
        </w:rPr>
        <w:t xml:space="preserve"> </w:t>
      </w:r>
      <w:r w:rsidR="00FA1768" w:rsidRPr="00F72FB0">
        <w:rPr>
          <w:lang w:val="en-GB"/>
        </w:rPr>
        <w:t>some</w:t>
      </w:r>
      <w:r w:rsidR="00FC2FB1" w:rsidRPr="00F72FB0">
        <w:rPr>
          <w:lang w:val="en-GB"/>
        </w:rPr>
        <w:t xml:space="preserve"> </w:t>
      </w:r>
      <w:r w:rsidR="00FA1768" w:rsidRPr="00F72FB0">
        <w:rPr>
          <w:lang w:val="en-GB"/>
        </w:rPr>
        <w:t>cases</w:t>
      </w:r>
      <w:r w:rsidR="00FC2FB1" w:rsidRPr="00F72FB0">
        <w:rPr>
          <w:lang w:val="en-GB"/>
        </w:rPr>
        <w:t xml:space="preserve"> </w:t>
      </w:r>
      <w:r w:rsidR="00FA1768" w:rsidRPr="00F72FB0">
        <w:rPr>
          <w:lang w:val="en-GB"/>
        </w:rPr>
        <w:t>quoting</w:t>
      </w:r>
      <w:r w:rsidR="00FC2FB1" w:rsidRPr="00F72FB0">
        <w:rPr>
          <w:lang w:val="en-GB"/>
        </w:rPr>
        <w:t xml:space="preserve"> </w:t>
      </w:r>
      <w:r w:rsidR="00FA1768" w:rsidRPr="00F72FB0">
        <w:rPr>
          <w:lang w:val="en-GB"/>
        </w:rPr>
        <w:t>them</w:t>
      </w:r>
      <w:r w:rsidR="00FC2FB1" w:rsidRPr="00F72FB0">
        <w:rPr>
          <w:lang w:val="en-GB"/>
        </w:rPr>
        <w:t xml:space="preserve"> </w:t>
      </w:r>
      <w:r w:rsidR="00FA1768" w:rsidRPr="00F72FB0">
        <w:rPr>
          <w:lang w:val="en-GB"/>
        </w:rPr>
        <w:t>extensively.</w:t>
      </w:r>
      <w:r w:rsidR="00FA1768" w:rsidRPr="00F72FB0">
        <w:rPr>
          <w:rStyle w:val="Alaviitteenviite"/>
          <w:lang w:val="en-GB"/>
        </w:rPr>
        <w:footnoteReference w:id="52"/>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UK</w:t>
      </w:r>
      <w:r w:rsidR="00FC2FB1" w:rsidRPr="00F72FB0">
        <w:rPr>
          <w:lang w:val="en-GB"/>
        </w:rPr>
        <w:t xml:space="preserve"> </w:t>
      </w:r>
      <w:r w:rsidR="00FA1768" w:rsidRPr="00F72FB0">
        <w:rPr>
          <w:lang w:val="en-GB"/>
        </w:rPr>
        <w:t>courts</w:t>
      </w:r>
      <w:r w:rsidR="00FC2FB1" w:rsidRPr="00F72FB0">
        <w:rPr>
          <w:lang w:val="en-GB"/>
        </w:rPr>
        <w:t xml:space="preserve"> </w:t>
      </w:r>
      <w:r w:rsidR="00A0240A" w:rsidRPr="00F72FB0">
        <w:rPr>
          <w:lang w:val="en-GB"/>
        </w:rPr>
        <w:t>seldom</w:t>
      </w:r>
      <w:r w:rsidR="00FC2FB1" w:rsidRPr="00F72FB0">
        <w:rPr>
          <w:lang w:val="en-GB"/>
        </w:rPr>
        <w:t xml:space="preserve"> </w:t>
      </w:r>
      <w:r w:rsidR="00FA1768" w:rsidRPr="00F72FB0">
        <w:rPr>
          <w:lang w:val="en-GB"/>
        </w:rPr>
        <w:t>refer</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EU</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its</w:t>
      </w:r>
      <w:r w:rsidR="00FC2FB1" w:rsidRPr="00F72FB0">
        <w:rPr>
          <w:lang w:val="en-GB"/>
        </w:rPr>
        <w:t xml:space="preserve"> </w:t>
      </w:r>
      <w:r w:rsidR="00FA1768" w:rsidRPr="00F72FB0">
        <w:rPr>
          <w:lang w:val="en-GB"/>
        </w:rPr>
        <w:t>own,</w:t>
      </w:r>
      <w:r w:rsidR="00FC2FB1" w:rsidRPr="00F72FB0">
        <w:rPr>
          <w:lang w:val="en-GB"/>
        </w:rPr>
        <w:t xml:space="preserve"> </w:t>
      </w:r>
      <w:r w:rsidR="00FA1768" w:rsidRPr="00F72FB0">
        <w:rPr>
          <w:lang w:val="en-GB"/>
        </w:rPr>
        <w:t>however,</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always</w:t>
      </w:r>
      <w:r w:rsidR="00FC2FB1" w:rsidRPr="00F72FB0">
        <w:rPr>
          <w:lang w:val="en-GB"/>
        </w:rPr>
        <w:t xml:space="preserve"> </w:t>
      </w:r>
      <w:r w:rsidR="00FA1768" w:rsidRPr="00F72FB0">
        <w:rPr>
          <w:lang w:val="en-GB"/>
        </w:rPr>
        <w:t>link</w:t>
      </w:r>
      <w:r w:rsidR="00FC2FB1" w:rsidRPr="00F72FB0">
        <w:rPr>
          <w:lang w:val="en-GB"/>
        </w:rPr>
        <w:t xml:space="preserve"> </w:t>
      </w:r>
      <w:r w:rsidR="00FA1768" w:rsidRPr="00F72FB0">
        <w:rPr>
          <w:lang w:val="en-GB"/>
        </w:rPr>
        <w:t>it</w:t>
      </w:r>
      <w:r w:rsidR="00FC2FB1" w:rsidRPr="00F72FB0">
        <w:rPr>
          <w:lang w:val="en-GB"/>
        </w:rPr>
        <w:t xml:space="preserve"> </w:t>
      </w:r>
      <w:r w:rsidR="00FA1768" w:rsidRPr="00F72FB0">
        <w:rPr>
          <w:lang w:val="en-GB"/>
        </w:rPr>
        <w:t>either</w:t>
      </w:r>
      <w:r w:rsidR="00FC2FB1" w:rsidRPr="00F72FB0">
        <w:rPr>
          <w:lang w:val="en-GB"/>
        </w:rPr>
        <w:t xml:space="preserve"> </w:t>
      </w:r>
      <w:r w:rsidR="00FA1768" w:rsidRPr="00F72FB0">
        <w:rPr>
          <w:lang w:val="en-GB"/>
        </w:rPr>
        <w:t>with</w:t>
      </w:r>
      <w:r w:rsidR="00FC2FB1" w:rsidRPr="00F72FB0">
        <w:rPr>
          <w:lang w:val="en-GB"/>
        </w:rPr>
        <w:t xml:space="preserve"> </w:t>
      </w:r>
      <w:r w:rsidR="00FA1768" w:rsidRPr="00F72FB0">
        <w:rPr>
          <w:lang w:val="en-GB"/>
        </w:rPr>
        <w:t>corresponding</w:t>
      </w:r>
      <w:r w:rsidR="00FC2FB1" w:rsidRPr="00F72FB0">
        <w:rPr>
          <w:lang w:val="en-GB"/>
        </w:rPr>
        <w:t xml:space="preserve"> </w:t>
      </w:r>
      <w:r w:rsidR="00FA1768" w:rsidRPr="00F72FB0">
        <w:rPr>
          <w:lang w:val="en-GB"/>
        </w:rPr>
        <w:t>hard</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or</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case</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Court.</w:t>
      </w:r>
      <w:r w:rsidR="00FC2FB1" w:rsidRPr="00F72FB0">
        <w:rPr>
          <w:lang w:val="en-GB"/>
        </w:rPr>
        <w:t xml:space="preserve"> </w:t>
      </w:r>
      <w:r w:rsidR="00FA1768" w:rsidRPr="00F72FB0">
        <w:rPr>
          <w:lang w:val="en-GB"/>
        </w:rPr>
        <w:t>For</w:t>
      </w:r>
      <w:r w:rsidR="00FC2FB1" w:rsidRPr="00F72FB0">
        <w:rPr>
          <w:lang w:val="en-GB"/>
        </w:rPr>
        <w:t xml:space="preserve"> </w:t>
      </w:r>
      <w:r w:rsidR="00FA1768" w:rsidRPr="00F72FB0">
        <w:rPr>
          <w:lang w:val="en-GB"/>
        </w:rPr>
        <w:t>example,</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i/>
          <w:iCs/>
          <w:lang w:val="en-GB"/>
        </w:rPr>
        <w:t>An</w:t>
      </w:r>
      <w:r w:rsidR="00FC2FB1" w:rsidRPr="00F72FB0">
        <w:rPr>
          <w:i/>
          <w:iCs/>
          <w:lang w:val="en-GB"/>
        </w:rPr>
        <w:t xml:space="preserve"> </w:t>
      </w:r>
      <w:r w:rsidR="00FA1768" w:rsidRPr="00F72FB0">
        <w:rPr>
          <w:i/>
          <w:iCs/>
          <w:lang w:val="en-GB"/>
        </w:rPr>
        <w:t>Taisce</w:t>
      </w:r>
      <w:r w:rsidR="00FC2FB1" w:rsidRPr="00F72FB0">
        <w:rPr>
          <w:lang w:val="en-GB"/>
        </w:rPr>
        <w:t xml:space="preserve"> </w:t>
      </w:r>
      <w:r w:rsidR="00FA1768" w:rsidRPr="00F72FB0">
        <w:rPr>
          <w:lang w:val="en-GB"/>
        </w:rPr>
        <w:t>environment</w:t>
      </w:r>
      <w:r w:rsidR="00FC2FB1" w:rsidRPr="00F72FB0">
        <w:rPr>
          <w:lang w:val="en-GB"/>
        </w:rPr>
        <w:t xml:space="preserve"> </w:t>
      </w:r>
      <w:r w:rsidR="00FA1768" w:rsidRPr="00F72FB0">
        <w:rPr>
          <w:lang w:val="en-GB"/>
        </w:rPr>
        <w:t>case,</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High</w:t>
      </w:r>
      <w:r w:rsidR="00FC2FB1" w:rsidRPr="00F72FB0">
        <w:rPr>
          <w:lang w:val="en-GB"/>
        </w:rPr>
        <w:t xml:space="preserve"> </w:t>
      </w:r>
      <w:r w:rsidR="00FA1768" w:rsidRPr="00F72FB0">
        <w:rPr>
          <w:lang w:val="en-GB"/>
        </w:rPr>
        <w:t>Court</w:t>
      </w:r>
      <w:r w:rsidR="00FC2FB1" w:rsidRPr="00F72FB0">
        <w:rPr>
          <w:lang w:val="en-GB"/>
        </w:rPr>
        <w:t xml:space="preserve"> </w:t>
      </w:r>
      <w:r w:rsidR="00FA1768" w:rsidRPr="00F72FB0">
        <w:rPr>
          <w:lang w:val="en-GB"/>
        </w:rPr>
        <w:t>pointed</w:t>
      </w:r>
      <w:r w:rsidR="00FC2FB1" w:rsidRPr="00F72FB0">
        <w:rPr>
          <w:lang w:val="en-GB"/>
        </w:rPr>
        <w:t xml:space="preserve"> </w:t>
      </w:r>
      <w:r w:rsidR="00FA1768" w:rsidRPr="00F72FB0">
        <w:rPr>
          <w:lang w:val="en-GB"/>
        </w:rPr>
        <w:t>out</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‘definitive</w:t>
      </w:r>
      <w:r w:rsidR="00FC2FB1" w:rsidRPr="00F72FB0">
        <w:rPr>
          <w:lang w:val="en-GB"/>
        </w:rPr>
        <w:t xml:space="preserve"> </w:t>
      </w:r>
      <w:r w:rsidR="00FA1768" w:rsidRPr="00F72FB0">
        <w:rPr>
          <w:lang w:val="en-GB"/>
        </w:rPr>
        <w:t>interpretation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Union</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lastRenderedPageBreak/>
        <w:t>is</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sole</w:t>
      </w:r>
      <w:r w:rsidR="00FC2FB1" w:rsidRPr="00F72FB0">
        <w:rPr>
          <w:lang w:val="en-GB"/>
        </w:rPr>
        <w:t xml:space="preserve"> </w:t>
      </w:r>
      <w:r w:rsidR="00FA1768" w:rsidRPr="00F72FB0">
        <w:rPr>
          <w:lang w:val="en-GB"/>
        </w:rPr>
        <w:t>prerogative</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European</w:t>
      </w:r>
      <w:r w:rsidR="00FC2FB1" w:rsidRPr="00F72FB0">
        <w:rPr>
          <w:lang w:val="en-GB"/>
        </w:rPr>
        <w:t xml:space="preserve"> </w:t>
      </w:r>
      <w:r w:rsidR="00FA1768" w:rsidRPr="00F72FB0">
        <w:rPr>
          <w:lang w:val="en-GB"/>
        </w:rPr>
        <w:t>Court’.</w:t>
      </w:r>
      <w:r w:rsidR="00FA1768" w:rsidRPr="00F72FB0">
        <w:rPr>
          <w:rStyle w:val="Alaviitteenviite"/>
          <w:lang w:val="en-GB"/>
        </w:rPr>
        <w:footnoteReference w:id="53"/>
      </w:r>
      <w:r w:rsidR="00FC2FB1" w:rsidRPr="00F72FB0">
        <w:rPr>
          <w:lang w:val="en-GB"/>
        </w:rPr>
        <w:t xml:space="preserve"> </w:t>
      </w:r>
      <w:r w:rsidR="00FA1768" w:rsidRPr="00F72FB0">
        <w:rPr>
          <w:lang w:val="en-GB"/>
        </w:rPr>
        <w:t>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same</w:t>
      </w:r>
      <w:r w:rsidR="00FC2FB1" w:rsidRPr="00F72FB0">
        <w:rPr>
          <w:lang w:val="en-GB"/>
        </w:rPr>
        <w:t xml:space="preserve"> </w:t>
      </w:r>
      <w:r w:rsidR="00FA1768" w:rsidRPr="00F72FB0">
        <w:rPr>
          <w:lang w:val="en-GB"/>
        </w:rPr>
        <w:t>time,</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Scottish</w:t>
      </w:r>
      <w:r w:rsidR="00FC2FB1" w:rsidRPr="00F72FB0">
        <w:rPr>
          <w:lang w:val="en-GB"/>
        </w:rPr>
        <w:t xml:space="preserve"> </w:t>
      </w:r>
      <w:r w:rsidR="00FA1768" w:rsidRPr="00F72FB0">
        <w:rPr>
          <w:lang w:val="en-GB"/>
        </w:rPr>
        <w:t>Court</w:t>
      </w:r>
      <w:r w:rsidR="00FC2FB1" w:rsidRPr="00F72FB0">
        <w:rPr>
          <w:lang w:val="en-GB"/>
        </w:rPr>
        <w:t xml:space="preserve"> </w:t>
      </w:r>
      <w:r w:rsidR="00FA1768" w:rsidRPr="00F72FB0">
        <w:rPr>
          <w:color w:val="000000"/>
          <w:lang w:val="en-GB"/>
        </w:rPr>
        <w:t>considered</w:t>
      </w:r>
      <w:r w:rsidR="00FC2FB1" w:rsidRPr="00F72FB0">
        <w:rPr>
          <w:color w:val="000000"/>
          <w:lang w:val="en-GB"/>
        </w:rPr>
        <w:t xml:space="preserve"> </w:t>
      </w:r>
      <w:r w:rsidR="00FA1768" w:rsidRPr="00F72FB0">
        <w:rPr>
          <w:color w:val="000000"/>
          <w:lang w:val="en-GB"/>
        </w:rPr>
        <w:t>the</w:t>
      </w:r>
      <w:r w:rsidR="00FC2FB1" w:rsidRPr="00F72FB0">
        <w:rPr>
          <w:color w:val="000000"/>
          <w:lang w:val="en-GB"/>
        </w:rPr>
        <w:t xml:space="preserve"> </w:t>
      </w:r>
      <w:r w:rsidR="00FA1768" w:rsidRPr="00F72FB0">
        <w:rPr>
          <w:color w:val="000000"/>
          <w:lang w:val="en-GB"/>
        </w:rPr>
        <w:t>interpretation</w:t>
      </w:r>
      <w:r w:rsidR="00FC2FB1" w:rsidRPr="00F72FB0">
        <w:rPr>
          <w:color w:val="000000"/>
          <w:lang w:val="en-GB"/>
        </w:rPr>
        <w:t xml:space="preserve"> </w:t>
      </w:r>
      <w:r w:rsidR="00FA1768" w:rsidRPr="00F72FB0">
        <w:rPr>
          <w:color w:val="000000"/>
          <w:lang w:val="en-GB"/>
        </w:rPr>
        <w:t>of</w:t>
      </w:r>
      <w:r w:rsidR="00FC2FB1" w:rsidRPr="00F72FB0">
        <w:rPr>
          <w:color w:val="000000"/>
          <w:lang w:val="en-GB"/>
        </w:rPr>
        <w:t xml:space="preserve"> </w:t>
      </w:r>
      <w:r w:rsidR="00FA1768" w:rsidRPr="00F72FB0">
        <w:rPr>
          <w:color w:val="000000"/>
          <w:lang w:val="en-GB"/>
        </w:rPr>
        <w:t>the</w:t>
      </w:r>
      <w:r w:rsidR="00FC2FB1" w:rsidRPr="00F72FB0">
        <w:rPr>
          <w:color w:val="000000"/>
          <w:lang w:val="en-GB"/>
        </w:rPr>
        <w:t xml:space="preserve"> </w:t>
      </w:r>
      <w:r w:rsidR="00FA1768" w:rsidRPr="00F72FB0">
        <w:rPr>
          <w:color w:val="000000"/>
          <w:lang w:val="en-GB"/>
        </w:rPr>
        <w:t>EU</w:t>
      </w:r>
      <w:r w:rsidR="00FC2FB1" w:rsidRPr="00F72FB0">
        <w:rPr>
          <w:color w:val="000000"/>
          <w:lang w:val="en-GB"/>
        </w:rPr>
        <w:t xml:space="preserve"> </w:t>
      </w:r>
      <w:r w:rsidR="00A0240A" w:rsidRPr="00F72FB0">
        <w:rPr>
          <w:color w:val="000000"/>
          <w:lang w:val="en-GB"/>
        </w:rPr>
        <w:t>soft law</w:t>
      </w:r>
      <w:r w:rsidR="00FC2FB1" w:rsidRPr="00F72FB0">
        <w:rPr>
          <w:color w:val="000000"/>
          <w:lang w:val="en-GB"/>
        </w:rPr>
        <w:t xml:space="preserve"> </w:t>
      </w:r>
      <w:r w:rsidR="00FA1768" w:rsidRPr="00F72FB0">
        <w:rPr>
          <w:color w:val="000000"/>
          <w:lang w:val="en-GB"/>
        </w:rPr>
        <w:t>document,</w:t>
      </w:r>
      <w:r w:rsidR="00FC2FB1" w:rsidRPr="00F72FB0">
        <w:rPr>
          <w:color w:val="000000"/>
          <w:lang w:val="en-GB"/>
        </w:rPr>
        <w:t xml:space="preserve"> </w:t>
      </w:r>
      <w:r w:rsidR="00FA1768" w:rsidRPr="00F72FB0">
        <w:rPr>
          <w:color w:val="000000"/>
          <w:lang w:val="en-GB"/>
        </w:rPr>
        <w:t>then</w:t>
      </w:r>
      <w:r w:rsidR="00FC2FB1" w:rsidRPr="00F72FB0">
        <w:rPr>
          <w:color w:val="000000"/>
          <w:lang w:val="en-GB"/>
        </w:rPr>
        <w:t xml:space="preserve"> </w:t>
      </w:r>
      <w:r w:rsidR="00FA1768" w:rsidRPr="00F72FB0">
        <w:rPr>
          <w:color w:val="000000"/>
          <w:lang w:val="en-GB"/>
        </w:rPr>
        <w:t>considered</w:t>
      </w:r>
      <w:r w:rsidR="00FC2FB1" w:rsidRPr="00F72FB0">
        <w:rPr>
          <w:color w:val="000000"/>
          <w:lang w:val="en-GB"/>
        </w:rPr>
        <w:t xml:space="preserve"> </w:t>
      </w:r>
      <w:r w:rsidR="00FA1768" w:rsidRPr="00F72FB0">
        <w:rPr>
          <w:color w:val="000000"/>
          <w:lang w:val="en-GB"/>
        </w:rPr>
        <w:t>the</w:t>
      </w:r>
      <w:r w:rsidR="00FC2FB1" w:rsidRPr="00F72FB0">
        <w:rPr>
          <w:color w:val="000000"/>
          <w:lang w:val="en-GB"/>
        </w:rPr>
        <w:t xml:space="preserve"> </w:t>
      </w:r>
      <w:r w:rsidR="00FA1768" w:rsidRPr="00F72FB0">
        <w:rPr>
          <w:color w:val="000000"/>
          <w:lang w:val="en-GB"/>
        </w:rPr>
        <w:t>jurisprudence</w:t>
      </w:r>
      <w:r w:rsidR="00FC2FB1" w:rsidRPr="00F72FB0">
        <w:rPr>
          <w:color w:val="000000"/>
          <w:lang w:val="en-GB"/>
        </w:rPr>
        <w:t xml:space="preserve"> </w:t>
      </w:r>
      <w:r w:rsidR="00FA1768" w:rsidRPr="00F72FB0">
        <w:rPr>
          <w:color w:val="000000"/>
          <w:lang w:val="en-GB"/>
        </w:rPr>
        <w:t>briefly</w:t>
      </w:r>
      <w:r w:rsidR="00FC2FB1" w:rsidRPr="00F72FB0">
        <w:rPr>
          <w:color w:val="000000"/>
          <w:lang w:val="en-GB"/>
        </w:rPr>
        <w:t xml:space="preserve"> </w:t>
      </w:r>
      <w:r w:rsidR="00FA1768" w:rsidRPr="00F72FB0">
        <w:rPr>
          <w:color w:val="000000"/>
          <w:lang w:val="en-GB"/>
        </w:rPr>
        <w:t>as</w:t>
      </w:r>
      <w:r w:rsidR="00FC2FB1" w:rsidRPr="00F72FB0">
        <w:rPr>
          <w:color w:val="000000"/>
          <w:lang w:val="en-GB"/>
        </w:rPr>
        <w:t xml:space="preserve"> </w:t>
      </w:r>
      <w:r w:rsidR="00FA1768" w:rsidRPr="00F72FB0">
        <w:rPr>
          <w:color w:val="000000"/>
          <w:lang w:val="en-GB"/>
        </w:rPr>
        <w:t>confirming</w:t>
      </w:r>
      <w:r w:rsidR="00FC2FB1" w:rsidRPr="00F72FB0">
        <w:rPr>
          <w:color w:val="000000"/>
          <w:lang w:val="en-GB"/>
        </w:rPr>
        <w:t xml:space="preserve"> </w:t>
      </w:r>
      <w:r w:rsidR="00FA1768" w:rsidRPr="00F72FB0">
        <w:rPr>
          <w:color w:val="000000"/>
          <w:lang w:val="en-GB"/>
        </w:rPr>
        <w:t>this</w:t>
      </w:r>
      <w:r w:rsidR="00FC2FB1" w:rsidRPr="00F72FB0">
        <w:rPr>
          <w:color w:val="000000"/>
          <w:lang w:val="en-GB"/>
        </w:rPr>
        <w:t xml:space="preserve"> </w:t>
      </w:r>
      <w:r w:rsidR="00FA1768" w:rsidRPr="00F72FB0">
        <w:rPr>
          <w:color w:val="000000"/>
          <w:lang w:val="en-GB"/>
        </w:rPr>
        <w:t>approach</w:t>
      </w:r>
      <w:r w:rsidR="00FC2FB1" w:rsidRPr="00F72FB0">
        <w:rPr>
          <w:color w:val="000000"/>
          <w:lang w:val="en-GB"/>
        </w:rPr>
        <w:t xml:space="preserve"> </w:t>
      </w:r>
      <w:r w:rsidR="00FA1768" w:rsidRPr="00F72FB0">
        <w:rPr>
          <w:color w:val="000000"/>
          <w:lang w:val="en-GB"/>
        </w:rPr>
        <w:t>and</w:t>
      </w:r>
      <w:r w:rsidR="00FC2FB1" w:rsidRPr="00F72FB0">
        <w:rPr>
          <w:color w:val="000000"/>
          <w:lang w:val="en-GB"/>
        </w:rPr>
        <w:t xml:space="preserve"> </w:t>
      </w:r>
      <w:r w:rsidR="00FA1768" w:rsidRPr="00F72FB0">
        <w:rPr>
          <w:color w:val="000000"/>
          <w:lang w:val="en-GB"/>
        </w:rPr>
        <w:t>consequently</w:t>
      </w:r>
      <w:r w:rsidR="00FC2FB1" w:rsidRPr="00F72FB0">
        <w:rPr>
          <w:color w:val="000000"/>
          <w:lang w:val="en-GB"/>
        </w:rPr>
        <w:t xml:space="preserve"> </w:t>
      </w:r>
      <w:r w:rsidR="00FA1768" w:rsidRPr="00F72FB0">
        <w:rPr>
          <w:color w:val="000000"/>
          <w:lang w:val="en-GB"/>
        </w:rPr>
        <w:t>interpreted</w:t>
      </w:r>
      <w:r w:rsidR="00FC2FB1" w:rsidRPr="00F72FB0">
        <w:rPr>
          <w:color w:val="000000"/>
          <w:lang w:val="en-GB"/>
        </w:rPr>
        <w:t xml:space="preserve"> </w:t>
      </w:r>
      <w:r w:rsidR="00FA1768" w:rsidRPr="00F72FB0">
        <w:rPr>
          <w:color w:val="000000"/>
          <w:lang w:val="en-GB"/>
        </w:rPr>
        <w:t>a</w:t>
      </w:r>
      <w:r w:rsidR="00FC2FB1" w:rsidRPr="00F72FB0">
        <w:rPr>
          <w:color w:val="000000"/>
          <w:lang w:val="en-GB"/>
        </w:rPr>
        <w:t xml:space="preserve"> </w:t>
      </w:r>
      <w:r w:rsidR="00FA1768" w:rsidRPr="00F72FB0">
        <w:rPr>
          <w:color w:val="000000"/>
          <w:lang w:val="en-GB"/>
        </w:rPr>
        <w:t>binding</w:t>
      </w:r>
      <w:r w:rsidR="00FC2FB1" w:rsidRPr="00F72FB0">
        <w:rPr>
          <w:color w:val="000000"/>
          <w:lang w:val="en-GB"/>
        </w:rPr>
        <w:t xml:space="preserve"> </w:t>
      </w:r>
      <w:r w:rsidR="00FA1768" w:rsidRPr="00F72FB0">
        <w:rPr>
          <w:color w:val="000000"/>
          <w:lang w:val="en-GB"/>
        </w:rPr>
        <w:t>obligation</w:t>
      </w:r>
      <w:r w:rsidR="00FC2FB1" w:rsidRPr="00F72FB0">
        <w:rPr>
          <w:color w:val="000000"/>
          <w:lang w:val="en-GB"/>
        </w:rPr>
        <w:t xml:space="preserve"> </w:t>
      </w:r>
      <w:r w:rsidR="00FA1768" w:rsidRPr="00F72FB0">
        <w:rPr>
          <w:color w:val="000000"/>
          <w:lang w:val="en-GB"/>
        </w:rPr>
        <w:t>upon</w:t>
      </w:r>
      <w:r w:rsidR="00FC2FB1" w:rsidRPr="00F72FB0">
        <w:rPr>
          <w:color w:val="000000"/>
          <w:lang w:val="en-GB"/>
        </w:rPr>
        <w:t xml:space="preserve"> </w:t>
      </w:r>
      <w:r w:rsidR="00FA1768" w:rsidRPr="00F72FB0">
        <w:rPr>
          <w:color w:val="000000"/>
          <w:lang w:val="en-GB"/>
        </w:rPr>
        <w:t>the</w:t>
      </w:r>
      <w:r w:rsidR="00FC2FB1" w:rsidRPr="00F72FB0">
        <w:rPr>
          <w:color w:val="000000"/>
          <w:lang w:val="en-GB"/>
        </w:rPr>
        <w:t xml:space="preserve"> </w:t>
      </w:r>
      <w:r w:rsidR="00FA1768" w:rsidRPr="00F72FB0">
        <w:rPr>
          <w:color w:val="000000"/>
          <w:lang w:val="en-GB"/>
        </w:rPr>
        <w:t>relevant</w:t>
      </w:r>
      <w:r w:rsidR="00FC2FB1" w:rsidRPr="00F72FB0">
        <w:rPr>
          <w:color w:val="000000"/>
          <w:lang w:val="en-GB"/>
        </w:rPr>
        <w:t xml:space="preserve"> </w:t>
      </w:r>
      <w:r w:rsidR="00FA1768" w:rsidRPr="00F72FB0">
        <w:rPr>
          <w:color w:val="000000"/>
          <w:lang w:val="en-GB"/>
        </w:rPr>
        <w:t>parties.</w:t>
      </w:r>
      <w:r w:rsidR="00FA1768" w:rsidRPr="00F72FB0">
        <w:rPr>
          <w:rStyle w:val="Alaviitteenviite"/>
          <w:lang w:val="en-GB"/>
        </w:rPr>
        <w:footnoteReference w:id="54"/>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which</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perceived</w:t>
      </w:r>
      <w:r w:rsidR="00FC2FB1" w:rsidRPr="00F72FB0">
        <w:rPr>
          <w:lang w:val="en-GB"/>
        </w:rPr>
        <w:t xml:space="preserve"> </w:t>
      </w:r>
      <w:r w:rsidR="00FA1768" w:rsidRPr="00F72FB0">
        <w:rPr>
          <w:lang w:val="en-GB"/>
        </w:rPr>
        <w:t>particularly</w:t>
      </w:r>
      <w:r w:rsidR="00FC2FB1" w:rsidRPr="00F72FB0">
        <w:rPr>
          <w:lang w:val="en-GB"/>
        </w:rPr>
        <w:t xml:space="preserve"> </w:t>
      </w:r>
      <w:r w:rsidR="00FA1768" w:rsidRPr="00F72FB0">
        <w:rPr>
          <w:lang w:val="en-GB"/>
        </w:rPr>
        <w:t>helpful</w:t>
      </w:r>
      <w:r w:rsidR="00FC2FB1" w:rsidRPr="00F72FB0">
        <w:rPr>
          <w:lang w:val="en-GB"/>
        </w:rPr>
        <w:t xml:space="preserve"> </w:t>
      </w:r>
      <w:r w:rsidR="00FA1768" w:rsidRPr="00F72FB0">
        <w:rPr>
          <w:lang w:val="en-GB"/>
        </w:rPr>
        <w:t>might</w:t>
      </w:r>
      <w:r w:rsidR="00FC2FB1" w:rsidRPr="00F72FB0">
        <w:rPr>
          <w:lang w:val="en-GB"/>
        </w:rPr>
        <w:t xml:space="preserve"> </w:t>
      </w:r>
      <w:r w:rsidR="00FA1768" w:rsidRPr="00F72FB0">
        <w:rPr>
          <w:lang w:val="en-GB"/>
        </w:rPr>
        <w:t>even</w:t>
      </w:r>
      <w:r w:rsidR="00FC2FB1" w:rsidRPr="00F72FB0">
        <w:rPr>
          <w:lang w:val="en-GB"/>
        </w:rPr>
        <w:t xml:space="preserve"> </w:t>
      </w:r>
      <w:r w:rsidR="00FA1768" w:rsidRPr="00F72FB0">
        <w:rPr>
          <w:lang w:val="en-GB"/>
        </w:rPr>
        <w:t>be</w:t>
      </w:r>
      <w:r w:rsidR="00FC2FB1" w:rsidRPr="00F72FB0">
        <w:rPr>
          <w:lang w:val="en-GB"/>
        </w:rPr>
        <w:t xml:space="preserve"> </w:t>
      </w:r>
      <w:r w:rsidR="00FA1768" w:rsidRPr="00F72FB0">
        <w:rPr>
          <w:lang w:val="en-GB"/>
        </w:rPr>
        <w:t>used</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draft</w:t>
      </w:r>
      <w:r w:rsidR="00FC2FB1" w:rsidRPr="00F72FB0">
        <w:rPr>
          <w:lang w:val="en-GB"/>
        </w:rPr>
        <w:t xml:space="preserve"> </w:t>
      </w:r>
      <w:r w:rsidR="00FA1768" w:rsidRPr="00F72FB0">
        <w:rPr>
          <w:lang w:val="en-GB"/>
        </w:rPr>
        <w:t>form</w:t>
      </w:r>
      <w:r w:rsidR="00FC2FB1" w:rsidRPr="00F72FB0">
        <w:rPr>
          <w:lang w:val="en-GB"/>
        </w:rPr>
        <w:t xml:space="preserve"> </w:t>
      </w:r>
      <w:r w:rsidR="00FA1768" w:rsidRPr="00F72FB0">
        <w:rPr>
          <w:lang w:val="en-GB"/>
        </w:rPr>
        <w:t>(such</w:t>
      </w:r>
      <w:r w:rsidR="00FC2FB1" w:rsidRPr="00F72FB0">
        <w:rPr>
          <w:lang w:val="en-GB"/>
        </w:rPr>
        <w:t xml:space="preserve"> </w:t>
      </w:r>
      <w:r w:rsidR="00FA1768" w:rsidRPr="00F72FB0">
        <w:rPr>
          <w:lang w:val="en-GB"/>
        </w:rPr>
        <w:t>as</w:t>
      </w:r>
      <w:r w:rsidR="00FC2FB1" w:rsidRPr="00F72FB0">
        <w:rPr>
          <w:lang w:val="en-GB"/>
        </w:rPr>
        <w:t xml:space="preserve"> </w:t>
      </w:r>
      <w:r w:rsidR="00FA1768" w:rsidRPr="00F72FB0">
        <w:rPr>
          <w:lang w:val="en-GB"/>
        </w:rPr>
        <w:t>for</w:t>
      </w:r>
      <w:r w:rsidR="00FC2FB1" w:rsidRPr="00F72FB0">
        <w:rPr>
          <w:lang w:val="en-GB"/>
        </w:rPr>
        <w:t xml:space="preserve"> </w:t>
      </w:r>
      <w:r w:rsidR="00FA1768" w:rsidRPr="00F72FB0">
        <w:rPr>
          <w:lang w:val="en-GB"/>
        </w:rPr>
        <w:t>instance</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Notice</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Notion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Aid),</w:t>
      </w:r>
      <w:r w:rsidR="00FA1768" w:rsidRPr="00F72FB0">
        <w:rPr>
          <w:rStyle w:val="Alaviitteenviite"/>
          <w:lang w:val="en-GB"/>
        </w:rPr>
        <w:footnoteReference w:id="55"/>
      </w:r>
      <w:r w:rsidR="00FC2FB1" w:rsidRPr="00F72FB0">
        <w:rPr>
          <w:lang w:val="en-GB"/>
        </w:rPr>
        <w:t xml:space="preserve"> </w:t>
      </w:r>
      <w:r w:rsidR="00FA1768" w:rsidRPr="00F72FB0">
        <w:rPr>
          <w:lang w:val="en-GB"/>
        </w:rPr>
        <w:t>while</w:t>
      </w:r>
      <w:r w:rsidR="00FC2FB1" w:rsidRPr="00F72FB0">
        <w:rPr>
          <w:lang w:val="en-GB"/>
        </w:rPr>
        <w:t xml:space="preserve"> </w:t>
      </w:r>
      <w:r w:rsidR="00F13494" w:rsidRPr="00F72FB0">
        <w:rPr>
          <w:lang w:val="en-GB"/>
        </w:rPr>
        <w:t>other</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might</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be</w:t>
      </w:r>
      <w:r w:rsidR="00FC2FB1" w:rsidRPr="00F72FB0">
        <w:rPr>
          <w:lang w:val="en-GB"/>
        </w:rPr>
        <w:t xml:space="preserve"> </w:t>
      </w:r>
      <w:r w:rsidR="00FA1768" w:rsidRPr="00F72FB0">
        <w:rPr>
          <w:lang w:val="en-GB"/>
        </w:rPr>
        <w:t>used</w:t>
      </w:r>
      <w:r w:rsidR="00FC2FB1" w:rsidRPr="00F72FB0">
        <w:rPr>
          <w:lang w:val="en-GB"/>
        </w:rPr>
        <w:t xml:space="preserve"> </w:t>
      </w:r>
      <w:r w:rsidR="00FA1768" w:rsidRPr="00F72FB0">
        <w:rPr>
          <w:lang w:val="en-GB"/>
        </w:rPr>
        <w:t>at</w:t>
      </w:r>
      <w:r w:rsidR="00FC2FB1" w:rsidRPr="00F72FB0">
        <w:rPr>
          <w:lang w:val="en-GB"/>
        </w:rPr>
        <w:t xml:space="preserve"> </w:t>
      </w:r>
      <w:r w:rsidR="00FA1768" w:rsidRPr="00F72FB0">
        <w:rPr>
          <w:lang w:val="en-GB"/>
        </w:rPr>
        <w:t>all.</w:t>
      </w:r>
      <w:r w:rsidR="00FC2FB1" w:rsidRPr="00F72FB0">
        <w:rPr>
          <w:lang w:val="en-GB"/>
        </w:rPr>
        <w:t xml:space="preserve"> </w:t>
      </w:r>
    </w:p>
    <w:p w14:paraId="455C8305" w14:textId="5A929809" w:rsidR="00EA26BD" w:rsidRPr="00F72FB0" w:rsidRDefault="00EA26BD" w:rsidP="00E14136">
      <w:pPr>
        <w:spacing w:line="360" w:lineRule="auto"/>
        <w:contextualSpacing/>
        <w:jc w:val="both"/>
        <w:rPr>
          <w:lang w:val="en-GB"/>
        </w:rPr>
      </w:pPr>
    </w:p>
    <w:p w14:paraId="3D2222C4" w14:textId="5E2A9ED2" w:rsidR="00FA1768" w:rsidRPr="00F72FB0" w:rsidRDefault="00A50F99" w:rsidP="00E14136">
      <w:pPr>
        <w:widowControl w:val="0"/>
        <w:autoSpaceDE w:val="0"/>
        <w:autoSpaceDN w:val="0"/>
        <w:adjustRightInd w:val="0"/>
        <w:spacing w:line="360" w:lineRule="auto"/>
        <w:contextualSpacing/>
        <w:jc w:val="both"/>
        <w:rPr>
          <w:lang w:val="en-GB"/>
        </w:rPr>
      </w:pPr>
      <w:r w:rsidRPr="00F72FB0">
        <w:rPr>
          <w:lang w:val="en-GB"/>
        </w:rPr>
        <w:t>Without</w:t>
      </w:r>
      <w:r w:rsidR="00FC2FB1" w:rsidRPr="00F72FB0">
        <w:rPr>
          <w:lang w:val="en-GB"/>
        </w:rPr>
        <w:t xml:space="preserve"> </w:t>
      </w:r>
      <w:r w:rsidRPr="00F72FB0">
        <w:rPr>
          <w:lang w:val="en-GB"/>
        </w:rPr>
        <w:t>clear</w:t>
      </w:r>
      <w:r w:rsidR="00FC2FB1" w:rsidRPr="00F72FB0">
        <w:rPr>
          <w:lang w:val="en-GB"/>
        </w:rPr>
        <w:t xml:space="preserve"> </w:t>
      </w:r>
      <w:r w:rsidRPr="00F72FB0">
        <w:rPr>
          <w:lang w:val="en-GB"/>
        </w:rPr>
        <w:t>insight</w:t>
      </w:r>
      <w:r w:rsidR="00FC2FB1" w:rsidRPr="00F72FB0">
        <w:rPr>
          <w:lang w:val="en-GB"/>
        </w:rPr>
        <w:t xml:space="preserve"> </w:t>
      </w:r>
      <w:r w:rsidRPr="00F72FB0">
        <w:rPr>
          <w:lang w:val="en-GB"/>
        </w:rPr>
        <w:t>into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reasoning</w:t>
      </w:r>
      <w:r w:rsidR="00FC2FB1" w:rsidRPr="00F72FB0">
        <w:rPr>
          <w:lang w:val="en-GB"/>
        </w:rPr>
        <w:t xml:space="preserve"> </w:t>
      </w:r>
      <w:r w:rsidRPr="00F72FB0">
        <w:rPr>
          <w:lang w:val="en-GB"/>
        </w:rPr>
        <w:t>via</w:t>
      </w:r>
      <w:r w:rsidR="00FC2FB1" w:rsidRPr="00F72FB0">
        <w:rPr>
          <w:lang w:val="en-GB"/>
        </w:rPr>
        <w:t xml:space="preserve"> </w:t>
      </w:r>
      <w:r w:rsidRPr="00F72FB0">
        <w:rPr>
          <w:lang w:val="en-GB"/>
        </w:rPr>
        <w:t>judicial</w:t>
      </w:r>
      <w:r w:rsidR="00FC2FB1" w:rsidRPr="00F72FB0">
        <w:rPr>
          <w:lang w:val="en-GB"/>
        </w:rPr>
        <w:t xml:space="preserve"> </w:t>
      </w:r>
      <w:r w:rsidRPr="00F72FB0">
        <w:rPr>
          <w:lang w:val="en-GB"/>
        </w:rPr>
        <w:t>interviews,</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possible</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determine</w:t>
      </w:r>
      <w:r w:rsidR="00FC2FB1" w:rsidRPr="00F72FB0">
        <w:rPr>
          <w:lang w:val="en-GB"/>
        </w:rPr>
        <w:t xml:space="preserve"> </w:t>
      </w:r>
      <w:r w:rsidRPr="00F72FB0">
        <w:rPr>
          <w:lang w:val="en-GB"/>
        </w:rPr>
        <w:t>precisely</w:t>
      </w:r>
      <w:r w:rsidR="00FC2FB1" w:rsidRPr="00F72FB0">
        <w:rPr>
          <w:lang w:val="en-GB"/>
        </w:rPr>
        <w:t xml:space="preserve"> </w:t>
      </w:r>
      <w:r w:rsidRPr="00F72FB0">
        <w:rPr>
          <w:lang w:val="en-GB"/>
        </w:rPr>
        <w:t>why</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do</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always</w:t>
      </w:r>
      <w:r w:rsidR="00FC2FB1" w:rsidRPr="00F72FB0">
        <w:rPr>
          <w:lang w:val="en-GB"/>
        </w:rPr>
        <w:t xml:space="preserve"> </w:t>
      </w:r>
      <w:r w:rsidRPr="00F72FB0">
        <w:rPr>
          <w:lang w:val="en-GB"/>
        </w:rPr>
        <w:t>refer</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could</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unnecessary,</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hard</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sufficiently</w:t>
      </w:r>
      <w:r w:rsidR="00FC2FB1" w:rsidRPr="00F72FB0">
        <w:rPr>
          <w:lang w:val="en-GB"/>
        </w:rPr>
        <w:t xml:space="preserve"> </w:t>
      </w:r>
      <w:r w:rsidRPr="00F72FB0">
        <w:rPr>
          <w:lang w:val="en-GB"/>
        </w:rPr>
        <w:t>clear</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precise;</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controversial;</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simply</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instruments</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useful.</w:t>
      </w:r>
      <w:r w:rsidR="00FC2FB1" w:rsidRPr="00F72FB0">
        <w:rPr>
          <w:lang w:val="en-GB"/>
        </w:rPr>
        <w:t xml:space="preserve"> </w:t>
      </w:r>
      <w:r w:rsidR="00FA1768" w:rsidRPr="00F72FB0">
        <w:rPr>
          <w:lang w:val="en-GB"/>
        </w:rPr>
        <w:t>According</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one</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our</w:t>
      </w:r>
      <w:r w:rsidR="00FC2FB1" w:rsidRPr="00F72FB0">
        <w:rPr>
          <w:lang w:val="en-GB"/>
        </w:rPr>
        <w:t xml:space="preserve"> </w:t>
      </w:r>
      <w:r w:rsidR="00FA1768" w:rsidRPr="00F72FB0">
        <w:rPr>
          <w:lang w:val="en-GB"/>
        </w:rPr>
        <w:t>interviewees,</w:t>
      </w:r>
      <w:r w:rsidR="00FC2FB1" w:rsidRPr="00F72FB0">
        <w:rPr>
          <w:lang w:val="en-GB"/>
        </w:rPr>
        <w:t xml:space="preserve"> </w:t>
      </w:r>
      <w:r w:rsidR="00FA1768" w:rsidRPr="00F72FB0">
        <w:rPr>
          <w:lang w:val="en-GB"/>
        </w:rPr>
        <w:t>sometimes</w:t>
      </w:r>
      <w:r w:rsidR="00FC2FB1" w:rsidRPr="00F72FB0">
        <w:rPr>
          <w:lang w:val="en-GB"/>
        </w:rPr>
        <w:t xml:space="preserve"> </w:t>
      </w:r>
      <w:r w:rsidR="00FA1768" w:rsidRPr="00F72FB0">
        <w:rPr>
          <w:lang w:val="en-GB"/>
        </w:rPr>
        <w:t>soft</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simply</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relevant</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case.</w:t>
      </w:r>
      <w:r w:rsidR="00772AA9">
        <w:rPr>
          <w:rStyle w:val="Alaviitteenviite"/>
          <w:lang w:val="en-GB"/>
        </w:rPr>
        <w:footnoteReference w:id="56"/>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good</w:t>
      </w:r>
      <w:r w:rsidR="00FC2FB1" w:rsidRPr="00F72FB0">
        <w:rPr>
          <w:lang w:val="en-GB"/>
        </w:rPr>
        <w:t xml:space="preserve"> </w:t>
      </w:r>
      <w:r w:rsidR="00FA1768" w:rsidRPr="00F72FB0">
        <w:rPr>
          <w:lang w:val="en-GB"/>
        </w:rPr>
        <w:t>example</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Paper</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Art</w:t>
      </w:r>
      <w:r w:rsidR="00030458" w:rsidRPr="00F72FB0">
        <w:rPr>
          <w:lang w:val="en-GB"/>
        </w:rPr>
        <w:t>icle</w:t>
      </w:r>
      <w:r w:rsidR="00FC2FB1" w:rsidRPr="00F72FB0">
        <w:rPr>
          <w:lang w:val="en-GB"/>
        </w:rPr>
        <w:t xml:space="preserve"> </w:t>
      </w:r>
      <w:r w:rsidR="00FA1768" w:rsidRPr="00F72FB0">
        <w:rPr>
          <w:lang w:val="en-GB"/>
        </w:rPr>
        <w:t>102</w:t>
      </w:r>
      <w:r w:rsidR="00030458" w:rsidRPr="00F72FB0">
        <w:rPr>
          <w:lang w:val="en-GB"/>
        </w:rPr>
        <w:t xml:space="preserve"> TFEU</w:t>
      </w:r>
      <w:r w:rsidR="00FA1768" w:rsidRPr="00F72FB0">
        <w:rPr>
          <w:lang w:val="en-GB"/>
        </w:rPr>
        <w:t>.</w:t>
      </w:r>
      <w:r w:rsidR="00030458" w:rsidRPr="00F72FB0">
        <w:rPr>
          <w:rStyle w:val="Alaviitteenviite"/>
          <w:lang w:val="en-GB"/>
        </w:rPr>
        <w:footnoteReference w:id="57"/>
      </w:r>
      <w:r w:rsidR="00FC2FB1" w:rsidRPr="00F72FB0">
        <w:rPr>
          <w:lang w:val="en-GB"/>
        </w:rPr>
        <w:t xml:space="preserve"> </w:t>
      </w:r>
      <w:r w:rsidR="00FA1768" w:rsidRPr="00F72FB0">
        <w:rPr>
          <w:lang w:val="en-GB"/>
        </w:rPr>
        <w:t>As</w:t>
      </w:r>
      <w:r w:rsidR="00FC2FB1" w:rsidRPr="00F72FB0">
        <w:rPr>
          <w:lang w:val="en-GB"/>
        </w:rPr>
        <w:t xml:space="preserve"> </w:t>
      </w:r>
      <w:r w:rsidR="00FA1768" w:rsidRPr="00F72FB0">
        <w:rPr>
          <w:lang w:val="en-GB"/>
        </w:rPr>
        <w:t>noted</w:t>
      </w:r>
      <w:r w:rsidR="00FC2FB1" w:rsidRPr="00F72FB0">
        <w:rPr>
          <w:lang w:val="en-GB"/>
        </w:rPr>
        <w:t xml:space="preserve"> </w:t>
      </w:r>
      <w:r w:rsidR="00FA1768" w:rsidRPr="00F72FB0">
        <w:rPr>
          <w:lang w:val="en-GB"/>
        </w:rPr>
        <w:t>by</w:t>
      </w:r>
      <w:r w:rsidR="00FC2FB1" w:rsidRPr="00F72FB0">
        <w:rPr>
          <w:lang w:val="en-GB"/>
        </w:rPr>
        <w:t xml:space="preserve"> </w:t>
      </w:r>
      <w:r w:rsidR="00FA1768" w:rsidRPr="00F72FB0">
        <w:rPr>
          <w:lang w:val="en-GB"/>
        </w:rPr>
        <w:t>Georgieva</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2016,</w:t>
      </w:r>
      <w:r w:rsidR="00FC2FB1" w:rsidRPr="00F72FB0">
        <w:rPr>
          <w:lang w:val="en-GB"/>
        </w:rPr>
        <w:t xml:space="preserve"> </w:t>
      </w:r>
      <w:r w:rsidR="00FA1768" w:rsidRPr="00F72FB0">
        <w:rPr>
          <w:lang w:val="en-GB"/>
        </w:rPr>
        <w:t>this</w:t>
      </w:r>
      <w:r w:rsidR="00FC2FB1" w:rsidRPr="00F72FB0">
        <w:rPr>
          <w:lang w:val="en-GB"/>
        </w:rPr>
        <w:t xml:space="preserve"> </w:t>
      </w:r>
      <w:r w:rsidR="00FA1768" w:rsidRPr="00F72FB0">
        <w:rPr>
          <w:lang w:val="en-GB"/>
        </w:rPr>
        <w:t>instrument</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very</w:t>
      </w:r>
      <w:r w:rsidR="00FC2FB1" w:rsidRPr="00F72FB0">
        <w:rPr>
          <w:lang w:val="en-GB"/>
        </w:rPr>
        <w:t xml:space="preserve"> </w:t>
      </w:r>
      <w:r w:rsidR="00FA1768" w:rsidRPr="00F72FB0">
        <w:rPr>
          <w:lang w:val="en-GB"/>
        </w:rPr>
        <w:t>popular</w:t>
      </w:r>
      <w:r w:rsidR="00FC2FB1" w:rsidRPr="00F72FB0">
        <w:rPr>
          <w:lang w:val="en-GB"/>
        </w:rPr>
        <w:t xml:space="preserve"> </w:t>
      </w:r>
      <w:r w:rsidR="00FA1768" w:rsidRPr="00F72FB0">
        <w:rPr>
          <w:lang w:val="en-GB"/>
        </w:rPr>
        <w:t>with</w:t>
      </w:r>
      <w:r w:rsidR="00FC2FB1" w:rsidRPr="00F72FB0">
        <w:rPr>
          <w:lang w:val="en-GB"/>
        </w:rPr>
        <w:t xml:space="preserve"> </w:t>
      </w:r>
      <w:r w:rsidR="00FA1768" w:rsidRPr="00F72FB0">
        <w:rPr>
          <w:lang w:val="en-GB"/>
        </w:rPr>
        <w:t>UK</w:t>
      </w:r>
      <w:r w:rsidR="00FC2FB1" w:rsidRPr="00F72FB0">
        <w:rPr>
          <w:lang w:val="en-GB"/>
        </w:rPr>
        <w:t xml:space="preserve"> </w:t>
      </w:r>
      <w:r w:rsidR="00FA1768" w:rsidRPr="00F72FB0">
        <w:rPr>
          <w:lang w:val="en-GB"/>
        </w:rPr>
        <w:t>courts,</w:t>
      </w:r>
      <w:r w:rsidR="00FC2FB1" w:rsidRPr="00F72FB0">
        <w:rPr>
          <w:lang w:val="en-GB"/>
        </w:rPr>
        <w:t xml:space="preserve"> </w:t>
      </w:r>
      <w:r w:rsidR="00FA1768" w:rsidRPr="00F72FB0">
        <w:rPr>
          <w:lang w:val="en-GB"/>
        </w:rPr>
        <w:t>even</w:t>
      </w:r>
      <w:r w:rsidR="00FC2FB1" w:rsidRPr="00F72FB0">
        <w:rPr>
          <w:lang w:val="en-GB"/>
        </w:rPr>
        <w:t xml:space="preserve"> </w:t>
      </w:r>
      <w:r w:rsidR="00FA1768" w:rsidRPr="00F72FB0">
        <w:rPr>
          <w:lang w:val="en-GB"/>
        </w:rPr>
        <w:t>though</w:t>
      </w:r>
      <w:r w:rsidR="00FC2FB1" w:rsidRPr="00F72FB0">
        <w:rPr>
          <w:lang w:val="en-GB"/>
        </w:rPr>
        <w:t xml:space="preserve"> </w:t>
      </w:r>
      <w:r w:rsidR="00FA1768" w:rsidRPr="00F72FB0">
        <w:rPr>
          <w:lang w:val="en-GB"/>
        </w:rPr>
        <w:t>it</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mentioned</w:t>
      </w:r>
      <w:r w:rsidR="00FC2FB1" w:rsidRPr="00F72FB0">
        <w:rPr>
          <w:lang w:val="en-GB"/>
        </w:rPr>
        <w:t xml:space="preserve"> </w:t>
      </w:r>
      <w:r w:rsidR="00FA1768" w:rsidRPr="00F72FB0">
        <w:rPr>
          <w:lang w:val="en-GB"/>
        </w:rPr>
        <w:t>by</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claimants,</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this</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explained</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grounds</w:t>
      </w:r>
      <w:r w:rsidR="00FC2FB1" w:rsidRPr="00F72FB0">
        <w:rPr>
          <w:lang w:val="en-GB"/>
        </w:rPr>
        <w:t xml:space="preserve"> </w:t>
      </w:r>
      <w:r w:rsidR="00FA1768" w:rsidRPr="00F72FB0">
        <w:rPr>
          <w:lang w:val="en-GB"/>
        </w:rPr>
        <w:t>it</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highly</w:t>
      </w:r>
      <w:r w:rsidR="00FC2FB1" w:rsidRPr="00F72FB0">
        <w:rPr>
          <w:lang w:val="en-GB"/>
        </w:rPr>
        <w:t xml:space="preserve"> </w:t>
      </w:r>
      <w:r w:rsidR="00FA1768" w:rsidRPr="00F72FB0">
        <w:rPr>
          <w:lang w:val="en-GB"/>
        </w:rPr>
        <w:t>controversial.</w:t>
      </w:r>
      <w:bookmarkStart w:id="6" w:name="_Ref37950607"/>
      <w:r w:rsidR="002B6888" w:rsidRPr="00F72FB0">
        <w:rPr>
          <w:rStyle w:val="Alaviitteenviite"/>
          <w:lang w:val="en-GB"/>
        </w:rPr>
        <w:footnoteReference w:id="58"/>
      </w:r>
      <w:bookmarkEnd w:id="6"/>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interviewee</w:t>
      </w:r>
      <w:r w:rsidR="00FC2FB1" w:rsidRPr="00F72FB0">
        <w:rPr>
          <w:lang w:val="en-GB"/>
        </w:rPr>
        <w:t xml:space="preserve"> </w:t>
      </w:r>
      <w:r w:rsidR="00FA1768" w:rsidRPr="00F72FB0">
        <w:rPr>
          <w:lang w:val="en-GB"/>
        </w:rPr>
        <w:t>expressed</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different</w:t>
      </w:r>
      <w:r w:rsidR="00FC2FB1" w:rsidRPr="00F72FB0">
        <w:rPr>
          <w:lang w:val="en-GB"/>
        </w:rPr>
        <w:t xml:space="preserve"> </w:t>
      </w:r>
      <w:r w:rsidR="00FA1768" w:rsidRPr="00F72FB0">
        <w:rPr>
          <w:lang w:val="en-GB"/>
        </w:rPr>
        <w:t>view,</w:t>
      </w:r>
      <w:r w:rsidR="00FC2FB1" w:rsidRPr="00F72FB0">
        <w:rPr>
          <w:lang w:val="en-GB"/>
        </w:rPr>
        <w:t xml:space="preserve"> </w:t>
      </w:r>
      <w:r w:rsidR="00FA1768" w:rsidRPr="00F72FB0">
        <w:rPr>
          <w:lang w:val="en-GB"/>
        </w:rPr>
        <w:t>with</w:t>
      </w:r>
      <w:r w:rsidR="00FC2FB1" w:rsidRPr="00F72FB0">
        <w:rPr>
          <w:lang w:val="en-GB"/>
        </w:rPr>
        <w:t xml:space="preserve"> </w:t>
      </w:r>
      <w:r w:rsidR="00FA1768" w:rsidRPr="00F72FB0">
        <w:rPr>
          <w:lang w:val="en-GB"/>
        </w:rPr>
        <w:t>regards</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i/>
          <w:iCs/>
          <w:lang w:val="en-GB"/>
        </w:rPr>
        <w:t>Purple</w:t>
      </w:r>
      <w:r w:rsidR="00FC2FB1" w:rsidRPr="00F72FB0">
        <w:rPr>
          <w:i/>
          <w:iCs/>
          <w:lang w:val="en-GB"/>
        </w:rPr>
        <w:t xml:space="preserve"> </w:t>
      </w:r>
      <w:r w:rsidR="00FA1768" w:rsidRPr="00F72FB0">
        <w:rPr>
          <w:i/>
          <w:iCs/>
          <w:lang w:val="en-GB"/>
        </w:rPr>
        <w:t>Parking</w:t>
      </w:r>
      <w:r w:rsidR="00FC2FB1" w:rsidRPr="00F72FB0">
        <w:rPr>
          <w:i/>
          <w:iCs/>
          <w:lang w:val="en-GB"/>
        </w:rPr>
        <w:t xml:space="preserve"> </w:t>
      </w:r>
      <w:r w:rsidR="00FA1768" w:rsidRPr="00F72FB0">
        <w:rPr>
          <w:lang w:val="en-GB"/>
        </w:rPr>
        <w:t>case,</w:t>
      </w:r>
      <w:r w:rsidR="00FC2FB1" w:rsidRPr="00F72FB0">
        <w:rPr>
          <w:lang w:val="en-GB"/>
        </w:rPr>
        <w:t xml:space="preserve"> </w:t>
      </w:r>
      <w:r w:rsidR="00FA1768" w:rsidRPr="00F72FB0">
        <w:rPr>
          <w:lang w:val="en-GB"/>
        </w:rPr>
        <w:t>noting</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rejection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paper</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reflection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quality</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instrument,</w:t>
      </w:r>
      <w:r w:rsidR="00FC2FB1" w:rsidRPr="00F72FB0">
        <w:rPr>
          <w:lang w:val="en-GB"/>
        </w:rPr>
        <w:t xml:space="preserve"> </w:t>
      </w:r>
      <w:r w:rsidR="00FA1768" w:rsidRPr="00F72FB0">
        <w:rPr>
          <w:lang w:val="en-GB"/>
        </w:rPr>
        <w:t>but</w:t>
      </w:r>
      <w:r w:rsidR="00FC2FB1" w:rsidRPr="00F72FB0">
        <w:rPr>
          <w:lang w:val="en-GB"/>
        </w:rPr>
        <w:t xml:space="preserve"> </w:t>
      </w:r>
      <w:r w:rsidR="00FA1768" w:rsidRPr="00F72FB0">
        <w:rPr>
          <w:lang w:val="en-GB"/>
        </w:rPr>
        <w:t>simply</w:t>
      </w:r>
      <w:r w:rsidR="00FC2FB1" w:rsidRPr="00F72FB0">
        <w:rPr>
          <w:lang w:val="en-GB"/>
        </w:rPr>
        <w:t xml:space="preserve"> </w:t>
      </w:r>
      <w:r w:rsidR="00FA1768" w:rsidRPr="00F72FB0">
        <w:rPr>
          <w:lang w:val="en-GB"/>
        </w:rPr>
        <w:t>an</w:t>
      </w:r>
      <w:r w:rsidR="00FC2FB1" w:rsidRPr="00F72FB0">
        <w:rPr>
          <w:lang w:val="en-GB"/>
        </w:rPr>
        <w:t xml:space="preserve"> </w:t>
      </w:r>
      <w:r w:rsidR="00FA1768" w:rsidRPr="00F72FB0">
        <w:rPr>
          <w:lang w:val="en-GB"/>
        </w:rPr>
        <w:t>illustration</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its</w:t>
      </w:r>
      <w:r w:rsidR="00FC2FB1" w:rsidRPr="00F72FB0">
        <w:rPr>
          <w:lang w:val="en-GB"/>
        </w:rPr>
        <w:t xml:space="preserve"> </w:t>
      </w:r>
      <w:r w:rsidR="00FA1768" w:rsidRPr="00F72FB0">
        <w:rPr>
          <w:lang w:val="en-GB"/>
        </w:rPr>
        <w:t>limits.</w:t>
      </w:r>
      <w:r w:rsidR="00772AA9">
        <w:rPr>
          <w:rStyle w:val="Alaviitteenviite"/>
          <w:lang w:val="en-GB"/>
        </w:rPr>
        <w:footnoteReference w:id="59"/>
      </w:r>
      <w:r w:rsidR="00FC2FB1" w:rsidRPr="00F72FB0">
        <w:rPr>
          <w:lang w:val="en-GB"/>
        </w:rPr>
        <w:t xml:space="preserve"> </w:t>
      </w:r>
      <w:r w:rsidR="00FA1768" w:rsidRPr="00F72FB0">
        <w:rPr>
          <w:lang w:val="en-GB"/>
        </w:rPr>
        <w:t>Moreover,</w:t>
      </w:r>
      <w:r w:rsidR="00FC2FB1" w:rsidRPr="00F72FB0">
        <w:rPr>
          <w:lang w:val="en-GB"/>
        </w:rPr>
        <w:t xml:space="preserve"> </w:t>
      </w:r>
      <w:r w:rsidR="00FA1768" w:rsidRPr="00F72FB0">
        <w:rPr>
          <w:lang w:val="en-GB"/>
        </w:rPr>
        <w:t>our</w:t>
      </w:r>
      <w:r w:rsidR="00FC2FB1" w:rsidRPr="00F72FB0">
        <w:rPr>
          <w:lang w:val="en-GB"/>
        </w:rPr>
        <w:t xml:space="preserve"> </w:t>
      </w:r>
      <w:r w:rsidR="00FA1768" w:rsidRPr="00F72FB0">
        <w:rPr>
          <w:lang w:val="en-GB"/>
        </w:rPr>
        <w:t>searches</w:t>
      </w:r>
      <w:r w:rsidR="00FC2FB1" w:rsidRPr="00F72FB0">
        <w:rPr>
          <w:lang w:val="en-GB"/>
        </w:rPr>
        <w:t xml:space="preserve"> </w:t>
      </w:r>
      <w:r w:rsidR="00FA1768" w:rsidRPr="00F72FB0">
        <w:rPr>
          <w:lang w:val="en-GB"/>
        </w:rPr>
        <w:t>show</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attitude</w:t>
      </w:r>
      <w:r w:rsidR="00FC2FB1" w:rsidRPr="00F72FB0">
        <w:rPr>
          <w:lang w:val="en-GB"/>
        </w:rPr>
        <w:t xml:space="preserve"> </w:t>
      </w:r>
      <w:r w:rsidR="00FA1768" w:rsidRPr="00F72FB0">
        <w:rPr>
          <w:lang w:val="en-GB"/>
        </w:rPr>
        <w:t>towards</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Paper</w:t>
      </w:r>
      <w:r w:rsidR="00FC2FB1" w:rsidRPr="00F72FB0">
        <w:rPr>
          <w:lang w:val="en-GB"/>
        </w:rPr>
        <w:t xml:space="preserve"> </w:t>
      </w:r>
      <w:r w:rsidR="00FA1768" w:rsidRPr="00F72FB0">
        <w:rPr>
          <w:lang w:val="en-GB"/>
        </w:rPr>
        <w:t>might</w:t>
      </w:r>
      <w:r w:rsidR="00FC2FB1" w:rsidRPr="00F72FB0">
        <w:rPr>
          <w:lang w:val="en-GB"/>
        </w:rPr>
        <w:t xml:space="preserve"> </w:t>
      </w:r>
      <w:r w:rsidR="00FA1768" w:rsidRPr="00F72FB0">
        <w:rPr>
          <w:lang w:val="en-GB"/>
        </w:rPr>
        <w:t>have</w:t>
      </w:r>
      <w:r w:rsidR="00FC2FB1" w:rsidRPr="00F72FB0">
        <w:rPr>
          <w:lang w:val="en-GB"/>
        </w:rPr>
        <w:t xml:space="preserve"> </w:t>
      </w:r>
      <w:r w:rsidR="00FA1768" w:rsidRPr="00F72FB0">
        <w:rPr>
          <w:lang w:val="en-GB"/>
        </w:rPr>
        <w:t>changed.</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referred</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recent</w:t>
      </w:r>
      <w:r w:rsidR="00FC2FB1" w:rsidRPr="00F72FB0">
        <w:rPr>
          <w:lang w:val="en-GB"/>
        </w:rPr>
        <w:t xml:space="preserve"> </w:t>
      </w:r>
      <w:r w:rsidR="00FA1768" w:rsidRPr="00F72FB0">
        <w:rPr>
          <w:i/>
          <w:lang w:val="en-GB"/>
        </w:rPr>
        <w:t>Socrates</w:t>
      </w:r>
      <w:r w:rsidR="00FC2FB1" w:rsidRPr="00F72FB0">
        <w:rPr>
          <w:i/>
          <w:lang w:val="en-GB"/>
        </w:rPr>
        <w:t xml:space="preserve"> </w:t>
      </w:r>
      <w:r w:rsidR="00FA1768" w:rsidRPr="00F72FB0">
        <w:rPr>
          <w:i/>
          <w:lang w:val="en-GB"/>
        </w:rPr>
        <w:t>Training</w:t>
      </w:r>
      <w:r w:rsidR="00FC2FB1" w:rsidRPr="00F72FB0">
        <w:rPr>
          <w:i/>
          <w:lang w:val="en-GB"/>
        </w:rPr>
        <w:t xml:space="preserve"> </w:t>
      </w:r>
      <w:r w:rsidR="00FA1768" w:rsidRPr="00F72FB0">
        <w:rPr>
          <w:lang w:val="en-GB"/>
        </w:rPr>
        <w:t>case,</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explain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subtle</w:t>
      </w:r>
      <w:r w:rsidR="00FC2FB1" w:rsidRPr="00F72FB0">
        <w:rPr>
          <w:lang w:val="en-GB"/>
        </w:rPr>
        <w:t xml:space="preserve"> </w:t>
      </w:r>
      <w:r w:rsidR="00FA1768" w:rsidRPr="00F72FB0">
        <w:rPr>
          <w:lang w:val="en-GB"/>
        </w:rPr>
        <w:t>differences</w:t>
      </w:r>
      <w:r w:rsidR="00FC2FB1" w:rsidRPr="00F72FB0">
        <w:rPr>
          <w:lang w:val="en-GB"/>
        </w:rPr>
        <w:t xml:space="preserve"> </w:t>
      </w:r>
      <w:r w:rsidR="00FA1768" w:rsidRPr="00F72FB0">
        <w:rPr>
          <w:lang w:val="en-GB"/>
        </w:rPr>
        <w:t>between</w:t>
      </w:r>
      <w:r w:rsidR="00FC2FB1" w:rsidRPr="00F72FB0">
        <w:rPr>
          <w:lang w:val="en-GB"/>
        </w:rPr>
        <w:t xml:space="preserve"> </w:t>
      </w:r>
      <w:r w:rsidR="00FA1768" w:rsidRPr="00F72FB0">
        <w:rPr>
          <w:lang w:val="en-GB"/>
        </w:rPr>
        <w:t>tying</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bundling.</w:t>
      </w:r>
      <w:r w:rsidR="00FA1768" w:rsidRPr="00F72FB0">
        <w:rPr>
          <w:rStyle w:val="Alaviitteenviite"/>
          <w:lang w:val="en-GB"/>
        </w:rPr>
        <w:footnoteReference w:id="60"/>
      </w:r>
      <w:r w:rsidR="00FC2FB1" w:rsidRPr="00F72FB0">
        <w:rPr>
          <w:lang w:val="en-GB"/>
        </w:rPr>
        <w:t xml:space="preserve"> </w:t>
      </w:r>
      <w:r w:rsidR="00FA1768" w:rsidRPr="00F72FB0">
        <w:rPr>
          <w:lang w:val="en-GB"/>
        </w:rPr>
        <w:t>Most</w:t>
      </w:r>
      <w:r w:rsidR="00FC2FB1" w:rsidRPr="00F72FB0">
        <w:rPr>
          <w:lang w:val="en-GB"/>
        </w:rPr>
        <w:t xml:space="preserve"> </w:t>
      </w:r>
      <w:r w:rsidR="00FA1768" w:rsidRPr="00F72FB0">
        <w:rPr>
          <w:lang w:val="en-GB"/>
        </w:rPr>
        <w:t>interestingly,</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i/>
          <w:lang w:val="en-GB"/>
        </w:rPr>
        <w:t>British</w:t>
      </w:r>
      <w:r w:rsidR="00FC2FB1" w:rsidRPr="00F72FB0">
        <w:rPr>
          <w:i/>
          <w:lang w:val="en-GB"/>
        </w:rPr>
        <w:t xml:space="preserve"> </w:t>
      </w:r>
      <w:r w:rsidR="00FA1768" w:rsidRPr="00F72FB0">
        <w:rPr>
          <w:i/>
          <w:lang w:val="en-GB"/>
        </w:rPr>
        <w:t>Telecommunications</w:t>
      </w:r>
      <w:r w:rsidR="00FA1768" w:rsidRPr="00F72FB0">
        <w:rPr>
          <w:lang w:val="en-GB"/>
        </w:rPr>
        <w:t>,</w:t>
      </w:r>
      <w:r w:rsidR="00FC2FB1" w:rsidRPr="00F72FB0">
        <w:rPr>
          <w:i/>
          <w:lang w:val="en-GB"/>
        </w:rPr>
        <w:t xml:space="preserve"> </w:t>
      </w:r>
      <w:r w:rsidR="00FA1768" w:rsidRPr="00F72FB0">
        <w:rPr>
          <w:iCs/>
          <w:lang w:val="en-GB"/>
        </w:rPr>
        <w:t>the</w:t>
      </w:r>
      <w:r w:rsidR="00FC2FB1" w:rsidRPr="00F72FB0">
        <w:rPr>
          <w:iCs/>
          <w:lang w:val="en-GB"/>
        </w:rPr>
        <w:t xml:space="preserve"> </w:t>
      </w:r>
      <w:r w:rsidR="00D32D38" w:rsidRPr="00F72FB0">
        <w:rPr>
          <w:iCs/>
          <w:lang w:val="en-GB"/>
        </w:rPr>
        <w:t>Competition Appeal Tribunal (</w:t>
      </w:r>
      <w:r w:rsidR="00FA1768" w:rsidRPr="00F72FB0">
        <w:rPr>
          <w:lang w:val="en-GB"/>
        </w:rPr>
        <w:t>CAT</w:t>
      </w:r>
      <w:r w:rsidR="00D32D38" w:rsidRPr="00F72FB0">
        <w:rPr>
          <w:lang w:val="en-GB"/>
        </w:rPr>
        <w:t>)</w:t>
      </w:r>
      <w:r w:rsidR="00FC2FB1" w:rsidRPr="00F72FB0">
        <w:rPr>
          <w:lang w:val="en-GB"/>
        </w:rPr>
        <w:t xml:space="preserve"> </w:t>
      </w:r>
      <w:r w:rsidR="00FA1768" w:rsidRPr="00F72FB0">
        <w:rPr>
          <w:lang w:val="en-GB"/>
        </w:rPr>
        <w:t>appears</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be</w:t>
      </w:r>
      <w:r w:rsidR="00FC2FB1" w:rsidRPr="00F72FB0">
        <w:rPr>
          <w:lang w:val="en-GB"/>
        </w:rPr>
        <w:t xml:space="preserve"> </w:t>
      </w:r>
      <w:r w:rsidR="00FA1768" w:rsidRPr="00F72FB0">
        <w:rPr>
          <w:lang w:val="en-GB"/>
        </w:rPr>
        <w:t>persuaded</w:t>
      </w:r>
      <w:r w:rsidR="00FC2FB1" w:rsidRPr="00F72FB0">
        <w:rPr>
          <w:lang w:val="en-GB"/>
        </w:rPr>
        <w:t xml:space="preserve"> </w:t>
      </w:r>
      <w:r w:rsidR="00FA1768" w:rsidRPr="00F72FB0">
        <w:rPr>
          <w:lang w:val="en-GB"/>
        </w:rPr>
        <w:t>by</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case</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EUCJ</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particular,</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i/>
          <w:lang w:val="en-GB"/>
        </w:rPr>
        <w:t>TeliaSonera</w:t>
      </w:r>
      <w:r w:rsidR="00FC2FB1" w:rsidRPr="00F72FB0">
        <w:rPr>
          <w:i/>
          <w:lang w:val="en-GB"/>
        </w:rPr>
        <w:t xml:space="preserve"> </w:t>
      </w:r>
      <w:r w:rsidR="00FA1768" w:rsidRPr="00F72FB0">
        <w:rPr>
          <w:lang w:val="en-GB"/>
        </w:rPr>
        <w:t>opinion)</w:t>
      </w:r>
      <w:r w:rsidR="00287380" w:rsidRPr="00F72FB0">
        <w:rPr>
          <w:rStyle w:val="Alaviitteenviite"/>
          <w:lang w:val="en-GB"/>
        </w:rPr>
        <w:footnoteReference w:id="61"/>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use</w:t>
      </w:r>
      <w:r w:rsidR="00FC2FB1" w:rsidRPr="00F72FB0">
        <w:rPr>
          <w:lang w:val="en-GB"/>
        </w:rPr>
        <w:t xml:space="preserve"> </w:t>
      </w:r>
      <w:r w:rsidR="00FA1768" w:rsidRPr="00F72FB0">
        <w:rPr>
          <w:i/>
          <w:lang w:val="en-GB"/>
        </w:rPr>
        <w:t>Guidance</w:t>
      </w:r>
      <w:r w:rsidR="00FC2FB1" w:rsidRPr="00F72FB0">
        <w:rPr>
          <w:i/>
          <w:lang w:val="en-GB"/>
        </w:rPr>
        <w:t xml:space="preserve"> </w:t>
      </w:r>
      <w:r w:rsidR="00FA1768" w:rsidRPr="00F72FB0">
        <w:rPr>
          <w:i/>
          <w:lang w:val="en-GB"/>
        </w:rPr>
        <w:t>Paper</w:t>
      </w:r>
      <w:r w:rsidR="00FC2FB1" w:rsidRPr="00F72FB0">
        <w:rPr>
          <w:i/>
          <w:lang w:val="en-GB"/>
        </w:rPr>
        <w:t xml:space="preserve"> </w:t>
      </w:r>
      <w:r w:rsidR="00FA1768" w:rsidRPr="00F72FB0">
        <w:rPr>
          <w:i/>
          <w:lang w:val="en-GB"/>
        </w:rPr>
        <w:t>on</w:t>
      </w:r>
      <w:r w:rsidR="00FC2FB1" w:rsidRPr="00F72FB0">
        <w:rPr>
          <w:i/>
          <w:lang w:val="en-GB"/>
        </w:rPr>
        <w:t xml:space="preserve"> </w:t>
      </w:r>
      <w:r w:rsidR="00FA1768" w:rsidRPr="00F72FB0">
        <w:rPr>
          <w:i/>
          <w:lang w:val="en-GB"/>
        </w:rPr>
        <w:t>Article</w:t>
      </w:r>
      <w:r w:rsidR="00FC2FB1" w:rsidRPr="00F72FB0">
        <w:rPr>
          <w:i/>
          <w:lang w:val="en-GB"/>
        </w:rPr>
        <w:t xml:space="preserve"> </w:t>
      </w:r>
      <w:r w:rsidR="00FA1768" w:rsidRPr="00F72FB0">
        <w:rPr>
          <w:i/>
          <w:lang w:val="en-GB"/>
        </w:rPr>
        <w:t>102</w:t>
      </w:r>
      <w:r w:rsidR="00FC2FB1" w:rsidRPr="00F72FB0">
        <w:rPr>
          <w:i/>
          <w:lang w:val="en-GB"/>
        </w:rPr>
        <w:t xml:space="preserve"> </w:t>
      </w:r>
      <w:r w:rsidR="00FA1768" w:rsidRPr="00F72FB0">
        <w:rPr>
          <w:lang w:val="en-GB"/>
        </w:rPr>
        <w:t>as</w:t>
      </w:r>
      <w:r w:rsidR="00FC2FB1" w:rsidRPr="00F72FB0">
        <w:rPr>
          <w:lang w:val="en-GB"/>
        </w:rPr>
        <w:t xml:space="preserve"> </w:t>
      </w:r>
      <w:r w:rsidR="00FA1768" w:rsidRPr="00F72FB0">
        <w:rPr>
          <w:lang w:val="en-GB"/>
        </w:rPr>
        <w:t>a</w:t>
      </w:r>
      <w:r w:rsidR="00FC2FB1" w:rsidRPr="00F72FB0">
        <w:rPr>
          <w:lang w:val="en-GB"/>
        </w:rPr>
        <w:t xml:space="preserve"> </w:t>
      </w:r>
      <w:r w:rsidR="00FA1768" w:rsidRPr="00F72FB0">
        <w:rPr>
          <w:lang w:val="en-GB"/>
        </w:rPr>
        <w:t>‘point</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reference’</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assessing</w:t>
      </w:r>
      <w:r w:rsidR="00FC2FB1" w:rsidRPr="00F72FB0">
        <w:rPr>
          <w:lang w:val="en-GB"/>
        </w:rPr>
        <w:t xml:space="preserve"> </w:t>
      </w:r>
      <w:r w:rsidR="00FA1768" w:rsidRPr="00F72FB0">
        <w:rPr>
          <w:lang w:val="en-GB"/>
        </w:rPr>
        <w:t>margin</w:t>
      </w:r>
      <w:r w:rsidR="00FC2FB1" w:rsidRPr="00F72FB0">
        <w:rPr>
          <w:lang w:val="en-GB"/>
        </w:rPr>
        <w:t xml:space="preserve"> </w:t>
      </w:r>
      <w:r w:rsidR="00FA1768" w:rsidRPr="00F72FB0">
        <w:rPr>
          <w:lang w:val="en-GB"/>
        </w:rPr>
        <w:t>squeezes.</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judgment</w:t>
      </w:r>
      <w:r w:rsidR="00FC2FB1" w:rsidRPr="00F72FB0">
        <w:rPr>
          <w:lang w:val="en-GB"/>
        </w:rPr>
        <w:t xml:space="preserve"> </w:t>
      </w:r>
      <w:r w:rsidR="00FA1768" w:rsidRPr="00F72FB0">
        <w:rPr>
          <w:lang w:val="en-GB"/>
        </w:rPr>
        <w:t>notes</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is</w:t>
      </w:r>
      <w:r w:rsidR="00FC2FB1" w:rsidRPr="00F72FB0">
        <w:rPr>
          <w:lang w:val="en-GB"/>
        </w:rPr>
        <w:t xml:space="preserve"> </w:t>
      </w:r>
      <w:r w:rsidR="00FA1768" w:rsidRPr="00F72FB0">
        <w:rPr>
          <w:lang w:val="en-GB"/>
        </w:rPr>
        <w:t>not</w:t>
      </w:r>
      <w:r w:rsidR="00FC2FB1" w:rsidRPr="00F72FB0">
        <w:rPr>
          <w:lang w:val="en-GB"/>
        </w:rPr>
        <w:t xml:space="preserve"> </w:t>
      </w:r>
      <w:r w:rsidR="00FA1768" w:rsidRPr="00F72FB0">
        <w:rPr>
          <w:lang w:val="en-GB"/>
        </w:rPr>
        <w:t>binding</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CAT</w:t>
      </w:r>
      <w:r w:rsidR="00FC2FB1" w:rsidRPr="00F72FB0">
        <w:rPr>
          <w:lang w:val="en-GB"/>
        </w:rPr>
        <w:t xml:space="preserve"> </w:t>
      </w:r>
      <w:r w:rsidR="00FA1768" w:rsidRPr="00F72FB0">
        <w:rPr>
          <w:lang w:val="en-GB"/>
        </w:rPr>
        <w:t>or</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Ofcom,</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proceeds</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assess</w:t>
      </w:r>
      <w:r w:rsidR="00FC2FB1" w:rsidRPr="00F72FB0">
        <w:rPr>
          <w:lang w:val="en-GB"/>
        </w:rPr>
        <w:t xml:space="preserve"> </w:t>
      </w:r>
      <w:r w:rsidR="00FA1768" w:rsidRPr="00F72FB0">
        <w:rPr>
          <w:lang w:val="en-GB"/>
        </w:rPr>
        <w:t>it</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conjunction</w:t>
      </w:r>
      <w:r w:rsidR="00FC2FB1" w:rsidRPr="00F72FB0">
        <w:rPr>
          <w:lang w:val="en-GB"/>
        </w:rPr>
        <w:t xml:space="preserve"> </w:t>
      </w:r>
      <w:r w:rsidR="00FA1768" w:rsidRPr="00F72FB0">
        <w:rPr>
          <w:lang w:val="en-GB"/>
        </w:rPr>
        <w:lastRenderedPageBreak/>
        <w:t>with</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case</w:t>
      </w:r>
      <w:r w:rsidR="00FC2FB1" w:rsidRPr="00F72FB0">
        <w:rPr>
          <w:lang w:val="en-GB"/>
        </w:rPr>
        <w:t xml:space="preserve"> </w:t>
      </w:r>
      <w:r w:rsidR="00FA1768" w:rsidRPr="00F72FB0">
        <w:rPr>
          <w:lang w:val="en-GB"/>
        </w:rPr>
        <w:t>law</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274800">
        <w:rPr>
          <w:lang w:val="en-GB"/>
        </w:rPr>
        <w:t>CJEU</w:t>
      </w:r>
      <w:r w:rsidR="00FA1768" w:rsidRPr="00F72FB0">
        <w:rPr>
          <w:lang w:val="en-GB"/>
        </w:rPr>
        <w:t>.</w:t>
      </w:r>
      <w:r w:rsidR="00FA1768" w:rsidRPr="00F72FB0">
        <w:rPr>
          <w:rStyle w:val="Alaviitteenviite"/>
          <w:lang w:val="en-GB"/>
        </w:rPr>
        <w:footnoteReference w:id="62"/>
      </w:r>
      <w:r w:rsidR="00FC2FB1" w:rsidRPr="00F72FB0">
        <w:rPr>
          <w:lang w:val="en-GB"/>
        </w:rPr>
        <w:t xml:space="preserve"> </w:t>
      </w:r>
      <w:r w:rsidR="00FA1768" w:rsidRPr="00F72FB0">
        <w:rPr>
          <w:lang w:val="en-GB"/>
        </w:rPr>
        <w:t>Finally,</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i/>
          <w:lang w:val="en-GB"/>
        </w:rPr>
        <w:t>Streetmap</w:t>
      </w:r>
      <w:r w:rsidR="00FC2FB1" w:rsidRPr="00F72FB0">
        <w:rPr>
          <w:i/>
          <w:lang w:val="en-GB"/>
        </w:rPr>
        <w:t xml:space="preserve"> </w:t>
      </w:r>
      <w:r w:rsidR="00FA1768" w:rsidRPr="00F72FB0">
        <w:rPr>
          <w:i/>
          <w:lang w:val="en-GB"/>
        </w:rPr>
        <w:t>v</w:t>
      </w:r>
      <w:r w:rsidR="00FC2FB1" w:rsidRPr="00F72FB0">
        <w:rPr>
          <w:i/>
          <w:lang w:val="en-GB"/>
        </w:rPr>
        <w:t xml:space="preserve"> </w:t>
      </w:r>
      <w:r w:rsidR="00FA1768" w:rsidRPr="00F72FB0">
        <w:rPr>
          <w:i/>
          <w:lang w:val="en-GB"/>
        </w:rPr>
        <w:t>Google,</w:t>
      </w:r>
      <w:r w:rsidR="00FC2FB1" w:rsidRPr="00F72FB0">
        <w:rPr>
          <w:lang w:val="en-GB"/>
        </w:rPr>
        <w:t xml:space="preserve"> </w:t>
      </w:r>
      <w:r w:rsidR="00FA1768" w:rsidRPr="00F72FB0">
        <w:rPr>
          <w:lang w:val="en-GB"/>
        </w:rPr>
        <w:t>Justice</w:t>
      </w:r>
      <w:r w:rsidR="00FC2FB1" w:rsidRPr="00F72FB0">
        <w:rPr>
          <w:lang w:val="en-GB"/>
        </w:rPr>
        <w:t xml:space="preserve"> </w:t>
      </w:r>
      <w:r w:rsidR="00FA1768" w:rsidRPr="00F72FB0">
        <w:rPr>
          <w:lang w:val="en-GB"/>
        </w:rPr>
        <w:t>Roth</w:t>
      </w:r>
      <w:r w:rsidR="00FC2FB1" w:rsidRPr="00F72FB0">
        <w:rPr>
          <w:lang w:val="en-GB"/>
        </w:rPr>
        <w:t xml:space="preserve"> </w:t>
      </w:r>
      <w:r w:rsidR="00FA1768" w:rsidRPr="00F72FB0">
        <w:rPr>
          <w:lang w:val="en-GB"/>
        </w:rPr>
        <w:t>has</w:t>
      </w:r>
      <w:r w:rsidR="00FC2FB1" w:rsidRPr="00F72FB0">
        <w:rPr>
          <w:lang w:val="en-GB"/>
        </w:rPr>
        <w:t xml:space="preserve"> </w:t>
      </w:r>
      <w:r w:rsidR="00FA1768" w:rsidRPr="00F72FB0">
        <w:rPr>
          <w:lang w:val="en-GB"/>
        </w:rPr>
        <w:t>relied</w:t>
      </w:r>
      <w:r w:rsidR="00FC2FB1" w:rsidRPr="00F72FB0">
        <w:rPr>
          <w:lang w:val="en-GB"/>
        </w:rPr>
        <w:t xml:space="preserve"> </w:t>
      </w:r>
      <w:r w:rsidR="00FA1768" w:rsidRPr="00F72FB0">
        <w:rPr>
          <w:lang w:val="en-GB"/>
        </w:rPr>
        <w:t>on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i/>
          <w:lang w:val="en-GB"/>
        </w:rPr>
        <w:t>Guidance</w:t>
      </w:r>
      <w:r w:rsidR="00FC2FB1" w:rsidRPr="00F72FB0">
        <w:rPr>
          <w:i/>
          <w:lang w:val="en-GB"/>
        </w:rPr>
        <w:t xml:space="preserve"> </w:t>
      </w:r>
      <w:r w:rsidR="00FA1768" w:rsidRPr="00F72FB0">
        <w:rPr>
          <w:i/>
          <w:lang w:val="en-GB"/>
        </w:rPr>
        <w:t>Paper</w:t>
      </w:r>
      <w:r w:rsidR="00FC2FB1" w:rsidRPr="00F72FB0">
        <w:rPr>
          <w:i/>
          <w:lang w:val="en-GB"/>
        </w:rPr>
        <w:t xml:space="preserve"> </w:t>
      </w:r>
      <w:r w:rsidR="00FA1768" w:rsidRPr="00F72FB0">
        <w:rPr>
          <w:i/>
          <w:lang w:val="en-GB"/>
        </w:rPr>
        <w:t>on</w:t>
      </w:r>
      <w:r w:rsidR="00FC2FB1" w:rsidRPr="00F72FB0">
        <w:rPr>
          <w:i/>
          <w:lang w:val="en-GB"/>
        </w:rPr>
        <w:t xml:space="preserve"> </w:t>
      </w:r>
      <w:r w:rsidR="00FA1768" w:rsidRPr="00F72FB0">
        <w:rPr>
          <w:i/>
          <w:lang w:val="en-GB"/>
        </w:rPr>
        <w:t>Article</w:t>
      </w:r>
      <w:r w:rsidR="00FC2FB1" w:rsidRPr="00F72FB0">
        <w:rPr>
          <w:i/>
          <w:lang w:val="en-GB"/>
        </w:rPr>
        <w:t xml:space="preserve"> </w:t>
      </w:r>
      <w:r w:rsidR="00FA1768" w:rsidRPr="00F72FB0">
        <w:rPr>
          <w:i/>
          <w:lang w:val="en-GB"/>
        </w:rPr>
        <w:t>102</w:t>
      </w:r>
      <w:r w:rsidR="00FC2FB1" w:rsidRPr="00F72FB0">
        <w:rPr>
          <w:i/>
          <w:lang w:val="en-GB"/>
        </w:rPr>
        <w:t xml:space="preserve"> </w:t>
      </w:r>
      <w:r w:rsidR="00FA1768" w:rsidRPr="00F72FB0">
        <w:rPr>
          <w:lang w:val="en-GB"/>
        </w:rPr>
        <w:t>in</w:t>
      </w:r>
      <w:r w:rsidR="00FC2FB1" w:rsidRPr="00F72FB0">
        <w:rPr>
          <w:lang w:val="en-GB"/>
        </w:rPr>
        <w:t xml:space="preserve"> </w:t>
      </w:r>
      <w:r w:rsidR="00FA1768" w:rsidRPr="00F72FB0">
        <w:rPr>
          <w:lang w:val="en-GB"/>
        </w:rPr>
        <w:t>order</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determine</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issue</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objective</w:t>
      </w:r>
      <w:r w:rsidR="00FC2FB1" w:rsidRPr="00F72FB0">
        <w:rPr>
          <w:lang w:val="en-GB"/>
        </w:rPr>
        <w:t xml:space="preserve"> </w:t>
      </w:r>
      <w:r w:rsidR="00FA1768" w:rsidRPr="00F72FB0">
        <w:rPr>
          <w:lang w:val="en-GB"/>
        </w:rPr>
        <w:t>justification</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an</w:t>
      </w:r>
      <w:r w:rsidR="00FC2FB1" w:rsidRPr="00F72FB0">
        <w:rPr>
          <w:lang w:val="en-GB"/>
        </w:rPr>
        <w:t xml:space="preserve"> </w:t>
      </w:r>
      <w:r w:rsidR="00FA1768" w:rsidRPr="00F72FB0">
        <w:rPr>
          <w:lang w:val="en-GB"/>
        </w:rPr>
        <w:t>abuse</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dominance</w:t>
      </w:r>
      <w:r w:rsidR="00FC2FB1" w:rsidRPr="00F72FB0">
        <w:rPr>
          <w:lang w:val="en-GB"/>
        </w:rPr>
        <w:t xml:space="preserve"> </w:t>
      </w:r>
      <w:r w:rsidR="00FA1768" w:rsidRPr="00F72FB0">
        <w:rPr>
          <w:lang w:val="en-GB"/>
        </w:rPr>
        <w:t>case.</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Guidance</w:t>
      </w:r>
      <w:r w:rsidR="00FC2FB1" w:rsidRPr="00F72FB0">
        <w:rPr>
          <w:lang w:val="en-GB"/>
        </w:rPr>
        <w:t xml:space="preserve"> </w:t>
      </w:r>
      <w:r w:rsidR="00FA1768" w:rsidRPr="00F72FB0">
        <w:rPr>
          <w:lang w:val="en-GB"/>
        </w:rPr>
        <w:t>was</w:t>
      </w:r>
      <w:r w:rsidR="00FC2FB1" w:rsidRPr="00F72FB0">
        <w:rPr>
          <w:lang w:val="en-GB"/>
        </w:rPr>
        <w:t xml:space="preserve"> </w:t>
      </w:r>
      <w:r w:rsidR="00FA1768" w:rsidRPr="00F72FB0">
        <w:rPr>
          <w:lang w:val="en-GB"/>
        </w:rPr>
        <w:t>used</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support</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argument</w:t>
      </w:r>
      <w:r w:rsidR="00FC2FB1" w:rsidRPr="00F72FB0">
        <w:rPr>
          <w:lang w:val="en-GB"/>
        </w:rPr>
        <w:t xml:space="preserve"> </w:t>
      </w:r>
      <w:r w:rsidR="00FA1768" w:rsidRPr="00F72FB0">
        <w:rPr>
          <w:lang w:val="en-GB"/>
        </w:rPr>
        <w:t>that</w:t>
      </w:r>
      <w:r w:rsidR="00FC2FB1" w:rsidRPr="00F72FB0">
        <w:rPr>
          <w:lang w:val="en-GB"/>
        </w:rPr>
        <w:t xml:space="preserve"> </w:t>
      </w:r>
      <w:r w:rsidR="00FA1768" w:rsidRPr="00F72FB0">
        <w:rPr>
          <w:lang w:val="en-GB"/>
        </w:rPr>
        <w:t>technical</w:t>
      </w:r>
      <w:r w:rsidR="00FC2FB1" w:rsidRPr="00F72FB0">
        <w:rPr>
          <w:lang w:val="en-GB"/>
        </w:rPr>
        <w:t xml:space="preserve"> </w:t>
      </w:r>
      <w:r w:rsidR="00FA1768" w:rsidRPr="00F72FB0">
        <w:rPr>
          <w:lang w:val="en-GB"/>
        </w:rPr>
        <w:t>improvements</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quality</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goods</w:t>
      </w:r>
      <w:r w:rsidR="00FC2FB1" w:rsidRPr="00F72FB0">
        <w:rPr>
          <w:lang w:val="en-GB"/>
        </w:rPr>
        <w:t xml:space="preserve"> </w:t>
      </w:r>
      <w:r w:rsidR="00FA1768" w:rsidRPr="00F72FB0">
        <w:rPr>
          <w:lang w:val="en-GB"/>
        </w:rPr>
        <w:t>are</w:t>
      </w:r>
      <w:r w:rsidR="00FC2FB1" w:rsidRPr="00F72FB0">
        <w:rPr>
          <w:lang w:val="en-GB"/>
        </w:rPr>
        <w:t xml:space="preserve"> </w:t>
      </w:r>
      <w:r w:rsidR="00FA1768" w:rsidRPr="00F72FB0">
        <w:rPr>
          <w:lang w:val="en-GB"/>
        </w:rPr>
        <w:t>part</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relevant</w:t>
      </w:r>
      <w:r w:rsidR="00FC2FB1" w:rsidRPr="00F72FB0">
        <w:rPr>
          <w:lang w:val="en-GB"/>
        </w:rPr>
        <w:t xml:space="preserve"> </w:t>
      </w:r>
      <w:r w:rsidR="00FA1768" w:rsidRPr="00F72FB0">
        <w:rPr>
          <w:lang w:val="en-GB"/>
        </w:rPr>
        <w:t>efficiencies,</w:t>
      </w:r>
      <w:r w:rsidR="00FC2FB1" w:rsidRPr="00F72FB0">
        <w:rPr>
          <w:lang w:val="en-GB"/>
        </w:rPr>
        <w:t xml:space="preserve"> </w:t>
      </w:r>
      <w:r w:rsidR="00FA1768" w:rsidRPr="00F72FB0">
        <w:rPr>
          <w:lang w:val="en-GB"/>
        </w:rPr>
        <w:t>and</w:t>
      </w:r>
      <w:r w:rsidR="00FC2FB1" w:rsidRPr="00F72FB0">
        <w:rPr>
          <w:lang w:val="en-GB"/>
        </w:rPr>
        <w:t xml:space="preserve"> </w:t>
      </w:r>
      <w:r w:rsidR="00FA1768" w:rsidRPr="00F72FB0">
        <w:rPr>
          <w:lang w:val="en-GB"/>
        </w:rPr>
        <w:t>also</w:t>
      </w:r>
      <w:r w:rsidR="00FC2FB1" w:rsidRPr="00F72FB0">
        <w:rPr>
          <w:lang w:val="en-GB"/>
        </w:rPr>
        <w:t xml:space="preserve"> </w:t>
      </w:r>
      <w:r w:rsidR="00FA1768" w:rsidRPr="00F72FB0">
        <w:rPr>
          <w:lang w:val="en-GB"/>
        </w:rPr>
        <w:t>in</w:t>
      </w:r>
      <w:r w:rsidR="00FC2FB1" w:rsidRPr="00F72FB0">
        <w:rPr>
          <w:lang w:val="en-GB"/>
        </w:rPr>
        <w:t xml:space="preserve"> </w:t>
      </w:r>
      <w:r w:rsidR="00FA1768" w:rsidRPr="00F72FB0">
        <w:rPr>
          <w:lang w:val="en-GB"/>
        </w:rPr>
        <w:t>order</w:t>
      </w:r>
      <w:r w:rsidR="00FC2FB1" w:rsidRPr="00F72FB0">
        <w:rPr>
          <w:lang w:val="en-GB"/>
        </w:rPr>
        <w:t xml:space="preserve"> </w:t>
      </w:r>
      <w:r w:rsidR="00FA1768" w:rsidRPr="00F72FB0">
        <w:rPr>
          <w:lang w:val="en-GB"/>
        </w:rPr>
        <w:t>to</w:t>
      </w:r>
      <w:r w:rsidR="00FC2FB1" w:rsidRPr="00F72FB0">
        <w:rPr>
          <w:lang w:val="en-GB"/>
        </w:rPr>
        <w:t xml:space="preserve"> </w:t>
      </w:r>
      <w:r w:rsidR="00FA1768" w:rsidRPr="00F72FB0">
        <w:rPr>
          <w:lang w:val="en-GB"/>
        </w:rPr>
        <w:t>lay</w:t>
      </w:r>
      <w:r w:rsidR="00FC2FB1" w:rsidRPr="00F72FB0">
        <w:rPr>
          <w:lang w:val="en-GB"/>
        </w:rPr>
        <w:t xml:space="preserve"> </w:t>
      </w:r>
      <w:r w:rsidR="00FA1768" w:rsidRPr="00F72FB0">
        <w:rPr>
          <w:lang w:val="en-GB"/>
        </w:rPr>
        <w:t>down</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requirements</w:t>
      </w:r>
      <w:r w:rsidR="00FC2FB1" w:rsidRPr="00F72FB0">
        <w:rPr>
          <w:lang w:val="en-GB"/>
        </w:rPr>
        <w:t xml:space="preserve"> </w:t>
      </w:r>
      <w:r w:rsidR="00FA1768" w:rsidRPr="00F72FB0">
        <w:rPr>
          <w:lang w:val="en-GB"/>
        </w:rPr>
        <w:t>of</w:t>
      </w:r>
      <w:r w:rsidR="00FC2FB1" w:rsidRPr="00F72FB0">
        <w:rPr>
          <w:lang w:val="en-GB"/>
        </w:rPr>
        <w:t xml:space="preserve"> </w:t>
      </w:r>
      <w:r w:rsidR="00FA1768" w:rsidRPr="00F72FB0">
        <w:rPr>
          <w:lang w:val="en-GB"/>
        </w:rPr>
        <w:t>the</w:t>
      </w:r>
      <w:r w:rsidR="00FC2FB1" w:rsidRPr="00F72FB0">
        <w:rPr>
          <w:lang w:val="en-GB"/>
        </w:rPr>
        <w:t xml:space="preserve"> </w:t>
      </w:r>
      <w:r w:rsidR="00FA1768" w:rsidRPr="00F72FB0">
        <w:rPr>
          <w:lang w:val="en-GB"/>
        </w:rPr>
        <w:t>proportionality</w:t>
      </w:r>
      <w:r w:rsidR="00FC2FB1" w:rsidRPr="00F72FB0">
        <w:rPr>
          <w:lang w:val="en-GB"/>
        </w:rPr>
        <w:t xml:space="preserve"> </w:t>
      </w:r>
      <w:r w:rsidR="00FA1768" w:rsidRPr="00F72FB0">
        <w:rPr>
          <w:lang w:val="en-GB"/>
        </w:rPr>
        <w:t>test.</w:t>
      </w:r>
      <w:r w:rsidR="00FA1768" w:rsidRPr="00F72FB0">
        <w:rPr>
          <w:rStyle w:val="Alaviitteenviite"/>
          <w:lang w:val="en-GB"/>
        </w:rPr>
        <w:footnoteReference w:id="63"/>
      </w:r>
      <w:r w:rsidR="00FC2FB1" w:rsidRPr="00F72FB0">
        <w:rPr>
          <w:lang w:val="en-GB"/>
        </w:rPr>
        <w:t xml:space="preserve"> </w:t>
      </w:r>
      <w:r w:rsidR="00287380" w:rsidRPr="00F72FB0">
        <w:rPr>
          <w:lang w:val="en-GB"/>
        </w:rPr>
        <w:t>This example shows that the attitude towards a certain soft law instrument might change over time, and we can hypothesise that this is a result of the evolution of the EU case law itself, the sociali</w:t>
      </w:r>
      <w:r w:rsidR="006B0AE4">
        <w:rPr>
          <w:lang w:val="en-GB"/>
        </w:rPr>
        <w:t>s</w:t>
      </w:r>
      <w:r w:rsidR="00287380" w:rsidRPr="00F72FB0">
        <w:rPr>
          <w:lang w:val="en-GB"/>
        </w:rPr>
        <w:t xml:space="preserve">ation of national judges to soft law, or, simply, the relevance of an instrument for certain cases. </w:t>
      </w:r>
    </w:p>
    <w:p w14:paraId="0526747D" w14:textId="115BB11B" w:rsidR="00290F9C" w:rsidRPr="00F72FB0" w:rsidRDefault="00290F9C" w:rsidP="00E14136">
      <w:pPr>
        <w:widowControl w:val="0"/>
        <w:autoSpaceDE w:val="0"/>
        <w:autoSpaceDN w:val="0"/>
        <w:adjustRightInd w:val="0"/>
        <w:spacing w:line="360" w:lineRule="auto"/>
        <w:contextualSpacing/>
        <w:jc w:val="both"/>
        <w:rPr>
          <w:lang w:val="en-GB"/>
        </w:rPr>
      </w:pPr>
    </w:p>
    <w:p w14:paraId="6EBFE75F" w14:textId="77777777" w:rsidR="00E60757" w:rsidRPr="00F72FB0" w:rsidRDefault="00290F9C" w:rsidP="00E14136">
      <w:pPr>
        <w:widowControl w:val="0"/>
        <w:autoSpaceDE w:val="0"/>
        <w:autoSpaceDN w:val="0"/>
        <w:adjustRightInd w:val="0"/>
        <w:spacing w:line="360" w:lineRule="auto"/>
        <w:contextualSpacing/>
        <w:jc w:val="both"/>
        <w:rPr>
          <w:lang w:val="en-GB"/>
        </w:rPr>
      </w:pPr>
      <w:r w:rsidRPr="00F72FB0">
        <w:rPr>
          <w:lang w:val="en-GB"/>
        </w:rPr>
        <w:t>Overall,</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appears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openness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use</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judges</w:t>
      </w:r>
      <w:r w:rsidR="00FC2FB1" w:rsidRPr="00F72FB0">
        <w:rPr>
          <w:lang w:val="en-GB"/>
        </w:rPr>
        <w:t xml:space="preserve"> </w:t>
      </w:r>
      <w:r w:rsidRPr="00F72FB0">
        <w:rPr>
          <w:lang w:val="en-GB"/>
        </w:rPr>
        <w:t>consider</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appropriate.</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can</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linked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clarity,</w:t>
      </w:r>
      <w:r w:rsidR="00FC2FB1" w:rsidRPr="00F72FB0">
        <w:rPr>
          <w:lang w:val="en-GB"/>
        </w:rPr>
        <w:t xml:space="preserve"> </w:t>
      </w:r>
      <w:r w:rsidRPr="00F72FB0">
        <w:rPr>
          <w:lang w:val="en-GB"/>
        </w:rPr>
        <w:t>precision</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acceptability,</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simply</w:t>
      </w:r>
      <w:r w:rsidR="00FC2FB1" w:rsidRPr="00F72FB0">
        <w:rPr>
          <w:lang w:val="en-GB"/>
        </w:rPr>
        <w:t xml:space="preserve"> </w:t>
      </w:r>
      <w:r w:rsidRPr="00F72FB0">
        <w:rPr>
          <w:lang w:val="en-GB"/>
        </w:rPr>
        <w:t>awareness</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documents.</w:t>
      </w:r>
      <w:r w:rsidR="00FC2FB1" w:rsidRPr="00F72FB0">
        <w:rPr>
          <w:lang w:val="en-GB"/>
        </w:rPr>
        <w:t xml:space="preserve"> </w:t>
      </w:r>
      <w:r w:rsidR="00602A92" w:rsidRPr="00F72FB0">
        <w:rPr>
          <w:lang w:val="en-GB"/>
        </w:rPr>
        <w:t>T</w:t>
      </w:r>
      <w:r w:rsidRPr="00F72FB0">
        <w:rPr>
          <w:lang w:val="en-GB"/>
        </w:rPr>
        <w:t>here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no</w:t>
      </w:r>
      <w:r w:rsidR="00FC2FB1" w:rsidRPr="00F72FB0">
        <w:rPr>
          <w:lang w:val="en-GB"/>
        </w:rPr>
        <w:t xml:space="preserve"> </w:t>
      </w:r>
      <w:r w:rsidRPr="00F72FB0">
        <w:rPr>
          <w:lang w:val="en-GB"/>
        </w:rPr>
        <w:t>guarantee</w:t>
      </w:r>
      <w:r w:rsidR="00FC2FB1" w:rsidRPr="00F72FB0">
        <w:rPr>
          <w:lang w:val="en-GB"/>
        </w:rPr>
        <w:t xml:space="preserve"> </w:t>
      </w:r>
      <w:r w:rsidRPr="00F72FB0">
        <w:rPr>
          <w:lang w:val="en-GB"/>
        </w:rPr>
        <w:t>they</w:t>
      </w:r>
      <w:r w:rsidR="00FC2FB1" w:rsidRPr="00F72FB0">
        <w:rPr>
          <w:lang w:val="en-GB"/>
        </w:rPr>
        <w:t xml:space="preserve"> </w:t>
      </w:r>
      <w:r w:rsidRPr="00F72FB0">
        <w:rPr>
          <w:lang w:val="en-GB"/>
        </w:rPr>
        <w:t>will</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unless</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obligation</w:t>
      </w:r>
      <w:r w:rsidR="00FC2FB1" w:rsidRPr="00F72FB0">
        <w:rPr>
          <w:lang w:val="en-GB"/>
        </w:rPr>
        <w:t xml:space="preserve"> </w:t>
      </w:r>
      <w:r w:rsidRPr="00F72FB0">
        <w:rPr>
          <w:lang w:val="en-GB"/>
        </w:rPr>
        <w:t>arises.</w:t>
      </w:r>
    </w:p>
    <w:p w14:paraId="7A3228F7" w14:textId="77777777" w:rsidR="00E60757" w:rsidRPr="00600F90" w:rsidRDefault="00E60757" w:rsidP="00E14136">
      <w:pPr>
        <w:pStyle w:val="Otsikko2"/>
        <w:spacing w:before="0" w:line="360" w:lineRule="auto"/>
        <w:contextualSpacing/>
        <w:rPr>
          <w:rFonts w:ascii="Times New Roman" w:hAnsi="Times New Roman" w:cs="Times New Roman"/>
          <w:color w:val="000000" w:themeColor="text1"/>
          <w:sz w:val="24"/>
          <w:szCs w:val="24"/>
          <w:lang w:val="en-GB"/>
        </w:rPr>
      </w:pPr>
    </w:p>
    <w:p w14:paraId="7F067671" w14:textId="5AA508D0" w:rsidR="00074E73" w:rsidRPr="003F764C" w:rsidRDefault="00E60757" w:rsidP="00E14136">
      <w:pPr>
        <w:pStyle w:val="Otsikko2"/>
        <w:spacing w:before="0" w:line="360" w:lineRule="auto"/>
        <w:contextualSpacing/>
        <w:rPr>
          <w:rFonts w:ascii="Times New Roman" w:hAnsi="Times New Roman" w:cs="Times New Roman"/>
          <w:i/>
          <w:color w:val="000000" w:themeColor="text1"/>
          <w:sz w:val="24"/>
          <w:szCs w:val="24"/>
          <w:lang w:val="en-GB"/>
        </w:rPr>
      </w:pPr>
      <w:r w:rsidRPr="003F764C">
        <w:rPr>
          <w:rFonts w:ascii="Times New Roman" w:hAnsi="Times New Roman" w:cs="Times New Roman"/>
          <w:i/>
          <w:color w:val="000000" w:themeColor="text1"/>
          <w:sz w:val="24"/>
          <w:szCs w:val="24"/>
          <w:lang w:val="en-GB"/>
        </w:rPr>
        <w:t>C</w:t>
      </w:r>
      <w:r w:rsidR="00600F90" w:rsidRPr="003F764C">
        <w:rPr>
          <w:rFonts w:ascii="Times New Roman" w:hAnsi="Times New Roman" w:cs="Times New Roman"/>
          <w:i/>
          <w:color w:val="000000" w:themeColor="text1"/>
          <w:sz w:val="24"/>
          <w:szCs w:val="24"/>
          <w:lang w:val="en-GB"/>
        </w:rPr>
        <w:t xml:space="preserve"> </w:t>
      </w:r>
      <w:r w:rsidR="00074E73" w:rsidRPr="003F764C">
        <w:rPr>
          <w:rFonts w:ascii="Times New Roman" w:hAnsi="Times New Roman" w:cs="Times New Roman"/>
          <w:i/>
          <w:color w:val="000000" w:themeColor="text1"/>
          <w:sz w:val="24"/>
          <w:szCs w:val="24"/>
          <w:lang w:val="en-GB"/>
        </w:rPr>
        <w:t>Legal</w:t>
      </w:r>
      <w:r w:rsidR="00FC2FB1" w:rsidRPr="003F764C">
        <w:rPr>
          <w:rFonts w:ascii="Times New Roman" w:hAnsi="Times New Roman" w:cs="Times New Roman"/>
          <w:i/>
          <w:color w:val="000000" w:themeColor="text1"/>
          <w:sz w:val="24"/>
          <w:szCs w:val="24"/>
          <w:lang w:val="en-GB"/>
        </w:rPr>
        <w:t xml:space="preserve"> </w:t>
      </w:r>
      <w:r w:rsidR="00600F90" w:rsidRPr="003F764C">
        <w:rPr>
          <w:rFonts w:ascii="Times New Roman" w:hAnsi="Times New Roman" w:cs="Times New Roman"/>
          <w:i/>
          <w:color w:val="000000" w:themeColor="text1"/>
          <w:sz w:val="24"/>
          <w:szCs w:val="24"/>
          <w:lang w:val="en-GB"/>
        </w:rPr>
        <w:t>Effects and Mechanisms of Compliance</w:t>
      </w:r>
    </w:p>
    <w:p w14:paraId="44754C0E" w14:textId="62F39DAF" w:rsidR="00FA1768" w:rsidRPr="00F72FB0" w:rsidRDefault="00FA1768" w:rsidP="00E14136">
      <w:pPr>
        <w:spacing w:line="360" w:lineRule="auto"/>
        <w:contextualSpacing/>
        <w:jc w:val="both"/>
        <w:rPr>
          <w:color w:val="000000" w:themeColor="text1"/>
          <w:lang w:val="en-GB"/>
        </w:rPr>
      </w:pPr>
    </w:p>
    <w:p w14:paraId="7E8259C5" w14:textId="5D2B85C5" w:rsidR="00FA1768" w:rsidRPr="00F72FB0" w:rsidRDefault="00FA1768" w:rsidP="00E14136">
      <w:pPr>
        <w:widowControl w:val="0"/>
        <w:autoSpaceDE w:val="0"/>
        <w:autoSpaceDN w:val="0"/>
        <w:adjustRightInd w:val="0"/>
        <w:spacing w:line="360" w:lineRule="auto"/>
        <w:contextualSpacing/>
        <w:jc w:val="both"/>
        <w:rPr>
          <w:lang w:val="en-GB"/>
        </w:rPr>
      </w:pPr>
      <w:r w:rsidRPr="00F72FB0">
        <w:rPr>
          <w:lang w:val="en-GB"/>
        </w:rPr>
        <w:t>As</w:t>
      </w:r>
      <w:r w:rsidR="00FC2FB1" w:rsidRPr="00F72FB0">
        <w:rPr>
          <w:lang w:val="en-GB"/>
        </w:rPr>
        <w:t xml:space="preserve"> </w:t>
      </w:r>
      <w:r w:rsidRPr="00F72FB0">
        <w:rPr>
          <w:lang w:val="en-GB"/>
        </w:rPr>
        <w:t>expected,</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used</w:t>
      </w:r>
      <w:r w:rsidR="00FC2FB1" w:rsidRPr="00F72FB0">
        <w:rPr>
          <w:lang w:val="en-GB"/>
        </w:rPr>
        <w:t xml:space="preserve"> </w:t>
      </w:r>
      <w:r w:rsidRPr="00F72FB0">
        <w:rPr>
          <w:lang w:val="en-GB"/>
        </w:rPr>
        <w:t>mostly</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an</w:t>
      </w:r>
      <w:r w:rsidR="00FC2FB1" w:rsidRPr="00F72FB0">
        <w:rPr>
          <w:lang w:val="en-GB"/>
        </w:rPr>
        <w:t xml:space="preserve"> </w:t>
      </w:r>
      <w:r w:rsidRPr="00F72FB0">
        <w:rPr>
          <w:lang w:val="en-GB"/>
        </w:rPr>
        <w:t>interpretation</w:t>
      </w:r>
      <w:r w:rsidR="00FC2FB1" w:rsidRPr="00F72FB0">
        <w:rPr>
          <w:lang w:val="en-GB"/>
        </w:rPr>
        <w:t xml:space="preserve"> </w:t>
      </w:r>
      <w:r w:rsidRPr="00F72FB0">
        <w:rPr>
          <w:lang w:val="en-GB"/>
        </w:rPr>
        <w:t>aid,</w:t>
      </w:r>
      <w:r w:rsidRPr="00F72FB0">
        <w:rPr>
          <w:rStyle w:val="Alaviitteenviite"/>
          <w:lang w:val="en-GB"/>
        </w:rPr>
        <w:footnoteReference w:id="64"/>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administration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considering</w:t>
      </w:r>
      <w:r w:rsidR="00FC2FB1" w:rsidRPr="00F72FB0">
        <w:rPr>
          <w:lang w:val="en-GB"/>
        </w:rPr>
        <w:t xml:space="preserve"> </w:t>
      </w:r>
      <w:r w:rsidRPr="00F72FB0">
        <w:rPr>
          <w:lang w:val="en-GB"/>
        </w:rPr>
        <w:t>themselves</w:t>
      </w:r>
      <w:r w:rsidR="00FC2FB1" w:rsidRPr="00F72FB0">
        <w:rPr>
          <w:lang w:val="en-GB"/>
        </w:rPr>
        <w:t xml:space="preserve"> </w:t>
      </w:r>
      <w:r w:rsidRPr="00F72FB0">
        <w:rPr>
          <w:i/>
          <w:iCs/>
          <w:lang w:val="en-GB"/>
        </w:rPr>
        <w:t>bound</w:t>
      </w:r>
      <w:r w:rsidR="00FC2FB1" w:rsidRPr="00F72FB0">
        <w:rPr>
          <w:i/>
          <w:iCs/>
          <w:lang w:val="en-GB"/>
        </w:rPr>
        <w:t xml:space="preserve"> </w:t>
      </w:r>
      <w:r w:rsidRPr="00F72FB0">
        <w:rPr>
          <w:lang w:val="en-GB"/>
        </w:rPr>
        <w:t>by</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noted</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Dobbs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report,</w:t>
      </w:r>
      <w:r w:rsidR="00FC2FB1" w:rsidRPr="00F72FB0">
        <w:rPr>
          <w:lang w:val="en-GB"/>
        </w:rPr>
        <w:t xml:space="preserve"> </w:t>
      </w:r>
      <w:r w:rsidRPr="00F72FB0">
        <w:rPr>
          <w:lang w:val="en-GB"/>
        </w:rPr>
        <w:t>there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evidence</w:t>
      </w:r>
      <w:r w:rsidR="00FC2FB1" w:rsidRPr="00F72FB0">
        <w:rPr>
          <w:lang w:val="en-GB"/>
        </w:rPr>
        <w:t xml:space="preserve"> </w:t>
      </w:r>
      <w:r w:rsidRPr="00F72FB0">
        <w:rPr>
          <w:lang w:val="en-GB"/>
        </w:rPr>
        <w:t>within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cases</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may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willing</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go</w:t>
      </w:r>
      <w:r w:rsidR="00FC2FB1" w:rsidRPr="00F72FB0">
        <w:rPr>
          <w:lang w:val="en-GB"/>
        </w:rPr>
        <w:t xml:space="preserve"> </w:t>
      </w:r>
      <w:r w:rsidRPr="00F72FB0">
        <w:rPr>
          <w:lang w:val="en-GB"/>
        </w:rPr>
        <w:t>quite</w:t>
      </w:r>
      <w:r w:rsidR="00FC2FB1" w:rsidRPr="00F72FB0">
        <w:rPr>
          <w:lang w:val="en-GB"/>
        </w:rPr>
        <w:t xml:space="preserve"> </w:t>
      </w:r>
      <w:r w:rsidRPr="00F72FB0">
        <w:rPr>
          <w:lang w:val="en-GB"/>
        </w:rPr>
        <w:t>far</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respect.</w:t>
      </w:r>
      <w:r w:rsidR="00A56A36">
        <w:rPr>
          <w:rStyle w:val="Alaviitteenviite"/>
          <w:lang w:val="en-GB"/>
        </w:rPr>
        <w:footnoteReference w:id="65"/>
      </w:r>
      <w:r w:rsidR="00FC2FB1" w:rsidRPr="00F72FB0">
        <w:rPr>
          <w:lang w:val="en-GB"/>
        </w:rPr>
        <w:t xml:space="preserve"> </w:t>
      </w:r>
      <w:r w:rsidRPr="00F72FB0">
        <w:rPr>
          <w:lang w:val="en-GB"/>
        </w:rPr>
        <w:t>For</w:t>
      </w:r>
      <w:r w:rsidR="00FC2FB1" w:rsidRPr="00F72FB0">
        <w:rPr>
          <w:lang w:val="en-GB"/>
        </w:rPr>
        <w:t xml:space="preserve"> </w:t>
      </w:r>
      <w:r w:rsidRPr="00F72FB0">
        <w:rPr>
          <w:lang w:val="en-GB"/>
        </w:rPr>
        <w:t>example,</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environmental</w:t>
      </w:r>
      <w:r w:rsidR="00FC2FB1" w:rsidRPr="00F72FB0">
        <w:rPr>
          <w:lang w:val="en-GB"/>
        </w:rPr>
        <w:t xml:space="preserve"> </w:t>
      </w:r>
      <w:r w:rsidRPr="00F72FB0">
        <w:rPr>
          <w:lang w:val="en-GB"/>
        </w:rPr>
        <w:t>case</w:t>
      </w:r>
      <w:r w:rsidR="00FC2FB1" w:rsidRPr="00F72FB0">
        <w:rPr>
          <w:lang w:val="en-GB"/>
        </w:rPr>
        <w:t xml:space="preserve"> </w:t>
      </w:r>
      <w:r w:rsidRPr="00F72FB0">
        <w:rPr>
          <w:lang w:val="en-GB"/>
        </w:rPr>
        <w:t>of</w:t>
      </w:r>
      <w:r w:rsidR="00FC2FB1" w:rsidRPr="00F72FB0">
        <w:rPr>
          <w:lang w:val="en-GB"/>
        </w:rPr>
        <w:t xml:space="preserve"> </w:t>
      </w:r>
      <w:r w:rsidRPr="00F72FB0">
        <w:rPr>
          <w:i/>
          <w:iCs/>
          <w:lang w:val="en-GB"/>
        </w:rPr>
        <w:t>Loader,</w:t>
      </w:r>
      <w:r w:rsidR="00FC2FB1" w:rsidRPr="00F72FB0">
        <w:rPr>
          <w:i/>
          <w:iCs/>
          <w:lang w:val="en-GB"/>
        </w:rPr>
        <w:t xml:space="preserve"> </w:t>
      </w:r>
      <w:r w:rsidRPr="00F72FB0">
        <w:rPr>
          <w:lang w:val="en-GB"/>
        </w:rPr>
        <w:t>EU</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was</w:t>
      </w:r>
      <w:r w:rsidR="00FC2FB1" w:rsidRPr="00F72FB0">
        <w:rPr>
          <w:lang w:val="en-GB"/>
        </w:rPr>
        <w:t xml:space="preserve"> </w:t>
      </w:r>
      <w:r w:rsidRPr="00F72FB0">
        <w:rPr>
          <w:lang w:val="en-GB"/>
        </w:rPr>
        <w:t>referred</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part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European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authority.</w:t>
      </w:r>
      <w:r w:rsidR="00FC2FB1" w:rsidRPr="00F72FB0">
        <w:rPr>
          <w:lang w:val="en-GB"/>
        </w:rPr>
        <w:t xml:space="preserve"> </w:t>
      </w:r>
      <w:r w:rsidRPr="00F72FB0">
        <w:rPr>
          <w:lang w:val="en-GB"/>
        </w:rPr>
        <w:t>However,</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difficult</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infer</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consider</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itself,</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noted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a</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Supreme</w:t>
      </w:r>
      <w:r w:rsidR="00FC2FB1" w:rsidRPr="00F72FB0">
        <w:rPr>
          <w:lang w:val="en-GB"/>
        </w:rPr>
        <w:t xml:space="preserve"> </w:t>
      </w:r>
      <w:r w:rsidRPr="00F72FB0">
        <w:rPr>
          <w:lang w:val="en-GB"/>
        </w:rPr>
        <w:t>Court</w:t>
      </w:r>
      <w:r w:rsidR="00FC2FB1" w:rsidRPr="00F72FB0">
        <w:rPr>
          <w:lang w:val="en-GB"/>
        </w:rPr>
        <w:t xml:space="preserve"> </w:t>
      </w:r>
      <w:r w:rsidRPr="00F72FB0">
        <w:rPr>
          <w:lang w:val="en-GB"/>
        </w:rPr>
        <w:t>case:</w:t>
      </w:r>
      <w:r w:rsidR="00FC2FB1" w:rsidRPr="00F72FB0">
        <w:rPr>
          <w:lang w:val="en-GB"/>
        </w:rPr>
        <w:t xml:space="preserve"> </w:t>
      </w:r>
      <w:r w:rsidRPr="00F72FB0">
        <w:rPr>
          <w:lang w:val="en-GB"/>
        </w:rPr>
        <w:t>‘[i</w:t>
      </w:r>
      <w:r w:rsidRPr="00F72FB0">
        <w:rPr>
          <w:color w:val="000000"/>
          <w:lang w:val="en-GB"/>
        </w:rPr>
        <w:t>]t</w:t>
      </w:r>
      <w:r w:rsidR="00FC2FB1" w:rsidRPr="00F72FB0">
        <w:rPr>
          <w:color w:val="000000"/>
          <w:lang w:val="en-GB"/>
        </w:rPr>
        <w:t xml:space="preserve"> </w:t>
      </w:r>
      <w:r w:rsidRPr="00F72FB0">
        <w:rPr>
          <w:color w:val="000000"/>
          <w:lang w:val="en-GB"/>
        </w:rPr>
        <w:t>is</w:t>
      </w:r>
      <w:r w:rsidR="00FC2FB1" w:rsidRPr="00F72FB0">
        <w:rPr>
          <w:color w:val="000000"/>
          <w:lang w:val="en-GB"/>
        </w:rPr>
        <w:t xml:space="preserve"> </w:t>
      </w:r>
      <w:r w:rsidRPr="00F72FB0">
        <w:rPr>
          <w:color w:val="000000"/>
          <w:lang w:val="en-GB"/>
        </w:rPr>
        <w:t>important</w:t>
      </w:r>
      <w:r w:rsidR="00FC2FB1" w:rsidRPr="00F72FB0">
        <w:rPr>
          <w:color w:val="000000"/>
          <w:lang w:val="en-GB"/>
        </w:rPr>
        <w:t xml:space="preserve"> </w:t>
      </w:r>
      <w:r w:rsidRPr="00F72FB0">
        <w:rPr>
          <w:color w:val="000000"/>
          <w:lang w:val="en-GB"/>
        </w:rPr>
        <w:t>to</w:t>
      </w:r>
      <w:r w:rsidR="00FC2FB1" w:rsidRPr="00F72FB0">
        <w:rPr>
          <w:color w:val="000000"/>
          <w:lang w:val="en-GB"/>
        </w:rPr>
        <w:t xml:space="preserve"> </w:t>
      </w:r>
      <w:r w:rsidRPr="00F72FB0">
        <w:rPr>
          <w:color w:val="000000"/>
          <w:lang w:val="en-GB"/>
        </w:rPr>
        <w:t>emphasise</w:t>
      </w:r>
      <w:r w:rsidR="00FC2FB1" w:rsidRPr="00F72FB0">
        <w:rPr>
          <w:color w:val="000000"/>
          <w:lang w:val="en-GB"/>
        </w:rPr>
        <w:t xml:space="preserve"> </w:t>
      </w:r>
      <w:r w:rsidRPr="00F72FB0">
        <w:rPr>
          <w:color w:val="000000"/>
          <w:lang w:val="en-GB"/>
        </w:rPr>
        <w:t>that</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legal</w:t>
      </w:r>
      <w:r w:rsidR="00FC2FB1" w:rsidRPr="00F72FB0">
        <w:rPr>
          <w:color w:val="000000"/>
          <w:lang w:val="en-GB"/>
        </w:rPr>
        <w:t xml:space="preserve"> </w:t>
      </w:r>
      <w:r w:rsidRPr="00F72FB0">
        <w:rPr>
          <w:color w:val="000000"/>
          <w:lang w:val="en-GB"/>
        </w:rPr>
        <w:t>requirements</w:t>
      </w:r>
      <w:r w:rsidR="00FC2FB1" w:rsidRPr="00F72FB0">
        <w:rPr>
          <w:color w:val="000000"/>
          <w:lang w:val="en-GB"/>
        </w:rPr>
        <w:t xml:space="preserve"> </w:t>
      </w:r>
      <w:r w:rsidRPr="00F72FB0">
        <w:rPr>
          <w:color w:val="000000"/>
          <w:lang w:val="en-GB"/>
        </w:rPr>
        <w:t>must</w:t>
      </w:r>
      <w:r w:rsidR="00FC2FB1" w:rsidRPr="00F72FB0">
        <w:rPr>
          <w:color w:val="000000"/>
          <w:lang w:val="en-GB"/>
        </w:rPr>
        <w:t xml:space="preserve"> </w:t>
      </w:r>
      <w:r w:rsidRPr="00F72FB0">
        <w:rPr>
          <w:color w:val="000000"/>
          <w:lang w:val="en-GB"/>
        </w:rPr>
        <w:t>be</w:t>
      </w:r>
      <w:r w:rsidR="00FC2FB1" w:rsidRPr="00F72FB0">
        <w:rPr>
          <w:color w:val="000000"/>
          <w:lang w:val="en-GB"/>
        </w:rPr>
        <w:t xml:space="preserve"> </w:t>
      </w:r>
      <w:r w:rsidRPr="00F72FB0">
        <w:rPr>
          <w:color w:val="000000"/>
          <w:lang w:val="en-GB"/>
        </w:rPr>
        <w:t>found</w:t>
      </w:r>
      <w:r w:rsidR="00FC2FB1" w:rsidRPr="00F72FB0">
        <w:rPr>
          <w:color w:val="000000"/>
          <w:lang w:val="en-GB"/>
        </w:rPr>
        <w:t xml:space="preserve"> </w:t>
      </w:r>
      <w:r w:rsidRPr="00F72FB0">
        <w:rPr>
          <w:color w:val="000000"/>
          <w:lang w:val="en-GB"/>
        </w:rPr>
        <w:t>in</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legislation,</w:t>
      </w:r>
      <w:r w:rsidR="00FC2FB1" w:rsidRPr="00F72FB0">
        <w:rPr>
          <w:color w:val="000000"/>
          <w:lang w:val="en-GB"/>
        </w:rPr>
        <w:t xml:space="preserve"> </w:t>
      </w:r>
      <w:r w:rsidRPr="00F72FB0">
        <w:rPr>
          <w:color w:val="000000"/>
          <w:lang w:val="en-GB"/>
        </w:rPr>
        <w:t>as</w:t>
      </w:r>
      <w:r w:rsidR="00FC2FB1" w:rsidRPr="00F72FB0">
        <w:rPr>
          <w:color w:val="000000"/>
          <w:lang w:val="en-GB"/>
        </w:rPr>
        <w:t xml:space="preserve"> </w:t>
      </w:r>
      <w:r w:rsidRPr="00F72FB0">
        <w:rPr>
          <w:color w:val="000000"/>
          <w:lang w:val="en-GB"/>
        </w:rPr>
        <w:t>interpreted</w:t>
      </w:r>
      <w:r w:rsidR="00FC2FB1" w:rsidRPr="00F72FB0">
        <w:rPr>
          <w:color w:val="000000"/>
          <w:lang w:val="en-GB"/>
        </w:rPr>
        <w:t xml:space="preserve"> </w:t>
      </w:r>
      <w:r w:rsidRPr="00F72FB0">
        <w:rPr>
          <w:color w:val="000000"/>
          <w:lang w:val="en-GB"/>
        </w:rPr>
        <w:t>by</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CJEU</w:t>
      </w:r>
      <w:r w:rsidR="00FC2FB1" w:rsidRPr="00F72FB0">
        <w:rPr>
          <w:color w:val="000000"/>
          <w:lang w:val="en-GB"/>
        </w:rPr>
        <w:t xml:space="preserve"> </w:t>
      </w:r>
      <w:r w:rsidRPr="00F72FB0">
        <w:rPr>
          <w:color w:val="000000"/>
          <w:lang w:val="en-GB"/>
        </w:rPr>
        <w:t>itself,</w:t>
      </w:r>
      <w:r w:rsidR="00FC2FB1" w:rsidRPr="00F72FB0">
        <w:rPr>
          <w:color w:val="000000"/>
          <w:lang w:val="en-GB"/>
        </w:rPr>
        <w:t xml:space="preserve"> </w:t>
      </w:r>
      <w:r w:rsidRPr="00F72FB0">
        <w:rPr>
          <w:color w:val="000000"/>
          <w:lang w:val="en-GB"/>
        </w:rPr>
        <w:t>not</w:t>
      </w:r>
      <w:r w:rsidR="00FC2FB1" w:rsidRPr="00F72FB0">
        <w:rPr>
          <w:color w:val="000000"/>
          <w:lang w:val="en-GB"/>
        </w:rPr>
        <w:t xml:space="preserve"> </w:t>
      </w:r>
      <w:r w:rsidRPr="00F72FB0">
        <w:rPr>
          <w:color w:val="000000"/>
          <w:lang w:val="en-GB"/>
        </w:rPr>
        <w:t>(with</w:t>
      </w:r>
      <w:r w:rsidR="00FC2FB1" w:rsidRPr="00F72FB0">
        <w:rPr>
          <w:color w:val="000000"/>
          <w:lang w:val="en-GB"/>
        </w:rPr>
        <w:t xml:space="preserve"> </w:t>
      </w:r>
      <w:r w:rsidRPr="00F72FB0">
        <w:rPr>
          <w:color w:val="000000"/>
          <w:lang w:val="en-GB"/>
        </w:rPr>
        <w:t>respect)</w:t>
      </w:r>
      <w:r w:rsidR="00FC2FB1" w:rsidRPr="00F72FB0">
        <w:rPr>
          <w:color w:val="000000"/>
          <w:lang w:val="en-GB"/>
        </w:rPr>
        <w:t xml:space="preserve"> </w:t>
      </w:r>
      <w:r w:rsidRPr="00F72FB0">
        <w:rPr>
          <w:color w:val="000000"/>
          <w:lang w:val="en-GB"/>
        </w:rPr>
        <w:t>in</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opinions</w:t>
      </w:r>
      <w:r w:rsidR="00FC2FB1" w:rsidRPr="00F72FB0">
        <w:rPr>
          <w:color w:val="000000"/>
          <w:lang w:val="en-GB"/>
        </w:rPr>
        <w:t xml:space="preserve"> </w:t>
      </w:r>
      <w:r w:rsidRPr="00F72FB0">
        <w:rPr>
          <w:color w:val="000000"/>
          <w:lang w:val="en-GB"/>
        </w:rPr>
        <w:t>of</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Advocates</w:t>
      </w:r>
      <w:r w:rsidR="00FC2FB1" w:rsidRPr="00F72FB0">
        <w:rPr>
          <w:color w:val="000000"/>
          <w:lang w:val="en-GB"/>
        </w:rPr>
        <w:t xml:space="preserve"> </w:t>
      </w:r>
      <w:r w:rsidRPr="00F72FB0">
        <w:rPr>
          <w:color w:val="000000"/>
          <w:lang w:val="en-GB"/>
        </w:rPr>
        <w:t>General</w:t>
      </w:r>
      <w:r w:rsidR="00FC2FB1" w:rsidRPr="00F72FB0">
        <w:rPr>
          <w:color w:val="000000"/>
          <w:lang w:val="en-GB"/>
        </w:rPr>
        <w:t xml:space="preserve"> </w:t>
      </w:r>
      <w:r w:rsidRPr="00F72FB0">
        <w:rPr>
          <w:color w:val="000000"/>
          <w:lang w:val="en-GB"/>
        </w:rPr>
        <w:t>nor</w:t>
      </w:r>
      <w:r w:rsidR="00FC2FB1" w:rsidRPr="00F72FB0">
        <w:rPr>
          <w:color w:val="000000"/>
          <w:lang w:val="en-GB"/>
        </w:rPr>
        <w:t xml:space="preserve"> </w:t>
      </w:r>
      <w:r w:rsidRPr="00F72FB0">
        <w:rPr>
          <w:color w:val="000000"/>
          <w:lang w:val="en-GB"/>
        </w:rPr>
        <w:t>in</w:t>
      </w:r>
      <w:r w:rsidR="00FC2FB1" w:rsidRPr="00F72FB0">
        <w:rPr>
          <w:color w:val="000000"/>
          <w:lang w:val="en-GB"/>
        </w:rPr>
        <w:t xml:space="preserve"> </w:t>
      </w:r>
      <w:r w:rsidRPr="00F72FB0">
        <w:rPr>
          <w:color w:val="000000"/>
          <w:lang w:val="en-GB"/>
        </w:rPr>
        <w:t>guidance</w:t>
      </w:r>
      <w:r w:rsidR="00FC2FB1" w:rsidRPr="00F72FB0">
        <w:rPr>
          <w:color w:val="000000"/>
          <w:lang w:val="en-GB"/>
        </w:rPr>
        <w:t xml:space="preserve"> </w:t>
      </w:r>
      <w:r w:rsidRPr="00F72FB0">
        <w:rPr>
          <w:color w:val="000000"/>
          <w:lang w:val="en-GB"/>
        </w:rPr>
        <w:t>issued</w:t>
      </w:r>
      <w:r w:rsidR="00FC2FB1" w:rsidRPr="00F72FB0">
        <w:rPr>
          <w:color w:val="000000"/>
          <w:lang w:val="en-GB"/>
        </w:rPr>
        <w:t xml:space="preserve"> </w:t>
      </w:r>
      <w:r w:rsidRPr="00F72FB0">
        <w:rPr>
          <w:color w:val="000000"/>
          <w:lang w:val="en-GB"/>
        </w:rPr>
        <w:t>by</w:t>
      </w:r>
      <w:r w:rsidR="00FC2FB1" w:rsidRPr="00F72FB0">
        <w:rPr>
          <w:color w:val="000000"/>
          <w:lang w:val="en-GB"/>
        </w:rPr>
        <w:t xml:space="preserve"> </w:t>
      </w:r>
      <w:r w:rsidRPr="00F72FB0">
        <w:rPr>
          <w:color w:val="000000"/>
          <w:lang w:val="en-GB"/>
        </w:rPr>
        <w:t>the</w:t>
      </w:r>
      <w:r w:rsidR="00FC2FB1" w:rsidRPr="00F72FB0">
        <w:rPr>
          <w:color w:val="000000"/>
          <w:lang w:val="en-GB"/>
        </w:rPr>
        <w:t xml:space="preserve"> </w:t>
      </w:r>
      <w:r w:rsidRPr="00F72FB0">
        <w:rPr>
          <w:color w:val="000000"/>
          <w:lang w:val="en-GB"/>
        </w:rPr>
        <w:t>Commission</w:t>
      </w:r>
      <w:r w:rsidR="00FC2FB1" w:rsidRPr="00F72FB0">
        <w:rPr>
          <w:color w:val="000000"/>
          <w:lang w:val="en-GB"/>
        </w:rPr>
        <w:t xml:space="preserve"> </w:t>
      </w:r>
      <w:r w:rsidRPr="00F72FB0">
        <w:rPr>
          <w:color w:val="000000"/>
          <w:lang w:val="en-GB"/>
        </w:rPr>
        <w:t>(however</w:t>
      </w:r>
      <w:r w:rsidR="00FC2FB1" w:rsidRPr="00F72FB0">
        <w:rPr>
          <w:color w:val="000000"/>
          <w:lang w:val="en-GB"/>
        </w:rPr>
        <w:t xml:space="preserve"> </w:t>
      </w:r>
      <w:r w:rsidRPr="00F72FB0">
        <w:rPr>
          <w:color w:val="000000"/>
          <w:lang w:val="en-GB"/>
        </w:rPr>
        <w:t>useful</w:t>
      </w:r>
      <w:r w:rsidR="00FC2FB1" w:rsidRPr="00F72FB0">
        <w:rPr>
          <w:color w:val="000000"/>
          <w:lang w:val="en-GB"/>
        </w:rPr>
        <w:t xml:space="preserve"> </w:t>
      </w:r>
      <w:r w:rsidRPr="00F72FB0">
        <w:rPr>
          <w:color w:val="000000"/>
          <w:lang w:val="en-GB"/>
        </w:rPr>
        <w:t>it</w:t>
      </w:r>
      <w:r w:rsidR="00FC2FB1" w:rsidRPr="00F72FB0">
        <w:rPr>
          <w:color w:val="000000"/>
          <w:lang w:val="en-GB"/>
        </w:rPr>
        <w:t xml:space="preserve"> </w:t>
      </w:r>
      <w:r w:rsidRPr="00F72FB0">
        <w:rPr>
          <w:color w:val="000000"/>
          <w:lang w:val="en-GB"/>
        </w:rPr>
        <w:t>may</w:t>
      </w:r>
      <w:r w:rsidR="00FC2FB1" w:rsidRPr="00F72FB0">
        <w:rPr>
          <w:color w:val="000000"/>
          <w:lang w:val="en-GB"/>
        </w:rPr>
        <w:t xml:space="preserve"> </w:t>
      </w:r>
      <w:r w:rsidRPr="00F72FB0">
        <w:rPr>
          <w:color w:val="000000"/>
          <w:lang w:val="en-GB"/>
        </w:rPr>
        <w:t>be</w:t>
      </w:r>
      <w:r w:rsidR="00FC2FB1" w:rsidRPr="00F72FB0">
        <w:rPr>
          <w:color w:val="000000"/>
          <w:lang w:val="en-GB"/>
        </w:rPr>
        <w:t xml:space="preserve"> </w:t>
      </w:r>
      <w:r w:rsidRPr="00F72FB0">
        <w:rPr>
          <w:color w:val="000000"/>
          <w:lang w:val="en-GB"/>
        </w:rPr>
        <w:t>as</w:t>
      </w:r>
      <w:r w:rsidR="00FC2FB1" w:rsidRPr="00F72FB0">
        <w:rPr>
          <w:color w:val="000000"/>
          <w:lang w:val="en-GB"/>
        </w:rPr>
        <w:t xml:space="preserve"> </w:t>
      </w:r>
      <w:r w:rsidRPr="00F72FB0">
        <w:rPr>
          <w:color w:val="000000"/>
          <w:lang w:val="en-GB"/>
        </w:rPr>
        <w:t>an</w:t>
      </w:r>
      <w:r w:rsidR="00FC2FB1" w:rsidRPr="00F72FB0">
        <w:rPr>
          <w:color w:val="000000"/>
          <w:lang w:val="en-GB"/>
        </w:rPr>
        <w:t xml:space="preserve"> </w:t>
      </w:r>
      <w:r w:rsidRPr="00F72FB0">
        <w:rPr>
          <w:color w:val="000000"/>
          <w:lang w:val="en-GB"/>
        </w:rPr>
        <w:t>indication</w:t>
      </w:r>
      <w:r w:rsidR="00FC2FB1" w:rsidRPr="00F72FB0">
        <w:rPr>
          <w:color w:val="000000"/>
          <w:lang w:val="en-GB"/>
        </w:rPr>
        <w:t xml:space="preserve"> </w:t>
      </w:r>
      <w:r w:rsidRPr="00F72FB0">
        <w:rPr>
          <w:color w:val="000000"/>
          <w:lang w:val="en-GB"/>
        </w:rPr>
        <w:t>of</w:t>
      </w:r>
      <w:r w:rsidR="00FC2FB1" w:rsidRPr="00F72FB0">
        <w:rPr>
          <w:color w:val="000000"/>
          <w:lang w:val="en-GB"/>
        </w:rPr>
        <w:t xml:space="preserve"> </w:t>
      </w:r>
      <w:r w:rsidRPr="00F72FB0">
        <w:rPr>
          <w:color w:val="000000"/>
          <w:lang w:val="en-GB"/>
        </w:rPr>
        <w:t>good</w:t>
      </w:r>
      <w:r w:rsidR="00FC2FB1" w:rsidRPr="00F72FB0">
        <w:rPr>
          <w:color w:val="000000"/>
          <w:lang w:val="en-GB"/>
        </w:rPr>
        <w:t xml:space="preserve"> </w:t>
      </w:r>
      <w:r w:rsidRPr="00F72FB0">
        <w:rPr>
          <w:color w:val="000000"/>
          <w:lang w:val="en-GB"/>
        </w:rPr>
        <w:t>practice).’</w:t>
      </w:r>
      <w:r w:rsidRPr="00F72FB0">
        <w:rPr>
          <w:rStyle w:val="Alaviitteenviite"/>
          <w:color w:val="000000"/>
          <w:lang w:val="en-GB"/>
        </w:rPr>
        <w:footnoteReference w:id="66"/>
      </w:r>
    </w:p>
    <w:p w14:paraId="189A82D1" w14:textId="6FAA7469" w:rsidR="00851177" w:rsidRPr="00F72FB0" w:rsidRDefault="00EA26BD" w:rsidP="00E14136">
      <w:pPr>
        <w:spacing w:line="360" w:lineRule="auto"/>
        <w:contextualSpacing/>
        <w:jc w:val="both"/>
        <w:rPr>
          <w:lang w:val="en-GB"/>
        </w:rPr>
      </w:pPr>
      <w:r w:rsidRPr="00F72FB0">
        <w:rPr>
          <w:lang w:val="en-GB"/>
        </w:rPr>
        <w:lastRenderedPageBreak/>
        <w:t>There</w:t>
      </w:r>
      <w:r w:rsidR="00FC2FB1" w:rsidRPr="00F72FB0">
        <w:rPr>
          <w:lang w:val="en-GB"/>
        </w:rPr>
        <w:t xml:space="preserve"> </w:t>
      </w:r>
      <w:r w:rsidRPr="00F72FB0">
        <w:rPr>
          <w:lang w:val="en-GB"/>
        </w:rPr>
        <w:t>are</w:t>
      </w:r>
      <w:r w:rsidR="00FC2FB1" w:rsidRPr="00F72FB0">
        <w:rPr>
          <w:lang w:val="en-GB"/>
        </w:rPr>
        <w:t xml:space="preserve"> </w:t>
      </w:r>
      <w:r w:rsidRPr="00F72FB0">
        <w:rPr>
          <w:lang w:val="en-GB"/>
        </w:rPr>
        <w:t>various</w:t>
      </w:r>
      <w:r w:rsidR="00FC2FB1" w:rsidRPr="00F72FB0">
        <w:rPr>
          <w:lang w:val="en-GB"/>
        </w:rPr>
        <w:t xml:space="preserve"> </w:t>
      </w:r>
      <w:r w:rsidRPr="00F72FB0">
        <w:rPr>
          <w:lang w:val="en-GB"/>
        </w:rPr>
        <w:t>reasons</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which</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relied</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by</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administration.</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first</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relates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statutory</w:t>
      </w:r>
      <w:r w:rsidR="00FC2FB1" w:rsidRPr="00F72FB0">
        <w:rPr>
          <w:lang w:val="en-GB"/>
        </w:rPr>
        <w:t xml:space="preserve"> </w:t>
      </w:r>
      <w:r w:rsidRPr="00F72FB0">
        <w:rPr>
          <w:lang w:val="en-GB"/>
        </w:rPr>
        <w:t>obligations.</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competition,</w:t>
      </w:r>
      <w:r w:rsidR="00FC2FB1" w:rsidRPr="00F72FB0">
        <w:rPr>
          <w:lang w:val="en-GB"/>
        </w:rPr>
        <w:t xml:space="preserve"> </w:t>
      </w:r>
      <w:r w:rsidRPr="00F72FB0">
        <w:rPr>
          <w:lang w:val="en-GB"/>
        </w:rPr>
        <w:t>S</w:t>
      </w:r>
      <w:r w:rsidR="00CE125A" w:rsidRPr="00F72FB0">
        <w:rPr>
          <w:lang w:val="en-GB"/>
        </w:rPr>
        <w:t>ection</w:t>
      </w:r>
      <w:r w:rsidR="00FC2FB1" w:rsidRPr="00F72FB0">
        <w:rPr>
          <w:lang w:val="en-GB"/>
        </w:rPr>
        <w:t xml:space="preserve"> </w:t>
      </w:r>
      <w:r w:rsidR="00CE125A" w:rsidRPr="00F72FB0">
        <w:rPr>
          <w:lang w:val="en-GB"/>
        </w:rPr>
        <w:t>60(3)</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the</w:t>
      </w:r>
      <w:r w:rsidR="00FC2FB1" w:rsidRPr="00F72FB0">
        <w:rPr>
          <w:lang w:val="en-GB"/>
        </w:rPr>
        <w:t xml:space="preserve"> </w:t>
      </w:r>
      <w:r w:rsidR="00A136A2" w:rsidRPr="00F72FB0">
        <w:rPr>
          <w:lang w:val="en-GB"/>
        </w:rPr>
        <w:t xml:space="preserve">UK </w:t>
      </w:r>
      <w:r w:rsidR="00CE125A" w:rsidRPr="00F72FB0">
        <w:rPr>
          <w:lang w:val="en-GB"/>
        </w:rPr>
        <w:t>C</w:t>
      </w:r>
      <w:r w:rsidR="00A136A2" w:rsidRPr="00F72FB0">
        <w:rPr>
          <w:lang w:val="en-GB"/>
        </w:rPr>
        <w:t>ompetition Act 1998 (C</w:t>
      </w:r>
      <w:r w:rsidR="00CE125A" w:rsidRPr="00F72FB0">
        <w:rPr>
          <w:lang w:val="en-GB"/>
        </w:rPr>
        <w:t>A</w:t>
      </w:r>
      <w:r w:rsidR="00FC2FB1" w:rsidRPr="00F72FB0">
        <w:rPr>
          <w:lang w:val="en-GB"/>
        </w:rPr>
        <w:t xml:space="preserve"> </w:t>
      </w:r>
      <w:r w:rsidR="00CE125A" w:rsidRPr="00F72FB0">
        <w:rPr>
          <w:lang w:val="en-GB"/>
        </w:rPr>
        <w:t>’98</w:t>
      </w:r>
      <w:r w:rsidR="00A136A2" w:rsidRPr="00F72FB0">
        <w:rPr>
          <w:lang w:val="en-GB"/>
        </w:rPr>
        <w:t>)</w:t>
      </w:r>
      <w:r w:rsidR="00A136A2" w:rsidRPr="00F72FB0">
        <w:rPr>
          <w:rStyle w:val="Alaviitteenviite"/>
          <w:lang w:val="en-GB"/>
        </w:rPr>
        <w:footnoteReference w:id="67"/>
      </w:r>
      <w:r w:rsidR="00FC2FB1" w:rsidRPr="00F72FB0">
        <w:rPr>
          <w:lang w:val="en-GB"/>
        </w:rPr>
        <w:t xml:space="preserve"> </w:t>
      </w:r>
      <w:r w:rsidRPr="00F72FB0">
        <w:rPr>
          <w:lang w:val="en-GB"/>
        </w:rPr>
        <w:t>advises</w:t>
      </w:r>
      <w:r w:rsidR="00FC2FB1" w:rsidRPr="00F72FB0">
        <w:rPr>
          <w:lang w:val="en-GB"/>
        </w:rPr>
        <w:t xml:space="preserve"> </w:t>
      </w:r>
      <w:r w:rsidRPr="00F72FB0">
        <w:rPr>
          <w:lang w:val="en-GB"/>
        </w:rPr>
        <w:t>authorities</w:t>
      </w:r>
      <w:r w:rsidR="00FC2FB1" w:rsidRPr="00F72FB0">
        <w:rPr>
          <w:lang w:val="en-GB"/>
        </w:rPr>
        <w:t xml:space="preserve"> </w:t>
      </w:r>
      <w:r w:rsidRPr="00F72FB0">
        <w:rPr>
          <w:lang w:val="en-GB"/>
        </w:rPr>
        <w:t>to</w:t>
      </w:r>
      <w:r w:rsidR="00FC2FB1" w:rsidRPr="00F72FB0">
        <w:rPr>
          <w:lang w:val="en-GB"/>
        </w:rPr>
        <w:t xml:space="preserve"> </w:t>
      </w:r>
      <w:r w:rsidR="00CE125A" w:rsidRPr="00F72FB0">
        <w:rPr>
          <w:lang w:val="en-GB"/>
        </w:rPr>
        <w:t>‘have</w:t>
      </w:r>
      <w:r w:rsidR="00FC2FB1" w:rsidRPr="00F72FB0">
        <w:rPr>
          <w:lang w:val="en-GB"/>
        </w:rPr>
        <w:t xml:space="preserve"> </w:t>
      </w:r>
      <w:r w:rsidR="00CE125A" w:rsidRPr="00F72FB0">
        <w:rPr>
          <w:lang w:val="en-GB"/>
        </w:rPr>
        <w:t>regard</w:t>
      </w:r>
      <w:r w:rsidR="00FC2FB1" w:rsidRPr="00F72FB0">
        <w:rPr>
          <w:lang w:val="en-GB"/>
        </w:rPr>
        <w:t xml:space="preserve"> </w:t>
      </w:r>
      <w:r w:rsidR="00CE125A" w:rsidRPr="00F72FB0">
        <w:rPr>
          <w:lang w:val="en-GB"/>
        </w:rPr>
        <w:t>to</w:t>
      </w:r>
      <w:r w:rsidR="00FC2FB1" w:rsidRPr="00F72FB0">
        <w:rPr>
          <w:lang w:val="en-GB"/>
        </w:rPr>
        <w:t xml:space="preserve"> </w:t>
      </w:r>
      <w:r w:rsidR="00CE125A" w:rsidRPr="00F72FB0">
        <w:rPr>
          <w:lang w:val="en-GB"/>
        </w:rPr>
        <w:t>any</w:t>
      </w:r>
      <w:r w:rsidR="00FC2FB1" w:rsidRPr="00F72FB0">
        <w:rPr>
          <w:lang w:val="en-GB"/>
        </w:rPr>
        <w:t xml:space="preserve"> </w:t>
      </w:r>
      <w:r w:rsidR="00CE125A" w:rsidRPr="00F72FB0">
        <w:rPr>
          <w:lang w:val="en-GB"/>
        </w:rPr>
        <w:t>relevant</w:t>
      </w:r>
      <w:r w:rsidR="00FC2FB1" w:rsidRPr="00F72FB0">
        <w:rPr>
          <w:lang w:val="en-GB"/>
        </w:rPr>
        <w:t xml:space="preserve"> </w:t>
      </w:r>
      <w:r w:rsidR="00CE125A" w:rsidRPr="00F72FB0">
        <w:rPr>
          <w:lang w:val="en-GB"/>
        </w:rPr>
        <w:t>decision</w:t>
      </w:r>
      <w:r w:rsidR="00FC2FB1" w:rsidRPr="00F72FB0">
        <w:rPr>
          <w:lang w:val="en-GB"/>
        </w:rPr>
        <w:t xml:space="preserve"> </w:t>
      </w:r>
      <w:r w:rsidR="00CE125A" w:rsidRPr="00F72FB0">
        <w:rPr>
          <w:lang w:val="en-GB"/>
        </w:rPr>
        <w:t>or</w:t>
      </w:r>
      <w:r w:rsidR="00FC2FB1" w:rsidRPr="00F72FB0">
        <w:rPr>
          <w:lang w:val="en-GB"/>
        </w:rPr>
        <w:t xml:space="preserve"> </w:t>
      </w:r>
      <w:r w:rsidR="00CE125A" w:rsidRPr="00F72FB0">
        <w:rPr>
          <w:lang w:val="en-GB"/>
        </w:rPr>
        <w:t>statement</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[European]</w:t>
      </w:r>
      <w:r w:rsidR="00FC2FB1" w:rsidRPr="00F72FB0">
        <w:rPr>
          <w:lang w:val="en-GB"/>
        </w:rPr>
        <w:t xml:space="preserve"> </w:t>
      </w:r>
      <w:r w:rsidR="00CE125A" w:rsidRPr="00F72FB0">
        <w:rPr>
          <w:lang w:val="en-GB"/>
        </w:rPr>
        <w:t>Commission’</w:t>
      </w:r>
      <w:r w:rsidR="00991FF6">
        <w:rPr>
          <w:lang w:val="en-GB"/>
        </w:rPr>
        <w:t>.</w:t>
      </w:r>
      <w:r w:rsidR="00CE125A" w:rsidRPr="00F72FB0">
        <w:rPr>
          <w:rStyle w:val="Alaviitteenviite"/>
          <w:lang w:val="en-GB"/>
        </w:rPr>
        <w:footnoteReference w:id="68"/>
      </w:r>
      <w:r w:rsidR="00FC2FB1" w:rsidRPr="00F72FB0">
        <w:rPr>
          <w:lang w:val="en-GB"/>
        </w:rPr>
        <w:t xml:space="preserve"> </w:t>
      </w:r>
      <w:r w:rsidR="00CE125A" w:rsidRPr="00F72FB0">
        <w:rPr>
          <w:lang w:val="en-GB"/>
        </w:rPr>
        <w:t>Indeed,</w:t>
      </w:r>
      <w:r w:rsidR="00FC2FB1" w:rsidRPr="00F72FB0">
        <w:rPr>
          <w:lang w:val="en-GB"/>
        </w:rPr>
        <w:t xml:space="preserve"> </w:t>
      </w:r>
      <w:r w:rsidR="00CE125A" w:rsidRPr="00F72FB0">
        <w:rPr>
          <w:lang w:val="en-GB"/>
        </w:rPr>
        <w:t>Georgieva</w:t>
      </w:r>
      <w:r w:rsidR="00FC2FB1" w:rsidRPr="00F72FB0">
        <w:rPr>
          <w:lang w:val="en-GB"/>
        </w:rPr>
        <w:t xml:space="preserve"> </w:t>
      </w:r>
      <w:r w:rsidR="00CE125A" w:rsidRPr="00F72FB0">
        <w:rPr>
          <w:lang w:val="en-GB"/>
        </w:rPr>
        <w:t>finds</w:t>
      </w:r>
      <w:r w:rsidR="00FC2FB1" w:rsidRPr="00F72FB0">
        <w:rPr>
          <w:lang w:val="en-GB"/>
        </w:rPr>
        <w:t xml:space="preserve"> </w:t>
      </w:r>
      <w:r w:rsidR="00CE125A" w:rsidRPr="00F72FB0">
        <w:rPr>
          <w:lang w:val="en-GB"/>
        </w:rPr>
        <w:t>that</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existence</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such</w:t>
      </w:r>
      <w:r w:rsidR="00FC2FB1" w:rsidRPr="00F72FB0">
        <w:rPr>
          <w:lang w:val="en-GB"/>
        </w:rPr>
        <w:t xml:space="preserve"> </w:t>
      </w:r>
      <w:r w:rsidR="00CE125A" w:rsidRPr="00F72FB0">
        <w:rPr>
          <w:lang w:val="en-GB"/>
        </w:rPr>
        <w:t>consistency</w:t>
      </w:r>
      <w:r w:rsidR="00FC2FB1" w:rsidRPr="00F72FB0">
        <w:rPr>
          <w:lang w:val="en-GB"/>
        </w:rPr>
        <w:t xml:space="preserve"> </w:t>
      </w:r>
      <w:r w:rsidR="00CE125A" w:rsidRPr="00F72FB0">
        <w:rPr>
          <w:lang w:val="en-GB"/>
        </w:rPr>
        <w:t>obligation</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national</w:t>
      </w:r>
      <w:r w:rsidR="00FC2FB1" w:rsidRPr="00F72FB0">
        <w:rPr>
          <w:lang w:val="en-GB"/>
        </w:rPr>
        <w:t xml:space="preserve"> </w:t>
      </w:r>
      <w:r w:rsidR="00CE125A" w:rsidRPr="00F72FB0">
        <w:rPr>
          <w:lang w:val="en-GB"/>
        </w:rPr>
        <w:t>legal</w:t>
      </w:r>
      <w:r w:rsidR="00FC2FB1" w:rsidRPr="00F72FB0">
        <w:rPr>
          <w:lang w:val="en-GB"/>
        </w:rPr>
        <w:t xml:space="preserve"> </w:t>
      </w:r>
      <w:r w:rsidR="00CE125A" w:rsidRPr="00F72FB0">
        <w:rPr>
          <w:lang w:val="en-GB"/>
        </w:rPr>
        <w:t>order</w:t>
      </w:r>
      <w:r w:rsidR="00FC2FB1" w:rsidRPr="00F72FB0">
        <w:rPr>
          <w:lang w:val="en-GB"/>
        </w:rPr>
        <w:t xml:space="preserve"> </w:t>
      </w:r>
      <w:r w:rsidR="00CE125A" w:rsidRPr="00F72FB0">
        <w:rPr>
          <w:lang w:val="en-GB"/>
        </w:rPr>
        <w:t>might</w:t>
      </w:r>
      <w:r w:rsidR="00FC2FB1" w:rsidRPr="00F72FB0">
        <w:rPr>
          <w:lang w:val="en-GB"/>
        </w:rPr>
        <w:t xml:space="preserve"> </w:t>
      </w:r>
      <w:r w:rsidR="00CE125A" w:rsidRPr="00F72FB0">
        <w:rPr>
          <w:lang w:val="en-GB"/>
        </w:rPr>
        <w:t>make</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application</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soft</w:t>
      </w:r>
      <w:r w:rsidR="00FC2FB1" w:rsidRPr="00F72FB0">
        <w:rPr>
          <w:lang w:val="en-GB"/>
        </w:rPr>
        <w:t xml:space="preserve"> </w:t>
      </w:r>
      <w:r w:rsidR="00CE125A" w:rsidRPr="00F72FB0">
        <w:rPr>
          <w:lang w:val="en-GB"/>
        </w:rPr>
        <w:t>law</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court</w:t>
      </w:r>
      <w:r w:rsidR="00FC2FB1" w:rsidRPr="00F72FB0">
        <w:rPr>
          <w:lang w:val="en-GB"/>
        </w:rPr>
        <w:t xml:space="preserve"> </w:t>
      </w:r>
      <w:r w:rsidR="00CE125A" w:rsidRPr="00F72FB0">
        <w:rPr>
          <w:lang w:val="en-GB"/>
        </w:rPr>
        <w:t>more</w:t>
      </w:r>
      <w:r w:rsidR="00FC2FB1" w:rsidRPr="00F72FB0">
        <w:rPr>
          <w:lang w:val="en-GB"/>
        </w:rPr>
        <w:t xml:space="preserve"> </w:t>
      </w:r>
      <w:r w:rsidR="00CE125A" w:rsidRPr="00F72FB0">
        <w:rPr>
          <w:lang w:val="en-GB"/>
        </w:rPr>
        <w:t>likely.</w:t>
      </w:r>
      <w:r w:rsidR="00232620" w:rsidRPr="00F72FB0">
        <w:rPr>
          <w:rStyle w:val="Alaviitteenviite"/>
          <w:lang w:val="en-GB"/>
        </w:rPr>
        <w:footnoteReference w:id="69"/>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point</w:t>
      </w:r>
      <w:r w:rsidR="00FC2FB1" w:rsidRPr="00F72FB0">
        <w:rPr>
          <w:lang w:val="en-GB"/>
        </w:rPr>
        <w:t xml:space="preserve"> </w:t>
      </w:r>
      <w:r w:rsidR="00CE125A" w:rsidRPr="00F72FB0">
        <w:rPr>
          <w:lang w:val="en-GB"/>
        </w:rPr>
        <w:t>is</w:t>
      </w:r>
      <w:r w:rsidR="00FC2FB1" w:rsidRPr="00F72FB0">
        <w:rPr>
          <w:lang w:val="en-GB"/>
        </w:rPr>
        <w:t xml:space="preserve"> </w:t>
      </w:r>
      <w:r w:rsidR="00CE125A" w:rsidRPr="00F72FB0">
        <w:rPr>
          <w:lang w:val="en-GB"/>
        </w:rPr>
        <w:t>made</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relation</w:t>
      </w:r>
      <w:r w:rsidR="00FC2FB1" w:rsidRPr="00F72FB0">
        <w:rPr>
          <w:lang w:val="en-GB"/>
        </w:rPr>
        <w:t xml:space="preserve"> </w:t>
      </w:r>
      <w:r w:rsidR="00CE125A" w:rsidRPr="00F72FB0">
        <w:rPr>
          <w:lang w:val="en-GB"/>
        </w:rPr>
        <w:t>with</w:t>
      </w:r>
      <w:r w:rsidR="00FC2FB1" w:rsidRPr="00F72FB0">
        <w:rPr>
          <w:lang w:val="en-GB"/>
        </w:rPr>
        <w:t xml:space="preserve"> </w:t>
      </w:r>
      <w:r w:rsidR="00CE125A" w:rsidRPr="00F72FB0">
        <w:rPr>
          <w:lang w:val="en-GB"/>
        </w:rPr>
        <w:t>a</w:t>
      </w:r>
      <w:r w:rsidR="00FC2FB1" w:rsidRPr="00F72FB0">
        <w:rPr>
          <w:lang w:val="en-GB"/>
        </w:rPr>
        <w:t xml:space="preserve"> </w:t>
      </w:r>
      <w:r w:rsidR="00CE125A" w:rsidRPr="00F72FB0">
        <w:rPr>
          <w:lang w:val="en-GB"/>
        </w:rPr>
        <w:t>CAT</w:t>
      </w:r>
      <w:r w:rsidR="00FC2FB1" w:rsidRPr="00F72FB0">
        <w:rPr>
          <w:lang w:val="en-GB"/>
        </w:rPr>
        <w:t xml:space="preserve"> </w:t>
      </w:r>
      <w:r w:rsidR="00CE125A" w:rsidRPr="00F72FB0">
        <w:rPr>
          <w:lang w:val="en-GB"/>
        </w:rPr>
        <w:t>judgment</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i/>
          <w:lang w:val="en-GB"/>
        </w:rPr>
        <w:t>Cityhook</w:t>
      </w:r>
      <w:r w:rsidR="00CE125A" w:rsidRPr="00F72FB0">
        <w:rPr>
          <w:rStyle w:val="Alaviitteenviite"/>
          <w:i/>
          <w:lang w:val="en-GB"/>
        </w:rPr>
        <w:footnoteReference w:id="70"/>
      </w:r>
      <w:r w:rsidR="00CE125A" w:rsidRPr="00F72FB0">
        <w:rPr>
          <w:lang w:val="en-GB"/>
        </w:rPr>
        <w:t>,</w:t>
      </w:r>
      <w:r w:rsidR="00FC2FB1" w:rsidRPr="00F72FB0">
        <w:rPr>
          <w:lang w:val="en-GB"/>
        </w:rPr>
        <w:t xml:space="preserve"> </w:t>
      </w:r>
      <w:r w:rsidR="00CE125A" w:rsidRPr="00F72FB0">
        <w:rPr>
          <w:lang w:val="en-GB"/>
        </w:rPr>
        <w:t>where,</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absence</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relevant</w:t>
      </w:r>
      <w:r w:rsidR="00FC2FB1" w:rsidRPr="00F72FB0">
        <w:rPr>
          <w:lang w:val="en-GB"/>
        </w:rPr>
        <w:t xml:space="preserve"> </w:t>
      </w:r>
      <w:r w:rsidR="00CE125A" w:rsidRPr="00F72FB0">
        <w:rPr>
          <w:lang w:val="en-GB"/>
        </w:rPr>
        <w:t>case</w:t>
      </w:r>
      <w:r w:rsidR="00FC2FB1" w:rsidRPr="00F72FB0">
        <w:rPr>
          <w:lang w:val="en-GB"/>
        </w:rPr>
        <w:t xml:space="preserve"> </w:t>
      </w:r>
      <w:r w:rsidR="00CE125A" w:rsidRPr="00F72FB0">
        <w:rPr>
          <w:lang w:val="en-GB"/>
        </w:rPr>
        <w:t>law</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matter,</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Court</w:t>
      </w:r>
      <w:r w:rsidR="00FC2FB1" w:rsidRPr="00F72FB0">
        <w:rPr>
          <w:lang w:val="en-GB"/>
        </w:rPr>
        <w:t xml:space="preserve"> </w:t>
      </w:r>
      <w:r w:rsidR="00CE125A" w:rsidRPr="00F72FB0">
        <w:rPr>
          <w:lang w:val="en-GB"/>
        </w:rPr>
        <w:t>used</w:t>
      </w:r>
      <w:r w:rsidR="00FC2FB1" w:rsidRPr="00F72FB0">
        <w:rPr>
          <w:lang w:val="en-GB"/>
        </w:rPr>
        <w:t xml:space="preserve"> </w:t>
      </w:r>
      <w:r w:rsidR="00CE125A" w:rsidRPr="00F72FB0">
        <w:rPr>
          <w:lang w:val="en-GB"/>
        </w:rPr>
        <w:t>Section</w:t>
      </w:r>
      <w:r w:rsidR="00FC2FB1" w:rsidRPr="00F72FB0">
        <w:rPr>
          <w:lang w:val="en-GB"/>
        </w:rPr>
        <w:t xml:space="preserve"> </w:t>
      </w:r>
      <w:r w:rsidR="00CE125A" w:rsidRPr="00F72FB0">
        <w:rPr>
          <w:lang w:val="en-GB"/>
        </w:rPr>
        <w:t>60</w:t>
      </w:r>
      <w:r w:rsidR="00FC2FB1" w:rsidRPr="00F72FB0">
        <w:rPr>
          <w:lang w:val="en-GB"/>
        </w:rPr>
        <w:t xml:space="preserve"> </w:t>
      </w:r>
      <w:r w:rsidR="00CE125A" w:rsidRPr="00F72FB0">
        <w:rPr>
          <w:lang w:val="en-GB"/>
        </w:rPr>
        <w:t>(3)</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CA</w:t>
      </w:r>
      <w:r w:rsidR="00FC2FB1" w:rsidRPr="00F72FB0">
        <w:rPr>
          <w:lang w:val="en-GB"/>
        </w:rPr>
        <w:t xml:space="preserve"> </w:t>
      </w:r>
      <w:r w:rsidR="00CE125A" w:rsidRPr="00F72FB0">
        <w:rPr>
          <w:lang w:val="en-GB"/>
        </w:rPr>
        <w:t>’98</w:t>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lang w:val="en-GB"/>
        </w:rPr>
        <w:t>order</w:t>
      </w:r>
      <w:r w:rsidR="00FC2FB1" w:rsidRPr="00F72FB0">
        <w:rPr>
          <w:lang w:val="en-GB"/>
        </w:rPr>
        <w:t xml:space="preserve"> </w:t>
      </w:r>
      <w:r w:rsidR="00CE125A" w:rsidRPr="00F72FB0">
        <w:rPr>
          <w:lang w:val="en-GB"/>
        </w:rPr>
        <w:t>to</w:t>
      </w:r>
      <w:r w:rsidR="00FC2FB1" w:rsidRPr="00F72FB0">
        <w:rPr>
          <w:lang w:val="en-GB"/>
        </w:rPr>
        <w:t xml:space="preserve"> </w:t>
      </w:r>
      <w:r w:rsidR="00CE125A" w:rsidRPr="00F72FB0">
        <w:rPr>
          <w:lang w:val="en-GB"/>
        </w:rPr>
        <w:t>support</w:t>
      </w:r>
      <w:r w:rsidR="00FC2FB1" w:rsidRPr="00F72FB0">
        <w:rPr>
          <w:lang w:val="en-GB"/>
        </w:rPr>
        <w:t xml:space="preserve"> </w:t>
      </w:r>
      <w:r w:rsidR="00CE125A" w:rsidRPr="00F72FB0">
        <w:rPr>
          <w:lang w:val="en-GB"/>
        </w:rPr>
        <w:t>its</w:t>
      </w:r>
      <w:r w:rsidR="00FC2FB1" w:rsidRPr="00F72FB0">
        <w:rPr>
          <w:lang w:val="en-GB"/>
        </w:rPr>
        <w:t xml:space="preserve"> </w:t>
      </w:r>
      <w:r w:rsidR="00CE125A" w:rsidRPr="00F72FB0">
        <w:rPr>
          <w:lang w:val="en-GB"/>
        </w:rPr>
        <w:t>reliance</w:t>
      </w:r>
      <w:r w:rsidR="00FC2FB1" w:rsidRPr="00F72FB0">
        <w:rPr>
          <w:lang w:val="en-GB"/>
        </w:rPr>
        <w:t xml:space="preserve"> </w:t>
      </w:r>
      <w:r w:rsidR="00CE125A" w:rsidRPr="00F72FB0">
        <w:rPr>
          <w:lang w:val="en-GB"/>
        </w:rPr>
        <w:t>on</w:t>
      </w:r>
      <w:r w:rsidR="00FC2FB1" w:rsidRPr="00F72FB0">
        <w:rPr>
          <w:lang w:val="en-GB"/>
        </w:rPr>
        <w:t xml:space="preserve"> </w:t>
      </w:r>
      <w:r w:rsidR="00CE125A" w:rsidRPr="00F72FB0">
        <w:rPr>
          <w:lang w:val="en-GB"/>
        </w:rPr>
        <w:t>Commission</w:t>
      </w:r>
      <w:r w:rsidR="00FC2FB1" w:rsidRPr="00F72FB0">
        <w:rPr>
          <w:lang w:val="en-GB"/>
        </w:rPr>
        <w:t xml:space="preserve"> </w:t>
      </w:r>
      <w:r w:rsidR="00CE125A" w:rsidRPr="00F72FB0">
        <w:rPr>
          <w:lang w:val="en-GB"/>
        </w:rPr>
        <w:t>guidance</w:t>
      </w:r>
      <w:r w:rsidR="00FC2FB1" w:rsidRPr="00F72FB0">
        <w:rPr>
          <w:lang w:val="en-GB"/>
        </w:rPr>
        <w:t xml:space="preserve"> </w:t>
      </w:r>
      <w:r w:rsidR="00CE125A" w:rsidRPr="00F72FB0">
        <w:rPr>
          <w:lang w:val="en-GB"/>
        </w:rPr>
        <w:t>as</w:t>
      </w:r>
      <w:r w:rsidR="00FC2FB1" w:rsidRPr="00F72FB0">
        <w:rPr>
          <w:lang w:val="en-GB"/>
        </w:rPr>
        <w:t xml:space="preserve"> </w:t>
      </w:r>
      <w:r w:rsidR="00CE125A" w:rsidRPr="00F72FB0">
        <w:rPr>
          <w:lang w:val="en-GB"/>
        </w:rPr>
        <w:t>an</w:t>
      </w:r>
      <w:r w:rsidR="00FC2FB1" w:rsidRPr="00F72FB0">
        <w:rPr>
          <w:lang w:val="en-GB"/>
        </w:rPr>
        <w:t xml:space="preserve"> </w:t>
      </w:r>
      <w:r w:rsidR="00CE125A" w:rsidRPr="00F72FB0">
        <w:rPr>
          <w:lang w:val="en-GB"/>
        </w:rPr>
        <w:t>interpretation</w:t>
      </w:r>
      <w:r w:rsidR="00FC2FB1" w:rsidRPr="00F72FB0">
        <w:rPr>
          <w:lang w:val="en-GB"/>
        </w:rPr>
        <w:t xml:space="preserve"> </w:t>
      </w:r>
      <w:r w:rsidR="00CE125A" w:rsidRPr="00F72FB0">
        <w:rPr>
          <w:lang w:val="en-GB"/>
        </w:rPr>
        <w:t>aid.</w:t>
      </w:r>
      <w:r w:rsidR="00FC2FB1" w:rsidRPr="00F72FB0">
        <w:rPr>
          <w:lang w:val="en-GB"/>
        </w:rPr>
        <w:t xml:space="preserve"> </w:t>
      </w:r>
      <w:r w:rsidR="00CE125A" w:rsidRPr="00F72FB0">
        <w:rPr>
          <w:lang w:val="en-GB"/>
        </w:rPr>
        <w:t>As</w:t>
      </w:r>
      <w:r w:rsidR="00FC2FB1" w:rsidRPr="00F72FB0">
        <w:rPr>
          <w:lang w:val="en-GB"/>
        </w:rPr>
        <w:t xml:space="preserve"> </w:t>
      </w:r>
      <w:r w:rsidR="00CE125A" w:rsidRPr="00F72FB0">
        <w:rPr>
          <w:lang w:val="en-GB"/>
        </w:rPr>
        <w:t>observed</w:t>
      </w:r>
      <w:r w:rsidR="00FC2FB1" w:rsidRPr="00F72FB0">
        <w:rPr>
          <w:lang w:val="en-GB"/>
        </w:rPr>
        <w:t xml:space="preserve"> </w:t>
      </w:r>
      <w:r w:rsidR="00CE125A" w:rsidRPr="00F72FB0">
        <w:rPr>
          <w:lang w:val="en-GB"/>
        </w:rPr>
        <w:t>by</w:t>
      </w:r>
      <w:r w:rsidR="00FC2FB1" w:rsidRPr="00F72FB0">
        <w:rPr>
          <w:lang w:val="en-GB"/>
        </w:rPr>
        <w:t xml:space="preserve"> </w:t>
      </w:r>
      <w:r w:rsidR="00CE125A" w:rsidRPr="00F72FB0">
        <w:rPr>
          <w:lang w:val="en-GB"/>
        </w:rPr>
        <w:t>Devine</w:t>
      </w:r>
      <w:r w:rsidR="00FC2FB1" w:rsidRPr="00F72FB0">
        <w:rPr>
          <w:lang w:val="en-GB"/>
        </w:rPr>
        <w:t xml:space="preserve"> </w:t>
      </w:r>
      <w:r w:rsidR="00CE125A" w:rsidRPr="00F72FB0">
        <w:rPr>
          <w:lang w:val="en-GB"/>
        </w:rPr>
        <w:t>and</w:t>
      </w:r>
      <w:r w:rsidR="00FC2FB1" w:rsidRPr="00F72FB0">
        <w:rPr>
          <w:lang w:val="en-GB"/>
        </w:rPr>
        <w:t xml:space="preserve"> </w:t>
      </w:r>
      <w:r w:rsidR="00CE125A" w:rsidRPr="00F72FB0">
        <w:rPr>
          <w:lang w:val="en-GB"/>
        </w:rPr>
        <w:t>Eliantonio,</w:t>
      </w:r>
      <w:r w:rsidR="00FC2FB1" w:rsidRPr="00F72FB0">
        <w:rPr>
          <w:lang w:val="en-GB"/>
        </w:rPr>
        <w:t xml:space="preserve"> </w:t>
      </w:r>
      <w:r w:rsidR="00CE125A" w:rsidRPr="00F72FB0">
        <w:rPr>
          <w:lang w:val="en-GB"/>
        </w:rPr>
        <w:t>the</w:t>
      </w:r>
      <w:r w:rsidR="00FC2FB1" w:rsidRPr="00F72FB0">
        <w:rPr>
          <w:lang w:val="en-GB"/>
        </w:rPr>
        <w:t xml:space="preserve"> </w:t>
      </w:r>
      <w:r w:rsidR="00CE125A" w:rsidRPr="00F72FB0">
        <w:rPr>
          <w:lang w:val="en-GB"/>
        </w:rPr>
        <w:t>administration</w:t>
      </w:r>
      <w:r w:rsidR="00FC2FB1" w:rsidRPr="00F72FB0">
        <w:rPr>
          <w:lang w:val="en-GB"/>
        </w:rPr>
        <w:t xml:space="preserve"> </w:t>
      </w:r>
      <w:r w:rsidR="00CE125A" w:rsidRPr="00F72FB0">
        <w:rPr>
          <w:lang w:val="en-GB"/>
        </w:rPr>
        <w:t>feels</w:t>
      </w:r>
      <w:r w:rsidR="00FC2FB1" w:rsidRPr="00F72FB0">
        <w:rPr>
          <w:lang w:val="en-GB"/>
        </w:rPr>
        <w:t xml:space="preserve"> </w:t>
      </w:r>
      <w:r w:rsidR="00CE125A" w:rsidRPr="00F72FB0">
        <w:rPr>
          <w:lang w:val="en-GB"/>
        </w:rPr>
        <w:t>also</w:t>
      </w:r>
      <w:r w:rsidR="00FC2FB1" w:rsidRPr="00F72FB0">
        <w:rPr>
          <w:lang w:val="en-GB"/>
        </w:rPr>
        <w:t xml:space="preserve"> </w:t>
      </w:r>
      <w:r w:rsidR="00CE125A" w:rsidRPr="00F72FB0">
        <w:rPr>
          <w:lang w:val="en-GB"/>
        </w:rPr>
        <w:t>somewhat</w:t>
      </w:r>
      <w:r w:rsidR="00FC2FB1" w:rsidRPr="00F72FB0">
        <w:rPr>
          <w:lang w:val="en-GB"/>
        </w:rPr>
        <w:t xml:space="preserve"> </w:t>
      </w:r>
      <w:r w:rsidR="00CE125A" w:rsidRPr="00F72FB0">
        <w:rPr>
          <w:lang w:val="en-GB"/>
        </w:rPr>
        <w:t>bound</w:t>
      </w:r>
      <w:r w:rsidR="00FC2FB1" w:rsidRPr="00F72FB0">
        <w:rPr>
          <w:lang w:val="en-GB"/>
        </w:rPr>
        <w:t xml:space="preserve"> </w:t>
      </w:r>
      <w:r w:rsidR="00CE125A" w:rsidRPr="00F72FB0">
        <w:rPr>
          <w:lang w:val="en-GB"/>
        </w:rPr>
        <w:t>by</w:t>
      </w:r>
      <w:r w:rsidR="00FC2FB1" w:rsidRPr="00F72FB0">
        <w:rPr>
          <w:lang w:val="en-GB"/>
        </w:rPr>
        <w:t xml:space="preserve"> </w:t>
      </w:r>
      <w:r w:rsidR="00CE125A" w:rsidRPr="00F72FB0">
        <w:rPr>
          <w:lang w:val="en-GB"/>
        </w:rPr>
        <w:t>soft</w:t>
      </w:r>
      <w:r w:rsidR="00FC2FB1" w:rsidRPr="00F72FB0">
        <w:rPr>
          <w:lang w:val="en-GB"/>
        </w:rPr>
        <w:t xml:space="preserve"> </w:t>
      </w:r>
      <w:r w:rsidR="00CE125A" w:rsidRPr="00F72FB0">
        <w:rPr>
          <w:lang w:val="en-GB"/>
        </w:rPr>
        <w:t>law</w:t>
      </w:r>
      <w:r w:rsidR="00FC2FB1" w:rsidRPr="00F72FB0">
        <w:rPr>
          <w:lang w:val="en-GB"/>
        </w:rPr>
        <w:t xml:space="preserve"> </w:t>
      </w:r>
      <w:r w:rsidR="00CE125A" w:rsidRPr="00F72FB0">
        <w:rPr>
          <w:lang w:val="en-GB"/>
        </w:rPr>
        <w:t>as</w:t>
      </w:r>
      <w:r w:rsidR="00FC2FB1" w:rsidRPr="00F72FB0">
        <w:rPr>
          <w:lang w:val="en-GB"/>
        </w:rPr>
        <w:t xml:space="preserve"> </w:t>
      </w:r>
      <w:r w:rsidR="00CE125A" w:rsidRPr="00F72FB0">
        <w:rPr>
          <w:lang w:val="en-GB"/>
        </w:rPr>
        <w:t>a</w:t>
      </w:r>
      <w:r w:rsidR="00FC2FB1" w:rsidRPr="00F72FB0">
        <w:rPr>
          <w:lang w:val="en-GB"/>
        </w:rPr>
        <w:t xml:space="preserve"> </w:t>
      </w:r>
      <w:r w:rsidR="00CE125A" w:rsidRPr="00F72FB0">
        <w:rPr>
          <w:lang w:val="en-GB"/>
        </w:rPr>
        <w:t>result</w:t>
      </w:r>
      <w:r w:rsidR="00FC2FB1" w:rsidRPr="00F72FB0">
        <w:rPr>
          <w:lang w:val="en-GB"/>
        </w:rPr>
        <w:t xml:space="preserve"> </w:t>
      </w:r>
      <w:r w:rsidR="00CE125A" w:rsidRPr="00F72FB0">
        <w:rPr>
          <w:lang w:val="en-GB"/>
        </w:rPr>
        <w:t>of</w:t>
      </w:r>
      <w:r w:rsidR="00FC2FB1" w:rsidRPr="00F72FB0">
        <w:rPr>
          <w:lang w:val="en-GB"/>
        </w:rPr>
        <w:t xml:space="preserve"> </w:t>
      </w:r>
      <w:r w:rsidR="00CE125A" w:rsidRPr="00F72FB0">
        <w:rPr>
          <w:lang w:val="en-GB"/>
        </w:rPr>
        <w:t>this</w:t>
      </w:r>
      <w:r w:rsidR="00FC2FB1" w:rsidRPr="00F72FB0">
        <w:rPr>
          <w:lang w:val="en-GB"/>
        </w:rPr>
        <w:t xml:space="preserve"> </w:t>
      </w:r>
      <w:r w:rsidR="00CE125A" w:rsidRPr="00F72FB0">
        <w:rPr>
          <w:lang w:val="en-GB"/>
        </w:rPr>
        <w:t>statutory</w:t>
      </w:r>
      <w:r w:rsidR="00FC2FB1" w:rsidRPr="00F72FB0">
        <w:rPr>
          <w:lang w:val="en-GB"/>
        </w:rPr>
        <w:t xml:space="preserve"> </w:t>
      </w:r>
      <w:r w:rsidR="00CE125A" w:rsidRPr="00F72FB0">
        <w:rPr>
          <w:lang w:val="en-GB"/>
        </w:rPr>
        <w:t>provision.</w:t>
      </w:r>
      <w:r w:rsidR="00D441E6">
        <w:rPr>
          <w:rStyle w:val="Alaviitteenviite"/>
          <w:lang w:val="en-GB"/>
        </w:rPr>
        <w:footnoteReference w:id="71"/>
      </w:r>
      <w:r w:rsidR="00FC2FB1" w:rsidRPr="00F72FB0">
        <w:rPr>
          <w:lang w:val="en-GB"/>
        </w:rPr>
        <w:t xml:space="preserve"> </w:t>
      </w:r>
      <w:r w:rsidR="00CE125A" w:rsidRPr="00F72FB0">
        <w:rPr>
          <w:lang w:val="en-GB"/>
        </w:rPr>
        <w:t>In</w:t>
      </w:r>
      <w:r w:rsidR="00FC2FB1" w:rsidRPr="00F72FB0">
        <w:rPr>
          <w:lang w:val="en-GB"/>
        </w:rPr>
        <w:t xml:space="preserve"> </w:t>
      </w:r>
      <w:r w:rsidR="00CE125A" w:rsidRPr="00F72FB0">
        <w:rPr>
          <w:i/>
          <w:iCs/>
          <w:lang w:val="en-GB"/>
        </w:rPr>
        <w:t>MasterCard</w:t>
      </w:r>
      <w:r w:rsidR="00FC2FB1" w:rsidRPr="00F72FB0">
        <w:rPr>
          <w:lang w:val="en-GB"/>
        </w:rPr>
        <w:t xml:space="preserve"> </w:t>
      </w:r>
      <w:r w:rsidR="00CE125A" w:rsidRPr="00F72FB0">
        <w:rPr>
          <w:lang w:val="en-GB"/>
        </w:rPr>
        <w:t>the</w:t>
      </w:r>
      <w:r w:rsidR="00A86C51" w:rsidRPr="00F72FB0">
        <w:rPr>
          <w:lang w:val="en-GB"/>
        </w:rPr>
        <w:t xml:space="preserve"> Office for Fair Trading</w:t>
      </w:r>
      <w:r w:rsidR="00FC2FB1" w:rsidRPr="00F72FB0">
        <w:rPr>
          <w:lang w:val="en-GB"/>
        </w:rPr>
        <w:t xml:space="preserve"> </w:t>
      </w:r>
      <w:r w:rsidR="00A86C51" w:rsidRPr="00F72FB0">
        <w:rPr>
          <w:lang w:val="en-GB"/>
        </w:rPr>
        <w:t>(</w:t>
      </w:r>
      <w:r w:rsidR="00CE125A" w:rsidRPr="00F72FB0">
        <w:rPr>
          <w:lang w:val="en-GB"/>
        </w:rPr>
        <w:t>OFT</w:t>
      </w:r>
      <w:r w:rsidR="00A86C51" w:rsidRPr="00F72FB0">
        <w:rPr>
          <w:lang w:val="en-GB"/>
        </w:rPr>
        <w:t>; the predecessor of the CMA)</w:t>
      </w:r>
      <w:r w:rsidR="00FC2FB1" w:rsidRPr="00F72FB0">
        <w:rPr>
          <w:lang w:val="en-GB"/>
        </w:rPr>
        <w:t xml:space="preserve"> </w:t>
      </w:r>
      <w:r w:rsidR="00CE125A" w:rsidRPr="00F72FB0">
        <w:rPr>
          <w:lang w:val="en-GB"/>
        </w:rPr>
        <w:t>has</w:t>
      </w:r>
      <w:r w:rsidR="00FC2FB1" w:rsidRPr="00F72FB0">
        <w:rPr>
          <w:lang w:val="en-GB"/>
        </w:rPr>
        <w:t xml:space="preserve"> </w:t>
      </w:r>
      <w:r w:rsidR="00CE125A" w:rsidRPr="00F72FB0">
        <w:rPr>
          <w:lang w:val="en-GB"/>
        </w:rPr>
        <w:t>interpreted</w:t>
      </w:r>
      <w:r w:rsidR="00FC2FB1" w:rsidRPr="00F72FB0">
        <w:rPr>
          <w:lang w:val="en-GB"/>
        </w:rPr>
        <w:t xml:space="preserve"> </w:t>
      </w:r>
      <w:r w:rsidR="00BD76A2" w:rsidRPr="00F72FB0">
        <w:rPr>
          <w:lang w:val="en-GB"/>
        </w:rPr>
        <w:t>the</w:t>
      </w:r>
      <w:r w:rsidR="00FC2FB1" w:rsidRPr="00F72FB0">
        <w:rPr>
          <w:lang w:val="en-GB"/>
        </w:rPr>
        <w:t xml:space="preserve"> </w:t>
      </w:r>
      <w:r w:rsidR="00BD76A2" w:rsidRPr="00F72FB0">
        <w:rPr>
          <w:lang w:val="en-GB"/>
        </w:rPr>
        <w:t>duty</w:t>
      </w:r>
      <w:r w:rsidR="00FC2FB1" w:rsidRPr="00F72FB0">
        <w:rPr>
          <w:lang w:val="en-GB"/>
        </w:rPr>
        <w:t xml:space="preserve"> </w:t>
      </w:r>
      <w:r w:rsidR="00BD76A2" w:rsidRPr="00F72FB0">
        <w:rPr>
          <w:lang w:val="en-GB"/>
        </w:rPr>
        <w:t>of</w:t>
      </w:r>
      <w:r w:rsidR="00FC2FB1" w:rsidRPr="00F72FB0">
        <w:rPr>
          <w:lang w:val="en-GB"/>
        </w:rPr>
        <w:t xml:space="preserve"> </w:t>
      </w:r>
      <w:r w:rsidR="00BD76A2" w:rsidRPr="00F72FB0">
        <w:rPr>
          <w:lang w:val="en-GB"/>
        </w:rPr>
        <w:t>Section</w:t>
      </w:r>
      <w:r w:rsidR="00FC2FB1" w:rsidRPr="00F72FB0">
        <w:rPr>
          <w:lang w:val="en-GB"/>
        </w:rPr>
        <w:t xml:space="preserve"> </w:t>
      </w:r>
      <w:r w:rsidR="00BD76A2" w:rsidRPr="00F72FB0">
        <w:rPr>
          <w:lang w:val="en-GB"/>
        </w:rPr>
        <w:t>60</w:t>
      </w:r>
      <w:r w:rsidR="00FC2FB1" w:rsidRPr="00F72FB0">
        <w:rPr>
          <w:lang w:val="en-GB"/>
        </w:rPr>
        <w:t xml:space="preserve"> </w:t>
      </w:r>
      <w:r w:rsidR="00BD76A2" w:rsidRPr="00F72FB0">
        <w:rPr>
          <w:lang w:val="en-GB"/>
        </w:rPr>
        <w:t>(3)</w:t>
      </w:r>
      <w:r w:rsidR="00FC2FB1" w:rsidRPr="00F72FB0">
        <w:rPr>
          <w:lang w:val="en-GB"/>
        </w:rPr>
        <w:t xml:space="preserve"> </w:t>
      </w:r>
      <w:r w:rsidR="00BD76A2" w:rsidRPr="00F72FB0">
        <w:rPr>
          <w:lang w:val="en-GB"/>
        </w:rPr>
        <w:t>as</w:t>
      </w:r>
      <w:r w:rsidR="00FC2FB1" w:rsidRPr="00F72FB0">
        <w:rPr>
          <w:lang w:val="en-GB"/>
        </w:rPr>
        <w:t xml:space="preserve"> </w:t>
      </w:r>
      <w:r w:rsidR="00BD76A2" w:rsidRPr="00F72FB0">
        <w:rPr>
          <w:lang w:val="en-GB"/>
        </w:rPr>
        <w:t>having</w:t>
      </w:r>
      <w:r w:rsidR="00FC2FB1" w:rsidRPr="00F72FB0">
        <w:rPr>
          <w:lang w:val="en-GB"/>
        </w:rPr>
        <w:t xml:space="preserve"> </w:t>
      </w:r>
      <w:r w:rsidR="00BD76A2" w:rsidRPr="00F72FB0">
        <w:rPr>
          <w:lang w:val="en-GB"/>
        </w:rPr>
        <w:t>‘to</w:t>
      </w:r>
      <w:r w:rsidR="00FC2FB1" w:rsidRPr="00F72FB0">
        <w:rPr>
          <w:lang w:val="en-GB"/>
        </w:rPr>
        <w:t xml:space="preserve"> </w:t>
      </w:r>
      <w:r w:rsidR="00BD76A2" w:rsidRPr="00F72FB0">
        <w:rPr>
          <w:lang w:val="en-GB"/>
        </w:rPr>
        <w:t>give</w:t>
      </w:r>
      <w:r w:rsidR="00FC2FB1" w:rsidRPr="00F72FB0">
        <w:rPr>
          <w:lang w:val="en-GB"/>
        </w:rPr>
        <w:t xml:space="preserve"> </w:t>
      </w:r>
      <w:r w:rsidR="00BD76A2" w:rsidRPr="00F72FB0">
        <w:rPr>
          <w:lang w:val="en-GB"/>
        </w:rPr>
        <w:t>serious</w:t>
      </w:r>
      <w:r w:rsidR="00FC2FB1" w:rsidRPr="00F72FB0">
        <w:rPr>
          <w:lang w:val="en-GB"/>
        </w:rPr>
        <w:t xml:space="preserve"> </w:t>
      </w:r>
      <w:r w:rsidR="00BD76A2" w:rsidRPr="00F72FB0">
        <w:rPr>
          <w:lang w:val="en-GB"/>
        </w:rPr>
        <w:t>consideration’</w:t>
      </w:r>
      <w:r w:rsidR="00FC2FB1" w:rsidRPr="00F72FB0">
        <w:rPr>
          <w:lang w:val="en-GB"/>
        </w:rPr>
        <w:t xml:space="preserve"> </w:t>
      </w:r>
      <w:r w:rsidR="00BD76A2" w:rsidRPr="00F72FB0">
        <w:rPr>
          <w:lang w:val="en-GB"/>
        </w:rPr>
        <w:t>to</w:t>
      </w:r>
      <w:r w:rsidR="00FC2FB1" w:rsidRPr="00F72FB0">
        <w:rPr>
          <w:lang w:val="en-GB"/>
        </w:rPr>
        <w:t xml:space="preserve"> </w:t>
      </w:r>
      <w:r w:rsidR="00BD76A2" w:rsidRPr="00F72FB0">
        <w:rPr>
          <w:lang w:val="en-GB"/>
        </w:rPr>
        <w:t>the</w:t>
      </w:r>
      <w:r w:rsidR="00FC2FB1" w:rsidRPr="00F72FB0">
        <w:rPr>
          <w:lang w:val="en-GB"/>
        </w:rPr>
        <w:t xml:space="preserve"> </w:t>
      </w:r>
      <w:r w:rsidR="00BD76A2" w:rsidRPr="00F72FB0">
        <w:rPr>
          <w:lang w:val="en-GB"/>
        </w:rPr>
        <w:t>Commission’s</w:t>
      </w:r>
      <w:r w:rsidR="00FC2FB1" w:rsidRPr="00F72FB0">
        <w:rPr>
          <w:lang w:val="en-GB"/>
        </w:rPr>
        <w:t xml:space="preserve"> </w:t>
      </w:r>
      <w:r w:rsidR="00BD76A2" w:rsidRPr="00F72FB0">
        <w:rPr>
          <w:lang w:val="en-GB"/>
        </w:rPr>
        <w:t>statements.</w:t>
      </w:r>
      <w:r w:rsidR="00BD76A2" w:rsidRPr="00F72FB0">
        <w:rPr>
          <w:rStyle w:val="Alaviitteenviite"/>
          <w:lang w:val="en-GB"/>
        </w:rPr>
        <w:footnoteReference w:id="72"/>
      </w:r>
      <w:r w:rsidR="00FC2FB1" w:rsidRPr="00F72FB0">
        <w:rPr>
          <w:lang w:val="en-GB"/>
        </w:rPr>
        <w:t xml:space="preserve"> </w:t>
      </w:r>
      <w:r w:rsidR="00851177" w:rsidRPr="00F72FB0">
        <w:rPr>
          <w:lang w:val="en-GB"/>
        </w:rPr>
        <w:t>Most</w:t>
      </w:r>
      <w:r w:rsidR="00FC2FB1" w:rsidRPr="00F72FB0">
        <w:rPr>
          <w:lang w:val="en-GB"/>
        </w:rPr>
        <w:t xml:space="preserve"> </w:t>
      </w:r>
      <w:r w:rsidR="00851177" w:rsidRPr="00F72FB0">
        <w:rPr>
          <w:lang w:val="en-GB"/>
        </w:rPr>
        <w:t>interestingly,</w:t>
      </w:r>
      <w:r w:rsidR="00FC2FB1" w:rsidRPr="00F72FB0">
        <w:rPr>
          <w:lang w:val="en-GB"/>
        </w:rPr>
        <w:t xml:space="preserve"> </w:t>
      </w:r>
      <w:r w:rsidR="00851177" w:rsidRPr="00F72FB0">
        <w:rPr>
          <w:lang w:val="en-GB"/>
        </w:rPr>
        <w:t>this</w:t>
      </w:r>
      <w:r w:rsidR="00FC2FB1" w:rsidRPr="00F72FB0">
        <w:rPr>
          <w:lang w:val="en-GB"/>
        </w:rPr>
        <w:t xml:space="preserve"> </w:t>
      </w:r>
      <w:r w:rsidR="00851177" w:rsidRPr="00F72FB0">
        <w:rPr>
          <w:lang w:val="en-GB"/>
        </w:rPr>
        <w:t>approach</w:t>
      </w:r>
      <w:r w:rsidR="00FC2FB1" w:rsidRPr="00F72FB0">
        <w:rPr>
          <w:lang w:val="en-GB"/>
        </w:rPr>
        <w:t xml:space="preserve"> </w:t>
      </w:r>
      <w:r w:rsidR="00851177" w:rsidRPr="00F72FB0">
        <w:rPr>
          <w:lang w:val="en-GB"/>
        </w:rPr>
        <w:t>appears</w:t>
      </w:r>
      <w:r w:rsidR="00FC2FB1" w:rsidRPr="00F72FB0">
        <w:rPr>
          <w:lang w:val="en-GB"/>
        </w:rPr>
        <w:t xml:space="preserve"> </w:t>
      </w:r>
      <w:r w:rsidR="00851177" w:rsidRPr="00F72FB0">
        <w:rPr>
          <w:lang w:val="en-GB"/>
        </w:rPr>
        <w:t>to</w:t>
      </w:r>
      <w:r w:rsidR="00FC2FB1" w:rsidRPr="00F72FB0">
        <w:rPr>
          <w:lang w:val="en-GB"/>
        </w:rPr>
        <w:t xml:space="preserve"> </w:t>
      </w:r>
      <w:r w:rsidR="00851177" w:rsidRPr="00F72FB0">
        <w:rPr>
          <w:lang w:val="en-GB"/>
        </w:rPr>
        <w:t>have</w:t>
      </w:r>
      <w:r w:rsidR="00FC2FB1" w:rsidRPr="00F72FB0">
        <w:rPr>
          <w:lang w:val="en-GB"/>
        </w:rPr>
        <w:t xml:space="preserve"> </w:t>
      </w:r>
      <w:r w:rsidR="00851177" w:rsidRPr="00F72FB0">
        <w:rPr>
          <w:lang w:val="en-GB"/>
        </w:rPr>
        <w:t>been</w:t>
      </w:r>
      <w:r w:rsidR="00FC2FB1" w:rsidRPr="00F72FB0">
        <w:rPr>
          <w:lang w:val="en-GB"/>
        </w:rPr>
        <w:t xml:space="preserve"> </w:t>
      </w:r>
      <w:r w:rsidR="00851177" w:rsidRPr="00F72FB0">
        <w:rPr>
          <w:lang w:val="en-GB"/>
        </w:rPr>
        <w:t>relaxed</w:t>
      </w:r>
      <w:r w:rsidR="00FC2FB1" w:rsidRPr="00F72FB0">
        <w:rPr>
          <w:lang w:val="en-GB"/>
        </w:rPr>
        <w:t xml:space="preserve"> </w:t>
      </w:r>
      <w:r w:rsidR="00851177" w:rsidRPr="00F72FB0">
        <w:rPr>
          <w:lang w:val="en-GB"/>
        </w:rPr>
        <w:t>ten</w:t>
      </w:r>
      <w:r w:rsidR="00FC2FB1" w:rsidRPr="00F72FB0">
        <w:rPr>
          <w:lang w:val="en-GB"/>
        </w:rPr>
        <w:t xml:space="preserve"> </w:t>
      </w:r>
      <w:r w:rsidR="00851177" w:rsidRPr="00F72FB0">
        <w:rPr>
          <w:lang w:val="en-GB"/>
        </w:rPr>
        <w:t>years</w:t>
      </w:r>
      <w:r w:rsidR="00FC2FB1" w:rsidRPr="00F72FB0">
        <w:rPr>
          <w:lang w:val="en-GB"/>
        </w:rPr>
        <w:t xml:space="preserve"> </w:t>
      </w:r>
      <w:r w:rsidR="00851177" w:rsidRPr="00F72FB0">
        <w:rPr>
          <w:lang w:val="en-GB"/>
        </w:rPr>
        <w:t>later,</w:t>
      </w:r>
      <w:r w:rsidR="00FC2FB1" w:rsidRPr="00F72FB0">
        <w:rPr>
          <w:lang w:val="en-GB"/>
        </w:rPr>
        <w:t xml:space="preserve"> </w:t>
      </w:r>
      <w:r w:rsidR="00851177" w:rsidRPr="00F72FB0">
        <w:rPr>
          <w:lang w:val="en-GB"/>
        </w:rPr>
        <w:t>following</w:t>
      </w:r>
      <w:r w:rsidR="00FC2FB1" w:rsidRPr="00F72FB0">
        <w:rPr>
          <w:lang w:val="en-GB"/>
        </w:rPr>
        <w:t xml:space="preserve"> </w:t>
      </w:r>
      <w:r w:rsidR="00851177" w:rsidRPr="00F72FB0">
        <w:rPr>
          <w:i/>
          <w:iCs/>
          <w:lang w:val="en-GB"/>
        </w:rPr>
        <w:t>Expedia</w:t>
      </w:r>
      <w:r w:rsidR="00FC2FB1" w:rsidRPr="00F72FB0">
        <w:rPr>
          <w:i/>
          <w:iCs/>
          <w:lang w:val="en-GB"/>
        </w:rPr>
        <w:t xml:space="preserve"> </w:t>
      </w:r>
      <w:r w:rsidR="00851177" w:rsidRPr="00F72FB0">
        <w:rPr>
          <w:lang w:val="en-GB"/>
        </w:rPr>
        <w:t>judgment</w:t>
      </w:r>
      <w:r w:rsidR="00FC2FB1" w:rsidRPr="00F72FB0">
        <w:rPr>
          <w:lang w:val="en-GB"/>
        </w:rPr>
        <w:t xml:space="preserve"> </w:t>
      </w:r>
      <w:r w:rsidR="00851177" w:rsidRPr="00F72FB0">
        <w:rPr>
          <w:lang w:val="en-GB"/>
        </w:rPr>
        <w:t>of</w:t>
      </w:r>
      <w:r w:rsidR="00FC2FB1" w:rsidRPr="00F72FB0">
        <w:rPr>
          <w:lang w:val="en-GB"/>
        </w:rPr>
        <w:t xml:space="preserve"> </w:t>
      </w:r>
      <w:r w:rsidR="00851177" w:rsidRPr="00F72FB0">
        <w:rPr>
          <w:lang w:val="en-GB"/>
        </w:rPr>
        <w:t>the</w:t>
      </w:r>
      <w:r w:rsidR="00FC2FB1" w:rsidRPr="00F72FB0">
        <w:rPr>
          <w:lang w:val="en-GB"/>
        </w:rPr>
        <w:t xml:space="preserve"> </w:t>
      </w:r>
      <w:r w:rsidR="00F1278C" w:rsidRPr="00F72FB0">
        <w:rPr>
          <w:lang w:val="en-GB"/>
        </w:rPr>
        <w:t>CJEU</w:t>
      </w:r>
      <w:r w:rsidR="00851177" w:rsidRPr="00F72FB0">
        <w:rPr>
          <w:lang w:val="en-GB"/>
        </w:rPr>
        <w:t>.</w:t>
      </w:r>
      <w:r w:rsidR="00851177" w:rsidRPr="00F72FB0">
        <w:rPr>
          <w:rStyle w:val="Alaviitteenviite"/>
          <w:lang w:val="en-GB"/>
        </w:rPr>
        <w:footnoteReference w:id="73"/>
      </w:r>
      <w:r w:rsidR="00FC2FB1" w:rsidRPr="00F72FB0">
        <w:rPr>
          <w:lang w:val="en-GB"/>
        </w:rPr>
        <w:t xml:space="preserve"> </w:t>
      </w:r>
      <w:r w:rsidR="00851177" w:rsidRPr="00F72FB0">
        <w:rPr>
          <w:lang w:val="en-GB"/>
        </w:rPr>
        <w:t>In</w:t>
      </w:r>
      <w:r w:rsidR="00FC2FB1" w:rsidRPr="00F72FB0">
        <w:rPr>
          <w:lang w:val="en-GB"/>
        </w:rPr>
        <w:t xml:space="preserve"> </w:t>
      </w:r>
      <w:r w:rsidR="00851177" w:rsidRPr="00F72FB0">
        <w:rPr>
          <w:lang w:val="en-GB"/>
        </w:rPr>
        <w:t>that</w:t>
      </w:r>
      <w:r w:rsidR="00FC2FB1" w:rsidRPr="00F72FB0">
        <w:rPr>
          <w:lang w:val="en-GB"/>
        </w:rPr>
        <w:t xml:space="preserve"> </w:t>
      </w:r>
      <w:r w:rsidR="00851177" w:rsidRPr="00F72FB0">
        <w:rPr>
          <w:lang w:val="en-GB"/>
        </w:rPr>
        <w:t>case</w:t>
      </w:r>
      <w:r w:rsidR="00FC2FB1" w:rsidRPr="00F72FB0">
        <w:rPr>
          <w:lang w:val="en-GB"/>
        </w:rPr>
        <w:t xml:space="preserve"> </w:t>
      </w:r>
      <w:r w:rsidR="00851177" w:rsidRPr="00F72FB0">
        <w:rPr>
          <w:lang w:val="en-GB"/>
        </w:rPr>
        <w:t>from</w:t>
      </w:r>
      <w:r w:rsidR="00FC2FB1" w:rsidRPr="00F72FB0">
        <w:rPr>
          <w:lang w:val="en-GB"/>
        </w:rPr>
        <w:t xml:space="preserve"> </w:t>
      </w:r>
      <w:r w:rsidR="00851177" w:rsidRPr="00F72FB0">
        <w:rPr>
          <w:lang w:val="en-GB"/>
        </w:rPr>
        <w:t>2011,</w:t>
      </w:r>
      <w:r w:rsidR="00FC2FB1" w:rsidRPr="00F72FB0">
        <w:rPr>
          <w:lang w:val="en-GB"/>
        </w:rPr>
        <w:t xml:space="preserve"> </w:t>
      </w:r>
      <w:r w:rsidR="00851177" w:rsidRPr="00F72FB0">
        <w:rPr>
          <w:lang w:val="en-GB"/>
        </w:rPr>
        <w:t>the</w:t>
      </w:r>
      <w:r w:rsidR="00FC2FB1" w:rsidRPr="00F72FB0">
        <w:rPr>
          <w:lang w:val="en-GB"/>
        </w:rPr>
        <w:t xml:space="preserve"> </w:t>
      </w:r>
      <w:r w:rsidR="00F1278C" w:rsidRPr="00F72FB0">
        <w:rPr>
          <w:lang w:val="en-GB"/>
        </w:rPr>
        <w:t xml:space="preserve">CJEU </w:t>
      </w:r>
      <w:r w:rsidR="00851177" w:rsidRPr="00F72FB0">
        <w:rPr>
          <w:lang w:val="en-GB"/>
        </w:rPr>
        <w:t>expressly</w:t>
      </w:r>
      <w:r w:rsidR="00FC2FB1" w:rsidRPr="00F72FB0">
        <w:rPr>
          <w:lang w:val="en-GB"/>
        </w:rPr>
        <w:t xml:space="preserve"> </w:t>
      </w:r>
      <w:r w:rsidR="00851177" w:rsidRPr="00F72FB0">
        <w:rPr>
          <w:lang w:val="en-GB"/>
        </w:rPr>
        <w:t>stated</w:t>
      </w:r>
      <w:r w:rsidR="00FC2FB1" w:rsidRPr="00F72FB0">
        <w:rPr>
          <w:lang w:val="en-GB"/>
        </w:rPr>
        <w:t xml:space="preserve"> </w:t>
      </w:r>
      <w:r w:rsidR="00851177" w:rsidRPr="00F72FB0">
        <w:rPr>
          <w:lang w:val="en-GB"/>
        </w:rPr>
        <w:t>that</w:t>
      </w:r>
      <w:r w:rsidR="00FC2FB1" w:rsidRPr="00F72FB0">
        <w:rPr>
          <w:lang w:val="en-GB"/>
        </w:rPr>
        <w:t xml:space="preserve"> </w:t>
      </w:r>
      <w:r w:rsidR="00851177" w:rsidRPr="00F72FB0">
        <w:rPr>
          <w:lang w:val="en-GB"/>
        </w:rPr>
        <w:t>national</w:t>
      </w:r>
      <w:r w:rsidR="00FC2FB1" w:rsidRPr="00F72FB0">
        <w:rPr>
          <w:lang w:val="en-GB"/>
        </w:rPr>
        <w:t xml:space="preserve"> </w:t>
      </w:r>
      <w:r w:rsidR="00851177" w:rsidRPr="00F72FB0">
        <w:rPr>
          <w:lang w:val="en-GB"/>
        </w:rPr>
        <w:t>authorities</w:t>
      </w:r>
      <w:r w:rsidR="00FC2FB1" w:rsidRPr="00F72FB0">
        <w:rPr>
          <w:lang w:val="en-GB"/>
        </w:rPr>
        <w:t xml:space="preserve"> </w:t>
      </w:r>
      <w:r w:rsidR="00851177" w:rsidRPr="00F72FB0">
        <w:rPr>
          <w:lang w:val="en-GB"/>
        </w:rPr>
        <w:t>are</w:t>
      </w:r>
      <w:r w:rsidR="00FC2FB1" w:rsidRPr="00F72FB0">
        <w:rPr>
          <w:lang w:val="en-GB"/>
        </w:rPr>
        <w:t xml:space="preserve"> </w:t>
      </w:r>
      <w:r w:rsidR="00851177" w:rsidRPr="00F72FB0">
        <w:rPr>
          <w:lang w:val="en-GB"/>
        </w:rPr>
        <w:t>not</w:t>
      </w:r>
      <w:r w:rsidR="00FC2FB1" w:rsidRPr="00F72FB0">
        <w:rPr>
          <w:lang w:val="en-GB"/>
        </w:rPr>
        <w:t xml:space="preserve"> </w:t>
      </w:r>
      <w:r w:rsidR="00851177" w:rsidRPr="00F72FB0">
        <w:rPr>
          <w:lang w:val="en-GB"/>
        </w:rPr>
        <w:t>bound</w:t>
      </w:r>
      <w:r w:rsidR="00FC2FB1" w:rsidRPr="00F72FB0">
        <w:rPr>
          <w:lang w:val="en-GB"/>
        </w:rPr>
        <w:t xml:space="preserve"> </w:t>
      </w:r>
      <w:r w:rsidR="00851177" w:rsidRPr="00F72FB0">
        <w:rPr>
          <w:lang w:val="en-GB"/>
        </w:rPr>
        <w:t>by</w:t>
      </w:r>
      <w:r w:rsidR="00FC2FB1" w:rsidRPr="00F72FB0">
        <w:rPr>
          <w:lang w:val="en-GB"/>
        </w:rPr>
        <w:t xml:space="preserve"> </w:t>
      </w:r>
      <w:r w:rsidR="00851177" w:rsidRPr="00F72FB0">
        <w:rPr>
          <w:lang w:val="en-GB"/>
        </w:rPr>
        <w:t>EU’s</w:t>
      </w:r>
      <w:r w:rsidR="00FC2FB1" w:rsidRPr="00F72FB0">
        <w:rPr>
          <w:lang w:val="en-GB"/>
        </w:rPr>
        <w:t xml:space="preserve"> </w:t>
      </w:r>
      <w:r w:rsidR="00851177" w:rsidRPr="00F72FB0">
        <w:rPr>
          <w:i/>
          <w:iCs/>
          <w:lang w:val="en-GB"/>
        </w:rPr>
        <w:t>de</w:t>
      </w:r>
      <w:r w:rsidR="00FC2FB1" w:rsidRPr="00F72FB0">
        <w:rPr>
          <w:i/>
          <w:iCs/>
          <w:lang w:val="en-GB"/>
        </w:rPr>
        <w:t xml:space="preserve"> </w:t>
      </w:r>
      <w:r w:rsidR="00851177" w:rsidRPr="00F72FB0">
        <w:rPr>
          <w:i/>
          <w:iCs/>
          <w:lang w:val="en-GB"/>
        </w:rPr>
        <w:t>minimis</w:t>
      </w:r>
      <w:r w:rsidR="00FC2FB1" w:rsidRPr="00F72FB0">
        <w:rPr>
          <w:i/>
          <w:iCs/>
          <w:lang w:val="en-GB"/>
        </w:rPr>
        <w:t xml:space="preserve"> </w:t>
      </w:r>
      <w:r w:rsidR="00851177" w:rsidRPr="00F72FB0">
        <w:rPr>
          <w:lang w:val="en-GB"/>
        </w:rPr>
        <w:t>notice.</w:t>
      </w:r>
      <w:r w:rsidR="00FC2FB1" w:rsidRPr="00F72FB0">
        <w:rPr>
          <w:lang w:val="en-GB"/>
        </w:rPr>
        <w:t xml:space="preserve"> </w:t>
      </w:r>
      <w:r w:rsidR="00851177" w:rsidRPr="00F72FB0">
        <w:rPr>
          <w:lang w:val="en-GB"/>
        </w:rPr>
        <w:t>In</w:t>
      </w:r>
      <w:r w:rsidR="00FC2FB1" w:rsidRPr="00F72FB0">
        <w:rPr>
          <w:lang w:val="en-GB"/>
        </w:rPr>
        <w:t xml:space="preserve"> </w:t>
      </w:r>
      <w:r w:rsidR="00851177" w:rsidRPr="00F72FB0">
        <w:rPr>
          <w:lang w:val="en-GB"/>
        </w:rPr>
        <w:t>its</w:t>
      </w:r>
      <w:r w:rsidR="00FC2FB1" w:rsidRPr="00F72FB0">
        <w:rPr>
          <w:lang w:val="en-GB"/>
        </w:rPr>
        <w:t xml:space="preserve"> </w:t>
      </w:r>
      <w:r w:rsidR="00851177" w:rsidRPr="00F72FB0">
        <w:rPr>
          <w:lang w:val="en-GB"/>
        </w:rPr>
        <w:t>201</w:t>
      </w:r>
      <w:r w:rsidR="006C306D" w:rsidRPr="00F72FB0">
        <w:rPr>
          <w:lang w:val="en-GB"/>
        </w:rPr>
        <w:t>3</w:t>
      </w:r>
      <w:r w:rsidR="00FC2FB1" w:rsidRPr="00F72FB0">
        <w:rPr>
          <w:lang w:val="en-GB"/>
        </w:rPr>
        <w:t xml:space="preserve"> </w:t>
      </w:r>
      <w:r w:rsidR="00851177" w:rsidRPr="00F72FB0">
        <w:rPr>
          <w:lang w:val="en-GB"/>
        </w:rPr>
        <w:t>decision</w:t>
      </w:r>
      <w:r w:rsidR="00FC2FB1" w:rsidRPr="00F72FB0">
        <w:rPr>
          <w:lang w:val="en-GB"/>
        </w:rPr>
        <w:t xml:space="preserve"> </w:t>
      </w:r>
      <w:r w:rsidR="00851177" w:rsidRPr="00F72FB0">
        <w:rPr>
          <w:lang w:val="en-GB"/>
        </w:rPr>
        <w:t>in</w:t>
      </w:r>
      <w:r w:rsidR="00FC2FB1" w:rsidRPr="00F72FB0">
        <w:rPr>
          <w:lang w:val="en-GB"/>
        </w:rPr>
        <w:t xml:space="preserve"> </w:t>
      </w:r>
      <w:r w:rsidR="00851177" w:rsidRPr="00F72FB0">
        <w:rPr>
          <w:i/>
          <w:lang w:val="en-GB"/>
        </w:rPr>
        <w:t>Mobility</w:t>
      </w:r>
      <w:r w:rsidR="00FC2FB1" w:rsidRPr="00F72FB0">
        <w:rPr>
          <w:i/>
          <w:lang w:val="en-GB"/>
        </w:rPr>
        <w:t xml:space="preserve"> </w:t>
      </w:r>
      <w:r w:rsidR="00851177" w:rsidRPr="00F72FB0">
        <w:rPr>
          <w:i/>
          <w:lang w:val="en-GB"/>
        </w:rPr>
        <w:t>Scooters</w:t>
      </w:r>
      <w:r w:rsidR="00FC2FB1" w:rsidRPr="00F72FB0">
        <w:rPr>
          <w:i/>
          <w:lang w:val="en-GB"/>
        </w:rPr>
        <w:t xml:space="preserve"> </w:t>
      </w:r>
      <w:r w:rsidR="00851177" w:rsidRPr="00F72FB0">
        <w:rPr>
          <w:iCs/>
          <w:lang w:val="en-GB"/>
        </w:rPr>
        <w:t>the</w:t>
      </w:r>
      <w:r w:rsidR="00FC2FB1" w:rsidRPr="00F72FB0">
        <w:rPr>
          <w:iCs/>
          <w:lang w:val="en-GB"/>
        </w:rPr>
        <w:t xml:space="preserve"> </w:t>
      </w:r>
      <w:r w:rsidR="00851177" w:rsidRPr="00F72FB0">
        <w:rPr>
          <w:iCs/>
          <w:lang w:val="en-GB"/>
        </w:rPr>
        <w:t>OFT</w:t>
      </w:r>
      <w:r w:rsidR="00FC2FB1" w:rsidRPr="00F72FB0">
        <w:rPr>
          <w:iCs/>
          <w:lang w:val="en-GB"/>
        </w:rPr>
        <w:t xml:space="preserve"> </w:t>
      </w:r>
      <w:r w:rsidR="00851177" w:rsidRPr="00F72FB0">
        <w:rPr>
          <w:lang w:val="en-GB"/>
        </w:rPr>
        <w:t>noted</w:t>
      </w:r>
      <w:r w:rsidR="00FC2FB1" w:rsidRPr="00F72FB0">
        <w:rPr>
          <w:lang w:val="en-GB"/>
        </w:rPr>
        <w:t xml:space="preserve"> </w:t>
      </w:r>
      <w:r w:rsidR="00851177" w:rsidRPr="00F72FB0">
        <w:rPr>
          <w:lang w:val="en-GB"/>
        </w:rPr>
        <w:t>that,</w:t>
      </w:r>
      <w:r w:rsidR="00FC2FB1" w:rsidRPr="00F72FB0">
        <w:rPr>
          <w:lang w:val="en-GB"/>
        </w:rPr>
        <w:t xml:space="preserve"> </w:t>
      </w:r>
      <w:r w:rsidR="00851177" w:rsidRPr="00F72FB0">
        <w:rPr>
          <w:lang w:val="en-GB"/>
        </w:rPr>
        <w:t>‘notwithstanding</w:t>
      </w:r>
      <w:r w:rsidR="00FC2FB1" w:rsidRPr="00F72FB0">
        <w:rPr>
          <w:lang w:val="en-GB"/>
        </w:rPr>
        <w:t xml:space="preserve"> </w:t>
      </w:r>
      <w:r w:rsidR="00851177" w:rsidRPr="00F72FB0">
        <w:rPr>
          <w:lang w:val="en-GB"/>
        </w:rPr>
        <w:t>the</w:t>
      </w:r>
      <w:r w:rsidR="00FC2FB1" w:rsidRPr="00F72FB0">
        <w:rPr>
          <w:lang w:val="en-GB"/>
        </w:rPr>
        <w:t xml:space="preserve"> </w:t>
      </w:r>
      <w:r w:rsidR="00851177" w:rsidRPr="00F72FB0">
        <w:rPr>
          <w:lang w:val="en-GB"/>
        </w:rPr>
        <w:t>potential</w:t>
      </w:r>
      <w:r w:rsidR="00FC2FB1" w:rsidRPr="00F72FB0">
        <w:rPr>
          <w:lang w:val="en-GB"/>
        </w:rPr>
        <w:t xml:space="preserve"> </w:t>
      </w:r>
      <w:r w:rsidR="00851177" w:rsidRPr="00F72FB0">
        <w:rPr>
          <w:lang w:val="en-GB"/>
        </w:rPr>
        <w:t>application</w:t>
      </w:r>
      <w:r w:rsidR="00FC2FB1" w:rsidRPr="00F72FB0">
        <w:rPr>
          <w:lang w:val="en-GB"/>
        </w:rPr>
        <w:t xml:space="preserve"> </w:t>
      </w:r>
      <w:r w:rsidR="00851177" w:rsidRPr="00F72FB0">
        <w:rPr>
          <w:lang w:val="en-GB"/>
        </w:rPr>
        <w:t>of</w:t>
      </w:r>
      <w:r w:rsidR="00FC2FB1" w:rsidRPr="00F72FB0">
        <w:rPr>
          <w:lang w:val="en-GB"/>
        </w:rPr>
        <w:t xml:space="preserve"> </w:t>
      </w:r>
      <w:r w:rsidR="00851177" w:rsidRPr="00F72FB0">
        <w:rPr>
          <w:lang w:val="en-GB"/>
        </w:rPr>
        <w:t>the</w:t>
      </w:r>
      <w:r w:rsidR="00FC2FB1" w:rsidRPr="00F72FB0">
        <w:rPr>
          <w:lang w:val="en-GB"/>
        </w:rPr>
        <w:t xml:space="preserve"> </w:t>
      </w:r>
      <w:r w:rsidR="00851177" w:rsidRPr="00F72FB0">
        <w:rPr>
          <w:lang w:val="en-GB"/>
        </w:rPr>
        <w:t>Commission</w:t>
      </w:r>
      <w:r w:rsidR="0020555B">
        <w:rPr>
          <w:lang w:val="en-GB"/>
        </w:rPr>
        <w:t>’</w:t>
      </w:r>
      <w:r w:rsidR="00851177" w:rsidRPr="00F72FB0">
        <w:rPr>
          <w:lang w:val="en-GB"/>
        </w:rPr>
        <w:t>s</w:t>
      </w:r>
      <w:r w:rsidR="00FC2FB1" w:rsidRPr="00F72FB0">
        <w:rPr>
          <w:lang w:val="en-GB"/>
        </w:rPr>
        <w:t xml:space="preserve"> </w:t>
      </w:r>
      <w:r w:rsidR="00851177" w:rsidRPr="00F72FB0">
        <w:rPr>
          <w:lang w:val="en-GB"/>
        </w:rPr>
        <w:t>De</w:t>
      </w:r>
      <w:r w:rsidR="00FC2FB1" w:rsidRPr="00F72FB0">
        <w:rPr>
          <w:lang w:val="en-GB"/>
        </w:rPr>
        <w:t xml:space="preserve"> </w:t>
      </w:r>
      <w:r w:rsidR="00851177" w:rsidRPr="00F72FB0">
        <w:rPr>
          <w:lang w:val="en-GB"/>
        </w:rPr>
        <w:t>minimis</w:t>
      </w:r>
      <w:r w:rsidR="00FC2FB1" w:rsidRPr="00F72FB0">
        <w:rPr>
          <w:lang w:val="en-GB"/>
        </w:rPr>
        <w:t xml:space="preserve"> </w:t>
      </w:r>
      <w:r w:rsidR="00851177" w:rsidRPr="00F72FB0">
        <w:rPr>
          <w:lang w:val="en-GB"/>
        </w:rPr>
        <w:t>Notice,</w:t>
      </w:r>
      <w:r w:rsidR="00FC2FB1" w:rsidRPr="00F72FB0">
        <w:rPr>
          <w:lang w:val="en-GB"/>
        </w:rPr>
        <w:t xml:space="preserve"> </w:t>
      </w:r>
      <w:r w:rsidR="00851177" w:rsidRPr="00F72FB0">
        <w:rPr>
          <w:lang w:val="en-GB"/>
        </w:rPr>
        <w:t>the</w:t>
      </w:r>
      <w:r w:rsidR="00FC2FB1" w:rsidRPr="00F72FB0">
        <w:rPr>
          <w:lang w:val="en-GB"/>
        </w:rPr>
        <w:t xml:space="preserve"> </w:t>
      </w:r>
      <w:r w:rsidR="00851177" w:rsidRPr="00F72FB0">
        <w:rPr>
          <w:lang w:val="en-GB"/>
        </w:rPr>
        <w:t>OFT</w:t>
      </w:r>
      <w:r w:rsidR="00FC2FB1" w:rsidRPr="00F72FB0">
        <w:rPr>
          <w:lang w:val="en-GB"/>
        </w:rPr>
        <w:t xml:space="preserve"> </w:t>
      </w:r>
      <w:r w:rsidR="00851177" w:rsidRPr="00F72FB0">
        <w:rPr>
          <w:lang w:val="en-GB"/>
        </w:rPr>
        <w:t>will</w:t>
      </w:r>
      <w:r w:rsidR="00FC2FB1" w:rsidRPr="00F72FB0">
        <w:rPr>
          <w:lang w:val="en-GB"/>
        </w:rPr>
        <w:t xml:space="preserve"> </w:t>
      </w:r>
      <w:r w:rsidR="00851177" w:rsidRPr="00F72FB0">
        <w:rPr>
          <w:lang w:val="en-GB"/>
        </w:rPr>
        <w:t>also</w:t>
      </w:r>
      <w:r w:rsidR="00FC2FB1" w:rsidRPr="00F72FB0">
        <w:rPr>
          <w:lang w:val="en-GB"/>
        </w:rPr>
        <w:t xml:space="preserve"> </w:t>
      </w:r>
      <w:r w:rsidR="00851177" w:rsidRPr="00F72FB0">
        <w:rPr>
          <w:lang w:val="en-GB"/>
        </w:rPr>
        <w:t>consider</w:t>
      </w:r>
      <w:r w:rsidR="00FC2FB1" w:rsidRPr="00F72FB0">
        <w:rPr>
          <w:lang w:val="en-GB"/>
        </w:rPr>
        <w:t xml:space="preserve"> </w:t>
      </w:r>
      <w:r w:rsidR="00851177" w:rsidRPr="00F72FB0">
        <w:rPr>
          <w:lang w:val="en-GB"/>
        </w:rPr>
        <w:t>a</w:t>
      </w:r>
      <w:r w:rsidR="00FC2FB1" w:rsidRPr="00F72FB0">
        <w:rPr>
          <w:lang w:val="en-GB"/>
        </w:rPr>
        <w:t xml:space="preserve"> </w:t>
      </w:r>
      <w:r w:rsidR="00851177" w:rsidRPr="00F72FB0">
        <w:rPr>
          <w:lang w:val="en-GB"/>
        </w:rPr>
        <w:t>number</w:t>
      </w:r>
      <w:r w:rsidR="00FC2FB1" w:rsidRPr="00F72FB0">
        <w:rPr>
          <w:lang w:val="en-GB"/>
        </w:rPr>
        <w:t xml:space="preserve"> </w:t>
      </w:r>
      <w:r w:rsidR="00851177" w:rsidRPr="00F72FB0">
        <w:rPr>
          <w:lang w:val="en-GB"/>
        </w:rPr>
        <w:t>of</w:t>
      </w:r>
      <w:r w:rsidR="00FC2FB1" w:rsidRPr="00F72FB0">
        <w:rPr>
          <w:lang w:val="en-GB"/>
        </w:rPr>
        <w:t xml:space="preserve"> </w:t>
      </w:r>
      <w:r w:rsidR="00851177" w:rsidRPr="00F72FB0">
        <w:rPr>
          <w:lang w:val="en-GB"/>
        </w:rPr>
        <w:t>factors</w:t>
      </w:r>
      <w:r w:rsidR="00FC2FB1" w:rsidRPr="00F72FB0">
        <w:rPr>
          <w:lang w:val="en-GB"/>
        </w:rPr>
        <w:t xml:space="preserve"> </w:t>
      </w:r>
      <w:r w:rsidR="00851177" w:rsidRPr="00F72FB0">
        <w:rPr>
          <w:lang w:val="en-GB"/>
        </w:rPr>
        <w:t>in</w:t>
      </w:r>
      <w:r w:rsidR="00FC2FB1" w:rsidRPr="00F72FB0">
        <w:rPr>
          <w:lang w:val="en-GB"/>
        </w:rPr>
        <w:t xml:space="preserve"> </w:t>
      </w:r>
      <w:r w:rsidR="00851177" w:rsidRPr="00F72FB0">
        <w:rPr>
          <w:lang w:val="en-GB"/>
        </w:rPr>
        <w:t>determining</w:t>
      </w:r>
      <w:r w:rsidR="00FC2FB1" w:rsidRPr="00F72FB0">
        <w:rPr>
          <w:lang w:val="en-GB"/>
        </w:rPr>
        <w:t xml:space="preserve"> </w:t>
      </w:r>
      <w:r w:rsidR="00851177" w:rsidRPr="00F72FB0">
        <w:rPr>
          <w:lang w:val="en-GB"/>
        </w:rPr>
        <w:t>whether</w:t>
      </w:r>
      <w:r w:rsidR="00FC2FB1" w:rsidRPr="00F72FB0">
        <w:rPr>
          <w:lang w:val="en-GB"/>
        </w:rPr>
        <w:t xml:space="preserve"> </w:t>
      </w:r>
      <w:r w:rsidR="00851177" w:rsidRPr="00F72FB0">
        <w:rPr>
          <w:lang w:val="en-GB"/>
        </w:rPr>
        <w:t>the</w:t>
      </w:r>
      <w:r w:rsidR="00FC2FB1" w:rsidRPr="00F72FB0">
        <w:rPr>
          <w:lang w:val="en-GB"/>
        </w:rPr>
        <w:t xml:space="preserve"> </w:t>
      </w:r>
      <w:r w:rsidR="00F1278C" w:rsidRPr="00F72FB0">
        <w:rPr>
          <w:lang w:val="en-GB"/>
        </w:rPr>
        <w:t>i</w:t>
      </w:r>
      <w:r w:rsidR="00851177" w:rsidRPr="00F72FB0">
        <w:rPr>
          <w:lang w:val="en-GB"/>
        </w:rPr>
        <w:t>nfringements</w:t>
      </w:r>
      <w:r w:rsidR="00FC2FB1" w:rsidRPr="00F72FB0">
        <w:rPr>
          <w:lang w:val="en-GB"/>
        </w:rPr>
        <w:t xml:space="preserve"> </w:t>
      </w:r>
      <w:r w:rsidR="00851177" w:rsidRPr="00F72FB0">
        <w:rPr>
          <w:lang w:val="en-GB"/>
        </w:rPr>
        <w:t>are</w:t>
      </w:r>
      <w:r w:rsidR="00FC2FB1" w:rsidRPr="00F72FB0">
        <w:rPr>
          <w:lang w:val="en-GB"/>
        </w:rPr>
        <w:t xml:space="preserve"> </w:t>
      </w:r>
      <w:r w:rsidR="00851177" w:rsidRPr="00F72FB0">
        <w:rPr>
          <w:lang w:val="en-GB"/>
        </w:rPr>
        <w:t>appreciable</w:t>
      </w:r>
      <w:r w:rsidR="00FC2FB1" w:rsidRPr="00F72FB0">
        <w:rPr>
          <w:lang w:val="en-GB"/>
        </w:rPr>
        <w:t xml:space="preserve"> </w:t>
      </w:r>
      <w:r w:rsidR="00851177" w:rsidRPr="00F72FB0">
        <w:rPr>
          <w:lang w:val="en-GB"/>
        </w:rPr>
        <w:t>by</w:t>
      </w:r>
      <w:r w:rsidR="00FC2FB1" w:rsidRPr="00F72FB0">
        <w:rPr>
          <w:lang w:val="en-GB"/>
        </w:rPr>
        <w:t xml:space="preserve"> </w:t>
      </w:r>
      <w:r w:rsidR="00851177" w:rsidRPr="00F72FB0">
        <w:rPr>
          <w:lang w:val="en-GB"/>
        </w:rPr>
        <w:t>reference</w:t>
      </w:r>
      <w:r w:rsidR="00FC2FB1" w:rsidRPr="00F72FB0">
        <w:rPr>
          <w:lang w:val="en-GB"/>
        </w:rPr>
        <w:t xml:space="preserve"> </w:t>
      </w:r>
      <w:r w:rsidR="00851177" w:rsidRPr="00F72FB0">
        <w:rPr>
          <w:lang w:val="en-GB"/>
        </w:rPr>
        <w:t>to</w:t>
      </w:r>
      <w:r w:rsidR="00FC2FB1" w:rsidRPr="00F72FB0">
        <w:rPr>
          <w:lang w:val="en-GB"/>
        </w:rPr>
        <w:t xml:space="preserve"> </w:t>
      </w:r>
      <w:r w:rsidR="00851177" w:rsidRPr="00F72FB0">
        <w:rPr>
          <w:lang w:val="en-GB"/>
        </w:rPr>
        <w:t>the</w:t>
      </w:r>
      <w:r w:rsidR="00FC2FB1" w:rsidRPr="00F72FB0">
        <w:rPr>
          <w:lang w:val="en-GB"/>
        </w:rPr>
        <w:t xml:space="preserve"> </w:t>
      </w:r>
      <w:r w:rsidR="00851177" w:rsidRPr="00F72FB0">
        <w:rPr>
          <w:lang w:val="en-GB"/>
        </w:rPr>
        <w:t>actual</w:t>
      </w:r>
      <w:r w:rsidR="00FC2FB1" w:rsidRPr="00F72FB0">
        <w:rPr>
          <w:lang w:val="en-GB"/>
        </w:rPr>
        <w:t xml:space="preserve"> </w:t>
      </w:r>
      <w:r w:rsidR="00851177" w:rsidRPr="00F72FB0">
        <w:rPr>
          <w:lang w:val="en-GB"/>
        </w:rPr>
        <w:t>circumstances</w:t>
      </w:r>
      <w:r w:rsidR="00FC2FB1" w:rsidRPr="00F72FB0">
        <w:rPr>
          <w:lang w:val="en-GB"/>
        </w:rPr>
        <w:t xml:space="preserve"> </w:t>
      </w:r>
      <w:r w:rsidR="00851177" w:rsidRPr="00F72FB0">
        <w:rPr>
          <w:lang w:val="en-GB"/>
        </w:rPr>
        <w:t>of</w:t>
      </w:r>
      <w:r w:rsidR="00FC2FB1" w:rsidRPr="00F72FB0">
        <w:rPr>
          <w:lang w:val="en-GB"/>
        </w:rPr>
        <w:t xml:space="preserve"> </w:t>
      </w:r>
      <w:r w:rsidR="00851177" w:rsidRPr="00F72FB0">
        <w:rPr>
          <w:lang w:val="en-GB"/>
        </w:rPr>
        <w:t>the</w:t>
      </w:r>
      <w:r w:rsidR="00FC2FB1" w:rsidRPr="00F72FB0">
        <w:rPr>
          <w:lang w:val="en-GB"/>
        </w:rPr>
        <w:t xml:space="preserve"> </w:t>
      </w:r>
      <w:r w:rsidR="00851177" w:rsidRPr="00F72FB0">
        <w:rPr>
          <w:lang w:val="en-GB"/>
        </w:rPr>
        <w:t>agreement’</w:t>
      </w:r>
      <w:r w:rsidR="0020555B">
        <w:rPr>
          <w:lang w:val="en-GB"/>
        </w:rPr>
        <w:t>.</w:t>
      </w:r>
      <w:r w:rsidR="00851177" w:rsidRPr="00F72FB0">
        <w:rPr>
          <w:rStyle w:val="Alaviitteenviite"/>
          <w:lang w:val="en-GB"/>
        </w:rPr>
        <w:footnoteReference w:id="74"/>
      </w:r>
    </w:p>
    <w:p w14:paraId="338215E4" w14:textId="208E908A" w:rsidR="006C2E59" w:rsidRPr="00F72FB0" w:rsidRDefault="006C2E59" w:rsidP="00E14136">
      <w:pPr>
        <w:widowControl w:val="0"/>
        <w:autoSpaceDE w:val="0"/>
        <w:autoSpaceDN w:val="0"/>
        <w:adjustRightInd w:val="0"/>
        <w:spacing w:line="360" w:lineRule="auto"/>
        <w:contextualSpacing/>
        <w:jc w:val="both"/>
        <w:rPr>
          <w:lang w:val="en-GB"/>
        </w:rPr>
      </w:pPr>
    </w:p>
    <w:p w14:paraId="184BC744" w14:textId="00B75D59" w:rsidR="006C2E59" w:rsidRPr="00F72FB0" w:rsidRDefault="006C2E59" w:rsidP="00E14136">
      <w:pPr>
        <w:widowControl w:val="0"/>
        <w:autoSpaceDE w:val="0"/>
        <w:autoSpaceDN w:val="0"/>
        <w:adjustRightInd w:val="0"/>
        <w:spacing w:line="360" w:lineRule="auto"/>
        <w:contextualSpacing/>
        <w:jc w:val="both"/>
        <w:rPr>
          <w:lang w:val="en-GB"/>
        </w:rPr>
      </w:pPr>
      <w:r w:rsidRPr="00F72FB0">
        <w:rPr>
          <w:lang w:val="en-GB"/>
        </w:rPr>
        <w:t>Compliance</w:t>
      </w:r>
      <w:r w:rsidR="00FC2FB1" w:rsidRPr="00F72FB0">
        <w:rPr>
          <w:lang w:val="en-GB"/>
        </w:rPr>
        <w:t xml:space="preserve"> </w:t>
      </w:r>
      <w:r w:rsidRPr="00F72FB0">
        <w:rPr>
          <w:lang w:val="en-GB"/>
        </w:rPr>
        <w:t>might</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only</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result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national</w:t>
      </w:r>
      <w:r w:rsidR="00FC2FB1" w:rsidRPr="00F72FB0">
        <w:rPr>
          <w:lang w:val="en-GB"/>
        </w:rPr>
        <w:t xml:space="preserve"> </w:t>
      </w:r>
      <w:r w:rsidRPr="00F72FB0">
        <w:rPr>
          <w:lang w:val="en-GB"/>
        </w:rPr>
        <w:t>statutory</w:t>
      </w:r>
      <w:r w:rsidR="00FC2FB1" w:rsidRPr="00F72FB0">
        <w:rPr>
          <w:lang w:val="en-GB"/>
        </w:rPr>
        <w:t xml:space="preserve"> </w:t>
      </w:r>
      <w:r w:rsidRPr="00F72FB0">
        <w:rPr>
          <w:lang w:val="en-GB"/>
        </w:rPr>
        <w:t>provisions,</w:t>
      </w:r>
      <w:r w:rsidR="00FC2FB1" w:rsidRPr="00F72FB0">
        <w:rPr>
          <w:lang w:val="en-GB"/>
        </w:rPr>
        <w:t xml:space="preserve"> </w:t>
      </w:r>
      <w:r w:rsidRPr="00F72FB0">
        <w:rPr>
          <w:lang w:val="en-GB"/>
        </w:rPr>
        <w:t>but</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EU</w:t>
      </w:r>
      <w:r w:rsidR="00FC2FB1" w:rsidRPr="00F72FB0">
        <w:rPr>
          <w:lang w:val="en-GB"/>
        </w:rPr>
        <w:t xml:space="preserve"> </w:t>
      </w:r>
      <w:r w:rsidRPr="00F72FB0">
        <w:rPr>
          <w:lang w:val="en-GB"/>
        </w:rPr>
        <w:t>statutory</w:t>
      </w:r>
      <w:r w:rsidR="00FC2FB1" w:rsidRPr="00F72FB0">
        <w:rPr>
          <w:lang w:val="en-GB"/>
        </w:rPr>
        <w:t xml:space="preserve"> </w:t>
      </w:r>
      <w:r w:rsidRPr="00F72FB0">
        <w:rPr>
          <w:lang w:val="en-GB"/>
        </w:rPr>
        <w:t>provisions.</w:t>
      </w:r>
      <w:r w:rsidR="00FC2FB1" w:rsidRPr="00F72FB0">
        <w:rPr>
          <w:lang w:val="en-GB"/>
        </w:rPr>
        <w:t xml:space="preserve"> </w:t>
      </w:r>
      <w:r w:rsidRPr="00F72FB0">
        <w:rPr>
          <w:lang w:val="en-GB"/>
        </w:rPr>
        <w:t>Article</w:t>
      </w:r>
      <w:r w:rsidR="00FC2FB1" w:rsidRPr="00F72FB0">
        <w:rPr>
          <w:lang w:val="en-GB"/>
        </w:rPr>
        <w:t xml:space="preserve"> </w:t>
      </w:r>
      <w:r w:rsidRPr="00F72FB0">
        <w:rPr>
          <w:lang w:val="en-GB"/>
        </w:rPr>
        <w:t>16</w:t>
      </w:r>
      <w:r w:rsidR="00FC2FB1" w:rsidRPr="00F72FB0">
        <w:rPr>
          <w:lang w:val="en-GB"/>
        </w:rPr>
        <w:t xml:space="preserve"> </w:t>
      </w:r>
      <w:r w:rsidRPr="00F72FB0">
        <w:rPr>
          <w:lang w:val="en-GB"/>
        </w:rPr>
        <w:t>(4)</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ESMA</w:t>
      </w:r>
      <w:r w:rsidR="00FC2FB1" w:rsidRPr="00F72FB0">
        <w:rPr>
          <w:lang w:val="en-GB"/>
        </w:rPr>
        <w:t xml:space="preserve"> </w:t>
      </w:r>
      <w:r w:rsidRPr="00F72FB0">
        <w:rPr>
          <w:lang w:val="en-GB"/>
        </w:rPr>
        <w:t>regulation,</w:t>
      </w:r>
      <w:r w:rsidR="00FC2FB1" w:rsidRPr="00F72FB0">
        <w:rPr>
          <w:lang w:val="en-GB"/>
        </w:rPr>
        <w:t xml:space="preserve"> </w:t>
      </w:r>
      <w:r w:rsidRPr="00F72FB0">
        <w:rPr>
          <w:lang w:val="en-GB"/>
        </w:rPr>
        <w:t>introducing</w:t>
      </w:r>
      <w:r w:rsidR="00FC2FB1" w:rsidRPr="00F72FB0">
        <w:rPr>
          <w:lang w:val="en-GB"/>
        </w:rPr>
        <w:t xml:space="preserve"> </w:t>
      </w:r>
      <w:r w:rsidRPr="00F72FB0">
        <w:rPr>
          <w:lang w:val="en-GB"/>
        </w:rPr>
        <w:t>a</w:t>
      </w:r>
      <w:r w:rsidR="00FC2FB1" w:rsidRPr="00F72FB0">
        <w:rPr>
          <w:lang w:val="en-GB"/>
        </w:rPr>
        <w:t xml:space="preserve"> </w:t>
      </w:r>
      <w:r w:rsidRPr="00F72FB0">
        <w:rPr>
          <w:lang w:val="en-GB"/>
        </w:rPr>
        <w:t>‘comply</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explain’</w:t>
      </w:r>
      <w:r w:rsidR="00FC2FB1" w:rsidRPr="00F72FB0">
        <w:rPr>
          <w:lang w:val="en-GB"/>
        </w:rPr>
        <w:t xml:space="preserve"> </w:t>
      </w:r>
      <w:r w:rsidRPr="00F72FB0">
        <w:rPr>
          <w:lang w:val="en-GB"/>
        </w:rPr>
        <w:t>mechanism</w:t>
      </w:r>
      <w:r w:rsidR="00FC2FB1" w:rsidRPr="00F72FB0">
        <w:rPr>
          <w:lang w:val="en-GB"/>
        </w:rPr>
        <w:t xml:space="preserve"> </w:t>
      </w:r>
      <w:r w:rsidRPr="00F72FB0">
        <w:rPr>
          <w:lang w:val="en-GB"/>
        </w:rPr>
        <w:t>with</w:t>
      </w:r>
      <w:r w:rsidR="00FC2FB1" w:rsidRPr="00F72FB0">
        <w:rPr>
          <w:lang w:val="en-GB"/>
        </w:rPr>
        <w:t xml:space="preserve"> </w:t>
      </w:r>
      <w:r w:rsidRPr="00F72FB0">
        <w:rPr>
          <w:lang w:val="en-GB"/>
        </w:rPr>
        <w:t>regards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ESMA</w:t>
      </w:r>
      <w:r w:rsidR="00FC2FB1" w:rsidRPr="00F72FB0">
        <w:rPr>
          <w:lang w:val="en-GB"/>
        </w:rPr>
        <w:t xml:space="preserve"> </w:t>
      </w:r>
      <w:r w:rsidRPr="00F72FB0">
        <w:rPr>
          <w:lang w:val="en-GB"/>
        </w:rPr>
        <w:t>guidance,</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one</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example.</w:t>
      </w:r>
      <w:r w:rsidR="00FC2FB1" w:rsidRPr="00F72FB0">
        <w:rPr>
          <w:lang w:val="en-GB"/>
        </w:rPr>
        <w:t xml:space="preserve"> </w:t>
      </w:r>
      <w:r w:rsidRPr="00F72FB0">
        <w:rPr>
          <w:lang w:val="en-GB"/>
        </w:rPr>
        <w:t>While</w:t>
      </w:r>
      <w:r w:rsidR="00FC2FB1" w:rsidRPr="00F72FB0">
        <w:rPr>
          <w:lang w:val="en-GB"/>
        </w:rPr>
        <w:t xml:space="preserve"> </w:t>
      </w:r>
      <w:r w:rsidRPr="00F72FB0">
        <w:rPr>
          <w:lang w:val="en-GB"/>
        </w:rPr>
        <w:t>this</w:t>
      </w:r>
      <w:r w:rsidR="00FC2FB1" w:rsidRPr="00F72FB0">
        <w:rPr>
          <w:lang w:val="en-GB"/>
        </w:rPr>
        <w:t xml:space="preserve"> </w:t>
      </w:r>
      <w:r w:rsidRPr="00F72FB0">
        <w:rPr>
          <w:lang w:val="en-GB"/>
        </w:rPr>
        <w:t>does</w:t>
      </w:r>
      <w:r w:rsidR="00FC2FB1" w:rsidRPr="00F72FB0">
        <w:rPr>
          <w:lang w:val="en-GB"/>
        </w:rPr>
        <w:t xml:space="preserve"> </w:t>
      </w:r>
      <w:r w:rsidRPr="00F72FB0">
        <w:rPr>
          <w:lang w:val="en-GB"/>
        </w:rPr>
        <w:t>not</w:t>
      </w:r>
      <w:r w:rsidR="00FC2FB1" w:rsidRPr="00F72FB0">
        <w:rPr>
          <w:lang w:val="en-GB"/>
        </w:rPr>
        <w:t xml:space="preserve"> </w:t>
      </w:r>
      <w:r w:rsidRPr="00F72FB0">
        <w:rPr>
          <w:lang w:val="en-GB"/>
        </w:rPr>
        <w:t>provide,</w:t>
      </w:r>
      <w:r w:rsidR="00FC2FB1" w:rsidRPr="00F72FB0">
        <w:rPr>
          <w:lang w:val="en-GB"/>
        </w:rPr>
        <w:t xml:space="preserve"> </w:t>
      </w:r>
      <w:r w:rsidRPr="00F72FB0">
        <w:rPr>
          <w:lang w:val="en-GB"/>
        </w:rPr>
        <w:t>strictly</w:t>
      </w:r>
      <w:r w:rsidR="00FC2FB1" w:rsidRPr="00F72FB0">
        <w:rPr>
          <w:lang w:val="en-GB"/>
        </w:rPr>
        <w:t xml:space="preserve"> </w:t>
      </w:r>
      <w:r w:rsidRPr="00F72FB0">
        <w:rPr>
          <w:lang w:val="en-GB"/>
        </w:rPr>
        <w:t>speaking,</w:t>
      </w:r>
      <w:r w:rsidR="00FC2FB1" w:rsidRPr="00F72FB0">
        <w:rPr>
          <w:lang w:val="en-GB"/>
        </w:rPr>
        <w:t xml:space="preserve"> </w:t>
      </w:r>
      <w:r w:rsidRPr="00F72FB0">
        <w:rPr>
          <w:lang w:val="en-GB"/>
        </w:rPr>
        <w:t>for</w:t>
      </w:r>
      <w:r w:rsidR="00FC2FB1" w:rsidRPr="00F72FB0">
        <w:rPr>
          <w:lang w:val="en-GB"/>
        </w:rPr>
        <w:t xml:space="preserve"> </w:t>
      </w:r>
      <w:r w:rsidRPr="00F72FB0">
        <w:rPr>
          <w:lang w:val="en-GB"/>
        </w:rPr>
        <w:t>a</w:t>
      </w:r>
      <w:r w:rsidR="00FC2FB1" w:rsidRPr="00F72FB0">
        <w:rPr>
          <w:lang w:val="en-GB"/>
        </w:rPr>
        <w:t xml:space="preserve"> </w:t>
      </w:r>
      <w:r w:rsidRPr="00F72FB0">
        <w:rPr>
          <w:lang w:val="en-GB"/>
        </w:rPr>
        <w:t>binding</w:t>
      </w:r>
      <w:r w:rsidR="00FC2FB1" w:rsidRPr="00F72FB0">
        <w:rPr>
          <w:lang w:val="en-GB"/>
        </w:rPr>
        <w:t xml:space="preserve"> </w:t>
      </w:r>
      <w:r w:rsidRPr="00F72FB0">
        <w:rPr>
          <w:lang w:val="en-GB"/>
        </w:rPr>
        <w:t>enforcement</w:t>
      </w:r>
      <w:r w:rsidR="00FC2FB1" w:rsidRPr="00F72FB0">
        <w:rPr>
          <w:lang w:val="en-GB"/>
        </w:rPr>
        <w:t xml:space="preserve"> </w:t>
      </w:r>
      <w:r w:rsidRPr="00F72FB0">
        <w:rPr>
          <w:lang w:val="en-GB"/>
        </w:rPr>
        <w:t>mechanism,</w:t>
      </w:r>
      <w:r w:rsidR="00FC2FB1" w:rsidRPr="00F72FB0">
        <w:rPr>
          <w:lang w:val="en-GB"/>
        </w:rPr>
        <w:t xml:space="preserve"> </w:t>
      </w:r>
      <w:r w:rsidRPr="00F72FB0">
        <w:rPr>
          <w:lang w:val="en-GB"/>
        </w:rPr>
        <w:t>ESMA</w:t>
      </w:r>
      <w:r w:rsidR="00FC2FB1" w:rsidRPr="00F72FB0">
        <w:rPr>
          <w:lang w:val="en-GB"/>
        </w:rPr>
        <w:t xml:space="preserve"> </w:t>
      </w:r>
      <w:r w:rsidRPr="00F72FB0">
        <w:rPr>
          <w:lang w:val="en-GB"/>
        </w:rPr>
        <w:t>can</w:t>
      </w:r>
      <w:r w:rsidR="00FC2FB1" w:rsidRPr="00F72FB0">
        <w:rPr>
          <w:lang w:val="en-GB"/>
        </w:rPr>
        <w:t xml:space="preserve"> </w:t>
      </w:r>
      <w:r w:rsidRPr="00F72FB0">
        <w:rPr>
          <w:lang w:val="en-GB"/>
        </w:rPr>
        <w:t>use</w:t>
      </w:r>
      <w:r w:rsidR="00FC2FB1" w:rsidRPr="00F72FB0">
        <w:rPr>
          <w:lang w:val="en-GB"/>
        </w:rPr>
        <w:t xml:space="preserve"> </w:t>
      </w:r>
      <w:r w:rsidRPr="00F72FB0">
        <w:rPr>
          <w:lang w:val="en-GB"/>
        </w:rPr>
        <w:t>other</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enforcement</w:t>
      </w:r>
      <w:r w:rsidR="00FC2FB1" w:rsidRPr="00F72FB0">
        <w:rPr>
          <w:lang w:val="en-GB"/>
        </w:rPr>
        <w:t xml:space="preserve"> </w:t>
      </w:r>
      <w:r w:rsidR="00F1278C" w:rsidRPr="00F72FB0">
        <w:rPr>
          <w:lang w:val="en-GB"/>
        </w:rPr>
        <w:t>tools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foster</w:t>
      </w:r>
      <w:r w:rsidR="00FC2FB1" w:rsidRPr="00F72FB0">
        <w:rPr>
          <w:lang w:val="en-GB"/>
        </w:rPr>
        <w:t xml:space="preserve"> </w:t>
      </w:r>
      <w:r w:rsidRPr="00F72FB0">
        <w:rPr>
          <w:lang w:val="en-GB"/>
        </w:rPr>
        <w:t>compliance</w:t>
      </w:r>
      <w:r w:rsidR="00FC2FB1" w:rsidRPr="00F72FB0">
        <w:rPr>
          <w:lang w:val="en-GB"/>
        </w:rPr>
        <w:t xml:space="preserve"> </w:t>
      </w:r>
      <w:r w:rsidR="00F1278C" w:rsidRPr="00F72FB0">
        <w:rPr>
          <w:lang w:val="en-GB"/>
        </w:rPr>
        <w:t>of</w:t>
      </w:r>
      <w:r w:rsidR="00FC2FB1" w:rsidRPr="00F72FB0">
        <w:rPr>
          <w:lang w:val="en-GB"/>
        </w:rPr>
        <w:t xml:space="preserve"> </w:t>
      </w:r>
      <w:r w:rsidR="00D1129E" w:rsidRPr="00F72FB0">
        <w:rPr>
          <w:lang w:val="en-GB"/>
        </w:rPr>
        <w:t>national</w:t>
      </w:r>
      <w:r w:rsidR="00FC2FB1" w:rsidRPr="00F72FB0">
        <w:rPr>
          <w:lang w:val="en-GB"/>
        </w:rPr>
        <w:t xml:space="preserve"> </w:t>
      </w:r>
      <w:r w:rsidR="00D1129E" w:rsidRPr="00F72FB0">
        <w:rPr>
          <w:lang w:val="en-GB"/>
        </w:rPr>
        <w:t>authorities</w:t>
      </w:r>
      <w:r w:rsidRPr="00F72FB0">
        <w:rPr>
          <w:lang w:val="en-GB"/>
        </w:rPr>
        <w:t>,</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‘naming</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shaming’</w:t>
      </w:r>
      <w:r w:rsidR="00FC2FB1" w:rsidRPr="00F72FB0">
        <w:rPr>
          <w:lang w:val="en-GB"/>
        </w:rPr>
        <w:t xml:space="preserve"> </w:t>
      </w:r>
      <w:r w:rsidRPr="00F72FB0">
        <w:rPr>
          <w:lang w:val="en-GB"/>
        </w:rPr>
        <w:t>through</w:t>
      </w:r>
      <w:r w:rsidR="00FC2FB1" w:rsidRPr="00F72FB0">
        <w:rPr>
          <w:lang w:val="en-GB"/>
        </w:rPr>
        <w:t xml:space="preserve"> </w:t>
      </w:r>
      <w:r w:rsidRPr="00F72FB0">
        <w:rPr>
          <w:lang w:val="en-GB"/>
        </w:rPr>
        <w:t>compliance</w:t>
      </w:r>
      <w:r w:rsidR="00FC2FB1" w:rsidRPr="00F72FB0">
        <w:rPr>
          <w:lang w:val="en-GB"/>
        </w:rPr>
        <w:t xml:space="preserve"> </w:t>
      </w:r>
      <w:r w:rsidRPr="00F72FB0">
        <w:rPr>
          <w:lang w:val="en-GB"/>
        </w:rPr>
        <w:t>tables,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peer</w:t>
      </w:r>
      <w:r w:rsidR="00FC2FB1" w:rsidRPr="00F72FB0">
        <w:rPr>
          <w:lang w:val="en-GB"/>
        </w:rPr>
        <w:t xml:space="preserve"> </w:t>
      </w:r>
      <w:r w:rsidRPr="00F72FB0">
        <w:rPr>
          <w:lang w:val="en-GB"/>
        </w:rPr>
        <w:t>reviews</w:t>
      </w:r>
      <w:r w:rsidR="00FC2FB1" w:rsidRPr="00F72FB0">
        <w:rPr>
          <w:lang w:val="en-GB"/>
        </w:rPr>
        <w:t xml:space="preserve"> </w:t>
      </w:r>
      <w:r w:rsidRPr="00F72FB0">
        <w:rPr>
          <w:lang w:val="en-GB"/>
        </w:rPr>
        <w:t>according</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Art</w:t>
      </w:r>
      <w:r w:rsidR="00FC2FB1" w:rsidRPr="00F72FB0">
        <w:rPr>
          <w:lang w:val="en-GB"/>
        </w:rPr>
        <w:t xml:space="preserve"> </w:t>
      </w:r>
      <w:r w:rsidRPr="00F72FB0">
        <w:rPr>
          <w:lang w:val="en-GB"/>
        </w:rPr>
        <w:t>30</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ESMA</w:t>
      </w:r>
      <w:r w:rsidR="00FC2FB1" w:rsidRPr="00F72FB0">
        <w:rPr>
          <w:lang w:val="en-GB"/>
        </w:rPr>
        <w:t xml:space="preserve"> </w:t>
      </w:r>
      <w:r w:rsidRPr="00F72FB0">
        <w:rPr>
          <w:lang w:val="en-GB"/>
        </w:rPr>
        <w:lastRenderedPageBreak/>
        <w:t>regulation.</w:t>
      </w:r>
      <w:r w:rsidR="00D1129E" w:rsidRPr="00F72FB0">
        <w:rPr>
          <w:rStyle w:val="Alaviitteenviite"/>
          <w:lang w:val="en-GB"/>
        </w:rPr>
        <w:footnoteReference w:id="75"/>
      </w:r>
      <w:r w:rsidR="00FC2FB1" w:rsidRPr="00F72FB0">
        <w:rPr>
          <w:lang w:val="en-GB"/>
        </w:rPr>
        <w:t xml:space="preserve"> </w:t>
      </w:r>
    </w:p>
    <w:p w14:paraId="1E0CDFD2" w14:textId="3BF09229" w:rsidR="00CE125A" w:rsidRPr="00F72FB0" w:rsidRDefault="00CE125A" w:rsidP="00E14136">
      <w:pPr>
        <w:widowControl w:val="0"/>
        <w:autoSpaceDE w:val="0"/>
        <w:autoSpaceDN w:val="0"/>
        <w:adjustRightInd w:val="0"/>
        <w:spacing w:line="360" w:lineRule="auto"/>
        <w:contextualSpacing/>
        <w:jc w:val="both"/>
        <w:rPr>
          <w:iCs/>
          <w:lang w:val="en-GB"/>
        </w:rPr>
      </w:pPr>
    </w:p>
    <w:p w14:paraId="472ADD0F" w14:textId="44053AB8" w:rsidR="00B818DF" w:rsidRPr="00F72FB0" w:rsidRDefault="004E1C77" w:rsidP="00E14136">
      <w:pPr>
        <w:spacing w:line="360" w:lineRule="auto"/>
        <w:contextualSpacing/>
        <w:jc w:val="both"/>
        <w:rPr>
          <w:lang w:val="en-GB"/>
        </w:rPr>
      </w:pPr>
      <w:r w:rsidRPr="00F72FB0">
        <w:rPr>
          <w:lang w:val="en-GB"/>
        </w:rPr>
        <w:t>The</w:t>
      </w:r>
      <w:r w:rsidR="00FC2FB1" w:rsidRPr="00F72FB0">
        <w:rPr>
          <w:lang w:val="en-GB"/>
        </w:rPr>
        <w:t xml:space="preserve"> </w:t>
      </w:r>
      <w:r w:rsidR="001C48F2" w:rsidRPr="00F72FB0">
        <w:rPr>
          <w:lang w:val="en-GB"/>
        </w:rPr>
        <w:t>high</w:t>
      </w:r>
      <w:r w:rsidR="00FC2FB1" w:rsidRPr="00F72FB0">
        <w:rPr>
          <w:lang w:val="en-GB"/>
        </w:rPr>
        <w:t xml:space="preserve"> </w:t>
      </w:r>
      <w:r w:rsidR="001C48F2" w:rsidRPr="00F72FB0">
        <w:rPr>
          <w:lang w:val="en-GB"/>
        </w:rPr>
        <w:t>margin</w:t>
      </w:r>
      <w:r w:rsidR="00FC2FB1" w:rsidRPr="00F72FB0">
        <w:rPr>
          <w:lang w:val="en-GB"/>
        </w:rPr>
        <w:t xml:space="preserve"> </w:t>
      </w:r>
      <w:r w:rsidR="001C48F2" w:rsidRPr="00F72FB0">
        <w:rPr>
          <w:lang w:val="en-GB"/>
        </w:rPr>
        <w:t>of</w:t>
      </w:r>
      <w:r w:rsidR="00FC2FB1" w:rsidRPr="00F72FB0">
        <w:rPr>
          <w:lang w:val="en-GB"/>
        </w:rPr>
        <w:t xml:space="preserve"> </w:t>
      </w:r>
      <w:r w:rsidRPr="00F72FB0">
        <w:rPr>
          <w:lang w:val="en-GB"/>
        </w:rPr>
        <w:t>discretion</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Commission</w:t>
      </w:r>
      <w:r w:rsidR="00FC2FB1" w:rsidRPr="00F72FB0">
        <w:rPr>
          <w:lang w:val="en-GB"/>
        </w:rPr>
        <w:t xml:space="preserve"> </w:t>
      </w:r>
      <w:r w:rsidRPr="00F72FB0">
        <w:rPr>
          <w:lang w:val="en-GB"/>
        </w:rPr>
        <w:t>appears</w:t>
      </w:r>
      <w:r w:rsidR="00FC2FB1" w:rsidRPr="00F72FB0">
        <w:rPr>
          <w:lang w:val="en-GB"/>
        </w:rPr>
        <w:t xml:space="preserve"> </w:t>
      </w:r>
      <w:r w:rsidRPr="00F72FB0">
        <w:rPr>
          <w:lang w:val="en-GB"/>
        </w:rPr>
        <w:t>also</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be</w:t>
      </w:r>
      <w:r w:rsidR="00FC2FB1" w:rsidRPr="00F72FB0">
        <w:rPr>
          <w:lang w:val="en-GB"/>
        </w:rPr>
        <w:t xml:space="preserve"> </w:t>
      </w:r>
      <w:r w:rsidRPr="00F72FB0">
        <w:rPr>
          <w:lang w:val="en-GB"/>
        </w:rPr>
        <w:t>a</w:t>
      </w:r>
      <w:r w:rsidR="00FC2FB1" w:rsidRPr="00F72FB0">
        <w:rPr>
          <w:lang w:val="en-GB"/>
        </w:rPr>
        <w:t xml:space="preserve"> </w:t>
      </w:r>
      <w:r w:rsidRPr="00F72FB0">
        <w:rPr>
          <w:lang w:val="en-GB"/>
        </w:rPr>
        <w:t>factor</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would</w:t>
      </w:r>
      <w:r w:rsidR="00FC2FB1" w:rsidRPr="00F72FB0">
        <w:rPr>
          <w:lang w:val="en-GB"/>
        </w:rPr>
        <w:t xml:space="preserve"> </w:t>
      </w:r>
      <w:r w:rsidR="001C48F2" w:rsidRPr="00F72FB0">
        <w:rPr>
          <w:lang w:val="en-GB"/>
        </w:rPr>
        <w:t>influence</w:t>
      </w:r>
      <w:r w:rsidR="00FC2FB1" w:rsidRPr="00F72FB0">
        <w:rPr>
          <w:lang w:val="en-GB"/>
        </w:rPr>
        <w:t xml:space="preserve"> </w:t>
      </w:r>
      <w:r w:rsidR="001C48F2" w:rsidRPr="00F72FB0">
        <w:rPr>
          <w:lang w:val="en-GB"/>
        </w:rPr>
        <w:t>administrative</w:t>
      </w:r>
      <w:r w:rsidR="00FC2FB1" w:rsidRPr="00F72FB0">
        <w:rPr>
          <w:lang w:val="en-GB"/>
        </w:rPr>
        <w:t xml:space="preserve"> </w:t>
      </w:r>
      <w:r w:rsidR="001C48F2" w:rsidRPr="00F72FB0">
        <w:rPr>
          <w:lang w:val="en-GB"/>
        </w:rPr>
        <w:t>compliance</w:t>
      </w:r>
      <w:r w:rsidR="00FC2FB1" w:rsidRPr="00F72FB0">
        <w:rPr>
          <w:lang w:val="en-GB"/>
        </w:rPr>
        <w:t xml:space="preserve"> </w:t>
      </w:r>
      <w:r w:rsidR="001C48F2" w:rsidRPr="00F72FB0">
        <w:rPr>
          <w:lang w:val="en-GB"/>
        </w:rPr>
        <w:t>with</w:t>
      </w:r>
      <w:r w:rsidR="00FC2FB1" w:rsidRPr="00F72FB0">
        <w:rPr>
          <w:lang w:val="en-GB"/>
        </w:rPr>
        <w:t xml:space="preserve"> </w:t>
      </w:r>
      <w:r w:rsidR="001C48F2" w:rsidRPr="00F72FB0">
        <w:rPr>
          <w:lang w:val="en-GB"/>
        </w:rPr>
        <w:t>EU</w:t>
      </w:r>
      <w:r w:rsidR="00FC2FB1" w:rsidRPr="00F72FB0">
        <w:rPr>
          <w:lang w:val="en-GB"/>
        </w:rPr>
        <w:t xml:space="preserve"> </w:t>
      </w:r>
      <w:r w:rsidR="001C48F2" w:rsidRPr="00F72FB0">
        <w:rPr>
          <w:lang w:val="en-GB"/>
        </w:rPr>
        <w:t>guidance.</w:t>
      </w:r>
      <w:r w:rsidR="00FC2FB1" w:rsidRPr="00F72FB0">
        <w:rPr>
          <w:lang w:val="en-GB"/>
        </w:rPr>
        <w:t xml:space="preserve"> </w:t>
      </w:r>
      <w:r w:rsidR="00CF5E1F" w:rsidRPr="00F72FB0">
        <w:rPr>
          <w:lang w:val="en-GB"/>
        </w:rPr>
        <w:t>With</w:t>
      </w:r>
      <w:r w:rsidR="00FC2FB1" w:rsidRPr="00F72FB0">
        <w:rPr>
          <w:lang w:val="en-GB"/>
        </w:rPr>
        <w:t xml:space="preserve"> </w:t>
      </w:r>
      <w:r w:rsidR="00CF5E1F" w:rsidRPr="00F72FB0">
        <w:rPr>
          <w:lang w:val="en-GB"/>
        </w:rPr>
        <w:t>regards</w:t>
      </w:r>
      <w:r w:rsidR="00FC2FB1" w:rsidRPr="00F72FB0">
        <w:rPr>
          <w:lang w:val="en-GB"/>
        </w:rPr>
        <w:t xml:space="preserve"> </w:t>
      </w:r>
      <w:r w:rsidR="00CF5E1F" w:rsidRPr="00F72FB0">
        <w:rPr>
          <w:lang w:val="en-GB"/>
        </w:rPr>
        <w:t>to</w:t>
      </w:r>
      <w:r w:rsidR="00FC2FB1" w:rsidRPr="00F72FB0">
        <w:rPr>
          <w:lang w:val="en-GB"/>
        </w:rPr>
        <w:t xml:space="preserve"> </w:t>
      </w:r>
      <w:r w:rsidR="00CF5E1F" w:rsidRPr="00F72FB0">
        <w:rPr>
          <w:lang w:val="en-GB"/>
        </w:rPr>
        <w:t>State</w:t>
      </w:r>
      <w:r w:rsidR="00FC2FB1" w:rsidRPr="00F72FB0">
        <w:rPr>
          <w:lang w:val="en-GB"/>
        </w:rPr>
        <w:t xml:space="preserve"> </w:t>
      </w:r>
      <w:r w:rsidR="00CF5E1F" w:rsidRPr="00F72FB0">
        <w:rPr>
          <w:lang w:val="en-GB"/>
        </w:rPr>
        <w:t>aid,</w:t>
      </w:r>
      <w:r w:rsidR="00FC2FB1" w:rsidRPr="00F72FB0">
        <w:rPr>
          <w:lang w:val="en-GB"/>
        </w:rPr>
        <w:t xml:space="preserve"> </w:t>
      </w:r>
      <w:r w:rsidR="00CF5E1F" w:rsidRPr="00F72FB0">
        <w:rPr>
          <w:lang w:val="en-GB"/>
        </w:rPr>
        <w:t>an</w:t>
      </w:r>
      <w:r w:rsidR="00FC2FB1" w:rsidRPr="00F72FB0">
        <w:rPr>
          <w:lang w:val="en-GB"/>
        </w:rPr>
        <w:t xml:space="preserve"> </w:t>
      </w:r>
      <w:r w:rsidR="00CF5E1F" w:rsidRPr="00F72FB0">
        <w:rPr>
          <w:lang w:val="en-GB"/>
        </w:rPr>
        <w:t>area</w:t>
      </w:r>
      <w:r w:rsidR="00FC2FB1" w:rsidRPr="00F72FB0">
        <w:rPr>
          <w:lang w:val="en-GB"/>
        </w:rPr>
        <w:t xml:space="preserve"> </w:t>
      </w:r>
      <w:r w:rsidR="00CF5E1F" w:rsidRPr="00F72FB0">
        <w:rPr>
          <w:lang w:val="en-GB"/>
        </w:rPr>
        <w:t>of</w:t>
      </w:r>
      <w:r w:rsidR="00FC2FB1" w:rsidRPr="00F72FB0">
        <w:rPr>
          <w:lang w:val="en-GB"/>
        </w:rPr>
        <w:t xml:space="preserve"> </w:t>
      </w:r>
      <w:r w:rsidR="00CF5E1F" w:rsidRPr="00F72FB0">
        <w:rPr>
          <w:lang w:val="en-GB"/>
        </w:rPr>
        <w:t>exclusive</w:t>
      </w:r>
      <w:r w:rsidR="00FC2FB1" w:rsidRPr="00F72FB0">
        <w:rPr>
          <w:lang w:val="en-GB"/>
        </w:rPr>
        <w:t xml:space="preserve"> </w:t>
      </w:r>
      <w:r w:rsidR="00CF5E1F" w:rsidRPr="00F72FB0">
        <w:rPr>
          <w:lang w:val="en-GB"/>
        </w:rPr>
        <w:t>competence</w:t>
      </w:r>
      <w:r w:rsidR="00FC2FB1" w:rsidRPr="00F72FB0">
        <w:rPr>
          <w:lang w:val="en-GB"/>
        </w:rPr>
        <w:t xml:space="preserve"> </w:t>
      </w:r>
      <w:r w:rsidR="00CF5E1F" w:rsidRPr="00F72FB0">
        <w:rPr>
          <w:lang w:val="en-GB"/>
        </w:rPr>
        <w:t>of</w:t>
      </w:r>
      <w:r w:rsidR="00FC2FB1" w:rsidRPr="00F72FB0">
        <w:rPr>
          <w:lang w:val="en-GB"/>
        </w:rPr>
        <w:t xml:space="preserve"> </w:t>
      </w:r>
      <w:r w:rsidR="00CF5E1F" w:rsidRPr="00F72FB0">
        <w:rPr>
          <w:lang w:val="en-GB"/>
        </w:rPr>
        <w:t>the</w:t>
      </w:r>
      <w:r w:rsidR="00FC2FB1" w:rsidRPr="00F72FB0">
        <w:rPr>
          <w:lang w:val="en-GB"/>
        </w:rPr>
        <w:t xml:space="preserve"> </w:t>
      </w:r>
      <w:r w:rsidR="00CF5E1F" w:rsidRPr="00F72FB0">
        <w:rPr>
          <w:lang w:val="en-GB"/>
        </w:rPr>
        <w:t>Commission,</w:t>
      </w:r>
      <w:r w:rsidR="00FC2FB1" w:rsidRPr="00F72FB0">
        <w:rPr>
          <w:lang w:val="en-GB"/>
        </w:rPr>
        <w:t xml:space="preserve"> </w:t>
      </w:r>
      <w:r w:rsidR="00A00FF0" w:rsidRPr="00F72FB0">
        <w:rPr>
          <w:lang w:val="en-GB"/>
        </w:rPr>
        <w:t>an</w:t>
      </w:r>
      <w:r w:rsidR="00FC2FB1" w:rsidRPr="00F72FB0">
        <w:rPr>
          <w:lang w:val="en-GB"/>
        </w:rPr>
        <w:t xml:space="preserve"> </w:t>
      </w:r>
      <w:r w:rsidR="00CF5E1F" w:rsidRPr="00F72FB0">
        <w:rPr>
          <w:lang w:val="en-GB"/>
        </w:rPr>
        <w:t>interview</w:t>
      </w:r>
      <w:r w:rsidR="00A00FF0" w:rsidRPr="00F72FB0">
        <w:rPr>
          <w:lang w:val="en-GB"/>
        </w:rPr>
        <w:t>ee</w:t>
      </w:r>
      <w:r w:rsidR="00FC2FB1" w:rsidRPr="00F72FB0">
        <w:rPr>
          <w:lang w:val="en-GB"/>
        </w:rPr>
        <w:t xml:space="preserve"> </w:t>
      </w:r>
      <w:r w:rsidR="00CF5E1F" w:rsidRPr="00F72FB0">
        <w:rPr>
          <w:lang w:val="en-GB"/>
        </w:rPr>
        <w:t>confirms</w:t>
      </w:r>
      <w:r w:rsidR="00FC2FB1" w:rsidRPr="00F72FB0">
        <w:rPr>
          <w:lang w:val="en-GB"/>
        </w:rPr>
        <w:t xml:space="preserve"> </w:t>
      </w:r>
      <w:r w:rsidR="00CF5E1F" w:rsidRPr="00F72FB0">
        <w:rPr>
          <w:lang w:val="en-GB"/>
        </w:rPr>
        <w:t>that</w:t>
      </w:r>
      <w:r w:rsidR="00FC2FB1" w:rsidRPr="00F72FB0">
        <w:rPr>
          <w:lang w:val="en-GB"/>
        </w:rPr>
        <w:t xml:space="preserve"> </w:t>
      </w:r>
      <w:r w:rsidR="00CF5E1F" w:rsidRPr="00F72FB0">
        <w:rPr>
          <w:lang w:val="en-GB"/>
        </w:rPr>
        <w:t>compliance</w:t>
      </w:r>
      <w:r w:rsidR="00FC2FB1" w:rsidRPr="00F72FB0">
        <w:rPr>
          <w:lang w:val="en-GB"/>
        </w:rPr>
        <w:t xml:space="preserve"> </w:t>
      </w:r>
      <w:r w:rsidR="00CF5E1F" w:rsidRPr="00F72FB0">
        <w:rPr>
          <w:lang w:val="en-GB"/>
        </w:rPr>
        <w:t>with</w:t>
      </w:r>
      <w:r w:rsidR="00FC2FB1" w:rsidRPr="00F72FB0">
        <w:rPr>
          <w:lang w:val="en-GB"/>
        </w:rPr>
        <w:t xml:space="preserve"> </w:t>
      </w:r>
      <w:r w:rsidR="00CF5E1F" w:rsidRPr="00F72FB0">
        <w:rPr>
          <w:lang w:val="en-GB"/>
        </w:rPr>
        <w:t>guidelines</w:t>
      </w:r>
      <w:r w:rsidR="00FC2FB1" w:rsidRPr="00F72FB0">
        <w:rPr>
          <w:lang w:val="en-GB"/>
        </w:rPr>
        <w:t xml:space="preserve"> </w:t>
      </w:r>
      <w:r w:rsidR="00CF5E1F" w:rsidRPr="00F72FB0">
        <w:rPr>
          <w:lang w:val="en-GB"/>
        </w:rPr>
        <w:t>is</w:t>
      </w:r>
      <w:r w:rsidR="00FC2FB1" w:rsidRPr="00F72FB0">
        <w:rPr>
          <w:lang w:val="en-GB"/>
        </w:rPr>
        <w:t xml:space="preserve"> </w:t>
      </w:r>
      <w:r w:rsidR="00CF5E1F" w:rsidRPr="00F72FB0">
        <w:rPr>
          <w:lang w:val="en-GB"/>
        </w:rPr>
        <w:t>triggered</w:t>
      </w:r>
      <w:r w:rsidR="00FC2FB1" w:rsidRPr="00F72FB0">
        <w:rPr>
          <w:lang w:val="en-GB"/>
        </w:rPr>
        <w:t xml:space="preserve"> </w:t>
      </w:r>
      <w:r w:rsidR="00CF5E1F" w:rsidRPr="00F72FB0">
        <w:rPr>
          <w:lang w:val="en-GB"/>
        </w:rPr>
        <w:t>by</w:t>
      </w:r>
      <w:r w:rsidR="00FC2FB1" w:rsidRPr="00F72FB0">
        <w:rPr>
          <w:lang w:val="en-GB"/>
        </w:rPr>
        <w:t xml:space="preserve"> </w:t>
      </w:r>
      <w:r w:rsidR="00CF5E1F" w:rsidRPr="00F72FB0">
        <w:rPr>
          <w:lang w:val="en-GB"/>
        </w:rPr>
        <w:t>the</w:t>
      </w:r>
      <w:r w:rsidR="00FC2FB1" w:rsidRPr="00F72FB0">
        <w:rPr>
          <w:lang w:val="en-GB"/>
        </w:rPr>
        <w:t xml:space="preserve"> </w:t>
      </w:r>
      <w:r w:rsidR="00CF5E1F" w:rsidRPr="00F72FB0">
        <w:rPr>
          <w:lang w:val="en-GB"/>
        </w:rPr>
        <w:t>need</w:t>
      </w:r>
      <w:r w:rsidR="00FC2FB1" w:rsidRPr="00F72FB0">
        <w:rPr>
          <w:lang w:val="en-GB"/>
        </w:rPr>
        <w:t xml:space="preserve"> </w:t>
      </w:r>
      <w:r w:rsidR="00CF5E1F" w:rsidRPr="00F72FB0">
        <w:rPr>
          <w:lang w:val="en-GB"/>
        </w:rPr>
        <w:t>to</w:t>
      </w:r>
      <w:r w:rsidR="00FC2FB1" w:rsidRPr="00F72FB0">
        <w:rPr>
          <w:lang w:val="en-GB"/>
        </w:rPr>
        <w:t xml:space="preserve"> </w:t>
      </w:r>
      <w:r w:rsidR="00CF5E1F" w:rsidRPr="00F72FB0">
        <w:rPr>
          <w:lang w:val="en-GB"/>
        </w:rPr>
        <w:t>comply</w:t>
      </w:r>
      <w:r w:rsidR="00FC2FB1" w:rsidRPr="00F72FB0">
        <w:rPr>
          <w:lang w:val="en-GB"/>
        </w:rPr>
        <w:t xml:space="preserve"> </w:t>
      </w:r>
      <w:r w:rsidR="00CF5E1F" w:rsidRPr="00F72FB0">
        <w:rPr>
          <w:lang w:val="en-GB"/>
        </w:rPr>
        <w:t>with</w:t>
      </w:r>
      <w:r w:rsidR="00FC2FB1" w:rsidRPr="00F72FB0">
        <w:rPr>
          <w:lang w:val="en-GB"/>
        </w:rPr>
        <w:t xml:space="preserve"> </w:t>
      </w:r>
      <w:r w:rsidR="00CF5E1F" w:rsidRPr="00F72FB0">
        <w:rPr>
          <w:lang w:val="en-GB"/>
        </w:rPr>
        <w:t>EU</w:t>
      </w:r>
      <w:r w:rsidR="00FC2FB1" w:rsidRPr="00F72FB0">
        <w:rPr>
          <w:lang w:val="en-GB"/>
        </w:rPr>
        <w:t xml:space="preserve"> </w:t>
      </w:r>
      <w:r w:rsidR="00CF5E1F" w:rsidRPr="00F72FB0">
        <w:rPr>
          <w:lang w:val="en-GB"/>
        </w:rPr>
        <w:t>State</w:t>
      </w:r>
      <w:r w:rsidR="00FC2FB1" w:rsidRPr="00F72FB0">
        <w:rPr>
          <w:lang w:val="en-GB"/>
        </w:rPr>
        <w:t xml:space="preserve"> </w:t>
      </w:r>
      <w:r w:rsidR="00CF5E1F" w:rsidRPr="00F72FB0">
        <w:rPr>
          <w:lang w:val="en-GB"/>
        </w:rPr>
        <w:t>aid</w:t>
      </w:r>
      <w:r w:rsidR="00FC2FB1" w:rsidRPr="00F72FB0">
        <w:rPr>
          <w:lang w:val="en-GB"/>
        </w:rPr>
        <w:t xml:space="preserve"> </w:t>
      </w:r>
      <w:r w:rsidR="00334581">
        <w:rPr>
          <w:lang w:val="en-GB"/>
        </w:rPr>
        <w:t>rules</w:t>
      </w:r>
      <w:r w:rsidR="00CF5E1F" w:rsidRPr="00F72FB0">
        <w:rPr>
          <w:lang w:val="en-GB"/>
        </w:rPr>
        <w:t>.</w:t>
      </w:r>
      <w:r w:rsidR="004C1DB3">
        <w:rPr>
          <w:rStyle w:val="Alaviitteenviite"/>
          <w:lang w:val="en-GB"/>
        </w:rPr>
        <w:footnoteReference w:id="76"/>
      </w:r>
      <w:r w:rsidR="00FC2FB1" w:rsidRPr="00F72FB0">
        <w:rPr>
          <w:lang w:val="en-GB"/>
        </w:rPr>
        <w:t xml:space="preserve"> </w:t>
      </w:r>
      <w:r w:rsidR="00CF5E1F" w:rsidRPr="00F72FB0">
        <w:rPr>
          <w:lang w:val="en-GB"/>
        </w:rPr>
        <w:t>Interestingly,</w:t>
      </w:r>
      <w:r w:rsidR="00FC2FB1" w:rsidRPr="00F72FB0">
        <w:rPr>
          <w:lang w:val="en-GB"/>
        </w:rPr>
        <w:t xml:space="preserve"> </w:t>
      </w:r>
      <w:r w:rsidR="00CF5E1F" w:rsidRPr="00F72FB0">
        <w:rPr>
          <w:lang w:val="en-GB"/>
        </w:rPr>
        <w:t>i</w:t>
      </w:r>
      <w:r w:rsidR="001C48F2" w:rsidRPr="00F72FB0">
        <w:rPr>
          <w:lang w:val="en-GB"/>
        </w:rPr>
        <w:t>n</w:t>
      </w:r>
      <w:r w:rsidR="00FC2FB1" w:rsidRPr="00F72FB0">
        <w:rPr>
          <w:lang w:val="en-GB"/>
        </w:rPr>
        <w:t xml:space="preserve"> </w:t>
      </w:r>
      <w:r w:rsidR="001C48F2" w:rsidRPr="00F72FB0">
        <w:rPr>
          <w:lang w:val="en-GB"/>
        </w:rPr>
        <w:t>relation</w:t>
      </w:r>
      <w:r w:rsidR="00FC2FB1" w:rsidRPr="00F72FB0">
        <w:rPr>
          <w:lang w:val="en-GB"/>
        </w:rPr>
        <w:t xml:space="preserve"> </w:t>
      </w:r>
      <w:r w:rsidR="001C48F2" w:rsidRPr="00F72FB0">
        <w:rPr>
          <w:lang w:val="en-GB"/>
        </w:rPr>
        <w:t>to</w:t>
      </w:r>
      <w:r w:rsidR="00FC2FB1" w:rsidRPr="00F72FB0">
        <w:rPr>
          <w:lang w:val="en-GB"/>
        </w:rPr>
        <w:t xml:space="preserve"> </w:t>
      </w:r>
      <w:r w:rsidR="001C48F2" w:rsidRPr="00F72FB0">
        <w:rPr>
          <w:lang w:val="en-GB"/>
        </w:rPr>
        <w:t>the</w:t>
      </w:r>
      <w:r w:rsidR="00FC2FB1" w:rsidRPr="00F72FB0">
        <w:rPr>
          <w:lang w:val="en-GB"/>
        </w:rPr>
        <w:t xml:space="preserve"> </w:t>
      </w:r>
      <w:r w:rsidR="001C48F2" w:rsidRPr="00F72FB0">
        <w:rPr>
          <w:lang w:val="en-GB"/>
        </w:rPr>
        <w:t>Guidelines</w:t>
      </w:r>
      <w:r w:rsidR="00FC2FB1" w:rsidRPr="00F72FB0">
        <w:rPr>
          <w:lang w:val="en-GB"/>
        </w:rPr>
        <w:t xml:space="preserve"> </w:t>
      </w:r>
      <w:r w:rsidR="001C48F2" w:rsidRPr="00F72FB0">
        <w:rPr>
          <w:lang w:val="en-GB"/>
        </w:rPr>
        <w:t>on</w:t>
      </w:r>
      <w:r w:rsidR="00FC2FB1" w:rsidRPr="00F72FB0">
        <w:rPr>
          <w:lang w:val="en-GB"/>
        </w:rPr>
        <w:t xml:space="preserve"> </w:t>
      </w:r>
      <w:r w:rsidR="001C48F2" w:rsidRPr="00F72FB0">
        <w:rPr>
          <w:lang w:val="en-GB"/>
        </w:rPr>
        <w:t>fines,</w:t>
      </w:r>
      <w:r w:rsidR="00FC2FB1" w:rsidRPr="00F72FB0">
        <w:rPr>
          <w:lang w:val="en-GB"/>
        </w:rPr>
        <w:t xml:space="preserve"> </w:t>
      </w:r>
      <w:r w:rsidR="001C48F2" w:rsidRPr="00F72FB0">
        <w:rPr>
          <w:lang w:val="en-GB"/>
        </w:rPr>
        <w:t>the</w:t>
      </w:r>
      <w:r w:rsidR="00FC2FB1" w:rsidRPr="00F72FB0">
        <w:rPr>
          <w:lang w:val="en-GB"/>
        </w:rPr>
        <w:t xml:space="preserve"> </w:t>
      </w:r>
      <w:r w:rsidR="001C48F2" w:rsidRPr="00F72FB0">
        <w:rPr>
          <w:lang w:val="en-GB"/>
        </w:rPr>
        <w:t>OFT</w:t>
      </w:r>
      <w:r w:rsidR="00FC2FB1" w:rsidRPr="00F72FB0">
        <w:rPr>
          <w:lang w:val="en-GB"/>
        </w:rPr>
        <w:t xml:space="preserve"> </w:t>
      </w:r>
      <w:r w:rsidR="001C48F2" w:rsidRPr="00F72FB0">
        <w:rPr>
          <w:lang w:val="en-GB"/>
        </w:rPr>
        <w:t>clearly</w:t>
      </w:r>
      <w:r w:rsidR="00FC2FB1" w:rsidRPr="00F72FB0">
        <w:rPr>
          <w:lang w:val="en-GB"/>
        </w:rPr>
        <w:t xml:space="preserve"> </w:t>
      </w:r>
      <w:r w:rsidR="001C48F2" w:rsidRPr="00F72FB0">
        <w:rPr>
          <w:lang w:val="en-GB"/>
        </w:rPr>
        <w:t>states</w:t>
      </w:r>
      <w:r w:rsidR="00FC2FB1" w:rsidRPr="00F72FB0">
        <w:rPr>
          <w:lang w:val="en-GB"/>
        </w:rPr>
        <w:t xml:space="preserve"> </w:t>
      </w:r>
      <w:r w:rsidR="001C48F2" w:rsidRPr="00F72FB0">
        <w:rPr>
          <w:lang w:val="en-GB"/>
        </w:rPr>
        <w:t>that</w:t>
      </w:r>
      <w:r w:rsidR="00FC2FB1" w:rsidRPr="00F72FB0">
        <w:rPr>
          <w:lang w:val="en-GB"/>
        </w:rPr>
        <w:t xml:space="preserve"> </w:t>
      </w:r>
      <w:r w:rsidR="001C48F2" w:rsidRPr="00F72FB0">
        <w:rPr>
          <w:lang w:val="en-GB"/>
        </w:rPr>
        <w:t>they</w:t>
      </w:r>
      <w:r w:rsidR="00FC2FB1" w:rsidRPr="00F72FB0">
        <w:rPr>
          <w:lang w:val="en-GB"/>
        </w:rPr>
        <w:t xml:space="preserve"> </w:t>
      </w:r>
      <w:r w:rsidR="001C48F2" w:rsidRPr="00F72FB0">
        <w:rPr>
          <w:lang w:val="en-GB"/>
        </w:rPr>
        <w:t>do</w:t>
      </w:r>
      <w:r w:rsidR="00FC2FB1" w:rsidRPr="00F72FB0">
        <w:rPr>
          <w:lang w:val="en-GB"/>
        </w:rPr>
        <w:t xml:space="preserve"> </w:t>
      </w:r>
      <w:r w:rsidR="001C48F2" w:rsidRPr="00F72FB0">
        <w:rPr>
          <w:lang w:val="en-GB"/>
        </w:rPr>
        <w:t>not</w:t>
      </w:r>
      <w:r w:rsidR="00FC2FB1" w:rsidRPr="00F72FB0">
        <w:rPr>
          <w:lang w:val="en-GB"/>
        </w:rPr>
        <w:t xml:space="preserve"> </w:t>
      </w:r>
      <w:r w:rsidR="001C48F2" w:rsidRPr="00F72FB0">
        <w:rPr>
          <w:lang w:val="en-GB"/>
        </w:rPr>
        <w:t>feel</w:t>
      </w:r>
      <w:r w:rsidR="00FC2FB1" w:rsidRPr="00F72FB0">
        <w:rPr>
          <w:lang w:val="en-GB"/>
        </w:rPr>
        <w:t xml:space="preserve"> </w:t>
      </w:r>
      <w:r w:rsidR="001C48F2" w:rsidRPr="00F72FB0">
        <w:rPr>
          <w:lang w:val="en-GB"/>
        </w:rPr>
        <w:t>bound</w:t>
      </w:r>
      <w:r w:rsidR="00FC2FB1" w:rsidRPr="00F72FB0">
        <w:rPr>
          <w:lang w:val="en-GB"/>
        </w:rPr>
        <w:t xml:space="preserve"> </w:t>
      </w:r>
      <w:r w:rsidR="001C48F2" w:rsidRPr="00F72FB0">
        <w:rPr>
          <w:lang w:val="en-GB"/>
        </w:rPr>
        <w:t>by</w:t>
      </w:r>
      <w:r w:rsidR="00FC2FB1" w:rsidRPr="00F72FB0">
        <w:rPr>
          <w:lang w:val="en-GB"/>
        </w:rPr>
        <w:t xml:space="preserve"> </w:t>
      </w:r>
      <w:r w:rsidR="001C48F2" w:rsidRPr="00F72FB0">
        <w:rPr>
          <w:lang w:val="en-GB"/>
        </w:rPr>
        <w:t>Commission</w:t>
      </w:r>
      <w:r w:rsidR="00FC2FB1" w:rsidRPr="00F72FB0">
        <w:rPr>
          <w:lang w:val="en-GB"/>
        </w:rPr>
        <w:t xml:space="preserve"> </w:t>
      </w:r>
      <w:r w:rsidR="001C48F2" w:rsidRPr="00F72FB0">
        <w:rPr>
          <w:lang w:val="en-GB"/>
        </w:rPr>
        <w:t>guidelines</w:t>
      </w:r>
      <w:r w:rsidR="00FC2FB1" w:rsidRPr="00F72FB0">
        <w:rPr>
          <w:lang w:val="en-GB"/>
        </w:rPr>
        <w:t xml:space="preserve"> </w:t>
      </w:r>
      <w:r w:rsidR="001C48F2" w:rsidRPr="00F72FB0">
        <w:rPr>
          <w:lang w:val="en-GB"/>
        </w:rPr>
        <w:t>‘particularly</w:t>
      </w:r>
      <w:r w:rsidR="00FC2FB1" w:rsidRPr="00F72FB0">
        <w:rPr>
          <w:lang w:val="en-GB"/>
        </w:rPr>
        <w:t xml:space="preserve"> </w:t>
      </w:r>
      <w:r w:rsidR="001C48F2" w:rsidRPr="00F72FB0">
        <w:rPr>
          <w:lang w:val="en-GB"/>
        </w:rPr>
        <w:t>where</w:t>
      </w:r>
      <w:r w:rsidR="00FC2FB1" w:rsidRPr="00F72FB0">
        <w:rPr>
          <w:lang w:val="en-GB"/>
        </w:rPr>
        <w:t xml:space="preserve"> </w:t>
      </w:r>
      <w:r w:rsidR="001C48F2" w:rsidRPr="00F72FB0">
        <w:rPr>
          <w:lang w:val="en-GB"/>
        </w:rPr>
        <w:t>the</w:t>
      </w:r>
      <w:r w:rsidR="00FC2FB1" w:rsidRPr="00F72FB0">
        <w:rPr>
          <w:lang w:val="en-GB"/>
        </w:rPr>
        <w:t xml:space="preserve"> </w:t>
      </w:r>
      <w:r w:rsidR="001C48F2" w:rsidRPr="00F72FB0">
        <w:rPr>
          <w:lang w:val="en-GB"/>
        </w:rPr>
        <w:t>Commission</w:t>
      </w:r>
      <w:r w:rsidR="00FC2FB1" w:rsidRPr="00F72FB0">
        <w:rPr>
          <w:lang w:val="en-GB"/>
        </w:rPr>
        <w:t xml:space="preserve"> </w:t>
      </w:r>
      <w:r w:rsidR="001C48F2" w:rsidRPr="00F72FB0">
        <w:rPr>
          <w:lang w:val="en-GB"/>
        </w:rPr>
        <w:t>has</w:t>
      </w:r>
      <w:r w:rsidR="00FC2FB1" w:rsidRPr="00F72FB0">
        <w:rPr>
          <w:lang w:val="en-GB"/>
        </w:rPr>
        <w:t xml:space="preserve"> </w:t>
      </w:r>
      <w:r w:rsidR="001C48F2" w:rsidRPr="00F72FB0">
        <w:rPr>
          <w:lang w:val="en-GB"/>
        </w:rPr>
        <w:t>itself</w:t>
      </w:r>
      <w:r w:rsidR="00FC2FB1" w:rsidRPr="00F72FB0">
        <w:rPr>
          <w:lang w:val="en-GB"/>
        </w:rPr>
        <w:t xml:space="preserve"> </w:t>
      </w:r>
      <w:r w:rsidR="001C48F2" w:rsidRPr="00F72FB0">
        <w:rPr>
          <w:lang w:val="en-GB"/>
        </w:rPr>
        <w:t>a</w:t>
      </w:r>
      <w:r w:rsidR="00FC2FB1" w:rsidRPr="00F72FB0">
        <w:rPr>
          <w:lang w:val="en-GB"/>
        </w:rPr>
        <w:t xml:space="preserve"> </w:t>
      </w:r>
      <w:r w:rsidR="001C48F2" w:rsidRPr="00F72FB0">
        <w:rPr>
          <w:lang w:val="en-GB"/>
        </w:rPr>
        <w:t>wide</w:t>
      </w:r>
      <w:r w:rsidR="00FC2FB1" w:rsidRPr="00F72FB0">
        <w:rPr>
          <w:lang w:val="en-GB"/>
        </w:rPr>
        <w:t xml:space="preserve"> </w:t>
      </w:r>
      <w:r w:rsidR="001C48F2" w:rsidRPr="00F72FB0">
        <w:rPr>
          <w:lang w:val="en-GB"/>
        </w:rPr>
        <w:t>margin</w:t>
      </w:r>
      <w:r w:rsidR="00FC2FB1" w:rsidRPr="00F72FB0">
        <w:rPr>
          <w:lang w:val="en-GB"/>
        </w:rPr>
        <w:t xml:space="preserve"> </w:t>
      </w:r>
      <w:r w:rsidR="001C48F2" w:rsidRPr="00F72FB0">
        <w:rPr>
          <w:lang w:val="en-GB"/>
        </w:rPr>
        <w:t>of</w:t>
      </w:r>
      <w:r w:rsidR="00FC2FB1" w:rsidRPr="00F72FB0">
        <w:rPr>
          <w:lang w:val="en-GB"/>
        </w:rPr>
        <w:t xml:space="preserve"> </w:t>
      </w:r>
      <w:r w:rsidR="001C48F2" w:rsidRPr="00F72FB0">
        <w:rPr>
          <w:lang w:val="en-GB"/>
        </w:rPr>
        <w:t>discretion’</w:t>
      </w:r>
      <w:r w:rsidR="0020555B">
        <w:rPr>
          <w:lang w:val="en-GB"/>
        </w:rPr>
        <w:t>.</w:t>
      </w:r>
      <w:r w:rsidR="001C48F2" w:rsidRPr="00F72FB0">
        <w:rPr>
          <w:rStyle w:val="Alaviitteenviite"/>
          <w:lang w:val="en-GB"/>
        </w:rPr>
        <w:footnoteReference w:id="77"/>
      </w:r>
      <w:r w:rsidR="00FC2FB1" w:rsidRPr="00F72FB0">
        <w:rPr>
          <w:lang w:val="en-GB"/>
        </w:rPr>
        <w:t xml:space="preserve"> </w:t>
      </w:r>
      <w:r w:rsidR="00CF5E1F" w:rsidRPr="00F72FB0">
        <w:rPr>
          <w:lang w:val="en-GB"/>
        </w:rPr>
        <w:t>While</w:t>
      </w:r>
      <w:r w:rsidR="00FC2FB1" w:rsidRPr="00F72FB0">
        <w:rPr>
          <w:lang w:val="en-GB"/>
        </w:rPr>
        <w:t xml:space="preserve"> </w:t>
      </w:r>
      <w:r w:rsidR="00CF5E1F" w:rsidRPr="00F72FB0">
        <w:rPr>
          <w:lang w:val="en-GB"/>
        </w:rPr>
        <w:t>both</w:t>
      </w:r>
      <w:r w:rsidR="00FC2FB1" w:rsidRPr="00F72FB0">
        <w:rPr>
          <w:lang w:val="en-GB"/>
        </w:rPr>
        <w:t xml:space="preserve"> </w:t>
      </w:r>
      <w:r w:rsidR="00CF5E1F" w:rsidRPr="00F72FB0">
        <w:rPr>
          <w:lang w:val="en-GB"/>
        </w:rPr>
        <w:t>State</w:t>
      </w:r>
      <w:r w:rsidR="00FC2FB1" w:rsidRPr="00F72FB0">
        <w:rPr>
          <w:lang w:val="en-GB"/>
        </w:rPr>
        <w:t xml:space="preserve"> </w:t>
      </w:r>
      <w:r w:rsidR="00CF5E1F" w:rsidRPr="00F72FB0">
        <w:rPr>
          <w:lang w:val="en-GB"/>
        </w:rPr>
        <w:t>aid</w:t>
      </w:r>
      <w:r w:rsidR="00FC2FB1" w:rsidRPr="00F72FB0">
        <w:rPr>
          <w:lang w:val="en-GB"/>
        </w:rPr>
        <w:t xml:space="preserve"> </w:t>
      </w:r>
      <w:r w:rsidR="00CF5E1F" w:rsidRPr="00F72FB0">
        <w:rPr>
          <w:lang w:val="en-GB"/>
        </w:rPr>
        <w:t>and</w:t>
      </w:r>
      <w:r w:rsidR="00FC2FB1" w:rsidRPr="00F72FB0">
        <w:rPr>
          <w:lang w:val="en-GB"/>
        </w:rPr>
        <w:t xml:space="preserve"> </w:t>
      </w:r>
      <w:r w:rsidR="00CF5E1F" w:rsidRPr="00F72FB0">
        <w:rPr>
          <w:lang w:val="en-GB"/>
        </w:rPr>
        <w:t>Competition</w:t>
      </w:r>
      <w:r w:rsidR="00FC2FB1" w:rsidRPr="00F72FB0">
        <w:rPr>
          <w:lang w:val="en-GB"/>
        </w:rPr>
        <w:t xml:space="preserve"> </w:t>
      </w:r>
      <w:r w:rsidR="00CF5E1F" w:rsidRPr="00F72FB0">
        <w:rPr>
          <w:lang w:val="en-GB"/>
        </w:rPr>
        <w:t>are</w:t>
      </w:r>
      <w:r w:rsidR="00FC2FB1" w:rsidRPr="00F72FB0">
        <w:rPr>
          <w:lang w:val="en-GB"/>
        </w:rPr>
        <w:t xml:space="preserve"> </w:t>
      </w:r>
      <w:r w:rsidR="00CF5E1F" w:rsidRPr="00F72FB0">
        <w:rPr>
          <w:lang w:val="en-GB"/>
        </w:rPr>
        <w:t>areas</w:t>
      </w:r>
      <w:r w:rsidR="00FC2FB1" w:rsidRPr="00F72FB0">
        <w:rPr>
          <w:lang w:val="en-GB"/>
        </w:rPr>
        <w:t xml:space="preserve"> </w:t>
      </w:r>
      <w:r w:rsidR="00CF5E1F" w:rsidRPr="00F72FB0">
        <w:rPr>
          <w:lang w:val="en-GB"/>
        </w:rPr>
        <w:t>of</w:t>
      </w:r>
      <w:r w:rsidR="00FC2FB1" w:rsidRPr="00F72FB0">
        <w:rPr>
          <w:lang w:val="en-GB"/>
        </w:rPr>
        <w:t xml:space="preserve"> </w:t>
      </w:r>
      <w:r w:rsidR="00CF5E1F" w:rsidRPr="00F72FB0">
        <w:rPr>
          <w:lang w:val="en-GB"/>
        </w:rPr>
        <w:t>exclusive</w:t>
      </w:r>
      <w:r w:rsidR="00FC2FB1" w:rsidRPr="00F72FB0">
        <w:rPr>
          <w:lang w:val="en-GB"/>
        </w:rPr>
        <w:t xml:space="preserve"> </w:t>
      </w:r>
      <w:r w:rsidR="00CF5E1F" w:rsidRPr="00F72FB0">
        <w:rPr>
          <w:lang w:val="en-GB"/>
        </w:rPr>
        <w:t>competence,</w:t>
      </w:r>
      <w:r w:rsidR="00FC2FB1" w:rsidRPr="00F72FB0">
        <w:rPr>
          <w:lang w:val="en-GB"/>
        </w:rPr>
        <w:t xml:space="preserve"> </w:t>
      </w:r>
      <w:r w:rsidR="00CF5E1F" w:rsidRPr="00F72FB0">
        <w:rPr>
          <w:lang w:val="en-GB"/>
        </w:rPr>
        <w:t>this</w:t>
      </w:r>
      <w:r w:rsidR="00FC2FB1" w:rsidRPr="00F72FB0">
        <w:rPr>
          <w:lang w:val="en-GB"/>
        </w:rPr>
        <w:t xml:space="preserve"> </w:t>
      </w:r>
      <w:r w:rsidR="00CF5E1F" w:rsidRPr="00F72FB0">
        <w:rPr>
          <w:lang w:val="en-GB"/>
        </w:rPr>
        <w:t>diverging</w:t>
      </w:r>
      <w:r w:rsidR="00FC2FB1" w:rsidRPr="00F72FB0">
        <w:rPr>
          <w:lang w:val="en-GB"/>
        </w:rPr>
        <w:t xml:space="preserve"> </w:t>
      </w:r>
      <w:r w:rsidR="00CF5E1F" w:rsidRPr="00F72FB0">
        <w:rPr>
          <w:lang w:val="en-GB"/>
        </w:rPr>
        <w:t>approach</w:t>
      </w:r>
      <w:r w:rsidR="00FC2FB1" w:rsidRPr="00F72FB0">
        <w:rPr>
          <w:lang w:val="en-GB"/>
        </w:rPr>
        <w:t xml:space="preserve"> </w:t>
      </w:r>
      <w:r w:rsidR="00CF5E1F" w:rsidRPr="00F72FB0">
        <w:rPr>
          <w:lang w:val="en-GB"/>
        </w:rPr>
        <w:t>can</w:t>
      </w:r>
      <w:r w:rsidR="00FC2FB1" w:rsidRPr="00F72FB0">
        <w:rPr>
          <w:lang w:val="en-GB"/>
        </w:rPr>
        <w:t xml:space="preserve"> </w:t>
      </w:r>
      <w:r w:rsidR="00CF5E1F" w:rsidRPr="00F72FB0">
        <w:rPr>
          <w:lang w:val="en-GB"/>
        </w:rPr>
        <w:t>be</w:t>
      </w:r>
      <w:r w:rsidR="00FC2FB1" w:rsidRPr="00F72FB0">
        <w:rPr>
          <w:lang w:val="en-GB"/>
        </w:rPr>
        <w:t xml:space="preserve"> </w:t>
      </w:r>
      <w:r w:rsidR="00CF5E1F" w:rsidRPr="00F72FB0">
        <w:rPr>
          <w:lang w:val="en-GB"/>
        </w:rPr>
        <w:t>explained</w:t>
      </w:r>
      <w:r w:rsidR="00FC2FB1" w:rsidRPr="00F72FB0">
        <w:rPr>
          <w:lang w:val="en-GB"/>
        </w:rPr>
        <w:t xml:space="preserve"> </w:t>
      </w:r>
      <w:r w:rsidR="00CF5E1F" w:rsidRPr="00F72FB0">
        <w:rPr>
          <w:lang w:val="en-GB"/>
        </w:rPr>
        <w:t>by</w:t>
      </w:r>
      <w:r w:rsidR="00FC2FB1" w:rsidRPr="00F72FB0">
        <w:rPr>
          <w:lang w:val="en-GB"/>
        </w:rPr>
        <w:t xml:space="preserve"> </w:t>
      </w:r>
      <w:r w:rsidR="00CF5E1F" w:rsidRPr="00F72FB0">
        <w:rPr>
          <w:lang w:val="en-GB"/>
        </w:rPr>
        <w:t>the</w:t>
      </w:r>
      <w:r w:rsidR="00FC2FB1" w:rsidRPr="00F72FB0">
        <w:rPr>
          <w:lang w:val="en-GB"/>
        </w:rPr>
        <w:t xml:space="preserve"> </w:t>
      </w:r>
      <w:r w:rsidR="00CF5E1F" w:rsidRPr="00F72FB0">
        <w:rPr>
          <w:lang w:val="en-GB"/>
        </w:rPr>
        <w:t>fact</w:t>
      </w:r>
      <w:r w:rsidR="00FC2FB1" w:rsidRPr="00F72FB0">
        <w:rPr>
          <w:lang w:val="en-GB"/>
        </w:rPr>
        <w:t xml:space="preserve"> </w:t>
      </w:r>
      <w:r w:rsidR="00CF5E1F" w:rsidRPr="00F72FB0">
        <w:rPr>
          <w:lang w:val="en-GB"/>
        </w:rPr>
        <w:t>that</w:t>
      </w:r>
      <w:r w:rsidR="00FC2FB1" w:rsidRPr="00F72FB0">
        <w:rPr>
          <w:lang w:val="en-GB"/>
        </w:rPr>
        <w:t xml:space="preserve"> </w:t>
      </w:r>
      <w:r w:rsidR="00CF5E1F" w:rsidRPr="00F72FB0">
        <w:rPr>
          <w:lang w:val="en-GB"/>
        </w:rPr>
        <w:t>in</w:t>
      </w:r>
      <w:r w:rsidR="00FC2FB1" w:rsidRPr="00F72FB0">
        <w:rPr>
          <w:lang w:val="en-GB"/>
        </w:rPr>
        <w:t xml:space="preserve"> </w:t>
      </w:r>
      <w:r w:rsidR="00CF5E1F" w:rsidRPr="00F72FB0">
        <w:rPr>
          <w:lang w:val="en-GB"/>
        </w:rPr>
        <w:t>competition</w:t>
      </w:r>
      <w:r w:rsidR="00FC2FB1" w:rsidRPr="00F72FB0">
        <w:rPr>
          <w:lang w:val="en-GB"/>
        </w:rPr>
        <w:t xml:space="preserve"> </w:t>
      </w:r>
      <w:r w:rsidR="00CF5E1F" w:rsidRPr="00F72FB0">
        <w:rPr>
          <w:lang w:val="en-GB"/>
        </w:rPr>
        <w:t>enforcement</w:t>
      </w:r>
      <w:r w:rsidR="00FC2FB1" w:rsidRPr="00F72FB0">
        <w:rPr>
          <w:lang w:val="en-GB"/>
        </w:rPr>
        <w:t xml:space="preserve"> </w:t>
      </w:r>
      <w:r w:rsidR="00CF5E1F" w:rsidRPr="00F72FB0">
        <w:rPr>
          <w:lang w:val="en-GB"/>
        </w:rPr>
        <w:t>is</w:t>
      </w:r>
      <w:r w:rsidR="00FC2FB1" w:rsidRPr="00F72FB0">
        <w:rPr>
          <w:lang w:val="en-GB"/>
        </w:rPr>
        <w:t xml:space="preserve"> </w:t>
      </w:r>
      <w:r w:rsidR="00CF5E1F" w:rsidRPr="00F72FB0">
        <w:rPr>
          <w:lang w:val="en-GB"/>
        </w:rPr>
        <w:t>nowadays</w:t>
      </w:r>
      <w:r w:rsidR="00FC2FB1" w:rsidRPr="00F72FB0">
        <w:rPr>
          <w:lang w:val="en-GB"/>
        </w:rPr>
        <w:t xml:space="preserve"> </w:t>
      </w:r>
      <w:r w:rsidR="0020555B" w:rsidRPr="00F72FB0">
        <w:rPr>
          <w:lang w:val="en-GB"/>
        </w:rPr>
        <w:t>decentrali</w:t>
      </w:r>
      <w:r w:rsidR="0020555B">
        <w:rPr>
          <w:lang w:val="en-GB"/>
        </w:rPr>
        <w:t>s</w:t>
      </w:r>
      <w:r w:rsidR="0020555B" w:rsidRPr="00F72FB0">
        <w:rPr>
          <w:lang w:val="en-GB"/>
        </w:rPr>
        <w:t>ed</w:t>
      </w:r>
      <w:r w:rsidR="00CF5E1F" w:rsidRPr="00F72FB0">
        <w:rPr>
          <w:lang w:val="en-GB"/>
        </w:rPr>
        <w:t>,</w:t>
      </w:r>
      <w:r w:rsidR="00FC2FB1" w:rsidRPr="00F72FB0">
        <w:rPr>
          <w:lang w:val="en-GB"/>
        </w:rPr>
        <w:t xml:space="preserve"> </w:t>
      </w:r>
      <w:r w:rsidR="00CF5E1F" w:rsidRPr="00F72FB0">
        <w:rPr>
          <w:lang w:val="en-GB"/>
        </w:rPr>
        <w:t>and</w:t>
      </w:r>
      <w:r w:rsidR="00FC2FB1" w:rsidRPr="00F72FB0">
        <w:rPr>
          <w:lang w:val="en-GB"/>
        </w:rPr>
        <w:t xml:space="preserve"> </w:t>
      </w:r>
      <w:r w:rsidR="00CF5E1F" w:rsidRPr="00F72FB0">
        <w:rPr>
          <w:lang w:val="en-GB"/>
        </w:rPr>
        <w:t>the</w:t>
      </w:r>
      <w:r w:rsidR="00FC2FB1" w:rsidRPr="00F72FB0">
        <w:rPr>
          <w:lang w:val="en-GB"/>
        </w:rPr>
        <w:t xml:space="preserve"> </w:t>
      </w:r>
      <w:r w:rsidR="00DF2DE3" w:rsidRPr="00F72FB0">
        <w:rPr>
          <w:lang w:val="en-GB"/>
        </w:rPr>
        <w:t>UK</w:t>
      </w:r>
      <w:r w:rsidR="00FC2FB1" w:rsidRPr="00F72FB0">
        <w:rPr>
          <w:lang w:val="en-GB"/>
        </w:rPr>
        <w:t xml:space="preserve"> </w:t>
      </w:r>
      <w:r w:rsidR="00DF2DE3" w:rsidRPr="00F72FB0">
        <w:rPr>
          <w:lang w:val="en-GB"/>
        </w:rPr>
        <w:t>authorities</w:t>
      </w:r>
      <w:r w:rsidR="00FC2FB1" w:rsidRPr="00F72FB0">
        <w:rPr>
          <w:lang w:val="en-GB"/>
        </w:rPr>
        <w:t xml:space="preserve"> </w:t>
      </w:r>
      <w:r w:rsidR="00DF2DE3" w:rsidRPr="00F72FB0">
        <w:rPr>
          <w:lang w:val="en-GB"/>
        </w:rPr>
        <w:t>have</w:t>
      </w:r>
      <w:r w:rsidR="00FC2FB1" w:rsidRPr="00F72FB0">
        <w:rPr>
          <w:lang w:val="en-GB"/>
        </w:rPr>
        <w:t xml:space="preserve"> </w:t>
      </w:r>
      <w:r w:rsidR="00DF2DE3" w:rsidRPr="00F72FB0">
        <w:rPr>
          <w:i/>
          <w:iCs/>
          <w:lang w:val="en-GB"/>
        </w:rPr>
        <w:t>already</w:t>
      </w:r>
      <w:r w:rsidR="00FC2FB1" w:rsidRPr="00F72FB0">
        <w:rPr>
          <w:i/>
          <w:iCs/>
          <w:lang w:val="en-GB"/>
        </w:rPr>
        <w:t xml:space="preserve"> </w:t>
      </w:r>
      <w:r w:rsidR="00DF2DE3" w:rsidRPr="00F72FB0">
        <w:rPr>
          <w:lang w:val="en-GB"/>
        </w:rPr>
        <w:t>adopted</w:t>
      </w:r>
      <w:r w:rsidR="00FC2FB1" w:rsidRPr="00F72FB0">
        <w:rPr>
          <w:lang w:val="en-GB"/>
        </w:rPr>
        <w:t xml:space="preserve"> </w:t>
      </w:r>
      <w:r w:rsidR="00DF2DE3" w:rsidRPr="00F72FB0">
        <w:rPr>
          <w:lang w:val="en-GB"/>
        </w:rPr>
        <w:t>a</w:t>
      </w:r>
      <w:r w:rsidR="00FC2FB1" w:rsidRPr="00F72FB0">
        <w:rPr>
          <w:lang w:val="en-GB"/>
        </w:rPr>
        <w:t xml:space="preserve"> </w:t>
      </w:r>
      <w:r w:rsidR="00DF2DE3" w:rsidRPr="00F72FB0">
        <w:rPr>
          <w:lang w:val="en-GB"/>
        </w:rPr>
        <w:t>different</w:t>
      </w:r>
      <w:r w:rsidR="00FC2FB1" w:rsidRPr="00F72FB0">
        <w:rPr>
          <w:lang w:val="en-GB"/>
        </w:rPr>
        <w:t xml:space="preserve"> </w:t>
      </w:r>
      <w:r w:rsidR="00DF2DE3" w:rsidRPr="00F72FB0">
        <w:rPr>
          <w:lang w:val="en-GB"/>
        </w:rPr>
        <w:t>methodology</w:t>
      </w:r>
      <w:r w:rsidR="00FC2FB1" w:rsidRPr="00F72FB0">
        <w:rPr>
          <w:lang w:val="en-GB"/>
        </w:rPr>
        <w:t xml:space="preserve"> </w:t>
      </w:r>
      <w:r w:rsidR="00DF2DE3" w:rsidRPr="00F72FB0">
        <w:rPr>
          <w:lang w:val="en-GB"/>
        </w:rPr>
        <w:t>on</w:t>
      </w:r>
      <w:r w:rsidR="00FC2FB1" w:rsidRPr="00F72FB0">
        <w:rPr>
          <w:lang w:val="en-GB"/>
        </w:rPr>
        <w:t xml:space="preserve"> </w:t>
      </w:r>
      <w:r w:rsidR="00DF2DE3" w:rsidRPr="00F72FB0">
        <w:rPr>
          <w:lang w:val="en-GB"/>
        </w:rPr>
        <w:t>fines,</w:t>
      </w:r>
      <w:r w:rsidR="00FC2FB1" w:rsidRPr="00F72FB0">
        <w:rPr>
          <w:lang w:val="en-GB"/>
        </w:rPr>
        <w:t xml:space="preserve"> </w:t>
      </w:r>
      <w:r w:rsidR="00DF2DE3" w:rsidRPr="00F72FB0">
        <w:rPr>
          <w:lang w:val="en-GB"/>
        </w:rPr>
        <w:t>for</w:t>
      </w:r>
      <w:r w:rsidR="00FC2FB1" w:rsidRPr="00F72FB0">
        <w:rPr>
          <w:lang w:val="en-GB"/>
        </w:rPr>
        <w:t xml:space="preserve"> </w:t>
      </w:r>
      <w:r w:rsidR="00DF2DE3" w:rsidRPr="00F72FB0">
        <w:rPr>
          <w:lang w:val="en-GB"/>
        </w:rPr>
        <w:t>example.</w:t>
      </w:r>
      <w:r w:rsidR="00FC2FB1" w:rsidRPr="00F72FB0">
        <w:rPr>
          <w:lang w:val="en-GB"/>
        </w:rPr>
        <w:t xml:space="preserve"> </w:t>
      </w:r>
    </w:p>
    <w:p w14:paraId="214F4886" w14:textId="3FD4126B" w:rsidR="004E1C77" w:rsidRPr="00F72FB0" w:rsidRDefault="004E1C77" w:rsidP="00E14136">
      <w:pPr>
        <w:spacing w:line="360" w:lineRule="auto"/>
        <w:contextualSpacing/>
        <w:jc w:val="both"/>
        <w:rPr>
          <w:lang w:val="en-GB"/>
        </w:rPr>
      </w:pPr>
    </w:p>
    <w:p w14:paraId="7FE188AF" w14:textId="7D9590B2" w:rsidR="00E60757" w:rsidRPr="00F72FB0" w:rsidRDefault="00002C3E" w:rsidP="00E14136">
      <w:pPr>
        <w:widowControl w:val="0"/>
        <w:autoSpaceDE w:val="0"/>
        <w:autoSpaceDN w:val="0"/>
        <w:adjustRightInd w:val="0"/>
        <w:spacing w:line="360" w:lineRule="auto"/>
        <w:contextualSpacing/>
        <w:jc w:val="both"/>
        <w:rPr>
          <w:color w:val="000000"/>
          <w:lang w:val="en-GB"/>
        </w:rPr>
      </w:pPr>
      <w:r w:rsidRPr="00F72FB0">
        <w:rPr>
          <w:lang w:val="en-GB"/>
        </w:rPr>
        <w:t>Some</w:t>
      </w:r>
      <w:r w:rsidR="00FC2FB1" w:rsidRPr="00F72FB0">
        <w:rPr>
          <w:lang w:val="en-GB"/>
        </w:rPr>
        <w:t xml:space="preserve"> </w:t>
      </w:r>
      <w:r w:rsidRPr="00F72FB0">
        <w:rPr>
          <w:lang w:val="en-GB"/>
        </w:rPr>
        <w:t>instances</w:t>
      </w:r>
      <w:r w:rsidR="00FC2FB1" w:rsidRPr="00F72FB0">
        <w:rPr>
          <w:lang w:val="en-GB"/>
        </w:rPr>
        <w:t xml:space="preserve"> </w:t>
      </w:r>
      <w:r w:rsidRPr="00F72FB0">
        <w:rPr>
          <w:lang w:val="en-GB"/>
        </w:rPr>
        <w:t>show</w:t>
      </w:r>
      <w:r w:rsidR="00FC2FB1" w:rsidRPr="00F72FB0">
        <w:rPr>
          <w:lang w:val="en-GB"/>
        </w:rPr>
        <w:t xml:space="preserve"> </w:t>
      </w:r>
      <w:r w:rsidRPr="00F72FB0">
        <w:rPr>
          <w:lang w:val="en-GB"/>
        </w:rPr>
        <w:t>that</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reliance</w:t>
      </w:r>
      <w:r w:rsidR="00FC2FB1" w:rsidRPr="00F72FB0">
        <w:rPr>
          <w:lang w:val="en-GB"/>
        </w:rPr>
        <w:t xml:space="preserve"> </w:t>
      </w:r>
      <w:r w:rsidRPr="00F72FB0">
        <w:rPr>
          <w:lang w:val="en-GB"/>
        </w:rPr>
        <w:t>on</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is</w:t>
      </w:r>
      <w:r w:rsidR="00FC2FB1" w:rsidRPr="00F72FB0">
        <w:rPr>
          <w:lang w:val="en-GB"/>
        </w:rPr>
        <w:t xml:space="preserve"> </w:t>
      </w:r>
      <w:r w:rsidRPr="00F72FB0">
        <w:rPr>
          <w:lang w:val="en-GB"/>
        </w:rPr>
        <w:t>connected,</w:t>
      </w:r>
      <w:r w:rsidR="00FC2FB1" w:rsidRPr="00F72FB0">
        <w:rPr>
          <w:lang w:val="en-GB"/>
        </w:rPr>
        <w:t xml:space="preserve"> </w:t>
      </w:r>
      <w:r w:rsidRPr="00F72FB0">
        <w:rPr>
          <w:lang w:val="en-GB"/>
        </w:rPr>
        <w:t>in</w:t>
      </w:r>
      <w:r w:rsidR="00FC2FB1" w:rsidRPr="00F72FB0">
        <w:rPr>
          <w:lang w:val="en-GB"/>
        </w:rPr>
        <w:t xml:space="preserve"> </w:t>
      </w:r>
      <w:r w:rsidRPr="00F72FB0">
        <w:rPr>
          <w:lang w:val="en-GB"/>
        </w:rPr>
        <w:t>UK</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general</w:t>
      </w:r>
      <w:r w:rsidR="00FC2FB1" w:rsidRPr="00F72FB0">
        <w:rPr>
          <w:lang w:val="en-GB"/>
        </w:rPr>
        <w:t xml:space="preserve"> </w:t>
      </w:r>
      <w:r w:rsidRPr="00F72FB0">
        <w:rPr>
          <w:lang w:val="en-GB"/>
        </w:rPr>
        <w:t>principles</w:t>
      </w:r>
      <w:r w:rsidR="00FC2FB1" w:rsidRPr="00F72FB0">
        <w:rPr>
          <w:lang w:val="en-GB"/>
        </w:rPr>
        <w:t xml:space="preserve"> </w:t>
      </w:r>
      <w:r w:rsidRPr="00F72FB0">
        <w:rPr>
          <w:lang w:val="en-GB"/>
        </w:rPr>
        <w:t>of</w:t>
      </w:r>
      <w:r w:rsidR="00FC2FB1" w:rsidRPr="00F72FB0">
        <w:rPr>
          <w:lang w:val="en-GB"/>
        </w:rPr>
        <w:t xml:space="preserve"> </w:t>
      </w:r>
      <w:r w:rsidR="000D6507" w:rsidRPr="00F72FB0">
        <w:rPr>
          <w:lang w:val="en-GB"/>
        </w:rPr>
        <w:t>EU</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such</w:t>
      </w:r>
      <w:r w:rsidR="00FC2FB1" w:rsidRPr="00F72FB0">
        <w:rPr>
          <w:lang w:val="en-GB"/>
        </w:rPr>
        <w:t xml:space="preserve"> </w:t>
      </w:r>
      <w:r w:rsidRPr="00F72FB0">
        <w:rPr>
          <w:lang w:val="en-GB"/>
        </w:rPr>
        <w:t>as</w:t>
      </w:r>
      <w:r w:rsidR="00FC2FB1" w:rsidRPr="00F72FB0">
        <w:rPr>
          <w:lang w:val="en-GB"/>
        </w:rPr>
        <w:t xml:space="preserve"> </w:t>
      </w:r>
      <w:r w:rsidRPr="00F72FB0">
        <w:rPr>
          <w:lang w:val="en-GB"/>
        </w:rPr>
        <w:t>consistency</w:t>
      </w:r>
      <w:r w:rsidR="00FC2FB1" w:rsidRPr="00F72FB0">
        <w:rPr>
          <w:lang w:val="en-GB"/>
        </w:rPr>
        <w:t xml:space="preserve"> </w:t>
      </w:r>
      <w:r w:rsidR="000D6507" w:rsidRPr="00F72FB0">
        <w:rPr>
          <w:lang w:val="en-GB"/>
        </w:rPr>
        <w:t>or</w:t>
      </w:r>
      <w:r w:rsidR="00FC2FB1" w:rsidRPr="00F72FB0">
        <w:rPr>
          <w:lang w:val="en-GB"/>
        </w:rPr>
        <w:t xml:space="preserve"> </w:t>
      </w:r>
      <w:r w:rsidR="000D6507" w:rsidRPr="00F72FB0">
        <w:rPr>
          <w:lang w:val="en-GB"/>
        </w:rPr>
        <w:t>the</w:t>
      </w:r>
      <w:r w:rsidR="00FC2FB1" w:rsidRPr="00F72FB0">
        <w:rPr>
          <w:lang w:val="en-GB"/>
        </w:rPr>
        <w:t xml:space="preserve"> </w:t>
      </w:r>
      <w:r w:rsidR="000D6507" w:rsidRPr="00F72FB0">
        <w:rPr>
          <w:lang w:val="en-GB"/>
        </w:rPr>
        <w:t>duty</w:t>
      </w:r>
      <w:r w:rsidR="00FC2FB1" w:rsidRPr="00F72FB0">
        <w:rPr>
          <w:lang w:val="en-GB"/>
        </w:rPr>
        <w:t xml:space="preserve"> </w:t>
      </w:r>
      <w:r w:rsidR="000D6507" w:rsidRPr="00F72FB0">
        <w:rPr>
          <w:lang w:val="en-GB"/>
        </w:rPr>
        <w:t>of</w:t>
      </w:r>
      <w:r w:rsidR="00FC2FB1" w:rsidRPr="00F72FB0">
        <w:rPr>
          <w:lang w:val="en-GB"/>
        </w:rPr>
        <w:t xml:space="preserve"> </w:t>
      </w:r>
      <w:r w:rsidR="000D6507" w:rsidRPr="00F72FB0">
        <w:rPr>
          <w:lang w:val="en-GB"/>
        </w:rPr>
        <w:t>sincere</w:t>
      </w:r>
      <w:r w:rsidR="00FC2FB1" w:rsidRPr="00F72FB0">
        <w:rPr>
          <w:lang w:val="en-GB"/>
        </w:rPr>
        <w:t xml:space="preserve"> </w:t>
      </w:r>
      <w:r w:rsidR="000D6507" w:rsidRPr="00F72FB0">
        <w:rPr>
          <w:lang w:val="en-GB"/>
        </w:rPr>
        <w:t>cooperation.</w:t>
      </w:r>
      <w:r w:rsidR="00FC2FB1" w:rsidRPr="00F72FB0">
        <w:rPr>
          <w:lang w:val="en-GB"/>
        </w:rPr>
        <w:t xml:space="preserve"> </w:t>
      </w:r>
      <w:r w:rsidR="006463FD" w:rsidRPr="00F72FB0">
        <w:rPr>
          <w:lang w:val="en-GB"/>
        </w:rPr>
        <w:t>With</w:t>
      </w:r>
      <w:r w:rsidR="00FC2FB1" w:rsidRPr="00F72FB0">
        <w:rPr>
          <w:lang w:val="en-GB"/>
        </w:rPr>
        <w:t xml:space="preserve"> </w:t>
      </w:r>
      <w:r w:rsidR="006463FD" w:rsidRPr="00F72FB0">
        <w:rPr>
          <w:lang w:val="en-GB"/>
        </w:rPr>
        <w:t>regards</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consistency,</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Court</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Appeal</w:t>
      </w:r>
      <w:r w:rsidR="00FC2FB1" w:rsidRPr="00F72FB0">
        <w:rPr>
          <w:lang w:val="en-GB"/>
        </w:rPr>
        <w:t xml:space="preserve"> </w:t>
      </w:r>
      <w:r w:rsidR="006463FD" w:rsidRPr="00F72FB0">
        <w:rPr>
          <w:lang w:val="en-GB"/>
        </w:rPr>
        <w:t>noted</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i/>
          <w:lang w:val="en-GB"/>
        </w:rPr>
        <w:t>Mastercard</w:t>
      </w:r>
      <w:r w:rsidR="006463FD" w:rsidRPr="00F72FB0">
        <w:rPr>
          <w:lang w:val="en-GB"/>
        </w:rPr>
        <w:t>,</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relation</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i/>
          <w:lang w:val="en-GB"/>
        </w:rPr>
        <w:t>Art</w:t>
      </w:r>
      <w:r w:rsidR="00FC2FB1" w:rsidRPr="00F72FB0">
        <w:rPr>
          <w:i/>
          <w:lang w:val="en-GB"/>
        </w:rPr>
        <w:t xml:space="preserve"> </w:t>
      </w:r>
      <w:r w:rsidR="006463FD" w:rsidRPr="00F72FB0">
        <w:rPr>
          <w:i/>
          <w:lang w:val="en-GB"/>
        </w:rPr>
        <w:t>101(3)</w:t>
      </w:r>
      <w:r w:rsidR="00FC2FB1" w:rsidRPr="00F72FB0">
        <w:rPr>
          <w:i/>
          <w:lang w:val="en-GB"/>
        </w:rPr>
        <w:t xml:space="preserve"> </w:t>
      </w:r>
      <w:r w:rsidR="006463FD" w:rsidRPr="00F72FB0">
        <w:rPr>
          <w:i/>
          <w:lang w:val="en-GB"/>
        </w:rPr>
        <w:t>Guidelines</w:t>
      </w:r>
      <w:r w:rsidR="00FC2FB1" w:rsidRPr="00F72FB0">
        <w:rPr>
          <w:lang w:val="en-GB"/>
        </w:rPr>
        <w:t xml:space="preserve"> </w:t>
      </w:r>
      <w:r w:rsidR="006463FD" w:rsidRPr="00F72FB0">
        <w:rPr>
          <w:lang w:val="en-GB"/>
        </w:rPr>
        <w:t>that</w:t>
      </w:r>
      <w:r w:rsidR="00FC2FB1" w:rsidRPr="00F72FB0">
        <w:rPr>
          <w:lang w:val="en-GB"/>
        </w:rPr>
        <w:t xml:space="preserve"> </w:t>
      </w:r>
      <w:r w:rsidR="006463FD" w:rsidRPr="00F72FB0">
        <w:rPr>
          <w:lang w:val="en-GB"/>
        </w:rPr>
        <w:t>‘although…</w:t>
      </w:r>
      <w:r w:rsidR="00FC2FB1" w:rsidRPr="00F72FB0">
        <w:rPr>
          <w:lang w:val="en-GB"/>
        </w:rPr>
        <w:t xml:space="preserve"> </w:t>
      </w:r>
      <w:r w:rsidR="006463FD" w:rsidRPr="00F72FB0">
        <w:rPr>
          <w:lang w:val="en-GB"/>
        </w:rPr>
        <w:t>they</w:t>
      </w:r>
      <w:r w:rsidR="00FC2FB1" w:rsidRPr="00F72FB0">
        <w:rPr>
          <w:lang w:val="en-GB"/>
        </w:rPr>
        <w:t xml:space="preserve"> </w:t>
      </w:r>
      <w:r w:rsidR="006463FD" w:rsidRPr="00F72FB0">
        <w:rPr>
          <w:lang w:val="en-GB"/>
        </w:rPr>
        <w:t>are</w:t>
      </w:r>
      <w:r w:rsidR="00FC2FB1" w:rsidRPr="00F72FB0">
        <w:rPr>
          <w:lang w:val="en-GB"/>
        </w:rPr>
        <w:t xml:space="preserve"> </w:t>
      </w:r>
      <w:r w:rsidR="006463FD" w:rsidRPr="00F72FB0">
        <w:rPr>
          <w:lang w:val="en-GB"/>
        </w:rPr>
        <w:t>not</w:t>
      </w:r>
      <w:r w:rsidR="00FC2FB1" w:rsidRPr="00F72FB0">
        <w:rPr>
          <w:lang w:val="en-GB"/>
        </w:rPr>
        <w:t xml:space="preserve"> </w:t>
      </w:r>
      <w:r w:rsidR="006463FD" w:rsidRPr="00F72FB0">
        <w:rPr>
          <w:lang w:val="en-GB"/>
        </w:rPr>
        <w:t>legally</w:t>
      </w:r>
      <w:r w:rsidR="00FC2FB1" w:rsidRPr="00F72FB0">
        <w:rPr>
          <w:lang w:val="en-GB"/>
        </w:rPr>
        <w:t xml:space="preserve"> </w:t>
      </w:r>
      <w:r w:rsidR="006463FD" w:rsidRPr="00F72FB0">
        <w:rPr>
          <w:lang w:val="en-GB"/>
        </w:rPr>
        <w:t>binding</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therefore</w:t>
      </w:r>
      <w:r w:rsidR="00FC2FB1" w:rsidRPr="00F72FB0">
        <w:rPr>
          <w:lang w:val="en-GB"/>
        </w:rPr>
        <w:t xml:space="preserve"> </w:t>
      </w:r>
      <w:r w:rsidR="006463FD" w:rsidRPr="00F72FB0">
        <w:rPr>
          <w:lang w:val="en-GB"/>
        </w:rPr>
        <w:t>some</w:t>
      </w:r>
      <w:r w:rsidR="00FC2FB1" w:rsidRPr="00F72FB0">
        <w:rPr>
          <w:lang w:val="en-GB"/>
        </w:rPr>
        <w:t xml:space="preserve"> </w:t>
      </w:r>
      <w:r w:rsidR="006463FD" w:rsidRPr="00F72FB0">
        <w:rPr>
          <w:lang w:val="en-GB"/>
        </w:rPr>
        <w:t>flexibility</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whether</w:t>
      </w:r>
      <w:r w:rsidR="00FC2FB1" w:rsidRPr="00F72FB0">
        <w:rPr>
          <w:lang w:val="en-GB"/>
        </w:rPr>
        <w:t xml:space="preserve"> </w:t>
      </w:r>
      <w:r w:rsidR="006463FD" w:rsidRPr="00F72FB0">
        <w:rPr>
          <w:lang w:val="en-GB"/>
        </w:rPr>
        <w:t>they</w:t>
      </w:r>
      <w:r w:rsidR="00FC2FB1" w:rsidRPr="00F72FB0">
        <w:rPr>
          <w:lang w:val="en-GB"/>
        </w:rPr>
        <w:t xml:space="preserve"> </w:t>
      </w:r>
      <w:r w:rsidR="006463FD" w:rsidRPr="00F72FB0">
        <w:rPr>
          <w:lang w:val="en-GB"/>
        </w:rPr>
        <w:t>should</w:t>
      </w:r>
      <w:r w:rsidR="00FC2FB1" w:rsidRPr="00F72FB0">
        <w:rPr>
          <w:lang w:val="en-GB"/>
        </w:rPr>
        <w:t xml:space="preserve"> </w:t>
      </w:r>
      <w:r w:rsidR="006463FD" w:rsidRPr="00F72FB0">
        <w:rPr>
          <w:lang w:val="en-GB"/>
        </w:rPr>
        <w:t>be</w:t>
      </w:r>
      <w:r w:rsidR="00FC2FB1" w:rsidRPr="00F72FB0">
        <w:rPr>
          <w:lang w:val="en-GB"/>
        </w:rPr>
        <w:t xml:space="preserve"> </w:t>
      </w:r>
      <w:r w:rsidR="006463FD" w:rsidRPr="00F72FB0">
        <w:rPr>
          <w:lang w:val="en-GB"/>
        </w:rPr>
        <w:t>applied</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followed</w:t>
      </w:r>
      <w:r w:rsidR="00FC2FB1" w:rsidRPr="00F72FB0">
        <w:rPr>
          <w:lang w:val="en-GB"/>
        </w:rPr>
        <w:t xml:space="preserve"> </w:t>
      </w:r>
      <w:r w:rsidR="006463FD" w:rsidRPr="00F72FB0">
        <w:rPr>
          <w:lang w:val="en-GB"/>
        </w:rPr>
        <w:t>is</w:t>
      </w:r>
      <w:r w:rsidR="00FC2FB1" w:rsidRPr="00F72FB0">
        <w:rPr>
          <w:lang w:val="en-GB"/>
        </w:rPr>
        <w:t xml:space="preserve"> </w:t>
      </w:r>
      <w:r w:rsidR="006463FD" w:rsidRPr="00F72FB0">
        <w:rPr>
          <w:lang w:val="en-GB"/>
        </w:rPr>
        <w:t>permissible,</w:t>
      </w:r>
      <w:r w:rsidR="00FC2FB1" w:rsidRPr="00F72FB0">
        <w:rPr>
          <w:lang w:val="en-GB"/>
        </w:rPr>
        <w:t xml:space="preserve"> </w:t>
      </w:r>
      <w:r w:rsidR="006463FD" w:rsidRPr="00F72FB0">
        <w:rPr>
          <w:lang w:val="en-GB"/>
        </w:rPr>
        <w:t>we</w:t>
      </w:r>
      <w:r w:rsidR="00FC2FB1" w:rsidRPr="00F72FB0">
        <w:rPr>
          <w:lang w:val="en-GB"/>
        </w:rPr>
        <w:t xml:space="preserve"> </w:t>
      </w:r>
      <w:r w:rsidR="006463FD" w:rsidRPr="00F72FB0">
        <w:rPr>
          <w:lang w:val="en-GB"/>
        </w:rPr>
        <w:t>consider</w:t>
      </w:r>
      <w:r w:rsidR="00FC2FB1" w:rsidRPr="00F72FB0">
        <w:rPr>
          <w:lang w:val="en-GB"/>
        </w:rPr>
        <w:t xml:space="preserve"> </w:t>
      </w:r>
      <w:r w:rsidR="006463FD" w:rsidRPr="00F72FB0">
        <w:rPr>
          <w:lang w:val="en-GB"/>
        </w:rPr>
        <w:t>that,</w:t>
      </w:r>
      <w:r w:rsidR="00FC2FB1" w:rsidRPr="00F72FB0">
        <w:rPr>
          <w:lang w:val="en-GB"/>
        </w:rPr>
        <w:t xml:space="preserve"> </w:t>
      </w:r>
      <w:r w:rsidR="006463FD" w:rsidRPr="00F72FB0">
        <w:rPr>
          <w:lang w:val="en-GB"/>
        </w:rPr>
        <w:t>as</w:t>
      </w:r>
      <w:r w:rsidR="00FC2FB1" w:rsidRPr="00F72FB0">
        <w:rPr>
          <w:lang w:val="en-GB"/>
        </w:rPr>
        <w:t xml:space="preserve"> </w:t>
      </w:r>
      <w:r w:rsidR="006463FD" w:rsidRPr="00F72FB0">
        <w:rPr>
          <w:lang w:val="en-GB"/>
        </w:rPr>
        <w:t>with</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nature</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evidence</w:t>
      </w:r>
      <w:r w:rsidR="00FC2FB1" w:rsidRPr="00F72FB0">
        <w:rPr>
          <w:lang w:val="en-GB"/>
        </w:rPr>
        <w:t xml:space="preserve"> </w:t>
      </w:r>
      <w:r w:rsidR="006463FD" w:rsidRPr="00F72FB0">
        <w:rPr>
          <w:lang w:val="en-GB"/>
        </w:rPr>
        <w:t>required</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satisfy</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first</w:t>
      </w:r>
      <w:r w:rsidR="00FC2FB1" w:rsidRPr="00F72FB0">
        <w:rPr>
          <w:lang w:val="en-GB"/>
        </w:rPr>
        <w:t xml:space="preserve"> </w:t>
      </w:r>
      <w:r w:rsidR="006463FD" w:rsidRPr="00F72FB0">
        <w:rPr>
          <w:lang w:val="en-GB"/>
        </w:rPr>
        <w:t>condition,</w:t>
      </w:r>
      <w:r w:rsidR="00FC2FB1" w:rsidRPr="00F72FB0">
        <w:rPr>
          <w:lang w:val="en-GB"/>
        </w:rPr>
        <w:t xml:space="preserve"> </w:t>
      </w:r>
      <w:r w:rsidR="006463FD" w:rsidRPr="00F72FB0">
        <w:rPr>
          <w:lang w:val="en-GB"/>
        </w:rPr>
        <w:t>consistency</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approach</w:t>
      </w:r>
      <w:r w:rsidR="00FC2FB1" w:rsidRPr="00F72FB0">
        <w:rPr>
          <w:lang w:val="en-GB"/>
        </w:rPr>
        <w:t xml:space="preserve"> </w:t>
      </w:r>
      <w:r w:rsidR="006463FD" w:rsidRPr="00F72FB0">
        <w:rPr>
          <w:lang w:val="en-GB"/>
        </w:rPr>
        <w:t>across</w:t>
      </w:r>
      <w:r w:rsidR="00FC2FB1" w:rsidRPr="00F72FB0">
        <w:rPr>
          <w:lang w:val="en-GB"/>
        </w:rPr>
        <w:t xml:space="preserve"> </w:t>
      </w:r>
      <w:r w:rsidR="006463FD" w:rsidRPr="00F72FB0">
        <w:rPr>
          <w:lang w:val="en-GB"/>
        </w:rPr>
        <w:t>Member</w:t>
      </w:r>
      <w:r w:rsidR="00FC2FB1" w:rsidRPr="00F72FB0">
        <w:rPr>
          <w:lang w:val="en-GB"/>
        </w:rPr>
        <w:t xml:space="preserve"> </w:t>
      </w:r>
      <w:r w:rsidR="006463FD" w:rsidRPr="00F72FB0">
        <w:rPr>
          <w:lang w:val="en-GB"/>
        </w:rPr>
        <w:t>States</w:t>
      </w:r>
      <w:r w:rsidR="00FC2FB1" w:rsidRPr="00F72FB0">
        <w:rPr>
          <w:lang w:val="en-GB"/>
        </w:rPr>
        <w:t xml:space="preserve"> </w:t>
      </w:r>
      <w:r w:rsidR="006463FD" w:rsidRPr="00F72FB0">
        <w:rPr>
          <w:lang w:val="en-GB"/>
        </w:rPr>
        <w:t>is</w:t>
      </w:r>
      <w:r w:rsidR="00FC2FB1" w:rsidRPr="00F72FB0">
        <w:rPr>
          <w:lang w:val="en-GB"/>
        </w:rPr>
        <w:t xml:space="preserve"> </w:t>
      </w:r>
      <w:r w:rsidR="006463FD" w:rsidRPr="00F72FB0">
        <w:rPr>
          <w:lang w:val="en-GB"/>
        </w:rPr>
        <w:t>important’</w:t>
      </w:r>
      <w:r w:rsidR="0020555B">
        <w:rPr>
          <w:lang w:val="en-GB"/>
        </w:rPr>
        <w:t>.</w:t>
      </w:r>
      <w:r w:rsidR="006463FD" w:rsidRPr="00F72FB0">
        <w:rPr>
          <w:rStyle w:val="Alaviitteenviite"/>
          <w:lang w:val="en-GB"/>
        </w:rPr>
        <w:footnoteReference w:id="78"/>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judgment</w:t>
      </w:r>
      <w:r w:rsidR="00FC2FB1" w:rsidRPr="00F72FB0">
        <w:rPr>
          <w:lang w:val="en-GB"/>
        </w:rPr>
        <w:t xml:space="preserve"> </w:t>
      </w:r>
      <w:r w:rsidR="006463FD" w:rsidRPr="00F72FB0">
        <w:rPr>
          <w:lang w:val="en-GB"/>
        </w:rPr>
        <w:t>refers</w:t>
      </w:r>
      <w:r w:rsidR="00FC2FB1" w:rsidRPr="00F72FB0">
        <w:rPr>
          <w:lang w:val="en-GB"/>
        </w:rPr>
        <w:t xml:space="preserve"> </w:t>
      </w:r>
      <w:r w:rsidR="006463FD" w:rsidRPr="00F72FB0">
        <w:rPr>
          <w:lang w:val="en-GB"/>
        </w:rPr>
        <w:t>also</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fact</w:t>
      </w:r>
      <w:r w:rsidR="00FC2FB1" w:rsidRPr="00F72FB0">
        <w:rPr>
          <w:lang w:val="en-GB"/>
        </w:rPr>
        <w:t xml:space="preserve"> </w:t>
      </w:r>
      <w:r w:rsidR="006463FD" w:rsidRPr="00F72FB0">
        <w:rPr>
          <w:lang w:val="en-GB"/>
        </w:rPr>
        <w:t>that</w:t>
      </w:r>
      <w:r w:rsidR="00FC2FB1" w:rsidRPr="00F72FB0">
        <w:rPr>
          <w:lang w:val="en-GB"/>
        </w:rPr>
        <w:t xml:space="preserve"> </w:t>
      </w:r>
      <w:r w:rsidR="006463FD" w:rsidRPr="00F72FB0">
        <w:rPr>
          <w:lang w:val="en-GB"/>
        </w:rPr>
        <w:t>counsels</w:t>
      </w:r>
      <w:r w:rsidR="00FC2FB1" w:rsidRPr="00F72FB0">
        <w:rPr>
          <w:lang w:val="en-GB"/>
        </w:rPr>
        <w:t xml:space="preserve"> </w:t>
      </w:r>
      <w:r w:rsidR="006463FD" w:rsidRPr="00F72FB0">
        <w:rPr>
          <w:lang w:val="en-GB"/>
        </w:rPr>
        <w:t>for</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parties</w:t>
      </w:r>
      <w:r w:rsidR="00FC2FB1" w:rsidRPr="00F72FB0">
        <w:rPr>
          <w:lang w:val="en-GB"/>
        </w:rPr>
        <w:t xml:space="preserve"> </w:t>
      </w:r>
      <w:r w:rsidR="006463FD" w:rsidRPr="00F72FB0">
        <w:rPr>
          <w:lang w:val="en-GB"/>
        </w:rPr>
        <w:t>did</w:t>
      </w:r>
      <w:r w:rsidR="00FC2FB1" w:rsidRPr="00F72FB0">
        <w:rPr>
          <w:lang w:val="en-GB"/>
        </w:rPr>
        <w:t xml:space="preserve"> </w:t>
      </w:r>
      <w:r w:rsidR="006463FD" w:rsidRPr="00F72FB0">
        <w:rPr>
          <w:lang w:val="en-GB"/>
        </w:rPr>
        <w:t>not</w:t>
      </w:r>
      <w:r w:rsidR="00FC2FB1" w:rsidRPr="00F72FB0">
        <w:rPr>
          <w:lang w:val="en-GB"/>
        </w:rPr>
        <w:t xml:space="preserve"> </w:t>
      </w:r>
      <w:r w:rsidR="006463FD" w:rsidRPr="00F72FB0">
        <w:rPr>
          <w:lang w:val="en-GB"/>
        </w:rPr>
        <w:t>suggest</w:t>
      </w:r>
      <w:r w:rsidR="00FC2FB1" w:rsidRPr="00F72FB0">
        <w:rPr>
          <w:lang w:val="en-GB"/>
        </w:rPr>
        <w:t xml:space="preserve"> </w:t>
      </w:r>
      <w:r w:rsidR="006463FD" w:rsidRPr="00F72FB0">
        <w:rPr>
          <w:lang w:val="en-GB"/>
        </w:rPr>
        <w:t>that</w:t>
      </w:r>
      <w:r w:rsidR="00FC2FB1" w:rsidRPr="00F72FB0">
        <w:rPr>
          <w:lang w:val="en-GB"/>
        </w:rPr>
        <w:t xml:space="preserve"> </w:t>
      </w:r>
      <w:r w:rsidR="006463FD" w:rsidRPr="00F72FB0">
        <w:rPr>
          <w:lang w:val="en-GB"/>
        </w:rPr>
        <w:t>‘national</w:t>
      </w:r>
      <w:r w:rsidR="00FC2FB1" w:rsidRPr="00F72FB0">
        <w:rPr>
          <w:lang w:val="en-GB"/>
        </w:rPr>
        <w:t xml:space="preserve"> </w:t>
      </w:r>
      <w:r w:rsidR="006463FD" w:rsidRPr="00F72FB0">
        <w:rPr>
          <w:lang w:val="en-GB"/>
        </w:rPr>
        <w:t>courts</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other</w:t>
      </w:r>
      <w:r w:rsidR="00FC2FB1" w:rsidRPr="00F72FB0">
        <w:rPr>
          <w:lang w:val="en-GB"/>
        </w:rPr>
        <w:t xml:space="preserve"> </w:t>
      </w:r>
      <w:r w:rsidR="006463FD" w:rsidRPr="00F72FB0">
        <w:rPr>
          <w:lang w:val="en-GB"/>
        </w:rPr>
        <w:t>Member</w:t>
      </w:r>
      <w:r w:rsidR="00FC2FB1" w:rsidRPr="00F72FB0">
        <w:rPr>
          <w:lang w:val="en-GB"/>
        </w:rPr>
        <w:t xml:space="preserve"> </w:t>
      </w:r>
      <w:r w:rsidR="006463FD" w:rsidRPr="00F72FB0">
        <w:rPr>
          <w:lang w:val="en-GB"/>
        </w:rPr>
        <w:t>States</w:t>
      </w:r>
      <w:r w:rsidR="00FC2FB1" w:rsidRPr="00F72FB0">
        <w:rPr>
          <w:lang w:val="en-GB"/>
        </w:rPr>
        <w:t xml:space="preserve"> </w:t>
      </w:r>
      <w:r w:rsidR="006463FD" w:rsidRPr="00F72FB0">
        <w:rPr>
          <w:lang w:val="en-GB"/>
        </w:rPr>
        <w:t>have</w:t>
      </w:r>
      <w:r w:rsidR="00FC2FB1" w:rsidRPr="00F72FB0">
        <w:rPr>
          <w:lang w:val="en-GB"/>
        </w:rPr>
        <w:t xml:space="preserve"> </w:t>
      </w:r>
      <w:r w:rsidR="006463FD" w:rsidRPr="00F72FB0">
        <w:rPr>
          <w:lang w:val="en-GB"/>
        </w:rPr>
        <w:t>departed</w:t>
      </w:r>
      <w:r w:rsidR="00FC2FB1" w:rsidRPr="00F72FB0">
        <w:rPr>
          <w:lang w:val="en-GB"/>
        </w:rPr>
        <w:t xml:space="preserve"> </w:t>
      </w:r>
      <w:r w:rsidR="006463FD" w:rsidRPr="00F72FB0">
        <w:rPr>
          <w:lang w:val="en-GB"/>
        </w:rPr>
        <w:t>from</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Guidelines</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considering</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issue</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exemption</w:t>
      </w:r>
      <w:r w:rsidR="00FC2FB1" w:rsidRPr="00F72FB0">
        <w:rPr>
          <w:lang w:val="en-GB"/>
        </w:rPr>
        <w:t xml:space="preserve"> </w:t>
      </w:r>
      <w:r w:rsidR="006463FD" w:rsidRPr="00F72FB0">
        <w:rPr>
          <w:lang w:val="en-GB"/>
        </w:rPr>
        <w:t>under</w:t>
      </w:r>
      <w:r w:rsidR="00FC2FB1" w:rsidRPr="00F72FB0">
        <w:rPr>
          <w:lang w:val="en-GB"/>
        </w:rPr>
        <w:t xml:space="preserve"> </w:t>
      </w:r>
      <w:r w:rsidR="006463FD" w:rsidRPr="00F72FB0">
        <w:rPr>
          <w:lang w:val="en-GB"/>
        </w:rPr>
        <w:t>article</w:t>
      </w:r>
      <w:r w:rsidR="00FC2FB1" w:rsidRPr="00F72FB0">
        <w:rPr>
          <w:lang w:val="en-GB"/>
        </w:rPr>
        <w:t xml:space="preserve"> </w:t>
      </w:r>
      <w:r w:rsidR="006463FD" w:rsidRPr="00F72FB0">
        <w:rPr>
          <w:lang w:val="en-GB"/>
        </w:rPr>
        <w:t>101(3)’</w:t>
      </w:r>
      <w:r w:rsidR="0020555B">
        <w:rPr>
          <w:lang w:val="en-GB"/>
        </w:rPr>
        <w:t>.</w:t>
      </w:r>
      <w:r w:rsidR="006463FD" w:rsidRPr="00F72FB0">
        <w:rPr>
          <w:rStyle w:val="Alaviitteenviite"/>
          <w:lang w:val="en-GB"/>
        </w:rPr>
        <w:footnoteReference w:id="79"/>
      </w:r>
      <w:r w:rsidR="00FC2FB1" w:rsidRPr="00F72FB0">
        <w:rPr>
          <w:lang w:val="en-GB"/>
        </w:rPr>
        <w:t xml:space="preserve"> </w:t>
      </w:r>
      <w:r w:rsidR="006463FD" w:rsidRPr="00F72FB0">
        <w:rPr>
          <w:lang w:val="en-GB"/>
        </w:rPr>
        <w:t>Comparative</w:t>
      </w:r>
      <w:r w:rsidR="00FC2FB1" w:rsidRPr="00F72FB0">
        <w:rPr>
          <w:lang w:val="en-GB"/>
        </w:rPr>
        <w:t xml:space="preserve"> </w:t>
      </w:r>
      <w:r w:rsidR="006463FD" w:rsidRPr="00F72FB0">
        <w:rPr>
          <w:lang w:val="en-GB"/>
        </w:rPr>
        <w:t>approaches</w:t>
      </w:r>
      <w:r w:rsidR="00FC2FB1" w:rsidRPr="00F72FB0">
        <w:rPr>
          <w:lang w:val="en-GB"/>
        </w:rPr>
        <w:t xml:space="preserve"> </w:t>
      </w:r>
      <w:r w:rsidR="006463FD" w:rsidRPr="00F72FB0">
        <w:rPr>
          <w:lang w:val="en-GB"/>
        </w:rPr>
        <w:t>seem</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be,</w:t>
      </w:r>
      <w:r w:rsidR="00FC2FB1" w:rsidRPr="00F72FB0">
        <w:rPr>
          <w:lang w:val="en-GB"/>
        </w:rPr>
        <w:t xml:space="preserve"> </w:t>
      </w:r>
      <w:r w:rsidR="006463FD" w:rsidRPr="00F72FB0">
        <w:rPr>
          <w:lang w:val="en-GB"/>
        </w:rPr>
        <w:t>therefore,</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relevance</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case</w:t>
      </w:r>
      <w:r w:rsidR="00FC2FB1" w:rsidRPr="00F72FB0">
        <w:rPr>
          <w:lang w:val="en-GB"/>
        </w:rPr>
        <w:t xml:space="preserve"> </w:t>
      </w:r>
      <w:r w:rsidR="006463FD" w:rsidRPr="00F72FB0">
        <w:rPr>
          <w:lang w:val="en-GB"/>
        </w:rPr>
        <w:t>law.</w:t>
      </w:r>
      <w:r w:rsidR="00FC2FB1" w:rsidRPr="00F72FB0">
        <w:rPr>
          <w:lang w:val="en-GB"/>
        </w:rPr>
        <w:t xml:space="preserve"> </w:t>
      </w:r>
      <w:r w:rsidR="00985A48" w:rsidRPr="00F72FB0">
        <w:rPr>
          <w:lang w:val="en-GB"/>
        </w:rPr>
        <w:t>In</w:t>
      </w:r>
      <w:r w:rsidR="00FC2FB1" w:rsidRPr="00F72FB0">
        <w:rPr>
          <w:lang w:val="en-GB"/>
        </w:rPr>
        <w:t xml:space="preserve"> </w:t>
      </w:r>
      <w:r w:rsidR="00985A48" w:rsidRPr="00F72FB0">
        <w:rPr>
          <w:lang w:val="en-GB"/>
        </w:rPr>
        <w:t>environment,</w:t>
      </w:r>
      <w:r w:rsidR="00FC2FB1" w:rsidRPr="00F72FB0">
        <w:rPr>
          <w:lang w:val="en-GB"/>
        </w:rPr>
        <w:t xml:space="preserve"> </w:t>
      </w:r>
      <w:r w:rsidR="00985A48" w:rsidRPr="00F72FB0">
        <w:rPr>
          <w:lang w:val="en-GB"/>
        </w:rPr>
        <w:t>Dobbs</w:t>
      </w:r>
      <w:r w:rsidR="00FC2FB1" w:rsidRPr="00F72FB0">
        <w:rPr>
          <w:lang w:val="en-GB"/>
        </w:rPr>
        <w:t xml:space="preserve"> </w:t>
      </w:r>
      <w:r w:rsidR="00985A48" w:rsidRPr="00F72FB0">
        <w:rPr>
          <w:lang w:val="en-GB"/>
        </w:rPr>
        <w:t>did</w:t>
      </w:r>
      <w:r w:rsidR="00FC2FB1" w:rsidRPr="00F72FB0">
        <w:rPr>
          <w:lang w:val="en-GB"/>
        </w:rPr>
        <w:t xml:space="preserve"> </w:t>
      </w:r>
      <w:r w:rsidR="00985A48" w:rsidRPr="00F72FB0">
        <w:rPr>
          <w:lang w:val="en-GB"/>
        </w:rPr>
        <w:t>not</w:t>
      </w:r>
      <w:r w:rsidR="00FC2FB1" w:rsidRPr="00F72FB0">
        <w:rPr>
          <w:lang w:val="en-GB"/>
        </w:rPr>
        <w:t xml:space="preserve"> </w:t>
      </w:r>
      <w:r w:rsidR="00985A48" w:rsidRPr="00F72FB0">
        <w:rPr>
          <w:lang w:val="en-GB"/>
        </w:rPr>
        <w:t>find</w:t>
      </w:r>
      <w:r w:rsidR="00FC2FB1" w:rsidRPr="00F72FB0">
        <w:rPr>
          <w:lang w:val="en-GB"/>
        </w:rPr>
        <w:t xml:space="preserve"> </w:t>
      </w:r>
      <w:r w:rsidR="00985A48" w:rsidRPr="00F72FB0">
        <w:rPr>
          <w:lang w:val="en-GB"/>
        </w:rPr>
        <w:t>any</w:t>
      </w:r>
      <w:r w:rsidR="00FC2FB1" w:rsidRPr="00F72FB0">
        <w:rPr>
          <w:lang w:val="en-GB"/>
        </w:rPr>
        <w:t xml:space="preserve"> </w:t>
      </w:r>
      <w:r w:rsidR="00985A48" w:rsidRPr="00F72FB0">
        <w:rPr>
          <w:lang w:val="en-GB"/>
        </w:rPr>
        <w:t>clear</w:t>
      </w:r>
      <w:r w:rsidR="00FC2FB1" w:rsidRPr="00F72FB0">
        <w:rPr>
          <w:lang w:val="en-GB"/>
        </w:rPr>
        <w:t xml:space="preserve"> </w:t>
      </w:r>
      <w:r w:rsidR="00985A48" w:rsidRPr="00F72FB0">
        <w:rPr>
          <w:lang w:val="en-GB"/>
        </w:rPr>
        <w:t>evidence</w:t>
      </w:r>
      <w:r w:rsidR="00FC2FB1" w:rsidRPr="00F72FB0">
        <w:rPr>
          <w:lang w:val="en-GB"/>
        </w:rPr>
        <w:t xml:space="preserve"> </w:t>
      </w:r>
      <w:r w:rsidR="00985A48" w:rsidRPr="00F72FB0">
        <w:rPr>
          <w:lang w:val="en-GB"/>
        </w:rPr>
        <w:t>that</w:t>
      </w:r>
      <w:r w:rsidR="00FC2FB1" w:rsidRPr="00F72FB0">
        <w:rPr>
          <w:lang w:val="en-GB"/>
        </w:rPr>
        <w:t xml:space="preserve"> </w:t>
      </w:r>
      <w:r w:rsidR="00985A48" w:rsidRPr="00F72FB0">
        <w:rPr>
          <w:lang w:val="en-GB"/>
        </w:rPr>
        <w:t>the</w:t>
      </w:r>
      <w:r w:rsidR="00FC2FB1" w:rsidRPr="00F72FB0">
        <w:rPr>
          <w:lang w:val="en-GB"/>
        </w:rPr>
        <w:t xml:space="preserve"> </w:t>
      </w:r>
      <w:r w:rsidR="00985A48" w:rsidRPr="00F72FB0">
        <w:rPr>
          <w:lang w:val="en-GB"/>
        </w:rPr>
        <w:t>principle</w:t>
      </w:r>
      <w:r w:rsidR="00FC2FB1" w:rsidRPr="00F72FB0">
        <w:rPr>
          <w:lang w:val="en-GB"/>
        </w:rPr>
        <w:t xml:space="preserve"> </w:t>
      </w:r>
      <w:r w:rsidR="00985A48" w:rsidRPr="00F72FB0">
        <w:rPr>
          <w:lang w:val="en-GB"/>
        </w:rPr>
        <w:t>of</w:t>
      </w:r>
      <w:r w:rsidR="00FC2FB1" w:rsidRPr="00F72FB0">
        <w:rPr>
          <w:lang w:val="en-GB"/>
        </w:rPr>
        <w:t xml:space="preserve"> </w:t>
      </w:r>
      <w:r w:rsidR="00985A48" w:rsidRPr="00F72FB0">
        <w:rPr>
          <w:lang w:val="en-GB"/>
        </w:rPr>
        <w:t>consistency</w:t>
      </w:r>
      <w:r w:rsidR="00FC2FB1" w:rsidRPr="00F72FB0">
        <w:rPr>
          <w:lang w:val="en-GB"/>
        </w:rPr>
        <w:t xml:space="preserve"> </w:t>
      </w:r>
      <w:r w:rsidR="00985A48" w:rsidRPr="00F72FB0">
        <w:rPr>
          <w:lang w:val="en-GB"/>
        </w:rPr>
        <w:t>would</w:t>
      </w:r>
      <w:r w:rsidR="00FC2FB1" w:rsidRPr="00F72FB0">
        <w:rPr>
          <w:lang w:val="en-GB"/>
        </w:rPr>
        <w:t xml:space="preserve"> </w:t>
      </w:r>
      <w:r w:rsidR="00985A48" w:rsidRPr="00F72FB0">
        <w:rPr>
          <w:lang w:val="en-GB"/>
        </w:rPr>
        <w:t>play</w:t>
      </w:r>
      <w:r w:rsidR="00FC2FB1" w:rsidRPr="00F72FB0">
        <w:rPr>
          <w:lang w:val="en-GB"/>
        </w:rPr>
        <w:t xml:space="preserve"> </w:t>
      </w:r>
      <w:r w:rsidR="00985A48" w:rsidRPr="00F72FB0">
        <w:rPr>
          <w:lang w:val="en-GB"/>
        </w:rPr>
        <w:t>a</w:t>
      </w:r>
      <w:r w:rsidR="00FC2FB1" w:rsidRPr="00F72FB0">
        <w:rPr>
          <w:lang w:val="en-GB"/>
        </w:rPr>
        <w:t xml:space="preserve"> </w:t>
      </w:r>
      <w:r w:rsidR="00985A48" w:rsidRPr="00F72FB0">
        <w:rPr>
          <w:lang w:val="en-GB"/>
        </w:rPr>
        <w:t>role,</w:t>
      </w:r>
      <w:r w:rsidR="005E7C74">
        <w:rPr>
          <w:rStyle w:val="Alaviitteenviite"/>
          <w:lang w:val="en-GB"/>
        </w:rPr>
        <w:footnoteReference w:id="80"/>
      </w:r>
      <w:r w:rsidR="00FC2FB1" w:rsidRPr="00F72FB0">
        <w:rPr>
          <w:lang w:val="en-GB"/>
        </w:rPr>
        <w:t xml:space="preserve"> </w:t>
      </w:r>
      <w:r w:rsidR="00985A48" w:rsidRPr="00F72FB0">
        <w:rPr>
          <w:lang w:val="en-GB"/>
        </w:rPr>
        <w:t>although,</w:t>
      </w:r>
      <w:r w:rsidR="00FC2FB1" w:rsidRPr="00F72FB0">
        <w:rPr>
          <w:lang w:val="en-GB"/>
        </w:rPr>
        <w:t xml:space="preserve"> </w:t>
      </w:r>
      <w:r w:rsidR="00985A48" w:rsidRPr="00F72FB0">
        <w:rPr>
          <w:lang w:val="en-GB"/>
        </w:rPr>
        <w:t>in</w:t>
      </w:r>
      <w:r w:rsidR="00FC2FB1" w:rsidRPr="00F72FB0">
        <w:rPr>
          <w:lang w:val="en-GB"/>
        </w:rPr>
        <w:t xml:space="preserve"> </w:t>
      </w:r>
      <w:r w:rsidR="00985A48" w:rsidRPr="00F72FB0">
        <w:rPr>
          <w:lang w:val="en-GB"/>
        </w:rPr>
        <w:t>one</w:t>
      </w:r>
      <w:r w:rsidR="00FC2FB1" w:rsidRPr="00F72FB0">
        <w:rPr>
          <w:lang w:val="en-GB"/>
        </w:rPr>
        <w:t xml:space="preserve"> </w:t>
      </w:r>
      <w:r w:rsidR="00985A48" w:rsidRPr="00F72FB0">
        <w:rPr>
          <w:lang w:val="en-GB"/>
        </w:rPr>
        <w:t>case,</w:t>
      </w:r>
      <w:r w:rsidR="00FC2FB1" w:rsidRPr="00F72FB0">
        <w:rPr>
          <w:lang w:val="en-GB"/>
        </w:rPr>
        <w:t xml:space="preserve"> </w:t>
      </w:r>
      <w:r w:rsidR="00985A48" w:rsidRPr="00F72FB0">
        <w:rPr>
          <w:lang w:val="en-GB"/>
        </w:rPr>
        <w:t>it</w:t>
      </w:r>
      <w:r w:rsidR="00FC2FB1" w:rsidRPr="00F72FB0">
        <w:rPr>
          <w:lang w:val="en-GB"/>
        </w:rPr>
        <w:t xml:space="preserve"> </w:t>
      </w:r>
      <w:r w:rsidR="00985A48" w:rsidRPr="00F72FB0">
        <w:rPr>
          <w:lang w:val="en-GB"/>
        </w:rPr>
        <w:t>was</w:t>
      </w:r>
      <w:r w:rsidR="00FC2FB1" w:rsidRPr="00F72FB0">
        <w:rPr>
          <w:lang w:val="en-GB"/>
        </w:rPr>
        <w:t xml:space="preserve"> </w:t>
      </w:r>
      <w:r w:rsidR="00985A48" w:rsidRPr="00F72FB0">
        <w:rPr>
          <w:lang w:val="en-GB"/>
        </w:rPr>
        <w:t>considered</w:t>
      </w:r>
      <w:r w:rsidR="00FC2FB1" w:rsidRPr="00F72FB0">
        <w:rPr>
          <w:lang w:val="en-GB"/>
        </w:rPr>
        <w:t xml:space="preserve"> </w:t>
      </w:r>
      <w:r w:rsidR="00985A48" w:rsidRPr="00F72FB0">
        <w:rPr>
          <w:lang w:val="en-GB"/>
        </w:rPr>
        <w:t>that</w:t>
      </w:r>
      <w:r w:rsidR="00FC2FB1" w:rsidRPr="00F72FB0">
        <w:rPr>
          <w:lang w:val="en-GB"/>
        </w:rPr>
        <w:t xml:space="preserve"> </w:t>
      </w:r>
      <w:r w:rsidR="00985A48" w:rsidRPr="00F72FB0">
        <w:rPr>
          <w:lang w:val="en-GB"/>
        </w:rPr>
        <w:t>the</w:t>
      </w:r>
      <w:r w:rsidR="00FC2FB1" w:rsidRPr="00F72FB0">
        <w:rPr>
          <w:lang w:val="en-GB"/>
        </w:rPr>
        <w:t xml:space="preserve"> </w:t>
      </w:r>
      <w:r w:rsidR="00985A48" w:rsidRPr="00F72FB0">
        <w:rPr>
          <w:lang w:val="en-GB"/>
        </w:rPr>
        <w:t>courts’</w:t>
      </w:r>
      <w:r w:rsidR="00FC2FB1" w:rsidRPr="00F72FB0">
        <w:rPr>
          <w:lang w:val="en-GB"/>
        </w:rPr>
        <w:t xml:space="preserve"> </w:t>
      </w:r>
      <w:r w:rsidR="00985A48" w:rsidRPr="00F72FB0">
        <w:rPr>
          <w:lang w:val="en-GB"/>
        </w:rPr>
        <w:t>use</w:t>
      </w:r>
      <w:r w:rsidR="00FC2FB1" w:rsidRPr="00F72FB0">
        <w:rPr>
          <w:lang w:val="en-GB"/>
        </w:rPr>
        <w:t xml:space="preserve"> </w:t>
      </w:r>
      <w:r w:rsidR="00985A48" w:rsidRPr="00F72FB0">
        <w:rPr>
          <w:lang w:val="en-GB"/>
        </w:rPr>
        <w:t>of</w:t>
      </w:r>
      <w:r w:rsidR="00FC2FB1" w:rsidRPr="00F72FB0">
        <w:rPr>
          <w:lang w:val="en-GB"/>
        </w:rPr>
        <w:t xml:space="preserve"> </w:t>
      </w:r>
      <w:r w:rsidR="00985A48" w:rsidRPr="00F72FB0">
        <w:rPr>
          <w:lang w:val="en-GB"/>
        </w:rPr>
        <w:t>the</w:t>
      </w:r>
      <w:r w:rsidR="00FC2FB1" w:rsidRPr="00F72FB0">
        <w:rPr>
          <w:lang w:val="en-GB"/>
        </w:rPr>
        <w:t xml:space="preserve"> </w:t>
      </w:r>
      <w:r w:rsidR="00985A48" w:rsidRPr="00F72FB0">
        <w:rPr>
          <w:lang w:val="en-GB"/>
        </w:rPr>
        <w:t>EU</w:t>
      </w:r>
      <w:r w:rsidR="00FC2FB1" w:rsidRPr="00F72FB0">
        <w:rPr>
          <w:lang w:val="en-GB"/>
        </w:rPr>
        <w:t xml:space="preserve"> </w:t>
      </w:r>
      <w:r w:rsidR="00985A48" w:rsidRPr="00F72FB0">
        <w:rPr>
          <w:lang w:val="en-GB"/>
        </w:rPr>
        <w:t>soft</w:t>
      </w:r>
      <w:r w:rsidR="00FC2FB1" w:rsidRPr="00F72FB0">
        <w:rPr>
          <w:lang w:val="en-GB"/>
        </w:rPr>
        <w:t xml:space="preserve"> </w:t>
      </w:r>
      <w:r w:rsidR="00985A48" w:rsidRPr="00F72FB0">
        <w:rPr>
          <w:lang w:val="en-GB"/>
        </w:rPr>
        <w:t>law,</w:t>
      </w:r>
      <w:r w:rsidR="00FC2FB1" w:rsidRPr="00F72FB0">
        <w:rPr>
          <w:lang w:val="en-GB"/>
        </w:rPr>
        <w:t xml:space="preserve"> </w:t>
      </w:r>
      <w:r w:rsidR="00985A48" w:rsidRPr="00F72FB0">
        <w:rPr>
          <w:lang w:val="en-GB"/>
        </w:rPr>
        <w:t>alongside</w:t>
      </w:r>
      <w:r w:rsidR="00FC2FB1" w:rsidRPr="00F72FB0">
        <w:rPr>
          <w:lang w:val="en-GB"/>
        </w:rPr>
        <w:t xml:space="preserve"> </w:t>
      </w:r>
      <w:r w:rsidR="00985A48" w:rsidRPr="00F72FB0">
        <w:rPr>
          <w:lang w:val="en-GB"/>
        </w:rPr>
        <w:t>references</w:t>
      </w:r>
      <w:r w:rsidR="00FC2FB1" w:rsidRPr="00F72FB0">
        <w:rPr>
          <w:lang w:val="en-GB"/>
        </w:rPr>
        <w:t xml:space="preserve"> </w:t>
      </w:r>
      <w:r w:rsidR="004C1D9D" w:rsidRPr="00F72FB0">
        <w:rPr>
          <w:lang w:val="en-GB"/>
        </w:rPr>
        <w:t>to</w:t>
      </w:r>
      <w:r w:rsidR="00FC2FB1" w:rsidRPr="00F72FB0">
        <w:rPr>
          <w:lang w:val="en-GB"/>
        </w:rPr>
        <w:t xml:space="preserve"> </w:t>
      </w:r>
      <w:r w:rsidR="00985A48" w:rsidRPr="00F72FB0">
        <w:rPr>
          <w:lang w:val="en-GB"/>
        </w:rPr>
        <w:t>ECJ</w:t>
      </w:r>
      <w:r w:rsidR="00FC2FB1" w:rsidRPr="00F72FB0">
        <w:rPr>
          <w:lang w:val="en-GB"/>
        </w:rPr>
        <w:t xml:space="preserve"> </w:t>
      </w:r>
      <w:r w:rsidR="00985A48" w:rsidRPr="00F72FB0">
        <w:rPr>
          <w:lang w:val="en-GB"/>
        </w:rPr>
        <w:t>judgments,</w:t>
      </w:r>
      <w:r w:rsidR="00FC2FB1" w:rsidRPr="00F72FB0">
        <w:rPr>
          <w:lang w:val="en-GB"/>
        </w:rPr>
        <w:t xml:space="preserve"> </w:t>
      </w:r>
      <w:r w:rsidR="00985A48" w:rsidRPr="00F72FB0">
        <w:rPr>
          <w:lang w:val="en-GB"/>
        </w:rPr>
        <w:t>leads</w:t>
      </w:r>
      <w:r w:rsidR="00FC2FB1" w:rsidRPr="00F72FB0">
        <w:rPr>
          <w:lang w:val="en-GB"/>
        </w:rPr>
        <w:t xml:space="preserve"> </w:t>
      </w:r>
      <w:r w:rsidR="00985A48" w:rsidRPr="00F72FB0">
        <w:rPr>
          <w:lang w:val="en-GB"/>
        </w:rPr>
        <w:t>to</w:t>
      </w:r>
      <w:r w:rsidR="00FC2FB1" w:rsidRPr="00F72FB0">
        <w:rPr>
          <w:lang w:val="en-GB"/>
        </w:rPr>
        <w:t xml:space="preserve"> </w:t>
      </w:r>
      <w:r w:rsidR="00985A48" w:rsidRPr="00F72FB0">
        <w:rPr>
          <w:lang w:val="en-GB"/>
        </w:rPr>
        <w:t>coherency</w:t>
      </w:r>
      <w:r w:rsidR="00FC2FB1" w:rsidRPr="00F72FB0">
        <w:rPr>
          <w:lang w:val="en-GB"/>
        </w:rPr>
        <w:t xml:space="preserve"> </w:t>
      </w:r>
      <w:r w:rsidR="00985A48" w:rsidRPr="00F72FB0">
        <w:rPr>
          <w:lang w:val="en-GB"/>
        </w:rPr>
        <w:t>and</w:t>
      </w:r>
      <w:r w:rsidR="00FC2FB1" w:rsidRPr="00F72FB0">
        <w:rPr>
          <w:lang w:val="en-GB"/>
        </w:rPr>
        <w:t xml:space="preserve"> </w:t>
      </w:r>
      <w:r w:rsidR="00985A48" w:rsidRPr="00F72FB0">
        <w:rPr>
          <w:lang w:val="en-GB"/>
        </w:rPr>
        <w:t>consistency.</w:t>
      </w:r>
      <w:r w:rsidR="00985A48" w:rsidRPr="00F72FB0">
        <w:rPr>
          <w:rStyle w:val="Alaviitteenviite"/>
          <w:lang w:val="en-GB"/>
        </w:rPr>
        <w:footnoteReference w:id="81"/>
      </w:r>
      <w:r w:rsidR="00FC2FB1" w:rsidRPr="00F72FB0">
        <w:rPr>
          <w:lang w:val="en-GB"/>
        </w:rPr>
        <w:t xml:space="preserve"> </w:t>
      </w:r>
      <w:r w:rsidR="006463FD" w:rsidRPr="00F72FB0">
        <w:rPr>
          <w:lang w:val="en-GB"/>
        </w:rPr>
        <w:t>With</w:t>
      </w:r>
      <w:r w:rsidR="00FC2FB1" w:rsidRPr="00F72FB0">
        <w:rPr>
          <w:lang w:val="en-GB"/>
        </w:rPr>
        <w:t xml:space="preserve"> </w:t>
      </w:r>
      <w:r w:rsidR="006463FD" w:rsidRPr="00F72FB0">
        <w:rPr>
          <w:lang w:val="en-GB"/>
        </w:rPr>
        <w:t>regards</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duty</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sincere</w:t>
      </w:r>
      <w:r w:rsidR="00FC2FB1" w:rsidRPr="00F72FB0">
        <w:rPr>
          <w:lang w:val="en-GB"/>
        </w:rPr>
        <w:t xml:space="preserve"> </w:t>
      </w:r>
      <w:r w:rsidR="006463FD" w:rsidRPr="00F72FB0">
        <w:rPr>
          <w:lang w:val="en-GB"/>
        </w:rPr>
        <w:t>cooperation,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early</w:t>
      </w:r>
      <w:r w:rsidR="00FC2FB1" w:rsidRPr="00F72FB0">
        <w:rPr>
          <w:lang w:val="en-GB"/>
        </w:rPr>
        <w:t xml:space="preserve"> </w:t>
      </w:r>
      <w:r w:rsidR="006463FD" w:rsidRPr="00F72FB0">
        <w:rPr>
          <w:lang w:val="en-GB"/>
        </w:rPr>
        <w:t>case</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i/>
          <w:iCs/>
          <w:lang w:val="en-GB"/>
        </w:rPr>
        <w:t>Intreprenneur</w:t>
      </w:r>
      <w:r w:rsidR="00FC2FB1" w:rsidRPr="00F72FB0">
        <w:rPr>
          <w:i/>
          <w:iCs/>
          <w:lang w:val="en-GB"/>
        </w:rPr>
        <w:t xml:space="preserve"> </w:t>
      </w:r>
      <w:r w:rsidR="006463FD" w:rsidRPr="00F72FB0">
        <w:rPr>
          <w:i/>
          <w:iCs/>
          <w:lang w:val="en-GB"/>
        </w:rPr>
        <w:t>v</w:t>
      </w:r>
      <w:r w:rsidR="00FC2FB1" w:rsidRPr="00F72FB0">
        <w:rPr>
          <w:i/>
          <w:iCs/>
          <w:lang w:val="en-GB"/>
        </w:rPr>
        <w:t xml:space="preserve"> </w:t>
      </w:r>
      <w:r w:rsidR="006463FD" w:rsidRPr="00F72FB0">
        <w:rPr>
          <w:i/>
          <w:iCs/>
          <w:lang w:val="en-GB"/>
        </w:rPr>
        <w:t>Crehan</w:t>
      </w:r>
      <w:r w:rsidR="00FC2FB1" w:rsidRPr="00F72FB0">
        <w:rPr>
          <w:i/>
          <w:iCs/>
          <w:lang w:val="en-GB"/>
        </w:rPr>
        <w:t xml:space="preserve"> </w:t>
      </w:r>
      <w:r w:rsidR="006463FD" w:rsidRPr="00F72FB0">
        <w:rPr>
          <w:lang w:val="en-GB"/>
        </w:rPr>
        <w:t>needs</w:t>
      </w:r>
      <w:r w:rsidR="00FC2FB1" w:rsidRPr="00F72FB0">
        <w:rPr>
          <w:lang w:val="en-GB"/>
        </w:rPr>
        <w:t xml:space="preserve"> </w:t>
      </w:r>
      <w:r w:rsidR="006463FD" w:rsidRPr="00F72FB0">
        <w:rPr>
          <w:lang w:val="en-GB"/>
        </w:rPr>
        <w:t>to</w:t>
      </w:r>
      <w:r w:rsidR="00FC2FB1" w:rsidRPr="00F72FB0">
        <w:rPr>
          <w:lang w:val="en-GB"/>
        </w:rPr>
        <w:t xml:space="preserve"> </w:t>
      </w:r>
      <w:r w:rsidR="006463FD" w:rsidRPr="00F72FB0">
        <w:rPr>
          <w:lang w:val="en-GB"/>
        </w:rPr>
        <w:t>be</w:t>
      </w:r>
      <w:r w:rsidR="00FC2FB1" w:rsidRPr="00F72FB0">
        <w:rPr>
          <w:lang w:val="en-GB"/>
        </w:rPr>
        <w:t xml:space="preserve"> </w:t>
      </w:r>
      <w:r w:rsidR="006463FD" w:rsidRPr="00F72FB0">
        <w:rPr>
          <w:lang w:val="en-GB"/>
        </w:rPr>
        <w:t>mentioned.</w:t>
      </w:r>
      <w:r w:rsidR="00FC2FB1" w:rsidRPr="00F72FB0">
        <w:rPr>
          <w:lang w:val="en-GB"/>
        </w:rPr>
        <w:t xml:space="preserve"> </w:t>
      </w:r>
      <w:r w:rsidR="006463FD" w:rsidRPr="00F72FB0">
        <w:rPr>
          <w:lang w:val="en-GB"/>
        </w:rPr>
        <w:t>Already</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para</w:t>
      </w:r>
      <w:r w:rsidR="00FC2FB1" w:rsidRPr="00F72FB0">
        <w:rPr>
          <w:lang w:val="en-GB"/>
        </w:rPr>
        <w:t xml:space="preserve"> </w:t>
      </w:r>
      <w:r w:rsidR="006463FD" w:rsidRPr="00F72FB0">
        <w:rPr>
          <w:lang w:val="en-GB"/>
        </w:rPr>
        <w:t>5,</w:t>
      </w:r>
      <w:r w:rsidR="00FC2FB1" w:rsidRPr="00F72FB0">
        <w:rPr>
          <w:lang w:val="en-GB"/>
        </w:rPr>
        <w:t xml:space="preserve"> </w:t>
      </w:r>
      <w:r w:rsidR="006463FD" w:rsidRPr="00F72FB0">
        <w:rPr>
          <w:lang w:val="en-GB"/>
        </w:rPr>
        <w:t>Lord</w:t>
      </w:r>
      <w:r w:rsidR="00FC2FB1" w:rsidRPr="00F72FB0">
        <w:rPr>
          <w:lang w:val="en-GB"/>
        </w:rPr>
        <w:t xml:space="preserve"> </w:t>
      </w:r>
      <w:r w:rsidR="006463FD" w:rsidRPr="00F72FB0">
        <w:rPr>
          <w:lang w:val="en-GB"/>
        </w:rPr>
        <w:t>Bingham</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Cornhill</w:t>
      </w:r>
      <w:r w:rsidR="00FC2FB1" w:rsidRPr="00F72FB0">
        <w:rPr>
          <w:lang w:val="en-GB"/>
        </w:rPr>
        <w:t xml:space="preserve"> </w:t>
      </w:r>
      <w:r w:rsidR="006463FD" w:rsidRPr="00F72FB0">
        <w:rPr>
          <w:lang w:val="en-GB"/>
        </w:rPr>
        <w:t>underlines</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‘particular</w:t>
      </w:r>
      <w:r w:rsidR="00FC2FB1" w:rsidRPr="00F72FB0">
        <w:rPr>
          <w:lang w:val="en-GB"/>
        </w:rPr>
        <w:t xml:space="preserve"> </w:t>
      </w:r>
      <w:r w:rsidR="006463FD" w:rsidRPr="00F72FB0">
        <w:rPr>
          <w:lang w:val="en-GB"/>
        </w:rPr>
        <w:t>importance</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wholehearted</w:t>
      </w:r>
      <w:r w:rsidR="00FC2FB1" w:rsidRPr="00F72FB0">
        <w:rPr>
          <w:lang w:val="en-GB"/>
        </w:rPr>
        <w:t xml:space="preserve"> </w:t>
      </w:r>
      <w:r w:rsidR="006463FD" w:rsidRPr="00F72FB0">
        <w:rPr>
          <w:lang w:val="en-GB"/>
        </w:rPr>
        <w:t>cooperation</w:t>
      </w:r>
      <w:r w:rsidR="00FC2FB1" w:rsidRPr="00F72FB0">
        <w:rPr>
          <w:lang w:val="en-GB"/>
        </w:rPr>
        <w:t xml:space="preserve"> </w:t>
      </w:r>
      <w:r w:rsidR="006463FD" w:rsidRPr="00F72FB0">
        <w:rPr>
          <w:lang w:val="en-GB"/>
        </w:rPr>
        <w:t>between</w:t>
      </w:r>
      <w:r w:rsidR="00FC2FB1" w:rsidRPr="00F72FB0">
        <w:rPr>
          <w:lang w:val="en-GB"/>
        </w:rPr>
        <w:t xml:space="preserve"> </w:t>
      </w:r>
      <w:r w:rsidR="006463FD" w:rsidRPr="00F72FB0">
        <w:rPr>
          <w:lang w:val="en-GB"/>
        </w:rPr>
        <w:t>national</w:t>
      </w:r>
      <w:r w:rsidR="00FC2FB1" w:rsidRPr="00F72FB0">
        <w:rPr>
          <w:lang w:val="en-GB"/>
        </w:rPr>
        <w:t xml:space="preserve"> </w:t>
      </w:r>
      <w:r w:rsidR="006463FD" w:rsidRPr="00F72FB0">
        <w:rPr>
          <w:lang w:val="en-GB"/>
        </w:rPr>
        <w:t>courts</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Commission</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field</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competition’</w:t>
      </w:r>
      <w:r w:rsidR="00FC2FB1" w:rsidRPr="00F72FB0">
        <w:rPr>
          <w:lang w:val="en-GB"/>
        </w:rPr>
        <w:t xml:space="preserve"> </w:t>
      </w:r>
      <w:r w:rsidR="006463FD" w:rsidRPr="00F72FB0">
        <w:rPr>
          <w:lang w:val="en-GB"/>
        </w:rPr>
        <w:t>as</w:t>
      </w:r>
      <w:r w:rsidR="00FC2FB1" w:rsidRPr="00F72FB0">
        <w:rPr>
          <w:lang w:val="en-GB"/>
        </w:rPr>
        <w:t xml:space="preserve"> </w:t>
      </w:r>
      <w:r w:rsidR="006463FD" w:rsidRPr="00F72FB0">
        <w:rPr>
          <w:lang w:val="en-GB"/>
        </w:rPr>
        <w:t>‘reflected</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lastRenderedPageBreak/>
        <w:t>Commission’s</w:t>
      </w:r>
      <w:r w:rsidR="00FC2FB1" w:rsidRPr="00F72FB0">
        <w:rPr>
          <w:lang w:val="en-GB"/>
        </w:rPr>
        <w:t xml:space="preserve"> </w:t>
      </w:r>
      <w:r w:rsidR="006463FD" w:rsidRPr="00F72FB0">
        <w:rPr>
          <w:lang w:val="en-GB"/>
        </w:rPr>
        <w:t>1993</w:t>
      </w:r>
      <w:r w:rsidR="00F1278C" w:rsidRPr="00F72FB0">
        <w:rPr>
          <w:lang w:val="en-GB"/>
        </w:rPr>
        <w:t xml:space="preserve"> </w:t>
      </w:r>
      <w:r w:rsidR="006463FD" w:rsidRPr="00F72FB0">
        <w:rPr>
          <w:lang w:val="en-GB"/>
        </w:rPr>
        <w:t>Notice</w:t>
      </w:r>
      <w:r w:rsidR="00FC2FB1" w:rsidRPr="00F72FB0">
        <w:rPr>
          <w:lang w:val="en-GB"/>
        </w:rPr>
        <w:t xml:space="preserve"> </w:t>
      </w:r>
      <w:r w:rsidR="006463FD" w:rsidRPr="00F72FB0">
        <w:rPr>
          <w:lang w:val="en-GB"/>
        </w:rPr>
        <w:t>on</w:t>
      </w:r>
      <w:r w:rsidR="00FC2FB1" w:rsidRPr="00F72FB0">
        <w:rPr>
          <w:lang w:val="en-GB"/>
        </w:rPr>
        <w:t xml:space="preserve"> </w:t>
      </w:r>
      <w:r w:rsidR="006463FD" w:rsidRPr="00F72FB0">
        <w:rPr>
          <w:lang w:val="en-GB"/>
        </w:rPr>
        <w:t>Cooperation</w:t>
      </w:r>
      <w:r w:rsidR="00FC2FB1" w:rsidRPr="00F72FB0">
        <w:rPr>
          <w:lang w:val="en-GB"/>
        </w:rPr>
        <w:t xml:space="preserve"> </w:t>
      </w:r>
      <w:r w:rsidR="006463FD" w:rsidRPr="00F72FB0">
        <w:rPr>
          <w:lang w:val="en-GB"/>
        </w:rPr>
        <w:t>between</w:t>
      </w:r>
      <w:r w:rsidR="00FC2FB1" w:rsidRPr="00F72FB0">
        <w:rPr>
          <w:lang w:val="en-GB"/>
        </w:rPr>
        <w:t xml:space="preserve"> </w:t>
      </w:r>
      <w:r w:rsidR="006463FD" w:rsidRPr="00F72FB0">
        <w:rPr>
          <w:lang w:val="en-GB"/>
        </w:rPr>
        <w:t>National</w:t>
      </w:r>
      <w:r w:rsidR="00FC2FB1" w:rsidRPr="00F72FB0">
        <w:rPr>
          <w:lang w:val="en-GB"/>
        </w:rPr>
        <w:t xml:space="preserve"> </w:t>
      </w:r>
      <w:r w:rsidR="006463FD" w:rsidRPr="00F72FB0">
        <w:rPr>
          <w:lang w:val="en-GB"/>
        </w:rPr>
        <w:t>Courts</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Commission</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Applying</w:t>
      </w:r>
      <w:r w:rsidR="00FC2FB1" w:rsidRPr="00F72FB0">
        <w:rPr>
          <w:lang w:val="en-GB"/>
        </w:rPr>
        <w:t xml:space="preserve"> </w:t>
      </w:r>
      <w:r w:rsidR="006463FD" w:rsidRPr="00F72FB0">
        <w:rPr>
          <w:lang w:val="en-GB"/>
        </w:rPr>
        <w:t>Articles</w:t>
      </w:r>
      <w:r w:rsidR="00FC2FB1" w:rsidRPr="00F72FB0">
        <w:rPr>
          <w:lang w:val="en-GB"/>
        </w:rPr>
        <w:t xml:space="preserve"> </w:t>
      </w:r>
      <w:r w:rsidR="006463FD" w:rsidRPr="00F72FB0">
        <w:rPr>
          <w:lang w:val="en-GB"/>
        </w:rPr>
        <w:t>81</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82</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EC</w:t>
      </w:r>
      <w:r w:rsidR="00FC2FB1" w:rsidRPr="00F72FB0">
        <w:rPr>
          <w:lang w:val="en-GB"/>
        </w:rPr>
        <w:t xml:space="preserve"> </w:t>
      </w:r>
      <w:r w:rsidR="00F1278C" w:rsidRPr="00F72FB0">
        <w:rPr>
          <w:lang w:val="en-GB"/>
        </w:rPr>
        <w:t>Treaty</w:t>
      </w:r>
      <w:r w:rsidR="006463FD" w:rsidRPr="00F72FB0">
        <w:rPr>
          <w:lang w:val="en-GB"/>
        </w:rPr>
        <w:t>,</w:t>
      </w:r>
      <w:r w:rsidR="00FC2FB1" w:rsidRPr="00F72FB0">
        <w:rPr>
          <w:lang w:val="en-GB"/>
        </w:rPr>
        <w:t xml:space="preserve"> </w:t>
      </w:r>
      <w:r w:rsidR="006463FD" w:rsidRPr="00F72FB0">
        <w:rPr>
          <w:lang w:val="en-GB"/>
        </w:rPr>
        <w:t>[…]</w:t>
      </w:r>
      <w:r w:rsidR="00FC2FB1" w:rsidRPr="00F72FB0">
        <w:rPr>
          <w:lang w:val="en-GB"/>
        </w:rPr>
        <w:t xml:space="preserve"> </w:t>
      </w:r>
      <w:r w:rsidR="006463FD" w:rsidRPr="00F72FB0">
        <w:rPr>
          <w:lang w:val="en-GB"/>
        </w:rPr>
        <w:t>and</w:t>
      </w:r>
      <w:r w:rsidR="00FC2FB1" w:rsidRPr="00F72FB0">
        <w:rPr>
          <w:lang w:val="en-GB"/>
        </w:rPr>
        <w:t xml:space="preserve"> </w:t>
      </w:r>
      <w:r w:rsidR="006463FD" w:rsidRPr="00F72FB0">
        <w:rPr>
          <w:lang w:val="en-GB"/>
        </w:rPr>
        <w:t>in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Commission’s</w:t>
      </w:r>
      <w:r w:rsidR="00FD5049">
        <w:rPr>
          <w:lang w:val="en-GB"/>
        </w:rPr>
        <w:t xml:space="preserve"> </w:t>
      </w:r>
      <w:r w:rsidR="006463FD" w:rsidRPr="00F72FB0">
        <w:rPr>
          <w:lang w:val="en-GB"/>
        </w:rPr>
        <w:t>Notice</w:t>
      </w:r>
      <w:r w:rsidR="00FC2FB1" w:rsidRPr="00F72FB0">
        <w:rPr>
          <w:lang w:val="en-GB"/>
        </w:rPr>
        <w:t xml:space="preserve"> </w:t>
      </w:r>
      <w:r w:rsidR="006463FD" w:rsidRPr="00F72FB0">
        <w:rPr>
          <w:lang w:val="en-GB"/>
        </w:rPr>
        <w:t>on</w:t>
      </w:r>
      <w:r w:rsidR="00FC2FB1" w:rsidRPr="00F72FB0">
        <w:rPr>
          <w:lang w:val="en-GB"/>
        </w:rPr>
        <w:t xml:space="preserve"> </w:t>
      </w:r>
      <w:r w:rsidR="006463FD" w:rsidRPr="00F72FB0">
        <w:rPr>
          <w:lang w:val="en-GB"/>
        </w:rPr>
        <w:t>cooperation</w:t>
      </w:r>
      <w:r w:rsidR="00FC2FB1" w:rsidRPr="00F72FB0">
        <w:rPr>
          <w:lang w:val="en-GB"/>
        </w:rPr>
        <w:t xml:space="preserve"> </w:t>
      </w:r>
      <w:r w:rsidR="006463FD" w:rsidRPr="00F72FB0">
        <w:rPr>
          <w:lang w:val="en-GB"/>
        </w:rPr>
        <w:t>within</w:t>
      </w:r>
      <w:r w:rsidR="00FC2FB1" w:rsidRPr="00F72FB0">
        <w:rPr>
          <w:lang w:val="en-GB"/>
        </w:rPr>
        <w:t xml:space="preserve"> </w:t>
      </w:r>
      <w:r w:rsidR="006463FD" w:rsidRPr="00F72FB0">
        <w:rPr>
          <w:lang w:val="en-GB"/>
        </w:rPr>
        <w:t>the</w:t>
      </w:r>
      <w:r w:rsidR="00FC2FB1" w:rsidRPr="00F72FB0">
        <w:rPr>
          <w:lang w:val="en-GB"/>
        </w:rPr>
        <w:t xml:space="preserve"> </w:t>
      </w:r>
      <w:r w:rsidR="006463FD" w:rsidRPr="00F72FB0">
        <w:rPr>
          <w:lang w:val="en-GB"/>
        </w:rPr>
        <w:t>Network</w:t>
      </w:r>
      <w:r w:rsidR="00FC2FB1" w:rsidRPr="00F72FB0">
        <w:rPr>
          <w:lang w:val="en-GB"/>
        </w:rPr>
        <w:t xml:space="preserve"> </w:t>
      </w:r>
      <w:r w:rsidR="006463FD" w:rsidRPr="00F72FB0">
        <w:rPr>
          <w:lang w:val="en-GB"/>
        </w:rPr>
        <w:t>of</w:t>
      </w:r>
      <w:r w:rsidR="00FC2FB1" w:rsidRPr="00F72FB0">
        <w:rPr>
          <w:lang w:val="en-GB"/>
        </w:rPr>
        <w:t xml:space="preserve"> </w:t>
      </w:r>
      <w:r w:rsidR="006463FD" w:rsidRPr="00F72FB0">
        <w:rPr>
          <w:lang w:val="en-GB"/>
        </w:rPr>
        <w:t>Competition</w:t>
      </w:r>
      <w:r w:rsidR="00FC2FB1" w:rsidRPr="00F72FB0">
        <w:rPr>
          <w:lang w:val="en-GB"/>
        </w:rPr>
        <w:t xml:space="preserve"> </w:t>
      </w:r>
      <w:r w:rsidR="00F1278C" w:rsidRPr="00F72FB0">
        <w:rPr>
          <w:lang w:val="en-GB"/>
        </w:rPr>
        <w:t>Authorities</w:t>
      </w:r>
      <w:r w:rsidR="006463FD" w:rsidRPr="00F72FB0">
        <w:rPr>
          <w:lang w:val="en-GB"/>
        </w:rPr>
        <w:t>’</w:t>
      </w:r>
      <w:r w:rsidR="00BE56F3">
        <w:rPr>
          <w:lang w:val="en-GB"/>
        </w:rPr>
        <w:t>.</w:t>
      </w:r>
      <w:r w:rsidR="006463FD" w:rsidRPr="00F72FB0">
        <w:rPr>
          <w:rStyle w:val="Alaviitteenviite"/>
          <w:lang w:val="en-GB"/>
        </w:rPr>
        <w:footnoteReference w:id="82"/>
      </w:r>
      <w:r w:rsidR="00FC2FB1" w:rsidRPr="00F72FB0">
        <w:rPr>
          <w:lang w:val="en-GB"/>
        </w:rPr>
        <w:t xml:space="preserve"> </w:t>
      </w:r>
      <w:r w:rsidR="00E844F9" w:rsidRPr="00F72FB0">
        <w:rPr>
          <w:lang w:val="en-GB"/>
        </w:rPr>
        <w:t>The</w:t>
      </w:r>
      <w:r w:rsidR="00FC2FB1" w:rsidRPr="00F72FB0">
        <w:rPr>
          <w:lang w:val="en-GB"/>
        </w:rPr>
        <w:t xml:space="preserve"> </w:t>
      </w:r>
      <w:r w:rsidR="00E844F9" w:rsidRPr="00F72FB0">
        <w:rPr>
          <w:lang w:val="en-GB"/>
        </w:rPr>
        <w:t>contribution</w:t>
      </w:r>
      <w:r w:rsidR="00FC2FB1" w:rsidRPr="00F72FB0">
        <w:rPr>
          <w:lang w:val="en-GB"/>
        </w:rPr>
        <w:t xml:space="preserve"> </w:t>
      </w:r>
      <w:r w:rsidR="00E844F9" w:rsidRPr="00F72FB0">
        <w:rPr>
          <w:lang w:val="en-GB"/>
        </w:rPr>
        <w:t>that</w:t>
      </w:r>
      <w:r w:rsidR="00FC2FB1" w:rsidRPr="00F72FB0">
        <w:rPr>
          <w:lang w:val="en-GB"/>
        </w:rPr>
        <w:t xml:space="preserve"> </w:t>
      </w:r>
      <w:r w:rsidR="00E844F9" w:rsidRPr="00F72FB0">
        <w:rPr>
          <w:lang w:val="en-GB"/>
        </w:rPr>
        <w:t>soft</w:t>
      </w:r>
      <w:r w:rsidR="00FC2FB1" w:rsidRPr="00F72FB0">
        <w:rPr>
          <w:lang w:val="en-GB"/>
        </w:rPr>
        <w:t xml:space="preserve"> </w:t>
      </w:r>
      <w:r w:rsidR="00E844F9" w:rsidRPr="00F72FB0">
        <w:rPr>
          <w:lang w:val="en-GB"/>
        </w:rPr>
        <w:t>law</w:t>
      </w:r>
      <w:r w:rsidR="00FC2FB1" w:rsidRPr="00F72FB0">
        <w:rPr>
          <w:lang w:val="en-GB"/>
        </w:rPr>
        <w:t xml:space="preserve"> </w:t>
      </w:r>
      <w:r w:rsidR="00E844F9" w:rsidRPr="00F72FB0">
        <w:rPr>
          <w:lang w:val="en-GB"/>
        </w:rPr>
        <w:t>can</w:t>
      </w:r>
      <w:r w:rsidR="00FC2FB1" w:rsidRPr="00F72FB0">
        <w:rPr>
          <w:lang w:val="en-GB"/>
        </w:rPr>
        <w:t xml:space="preserve"> </w:t>
      </w:r>
      <w:r w:rsidR="00E844F9" w:rsidRPr="00F72FB0">
        <w:rPr>
          <w:lang w:val="en-GB"/>
        </w:rPr>
        <w:t>have</w:t>
      </w:r>
      <w:r w:rsidR="00FC2FB1" w:rsidRPr="00F72FB0">
        <w:rPr>
          <w:lang w:val="en-GB"/>
        </w:rPr>
        <w:t xml:space="preserve"> </w:t>
      </w:r>
      <w:r w:rsidR="00E844F9" w:rsidRPr="00F72FB0">
        <w:rPr>
          <w:lang w:val="en-GB"/>
        </w:rPr>
        <w:t>towards</w:t>
      </w:r>
      <w:r w:rsidR="00FC2FB1" w:rsidRPr="00F72FB0">
        <w:rPr>
          <w:lang w:val="en-GB"/>
        </w:rPr>
        <w:t xml:space="preserve"> </w:t>
      </w:r>
      <w:r w:rsidR="00E844F9" w:rsidRPr="00F72FB0">
        <w:rPr>
          <w:lang w:val="en-GB"/>
        </w:rPr>
        <w:t>clarifying</w:t>
      </w:r>
      <w:r w:rsidR="00FC2FB1" w:rsidRPr="00F72FB0">
        <w:rPr>
          <w:lang w:val="en-GB"/>
        </w:rPr>
        <w:t xml:space="preserve"> </w:t>
      </w:r>
      <w:r w:rsidR="00E844F9" w:rsidRPr="00F72FB0">
        <w:rPr>
          <w:lang w:val="en-GB"/>
        </w:rPr>
        <w:t>certain</w:t>
      </w:r>
      <w:r w:rsidR="00FC2FB1" w:rsidRPr="00F72FB0">
        <w:rPr>
          <w:lang w:val="en-GB"/>
        </w:rPr>
        <w:t xml:space="preserve"> </w:t>
      </w:r>
      <w:r w:rsidR="00E844F9" w:rsidRPr="00F72FB0">
        <w:rPr>
          <w:lang w:val="en-GB"/>
        </w:rPr>
        <w:t>aspects</w:t>
      </w:r>
      <w:r w:rsidR="00FC2FB1" w:rsidRPr="00F72FB0">
        <w:rPr>
          <w:lang w:val="en-GB"/>
        </w:rPr>
        <w:t xml:space="preserve"> </w:t>
      </w:r>
      <w:r w:rsidR="00E844F9" w:rsidRPr="00F72FB0">
        <w:rPr>
          <w:lang w:val="en-GB"/>
        </w:rPr>
        <w:t>of</w:t>
      </w:r>
      <w:r w:rsidR="00FC2FB1" w:rsidRPr="00F72FB0">
        <w:rPr>
          <w:lang w:val="en-GB"/>
        </w:rPr>
        <w:t xml:space="preserve"> </w:t>
      </w:r>
      <w:r w:rsidR="00E844F9" w:rsidRPr="00F72FB0">
        <w:rPr>
          <w:lang w:val="en-GB"/>
        </w:rPr>
        <w:t>the</w:t>
      </w:r>
      <w:r w:rsidR="00FC2FB1" w:rsidRPr="00F72FB0">
        <w:rPr>
          <w:lang w:val="en-GB"/>
        </w:rPr>
        <w:t xml:space="preserve"> </w:t>
      </w:r>
      <w:r w:rsidR="00E844F9" w:rsidRPr="00F72FB0">
        <w:rPr>
          <w:lang w:val="en-GB"/>
        </w:rPr>
        <w:t>law,</w:t>
      </w:r>
      <w:r w:rsidR="00FC2FB1" w:rsidRPr="00F72FB0">
        <w:rPr>
          <w:lang w:val="en-GB"/>
        </w:rPr>
        <w:t xml:space="preserve"> </w:t>
      </w:r>
      <w:r w:rsidR="00E844F9" w:rsidRPr="00F72FB0">
        <w:rPr>
          <w:lang w:val="en-GB"/>
        </w:rPr>
        <w:t>thus</w:t>
      </w:r>
      <w:r w:rsidR="00FC2FB1" w:rsidRPr="00F72FB0">
        <w:rPr>
          <w:lang w:val="en-GB"/>
        </w:rPr>
        <w:t xml:space="preserve"> </w:t>
      </w:r>
      <w:r w:rsidR="00E844F9" w:rsidRPr="00F72FB0">
        <w:rPr>
          <w:lang w:val="en-GB"/>
        </w:rPr>
        <w:t>also</w:t>
      </w:r>
      <w:r w:rsidR="00FC2FB1" w:rsidRPr="00F72FB0">
        <w:rPr>
          <w:lang w:val="en-GB"/>
        </w:rPr>
        <w:t xml:space="preserve"> </w:t>
      </w:r>
      <w:r w:rsidR="00E844F9" w:rsidRPr="00F72FB0">
        <w:rPr>
          <w:lang w:val="en-GB"/>
        </w:rPr>
        <w:t>fostering</w:t>
      </w:r>
      <w:r w:rsidR="00FC2FB1" w:rsidRPr="00F72FB0">
        <w:rPr>
          <w:lang w:val="en-GB"/>
        </w:rPr>
        <w:t xml:space="preserve"> </w:t>
      </w:r>
      <w:r w:rsidR="00E844F9" w:rsidRPr="00F72FB0">
        <w:rPr>
          <w:lang w:val="en-GB"/>
        </w:rPr>
        <w:t>transparency,</w:t>
      </w:r>
      <w:r w:rsidR="00FC2FB1" w:rsidRPr="00F72FB0">
        <w:rPr>
          <w:lang w:val="en-GB"/>
        </w:rPr>
        <w:t xml:space="preserve"> </w:t>
      </w:r>
      <w:r w:rsidR="00E844F9" w:rsidRPr="00F72FB0">
        <w:rPr>
          <w:lang w:val="en-GB"/>
        </w:rPr>
        <w:t>appears</w:t>
      </w:r>
      <w:r w:rsidR="00FC2FB1" w:rsidRPr="00F72FB0">
        <w:rPr>
          <w:lang w:val="en-GB"/>
        </w:rPr>
        <w:t xml:space="preserve"> </w:t>
      </w:r>
      <w:r w:rsidR="00E844F9" w:rsidRPr="00F72FB0">
        <w:rPr>
          <w:lang w:val="en-GB"/>
        </w:rPr>
        <w:t>to</w:t>
      </w:r>
      <w:r w:rsidR="00FC2FB1" w:rsidRPr="00F72FB0">
        <w:rPr>
          <w:lang w:val="en-GB"/>
        </w:rPr>
        <w:t xml:space="preserve"> </w:t>
      </w:r>
      <w:r w:rsidR="00E844F9" w:rsidRPr="00F72FB0">
        <w:rPr>
          <w:lang w:val="en-GB"/>
        </w:rPr>
        <w:t>be</w:t>
      </w:r>
      <w:r w:rsidR="00FC2FB1" w:rsidRPr="00F72FB0">
        <w:rPr>
          <w:lang w:val="en-GB"/>
        </w:rPr>
        <w:t xml:space="preserve"> </w:t>
      </w:r>
      <w:r w:rsidR="00E844F9" w:rsidRPr="00F72FB0">
        <w:rPr>
          <w:lang w:val="en-GB"/>
        </w:rPr>
        <w:t>acknowledged</w:t>
      </w:r>
      <w:r w:rsidR="00FC2FB1" w:rsidRPr="00F72FB0">
        <w:rPr>
          <w:lang w:val="en-GB"/>
        </w:rPr>
        <w:t xml:space="preserve"> </w:t>
      </w:r>
      <w:r w:rsidR="00E844F9" w:rsidRPr="00F72FB0">
        <w:rPr>
          <w:lang w:val="en-GB"/>
        </w:rPr>
        <w:t>as</w:t>
      </w:r>
      <w:r w:rsidR="00FC2FB1" w:rsidRPr="00F72FB0">
        <w:rPr>
          <w:lang w:val="en-GB"/>
        </w:rPr>
        <w:t xml:space="preserve"> </w:t>
      </w:r>
      <w:r w:rsidR="00E844F9" w:rsidRPr="00F72FB0">
        <w:rPr>
          <w:lang w:val="en-GB"/>
        </w:rPr>
        <w:t>well</w:t>
      </w:r>
      <w:r w:rsidR="00FC2FB1" w:rsidRPr="00F72FB0">
        <w:rPr>
          <w:lang w:val="en-GB"/>
        </w:rPr>
        <w:t xml:space="preserve"> </w:t>
      </w:r>
      <w:r w:rsidR="00E844F9" w:rsidRPr="00F72FB0">
        <w:rPr>
          <w:lang w:val="en-GB"/>
        </w:rPr>
        <w:t>by</w:t>
      </w:r>
      <w:r w:rsidR="00FC2FB1" w:rsidRPr="00F72FB0">
        <w:rPr>
          <w:lang w:val="en-GB"/>
        </w:rPr>
        <w:t xml:space="preserve"> </w:t>
      </w:r>
      <w:r w:rsidR="00E844F9" w:rsidRPr="00F72FB0">
        <w:rPr>
          <w:lang w:val="en-GB"/>
        </w:rPr>
        <w:t>UK</w:t>
      </w:r>
      <w:r w:rsidR="00FC2FB1" w:rsidRPr="00F72FB0">
        <w:rPr>
          <w:lang w:val="en-GB"/>
        </w:rPr>
        <w:t xml:space="preserve"> </w:t>
      </w:r>
      <w:r w:rsidR="00E844F9" w:rsidRPr="00F72FB0">
        <w:rPr>
          <w:lang w:val="en-GB"/>
        </w:rPr>
        <w:t>judges.</w:t>
      </w:r>
      <w:r w:rsidR="00FC2FB1" w:rsidRPr="00F72FB0">
        <w:rPr>
          <w:lang w:val="en-GB"/>
        </w:rPr>
        <w:t xml:space="preserve"> </w:t>
      </w:r>
      <w:r w:rsidR="00E844F9" w:rsidRPr="00F72FB0">
        <w:rPr>
          <w:lang w:val="en-GB"/>
        </w:rPr>
        <w:t>Indeed,</w:t>
      </w:r>
      <w:r w:rsidR="00FC2FB1" w:rsidRPr="00F72FB0">
        <w:rPr>
          <w:lang w:val="en-GB"/>
        </w:rPr>
        <w:t xml:space="preserve"> </w:t>
      </w:r>
      <w:r w:rsidR="00E844F9" w:rsidRPr="00F72FB0">
        <w:rPr>
          <w:lang w:val="en-GB"/>
        </w:rPr>
        <w:t>in</w:t>
      </w:r>
      <w:r w:rsidR="00FC2FB1" w:rsidRPr="00F72FB0">
        <w:rPr>
          <w:lang w:val="en-GB"/>
        </w:rPr>
        <w:t xml:space="preserve"> </w:t>
      </w:r>
      <w:r w:rsidR="00E844F9" w:rsidRPr="00F72FB0">
        <w:rPr>
          <w:i/>
          <w:iCs/>
          <w:lang w:val="en-GB"/>
        </w:rPr>
        <w:t>Wye</w:t>
      </w:r>
      <w:r w:rsidR="00FC2FB1" w:rsidRPr="00F72FB0">
        <w:rPr>
          <w:i/>
          <w:iCs/>
          <w:lang w:val="en-GB"/>
        </w:rPr>
        <w:t xml:space="preserve"> </w:t>
      </w:r>
      <w:r w:rsidR="00E844F9" w:rsidRPr="00F72FB0">
        <w:rPr>
          <w:i/>
          <w:iCs/>
          <w:lang w:val="en-GB"/>
        </w:rPr>
        <w:t>Valley,</w:t>
      </w:r>
      <w:r w:rsidR="00FC2FB1" w:rsidRPr="00F72FB0">
        <w:rPr>
          <w:i/>
          <w:iCs/>
          <w:lang w:val="en-GB"/>
        </w:rPr>
        <w:t xml:space="preserve"> </w:t>
      </w:r>
      <w:r w:rsidR="00E844F9" w:rsidRPr="00F72FB0">
        <w:rPr>
          <w:lang w:val="en-GB"/>
        </w:rPr>
        <w:t>in</w:t>
      </w:r>
      <w:r w:rsidR="00FC2FB1" w:rsidRPr="00F72FB0">
        <w:rPr>
          <w:lang w:val="en-GB"/>
        </w:rPr>
        <w:t xml:space="preserve"> </w:t>
      </w:r>
      <w:r w:rsidR="00E844F9" w:rsidRPr="00F72FB0">
        <w:rPr>
          <w:lang w:val="en-GB"/>
        </w:rPr>
        <w:t>relation</w:t>
      </w:r>
      <w:r w:rsidR="00FC2FB1" w:rsidRPr="00F72FB0">
        <w:rPr>
          <w:lang w:val="en-GB"/>
        </w:rPr>
        <w:t xml:space="preserve"> </w:t>
      </w:r>
      <w:r w:rsidR="00E844F9" w:rsidRPr="00F72FB0">
        <w:rPr>
          <w:lang w:val="en-GB"/>
        </w:rPr>
        <w:t>to</w:t>
      </w:r>
      <w:r w:rsidR="00FC2FB1" w:rsidRPr="00F72FB0">
        <w:rPr>
          <w:lang w:val="en-GB"/>
        </w:rPr>
        <w:t xml:space="preserve"> </w:t>
      </w:r>
      <w:r w:rsidR="00E844F9" w:rsidRPr="00F72FB0">
        <w:rPr>
          <w:lang w:val="en-GB"/>
        </w:rPr>
        <w:t>the</w:t>
      </w:r>
      <w:r w:rsidR="00FC2FB1" w:rsidRPr="00F72FB0">
        <w:rPr>
          <w:lang w:val="en-GB"/>
        </w:rPr>
        <w:t xml:space="preserve"> </w:t>
      </w:r>
      <w:r w:rsidR="00E844F9" w:rsidRPr="00F72FB0">
        <w:rPr>
          <w:color w:val="000000"/>
          <w:lang w:val="en-GB"/>
        </w:rPr>
        <w:t>Commission’s</w:t>
      </w:r>
      <w:r w:rsidR="00FC2FB1" w:rsidRPr="00F72FB0">
        <w:rPr>
          <w:color w:val="000000"/>
          <w:lang w:val="en-GB"/>
        </w:rPr>
        <w:t xml:space="preserve"> </w:t>
      </w:r>
      <w:r w:rsidR="00E844F9" w:rsidRPr="00F72FB0">
        <w:rPr>
          <w:color w:val="000000"/>
          <w:lang w:val="en-GB"/>
        </w:rPr>
        <w:t>guidance</w:t>
      </w:r>
      <w:r w:rsidR="00FC2FB1" w:rsidRPr="00F72FB0">
        <w:rPr>
          <w:color w:val="000000"/>
          <w:lang w:val="en-GB"/>
        </w:rPr>
        <w:t xml:space="preserve"> </w:t>
      </w:r>
      <w:r w:rsidR="00E844F9" w:rsidRPr="00F72FB0">
        <w:rPr>
          <w:color w:val="000000"/>
          <w:lang w:val="en-GB"/>
        </w:rPr>
        <w:t>on</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interpretation</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certain</w:t>
      </w:r>
      <w:r w:rsidR="00FC2FB1" w:rsidRPr="00F72FB0">
        <w:rPr>
          <w:color w:val="000000"/>
          <w:lang w:val="en-GB"/>
        </w:rPr>
        <w:t xml:space="preserve"> </w:t>
      </w:r>
      <w:r w:rsidR="00E844F9" w:rsidRPr="00F72FB0">
        <w:rPr>
          <w:color w:val="000000"/>
          <w:lang w:val="en-GB"/>
        </w:rPr>
        <w:t>project</w:t>
      </w:r>
      <w:r w:rsidR="00FC2FB1" w:rsidRPr="00F72FB0">
        <w:rPr>
          <w:color w:val="000000"/>
          <w:lang w:val="en-GB"/>
        </w:rPr>
        <w:t xml:space="preserve"> </w:t>
      </w:r>
      <w:r w:rsidR="00E844F9" w:rsidRPr="00F72FB0">
        <w:rPr>
          <w:color w:val="000000"/>
          <w:lang w:val="en-GB"/>
        </w:rPr>
        <w:t>categories</w:t>
      </w:r>
      <w:r w:rsidR="00FC2FB1" w:rsidRPr="00F72FB0">
        <w:rPr>
          <w:color w:val="000000"/>
          <w:lang w:val="en-GB"/>
        </w:rPr>
        <w:t xml:space="preserve"> </w:t>
      </w:r>
      <w:r w:rsidR="00E844F9" w:rsidRPr="00F72FB0">
        <w:rPr>
          <w:color w:val="000000"/>
          <w:lang w:val="en-GB"/>
        </w:rPr>
        <w:t>in</w:t>
      </w:r>
      <w:r w:rsidR="00FC2FB1" w:rsidRPr="00F72FB0">
        <w:rPr>
          <w:color w:val="000000"/>
          <w:lang w:val="en-GB"/>
        </w:rPr>
        <w:t xml:space="preserve"> </w:t>
      </w:r>
      <w:r w:rsidR="00E844F9" w:rsidRPr="00F72FB0">
        <w:rPr>
          <w:color w:val="000000"/>
          <w:lang w:val="en-GB"/>
        </w:rPr>
        <w:t>Annexes</w:t>
      </w:r>
      <w:r w:rsidR="00FC2FB1" w:rsidRPr="00F72FB0">
        <w:rPr>
          <w:color w:val="000000"/>
          <w:lang w:val="en-GB"/>
        </w:rPr>
        <w:t xml:space="preserve"> </w:t>
      </w:r>
      <w:r w:rsidR="00E844F9" w:rsidRPr="00F72FB0">
        <w:rPr>
          <w:color w:val="000000"/>
          <w:lang w:val="en-GB"/>
        </w:rPr>
        <w:t>I</w:t>
      </w:r>
      <w:r w:rsidR="00FC2FB1" w:rsidRPr="00F72FB0">
        <w:rPr>
          <w:color w:val="000000"/>
          <w:lang w:val="en-GB"/>
        </w:rPr>
        <w:t xml:space="preserve"> </w:t>
      </w:r>
      <w:r w:rsidR="00E844F9" w:rsidRPr="00F72FB0">
        <w:rPr>
          <w:color w:val="000000"/>
          <w:lang w:val="en-GB"/>
        </w:rPr>
        <w:t>and</w:t>
      </w:r>
      <w:r w:rsidR="00FC2FB1" w:rsidRPr="00F72FB0">
        <w:rPr>
          <w:color w:val="000000"/>
          <w:lang w:val="en-GB"/>
        </w:rPr>
        <w:t xml:space="preserve"> </w:t>
      </w:r>
      <w:r w:rsidR="00E844F9" w:rsidRPr="00F72FB0">
        <w:rPr>
          <w:color w:val="000000"/>
          <w:lang w:val="en-GB"/>
        </w:rPr>
        <w:t>II</w:t>
      </w:r>
      <w:r w:rsidR="00FC2FB1" w:rsidRPr="00F72FB0">
        <w:rPr>
          <w:color w:val="000000"/>
          <w:lang w:val="en-GB"/>
        </w:rPr>
        <w:t xml:space="preserve"> </w:t>
      </w:r>
      <w:r w:rsidR="00E844F9" w:rsidRPr="00F72FB0">
        <w:rPr>
          <w:color w:val="000000"/>
          <w:lang w:val="en-GB"/>
        </w:rPr>
        <w:t>to</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EIA</w:t>
      </w:r>
      <w:r w:rsidR="00FC2FB1" w:rsidRPr="00F72FB0">
        <w:rPr>
          <w:color w:val="000000"/>
          <w:lang w:val="en-GB"/>
        </w:rPr>
        <w:t xml:space="preserve"> </w:t>
      </w:r>
      <w:r w:rsidR="00E844F9" w:rsidRPr="00F72FB0">
        <w:rPr>
          <w:color w:val="000000"/>
          <w:lang w:val="en-GB"/>
        </w:rPr>
        <w:t>Directive,</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Court</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Appeal</w:t>
      </w:r>
      <w:r w:rsidR="00FC2FB1" w:rsidRPr="00F72FB0">
        <w:rPr>
          <w:color w:val="000000"/>
          <w:lang w:val="en-GB"/>
        </w:rPr>
        <w:t xml:space="preserve"> </w:t>
      </w:r>
      <w:r w:rsidR="00E844F9" w:rsidRPr="00F72FB0">
        <w:rPr>
          <w:color w:val="000000"/>
          <w:lang w:val="en-GB"/>
        </w:rPr>
        <w:t>has</w:t>
      </w:r>
      <w:r w:rsidR="00FC2FB1" w:rsidRPr="00F72FB0">
        <w:rPr>
          <w:color w:val="000000"/>
          <w:lang w:val="en-GB"/>
        </w:rPr>
        <w:t xml:space="preserve"> </w:t>
      </w:r>
      <w:r w:rsidR="00E844F9" w:rsidRPr="00F72FB0">
        <w:rPr>
          <w:color w:val="000000"/>
          <w:lang w:val="en-GB"/>
        </w:rPr>
        <w:t>stated</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objective</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guidance</w:t>
      </w:r>
      <w:r w:rsidR="00FC2FB1" w:rsidRPr="00F72FB0">
        <w:rPr>
          <w:color w:val="000000"/>
          <w:lang w:val="en-GB"/>
        </w:rPr>
        <w:t xml:space="preserve"> </w:t>
      </w:r>
      <w:r w:rsidR="00E844F9" w:rsidRPr="00F72FB0">
        <w:rPr>
          <w:color w:val="000000"/>
          <w:lang w:val="en-GB"/>
        </w:rPr>
        <w:t>is</w:t>
      </w:r>
      <w:r w:rsidR="00FC2FB1" w:rsidRPr="00F72FB0">
        <w:rPr>
          <w:color w:val="000000"/>
          <w:lang w:val="en-GB"/>
        </w:rPr>
        <w:t xml:space="preserve"> </w:t>
      </w:r>
      <w:r w:rsidR="00E844F9" w:rsidRPr="00F72FB0">
        <w:rPr>
          <w:color w:val="000000"/>
          <w:lang w:val="en-GB"/>
        </w:rPr>
        <w:t>twofold:</w:t>
      </w:r>
      <w:r w:rsidR="00FC2FB1" w:rsidRPr="00F72FB0">
        <w:rPr>
          <w:color w:val="000000"/>
          <w:lang w:val="en-GB"/>
        </w:rPr>
        <w:t xml:space="preserve"> </w:t>
      </w:r>
      <w:r w:rsidR="00E844F9" w:rsidRPr="00F72FB0">
        <w:rPr>
          <w:color w:val="000000"/>
          <w:lang w:val="en-GB"/>
        </w:rPr>
        <w:t>first,</w:t>
      </w:r>
      <w:r w:rsidR="00FC2FB1" w:rsidRPr="00F72FB0">
        <w:rPr>
          <w:color w:val="000000"/>
          <w:lang w:val="en-GB"/>
        </w:rPr>
        <w:t xml:space="preserve"> </w:t>
      </w:r>
      <w:r w:rsidR="00E844F9" w:rsidRPr="00F72FB0">
        <w:rPr>
          <w:color w:val="000000"/>
          <w:lang w:val="en-GB"/>
        </w:rPr>
        <w:t>the</w:t>
      </w:r>
      <w:r w:rsidR="00FC2FB1" w:rsidRPr="00F72FB0">
        <w:rPr>
          <w:color w:val="000000"/>
          <w:lang w:val="en-GB"/>
        </w:rPr>
        <w:t xml:space="preserve"> </w:t>
      </w:r>
      <w:r w:rsidR="00E844F9" w:rsidRPr="00F72FB0">
        <w:rPr>
          <w:color w:val="000000"/>
          <w:lang w:val="en-GB"/>
        </w:rPr>
        <w:t>document</w:t>
      </w:r>
      <w:r w:rsidR="00FC2FB1" w:rsidRPr="00F72FB0">
        <w:rPr>
          <w:color w:val="000000"/>
          <w:lang w:val="en-GB"/>
        </w:rPr>
        <w:t xml:space="preserve"> </w:t>
      </w:r>
      <w:r w:rsidR="00E844F9" w:rsidRPr="00F72FB0">
        <w:rPr>
          <w:color w:val="000000"/>
          <w:lang w:val="en-GB"/>
        </w:rPr>
        <w:t>aims</w:t>
      </w:r>
      <w:r w:rsidR="00FC2FB1" w:rsidRPr="00F72FB0">
        <w:rPr>
          <w:color w:val="000000"/>
          <w:lang w:val="en-GB"/>
        </w:rPr>
        <w:t xml:space="preserve"> </w:t>
      </w:r>
      <w:r w:rsidR="00E844F9" w:rsidRPr="00F72FB0">
        <w:rPr>
          <w:color w:val="000000"/>
          <w:lang w:val="en-GB"/>
        </w:rPr>
        <w:t>to</w:t>
      </w:r>
      <w:r w:rsidR="00FC2FB1" w:rsidRPr="00F72FB0">
        <w:rPr>
          <w:color w:val="000000"/>
          <w:lang w:val="en-GB"/>
        </w:rPr>
        <w:t xml:space="preserve"> </w:t>
      </w:r>
      <w:r w:rsidR="00E844F9" w:rsidRPr="00F72FB0">
        <w:rPr>
          <w:color w:val="000000"/>
          <w:lang w:val="en-GB"/>
        </w:rPr>
        <w:t>improve</w:t>
      </w:r>
      <w:r w:rsidR="00FC2FB1" w:rsidRPr="00F72FB0">
        <w:rPr>
          <w:color w:val="000000"/>
          <w:lang w:val="en-GB"/>
        </w:rPr>
        <w:t xml:space="preserve"> </w:t>
      </w:r>
      <w:r w:rsidR="00E844F9" w:rsidRPr="00F72FB0">
        <w:rPr>
          <w:color w:val="000000"/>
          <w:lang w:val="en-GB"/>
        </w:rPr>
        <w:t>understanding</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what</w:t>
      </w:r>
      <w:r w:rsidR="00FC2FB1" w:rsidRPr="00F72FB0">
        <w:rPr>
          <w:color w:val="000000"/>
          <w:lang w:val="en-GB"/>
        </w:rPr>
        <w:t xml:space="preserve"> </w:t>
      </w:r>
      <w:r w:rsidR="00E844F9" w:rsidRPr="00F72FB0">
        <w:rPr>
          <w:color w:val="000000"/>
          <w:lang w:val="en-GB"/>
        </w:rPr>
        <w:t>can</w:t>
      </w:r>
      <w:r w:rsidR="00FC2FB1" w:rsidRPr="00F72FB0">
        <w:rPr>
          <w:color w:val="000000"/>
          <w:lang w:val="en-GB"/>
        </w:rPr>
        <w:t xml:space="preserve"> </w:t>
      </w:r>
      <w:r w:rsidR="00E844F9" w:rsidRPr="00F72FB0">
        <w:rPr>
          <w:color w:val="000000"/>
          <w:lang w:val="en-GB"/>
        </w:rPr>
        <w:t>be</w:t>
      </w:r>
      <w:r w:rsidR="00FC2FB1" w:rsidRPr="00F72FB0">
        <w:rPr>
          <w:color w:val="000000"/>
          <w:lang w:val="en-GB"/>
        </w:rPr>
        <w:t xml:space="preserve"> </w:t>
      </w:r>
      <w:r w:rsidR="00E844F9" w:rsidRPr="00F72FB0">
        <w:rPr>
          <w:color w:val="000000"/>
          <w:lang w:val="en-GB"/>
        </w:rPr>
        <w:t>reasonably</w:t>
      </w:r>
      <w:r w:rsidR="00FC2FB1" w:rsidRPr="00F72FB0">
        <w:rPr>
          <w:color w:val="000000"/>
          <w:lang w:val="en-GB"/>
        </w:rPr>
        <w:t xml:space="preserve"> </w:t>
      </w:r>
      <w:r w:rsidR="00E844F9" w:rsidRPr="00F72FB0">
        <w:rPr>
          <w:color w:val="000000"/>
          <w:lang w:val="en-GB"/>
        </w:rPr>
        <w:t>considered</w:t>
      </w:r>
      <w:r w:rsidR="00FC2FB1" w:rsidRPr="00F72FB0">
        <w:rPr>
          <w:color w:val="000000"/>
          <w:lang w:val="en-GB"/>
        </w:rPr>
        <w:t xml:space="preserve"> </w:t>
      </w:r>
      <w:r w:rsidR="00E844F9" w:rsidRPr="00F72FB0">
        <w:rPr>
          <w:color w:val="000000"/>
          <w:lang w:val="en-GB"/>
        </w:rPr>
        <w:t>to</w:t>
      </w:r>
      <w:r w:rsidR="00FC2FB1" w:rsidRPr="00F72FB0">
        <w:rPr>
          <w:color w:val="000000"/>
          <w:lang w:val="en-GB"/>
        </w:rPr>
        <w:t xml:space="preserve"> </w:t>
      </w:r>
      <w:r w:rsidR="00E844F9" w:rsidRPr="00F72FB0">
        <w:rPr>
          <w:color w:val="000000"/>
          <w:lang w:val="en-GB"/>
        </w:rPr>
        <w:t>be</w:t>
      </w:r>
      <w:r w:rsidR="00FC2FB1" w:rsidRPr="00F72FB0">
        <w:rPr>
          <w:color w:val="000000"/>
          <w:lang w:val="en-GB"/>
        </w:rPr>
        <w:t xml:space="preserve"> </w:t>
      </w:r>
      <w:r w:rsidR="00E844F9" w:rsidRPr="00F72FB0">
        <w:rPr>
          <w:color w:val="000000"/>
          <w:lang w:val="en-GB"/>
        </w:rPr>
        <w:t>covered</w:t>
      </w:r>
      <w:r w:rsidR="00FC2FB1" w:rsidRPr="00F72FB0">
        <w:rPr>
          <w:color w:val="000000"/>
          <w:lang w:val="en-GB"/>
        </w:rPr>
        <w:t xml:space="preserve"> </w:t>
      </w:r>
      <w:r w:rsidR="00E844F9" w:rsidRPr="00F72FB0">
        <w:rPr>
          <w:color w:val="000000"/>
          <w:lang w:val="en-GB"/>
        </w:rPr>
        <w:t>by</w:t>
      </w:r>
      <w:r w:rsidR="00FC2FB1" w:rsidRPr="00F72FB0">
        <w:rPr>
          <w:color w:val="000000"/>
          <w:lang w:val="en-GB"/>
        </w:rPr>
        <w:t xml:space="preserve"> </w:t>
      </w:r>
      <w:r w:rsidR="00E844F9" w:rsidRPr="00F72FB0">
        <w:rPr>
          <w:color w:val="000000"/>
          <w:lang w:val="en-GB"/>
        </w:rPr>
        <w:t>certain</w:t>
      </w:r>
      <w:r w:rsidR="00FC2FB1" w:rsidRPr="00F72FB0">
        <w:rPr>
          <w:color w:val="000000"/>
          <w:lang w:val="en-GB"/>
        </w:rPr>
        <w:t xml:space="preserve"> </w:t>
      </w:r>
      <w:r w:rsidR="00E844F9" w:rsidRPr="00F72FB0">
        <w:rPr>
          <w:color w:val="000000"/>
          <w:lang w:val="en-GB"/>
        </w:rPr>
        <w:t>project</w:t>
      </w:r>
      <w:r w:rsidR="00FC2FB1" w:rsidRPr="00F72FB0">
        <w:rPr>
          <w:color w:val="000000"/>
          <w:lang w:val="en-GB"/>
        </w:rPr>
        <w:t xml:space="preserve"> </w:t>
      </w:r>
      <w:r w:rsidR="00E844F9" w:rsidRPr="00F72FB0">
        <w:rPr>
          <w:color w:val="000000"/>
          <w:lang w:val="en-GB"/>
        </w:rPr>
        <w:t>categories</w:t>
      </w:r>
      <w:r w:rsidR="00FC2FB1" w:rsidRPr="00F72FB0">
        <w:rPr>
          <w:color w:val="000000"/>
          <w:lang w:val="en-GB"/>
        </w:rPr>
        <w:t xml:space="preserve"> </w:t>
      </w:r>
      <w:r w:rsidR="00E844F9" w:rsidRPr="00F72FB0">
        <w:rPr>
          <w:color w:val="000000"/>
          <w:lang w:val="en-GB"/>
        </w:rPr>
        <w:t>that</w:t>
      </w:r>
      <w:r w:rsidR="00FC2FB1" w:rsidRPr="00F72FB0">
        <w:rPr>
          <w:color w:val="000000"/>
          <w:lang w:val="en-GB"/>
        </w:rPr>
        <w:t xml:space="preserve"> </w:t>
      </w:r>
      <w:r w:rsidR="00E844F9" w:rsidRPr="00F72FB0">
        <w:rPr>
          <w:color w:val="000000"/>
          <w:lang w:val="en-GB"/>
        </w:rPr>
        <w:t>have</w:t>
      </w:r>
      <w:r w:rsidR="00FC2FB1" w:rsidRPr="00F72FB0">
        <w:rPr>
          <w:color w:val="000000"/>
          <w:lang w:val="en-GB"/>
        </w:rPr>
        <w:t xml:space="preserve"> </w:t>
      </w:r>
      <w:r w:rsidR="00E844F9" w:rsidRPr="00F72FB0">
        <w:rPr>
          <w:color w:val="000000"/>
          <w:lang w:val="en-GB"/>
        </w:rPr>
        <w:t>proved</w:t>
      </w:r>
      <w:r w:rsidR="00FC2FB1" w:rsidRPr="00F72FB0">
        <w:rPr>
          <w:color w:val="000000"/>
          <w:lang w:val="en-GB"/>
        </w:rPr>
        <w:t xml:space="preserve"> </w:t>
      </w:r>
      <w:r w:rsidR="00E844F9" w:rsidRPr="00F72FB0">
        <w:rPr>
          <w:color w:val="000000"/>
          <w:lang w:val="en-GB"/>
        </w:rPr>
        <w:t>particularly</w:t>
      </w:r>
      <w:r w:rsidR="00FC2FB1" w:rsidRPr="00F72FB0">
        <w:rPr>
          <w:color w:val="000000"/>
          <w:lang w:val="en-GB"/>
        </w:rPr>
        <w:t xml:space="preserve"> </w:t>
      </w:r>
      <w:r w:rsidR="00E844F9" w:rsidRPr="00F72FB0">
        <w:rPr>
          <w:color w:val="000000"/>
          <w:lang w:val="en-GB"/>
        </w:rPr>
        <w:t>difficult</w:t>
      </w:r>
      <w:r w:rsidR="00FC2FB1" w:rsidRPr="00F72FB0">
        <w:rPr>
          <w:color w:val="000000"/>
          <w:lang w:val="en-GB"/>
        </w:rPr>
        <w:t xml:space="preserve"> </w:t>
      </w:r>
      <w:r w:rsidR="00E844F9" w:rsidRPr="00F72FB0">
        <w:rPr>
          <w:color w:val="000000"/>
          <w:lang w:val="en-GB"/>
        </w:rPr>
        <w:t>to</w:t>
      </w:r>
      <w:r w:rsidR="00FC2FB1" w:rsidRPr="00F72FB0">
        <w:rPr>
          <w:color w:val="000000"/>
          <w:lang w:val="en-GB"/>
        </w:rPr>
        <w:t xml:space="preserve"> </w:t>
      </w:r>
      <w:r w:rsidR="00E844F9" w:rsidRPr="00F72FB0">
        <w:rPr>
          <w:color w:val="000000"/>
          <w:lang w:val="en-GB"/>
        </w:rPr>
        <w:t>interpret</w:t>
      </w:r>
      <w:r w:rsidR="00FC2FB1" w:rsidRPr="00F72FB0">
        <w:rPr>
          <w:color w:val="000000"/>
          <w:lang w:val="en-GB"/>
        </w:rPr>
        <w:t xml:space="preserve"> </w:t>
      </w:r>
      <w:r w:rsidR="00E844F9" w:rsidRPr="00F72FB0">
        <w:rPr>
          <w:color w:val="000000"/>
          <w:lang w:val="en-GB"/>
        </w:rPr>
        <w:t>in</w:t>
      </w:r>
      <w:r w:rsidR="00FC2FB1" w:rsidRPr="00F72FB0">
        <w:rPr>
          <w:color w:val="000000"/>
          <w:lang w:val="en-GB"/>
        </w:rPr>
        <w:t xml:space="preserve"> </w:t>
      </w:r>
      <w:r w:rsidR="009934F1" w:rsidRPr="00F72FB0">
        <w:rPr>
          <w:color w:val="000000"/>
          <w:lang w:val="en-GB"/>
        </w:rPr>
        <w:t>practice</w:t>
      </w:r>
      <w:r w:rsidR="00E844F9" w:rsidRPr="00F72FB0">
        <w:rPr>
          <w:color w:val="000000"/>
          <w:lang w:val="en-GB"/>
        </w:rPr>
        <w:t>;</w:t>
      </w:r>
      <w:r w:rsidR="00FC2FB1" w:rsidRPr="00F72FB0">
        <w:rPr>
          <w:color w:val="000000"/>
          <w:lang w:val="en-GB"/>
        </w:rPr>
        <w:t xml:space="preserve"> </w:t>
      </w:r>
      <w:r w:rsidR="00E844F9" w:rsidRPr="00F72FB0">
        <w:rPr>
          <w:color w:val="000000"/>
          <w:lang w:val="en-GB"/>
        </w:rPr>
        <w:t>secondly,</w:t>
      </w:r>
      <w:r w:rsidR="00FC2FB1" w:rsidRPr="00F72FB0">
        <w:rPr>
          <w:color w:val="000000"/>
          <w:lang w:val="en-GB"/>
        </w:rPr>
        <w:t xml:space="preserve"> </w:t>
      </w:r>
      <w:r w:rsidR="00E844F9" w:rsidRPr="00F72FB0">
        <w:rPr>
          <w:color w:val="000000"/>
          <w:lang w:val="en-GB"/>
        </w:rPr>
        <w:t>it</w:t>
      </w:r>
      <w:r w:rsidR="00FC2FB1" w:rsidRPr="00F72FB0">
        <w:rPr>
          <w:color w:val="000000"/>
          <w:lang w:val="en-GB"/>
        </w:rPr>
        <w:t xml:space="preserve"> </w:t>
      </w:r>
      <w:r w:rsidR="00E844F9" w:rsidRPr="00F72FB0">
        <w:rPr>
          <w:color w:val="000000"/>
          <w:lang w:val="en-GB"/>
        </w:rPr>
        <w:t>is</w:t>
      </w:r>
      <w:r w:rsidR="00FC2FB1" w:rsidRPr="00F72FB0">
        <w:rPr>
          <w:color w:val="000000"/>
          <w:lang w:val="en-GB"/>
        </w:rPr>
        <w:t xml:space="preserve"> </w:t>
      </w:r>
      <w:r w:rsidR="00E844F9" w:rsidRPr="00F72FB0">
        <w:rPr>
          <w:color w:val="000000"/>
          <w:lang w:val="en-GB"/>
        </w:rPr>
        <w:t>intended</w:t>
      </w:r>
      <w:r w:rsidR="00FC2FB1" w:rsidRPr="00F72FB0">
        <w:rPr>
          <w:color w:val="000000"/>
          <w:lang w:val="en-GB"/>
        </w:rPr>
        <w:t xml:space="preserve"> </w:t>
      </w:r>
      <w:r w:rsidR="00E844F9" w:rsidRPr="00F72FB0">
        <w:rPr>
          <w:color w:val="000000"/>
          <w:lang w:val="en-GB"/>
        </w:rPr>
        <w:t>to</w:t>
      </w:r>
      <w:r w:rsidR="00FC2FB1" w:rsidRPr="00F72FB0">
        <w:rPr>
          <w:color w:val="000000"/>
          <w:lang w:val="en-GB"/>
        </w:rPr>
        <w:t xml:space="preserve"> </w:t>
      </w:r>
      <w:r w:rsidR="00E844F9" w:rsidRPr="00F72FB0">
        <w:rPr>
          <w:color w:val="000000"/>
          <w:lang w:val="en-GB"/>
        </w:rPr>
        <w:t>provide</w:t>
      </w:r>
      <w:r w:rsidR="00FC2FB1" w:rsidRPr="00F72FB0">
        <w:rPr>
          <w:color w:val="000000"/>
          <w:lang w:val="en-GB"/>
        </w:rPr>
        <w:t xml:space="preserve"> </w:t>
      </w:r>
      <w:r w:rsidR="00E844F9" w:rsidRPr="00F72FB0">
        <w:rPr>
          <w:color w:val="000000"/>
          <w:lang w:val="en-GB"/>
        </w:rPr>
        <w:t>an</w:t>
      </w:r>
      <w:r w:rsidR="00FC2FB1" w:rsidRPr="00F72FB0">
        <w:rPr>
          <w:color w:val="000000"/>
          <w:lang w:val="en-GB"/>
        </w:rPr>
        <w:t xml:space="preserve"> </w:t>
      </w:r>
      <w:r w:rsidR="00E844F9" w:rsidRPr="00F72FB0">
        <w:rPr>
          <w:color w:val="000000"/>
          <w:lang w:val="en-GB"/>
        </w:rPr>
        <w:t>overview</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existing</w:t>
      </w:r>
      <w:r w:rsidR="00FC2FB1" w:rsidRPr="00F72FB0">
        <w:rPr>
          <w:color w:val="000000"/>
          <w:lang w:val="en-GB"/>
        </w:rPr>
        <w:t xml:space="preserve"> </w:t>
      </w:r>
      <w:r w:rsidR="00E844F9" w:rsidRPr="00F72FB0">
        <w:rPr>
          <w:color w:val="000000"/>
          <w:lang w:val="en-GB"/>
        </w:rPr>
        <w:t>useful</w:t>
      </w:r>
      <w:r w:rsidR="00FC2FB1" w:rsidRPr="00F72FB0">
        <w:rPr>
          <w:color w:val="000000"/>
          <w:lang w:val="en-GB"/>
        </w:rPr>
        <w:t xml:space="preserve"> </w:t>
      </w:r>
      <w:r w:rsidR="00E844F9" w:rsidRPr="00F72FB0">
        <w:rPr>
          <w:color w:val="000000"/>
          <w:lang w:val="en-GB"/>
        </w:rPr>
        <w:t>sources</w:t>
      </w:r>
      <w:r w:rsidR="00FC2FB1" w:rsidRPr="00F72FB0">
        <w:rPr>
          <w:color w:val="000000"/>
          <w:lang w:val="en-GB"/>
        </w:rPr>
        <w:t xml:space="preserve"> </w:t>
      </w:r>
      <w:r w:rsidR="00E844F9" w:rsidRPr="00F72FB0">
        <w:rPr>
          <w:color w:val="000000"/>
          <w:lang w:val="en-GB"/>
        </w:rPr>
        <w:t>of</w:t>
      </w:r>
      <w:r w:rsidR="00FC2FB1" w:rsidRPr="00F72FB0">
        <w:rPr>
          <w:color w:val="000000"/>
          <w:lang w:val="en-GB"/>
        </w:rPr>
        <w:t xml:space="preserve"> </w:t>
      </w:r>
      <w:r w:rsidR="00E844F9" w:rsidRPr="00F72FB0">
        <w:rPr>
          <w:color w:val="000000"/>
          <w:lang w:val="en-GB"/>
        </w:rPr>
        <w:t>information</w:t>
      </w:r>
      <w:r w:rsidR="00FC2FB1" w:rsidRPr="00F72FB0">
        <w:rPr>
          <w:color w:val="000000"/>
          <w:lang w:val="en-GB"/>
        </w:rPr>
        <w:t xml:space="preserve"> </w:t>
      </w:r>
      <w:r w:rsidR="00E844F9" w:rsidRPr="00F72FB0">
        <w:rPr>
          <w:color w:val="000000"/>
          <w:lang w:val="en-GB"/>
        </w:rPr>
        <w:t>at</w:t>
      </w:r>
      <w:r w:rsidR="00FC2FB1" w:rsidRPr="00F72FB0">
        <w:rPr>
          <w:color w:val="000000"/>
          <w:lang w:val="en-GB"/>
        </w:rPr>
        <w:t xml:space="preserve"> </w:t>
      </w:r>
      <w:r w:rsidR="00E844F9" w:rsidRPr="00F72FB0">
        <w:rPr>
          <w:color w:val="000000"/>
          <w:lang w:val="en-GB"/>
        </w:rPr>
        <w:t>EU</w:t>
      </w:r>
      <w:r w:rsidR="00FC2FB1" w:rsidRPr="00F72FB0">
        <w:rPr>
          <w:color w:val="000000"/>
          <w:lang w:val="en-GB"/>
        </w:rPr>
        <w:t xml:space="preserve"> </w:t>
      </w:r>
      <w:r w:rsidR="00E844F9" w:rsidRPr="00F72FB0">
        <w:rPr>
          <w:color w:val="000000"/>
          <w:lang w:val="en-GB"/>
        </w:rPr>
        <w:t>level</w:t>
      </w:r>
      <w:r w:rsidR="009934F1" w:rsidRPr="00F72FB0">
        <w:rPr>
          <w:color w:val="000000"/>
          <w:lang w:val="en-GB"/>
        </w:rPr>
        <w:t>’</w:t>
      </w:r>
      <w:r w:rsidR="00E844F9" w:rsidRPr="00F72FB0">
        <w:rPr>
          <w:color w:val="000000"/>
          <w:lang w:val="en-GB"/>
        </w:rPr>
        <w:t>.</w:t>
      </w:r>
      <w:r w:rsidR="00E844F9" w:rsidRPr="00F72FB0">
        <w:rPr>
          <w:rStyle w:val="Alaviitteenviite"/>
          <w:color w:val="000000"/>
          <w:lang w:val="en-GB"/>
        </w:rPr>
        <w:footnoteReference w:id="83"/>
      </w:r>
      <w:r w:rsidR="009934F1" w:rsidRPr="00F72FB0">
        <w:rPr>
          <w:color w:val="000000"/>
          <w:lang w:val="en-GB"/>
        </w:rPr>
        <w:t xml:space="preserve"> </w:t>
      </w:r>
    </w:p>
    <w:p w14:paraId="2BCF4774" w14:textId="053ED4A7" w:rsidR="00E60757" w:rsidRDefault="00E60757" w:rsidP="00E14136">
      <w:pPr>
        <w:widowControl w:val="0"/>
        <w:autoSpaceDE w:val="0"/>
        <w:autoSpaceDN w:val="0"/>
        <w:adjustRightInd w:val="0"/>
        <w:spacing w:line="360" w:lineRule="auto"/>
        <w:contextualSpacing/>
        <w:jc w:val="both"/>
        <w:rPr>
          <w:color w:val="000000" w:themeColor="text1"/>
          <w:lang w:val="en-GB"/>
        </w:rPr>
      </w:pPr>
    </w:p>
    <w:p w14:paraId="5670C1F7" w14:textId="77777777" w:rsidR="009D4E7E" w:rsidRPr="00F72FB0" w:rsidRDefault="009D4E7E" w:rsidP="00E14136">
      <w:pPr>
        <w:widowControl w:val="0"/>
        <w:autoSpaceDE w:val="0"/>
        <w:autoSpaceDN w:val="0"/>
        <w:adjustRightInd w:val="0"/>
        <w:spacing w:line="360" w:lineRule="auto"/>
        <w:contextualSpacing/>
        <w:jc w:val="both"/>
        <w:rPr>
          <w:color w:val="000000" w:themeColor="text1"/>
          <w:lang w:val="en-GB"/>
        </w:rPr>
      </w:pPr>
    </w:p>
    <w:p w14:paraId="3C0A2690" w14:textId="35D2E387" w:rsidR="00D02FDE" w:rsidRPr="009D4E7E" w:rsidRDefault="00D02FDE" w:rsidP="00E14136">
      <w:pPr>
        <w:pStyle w:val="Otsikko1"/>
        <w:numPr>
          <w:ilvl w:val="0"/>
          <w:numId w:val="18"/>
        </w:numPr>
        <w:spacing w:before="0" w:line="360" w:lineRule="auto"/>
        <w:contextualSpacing/>
        <w:jc w:val="center"/>
        <w:rPr>
          <w:rFonts w:ascii="Times New Roman" w:hAnsi="Times New Roman" w:cs="Times New Roman"/>
          <w:b/>
          <w:bCs/>
          <w:color w:val="000000" w:themeColor="text1"/>
          <w:sz w:val="24"/>
          <w:szCs w:val="24"/>
          <w:lang w:val="en-GB"/>
        </w:rPr>
      </w:pPr>
      <w:r w:rsidRPr="009D4E7E">
        <w:rPr>
          <w:rFonts w:ascii="Times New Roman" w:hAnsi="Times New Roman" w:cs="Times New Roman"/>
          <w:b/>
          <w:bCs/>
          <w:color w:val="000000" w:themeColor="text1"/>
          <w:sz w:val="24"/>
          <w:szCs w:val="24"/>
          <w:lang w:val="en-GB"/>
        </w:rPr>
        <w:t>Conclusion</w:t>
      </w:r>
    </w:p>
    <w:p w14:paraId="582855BB" w14:textId="120F301B" w:rsidR="00E51307" w:rsidRPr="00F72FB0" w:rsidRDefault="00E51307" w:rsidP="00E14136">
      <w:pPr>
        <w:spacing w:line="360" w:lineRule="auto"/>
        <w:contextualSpacing/>
        <w:jc w:val="both"/>
        <w:rPr>
          <w:lang w:val="en-GB"/>
        </w:rPr>
      </w:pPr>
    </w:p>
    <w:p w14:paraId="0ACDCBDE" w14:textId="5A67C8B0" w:rsidR="0013113A" w:rsidRDefault="004C1D9D" w:rsidP="00E14136">
      <w:pPr>
        <w:spacing w:line="360" w:lineRule="auto"/>
        <w:contextualSpacing/>
        <w:jc w:val="both"/>
        <w:rPr>
          <w:lang w:val="en-GB"/>
        </w:rPr>
      </w:pPr>
      <w:r w:rsidRPr="00F72FB0">
        <w:rPr>
          <w:lang w:val="en-GB"/>
        </w:rPr>
        <w:t>Overall,</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research</w:t>
      </w:r>
      <w:r w:rsidR="00FC2FB1" w:rsidRPr="00F72FB0">
        <w:rPr>
          <w:lang w:val="en-GB"/>
        </w:rPr>
        <w:t xml:space="preserve"> </w:t>
      </w:r>
      <w:r w:rsidRPr="00F72FB0">
        <w:rPr>
          <w:lang w:val="en-GB"/>
        </w:rPr>
        <w:t>indicates</w:t>
      </w:r>
      <w:r w:rsidR="00FC2FB1" w:rsidRPr="00F72FB0">
        <w:rPr>
          <w:lang w:val="en-GB"/>
        </w:rPr>
        <w:t xml:space="preserve"> </w:t>
      </w:r>
      <w:r w:rsidRPr="00F72FB0">
        <w:rPr>
          <w:lang w:val="en-GB"/>
        </w:rPr>
        <w:t>a</w:t>
      </w:r>
      <w:r w:rsidR="00FC2FB1" w:rsidRPr="00F72FB0">
        <w:rPr>
          <w:lang w:val="en-GB"/>
        </w:rPr>
        <w:t xml:space="preserve"> </w:t>
      </w:r>
      <w:r w:rsidRPr="00F72FB0">
        <w:rPr>
          <w:lang w:val="en-GB"/>
        </w:rPr>
        <w:t>significant</w:t>
      </w:r>
      <w:r w:rsidR="00FC2FB1" w:rsidRPr="00F72FB0">
        <w:rPr>
          <w:lang w:val="en-GB"/>
        </w:rPr>
        <w:t xml:space="preserve"> </w:t>
      </w:r>
      <w:r w:rsidRPr="00F72FB0">
        <w:rPr>
          <w:lang w:val="en-GB"/>
        </w:rPr>
        <w:t>willingness</w:t>
      </w:r>
      <w:r w:rsidR="00FC2FB1" w:rsidRPr="00F72FB0">
        <w:rPr>
          <w:lang w:val="en-GB"/>
        </w:rPr>
        <w:t xml:space="preserve"> </w:t>
      </w:r>
      <w:r w:rsidRPr="00F72FB0">
        <w:rPr>
          <w:lang w:val="en-GB"/>
        </w:rPr>
        <w:t>to</w:t>
      </w:r>
      <w:r w:rsidR="00FC2FB1" w:rsidRPr="00F72FB0">
        <w:rPr>
          <w:lang w:val="en-GB"/>
        </w:rPr>
        <w:t xml:space="preserve"> </w:t>
      </w:r>
      <w:r w:rsidRPr="00F72FB0">
        <w:rPr>
          <w:lang w:val="en-GB"/>
        </w:rPr>
        <w:t>avail</w:t>
      </w:r>
      <w:r w:rsidR="00FC2FB1" w:rsidRPr="00F72FB0">
        <w:rPr>
          <w:lang w:val="en-GB"/>
        </w:rPr>
        <w:t xml:space="preserve"> </w:t>
      </w:r>
      <w:r w:rsidRPr="00F72FB0">
        <w:rPr>
          <w:lang w:val="en-GB"/>
        </w:rPr>
        <w:t>of</w:t>
      </w:r>
      <w:r w:rsidR="00FC2FB1" w:rsidRPr="00F72FB0">
        <w:rPr>
          <w:lang w:val="en-GB"/>
        </w:rPr>
        <w:t xml:space="preserve"> </w:t>
      </w:r>
      <w:r w:rsidRPr="00F72FB0">
        <w:rPr>
          <w:lang w:val="en-GB"/>
        </w:rPr>
        <w:t>relevant</w:t>
      </w:r>
      <w:r w:rsidR="00FC2FB1" w:rsidRPr="00F72FB0">
        <w:rPr>
          <w:lang w:val="en-GB"/>
        </w:rPr>
        <w:t xml:space="preserve"> </w:t>
      </w:r>
      <w:r w:rsidRPr="00F72FB0">
        <w:rPr>
          <w:lang w:val="en-GB"/>
        </w:rPr>
        <w:t>soft</w:t>
      </w:r>
      <w:r w:rsidR="00FC2FB1" w:rsidRPr="00F72FB0">
        <w:rPr>
          <w:lang w:val="en-GB"/>
        </w:rPr>
        <w:t xml:space="preserve"> </w:t>
      </w:r>
      <w:r w:rsidRPr="00F72FB0">
        <w:rPr>
          <w:lang w:val="en-GB"/>
        </w:rPr>
        <w:t>law</w:t>
      </w:r>
      <w:r w:rsidR="00FC2FB1" w:rsidRPr="00F72FB0">
        <w:rPr>
          <w:lang w:val="en-GB"/>
        </w:rPr>
        <w:t xml:space="preserve"> </w:t>
      </w:r>
      <w:r w:rsidRPr="00F72FB0">
        <w:rPr>
          <w:lang w:val="en-GB"/>
        </w:rPr>
        <w:t>documents</w:t>
      </w:r>
      <w:r w:rsidR="00FC2FB1" w:rsidRPr="00F72FB0">
        <w:rPr>
          <w:lang w:val="en-GB"/>
        </w:rPr>
        <w:t xml:space="preserve"> </w:t>
      </w:r>
      <w:r w:rsidRPr="00F72FB0">
        <w:rPr>
          <w:lang w:val="en-GB"/>
        </w:rPr>
        <w:t>where</w:t>
      </w:r>
      <w:r w:rsidR="00FC2FB1" w:rsidRPr="00F72FB0">
        <w:rPr>
          <w:lang w:val="en-GB"/>
        </w:rPr>
        <w:t xml:space="preserve"> </w:t>
      </w:r>
      <w:r w:rsidRPr="00F72FB0">
        <w:rPr>
          <w:lang w:val="en-GB"/>
        </w:rPr>
        <w:t>the</w:t>
      </w:r>
      <w:r w:rsidR="00FC2FB1" w:rsidRPr="00F72FB0">
        <w:rPr>
          <w:lang w:val="en-GB"/>
        </w:rPr>
        <w:t xml:space="preserve"> </w:t>
      </w:r>
      <w:r w:rsidRPr="00F72FB0">
        <w:rPr>
          <w:lang w:val="en-GB"/>
        </w:rPr>
        <w:t>decision-makers</w:t>
      </w:r>
      <w:r w:rsidR="00FC2FB1" w:rsidRPr="00F72FB0">
        <w:rPr>
          <w:lang w:val="en-GB"/>
        </w:rPr>
        <w:t xml:space="preserve"> </w:t>
      </w:r>
      <w:r w:rsidRPr="00F72FB0">
        <w:rPr>
          <w:lang w:val="en-GB"/>
        </w:rPr>
        <w:t>or</w:t>
      </w:r>
      <w:r w:rsidR="00FC2FB1" w:rsidRPr="00F72FB0">
        <w:rPr>
          <w:lang w:val="en-GB"/>
        </w:rPr>
        <w:t xml:space="preserve"> </w:t>
      </w:r>
      <w:r w:rsidRPr="00F72FB0">
        <w:rPr>
          <w:lang w:val="en-GB"/>
        </w:rPr>
        <w:t>courts</w:t>
      </w:r>
      <w:r w:rsidR="00FC2FB1" w:rsidRPr="00F72FB0">
        <w:rPr>
          <w:lang w:val="en-GB"/>
        </w:rPr>
        <w:t xml:space="preserve"> </w:t>
      </w:r>
      <w:r w:rsidRPr="00F72FB0">
        <w:rPr>
          <w:lang w:val="en-GB"/>
        </w:rPr>
        <w:t>consider</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useful</w:t>
      </w:r>
      <w:r w:rsidR="00FC2FB1" w:rsidRPr="00F72FB0">
        <w:rPr>
          <w:lang w:val="en-GB"/>
        </w:rPr>
        <w:t xml:space="preserve"> </w:t>
      </w:r>
      <w:r w:rsidRPr="00F72FB0">
        <w:rPr>
          <w:lang w:val="en-GB"/>
        </w:rPr>
        <w:t>and</w:t>
      </w:r>
      <w:r w:rsidR="00FC2FB1" w:rsidRPr="00F72FB0">
        <w:rPr>
          <w:lang w:val="en-GB"/>
        </w:rPr>
        <w:t xml:space="preserve"> </w:t>
      </w:r>
      <w:r w:rsidRPr="00F72FB0">
        <w:rPr>
          <w:lang w:val="en-GB"/>
        </w:rPr>
        <w:t>appropriate.</w:t>
      </w:r>
      <w:r w:rsidR="00FC2FB1" w:rsidRPr="00F72FB0">
        <w:rPr>
          <w:lang w:val="en-GB"/>
        </w:rPr>
        <w:t xml:space="preserve"> </w:t>
      </w:r>
      <w:r w:rsidRPr="00F72FB0">
        <w:rPr>
          <w:lang w:val="en-GB"/>
        </w:rPr>
        <w:t>When</w:t>
      </w:r>
      <w:r w:rsidR="00FC2FB1" w:rsidRPr="00F72FB0">
        <w:rPr>
          <w:lang w:val="en-GB"/>
        </w:rPr>
        <w:t xml:space="preserve"> </w:t>
      </w:r>
      <w:r w:rsidRPr="00F72FB0">
        <w:rPr>
          <w:lang w:val="en-GB"/>
        </w:rPr>
        <w:t>it</w:t>
      </w:r>
      <w:r w:rsidR="00FC2FB1" w:rsidRPr="00F72FB0">
        <w:rPr>
          <w:lang w:val="en-GB"/>
        </w:rPr>
        <w:t xml:space="preserve"> </w:t>
      </w:r>
      <w:r w:rsidRPr="00F72FB0">
        <w:rPr>
          <w:lang w:val="en-GB"/>
        </w:rPr>
        <w:t>comes</w:t>
      </w:r>
      <w:r w:rsidR="00FC2FB1" w:rsidRPr="00F72FB0">
        <w:rPr>
          <w:lang w:val="en-GB"/>
        </w:rPr>
        <w:t xml:space="preserve"> </w:t>
      </w:r>
      <w:r w:rsidR="000907F9" w:rsidRPr="00F72FB0">
        <w:rPr>
          <w:lang w:val="en-GB"/>
        </w:rPr>
        <w:t>to</w:t>
      </w:r>
      <w:r w:rsidR="00FC2FB1" w:rsidRPr="00F72FB0">
        <w:rPr>
          <w:lang w:val="en-GB"/>
        </w:rPr>
        <w:t xml:space="preserve"> </w:t>
      </w:r>
      <w:r w:rsidR="000907F9" w:rsidRPr="00F72FB0">
        <w:rPr>
          <w:lang w:val="en-GB"/>
        </w:rPr>
        <w:t>the</w:t>
      </w:r>
      <w:r w:rsidR="00FC2FB1" w:rsidRPr="00F72FB0">
        <w:rPr>
          <w:lang w:val="en-GB"/>
        </w:rPr>
        <w:t xml:space="preserve"> </w:t>
      </w:r>
      <w:r w:rsidR="000907F9" w:rsidRPr="00F72FB0">
        <w:rPr>
          <w:lang w:val="en-GB"/>
        </w:rPr>
        <w:t>role</w:t>
      </w:r>
      <w:r w:rsidR="00FC2FB1" w:rsidRPr="00F72FB0">
        <w:rPr>
          <w:lang w:val="en-GB"/>
        </w:rPr>
        <w:t xml:space="preserve"> </w:t>
      </w:r>
      <w:r w:rsidR="009934F1" w:rsidRPr="00F72FB0">
        <w:rPr>
          <w:lang w:val="en-GB"/>
        </w:rPr>
        <w:t>soft law plays in practice</w:t>
      </w:r>
      <w:r w:rsidR="000907F9" w:rsidRPr="00F72FB0">
        <w:rPr>
          <w:lang w:val="en-GB"/>
        </w:rPr>
        <w:t>,</w:t>
      </w:r>
      <w:r w:rsidR="00FC2FB1" w:rsidRPr="00F72FB0">
        <w:rPr>
          <w:lang w:val="en-GB"/>
        </w:rPr>
        <w:t xml:space="preserve"> </w:t>
      </w:r>
      <w:r w:rsidR="000907F9" w:rsidRPr="00F72FB0">
        <w:rPr>
          <w:lang w:val="en-GB"/>
        </w:rPr>
        <w:t>sometimes</w:t>
      </w:r>
      <w:r w:rsidR="00FC2FB1" w:rsidRPr="00F72FB0">
        <w:rPr>
          <w:lang w:val="en-GB"/>
        </w:rPr>
        <w:t xml:space="preserve"> </w:t>
      </w:r>
      <w:r w:rsidR="000907F9" w:rsidRPr="00F72FB0">
        <w:rPr>
          <w:lang w:val="en-GB"/>
        </w:rPr>
        <w:t>the</w:t>
      </w:r>
      <w:r w:rsidR="00FC2FB1" w:rsidRPr="00F72FB0">
        <w:rPr>
          <w:lang w:val="en-GB"/>
        </w:rPr>
        <w:t xml:space="preserve"> </w:t>
      </w:r>
      <w:r w:rsidR="000907F9" w:rsidRPr="00F72FB0">
        <w:rPr>
          <w:lang w:val="en-GB"/>
        </w:rPr>
        <w:t>mentions</w:t>
      </w:r>
      <w:r w:rsidR="00FC2FB1" w:rsidRPr="00F72FB0">
        <w:rPr>
          <w:lang w:val="en-GB"/>
        </w:rPr>
        <w:t xml:space="preserve"> </w:t>
      </w:r>
      <w:r w:rsidR="000907F9" w:rsidRPr="00F72FB0">
        <w:rPr>
          <w:lang w:val="en-GB"/>
        </w:rPr>
        <w:t>are</w:t>
      </w:r>
      <w:r w:rsidR="00FC2FB1" w:rsidRPr="00F72FB0">
        <w:rPr>
          <w:lang w:val="en-GB"/>
        </w:rPr>
        <w:t xml:space="preserve"> </w:t>
      </w:r>
      <w:r w:rsidR="000907F9" w:rsidRPr="00F72FB0">
        <w:rPr>
          <w:lang w:val="en-GB"/>
        </w:rPr>
        <w:t>relatively</w:t>
      </w:r>
      <w:r w:rsidR="00FC2FB1" w:rsidRPr="00F72FB0">
        <w:rPr>
          <w:lang w:val="en-GB"/>
        </w:rPr>
        <w:t xml:space="preserve"> </w:t>
      </w:r>
      <w:r w:rsidR="000907F9" w:rsidRPr="00F72FB0">
        <w:rPr>
          <w:lang w:val="en-GB"/>
        </w:rPr>
        <w:t>tokenistic</w:t>
      </w:r>
      <w:r w:rsidR="00FC2FB1" w:rsidRPr="00F72FB0">
        <w:rPr>
          <w:lang w:val="en-GB"/>
        </w:rPr>
        <w:t xml:space="preserve"> </w:t>
      </w:r>
      <w:r w:rsidR="000907F9" w:rsidRPr="00F72FB0">
        <w:rPr>
          <w:lang w:val="en-GB"/>
        </w:rPr>
        <w:t>or</w:t>
      </w:r>
      <w:r w:rsidR="00FC2FB1" w:rsidRPr="00F72FB0">
        <w:rPr>
          <w:lang w:val="en-GB"/>
        </w:rPr>
        <w:t xml:space="preserve"> </w:t>
      </w:r>
      <w:r w:rsidR="000907F9" w:rsidRPr="00F72FB0">
        <w:rPr>
          <w:lang w:val="en-GB"/>
        </w:rPr>
        <w:t>in</w:t>
      </w:r>
      <w:r w:rsidR="00FC2FB1" w:rsidRPr="00F72FB0">
        <w:rPr>
          <w:lang w:val="en-GB"/>
        </w:rPr>
        <w:t xml:space="preserve"> </w:t>
      </w:r>
      <w:r w:rsidR="000907F9" w:rsidRPr="00F72FB0">
        <w:rPr>
          <w:lang w:val="en-GB"/>
        </w:rPr>
        <w:t>passing</w:t>
      </w:r>
      <w:r w:rsidR="0013113A">
        <w:rPr>
          <w:lang w:val="en-GB"/>
        </w:rPr>
        <w:t xml:space="preserve"> – but often the more frequent the mentions, the more the role increases and strengthens before the courts.  However, t</w:t>
      </w:r>
      <w:r w:rsidR="0013113A" w:rsidRPr="00F72FB0">
        <w:rPr>
          <w:lang w:val="en-GB"/>
        </w:rPr>
        <w:t>he extent to which they are used varies across and even within the sectors, with a greater presence in the context of competition and environmental law than in social policy, for instance.</w:t>
      </w:r>
    </w:p>
    <w:p w14:paraId="086B5670" w14:textId="77777777" w:rsidR="0013113A" w:rsidRDefault="0013113A" w:rsidP="00E14136">
      <w:pPr>
        <w:spacing w:line="360" w:lineRule="auto"/>
        <w:contextualSpacing/>
        <w:jc w:val="both"/>
        <w:rPr>
          <w:lang w:val="en-GB"/>
        </w:rPr>
      </w:pPr>
    </w:p>
    <w:p w14:paraId="0A132EC4" w14:textId="3EA36EEB" w:rsidR="001149AA" w:rsidRPr="00F72FB0" w:rsidRDefault="009934F1" w:rsidP="00E14136">
      <w:pPr>
        <w:spacing w:line="360" w:lineRule="auto"/>
        <w:contextualSpacing/>
        <w:jc w:val="both"/>
        <w:rPr>
          <w:lang w:val="en-GB"/>
        </w:rPr>
      </w:pPr>
      <w:r w:rsidRPr="00F72FB0">
        <w:rPr>
          <w:lang w:val="en-GB"/>
        </w:rPr>
        <w:t xml:space="preserve">One solution for a more systematic reception of EU soft law might be to either transpose all relevant guidance into UK law, or create new domestic guidance. However, there </w:t>
      </w:r>
      <w:r w:rsidR="00063330" w:rsidRPr="00F72FB0">
        <w:rPr>
          <w:lang w:val="en-GB"/>
        </w:rPr>
        <w:t>has been</w:t>
      </w:r>
      <w:r w:rsidRPr="00F72FB0">
        <w:rPr>
          <w:lang w:val="en-GB"/>
        </w:rPr>
        <w:t xml:space="preserve"> a reluctance to transpose the targeted EU soft law within statute or as new national soft law, as noted by Dobbs in the environmental report.</w:t>
      </w:r>
      <w:r w:rsidR="00A43BE8">
        <w:rPr>
          <w:rStyle w:val="Alaviitteenviite"/>
          <w:lang w:val="en-GB"/>
        </w:rPr>
        <w:footnoteReference w:id="84"/>
      </w:r>
      <w:r w:rsidRPr="00F72FB0">
        <w:rPr>
          <w:lang w:val="en-GB"/>
        </w:rPr>
        <w:t xml:space="preserve"> This </w:t>
      </w:r>
      <w:r w:rsidR="00FF4CD7" w:rsidRPr="00F72FB0">
        <w:rPr>
          <w:lang w:val="en-GB"/>
        </w:rPr>
        <w:t>has been</w:t>
      </w:r>
      <w:r w:rsidRPr="00F72FB0">
        <w:rPr>
          <w:lang w:val="en-GB"/>
        </w:rPr>
        <w:t xml:space="preserve"> arguably done in the interest of simplification and as transposition </w:t>
      </w:r>
      <w:r w:rsidR="00FF4CD7" w:rsidRPr="00F72FB0">
        <w:rPr>
          <w:lang w:val="en-GB"/>
        </w:rPr>
        <w:t>has been</w:t>
      </w:r>
      <w:r w:rsidRPr="00F72FB0">
        <w:rPr>
          <w:lang w:val="en-GB"/>
        </w:rPr>
        <w:t xml:space="preserve"> considered unnecessary, with </w:t>
      </w:r>
      <w:r w:rsidR="00320F31">
        <w:rPr>
          <w:lang w:val="en-GB"/>
        </w:rPr>
        <w:t>c</w:t>
      </w:r>
      <w:r w:rsidRPr="00F72FB0">
        <w:rPr>
          <w:lang w:val="en-GB"/>
        </w:rPr>
        <w:t xml:space="preserve">ourts noting that an informed decision maker would know which guidance to take into account and where to </w:t>
      </w:r>
      <w:r w:rsidRPr="00F72FB0">
        <w:rPr>
          <w:lang w:val="en-GB"/>
        </w:rPr>
        <w:lastRenderedPageBreak/>
        <w:t>find it.</w:t>
      </w:r>
      <w:r w:rsidRPr="00F72FB0">
        <w:rPr>
          <w:rStyle w:val="Alaviitteenviite"/>
          <w:lang w:val="en-GB"/>
        </w:rPr>
        <w:footnoteReference w:id="85"/>
      </w:r>
      <w:r w:rsidRPr="00F72FB0">
        <w:rPr>
          <w:rStyle w:val="AlaviitteentekstiChar"/>
          <w:sz w:val="24"/>
          <w:szCs w:val="24"/>
          <w:lang w:val="en-GB"/>
        </w:rPr>
        <w:t xml:space="preserve"> </w:t>
      </w:r>
      <w:r w:rsidR="00E959E0" w:rsidRPr="00F72FB0">
        <w:rPr>
          <w:lang w:val="en-GB"/>
        </w:rPr>
        <w:t>According to one of our interviewees,</w:t>
      </w:r>
      <w:r w:rsidRPr="00F72FB0">
        <w:rPr>
          <w:lang w:val="en-GB"/>
        </w:rPr>
        <w:t xml:space="preserve"> inserting only brief references to EU financial guidance in the FCA handbook </w:t>
      </w:r>
      <w:r w:rsidR="00063330" w:rsidRPr="00F72FB0">
        <w:rPr>
          <w:lang w:val="en-GB"/>
        </w:rPr>
        <w:t>was</w:t>
      </w:r>
      <w:r w:rsidRPr="00F72FB0">
        <w:rPr>
          <w:lang w:val="en-GB"/>
        </w:rPr>
        <w:t xml:space="preserve"> done in order to keep the volume of the rules at a manageable level.</w:t>
      </w:r>
      <w:r w:rsidR="00A43BE8">
        <w:rPr>
          <w:rStyle w:val="Alaviitteenviite"/>
          <w:lang w:val="en-GB"/>
        </w:rPr>
        <w:footnoteReference w:id="86"/>
      </w:r>
      <w:r w:rsidRPr="00F72FB0">
        <w:rPr>
          <w:lang w:val="en-GB"/>
        </w:rPr>
        <w:t xml:space="preserve"> </w:t>
      </w:r>
      <w:r w:rsidR="001149AA" w:rsidRPr="00F72FB0">
        <w:rPr>
          <w:lang w:val="en-GB"/>
        </w:rPr>
        <w:t xml:space="preserve">It appears that </w:t>
      </w:r>
      <w:r w:rsidR="0013113A" w:rsidRPr="00F72FB0">
        <w:rPr>
          <w:lang w:val="en-GB"/>
        </w:rPr>
        <w:t>in</w:t>
      </w:r>
      <w:r w:rsidR="0013113A">
        <w:rPr>
          <w:lang w:val="en-GB"/>
        </w:rPr>
        <w:t>corporating</w:t>
      </w:r>
      <w:r w:rsidR="0013113A" w:rsidRPr="00F72FB0">
        <w:rPr>
          <w:lang w:val="en-GB"/>
        </w:rPr>
        <w:t xml:space="preserve"> </w:t>
      </w:r>
      <w:r w:rsidR="001149AA" w:rsidRPr="00F72FB0">
        <w:rPr>
          <w:lang w:val="en-GB"/>
        </w:rPr>
        <w:t xml:space="preserve">soft law by reference is an appropriate </w:t>
      </w:r>
      <w:r w:rsidR="0013113A">
        <w:rPr>
          <w:lang w:val="en-GB"/>
        </w:rPr>
        <w:t xml:space="preserve">alternative </w:t>
      </w:r>
      <w:r w:rsidR="001149AA" w:rsidRPr="00F72FB0">
        <w:rPr>
          <w:lang w:val="en-GB"/>
        </w:rPr>
        <w:t>solution</w:t>
      </w:r>
      <w:r w:rsidR="0013113A">
        <w:rPr>
          <w:lang w:val="en-GB"/>
        </w:rPr>
        <w:t>: not only does it keep the core documents briefer, but it</w:t>
      </w:r>
      <w:r w:rsidR="001149AA" w:rsidRPr="00F72FB0">
        <w:rPr>
          <w:lang w:val="en-GB"/>
        </w:rPr>
        <w:t xml:space="preserve"> might even increase the weight of EU soft law</w:t>
      </w:r>
      <w:r w:rsidR="0013113A">
        <w:rPr>
          <w:lang w:val="en-GB"/>
        </w:rPr>
        <w:t xml:space="preserve"> more generally</w:t>
      </w:r>
      <w:r w:rsidR="001149AA" w:rsidRPr="00F72FB0">
        <w:rPr>
          <w:lang w:val="en-GB"/>
        </w:rPr>
        <w:t xml:space="preserve">, by </w:t>
      </w:r>
      <w:r w:rsidR="0013113A">
        <w:rPr>
          <w:lang w:val="en-GB"/>
        </w:rPr>
        <w:t>demonstrating</w:t>
      </w:r>
      <w:r w:rsidR="0013113A" w:rsidRPr="00F72FB0">
        <w:rPr>
          <w:lang w:val="en-GB"/>
        </w:rPr>
        <w:t xml:space="preserve"> </w:t>
      </w:r>
      <w:r w:rsidR="001149AA" w:rsidRPr="00F72FB0">
        <w:rPr>
          <w:lang w:val="en-GB"/>
        </w:rPr>
        <w:t xml:space="preserve">that the </w:t>
      </w:r>
      <w:r w:rsidR="0013113A">
        <w:rPr>
          <w:lang w:val="en-GB"/>
        </w:rPr>
        <w:t>instruments</w:t>
      </w:r>
      <w:r w:rsidR="0013113A" w:rsidRPr="00F72FB0">
        <w:rPr>
          <w:lang w:val="en-GB"/>
        </w:rPr>
        <w:t xml:space="preserve"> </w:t>
      </w:r>
      <w:r w:rsidR="001149AA" w:rsidRPr="00F72FB0">
        <w:rPr>
          <w:lang w:val="en-GB"/>
        </w:rPr>
        <w:t xml:space="preserve">are </w:t>
      </w:r>
      <w:r w:rsidR="0013113A">
        <w:rPr>
          <w:lang w:val="en-GB"/>
        </w:rPr>
        <w:t xml:space="preserve">relevant and </w:t>
      </w:r>
      <w:r w:rsidR="001149AA" w:rsidRPr="00F72FB0">
        <w:rPr>
          <w:lang w:val="en-GB"/>
        </w:rPr>
        <w:t>applicable internationally without the need for full transposition.</w:t>
      </w:r>
    </w:p>
    <w:p w14:paraId="1CF5DE43" w14:textId="77777777" w:rsidR="001149AA" w:rsidRPr="00F72FB0" w:rsidRDefault="001149AA" w:rsidP="00E14136">
      <w:pPr>
        <w:spacing w:line="360" w:lineRule="auto"/>
        <w:contextualSpacing/>
        <w:jc w:val="both"/>
        <w:rPr>
          <w:lang w:val="en-GB"/>
        </w:rPr>
      </w:pPr>
    </w:p>
    <w:p w14:paraId="346639C8" w14:textId="1EE2F1C8" w:rsidR="009934F1" w:rsidRPr="00F72FB0" w:rsidRDefault="001149AA" w:rsidP="00E14136">
      <w:pPr>
        <w:spacing w:line="360" w:lineRule="auto"/>
        <w:contextualSpacing/>
        <w:jc w:val="both"/>
        <w:rPr>
          <w:lang w:val="en-GB"/>
        </w:rPr>
      </w:pPr>
      <w:r w:rsidRPr="00F72FB0">
        <w:rPr>
          <w:lang w:val="en-GB"/>
        </w:rPr>
        <w:t>While these recommendations might work well for an EU Member State, in our case the elephant in the room is Brexit. The UK has undertaken significant preparatory work for Brexit, especially the EU Withdrawal Act.</w:t>
      </w:r>
      <w:r w:rsidRPr="00F72FB0">
        <w:rPr>
          <w:rStyle w:val="Alaviitteenviite"/>
          <w:lang w:val="en-GB"/>
        </w:rPr>
        <w:footnoteReference w:id="87"/>
      </w:r>
      <w:r w:rsidRPr="00F72FB0">
        <w:rPr>
          <w:lang w:val="en-GB"/>
        </w:rPr>
        <w:t xml:space="preserve"> The objective of the Act is largely to plug the holes posed by Brexit, through enabling statutory instruments to amend existing legislation now and for the future. The Withdrawal Act even provides for continued application of existing CJEU judgments, as part of ‘retained EU law’, but with caveats.</w:t>
      </w:r>
      <w:r w:rsidR="00E959E0" w:rsidRPr="00F72FB0">
        <w:rPr>
          <w:lang w:val="en-GB"/>
        </w:rPr>
        <w:t xml:space="preserve"> A</w:t>
      </w:r>
      <w:r w:rsidRPr="00F72FB0">
        <w:rPr>
          <w:lang w:val="en-GB"/>
        </w:rPr>
        <w:t xml:space="preserve"> major gap that has not been addressed at all is the future of EU soft law. A significant question is whether to transpose it domestically into either hard or soft law or just leave it lie. A factor in this debate is that current and future EU soft law would remain persuasive whether incorporated or not and decision-makers or courts could still avail of it where relevant if they so wished. </w:t>
      </w:r>
      <w:r w:rsidR="00E959E0" w:rsidRPr="00F72FB0">
        <w:rPr>
          <w:lang w:val="en-GB"/>
        </w:rPr>
        <w:t>The question remains</w:t>
      </w:r>
      <w:r w:rsidRPr="00F72FB0">
        <w:rPr>
          <w:lang w:val="en-GB"/>
        </w:rPr>
        <w:t xml:space="preserve"> how politic would it be for UK courts or administrators to</w:t>
      </w:r>
      <w:r w:rsidR="00E959E0" w:rsidRPr="00F72FB0">
        <w:rPr>
          <w:lang w:val="en-GB"/>
        </w:rPr>
        <w:t xml:space="preserve"> still</w:t>
      </w:r>
      <w:r w:rsidRPr="00F72FB0">
        <w:rPr>
          <w:lang w:val="en-GB"/>
        </w:rPr>
        <w:t xml:space="preserve"> consider and apply EU soft law</w:t>
      </w:r>
      <w:r w:rsidR="00E959E0" w:rsidRPr="00F72FB0">
        <w:rPr>
          <w:lang w:val="en-GB"/>
        </w:rPr>
        <w:t xml:space="preserve">? Our crystal-ball prediction is that the application of EU soft law will remain at best haphazard in the UK in the following years. </w:t>
      </w:r>
      <w:r w:rsidR="002B5795" w:rsidRPr="00F72FB0">
        <w:rPr>
          <w:lang w:val="en-GB"/>
        </w:rPr>
        <w:t>While judges and administrators might, in their work, find EU soft law instruments useful, express references to such instruments might indeed be fewer and fewer.</w:t>
      </w:r>
    </w:p>
    <w:sectPr w:rsidR="009934F1" w:rsidRPr="00F72FB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C306" w14:textId="77777777" w:rsidR="007B0BB2" w:rsidRDefault="007B0BB2" w:rsidP="00D07185">
      <w:r>
        <w:separator/>
      </w:r>
    </w:p>
  </w:endnote>
  <w:endnote w:type="continuationSeparator" w:id="0">
    <w:p w14:paraId="67E9BB2C" w14:textId="77777777" w:rsidR="007B0BB2" w:rsidRDefault="007B0BB2" w:rsidP="00D0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154224790"/>
      <w:docPartObj>
        <w:docPartGallery w:val="Page Numbers (Bottom of Page)"/>
        <w:docPartUnique/>
      </w:docPartObj>
    </w:sdtPr>
    <w:sdtEndPr>
      <w:rPr>
        <w:rStyle w:val="Sivunumero"/>
      </w:rPr>
    </w:sdtEndPr>
    <w:sdtContent>
      <w:p w14:paraId="7F7853A4" w14:textId="6274C70F" w:rsidR="001379A4" w:rsidRDefault="001379A4" w:rsidP="00AD57B3">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3BBDE7F4" w14:textId="77777777" w:rsidR="001379A4" w:rsidRDefault="001379A4" w:rsidP="00304F8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6D60" w14:textId="77777777" w:rsidR="001379A4" w:rsidRDefault="001379A4" w:rsidP="00304F8E">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62F9" w14:textId="77777777" w:rsidR="007B0BB2" w:rsidRDefault="007B0BB2" w:rsidP="00D07185">
      <w:r>
        <w:separator/>
      </w:r>
    </w:p>
  </w:footnote>
  <w:footnote w:type="continuationSeparator" w:id="0">
    <w:p w14:paraId="337BCAD1" w14:textId="77777777" w:rsidR="007B0BB2" w:rsidRDefault="007B0BB2" w:rsidP="00D07185">
      <w:r>
        <w:continuationSeparator/>
      </w:r>
    </w:p>
  </w:footnote>
  <w:footnote w:id="1">
    <w:p w14:paraId="05FC63C9" w14:textId="2D3B9E95" w:rsidR="001379A4" w:rsidRPr="00F32592" w:rsidRDefault="001379A4" w:rsidP="00E14136">
      <w:pPr>
        <w:pStyle w:val="Alaviitteenteksti"/>
        <w:rPr>
          <w:lang w:val="en-GB"/>
        </w:rPr>
      </w:pPr>
      <w:r w:rsidRPr="00F32592">
        <w:rPr>
          <w:lang w:val="en-GB"/>
        </w:rPr>
        <w:t>* Our thanks to Conor McCormick,</w:t>
      </w:r>
      <w:r w:rsidR="004E2D83" w:rsidRPr="00F32592">
        <w:rPr>
          <w:lang w:val="en-GB"/>
        </w:rPr>
        <w:t xml:space="preserve"> Steffen Post,</w:t>
      </w:r>
      <w:r w:rsidRPr="00F32592">
        <w:rPr>
          <w:lang w:val="en-GB"/>
        </w:rPr>
        <w:t xml:space="preserve"> </w:t>
      </w:r>
      <w:r w:rsidR="00785746" w:rsidRPr="00F32592">
        <w:rPr>
          <w:lang w:val="en-GB"/>
        </w:rPr>
        <w:t xml:space="preserve">Ewan McGaughey, Andrea Biondi, Takis Tridimas, Alexander Turk, Napoleon Xanthoulis, Giulia Gentile, </w:t>
      </w:r>
      <w:r w:rsidRPr="00F32592">
        <w:rPr>
          <w:lang w:val="en-GB"/>
        </w:rPr>
        <w:t xml:space="preserve">Mariolina Eliantonio, Emilia Korkea-aho, and the SoLaR-UK interviewees </w:t>
      </w:r>
      <w:r w:rsidR="004E2D83" w:rsidRPr="00F32592">
        <w:rPr>
          <w:lang w:val="en-GB"/>
        </w:rPr>
        <w:t>for their contribution to the project and</w:t>
      </w:r>
      <w:r w:rsidR="00785746" w:rsidRPr="00F32592">
        <w:rPr>
          <w:lang w:val="en-GB"/>
        </w:rPr>
        <w:t>/or</w:t>
      </w:r>
      <w:r w:rsidR="004E2D83" w:rsidRPr="00F32592">
        <w:rPr>
          <w:lang w:val="en-GB"/>
        </w:rPr>
        <w:t xml:space="preserve"> comments </w:t>
      </w:r>
      <w:r w:rsidRPr="00F32592">
        <w:rPr>
          <w:lang w:val="en-GB"/>
        </w:rPr>
        <w:t>on an earlier version of this chapter. Any errors or omissions are the authors’.</w:t>
      </w:r>
    </w:p>
    <w:p w14:paraId="78BA2F6C" w14:textId="59A35066"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Some of the rejections we got were linked to Brexit, both as a sensitive topic and as a reason for increased workload and lack of time. Furthermore, we could not use some of the material as the consent form was not signed by some of the interviewees, even though they were open to very frank conversations. The reason given was the high political salience of topics connected to the EU. With regards to judges, while in principle some expressed informally their willingness to take part, we could not undertake any interviews as, to this date, we have not received any answer to our official application for the participation of judiciary to the SoLaR project. Our team interviewed eight public servants in financial regulation and competition. Out of these, one of the interviewees responded in personal capacity only, and was not included in this paper. Unfortunately, we have not received any positive reply for the environmental and social policy sectors.</w:t>
      </w:r>
    </w:p>
  </w:footnote>
  <w:footnote w:id="2">
    <w:p w14:paraId="17797005" w14:textId="123CE813"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www.bailii.org</w:t>
      </w:r>
      <w:r w:rsidRPr="00F32592">
        <w:rPr>
          <w:rStyle w:val="Hyperlinkki"/>
          <w:color w:val="auto"/>
          <w:u w:val="none"/>
          <w:lang w:val="en-GB"/>
        </w:rPr>
        <w:t>.</w:t>
      </w:r>
    </w:p>
  </w:footnote>
  <w:footnote w:id="3">
    <w:p w14:paraId="23A91422" w14:textId="597A85BA"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Scotland proves the exception, as it comprises a mixed tradition.</w:t>
      </w:r>
    </w:p>
  </w:footnote>
  <w:footnote w:id="4">
    <w:p w14:paraId="28761347" w14:textId="0AF28692"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M Elliott and R Thomas, </w:t>
      </w:r>
      <w:r w:rsidRPr="00F32592">
        <w:rPr>
          <w:i/>
          <w:iCs/>
          <w:lang w:val="en-GB"/>
        </w:rPr>
        <w:t xml:space="preserve">Public Law </w:t>
      </w:r>
      <w:r w:rsidRPr="00F32592">
        <w:rPr>
          <w:lang w:val="en-GB"/>
        </w:rPr>
        <w:t>(Oxford, Oxford University Press, 2011)</w:t>
      </w:r>
      <w:r w:rsidRPr="00F32592">
        <w:rPr>
          <w:iCs/>
          <w:lang w:val="en-GB"/>
        </w:rPr>
        <w:t xml:space="preserve"> </w:t>
      </w:r>
      <w:r w:rsidRPr="00F32592">
        <w:rPr>
          <w:lang w:val="en-GB"/>
        </w:rPr>
        <w:t>46.</w:t>
      </w:r>
    </w:p>
  </w:footnote>
  <w:footnote w:id="5">
    <w:p w14:paraId="0809854D" w14:textId="15213E0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ibid Chapter 2.</w:t>
      </w:r>
    </w:p>
  </w:footnote>
  <w:footnote w:id="6">
    <w:p w14:paraId="704B9411" w14:textId="37551B63"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ibid 147–148.</w:t>
      </w:r>
    </w:p>
  </w:footnote>
  <w:footnote w:id="7">
    <w:p w14:paraId="1E7C39C1" w14:textId="637F7AEE"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G Ganz, </w:t>
      </w:r>
      <w:r w:rsidRPr="00F32592">
        <w:rPr>
          <w:i/>
          <w:iCs/>
          <w:sz w:val="20"/>
          <w:szCs w:val="20"/>
          <w:lang w:val="en-GB"/>
        </w:rPr>
        <w:t xml:space="preserve">Quasi-Legislation: Recent Developments in Secondary Legislation </w:t>
      </w:r>
      <w:r w:rsidRPr="00F32592">
        <w:rPr>
          <w:sz w:val="20"/>
          <w:szCs w:val="20"/>
          <w:lang w:val="en-GB"/>
        </w:rPr>
        <w:t>(London, Sweet &amp; Maxwell, 1987).</w:t>
      </w:r>
    </w:p>
  </w:footnote>
  <w:footnote w:id="8">
    <w:p w14:paraId="28500064" w14:textId="5F479C0A"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On justiciability, see PG Ingram, ‘Justiciability’ (1994) 39 </w:t>
      </w:r>
      <w:r w:rsidRPr="00F32592">
        <w:rPr>
          <w:i/>
          <w:iCs/>
          <w:sz w:val="20"/>
          <w:szCs w:val="20"/>
          <w:lang w:val="en-GB"/>
        </w:rPr>
        <w:t>American J. Jurisprudence</w:t>
      </w:r>
      <w:r w:rsidRPr="00F32592">
        <w:rPr>
          <w:sz w:val="20"/>
          <w:szCs w:val="20"/>
          <w:lang w:val="en-GB"/>
        </w:rPr>
        <w:t xml:space="preserve"> 353; or D McGoldrick, ‘The Boundaries of Justiciability’ (2010) 59 </w:t>
      </w:r>
      <w:r w:rsidRPr="00F32592">
        <w:rPr>
          <w:i/>
          <w:sz w:val="20"/>
          <w:szCs w:val="20"/>
          <w:lang w:val="en-GB"/>
        </w:rPr>
        <w:t>ICLQ</w:t>
      </w:r>
      <w:r w:rsidRPr="00F32592">
        <w:rPr>
          <w:sz w:val="20"/>
          <w:szCs w:val="20"/>
          <w:lang w:val="en-GB"/>
        </w:rPr>
        <w:t xml:space="preserve"> 981.</w:t>
      </w:r>
    </w:p>
  </w:footnote>
  <w:footnote w:id="9">
    <w:p w14:paraId="202BB86C" w14:textId="764FF2B2"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For further, see G Weeks, </w:t>
      </w:r>
      <w:r w:rsidRPr="00F32592">
        <w:rPr>
          <w:i/>
          <w:iCs/>
          <w:sz w:val="20"/>
          <w:szCs w:val="20"/>
          <w:lang w:val="en-GB"/>
        </w:rPr>
        <w:t xml:space="preserve">Soft Law and Public Authorities: Remedies and Reform </w:t>
      </w:r>
      <w:r w:rsidRPr="00F32592">
        <w:rPr>
          <w:sz w:val="20"/>
          <w:szCs w:val="20"/>
          <w:lang w:val="en-GB"/>
        </w:rPr>
        <w:t>(Oxford, Bloomsbury, 2016).</w:t>
      </w:r>
    </w:p>
  </w:footnote>
  <w:footnote w:id="10">
    <w:p w14:paraId="264804A2" w14:textId="07F35A39" w:rsidR="001379A4" w:rsidRPr="00F32592" w:rsidRDefault="001379A4" w:rsidP="00E14136">
      <w:pPr>
        <w:rPr>
          <w:sz w:val="20"/>
          <w:szCs w:val="20"/>
          <w:lang w:val="en-GB" w:eastAsia="en-GB"/>
        </w:rPr>
      </w:pPr>
      <w:r w:rsidRPr="00F32592">
        <w:rPr>
          <w:rStyle w:val="Alaviitteenviite"/>
          <w:sz w:val="20"/>
          <w:szCs w:val="20"/>
          <w:lang w:val="en-GB"/>
        </w:rPr>
        <w:footnoteRef/>
      </w:r>
      <w:r w:rsidRPr="00F32592">
        <w:rPr>
          <w:sz w:val="20"/>
          <w:szCs w:val="20"/>
          <w:lang w:val="en-GB"/>
        </w:rPr>
        <w:t xml:space="preserve"> OW Pedersen, ‘Post-Brexit Environmental Accountability and Enforcement – Who is Afraid of the Courts?’ (2018) 20 </w:t>
      </w:r>
      <w:r w:rsidRPr="00F32592">
        <w:rPr>
          <w:i/>
          <w:sz w:val="20"/>
          <w:szCs w:val="20"/>
          <w:lang w:val="en-GB" w:eastAsia="en-GB"/>
        </w:rPr>
        <w:t>Environmental Law Review</w:t>
      </w:r>
      <w:r w:rsidRPr="00F32592">
        <w:rPr>
          <w:sz w:val="20"/>
          <w:szCs w:val="20"/>
          <w:lang w:val="en-GB" w:eastAsia="en-GB"/>
        </w:rPr>
        <w:t xml:space="preserve"> 133. Further issues arise as noted in C Brennan et al, ‘Out of the frying pan, into the fire? Environmental governance vulnerabilities in post-Brexit Northern Ireland’ (2019) </w:t>
      </w:r>
      <w:r w:rsidR="00462BB2" w:rsidRPr="00F32592">
        <w:rPr>
          <w:sz w:val="20"/>
          <w:szCs w:val="20"/>
          <w:lang w:val="en-GB" w:eastAsia="en-GB"/>
        </w:rPr>
        <w:t xml:space="preserve">21 </w:t>
      </w:r>
      <w:r w:rsidRPr="00F32592">
        <w:rPr>
          <w:i/>
          <w:iCs/>
          <w:sz w:val="20"/>
          <w:szCs w:val="20"/>
          <w:lang w:val="en-GB" w:eastAsia="en-GB"/>
        </w:rPr>
        <w:t xml:space="preserve">Environmental Law Review </w:t>
      </w:r>
      <w:r w:rsidR="00462BB2" w:rsidRPr="00F32592">
        <w:rPr>
          <w:sz w:val="20"/>
          <w:szCs w:val="20"/>
          <w:lang w:val="en-GB" w:eastAsia="en-GB"/>
        </w:rPr>
        <w:t>84</w:t>
      </w:r>
      <w:r w:rsidRPr="00F32592">
        <w:rPr>
          <w:sz w:val="20"/>
          <w:szCs w:val="20"/>
          <w:lang w:val="en-GB" w:eastAsia="en-GB"/>
        </w:rPr>
        <w:t>.</w:t>
      </w:r>
    </w:p>
  </w:footnote>
  <w:footnote w:id="11">
    <w:p w14:paraId="36C12B60" w14:textId="20984C32"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H Woolf, J Jowell, C Donnelly and I Hare, </w:t>
      </w:r>
      <w:r w:rsidRPr="00F32592">
        <w:rPr>
          <w:i/>
          <w:iCs/>
          <w:lang w:val="en-GB"/>
        </w:rPr>
        <w:t xml:space="preserve">De Smith’s Judicial Review, </w:t>
      </w:r>
      <w:r w:rsidRPr="00F32592">
        <w:rPr>
          <w:lang w:val="en-GB"/>
        </w:rPr>
        <w:t>(</w:t>
      </w:r>
      <w:r w:rsidR="0073212E" w:rsidRPr="00F32592">
        <w:rPr>
          <w:lang w:val="en-GB"/>
        </w:rPr>
        <w:t>8</w:t>
      </w:r>
      <w:r w:rsidR="0073212E" w:rsidRPr="00F32592">
        <w:rPr>
          <w:vertAlign w:val="superscript"/>
          <w:lang w:val="en-GB"/>
        </w:rPr>
        <w:t>th</w:t>
      </w:r>
      <w:r w:rsidR="0073212E" w:rsidRPr="00F32592">
        <w:rPr>
          <w:lang w:val="en-GB"/>
        </w:rPr>
        <w:t xml:space="preserve"> edn, London, </w:t>
      </w:r>
      <w:r w:rsidRPr="00F32592">
        <w:rPr>
          <w:lang w:val="en-GB"/>
        </w:rPr>
        <w:t>Sweet and Maxwell</w:t>
      </w:r>
      <w:r w:rsidR="002E49F1" w:rsidRPr="00F32592">
        <w:rPr>
          <w:lang w:val="en-GB"/>
        </w:rPr>
        <w:t xml:space="preserve">, </w:t>
      </w:r>
      <w:r w:rsidRPr="00F32592">
        <w:rPr>
          <w:lang w:val="en-GB"/>
        </w:rPr>
        <w:t>2018) 305–312.</w:t>
      </w:r>
    </w:p>
  </w:footnote>
  <w:footnote w:id="12">
    <w:p w14:paraId="0FF48090" w14:textId="2CA4828E" w:rsidR="001379A4" w:rsidRPr="00F32592" w:rsidRDefault="001379A4" w:rsidP="00E14136">
      <w:pPr>
        <w:pStyle w:val="Alaviitteenteksti"/>
      </w:pPr>
      <w:r w:rsidRPr="00F32592">
        <w:rPr>
          <w:rStyle w:val="Alaviitteenviite"/>
        </w:rPr>
        <w:footnoteRef/>
      </w:r>
      <w:r w:rsidRPr="00F32592">
        <w:t xml:space="preserve"> See, </w:t>
      </w:r>
      <w:r w:rsidR="003617D7">
        <w:t>eg,</w:t>
      </w:r>
      <w:r w:rsidRPr="00F32592">
        <w:t xml:space="preserve"> </w:t>
      </w:r>
      <w:r w:rsidR="00395EC2" w:rsidRPr="00F32592">
        <w:t>www.hse.gov.uk/research/rrpdf/rr010.pdf or</w:t>
      </w:r>
      <w:r w:rsidRPr="00F32592">
        <w:t xml:space="preserve"> B Hurwitz, </w:t>
      </w:r>
      <w:r w:rsidR="00395EC2" w:rsidRPr="00F32592">
        <w:t>’</w:t>
      </w:r>
      <w:r w:rsidRPr="00F32592">
        <w:t>Clinical guidelines and the law:</w:t>
      </w:r>
      <w:r w:rsidR="00395EC2" w:rsidRPr="00F32592">
        <w:t xml:space="preserve"> </w:t>
      </w:r>
      <w:r w:rsidRPr="00F32592">
        <w:t xml:space="preserve">advice, guidance or regulation?’ (1995) 1 </w:t>
      </w:r>
      <w:r w:rsidRPr="00F32592">
        <w:rPr>
          <w:i/>
          <w:iCs/>
        </w:rPr>
        <w:t>Journal of Evaluation in Clinical Pratice</w:t>
      </w:r>
      <w:r w:rsidRPr="00F32592">
        <w:t xml:space="preserve"> 49.</w:t>
      </w:r>
    </w:p>
  </w:footnote>
  <w:footnote w:id="13">
    <w:p w14:paraId="4B7A987D" w14:textId="3E2AB784"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R Cross and JW Harris, </w:t>
      </w:r>
      <w:r w:rsidRPr="00F32592">
        <w:rPr>
          <w:i/>
          <w:iCs/>
          <w:lang w:val="en-GB"/>
        </w:rPr>
        <w:t xml:space="preserve">Precedent in English Law </w:t>
      </w:r>
      <w:r w:rsidRPr="00F32592">
        <w:rPr>
          <w:lang w:val="en-GB"/>
        </w:rPr>
        <w:t>(</w:t>
      </w:r>
      <w:r w:rsidR="0073212E" w:rsidRPr="00F32592">
        <w:rPr>
          <w:lang w:val="en-GB"/>
        </w:rPr>
        <w:t>4</w:t>
      </w:r>
      <w:r w:rsidR="0073212E" w:rsidRPr="00F32592">
        <w:rPr>
          <w:vertAlign w:val="superscript"/>
          <w:lang w:val="en-GB"/>
        </w:rPr>
        <w:t>th</w:t>
      </w:r>
      <w:r w:rsidR="0073212E" w:rsidRPr="00F32592">
        <w:rPr>
          <w:lang w:val="en-GB"/>
        </w:rPr>
        <w:t xml:space="preserve"> edn, </w:t>
      </w:r>
      <w:r w:rsidRPr="00F32592">
        <w:rPr>
          <w:lang w:val="en-GB"/>
        </w:rPr>
        <w:t>Oxford, Clarendon Law, 1991).</w:t>
      </w:r>
    </w:p>
  </w:footnote>
  <w:footnote w:id="14">
    <w:p w14:paraId="59114ECC" w14:textId="5D3E1634"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D Feldman, </w:t>
      </w:r>
      <w:r w:rsidRPr="00F32592">
        <w:rPr>
          <w:i/>
          <w:iCs/>
          <w:sz w:val="20"/>
          <w:szCs w:val="20"/>
          <w:lang w:val="en-GB"/>
        </w:rPr>
        <w:t>English Public Law</w:t>
      </w:r>
      <w:r w:rsidRPr="00F32592">
        <w:rPr>
          <w:sz w:val="20"/>
          <w:szCs w:val="20"/>
          <w:lang w:val="en-GB"/>
        </w:rPr>
        <w:t xml:space="preserve"> (</w:t>
      </w:r>
      <w:r w:rsidR="006F268E" w:rsidRPr="00F32592">
        <w:rPr>
          <w:sz w:val="20"/>
          <w:szCs w:val="20"/>
          <w:lang w:val="en-GB"/>
        </w:rPr>
        <w:t>2</w:t>
      </w:r>
      <w:r w:rsidR="006F268E" w:rsidRPr="00F32592">
        <w:rPr>
          <w:sz w:val="20"/>
          <w:szCs w:val="20"/>
          <w:vertAlign w:val="superscript"/>
          <w:lang w:val="en-GB"/>
        </w:rPr>
        <w:t>nd</w:t>
      </w:r>
      <w:r w:rsidR="006F268E" w:rsidRPr="00F32592">
        <w:rPr>
          <w:sz w:val="20"/>
          <w:szCs w:val="20"/>
          <w:lang w:val="en-GB"/>
        </w:rPr>
        <w:t xml:space="preserve"> edn, </w:t>
      </w:r>
      <w:r w:rsidRPr="00F32592">
        <w:rPr>
          <w:sz w:val="20"/>
          <w:szCs w:val="20"/>
          <w:lang w:val="en-GB"/>
        </w:rPr>
        <w:t>Oxford, Oxford University Press</w:t>
      </w:r>
      <w:r w:rsidR="00A23959" w:rsidRPr="00F32592">
        <w:rPr>
          <w:sz w:val="20"/>
          <w:szCs w:val="20"/>
          <w:lang w:val="en-GB"/>
        </w:rPr>
        <w:t xml:space="preserve">, </w:t>
      </w:r>
      <w:r w:rsidRPr="00F32592">
        <w:rPr>
          <w:sz w:val="20"/>
          <w:szCs w:val="20"/>
          <w:lang w:val="en-GB"/>
        </w:rPr>
        <w:t>2009) 681–684 and 730 et seq. Obviously limitations and exceptions can arise, eg where the decision-maker provides advance warning of a change in practice or where the legislation has since been amended.</w:t>
      </w:r>
    </w:p>
  </w:footnote>
  <w:footnote w:id="15">
    <w:p w14:paraId="49DF237A" w14:textId="4FCC738F"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ibid</w:t>
      </w:r>
      <w:r w:rsidRPr="00F32592">
        <w:rPr>
          <w:i/>
          <w:iCs/>
          <w:lang w:val="en-GB"/>
        </w:rPr>
        <w:t xml:space="preserve"> </w:t>
      </w:r>
      <w:r w:rsidRPr="00F32592">
        <w:rPr>
          <w:lang w:val="en-GB"/>
        </w:rPr>
        <w:t>254–255.</w:t>
      </w:r>
    </w:p>
  </w:footnote>
  <w:footnote w:id="16">
    <w:p w14:paraId="69308122" w14:textId="16042A6D"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iCs/>
          <w:sz w:val="20"/>
          <w:szCs w:val="20"/>
          <w:lang w:val="en-GB"/>
        </w:rPr>
        <w:t xml:space="preserve">Associated Provincial Picture Houses Ltd v Wednesbury Corporation </w:t>
      </w:r>
      <w:r w:rsidRPr="00F32592">
        <w:rPr>
          <w:sz w:val="20"/>
          <w:szCs w:val="20"/>
          <w:lang w:val="en-GB"/>
        </w:rPr>
        <w:t>[1948]</w:t>
      </w:r>
      <w:r w:rsidR="003566C3" w:rsidRPr="00F32592">
        <w:rPr>
          <w:sz w:val="20"/>
          <w:szCs w:val="20"/>
          <w:lang w:val="en-GB"/>
        </w:rPr>
        <w:t xml:space="preserve"> </w:t>
      </w:r>
      <w:r w:rsidRPr="00F32592">
        <w:rPr>
          <w:sz w:val="20"/>
          <w:szCs w:val="20"/>
          <w:lang w:val="en-GB"/>
        </w:rPr>
        <w:t xml:space="preserve">1 KB 223; M Lee, ‘Brexit and Environmental Protection in the United Kingdom: Governance, Accountability and Law Making’ (2018) 36 </w:t>
      </w:r>
      <w:r w:rsidRPr="00F32592">
        <w:rPr>
          <w:i/>
          <w:sz w:val="20"/>
          <w:szCs w:val="20"/>
          <w:lang w:val="en-GB"/>
        </w:rPr>
        <w:t>Journal of Energy &amp; Natural Resources Law</w:t>
      </w:r>
      <w:r w:rsidRPr="00F32592">
        <w:rPr>
          <w:sz w:val="20"/>
          <w:szCs w:val="20"/>
          <w:lang w:val="en-GB"/>
        </w:rPr>
        <w:t xml:space="preserve"> 351.</w:t>
      </w:r>
    </w:p>
  </w:footnote>
  <w:footnote w:id="17">
    <w:p w14:paraId="0B248AE3" w14:textId="76D1281D" w:rsidR="001379A4" w:rsidRPr="00F32592" w:rsidRDefault="001379A4" w:rsidP="00E14136">
      <w:pPr>
        <w:rPr>
          <w:sz w:val="20"/>
          <w:szCs w:val="20"/>
          <w:lang w:val="en-US"/>
        </w:rPr>
      </w:pPr>
      <w:r w:rsidRPr="00F32592">
        <w:rPr>
          <w:rStyle w:val="Alaviitteenviite"/>
          <w:sz w:val="20"/>
          <w:szCs w:val="20"/>
          <w:lang w:val="en-GB"/>
        </w:rPr>
        <w:footnoteRef/>
      </w:r>
      <w:r w:rsidRPr="00F32592">
        <w:rPr>
          <w:sz w:val="20"/>
          <w:szCs w:val="20"/>
          <w:lang w:val="en-US"/>
        </w:rPr>
        <w:t xml:space="preserve"> </w:t>
      </w:r>
      <w:r w:rsidR="008F1008" w:rsidRPr="00F32592">
        <w:rPr>
          <w:sz w:val="20"/>
          <w:szCs w:val="20"/>
          <w:lang w:val="en-US"/>
        </w:rPr>
        <w:t xml:space="preserve">UNECE, </w:t>
      </w:r>
      <w:r w:rsidR="003000D1" w:rsidRPr="00F32592">
        <w:rPr>
          <w:sz w:val="20"/>
          <w:szCs w:val="20"/>
          <w:lang w:val="en-US"/>
        </w:rPr>
        <w:t>‘</w:t>
      </w:r>
      <w:r w:rsidRPr="00F32592">
        <w:rPr>
          <w:sz w:val="20"/>
          <w:szCs w:val="20"/>
          <w:lang w:val="en-US"/>
        </w:rPr>
        <w:t>ACCC/C/2017/156</w:t>
      </w:r>
      <w:r w:rsidR="003000D1" w:rsidRPr="00F32592">
        <w:rPr>
          <w:sz w:val="20"/>
          <w:szCs w:val="20"/>
          <w:lang w:val="en-US"/>
        </w:rPr>
        <w:t>’</w:t>
      </w:r>
      <w:r w:rsidR="003617D7">
        <w:rPr>
          <w:sz w:val="20"/>
          <w:szCs w:val="20"/>
          <w:lang w:val="en-US"/>
        </w:rPr>
        <w:t xml:space="preserve">, </w:t>
      </w:r>
      <w:r w:rsidRPr="00F32592">
        <w:rPr>
          <w:sz w:val="20"/>
          <w:szCs w:val="20"/>
          <w:lang w:val="en-US"/>
        </w:rPr>
        <w:t>www.unece.org/environmental-policy/conventions/public-participation/aar</w:t>
      </w:r>
      <w:r w:rsidRPr="00F32592">
        <w:rPr>
          <w:sz w:val="20"/>
          <w:szCs w:val="20"/>
          <w:lang w:val="en-US" w:eastAsia="en-GB"/>
        </w:rPr>
        <w:t>hus-convention/tfwg/envppcc/envppcccom/acccc2017156-united-kingdom.html.</w:t>
      </w:r>
    </w:p>
  </w:footnote>
  <w:footnote w:id="18">
    <w:p w14:paraId="17F99535" w14:textId="743A6574"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Environmental Audit Committee, </w:t>
      </w:r>
      <w:r w:rsidR="00E40DC9" w:rsidRPr="00F32592">
        <w:rPr>
          <w:sz w:val="20"/>
          <w:szCs w:val="20"/>
          <w:lang w:val="en-GB"/>
        </w:rPr>
        <w:t>‘</w:t>
      </w:r>
      <w:r w:rsidRPr="00F32592">
        <w:rPr>
          <w:sz w:val="20"/>
          <w:szCs w:val="20"/>
          <w:lang w:val="en-GB"/>
        </w:rPr>
        <w:t>The Government’s 25 Year Plan for the Environment</w:t>
      </w:r>
      <w:r w:rsidR="000502E3" w:rsidRPr="00F32592">
        <w:rPr>
          <w:sz w:val="20"/>
          <w:szCs w:val="20"/>
          <w:lang w:val="en-GB"/>
        </w:rPr>
        <w:t>. Eighth Report of Session 2017-19</w:t>
      </w:r>
      <w:r w:rsidR="00E40DC9" w:rsidRPr="00F32592">
        <w:rPr>
          <w:sz w:val="20"/>
          <w:szCs w:val="20"/>
          <w:lang w:val="en-GB"/>
        </w:rPr>
        <w:t xml:space="preserve">’ </w:t>
      </w:r>
      <w:r w:rsidR="00F37891" w:rsidRPr="00F32592">
        <w:rPr>
          <w:sz w:val="20"/>
          <w:szCs w:val="20"/>
          <w:lang w:val="en-GB"/>
        </w:rPr>
        <w:t>(</w:t>
      </w:r>
      <w:r w:rsidRPr="00F32592">
        <w:rPr>
          <w:sz w:val="20"/>
          <w:szCs w:val="20"/>
          <w:lang w:val="en-GB"/>
        </w:rPr>
        <w:t>HC 803, 24 July 2018</w:t>
      </w:r>
      <w:r w:rsidR="00F37891" w:rsidRPr="00F32592">
        <w:rPr>
          <w:sz w:val="20"/>
          <w:szCs w:val="20"/>
          <w:lang w:val="en-GB"/>
        </w:rPr>
        <w:t>)</w:t>
      </w:r>
      <w:r w:rsidR="003617D7">
        <w:rPr>
          <w:sz w:val="20"/>
          <w:szCs w:val="20"/>
          <w:lang w:val="en-GB"/>
        </w:rPr>
        <w:t xml:space="preserve">, </w:t>
      </w:r>
      <w:r w:rsidRPr="00F32592">
        <w:rPr>
          <w:sz w:val="20"/>
          <w:szCs w:val="20"/>
          <w:lang w:val="en-GB"/>
        </w:rPr>
        <w:t>publications.parliament.uk/pa/cm201719/cmselect/cmenvaud/803/803.pdf.</w:t>
      </w:r>
    </w:p>
  </w:footnote>
  <w:footnote w:id="19">
    <w:p w14:paraId="3611AAF5" w14:textId="556C470D"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iCs/>
          <w:sz w:val="20"/>
          <w:szCs w:val="20"/>
          <w:lang w:val="en-GB"/>
        </w:rPr>
        <w:t>R v Secretary of State for Transport, ex p Factortame Ltd,</w:t>
      </w:r>
      <w:r w:rsidRPr="00F32592">
        <w:rPr>
          <w:sz w:val="20"/>
          <w:szCs w:val="20"/>
          <w:lang w:val="en-GB"/>
        </w:rPr>
        <w:t xml:space="preserve"> [1990]</w:t>
      </w:r>
      <w:r w:rsidRPr="00F32592">
        <w:rPr>
          <w:i/>
          <w:iCs/>
          <w:sz w:val="20"/>
          <w:szCs w:val="20"/>
          <w:lang w:val="en-GB"/>
        </w:rPr>
        <w:t xml:space="preserve"> </w:t>
      </w:r>
      <w:r w:rsidRPr="00F32592">
        <w:rPr>
          <w:sz w:val="20"/>
          <w:szCs w:val="20"/>
          <w:lang w:val="en-GB"/>
        </w:rPr>
        <w:t xml:space="preserve">UKHL 7 with caveats noted later in </w:t>
      </w:r>
      <w:r w:rsidRPr="00F32592">
        <w:rPr>
          <w:i/>
          <w:iCs/>
          <w:sz w:val="20"/>
          <w:szCs w:val="20"/>
          <w:lang w:val="en-GB"/>
        </w:rPr>
        <w:t>R HS2 Action Alliance Ltd</w:t>
      </w:r>
      <w:r w:rsidRPr="00F32592">
        <w:rPr>
          <w:sz w:val="20"/>
          <w:szCs w:val="20"/>
          <w:lang w:val="en-GB"/>
        </w:rPr>
        <w:t xml:space="preserve"> [2014] UKSC 3. This is further supported by Section 18 of the European Union Act 2011</w:t>
      </w:r>
      <w:r w:rsidR="00B84AFB" w:rsidRPr="00F32592">
        <w:rPr>
          <w:sz w:val="20"/>
          <w:szCs w:val="20"/>
          <w:lang w:val="en-GB"/>
        </w:rPr>
        <w:t xml:space="preserve">. </w:t>
      </w:r>
    </w:p>
  </w:footnote>
  <w:footnote w:id="20">
    <w:p w14:paraId="67AB8A0E" w14:textId="6DA48EEA"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For instance, ESMA Q&amp;As as referred to in FCA, ‘The Perimeter Guidance manual: PERG’ (Handbook, June 2018) 8.30B.4.</w:t>
      </w:r>
    </w:p>
  </w:footnote>
  <w:footnote w:id="21">
    <w:p w14:paraId="74590CAE" w14:textId="53101555" w:rsidR="001379A4" w:rsidRPr="00F32592" w:rsidRDefault="001379A4" w:rsidP="00E14136">
      <w:pPr>
        <w:pStyle w:val="Alaviitteenteksti"/>
      </w:pPr>
      <w:r w:rsidRPr="00F32592">
        <w:rPr>
          <w:rStyle w:val="Alaviitteenviite"/>
        </w:rPr>
        <w:footnoteRef/>
      </w:r>
      <w:r w:rsidRPr="00F32592">
        <w:t xml:space="preserve"> M Dobbs, </w:t>
      </w:r>
      <w:r w:rsidRPr="00F32592">
        <w:rPr>
          <w:lang w:val="en-US"/>
        </w:rPr>
        <w:t>‘</w:t>
      </w:r>
      <w:r w:rsidRPr="00F32592">
        <w:t>National Report on the United Kingdom</w:t>
      </w:r>
      <w:r w:rsidR="00485DBD" w:rsidRPr="00F32592">
        <w:t xml:space="preserve">’ in </w:t>
      </w:r>
      <w:r w:rsidR="00485DBD" w:rsidRPr="00F32592">
        <w:rPr>
          <w:lang w:val="en-US"/>
        </w:rPr>
        <w:t>M Eliantonio</w:t>
      </w:r>
      <w:r w:rsidR="003617D7">
        <w:rPr>
          <w:lang w:val="en-US"/>
        </w:rPr>
        <w:t xml:space="preserve"> and</w:t>
      </w:r>
      <w:r w:rsidR="00485DBD" w:rsidRPr="00F32592">
        <w:rPr>
          <w:lang w:val="en-US"/>
        </w:rPr>
        <w:t xml:space="preserve"> G Lisi (eds), ‘EU Environmental Soft Law in the Member States’, (2020) SoLaR </w:t>
      </w:r>
      <w:r w:rsidR="00182173">
        <w:rPr>
          <w:lang w:val="en-US"/>
        </w:rPr>
        <w:t>W</w:t>
      </w:r>
      <w:r w:rsidR="00485DBD" w:rsidRPr="00F32592">
        <w:rPr>
          <w:lang w:val="en-US"/>
        </w:rPr>
        <w:t xml:space="preserve">orking </w:t>
      </w:r>
      <w:r w:rsidR="00182173">
        <w:rPr>
          <w:lang w:val="en-US"/>
        </w:rPr>
        <w:t>P</w:t>
      </w:r>
      <w:r w:rsidR="00485DBD" w:rsidRPr="00F32592">
        <w:rPr>
          <w:lang w:val="en-US"/>
        </w:rPr>
        <w:t>aper</w:t>
      </w:r>
      <w:r w:rsidR="00182173">
        <w:rPr>
          <w:lang w:val="en-US"/>
        </w:rPr>
        <w:t xml:space="preserve">, </w:t>
      </w:r>
      <w:r w:rsidR="00182173" w:rsidRPr="003617D7">
        <w:rPr>
          <w:lang w:val="en-US"/>
        </w:rPr>
        <w:t>https://papers.ssrn.com/sol3/papers.cfm?abstract_id=3656418</w:t>
      </w:r>
      <w:r w:rsidR="00485DBD" w:rsidRPr="00F32592">
        <w:t>, 130</w:t>
      </w:r>
      <w:r w:rsidRPr="00F32592">
        <w:t>.</w:t>
      </w:r>
    </w:p>
  </w:footnote>
  <w:footnote w:id="22">
    <w:p w14:paraId="69D9E1D1" w14:textId="21432993"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The English national planning policy framework (NPPF) is mainly inward looking but does include reference to the EU regimes, see</w:t>
      </w:r>
      <w:r w:rsidR="00D01713" w:rsidRPr="00F32592">
        <w:rPr>
          <w:sz w:val="20"/>
          <w:szCs w:val="20"/>
          <w:lang w:val="en-GB"/>
        </w:rPr>
        <w:t xml:space="preserve"> </w:t>
      </w:r>
      <w:r w:rsidRPr="00F32592">
        <w:rPr>
          <w:sz w:val="20"/>
          <w:szCs w:val="20"/>
          <w:lang w:val="en-GB"/>
        </w:rPr>
        <w:t>www.gov.uk/government/uploads/system/uploads/attachment_data/file/6077/2116950.pdf</w:t>
      </w:r>
      <w:r w:rsidRPr="00F32592">
        <w:rPr>
          <w:rStyle w:val="Hyperlinkki"/>
          <w:color w:val="auto"/>
          <w:sz w:val="20"/>
          <w:szCs w:val="20"/>
          <w:u w:val="none"/>
          <w:lang w:val="en-GB"/>
        </w:rPr>
        <w:t>.</w:t>
      </w:r>
    </w:p>
  </w:footnote>
  <w:footnote w:id="23">
    <w:p w14:paraId="28192C15" w14:textId="3576269E"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Circular 02/99 previously provided general guidance on the implementation of the EIA Directive – with a specific focus on England/Wales, but more broadly relevant, www.gov.uk/government/uploads/system/uploads/attachment_data/file/7676/155958.pdf</w:t>
      </w:r>
      <w:r w:rsidRPr="00F32592">
        <w:rPr>
          <w:rStyle w:val="Hyperlinkki"/>
          <w:color w:val="auto"/>
          <w:sz w:val="20"/>
          <w:szCs w:val="20"/>
          <w:u w:val="none"/>
          <w:lang w:val="en-GB"/>
        </w:rPr>
        <w:t>.</w:t>
      </w:r>
      <w:r w:rsidRPr="00F32592">
        <w:rPr>
          <w:sz w:val="20"/>
          <w:szCs w:val="20"/>
          <w:lang w:val="en-GB"/>
        </w:rPr>
        <w:t xml:space="preserve"> </w:t>
      </w:r>
    </w:p>
  </w:footnote>
  <w:footnote w:id="24">
    <w:p w14:paraId="68BCFA44" w14:textId="2B0F3180"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As stated in </w:t>
      </w:r>
      <w:r w:rsidR="00255AF4" w:rsidRPr="00F32592">
        <w:rPr>
          <w:sz w:val="20"/>
          <w:szCs w:val="20"/>
          <w:lang w:val="en-GB"/>
        </w:rPr>
        <w:t>(</w:t>
      </w:r>
      <w:r w:rsidRPr="00F32592">
        <w:rPr>
          <w:sz w:val="20"/>
          <w:szCs w:val="20"/>
          <w:lang w:val="en-GB"/>
        </w:rPr>
        <w:t>Scot</w:t>
      </w:r>
      <w:r w:rsidR="00255AF4" w:rsidRPr="00F32592">
        <w:rPr>
          <w:sz w:val="20"/>
          <w:szCs w:val="20"/>
          <w:lang w:val="en-GB"/>
        </w:rPr>
        <w:t>tish)</w:t>
      </w:r>
      <w:r w:rsidRPr="00F32592">
        <w:rPr>
          <w:sz w:val="20"/>
          <w:szCs w:val="20"/>
          <w:lang w:val="en-GB"/>
        </w:rPr>
        <w:t xml:space="preserve"> </w:t>
      </w:r>
      <w:r w:rsidR="00255AF4" w:rsidRPr="00F32592">
        <w:rPr>
          <w:sz w:val="20"/>
          <w:szCs w:val="20"/>
          <w:lang w:val="en-GB"/>
        </w:rPr>
        <w:t>‘</w:t>
      </w:r>
      <w:r w:rsidRPr="00F32592">
        <w:rPr>
          <w:sz w:val="20"/>
          <w:szCs w:val="20"/>
          <w:lang w:val="en-GB"/>
        </w:rPr>
        <w:t>Planning Circular 1/2017</w:t>
      </w:r>
      <w:r w:rsidR="00B84AFB" w:rsidRPr="00F32592">
        <w:rPr>
          <w:sz w:val="20"/>
          <w:szCs w:val="20"/>
          <w:lang w:val="en-GB"/>
        </w:rPr>
        <w:t>: Environmental Impact Assessment Regulations</w:t>
      </w:r>
      <w:r w:rsidR="00255AF4" w:rsidRPr="00F32592">
        <w:rPr>
          <w:sz w:val="20"/>
          <w:szCs w:val="20"/>
          <w:lang w:val="en-GB"/>
        </w:rPr>
        <w:t>’</w:t>
      </w:r>
      <w:r w:rsidR="00B84AFB" w:rsidRPr="00F32592">
        <w:rPr>
          <w:sz w:val="20"/>
          <w:szCs w:val="20"/>
          <w:lang w:val="en-GB"/>
        </w:rPr>
        <w:t xml:space="preserve"> (16 May 2017)</w:t>
      </w:r>
      <w:r w:rsidR="003617D7">
        <w:rPr>
          <w:sz w:val="20"/>
          <w:szCs w:val="20"/>
          <w:lang w:val="en-GB"/>
        </w:rPr>
        <w:t>,</w:t>
      </w:r>
      <w:r w:rsidR="00B84AFB" w:rsidRPr="00F32592">
        <w:rPr>
          <w:sz w:val="20"/>
          <w:szCs w:val="20"/>
          <w:lang w:val="en-GB"/>
        </w:rPr>
        <w:t xml:space="preserve"> </w:t>
      </w:r>
      <w:r w:rsidRPr="00F32592">
        <w:rPr>
          <w:sz w:val="20"/>
          <w:szCs w:val="20"/>
          <w:lang w:val="en-GB"/>
        </w:rPr>
        <w:t>www.gov.scot/publications/planning-circular-1-2017-environmental-impact-assessment-regulations-2017/.</w:t>
      </w:r>
    </w:p>
  </w:footnote>
  <w:footnote w:id="25">
    <w:p w14:paraId="37D877DF" w14:textId="0BEB115E"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00D2190D" w:rsidRPr="00F32592">
        <w:rPr>
          <w:sz w:val="20"/>
          <w:szCs w:val="20"/>
          <w:lang w:val="en-GB"/>
        </w:rPr>
        <w:t>BEIS, ‘Guidance. State aid manual’ (10 July 2015)</w:t>
      </w:r>
      <w:r w:rsidR="003617D7">
        <w:rPr>
          <w:sz w:val="20"/>
          <w:szCs w:val="20"/>
          <w:lang w:val="en-GB"/>
        </w:rPr>
        <w:t>,</w:t>
      </w:r>
      <w:r w:rsidR="00D2190D" w:rsidRPr="00F32592">
        <w:rPr>
          <w:sz w:val="20"/>
          <w:szCs w:val="20"/>
          <w:lang w:val="en-GB"/>
        </w:rPr>
        <w:t xml:space="preserve"> </w:t>
      </w:r>
      <w:r w:rsidRPr="00F32592">
        <w:rPr>
          <w:sz w:val="20"/>
          <w:szCs w:val="20"/>
          <w:lang w:val="en-GB"/>
        </w:rPr>
        <w:t>www.gov.uk/government/publications/state-aid-manual.</w:t>
      </w:r>
    </w:p>
  </w:footnote>
  <w:footnote w:id="26">
    <w:p w14:paraId="1A5F48D0" w14:textId="4A5DCF6B" w:rsidR="001379A4" w:rsidRPr="00F32592" w:rsidRDefault="001379A4" w:rsidP="00E14136">
      <w:pPr>
        <w:pStyle w:val="Alaviitteenteksti"/>
        <w:rPr>
          <w:lang w:val="en-US"/>
        </w:rPr>
      </w:pPr>
      <w:r w:rsidRPr="00F32592">
        <w:rPr>
          <w:rStyle w:val="Alaviitteenviite"/>
        </w:rPr>
        <w:footnoteRef/>
      </w:r>
      <w:r w:rsidRPr="00F32592">
        <w:t xml:space="preserve"> </w:t>
      </w:r>
      <w:r w:rsidRPr="00F32592">
        <w:rPr>
          <w:lang w:val="en-US"/>
        </w:rPr>
        <w:t>O Stefan</w:t>
      </w:r>
      <w:r w:rsidR="00E37620" w:rsidRPr="00F32592">
        <w:rPr>
          <w:lang w:val="en-US"/>
        </w:rPr>
        <w:t xml:space="preserve"> and</w:t>
      </w:r>
      <w:r w:rsidRPr="00F32592">
        <w:rPr>
          <w:lang w:val="en-US"/>
        </w:rPr>
        <w:t xml:space="preserve"> A Biondi, ‘National Report on the United Kingdom</w:t>
      </w:r>
      <w:r w:rsidR="00603C1D" w:rsidRPr="00F32592">
        <w:rPr>
          <w:lang w:val="en-US"/>
        </w:rPr>
        <w:t>’ in O Stefan (ed), ‘EU Competition and State Aid Soft Law in the Member States’, (2020) SoLaR Working Paper</w:t>
      </w:r>
      <w:r w:rsidR="00182173">
        <w:rPr>
          <w:lang w:val="en-US"/>
        </w:rPr>
        <w:t xml:space="preserve">, </w:t>
      </w:r>
      <w:r w:rsidR="00182173" w:rsidRPr="003617D7">
        <w:rPr>
          <w:rFonts w:eastAsiaTheme="majorEastAsia"/>
          <w:lang w:val="en-US"/>
        </w:rPr>
        <w:t>https://papers.ssrn.com/sol3/papers.cfm?abstract_id=2356227</w:t>
      </w:r>
      <w:r w:rsidRPr="00F32592">
        <w:t xml:space="preserve">, </w:t>
      </w:r>
      <w:r w:rsidR="00603C1D" w:rsidRPr="00F32592">
        <w:t>178</w:t>
      </w:r>
      <w:r w:rsidRPr="00F32592">
        <w:t>.</w:t>
      </w:r>
    </w:p>
  </w:footnote>
  <w:footnote w:id="27">
    <w:p w14:paraId="173A8F8A" w14:textId="54060BC1"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FCA, ‘FCA Handbook’</w:t>
      </w:r>
      <w:r w:rsidR="003617D7">
        <w:rPr>
          <w:sz w:val="20"/>
          <w:szCs w:val="20"/>
          <w:lang w:val="en-GB"/>
        </w:rPr>
        <w:t>,</w:t>
      </w:r>
      <w:r w:rsidRPr="00F32592">
        <w:rPr>
          <w:sz w:val="20"/>
          <w:szCs w:val="20"/>
          <w:lang w:val="en-GB"/>
        </w:rPr>
        <w:t xml:space="preserve"> www.handbook.fca.org.uk/handbook.</w:t>
      </w:r>
    </w:p>
  </w:footnote>
  <w:footnote w:id="28">
    <w:p w14:paraId="57960D4D" w14:textId="06FDC555"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FCA, ‘Reader's Guide: An introduction to the Handbook’ (</w:t>
      </w:r>
      <w:r w:rsidR="006F47B2" w:rsidRPr="00F32592">
        <w:rPr>
          <w:sz w:val="20"/>
          <w:szCs w:val="20"/>
          <w:lang w:val="en-GB"/>
        </w:rPr>
        <w:t>January 2019</w:t>
      </w:r>
      <w:r w:rsidRPr="00F32592">
        <w:rPr>
          <w:sz w:val="20"/>
          <w:szCs w:val="20"/>
          <w:lang w:val="en-GB"/>
        </w:rPr>
        <w:t>)</w:t>
      </w:r>
      <w:r w:rsidR="003617D7">
        <w:rPr>
          <w:sz w:val="20"/>
          <w:szCs w:val="20"/>
          <w:lang w:val="en-GB"/>
        </w:rPr>
        <w:t>,</w:t>
      </w:r>
      <w:r w:rsidRPr="00F32592">
        <w:rPr>
          <w:sz w:val="20"/>
          <w:szCs w:val="20"/>
          <w:lang w:val="en-GB"/>
        </w:rPr>
        <w:t xml:space="preserve"> </w:t>
      </w:r>
      <w:r w:rsidR="006F47B2" w:rsidRPr="00F32592">
        <w:rPr>
          <w:sz w:val="20"/>
          <w:szCs w:val="20"/>
          <w:lang w:val="en-GB"/>
        </w:rPr>
        <w:t>www.handbook.fca.org.uk/handbook-readers-guide, 11.</w:t>
      </w:r>
    </w:p>
  </w:footnote>
  <w:footnote w:id="29">
    <w:p w14:paraId="078B05F0" w14:textId="09647AC0" w:rsidR="001379A4" w:rsidRPr="00182173" w:rsidRDefault="001379A4" w:rsidP="00E14136">
      <w:pPr>
        <w:rPr>
          <w:sz w:val="20"/>
          <w:szCs w:val="20"/>
        </w:rPr>
      </w:pPr>
      <w:r w:rsidRPr="00F32592">
        <w:rPr>
          <w:rStyle w:val="Alaviitteenviite"/>
          <w:sz w:val="20"/>
          <w:szCs w:val="20"/>
          <w:lang w:val="en-GB"/>
        </w:rPr>
        <w:footnoteRef/>
      </w:r>
      <w:r w:rsidRPr="00F32592">
        <w:rPr>
          <w:sz w:val="20"/>
          <w:szCs w:val="20"/>
          <w:lang w:val="en-GB"/>
        </w:rPr>
        <w:t xml:space="preserve"> S Post, ‘EU Soft Law Effects in Financial Regulation: Insights from the United Kingdom’ </w:t>
      </w:r>
      <w:r w:rsidR="003617D7">
        <w:rPr>
          <w:sz w:val="20"/>
          <w:szCs w:val="20"/>
          <w:lang w:val="en-GB"/>
        </w:rPr>
        <w:t xml:space="preserve">in </w:t>
      </w:r>
      <w:r w:rsidR="00603C1D" w:rsidRPr="00F32592">
        <w:rPr>
          <w:sz w:val="20"/>
          <w:szCs w:val="20"/>
          <w:lang w:val="en-GB"/>
        </w:rPr>
        <w:t>M Avbelj (ed)</w:t>
      </w:r>
      <w:r w:rsidR="003617D7">
        <w:rPr>
          <w:sz w:val="20"/>
          <w:szCs w:val="20"/>
          <w:lang w:val="en-GB"/>
        </w:rPr>
        <w:t>,</w:t>
      </w:r>
      <w:r w:rsidR="00603C1D" w:rsidRPr="00F32592">
        <w:rPr>
          <w:sz w:val="20"/>
          <w:szCs w:val="20"/>
          <w:lang w:val="en-GB"/>
        </w:rPr>
        <w:t xml:space="preserve"> ‘EU Financial Regulation Soft Law in the Member States’, (2020) SoLaR Working Paper</w:t>
      </w:r>
      <w:r w:rsidR="00182173" w:rsidRPr="00182173">
        <w:rPr>
          <w:sz w:val="20"/>
          <w:szCs w:val="20"/>
          <w:lang w:val="en-GB"/>
        </w:rPr>
        <w:t xml:space="preserve">, </w:t>
      </w:r>
      <w:r w:rsidR="00182173" w:rsidRPr="00182173">
        <w:rPr>
          <w:sz w:val="20"/>
          <w:szCs w:val="20"/>
        </w:rPr>
        <w:t>https://papers.ssrn.com/sol3/papers.cfm?abstract_id=3668793</w:t>
      </w:r>
      <w:r w:rsidRPr="00F32592">
        <w:rPr>
          <w:sz w:val="20"/>
          <w:szCs w:val="20"/>
          <w:lang w:val="en-GB"/>
        </w:rPr>
        <w:t xml:space="preserve">, </w:t>
      </w:r>
      <w:r w:rsidR="00603C1D" w:rsidRPr="00F32592">
        <w:rPr>
          <w:sz w:val="20"/>
          <w:szCs w:val="20"/>
          <w:lang w:val="en-GB"/>
        </w:rPr>
        <w:t>122</w:t>
      </w:r>
      <w:r w:rsidRPr="00F32592">
        <w:rPr>
          <w:sz w:val="20"/>
          <w:szCs w:val="20"/>
          <w:lang w:val="en-GB"/>
        </w:rPr>
        <w:t>.</w:t>
      </w:r>
    </w:p>
  </w:footnote>
  <w:footnote w:id="30">
    <w:p w14:paraId="6B861654" w14:textId="74C930C7"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ibid </w:t>
      </w:r>
      <w:r w:rsidR="005A6911" w:rsidRPr="00F32592">
        <w:rPr>
          <w:sz w:val="20"/>
          <w:szCs w:val="20"/>
          <w:lang w:val="en-GB"/>
        </w:rPr>
        <w:t>137</w:t>
      </w:r>
      <w:r w:rsidRPr="00F32592">
        <w:rPr>
          <w:sz w:val="20"/>
          <w:szCs w:val="20"/>
          <w:lang w:val="en-GB"/>
        </w:rPr>
        <w:t>.</w:t>
      </w:r>
    </w:p>
  </w:footnote>
  <w:footnote w:id="31">
    <w:p w14:paraId="12138F2D" w14:textId="6B1417FE" w:rsidR="001379A4" w:rsidRPr="00F32592" w:rsidRDefault="001379A4" w:rsidP="00E14136">
      <w:pPr>
        <w:rPr>
          <w:sz w:val="20"/>
          <w:szCs w:val="20"/>
          <w:lang w:val="en-GB"/>
        </w:rPr>
      </w:pPr>
      <w:r w:rsidRPr="00F32592">
        <w:rPr>
          <w:rStyle w:val="Alaviitteenviite"/>
          <w:sz w:val="20"/>
          <w:szCs w:val="20"/>
          <w:lang w:val="en-GB"/>
        </w:rPr>
        <w:footnoteRef/>
      </w:r>
      <w:r w:rsidR="005A6911" w:rsidRPr="00F32592">
        <w:rPr>
          <w:sz w:val="20"/>
          <w:szCs w:val="20"/>
          <w:lang w:val="en-GB"/>
        </w:rPr>
        <w:t xml:space="preserve"> M</w:t>
      </w:r>
      <w:r w:rsidRPr="00F32592">
        <w:rPr>
          <w:sz w:val="20"/>
          <w:szCs w:val="20"/>
          <w:lang w:val="en-GB"/>
        </w:rPr>
        <w:t xml:space="preserve"> van Rijsbergen, </w:t>
      </w:r>
      <w:r w:rsidRPr="00F32592">
        <w:rPr>
          <w:i/>
          <w:sz w:val="20"/>
          <w:szCs w:val="20"/>
          <w:lang w:val="en-GB"/>
        </w:rPr>
        <w:t>EU agencies’ soft rule-making: Lessons learnt from the European Securities and Markets Authority</w:t>
      </w:r>
      <w:r w:rsidRPr="00F32592">
        <w:rPr>
          <w:sz w:val="20"/>
          <w:szCs w:val="20"/>
          <w:lang w:val="en-GB"/>
        </w:rPr>
        <w:t xml:space="preserve"> (Dissertation, Utrecht University Repository</w:t>
      </w:r>
      <w:r w:rsidR="00C92C91" w:rsidRPr="00F32592">
        <w:rPr>
          <w:sz w:val="20"/>
          <w:szCs w:val="20"/>
          <w:lang w:val="en-GB"/>
        </w:rPr>
        <w:t>,</w:t>
      </w:r>
      <w:r w:rsidRPr="00F32592">
        <w:rPr>
          <w:sz w:val="20"/>
          <w:szCs w:val="20"/>
          <w:lang w:val="en-GB"/>
        </w:rPr>
        <w:t xml:space="preserve"> 2018).</w:t>
      </w:r>
    </w:p>
  </w:footnote>
  <w:footnote w:id="32">
    <w:p w14:paraId="5353A4A3" w14:textId="6EC5C96D" w:rsidR="001379A4" w:rsidRPr="00F32592" w:rsidRDefault="001379A4" w:rsidP="00E14136">
      <w:pPr>
        <w:pStyle w:val="Alaviitteenteksti"/>
      </w:pPr>
      <w:r w:rsidRPr="00F32592">
        <w:rPr>
          <w:rStyle w:val="Alaviitteenviite"/>
        </w:rPr>
        <w:footnoteRef/>
      </w:r>
      <w:r w:rsidRPr="00F32592">
        <w:t xml:space="preserve"> Dobbs</w:t>
      </w:r>
      <w:r w:rsidR="003617D7">
        <w:t>,</w:t>
      </w:r>
      <w:r w:rsidR="007338E7" w:rsidRPr="00F32592">
        <w:t xml:space="preserve"> </w:t>
      </w:r>
      <w:r w:rsidR="007338E7" w:rsidRPr="00F32592">
        <w:rPr>
          <w:lang w:val="en-US"/>
        </w:rPr>
        <w:t>‘</w:t>
      </w:r>
      <w:r w:rsidR="007338E7" w:rsidRPr="00F32592">
        <w:t>National Report’</w:t>
      </w:r>
      <w:r w:rsidRPr="00F32592">
        <w:t xml:space="preserve"> (n 2</w:t>
      </w:r>
      <w:r w:rsidR="00C92C91" w:rsidRPr="00F32592">
        <w:t>1</w:t>
      </w:r>
      <w:r w:rsidRPr="00F32592">
        <w:t xml:space="preserve">) </w:t>
      </w:r>
      <w:r w:rsidR="00FB68FA" w:rsidRPr="00F32592">
        <w:t>147</w:t>
      </w:r>
      <w:r w:rsidRPr="00F32592">
        <w:t>.</w:t>
      </w:r>
    </w:p>
  </w:footnote>
  <w:footnote w:id="33">
    <w:p w14:paraId="48B3ECED" w14:textId="4D6B35B3"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Edwards v Rhondda Cynon Taff County Borough Council</w:t>
      </w:r>
      <w:r w:rsidRPr="00F32592">
        <w:rPr>
          <w:sz w:val="20"/>
          <w:szCs w:val="20"/>
          <w:lang w:val="en-GB"/>
        </w:rPr>
        <w:t xml:space="preserve"> [2014] UKUT 435 (LC).</w:t>
      </w:r>
    </w:p>
  </w:footnote>
  <w:footnote w:id="34">
    <w:p w14:paraId="47740538" w14:textId="02D4B22C" w:rsidR="001379A4" w:rsidRPr="00F32592" w:rsidRDefault="001379A4" w:rsidP="00E14136">
      <w:pPr>
        <w:pStyle w:val="Alaviitteenteksti"/>
        <w:rPr>
          <w:lang w:val="en-US"/>
        </w:rPr>
      </w:pPr>
      <w:r w:rsidRPr="00F32592">
        <w:rPr>
          <w:rStyle w:val="Alaviitteenviite"/>
        </w:rPr>
        <w:footnoteRef/>
      </w:r>
      <w:r w:rsidRPr="00F32592">
        <w:t xml:space="preserve"> </w:t>
      </w:r>
      <w:r w:rsidRPr="00F32592">
        <w:rPr>
          <w:lang w:val="en-US"/>
        </w:rPr>
        <w:t xml:space="preserve">Stefan </w:t>
      </w:r>
      <w:r w:rsidR="00877B09" w:rsidRPr="00F32592">
        <w:rPr>
          <w:lang w:val="en-US"/>
        </w:rPr>
        <w:t xml:space="preserve">and </w:t>
      </w:r>
      <w:r w:rsidRPr="00F32592">
        <w:rPr>
          <w:lang w:val="en-US"/>
        </w:rPr>
        <w:t>Biondi</w:t>
      </w:r>
      <w:r w:rsidR="007338E7" w:rsidRPr="00F32592">
        <w:rPr>
          <w:lang w:val="en-US"/>
        </w:rPr>
        <w:t xml:space="preserve"> </w:t>
      </w:r>
      <w:r w:rsidR="00877B09" w:rsidRPr="00F32592">
        <w:rPr>
          <w:lang w:val="en-US"/>
        </w:rPr>
        <w:t>(</w:t>
      </w:r>
      <w:r w:rsidRPr="00F32592">
        <w:rPr>
          <w:lang w:val="en-US"/>
        </w:rPr>
        <w:t>n 2</w:t>
      </w:r>
      <w:r w:rsidR="001E74A6" w:rsidRPr="00F32592">
        <w:rPr>
          <w:lang w:val="en-US"/>
        </w:rPr>
        <w:t>6</w:t>
      </w:r>
      <w:r w:rsidR="00877B09" w:rsidRPr="00F32592">
        <w:rPr>
          <w:lang w:val="en-US"/>
        </w:rPr>
        <w:t>)</w:t>
      </w:r>
      <w:r w:rsidRPr="00F32592">
        <w:rPr>
          <w:lang w:val="en-US"/>
        </w:rPr>
        <w:t xml:space="preserve"> 1</w:t>
      </w:r>
      <w:r w:rsidR="00485DBD" w:rsidRPr="00F32592">
        <w:rPr>
          <w:lang w:val="en-US"/>
        </w:rPr>
        <w:t>89</w:t>
      </w:r>
      <w:r w:rsidRPr="00F32592">
        <w:rPr>
          <w:lang w:val="en-US"/>
        </w:rPr>
        <w:t>.</w:t>
      </w:r>
    </w:p>
  </w:footnote>
  <w:footnote w:id="35">
    <w:p w14:paraId="05A96DA5" w14:textId="5E8F6BD0"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Post (n 2</w:t>
      </w:r>
      <w:r w:rsidR="00B477C5" w:rsidRPr="00F32592">
        <w:rPr>
          <w:sz w:val="20"/>
          <w:szCs w:val="20"/>
          <w:lang w:val="en-GB"/>
        </w:rPr>
        <w:t>9</w:t>
      </w:r>
      <w:r w:rsidRPr="00F32592">
        <w:rPr>
          <w:sz w:val="20"/>
          <w:szCs w:val="20"/>
          <w:lang w:val="en-GB"/>
        </w:rPr>
        <w:t xml:space="preserve">) </w:t>
      </w:r>
      <w:r w:rsidR="00485DBD" w:rsidRPr="00F32592">
        <w:rPr>
          <w:sz w:val="20"/>
          <w:szCs w:val="20"/>
          <w:lang w:val="en-GB"/>
        </w:rPr>
        <w:t>136</w:t>
      </w:r>
      <w:r w:rsidRPr="00F32592">
        <w:rPr>
          <w:sz w:val="20"/>
          <w:szCs w:val="20"/>
          <w:lang w:val="en-GB"/>
        </w:rPr>
        <w:t>.</w:t>
      </w:r>
    </w:p>
  </w:footnote>
  <w:footnote w:id="36">
    <w:p w14:paraId="5EAB3C54" w14:textId="44260C6D"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000519BB" w:rsidRPr="00F32592">
        <w:rPr>
          <w:sz w:val="20"/>
          <w:szCs w:val="20"/>
          <w:lang w:val="en-GB"/>
        </w:rPr>
        <w:t xml:space="preserve">Natural England, </w:t>
      </w:r>
      <w:r w:rsidR="002B4278" w:rsidRPr="00F32592">
        <w:rPr>
          <w:sz w:val="20"/>
          <w:szCs w:val="20"/>
          <w:lang w:val="en-GB"/>
        </w:rPr>
        <w:t>‘</w:t>
      </w:r>
      <w:r w:rsidRPr="00F32592">
        <w:rPr>
          <w:sz w:val="20"/>
          <w:szCs w:val="20"/>
          <w:lang w:val="en-GB"/>
        </w:rPr>
        <w:t>Guidance</w:t>
      </w:r>
      <w:r w:rsidR="002B4278" w:rsidRPr="00F32592">
        <w:rPr>
          <w:sz w:val="20"/>
          <w:szCs w:val="20"/>
          <w:lang w:val="en-GB"/>
        </w:rPr>
        <w:t>.</w:t>
      </w:r>
      <w:r w:rsidRPr="00F32592">
        <w:rPr>
          <w:sz w:val="20"/>
          <w:szCs w:val="20"/>
          <w:lang w:val="en-GB"/>
        </w:rPr>
        <w:t xml:space="preserve"> </w:t>
      </w:r>
      <w:r w:rsidRPr="00F32592">
        <w:rPr>
          <w:sz w:val="20"/>
          <w:szCs w:val="20"/>
          <w:shd w:val="clear" w:color="auto" w:fill="FFFFFF"/>
          <w:lang w:val="en-GB"/>
        </w:rPr>
        <w:t>Great crested newts: protection and licences</w:t>
      </w:r>
      <w:r w:rsidR="002B4278" w:rsidRPr="00F32592">
        <w:rPr>
          <w:sz w:val="20"/>
          <w:szCs w:val="20"/>
          <w:shd w:val="clear" w:color="auto" w:fill="FFFFFF"/>
          <w:lang w:val="en-GB"/>
        </w:rPr>
        <w:t>’</w:t>
      </w:r>
      <w:r w:rsidRPr="00F32592">
        <w:rPr>
          <w:sz w:val="20"/>
          <w:szCs w:val="20"/>
          <w:shd w:val="clear" w:color="auto" w:fill="FFFFFF"/>
          <w:lang w:val="en-GB"/>
        </w:rPr>
        <w:t xml:space="preserve"> </w:t>
      </w:r>
      <w:r w:rsidR="002B4278" w:rsidRPr="00F32592">
        <w:rPr>
          <w:sz w:val="20"/>
          <w:szCs w:val="20"/>
          <w:shd w:val="clear" w:color="auto" w:fill="FFFFFF"/>
          <w:lang w:val="en-GB"/>
        </w:rPr>
        <w:t>(9 October 2014)</w:t>
      </w:r>
      <w:r w:rsidR="003617D7">
        <w:rPr>
          <w:sz w:val="20"/>
          <w:szCs w:val="20"/>
          <w:shd w:val="clear" w:color="auto" w:fill="FFFFFF"/>
          <w:lang w:val="en-GB"/>
        </w:rPr>
        <w:t>,</w:t>
      </w:r>
      <w:r w:rsidR="002B4278" w:rsidRPr="00F32592">
        <w:rPr>
          <w:sz w:val="20"/>
          <w:szCs w:val="20"/>
          <w:shd w:val="clear" w:color="auto" w:fill="FFFFFF"/>
          <w:lang w:val="en-GB"/>
        </w:rPr>
        <w:t xml:space="preserve"> </w:t>
      </w:r>
      <w:r w:rsidR="005A4724" w:rsidRPr="00F32592">
        <w:rPr>
          <w:sz w:val="20"/>
          <w:szCs w:val="20"/>
          <w:shd w:val="clear" w:color="auto" w:fill="FFFFFF"/>
          <w:lang w:val="en-GB"/>
        </w:rPr>
        <w:t xml:space="preserve">www.gov.uk/guidance/great-crested-newts-protection-surveys-and-licences; </w:t>
      </w:r>
      <w:r w:rsidR="000519BB" w:rsidRPr="00F32592">
        <w:rPr>
          <w:sz w:val="20"/>
          <w:szCs w:val="20"/>
          <w:shd w:val="clear" w:color="auto" w:fill="FFFFFF"/>
          <w:lang w:val="en-GB"/>
        </w:rPr>
        <w:t>Forestry Commission and Natural England, ‘Guidance. Manage and protect woodland wildlife’ (9 July 2018)</w:t>
      </w:r>
      <w:r w:rsidR="003617D7">
        <w:rPr>
          <w:sz w:val="20"/>
          <w:szCs w:val="20"/>
          <w:shd w:val="clear" w:color="auto" w:fill="FFFFFF"/>
          <w:lang w:val="en-GB"/>
        </w:rPr>
        <w:t>,</w:t>
      </w:r>
      <w:r w:rsidR="000519BB" w:rsidRPr="00F32592">
        <w:rPr>
          <w:sz w:val="20"/>
          <w:szCs w:val="20"/>
          <w:shd w:val="clear" w:color="auto" w:fill="FFFFFF"/>
          <w:lang w:val="en-GB"/>
        </w:rPr>
        <w:t xml:space="preserve"> </w:t>
      </w:r>
      <w:r w:rsidR="005A4724" w:rsidRPr="00F32592">
        <w:rPr>
          <w:sz w:val="20"/>
          <w:szCs w:val="20"/>
          <w:shd w:val="clear" w:color="auto" w:fill="FFFFFF"/>
          <w:lang w:val="en-GB"/>
        </w:rPr>
        <w:t>https://www.gov.uk/guidance/manage-and-protect-woodland-wildlife; ‘Guidance on managing woodlands with great crested newts in England’ version 3 (5 April 2016)</w:t>
      </w:r>
      <w:r w:rsidR="003617D7">
        <w:rPr>
          <w:sz w:val="20"/>
          <w:szCs w:val="20"/>
          <w:shd w:val="clear" w:color="auto" w:fill="FFFFFF"/>
          <w:lang w:val="en-GB"/>
        </w:rPr>
        <w:t>,</w:t>
      </w:r>
      <w:r w:rsidR="005A4724" w:rsidRPr="00F32592">
        <w:rPr>
          <w:sz w:val="20"/>
          <w:szCs w:val="20"/>
          <w:shd w:val="clear" w:color="auto" w:fill="FFFFFF"/>
          <w:lang w:val="en-GB"/>
        </w:rPr>
        <w:t xml:space="preserve"> https://assets.publishing.service.gov.uk/government/uploads/system/uploads/attachment_data/file/697602/england-protected-species-newt.pdf; European Commission, ‘</w:t>
      </w:r>
      <w:r w:rsidRPr="00F32592">
        <w:rPr>
          <w:sz w:val="20"/>
          <w:szCs w:val="20"/>
          <w:shd w:val="clear" w:color="auto" w:fill="FFFFFF"/>
          <w:lang w:val="en-GB"/>
        </w:rPr>
        <w:t>Guidance document on the strict protection of animal species of Community interest under the Habitats Directive 92/43/EEC</w:t>
      </w:r>
      <w:r w:rsidR="005A4724" w:rsidRPr="00F32592">
        <w:rPr>
          <w:sz w:val="20"/>
          <w:szCs w:val="20"/>
          <w:shd w:val="clear" w:color="auto" w:fill="FFFFFF"/>
          <w:lang w:val="en-GB"/>
        </w:rPr>
        <w:t>’ final version (February 2007)</w:t>
      </w:r>
      <w:r w:rsidR="003617D7">
        <w:rPr>
          <w:sz w:val="20"/>
          <w:szCs w:val="20"/>
          <w:shd w:val="clear" w:color="auto" w:fill="FFFFFF"/>
          <w:lang w:val="en-GB"/>
        </w:rPr>
        <w:t>,</w:t>
      </w:r>
      <w:r w:rsidR="005A4724" w:rsidRPr="00F32592">
        <w:rPr>
          <w:sz w:val="20"/>
          <w:szCs w:val="20"/>
          <w:shd w:val="clear" w:color="auto" w:fill="FFFFFF"/>
          <w:lang w:val="en-GB"/>
        </w:rPr>
        <w:t xml:space="preserve"> </w:t>
      </w:r>
      <w:r w:rsidRPr="00F32592">
        <w:rPr>
          <w:sz w:val="20"/>
          <w:szCs w:val="20"/>
          <w:shd w:val="clear" w:color="auto" w:fill="FFFFFF"/>
          <w:lang w:val="en-GB"/>
        </w:rPr>
        <w:t>ec.europa.eu/environment/nature/conservation/species/guidance/pdf/guidance_en.pdf</w:t>
      </w:r>
      <w:r w:rsidR="00C840EB" w:rsidRPr="00F32592">
        <w:rPr>
          <w:sz w:val="20"/>
          <w:szCs w:val="20"/>
          <w:shd w:val="clear" w:color="auto" w:fill="FFFFFF"/>
          <w:lang w:val="en-GB"/>
        </w:rPr>
        <w:t xml:space="preserve">; European Commission, ‘Guidance document. Wind energy developments and Natura 2000’ (2011) section 2.4.2, </w:t>
      </w:r>
      <w:r w:rsidRPr="00F32592">
        <w:rPr>
          <w:sz w:val="20"/>
          <w:szCs w:val="20"/>
          <w:lang w:val="en-GB"/>
        </w:rPr>
        <w:t xml:space="preserve">ec.europa.eu/environment/nature/natura2000/management/docs/Wind_farms.pdf, </w:t>
      </w:r>
      <w:r w:rsidR="00C840EB" w:rsidRPr="00F32592">
        <w:rPr>
          <w:sz w:val="20"/>
          <w:szCs w:val="20"/>
          <w:lang w:val="en-GB"/>
        </w:rPr>
        <w:t>to be compared to Natural England and DEFRA, ‘Guidance. Bats: surveys and mitigation for development projects’ (28 March 2015)</w:t>
      </w:r>
      <w:r w:rsidR="003617D7">
        <w:rPr>
          <w:sz w:val="20"/>
          <w:szCs w:val="20"/>
          <w:lang w:val="en-GB"/>
        </w:rPr>
        <w:t>,</w:t>
      </w:r>
      <w:r w:rsidR="00C840EB" w:rsidRPr="00F32592">
        <w:rPr>
          <w:sz w:val="20"/>
          <w:szCs w:val="20"/>
          <w:lang w:val="en-GB"/>
        </w:rPr>
        <w:t xml:space="preserve"> </w:t>
      </w:r>
      <w:r w:rsidRPr="00F32592">
        <w:rPr>
          <w:sz w:val="20"/>
          <w:szCs w:val="20"/>
          <w:lang w:val="en-GB"/>
        </w:rPr>
        <w:t>www.gov.uk/guidance/bats-surveys-and-mitigation-for-development-projects</w:t>
      </w:r>
      <w:r w:rsidRPr="00F32592">
        <w:rPr>
          <w:rStyle w:val="Hyperlinkki"/>
          <w:color w:val="auto"/>
          <w:sz w:val="20"/>
          <w:szCs w:val="20"/>
          <w:u w:val="none"/>
          <w:lang w:val="en-GB"/>
        </w:rPr>
        <w:t>.</w:t>
      </w:r>
    </w:p>
  </w:footnote>
  <w:footnote w:id="37">
    <w:p w14:paraId="6A364C9D" w14:textId="02B78BD1"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Commission Decisions on contract for differences and on capacity mechanism. See </w:t>
      </w:r>
      <w:r w:rsidR="00841310" w:rsidRPr="00F32592">
        <w:rPr>
          <w:sz w:val="20"/>
          <w:szCs w:val="20"/>
          <w:lang w:val="en-GB"/>
        </w:rPr>
        <w:t xml:space="preserve">European </w:t>
      </w:r>
      <w:r w:rsidRPr="00F32592">
        <w:rPr>
          <w:sz w:val="20"/>
          <w:szCs w:val="20"/>
          <w:lang w:val="en-GB"/>
        </w:rPr>
        <w:t>Commission</w:t>
      </w:r>
      <w:r w:rsidR="00841310" w:rsidRPr="00F32592">
        <w:rPr>
          <w:sz w:val="20"/>
          <w:szCs w:val="20"/>
          <w:lang w:val="en-GB"/>
        </w:rPr>
        <w:t>, ‘State aid: Commission authorises UK aid package for renewable electricity production’</w:t>
      </w:r>
      <w:r w:rsidRPr="00F32592">
        <w:rPr>
          <w:sz w:val="20"/>
          <w:szCs w:val="20"/>
          <w:lang w:val="en-GB"/>
        </w:rPr>
        <w:t xml:space="preserve"> </w:t>
      </w:r>
      <w:r w:rsidR="002B4278" w:rsidRPr="00F32592">
        <w:rPr>
          <w:sz w:val="20"/>
          <w:szCs w:val="20"/>
          <w:lang w:val="en-GB"/>
        </w:rPr>
        <w:t>(</w:t>
      </w:r>
      <w:r w:rsidRPr="00F32592">
        <w:rPr>
          <w:sz w:val="20"/>
          <w:szCs w:val="20"/>
          <w:lang w:val="en-GB"/>
        </w:rPr>
        <w:t>Press Release</w:t>
      </w:r>
      <w:r w:rsidR="002B4278" w:rsidRPr="00F32592">
        <w:rPr>
          <w:sz w:val="20"/>
          <w:szCs w:val="20"/>
          <w:lang w:val="en-GB"/>
        </w:rPr>
        <w:t xml:space="preserve">, </w:t>
      </w:r>
      <w:r w:rsidRPr="00F32592">
        <w:rPr>
          <w:sz w:val="20"/>
          <w:szCs w:val="20"/>
          <w:lang w:val="en-GB"/>
        </w:rPr>
        <w:t>23 July 2014</w:t>
      </w:r>
      <w:r w:rsidR="002B4278" w:rsidRPr="00F32592">
        <w:rPr>
          <w:sz w:val="20"/>
          <w:szCs w:val="20"/>
          <w:lang w:val="en-GB"/>
        </w:rPr>
        <w:t>)</w:t>
      </w:r>
      <w:r w:rsidR="003617D7">
        <w:rPr>
          <w:sz w:val="20"/>
          <w:szCs w:val="20"/>
          <w:lang w:val="en-GB"/>
        </w:rPr>
        <w:t>,</w:t>
      </w:r>
      <w:r w:rsidRPr="00F32592">
        <w:rPr>
          <w:sz w:val="20"/>
          <w:szCs w:val="20"/>
          <w:lang w:val="en-GB"/>
        </w:rPr>
        <w:t xml:space="preserve"> europa.eu/rapid/press-release_IP-14-866_en.htm.</w:t>
      </w:r>
    </w:p>
  </w:footnote>
  <w:footnote w:id="38">
    <w:p w14:paraId="402604AB" w14:textId="567B78B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00A81230" w:rsidRPr="00F32592">
        <w:rPr>
          <w:sz w:val="20"/>
          <w:szCs w:val="20"/>
          <w:lang w:val="en-GB"/>
        </w:rPr>
        <w:t>Department of Energy and Climate Change, ‘Electricity Market Reform: policy overview’ (November 2012)</w:t>
      </w:r>
      <w:r w:rsidR="003617D7">
        <w:rPr>
          <w:sz w:val="20"/>
          <w:szCs w:val="20"/>
          <w:lang w:val="en-GB"/>
        </w:rPr>
        <w:t>,</w:t>
      </w:r>
      <w:r w:rsidR="00A81230" w:rsidRPr="00F32592">
        <w:rPr>
          <w:sz w:val="20"/>
          <w:szCs w:val="20"/>
          <w:lang w:val="en-GB"/>
        </w:rPr>
        <w:t xml:space="preserve"> </w:t>
      </w:r>
      <w:r w:rsidR="00293400" w:rsidRPr="00F32592">
        <w:rPr>
          <w:sz w:val="20"/>
          <w:szCs w:val="20"/>
          <w:lang w:val="en-GB"/>
        </w:rPr>
        <w:t>assets.publishing.service.gov.uk/government/uploads/system/uploads/attachment_data/file/65634/7090-electricity-market-reform-policy-overview-.pd</w:t>
      </w:r>
      <w:r w:rsidR="00A81230" w:rsidRPr="00F32592">
        <w:rPr>
          <w:sz w:val="20"/>
          <w:szCs w:val="20"/>
          <w:lang w:val="en-GB"/>
        </w:rPr>
        <w:t xml:space="preserve">f. </w:t>
      </w:r>
    </w:p>
  </w:footnote>
  <w:footnote w:id="39">
    <w:p w14:paraId="0D8DE19A" w14:textId="481B9CCB"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00FF6880" w:rsidRPr="00F32592">
        <w:rPr>
          <w:sz w:val="20"/>
          <w:szCs w:val="20"/>
          <w:lang w:val="en-GB"/>
        </w:rPr>
        <w:t xml:space="preserve">European Commission, ‘Communication from the Commission – </w:t>
      </w:r>
      <w:r w:rsidRPr="00F32592">
        <w:rPr>
          <w:sz w:val="20"/>
          <w:szCs w:val="20"/>
          <w:lang w:val="en-GB"/>
        </w:rPr>
        <w:t>Guidelines on State aid for environmental protection and energy 2014-2020</w:t>
      </w:r>
      <w:r w:rsidR="00FF6880" w:rsidRPr="00F32592">
        <w:rPr>
          <w:sz w:val="20"/>
          <w:szCs w:val="20"/>
          <w:lang w:val="en-GB"/>
        </w:rPr>
        <w:t>’</w:t>
      </w:r>
      <w:r w:rsidRPr="00F32592">
        <w:rPr>
          <w:sz w:val="20"/>
          <w:szCs w:val="20"/>
          <w:lang w:val="en-GB"/>
        </w:rPr>
        <w:t xml:space="preserve"> </w:t>
      </w:r>
      <w:r w:rsidR="00A962EB" w:rsidRPr="00F32592">
        <w:rPr>
          <w:sz w:val="20"/>
          <w:szCs w:val="20"/>
          <w:lang w:val="en-GB"/>
        </w:rPr>
        <w:t>[2014] OJ C 200/1.</w:t>
      </w:r>
    </w:p>
  </w:footnote>
  <w:footnote w:id="40">
    <w:p w14:paraId="17147D61" w14:textId="59D2C944"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E McGaughey, ‘Soft Social Law in the United Kingdom’</w:t>
      </w:r>
      <w:r w:rsidR="00485DBD" w:rsidRPr="00F32592">
        <w:rPr>
          <w:sz w:val="20"/>
          <w:szCs w:val="20"/>
          <w:lang w:val="en-GB"/>
        </w:rPr>
        <w:t xml:space="preserve"> in </w:t>
      </w:r>
      <w:r w:rsidR="00485DBD" w:rsidRPr="00F32592">
        <w:rPr>
          <w:sz w:val="20"/>
          <w:szCs w:val="20"/>
          <w:lang w:val="en-US"/>
        </w:rPr>
        <w:t>M Hartlapp (ed)</w:t>
      </w:r>
      <w:r w:rsidR="003617D7">
        <w:rPr>
          <w:sz w:val="20"/>
          <w:szCs w:val="20"/>
          <w:lang w:val="en-US"/>
        </w:rPr>
        <w:t>,</w:t>
      </w:r>
      <w:r w:rsidR="00485DBD" w:rsidRPr="00F32592">
        <w:rPr>
          <w:sz w:val="20"/>
          <w:szCs w:val="20"/>
          <w:lang w:val="en-US"/>
        </w:rPr>
        <w:t xml:space="preserve"> ‘Studying EU soft law effects in social policy’, (2020) SoLaR Working Paper</w:t>
      </w:r>
      <w:r w:rsidR="00AE0B28">
        <w:rPr>
          <w:sz w:val="20"/>
          <w:szCs w:val="20"/>
          <w:lang w:val="en-US"/>
        </w:rPr>
        <w:t>,</w:t>
      </w:r>
      <w:r w:rsidR="00485DBD" w:rsidRPr="00F32592">
        <w:rPr>
          <w:sz w:val="20"/>
          <w:szCs w:val="20"/>
          <w:lang w:val="en-US"/>
        </w:rPr>
        <w:t xml:space="preserve"> </w:t>
      </w:r>
      <w:hyperlink r:id="rId1" w:history="1">
        <w:r w:rsidR="00485DBD" w:rsidRPr="00F32592">
          <w:rPr>
            <w:rStyle w:val="Hyperlinkki"/>
            <w:rFonts w:eastAsiaTheme="majorEastAsia"/>
            <w:color w:val="auto"/>
            <w:sz w:val="20"/>
            <w:szCs w:val="20"/>
            <w:u w:val="none"/>
            <w:lang w:val="en-US"/>
          </w:rPr>
          <w:t>https://papers.ssrn.com/sol3/papers.cfm?abstract_id=3668981</w:t>
        </w:r>
      </w:hyperlink>
      <w:r w:rsidR="00485DBD" w:rsidRPr="00F32592">
        <w:rPr>
          <w:rStyle w:val="Hyperlinkki"/>
          <w:rFonts w:eastAsiaTheme="majorEastAsia"/>
          <w:color w:val="auto"/>
          <w:sz w:val="20"/>
          <w:szCs w:val="20"/>
          <w:u w:val="none"/>
          <w:lang w:val="en-US"/>
        </w:rPr>
        <w:t>, 107</w:t>
      </w:r>
      <w:r w:rsidRPr="00F32592">
        <w:rPr>
          <w:sz w:val="20"/>
          <w:szCs w:val="20"/>
          <w:lang w:val="en-GB"/>
        </w:rPr>
        <w:t>.</w:t>
      </w:r>
    </w:p>
  </w:footnote>
  <w:footnote w:id="41">
    <w:p w14:paraId="081AC111" w14:textId="1DD0807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Van Rijsbergen (n 3</w:t>
      </w:r>
      <w:r w:rsidR="00B61C9C" w:rsidRPr="00F32592">
        <w:rPr>
          <w:sz w:val="20"/>
          <w:szCs w:val="20"/>
          <w:lang w:val="en-GB"/>
        </w:rPr>
        <w:t>1</w:t>
      </w:r>
      <w:r w:rsidRPr="00F32592">
        <w:rPr>
          <w:sz w:val="20"/>
          <w:szCs w:val="20"/>
          <w:lang w:val="en-GB"/>
        </w:rPr>
        <w:t>) 108.</w:t>
      </w:r>
    </w:p>
  </w:footnote>
  <w:footnote w:id="42">
    <w:p w14:paraId="2092F471" w14:textId="31DB917F" w:rsidR="001379A4" w:rsidRPr="00F32592" w:rsidRDefault="001379A4" w:rsidP="00E14136">
      <w:pPr>
        <w:pStyle w:val="Alaviitteenteksti"/>
      </w:pPr>
      <w:r w:rsidRPr="00F32592">
        <w:rPr>
          <w:rStyle w:val="Alaviitteenviite"/>
        </w:rPr>
        <w:footnoteRef/>
      </w:r>
      <w:r w:rsidRPr="00F32592">
        <w:t xml:space="preserve"> </w:t>
      </w:r>
      <w:r w:rsidR="001E74A6" w:rsidRPr="00F32592">
        <w:rPr>
          <w:lang w:val="en-US"/>
        </w:rPr>
        <w:t>Stefan and Biondi</w:t>
      </w:r>
      <w:r w:rsidR="007338E7" w:rsidRPr="00F32592">
        <w:rPr>
          <w:lang w:val="en-US"/>
        </w:rPr>
        <w:t xml:space="preserve"> </w:t>
      </w:r>
      <w:r w:rsidR="001E74A6" w:rsidRPr="00F32592">
        <w:rPr>
          <w:lang w:val="en-US"/>
        </w:rPr>
        <w:t xml:space="preserve">(n 26) </w:t>
      </w:r>
      <w:r w:rsidR="00485DBD" w:rsidRPr="00F32592">
        <w:rPr>
          <w:lang w:val="en-US"/>
        </w:rPr>
        <w:t>188</w:t>
      </w:r>
      <w:r w:rsidRPr="00F32592">
        <w:rPr>
          <w:lang w:val="en-US"/>
        </w:rPr>
        <w:t>.</w:t>
      </w:r>
    </w:p>
  </w:footnote>
  <w:footnote w:id="43">
    <w:p w14:paraId="45A6458B" w14:textId="32F85DE2"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Morge, R (on the application of) v Hampshire County Council</w:t>
      </w:r>
      <w:r w:rsidRPr="00F32592">
        <w:rPr>
          <w:sz w:val="20"/>
          <w:szCs w:val="20"/>
          <w:lang w:val="en-GB"/>
        </w:rPr>
        <w:t xml:space="preserve"> [2010] EWCA Civ 608, </w:t>
      </w:r>
      <w:r w:rsidR="00872553" w:rsidRPr="00F32592">
        <w:rPr>
          <w:sz w:val="20"/>
          <w:szCs w:val="20"/>
          <w:lang w:val="en-GB"/>
        </w:rPr>
        <w:t xml:space="preserve">para </w:t>
      </w:r>
      <w:r w:rsidRPr="00F32592">
        <w:rPr>
          <w:sz w:val="20"/>
          <w:szCs w:val="20"/>
          <w:lang w:val="en-GB"/>
        </w:rPr>
        <w:t>24.</w:t>
      </w:r>
    </w:p>
  </w:footnote>
  <w:footnote w:id="44">
    <w:p w14:paraId="06D20CCD" w14:textId="60A466A1" w:rsidR="001379A4" w:rsidRPr="00F32592" w:rsidRDefault="001379A4" w:rsidP="00E14136">
      <w:pPr>
        <w:pStyle w:val="Alaviitteenteksti"/>
        <w:rPr>
          <w:lang w:val="en-US"/>
        </w:rPr>
      </w:pPr>
      <w:r w:rsidRPr="00F32592">
        <w:rPr>
          <w:rStyle w:val="Alaviitteenviite"/>
        </w:rPr>
        <w:footnoteRef/>
      </w:r>
      <w:r w:rsidRPr="00F32592">
        <w:t xml:space="preserve"> </w:t>
      </w:r>
      <w:r w:rsidR="001E74A6" w:rsidRPr="00F32592">
        <w:rPr>
          <w:lang w:val="en-US"/>
        </w:rPr>
        <w:t>Stefan and Biondi</w:t>
      </w:r>
      <w:r w:rsidR="007338E7" w:rsidRPr="00F32592">
        <w:rPr>
          <w:lang w:val="en-US"/>
        </w:rPr>
        <w:t xml:space="preserve"> </w:t>
      </w:r>
      <w:r w:rsidR="001E74A6" w:rsidRPr="00F32592">
        <w:rPr>
          <w:lang w:val="en-US"/>
        </w:rPr>
        <w:t>(n 26)</w:t>
      </w:r>
      <w:r w:rsidRPr="00F32592">
        <w:rPr>
          <w:lang w:val="en-US"/>
        </w:rPr>
        <w:t xml:space="preserve"> </w:t>
      </w:r>
      <w:r w:rsidR="00485DBD" w:rsidRPr="00F32592">
        <w:rPr>
          <w:lang w:val="en-US"/>
        </w:rPr>
        <w:t>190</w:t>
      </w:r>
      <w:r w:rsidRPr="00F32592">
        <w:rPr>
          <w:lang w:val="en-US"/>
        </w:rPr>
        <w:t>.</w:t>
      </w:r>
    </w:p>
  </w:footnote>
  <w:footnote w:id="45">
    <w:p w14:paraId="718DD66E" w14:textId="7CFC2AD4" w:rsidR="001379A4" w:rsidRPr="00F32592" w:rsidRDefault="001379A4" w:rsidP="00E14136">
      <w:pPr>
        <w:pStyle w:val="Alaviitteenteksti"/>
      </w:pPr>
      <w:r w:rsidRPr="00F32592">
        <w:rPr>
          <w:rStyle w:val="Alaviitteenviite"/>
        </w:rPr>
        <w:footnoteRef/>
      </w:r>
      <w:r w:rsidRPr="00F32592">
        <w:t xml:space="preserve"> T Devine and M Eliantonio, </w:t>
      </w:r>
      <w:r w:rsidRPr="00F32592">
        <w:rPr>
          <w:lang w:val="en-US"/>
        </w:rPr>
        <w:t>‘</w:t>
      </w:r>
      <w:r w:rsidRPr="00F32592">
        <w:t xml:space="preserve">EU Soft Law in the Hands of National Authorities: The Case Study of the UK Competition and Markets Authority’ (2018) 11 </w:t>
      </w:r>
      <w:r w:rsidRPr="00F32592">
        <w:rPr>
          <w:i/>
        </w:rPr>
        <w:t xml:space="preserve">Review of European Administrative Law </w:t>
      </w:r>
      <w:r w:rsidRPr="00F32592">
        <w:t>71.</w:t>
      </w:r>
    </w:p>
  </w:footnote>
  <w:footnote w:id="46">
    <w:p w14:paraId="16A1E492" w14:textId="521DF890" w:rsidR="001379A4" w:rsidRPr="00F32592" w:rsidRDefault="001379A4" w:rsidP="00E14136">
      <w:pPr>
        <w:pStyle w:val="Alaviitteenteksti"/>
        <w:rPr>
          <w:lang w:val="en-US"/>
        </w:rPr>
      </w:pPr>
      <w:r w:rsidRPr="00F32592">
        <w:rPr>
          <w:rStyle w:val="Alaviitteenviite"/>
        </w:rPr>
        <w:footnoteRef/>
      </w:r>
      <w:r w:rsidR="001E74A6" w:rsidRPr="00F32592">
        <w:t xml:space="preserve"> </w:t>
      </w:r>
      <w:r w:rsidR="001E74A6" w:rsidRPr="00F32592">
        <w:rPr>
          <w:lang w:val="en-US"/>
        </w:rPr>
        <w:t>Stefan and Biondi</w:t>
      </w:r>
      <w:r w:rsidR="007338E7" w:rsidRPr="00F32592">
        <w:rPr>
          <w:lang w:val="en-US"/>
        </w:rPr>
        <w:t xml:space="preserve"> </w:t>
      </w:r>
      <w:r w:rsidR="001E74A6" w:rsidRPr="00F32592">
        <w:rPr>
          <w:lang w:val="en-US"/>
        </w:rPr>
        <w:t xml:space="preserve">(n 26) </w:t>
      </w:r>
      <w:r w:rsidR="00485DBD" w:rsidRPr="00F32592">
        <w:rPr>
          <w:lang w:val="en-US"/>
        </w:rPr>
        <w:t>185</w:t>
      </w:r>
      <w:r w:rsidR="003617D7">
        <w:rPr>
          <w:lang w:val="en-US"/>
        </w:rPr>
        <w:t>–</w:t>
      </w:r>
      <w:r w:rsidR="00485DBD" w:rsidRPr="00F32592">
        <w:rPr>
          <w:lang w:val="en-US"/>
        </w:rPr>
        <w:t>186</w:t>
      </w:r>
      <w:r w:rsidRPr="00F32592">
        <w:rPr>
          <w:lang w:val="en-US"/>
        </w:rPr>
        <w:t>.</w:t>
      </w:r>
    </w:p>
  </w:footnote>
  <w:footnote w:id="47">
    <w:p w14:paraId="55705341" w14:textId="4544A410"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Post</w:t>
      </w:r>
      <w:r w:rsidR="007338E7" w:rsidRPr="00F32592">
        <w:rPr>
          <w:sz w:val="20"/>
          <w:szCs w:val="20"/>
          <w:lang w:val="en-GB"/>
        </w:rPr>
        <w:t xml:space="preserve"> </w:t>
      </w:r>
      <w:r w:rsidRPr="00F32592">
        <w:rPr>
          <w:sz w:val="20"/>
          <w:szCs w:val="20"/>
          <w:lang w:val="en-GB"/>
        </w:rPr>
        <w:t>(n 2</w:t>
      </w:r>
      <w:r w:rsidR="00F70F52" w:rsidRPr="00F32592">
        <w:rPr>
          <w:sz w:val="20"/>
          <w:szCs w:val="20"/>
          <w:lang w:val="en-GB"/>
        </w:rPr>
        <w:t>9</w:t>
      </w:r>
      <w:r w:rsidRPr="00F32592">
        <w:rPr>
          <w:sz w:val="20"/>
          <w:szCs w:val="20"/>
          <w:lang w:val="en-GB"/>
        </w:rPr>
        <w:t xml:space="preserve">) </w:t>
      </w:r>
      <w:r w:rsidR="00485DBD" w:rsidRPr="00F32592">
        <w:rPr>
          <w:sz w:val="20"/>
          <w:szCs w:val="20"/>
          <w:lang w:val="en-GB"/>
        </w:rPr>
        <w:t>138</w:t>
      </w:r>
      <w:r w:rsidRPr="00F32592">
        <w:rPr>
          <w:sz w:val="20"/>
          <w:szCs w:val="20"/>
          <w:lang w:val="en-GB"/>
        </w:rPr>
        <w:t>.</w:t>
      </w:r>
    </w:p>
  </w:footnote>
  <w:footnote w:id="48">
    <w:p w14:paraId="2D685C57" w14:textId="2001345A"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McGaughey</w:t>
      </w:r>
      <w:r w:rsidR="009F3886" w:rsidRPr="00F32592">
        <w:rPr>
          <w:sz w:val="20"/>
          <w:szCs w:val="20"/>
          <w:lang w:val="en-GB"/>
        </w:rPr>
        <w:t xml:space="preserve"> </w:t>
      </w:r>
      <w:r w:rsidRPr="00F32592">
        <w:rPr>
          <w:sz w:val="20"/>
          <w:szCs w:val="20"/>
          <w:lang w:val="en-GB"/>
        </w:rPr>
        <w:t xml:space="preserve">(n </w:t>
      </w:r>
      <w:r w:rsidR="00F70F52" w:rsidRPr="00F32592">
        <w:rPr>
          <w:sz w:val="20"/>
          <w:szCs w:val="20"/>
          <w:lang w:val="en-GB"/>
        </w:rPr>
        <w:t>40</w:t>
      </w:r>
      <w:r w:rsidRPr="00F32592">
        <w:rPr>
          <w:sz w:val="20"/>
          <w:szCs w:val="20"/>
          <w:lang w:val="en-GB"/>
        </w:rPr>
        <w:t xml:space="preserve">) </w:t>
      </w:r>
      <w:r w:rsidR="00485DBD" w:rsidRPr="00F32592">
        <w:rPr>
          <w:sz w:val="20"/>
          <w:szCs w:val="20"/>
          <w:lang w:val="en-GB"/>
        </w:rPr>
        <w:t>113</w:t>
      </w:r>
      <w:r w:rsidRPr="00F32592">
        <w:rPr>
          <w:sz w:val="20"/>
          <w:szCs w:val="20"/>
          <w:lang w:val="en-GB"/>
        </w:rPr>
        <w:t>.</w:t>
      </w:r>
    </w:p>
  </w:footnote>
  <w:footnote w:id="49">
    <w:p w14:paraId="762BB95A" w14:textId="52A1D187" w:rsidR="001379A4" w:rsidRPr="00F32592" w:rsidRDefault="001379A4" w:rsidP="00E14136">
      <w:pPr>
        <w:pStyle w:val="Alaviitteenteksti"/>
        <w:rPr>
          <w:lang w:val="en-US"/>
        </w:rPr>
      </w:pPr>
      <w:r w:rsidRPr="00F32592">
        <w:rPr>
          <w:rStyle w:val="Alaviitteenviite"/>
        </w:rPr>
        <w:footnoteRef/>
      </w:r>
      <w:r w:rsidR="00593936" w:rsidRPr="00F32592">
        <w:rPr>
          <w:lang w:val="en-US"/>
        </w:rPr>
        <w:t xml:space="preserve"> Stefan and Biondi (n 26) </w:t>
      </w:r>
      <w:r w:rsidR="00485DBD" w:rsidRPr="00F32592">
        <w:rPr>
          <w:lang w:val="en-US"/>
        </w:rPr>
        <w:t>189</w:t>
      </w:r>
      <w:r w:rsidRPr="00F32592">
        <w:rPr>
          <w:lang w:val="en-US"/>
        </w:rPr>
        <w:t>.</w:t>
      </w:r>
    </w:p>
  </w:footnote>
  <w:footnote w:id="50">
    <w:p w14:paraId="16B1D3E4" w14:textId="0B0FB05A" w:rsidR="001379A4" w:rsidRPr="00F32592" w:rsidRDefault="001379A4" w:rsidP="00E14136">
      <w:pPr>
        <w:pStyle w:val="Alaviitteenteksti"/>
      </w:pPr>
      <w:r w:rsidRPr="00F32592">
        <w:rPr>
          <w:rStyle w:val="Alaviitteenviite"/>
        </w:rPr>
        <w:footnoteRef/>
      </w:r>
      <w:r w:rsidRPr="00F32592">
        <w:t xml:space="preserve"> </w:t>
      </w:r>
      <w:r w:rsidRPr="00F32592">
        <w:rPr>
          <w:lang w:val="en-GB"/>
        </w:rPr>
        <w:t>Post</w:t>
      </w:r>
      <w:r w:rsidR="000D1BED">
        <w:rPr>
          <w:lang w:val="en-GB"/>
        </w:rPr>
        <w:t>,</w:t>
      </w:r>
      <w:r w:rsidR="009F3886" w:rsidRPr="00F32592">
        <w:rPr>
          <w:lang w:val="en-GB"/>
        </w:rPr>
        <w:t xml:space="preserve"> ‘EU Soft Law Effects’</w:t>
      </w:r>
      <w:r w:rsidRPr="00F32592">
        <w:rPr>
          <w:lang w:val="en-GB"/>
        </w:rPr>
        <w:t xml:space="preserve"> (n 2</w:t>
      </w:r>
      <w:r w:rsidR="00593936" w:rsidRPr="00F32592">
        <w:rPr>
          <w:lang w:val="en-GB"/>
        </w:rPr>
        <w:t>9</w:t>
      </w:r>
      <w:r w:rsidRPr="00F32592">
        <w:rPr>
          <w:lang w:val="en-GB"/>
        </w:rPr>
        <w:t xml:space="preserve">) </w:t>
      </w:r>
      <w:r w:rsidR="00485DBD" w:rsidRPr="00F32592">
        <w:rPr>
          <w:lang w:val="en-GB"/>
        </w:rPr>
        <w:t>140</w:t>
      </w:r>
      <w:r w:rsidRPr="00F32592">
        <w:rPr>
          <w:lang w:val="en-GB"/>
        </w:rPr>
        <w:t>.</w:t>
      </w:r>
    </w:p>
  </w:footnote>
  <w:footnote w:id="51">
    <w:p w14:paraId="279FCE5E" w14:textId="039F7B59" w:rsidR="001379A4" w:rsidRPr="00AE0B28" w:rsidRDefault="001379A4" w:rsidP="00E14136">
      <w:pPr>
        <w:pStyle w:val="Alaviitteenteksti"/>
        <w:rPr>
          <w:lang w:val="en-US"/>
        </w:rPr>
      </w:pPr>
      <w:r w:rsidRPr="00F32592">
        <w:rPr>
          <w:rStyle w:val="Alaviitteenviite"/>
        </w:rPr>
        <w:footnoteRef/>
      </w:r>
      <w:r w:rsidRPr="00F32592">
        <w:t xml:space="preserve"> </w:t>
      </w:r>
      <w:r w:rsidRPr="00F32592">
        <w:rPr>
          <w:lang w:val="en-US"/>
        </w:rPr>
        <w:t>Stefan</w:t>
      </w:r>
      <w:r w:rsidR="00593936" w:rsidRPr="00F32592">
        <w:rPr>
          <w:lang w:val="en-US"/>
        </w:rPr>
        <w:t xml:space="preserve"> and </w:t>
      </w:r>
      <w:r w:rsidRPr="00F32592">
        <w:rPr>
          <w:lang w:val="en-US"/>
        </w:rPr>
        <w:t>Biondi (n 2</w:t>
      </w:r>
      <w:r w:rsidR="00593936" w:rsidRPr="00F32592">
        <w:rPr>
          <w:lang w:val="en-US"/>
        </w:rPr>
        <w:t>6</w:t>
      </w:r>
      <w:r w:rsidRPr="00F32592">
        <w:rPr>
          <w:lang w:val="en-US"/>
        </w:rPr>
        <w:t xml:space="preserve">) </w:t>
      </w:r>
      <w:r w:rsidR="00485DBD" w:rsidRPr="00F32592">
        <w:rPr>
          <w:lang w:val="en-US"/>
        </w:rPr>
        <w:t>186</w:t>
      </w:r>
      <w:r w:rsidR="00AE0B28">
        <w:rPr>
          <w:lang w:val="en-US"/>
        </w:rPr>
        <w:t>–</w:t>
      </w:r>
      <w:r w:rsidR="00485DBD" w:rsidRPr="00F32592">
        <w:rPr>
          <w:lang w:val="en-US"/>
        </w:rPr>
        <w:t>188</w:t>
      </w:r>
      <w:r w:rsidRPr="00F32592">
        <w:rPr>
          <w:lang w:val="en-US"/>
        </w:rPr>
        <w:t>.</w:t>
      </w:r>
    </w:p>
  </w:footnote>
  <w:footnote w:id="52">
    <w:p w14:paraId="7D8E6B60" w14:textId="7538E63C"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See for instance in State aid </w:t>
      </w:r>
      <w:r w:rsidRPr="00F32592">
        <w:rPr>
          <w:i/>
          <w:iCs/>
          <w:sz w:val="20"/>
          <w:szCs w:val="20"/>
          <w:lang w:val="en-GB"/>
        </w:rPr>
        <w:t>R (Sky Blue Sports &amp; Leisure Ltd) v Coventry City Council</w:t>
      </w:r>
      <w:r w:rsidRPr="00F32592">
        <w:rPr>
          <w:sz w:val="20"/>
          <w:szCs w:val="20"/>
          <w:lang w:val="en-GB"/>
        </w:rPr>
        <w:t xml:space="preserve"> [2014] EWHC 2089 (Admin)</w:t>
      </w:r>
      <w:r w:rsidR="006473BD" w:rsidRPr="00F32592">
        <w:rPr>
          <w:sz w:val="20"/>
          <w:szCs w:val="20"/>
          <w:lang w:val="en-GB"/>
        </w:rPr>
        <w:t>,</w:t>
      </w:r>
      <w:r w:rsidRPr="00F32592">
        <w:rPr>
          <w:sz w:val="20"/>
          <w:szCs w:val="20"/>
          <w:lang w:val="en-GB"/>
        </w:rPr>
        <w:t xml:space="preserve"> confirmed in </w:t>
      </w:r>
      <w:r w:rsidRPr="00F32592">
        <w:rPr>
          <w:i/>
          <w:iCs/>
          <w:sz w:val="20"/>
          <w:szCs w:val="20"/>
          <w:lang w:val="en-GB"/>
        </w:rPr>
        <w:t>R (Sky Blue Sports and Leisure Ltd) v Coventry City Council</w:t>
      </w:r>
      <w:r w:rsidRPr="00F32592">
        <w:rPr>
          <w:sz w:val="20"/>
          <w:szCs w:val="20"/>
          <w:lang w:val="en-GB"/>
        </w:rPr>
        <w:t xml:space="preserve"> [2016] EWCA Civ </w:t>
      </w:r>
      <w:r w:rsidR="006473BD" w:rsidRPr="00F32592">
        <w:rPr>
          <w:sz w:val="20"/>
          <w:szCs w:val="20"/>
          <w:lang w:val="en-GB"/>
        </w:rPr>
        <w:t xml:space="preserve">453, </w:t>
      </w:r>
      <w:r w:rsidRPr="00F32592">
        <w:rPr>
          <w:sz w:val="20"/>
          <w:szCs w:val="20"/>
          <w:lang w:val="en-GB"/>
        </w:rPr>
        <w:t xml:space="preserve">and in environment </w:t>
      </w:r>
      <w:r w:rsidR="00BB2982" w:rsidRPr="00F32592">
        <w:rPr>
          <w:i/>
          <w:iCs/>
          <w:sz w:val="20"/>
          <w:szCs w:val="20"/>
          <w:lang w:val="en-GB"/>
        </w:rPr>
        <w:t xml:space="preserve">Loader, </w:t>
      </w:r>
      <w:r w:rsidRPr="00F32592">
        <w:rPr>
          <w:i/>
          <w:iCs/>
          <w:sz w:val="20"/>
          <w:szCs w:val="20"/>
          <w:lang w:val="en-GB"/>
        </w:rPr>
        <w:t>R (on the application of) v Secretary of State for Communities and Local Gover</w:t>
      </w:r>
      <w:r w:rsidR="0076706D" w:rsidRPr="00F32592">
        <w:rPr>
          <w:i/>
          <w:iCs/>
          <w:sz w:val="20"/>
          <w:szCs w:val="20"/>
          <w:lang w:val="en-GB"/>
        </w:rPr>
        <w:t>n</w:t>
      </w:r>
      <w:r w:rsidRPr="00F32592">
        <w:rPr>
          <w:i/>
          <w:iCs/>
          <w:sz w:val="20"/>
          <w:szCs w:val="20"/>
          <w:lang w:val="en-GB"/>
        </w:rPr>
        <w:t xml:space="preserve">ment &amp; Ors </w:t>
      </w:r>
      <w:r w:rsidRPr="00F32592">
        <w:rPr>
          <w:sz w:val="20"/>
          <w:szCs w:val="20"/>
          <w:lang w:val="en-GB"/>
        </w:rPr>
        <w:t>[2012] EWCA Civ 869.</w:t>
      </w:r>
    </w:p>
  </w:footnote>
  <w:footnote w:id="53">
    <w:p w14:paraId="5BBA4A65" w14:textId="637CA6F9" w:rsidR="001379A4" w:rsidRPr="00F32592" w:rsidRDefault="001379A4" w:rsidP="00E14136">
      <w:pPr>
        <w:rPr>
          <w:sz w:val="20"/>
          <w:szCs w:val="20"/>
          <w:highlight w:val="yellow"/>
          <w:lang w:val="en-GB"/>
        </w:rPr>
      </w:pPr>
      <w:r w:rsidRPr="00F32592">
        <w:rPr>
          <w:rStyle w:val="Alaviitteenviite"/>
          <w:sz w:val="20"/>
          <w:szCs w:val="20"/>
          <w:lang w:val="en-GB"/>
        </w:rPr>
        <w:footnoteRef/>
      </w:r>
      <w:r w:rsidRPr="00F32592">
        <w:rPr>
          <w:sz w:val="20"/>
          <w:szCs w:val="20"/>
          <w:lang w:val="en-GB"/>
        </w:rPr>
        <w:t xml:space="preserve"> </w:t>
      </w:r>
      <w:r w:rsidRPr="00F32592">
        <w:rPr>
          <w:i/>
          <w:iCs/>
          <w:sz w:val="20"/>
          <w:szCs w:val="20"/>
          <w:lang w:val="en-GB"/>
        </w:rPr>
        <w:t>An Taisce (The National Trust for Ireland), R (on the Application of) v The Secretary of State for Energy and Climate Change &amp; Anor</w:t>
      </w:r>
      <w:r w:rsidRPr="00F32592">
        <w:rPr>
          <w:sz w:val="20"/>
          <w:szCs w:val="20"/>
          <w:lang w:val="en-GB"/>
        </w:rPr>
        <w:t xml:space="preserve"> [2014] EWCA Civ 1111, </w:t>
      </w:r>
      <w:r w:rsidR="00720284" w:rsidRPr="00F32592">
        <w:rPr>
          <w:sz w:val="20"/>
          <w:szCs w:val="20"/>
          <w:lang w:val="en-GB"/>
        </w:rPr>
        <w:t xml:space="preserve">para </w:t>
      </w:r>
      <w:r w:rsidRPr="00F32592">
        <w:rPr>
          <w:sz w:val="20"/>
          <w:szCs w:val="20"/>
          <w:lang w:val="en-GB"/>
        </w:rPr>
        <w:t>144.</w:t>
      </w:r>
    </w:p>
  </w:footnote>
  <w:footnote w:id="54">
    <w:p w14:paraId="14C4E820" w14:textId="3123624A"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The Royal Society for the Protection of Birds, Re Judicial Review</w:t>
      </w:r>
      <w:r w:rsidRPr="00F32592">
        <w:rPr>
          <w:sz w:val="20"/>
          <w:szCs w:val="20"/>
          <w:lang w:val="en-GB"/>
        </w:rPr>
        <w:t xml:space="preserve"> [2016] ScotCS CSOH_103, 250.</w:t>
      </w:r>
    </w:p>
  </w:footnote>
  <w:footnote w:id="55">
    <w:p w14:paraId="6109C886" w14:textId="6D9672EE"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iCs/>
          <w:sz w:val="20"/>
          <w:szCs w:val="20"/>
          <w:lang w:val="en-GB"/>
        </w:rPr>
        <w:t>R (Sky Blue Sports &amp; Leisure Ltd) v Coventry City Council</w:t>
      </w:r>
      <w:r w:rsidRPr="00F32592">
        <w:rPr>
          <w:sz w:val="20"/>
          <w:szCs w:val="20"/>
          <w:lang w:val="en-GB"/>
        </w:rPr>
        <w:t xml:space="preserve"> [2014] EWHC 2089 (Admin) confirmed in </w:t>
      </w:r>
      <w:r w:rsidRPr="00F32592">
        <w:rPr>
          <w:i/>
          <w:iCs/>
          <w:sz w:val="20"/>
          <w:szCs w:val="20"/>
          <w:lang w:val="en-GB"/>
        </w:rPr>
        <w:t>R (Sky Blue Sports and Leisure Ltd) v Coventry City Council</w:t>
      </w:r>
      <w:r w:rsidRPr="00F32592">
        <w:rPr>
          <w:sz w:val="20"/>
          <w:szCs w:val="20"/>
          <w:lang w:val="en-GB"/>
        </w:rPr>
        <w:t xml:space="preserve"> [2016] EWCA Civ.</w:t>
      </w:r>
    </w:p>
  </w:footnote>
  <w:footnote w:id="56">
    <w:p w14:paraId="3AA814C8" w14:textId="4CB8DD5B" w:rsidR="001379A4" w:rsidRPr="00F32592" w:rsidRDefault="001379A4" w:rsidP="00E14136">
      <w:pPr>
        <w:pStyle w:val="Alaviitteenteksti"/>
      </w:pPr>
      <w:r w:rsidRPr="00F32592">
        <w:rPr>
          <w:rStyle w:val="Alaviitteenviite"/>
        </w:rPr>
        <w:footnoteRef/>
      </w:r>
      <w:r w:rsidRPr="00F32592">
        <w:t xml:space="preserve"> </w:t>
      </w:r>
      <w:r w:rsidR="00FB2346" w:rsidRPr="00F32592">
        <w:rPr>
          <w:lang w:val="en-US"/>
        </w:rPr>
        <w:t xml:space="preserve">Stefan and Biondi (n 26) </w:t>
      </w:r>
      <w:r w:rsidR="00485DBD" w:rsidRPr="00F32592">
        <w:rPr>
          <w:lang w:val="en-US"/>
        </w:rPr>
        <w:t>189</w:t>
      </w:r>
      <w:r w:rsidRPr="00F32592">
        <w:rPr>
          <w:lang w:val="en-US"/>
        </w:rPr>
        <w:t>.</w:t>
      </w:r>
    </w:p>
  </w:footnote>
  <w:footnote w:id="57">
    <w:p w14:paraId="6687AC6C" w14:textId="2CCB8AC1"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w:t>
      </w:r>
      <w:r w:rsidR="00985BB2" w:rsidRPr="00F32592">
        <w:rPr>
          <w:lang w:val="en-GB"/>
        </w:rPr>
        <w:t>European Commission, ‘</w:t>
      </w:r>
      <w:r w:rsidRPr="00F32592">
        <w:rPr>
          <w:lang w:val="en-GB"/>
        </w:rPr>
        <w:t>Communication from the Commission</w:t>
      </w:r>
      <w:r w:rsidR="00985BB2" w:rsidRPr="00F32592">
        <w:rPr>
          <w:lang w:val="en-GB"/>
        </w:rPr>
        <w:t xml:space="preserve"> – </w:t>
      </w:r>
      <w:r w:rsidRPr="00F32592">
        <w:rPr>
          <w:lang w:val="en-GB"/>
        </w:rPr>
        <w:t xml:space="preserve">Guidance on </w:t>
      </w:r>
      <w:r w:rsidR="00985BB2" w:rsidRPr="00F32592">
        <w:rPr>
          <w:lang w:val="en-GB"/>
        </w:rPr>
        <w:t xml:space="preserve">the Commission’s </w:t>
      </w:r>
      <w:r w:rsidRPr="00F32592">
        <w:rPr>
          <w:lang w:val="en-GB"/>
        </w:rPr>
        <w:t xml:space="preserve">enforcement priorities in applying Article 82 of the EC Treaty to abusive exclusionary conduct by dominant undertakings </w:t>
      </w:r>
      <w:r w:rsidR="00985BB2" w:rsidRPr="00F32592">
        <w:rPr>
          <w:lang w:val="en-GB"/>
        </w:rPr>
        <w:t xml:space="preserve">[2009] </w:t>
      </w:r>
      <w:r w:rsidRPr="00F32592">
        <w:rPr>
          <w:lang w:val="en-GB"/>
        </w:rPr>
        <w:t>OJ C 45</w:t>
      </w:r>
      <w:r w:rsidR="00985BB2" w:rsidRPr="00F32592">
        <w:rPr>
          <w:lang w:val="en-GB"/>
        </w:rPr>
        <w:t>/</w:t>
      </w:r>
      <w:r w:rsidRPr="00F32592">
        <w:rPr>
          <w:lang w:val="en-GB"/>
        </w:rPr>
        <w:t>7.</w:t>
      </w:r>
    </w:p>
  </w:footnote>
  <w:footnote w:id="58">
    <w:p w14:paraId="3A8FE85D" w14:textId="42FE129B" w:rsidR="001379A4" w:rsidRPr="00F32592" w:rsidRDefault="001379A4" w:rsidP="00E14136">
      <w:pPr>
        <w:autoSpaceDE w:val="0"/>
        <w:autoSpaceDN w:val="0"/>
        <w:adjustRightInd w:val="0"/>
        <w:rPr>
          <w:rFonts w:eastAsiaTheme="minorHAnsi"/>
          <w:sz w:val="20"/>
          <w:szCs w:val="20"/>
          <w:lang w:val="en-GB"/>
        </w:rPr>
      </w:pPr>
      <w:r w:rsidRPr="00F32592">
        <w:rPr>
          <w:rStyle w:val="Alaviitteenviite"/>
          <w:sz w:val="20"/>
          <w:szCs w:val="20"/>
          <w:lang w:val="en-GB"/>
        </w:rPr>
        <w:footnoteRef/>
      </w:r>
      <w:r w:rsidRPr="00F32592">
        <w:rPr>
          <w:sz w:val="20"/>
          <w:szCs w:val="20"/>
          <w:lang w:val="en-GB"/>
        </w:rPr>
        <w:t xml:space="preserve"> Z </w:t>
      </w:r>
      <w:r w:rsidRPr="00F32592">
        <w:rPr>
          <w:rFonts w:eastAsiaTheme="minorHAnsi"/>
          <w:sz w:val="20"/>
          <w:szCs w:val="20"/>
          <w:lang w:val="en-GB"/>
        </w:rPr>
        <w:t xml:space="preserve">Georgieva, ‘The judicial reception of competition soft law in the Netherlands and the UK’ (2016) 12 </w:t>
      </w:r>
      <w:r w:rsidRPr="00F32592">
        <w:rPr>
          <w:rFonts w:eastAsiaTheme="minorHAnsi"/>
          <w:i/>
          <w:sz w:val="20"/>
          <w:szCs w:val="20"/>
          <w:lang w:val="en-GB"/>
        </w:rPr>
        <w:t>European Competition Journal</w:t>
      </w:r>
      <w:r w:rsidRPr="00F32592">
        <w:rPr>
          <w:rFonts w:eastAsiaTheme="minorHAnsi"/>
          <w:sz w:val="20"/>
          <w:szCs w:val="20"/>
          <w:lang w:val="en-GB"/>
        </w:rPr>
        <w:t xml:space="preserve"> 54.</w:t>
      </w:r>
    </w:p>
  </w:footnote>
  <w:footnote w:id="59">
    <w:p w14:paraId="3AC9C678" w14:textId="0D847247" w:rsidR="001379A4" w:rsidRPr="00F32592" w:rsidRDefault="001379A4" w:rsidP="00E14136">
      <w:pPr>
        <w:pStyle w:val="Alaviitteenteksti"/>
      </w:pPr>
      <w:r w:rsidRPr="00F32592">
        <w:rPr>
          <w:rStyle w:val="Alaviitteenviite"/>
        </w:rPr>
        <w:footnoteRef/>
      </w:r>
      <w:r w:rsidRPr="00F32592">
        <w:t xml:space="preserve"> </w:t>
      </w:r>
      <w:r w:rsidR="00FB2346" w:rsidRPr="00F32592">
        <w:rPr>
          <w:lang w:val="en-US"/>
        </w:rPr>
        <w:t>Stefan and Biondi (n 26)</w:t>
      </w:r>
      <w:r w:rsidRPr="00F32592">
        <w:rPr>
          <w:lang w:val="en-US"/>
        </w:rPr>
        <w:t xml:space="preserve"> </w:t>
      </w:r>
      <w:r w:rsidR="00485DBD" w:rsidRPr="00F32592">
        <w:rPr>
          <w:lang w:val="en-US"/>
        </w:rPr>
        <w:t>189</w:t>
      </w:r>
      <w:r w:rsidRPr="00F32592">
        <w:rPr>
          <w:lang w:val="en-US"/>
        </w:rPr>
        <w:t>.</w:t>
      </w:r>
    </w:p>
  </w:footnote>
  <w:footnote w:id="60">
    <w:p w14:paraId="3FE71BBF" w14:textId="5C855BAE"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Socrates Training Ltd v The Law Society of England and Wales</w:t>
      </w:r>
      <w:r w:rsidRPr="00F32592">
        <w:rPr>
          <w:sz w:val="20"/>
          <w:szCs w:val="20"/>
          <w:lang w:val="en-GB"/>
        </w:rPr>
        <w:t xml:space="preserve"> [2017] CAT 10.</w:t>
      </w:r>
    </w:p>
  </w:footnote>
  <w:footnote w:id="61">
    <w:p w14:paraId="7B4ED131" w14:textId="23DEDD8B" w:rsidR="001379A4" w:rsidRPr="00F32592" w:rsidRDefault="001379A4" w:rsidP="00E14136">
      <w:pPr>
        <w:pStyle w:val="Alaviitteenteksti"/>
        <w:rPr>
          <w:lang w:val="en-US"/>
        </w:rPr>
      </w:pPr>
      <w:r w:rsidRPr="00F32592">
        <w:rPr>
          <w:rStyle w:val="Alaviitteenviite"/>
          <w:lang w:val="en-GB"/>
        </w:rPr>
        <w:footnoteRef/>
      </w:r>
      <w:r w:rsidRPr="00F32592">
        <w:rPr>
          <w:lang w:val="en-US"/>
        </w:rPr>
        <w:t xml:space="preserve"> </w:t>
      </w:r>
      <w:r w:rsidRPr="00F32592">
        <w:rPr>
          <w:shd w:val="clear" w:color="auto" w:fill="FFFFFF"/>
          <w:lang w:val="en-US"/>
        </w:rPr>
        <w:t xml:space="preserve">Case C-52/09 </w:t>
      </w:r>
      <w:r w:rsidRPr="00F32592">
        <w:rPr>
          <w:i/>
          <w:shd w:val="clear" w:color="auto" w:fill="FFFFFF"/>
          <w:lang w:val="en-US"/>
        </w:rPr>
        <w:t xml:space="preserve">Telia Sonera </w:t>
      </w:r>
      <w:r w:rsidRPr="00F32592">
        <w:rPr>
          <w:shd w:val="clear" w:color="auto" w:fill="FFFFFF"/>
          <w:lang w:val="en-US"/>
        </w:rPr>
        <w:t>[2011] ECR I-527</w:t>
      </w:r>
      <w:r w:rsidR="00D230FA" w:rsidRPr="00F32592">
        <w:rPr>
          <w:shd w:val="clear" w:color="auto" w:fill="FFFFFF"/>
          <w:lang w:val="en-US"/>
        </w:rPr>
        <w:t xml:space="preserve">, </w:t>
      </w:r>
      <w:r w:rsidR="00D230FA" w:rsidRPr="00F32592">
        <w:rPr>
          <w:lang w:val="en-GB"/>
        </w:rPr>
        <w:t>Opinion of AG Mazak.</w:t>
      </w:r>
    </w:p>
  </w:footnote>
  <w:footnote w:id="62">
    <w:p w14:paraId="20204634" w14:textId="24D2AF49"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British Telecommunications PLC v Office of Communications (VULA) (Judgment (Non-specified price control matters)</w:t>
      </w:r>
      <w:r w:rsidRPr="00F32592">
        <w:rPr>
          <w:sz w:val="20"/>
          <w:szCs w:val="20"/>
          <w:lang w:val="en-GB"/>
        </w:rPr>
        <w:t xml:space="preserve"> [2016] CAT 3, </w:t>
      </w:r>
      <w:r w:rsidR="00AF5F34" w:rsidRPr="00F32592">
        <w:rPr>
          <w:sz w:val="20"/>
          <w:szCs w:val="20"/>
          <w:lang w:val="en-GB"/>
        </w:rPr>
        <w:t xml:space="preserve">paras </w:t>
      </w:r>
      <w:r w:rsidRPr="00F32592">
        <w:rPr>
          <w:sz w:val="20"/>
          <w:szCs w:val="20"/>
          <w:lang w:val="en-GB"/>
        </w:rPr>
        <w:t>90–92.</w:t>
      </w:r>
    </w:p>
  </w:footnote>
  <w:footnote w:id="63">
    <w:p w14:paraId="11320E3D" w14:textId="1B4A963C" w:rsidR="001379A4" w:rsidRPr="00F32592" w:rsidRDefault="001379A4" w:rsidP="00E14136">
      <w:pPr>
        <w:rPr>
          <w:sz w:val="20"/>
          <w:szCs w:val="20"/>
          <w:highlight w:val="yellow"/>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Streetmap EU Ltd v Google Inc.</w:t>
      </w:r>
      <w:r w:rsidRPr="00F32592">
        <w:rPr>
          <w:sz w:val="20"/>
          <w:szCs w:val="20"/>
          <w:lang w:val="en-GB"/>
        </w:rPr>
        <w:t xml:space="preserve"> [2016] EWHC 253 (Ch), paras. 145</w:t>
      </w:r>
      <w:r w:rsidR="00885F7A" w:rsidRPr="00F32592">
        <w:rPr>
          <w:sz w:val="20"/>
          <w:szCs w:val="20"/>
          <w:lang w:val="en-GB"/>
        </w:rPr>
        <w:t>-</w:t>
      </w:r>
      <w:r w:rsidRPr="00F32592">
        <w:rPr>
          <w:sz w:val="20"/>
          <w:szCs w:val="20"/>
          <w:lang w:val="en-GB"/>
        </w:rPr>
        <w:t>146.</w:t>
      </w:r>
    </w:p>
  </w:footnote>
  <w:footnote w:id="64">
    <w:p w14:paraId="3D794B25" w14:textId="004D8CC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For environment, see the High Court judge in </w:t>
      </w:r>
      <w:r w:rsidRPr="00F32592">
        <w:rPr>
          <w:i/>
          <w:iCs/>
          <w:sz w:val="20"/>
          <w:szCs w:val="20"/>
          <w:lang w:val="en-GB"/>
        </w:rPr>
        <w:t>Alternative A5 Alliance, Judicial Review</w:t>
      </w:r>
      <w:r w:rsidRPr="00F32592">
        <w:rPr>
          <w:sz w:val="20"/>
          <w:szCs w:val="20"/>
          <w:lang w:val="en-GB"/>
        </w:rPr>
        <w:t xml:space="preserve"> [2013] NIQB 30, </w:t>
      </w:r>
      <w:r w:rsidR="001F7509" w:rsidRPr="00F32592">
        <w:rPr>
          <w:sz w:val="20"/>
          <w:szCs w:val="20"/>
          <w:lang w:val="en-GB"/>
        </w:rPr>
        <w:t xml:space="preserve">para </w:t>
      </w:r>
      <w:r w:rsidRPr="00F32592">
        <w:rPr>
          <w:sz w:val="20"/>
          <w:szCs w:val="20"/>
          <w:lang w:val="en-GB"/>
        </w:rPr>
        <w:t>81 stated that ‘In relation to these submissions I consider that assistance can be obtained in relation to the meaning of “integrity” from the Commission</w:t>
      </w:r>
      <w:r w:rsidR="00AE0B28">
        <w:rPr>
          <w:sz w:val="20"/>
          <w:szCs w:val="20"/>
          <w:lang w:val="en-GB"/>
        </w:rPr>
        <w:t>’</w:t>
      </w:r>
      <w:r w:rsidRPr="00F32592">
        <w:rPr>
          <w:sz w:val="20"/>
          <w:szCs w:val="20"/>
          <w:lang w:val="en-GB"/>
        </w:rPr>
        <w:t xml:space="preserve">s guidance on Article 6 of the Directive, “Managing Natura (2000)”’. This is also seen in the Supreme Court judgment of </w:t>
      </w:r>
      <w:r w:rsidRPr="00F32592">
        <w:rPr>
          <w:i/>
          <w:iCs/>
          <w:sz w:val="20"/>
          <w:szCs w:val="20"/>
          <w:lang w:val="en-GB"/>
        </w:rPr>
        <w:t>Champion, R (on the application of) v North Norfolk District Council &amp; Anor</w:t>
      </w:r>
      <w:r w:rsidRPr="00F32592">
        <w:rPr>
          <w:sz w:val="20"/>
          <w:szCs w:val="20"/>
          <w:lang w:val="en-GB"/>
        </w:rPr>
        <w:t xml:space="preserve"> [2015] UKSC 52.</w:t>
      </w:r>
    </w:p>
  </w:footnote>
  <w:footnote w:id="65">
    <w:p w14:paraId="69B7B772" w14:textId="328F70D7" w:rsidR="001379A4" w:rsidRPr="00F32592" w:rsidRDefault="001379A4" w:rsidP="00E14136">
      <w:pPr>
        <w:pStyle w:val="Alaviitteenteksti"/>
        <w:rPr>
          <w:lang w:val="en-US"/>
        </w:rPr>
      </w:pPr>
      <w:r w:rsidRPr="00F32592">
        <w:rPr>
          <w:rStyle w:val="Alaviitteenviite"/>
        </w:rPr>
        <w:footnoteRef/>
      </w:r>
      <w:r w:rsidRPr="00F32592">
        <w:t xml:space="preserve"> Dobbs</w:t>
      </w:r>
      <w:r w:rsidR="009F3886" w:rsidRPr="00F32592">
        <w:t xml:space="preserve"> </w:t>
      </w:r>
      <w:r w:rsidRPr="00F32592">
        <w:t>(n 2</w:t>
      </w:r>
      <w:r w:rsidR="00997CA5" w:rsidRPr="00F32592">
        <w:t>1</w:t>
      </w:r>
      <w:r w:rsidRPr="00F32592">
        <w:t xml:space="preserve">) </w:t>
      </w:r>
      <w:r w:rsidR="004E7D27" w:rsidRPr="00F32592">
        <w:t>145</w:t>
      </w:r>
      <w:r w:rsidRPr="00F32592">
        <w:t>.</w:t>
      </w:r>
    </w:p>
  </w:footnote>
  <w:footnote w:id="66">
    <w:p w14:paraId="78195CBE" w14:textId="343D7398"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 xml:space="preserve">Champion, R (on the application of) v North Norfolk District Council &amp; Anor </w:t>
      </w:r>
      <w:r w:rsidRPr="00F32592">
        <w:rPr>
          <w:sz w:val="20"/>
          <w:szCs w:val="20"/>
          <w:lang w:val="en-GB"/>
        </w:rPr>
        <w:t xml:space="preserve">[2015] UKSC 52, </w:t>
      </w:r>
      <w:r w:rsidR="00EF401E" w:rsidRPr="00F32592">
        <w:rPr>
          <w:sz w:val="20"/>
          <w:szCs w:val="20"/>
          <w:lang w:val="en-GB"/>
        </w:rPr>
        <w:t xml:space="preserve">para </w:t>
      </w:r>
      <w:r w:rsidRPr="00F32592">
        <w:rPr>
          <w:sz w:val="20"/>
          <w:szCs w:val="20"/>
          <w:lang w:val="en-GB"/>
        </w:rPr>
        <w:t>39. This is also reflected in the Court of Appeal stating that the EU guidance in question was not binding and that ‘(o)f much greater importance than the Guidance are, of course, the decisions of the ECJ which bind us’</w:t>
      </w:r>
      <w:r w:rsidR="00596D31" w:rsidRPr="00F32592">
        <w:rPr>
          <w:sz w:val="20"/>
          <w:szCs w:val="20"/>
          <w:lang w:val="en-GB"/>
        </w:rPr>
        <w:t xml:space="preserve"> </w:t>
      </w:r>
      <w:r w:rsidR="003A384E" w:rsidRPr="00F32592">
        <w:rPr>
          <w:sz w:val="20"/>
          <w:szCs w:val="20"/>
          <w:lang w:val="en-GB"/>
        </w:rPr>
        <w:t>in</w:t>
      </w:r>
      <w:r w:rsidRPr="00F32592">
        <w:rPr>
          <w:sz w:val="20"/>
          <w:szCs w:val="20"/>
          <w:lang w:val="en-GB"/>
        </w:rPr>
        <w:t xml:space="preserve"> </w:t>
      </w:r>
      <w:r w:rsidRPr="00F32592">
        <w:rPr>
          <w:i/>
          <w:sz w:val="20"/>
          <w:szCs w:val="20"/>
          <w:lang w:val="en-GB"/>
        </w:rPr>
        <w:t>Morge, R (on the application of) v Hampshire County Council</w:t>
      </w:r>
      <w:r w:rsidRPr="00F32592">
        <w:rPr>
          <w:sz w:val="20"/>
          <w:szCs w:val="20"/>
          <w:lang w:val="en-GB"/>
        </w:rPr>
        <w:t xml:space="preserve"> [2010] EWCA Civ 608, </w:t>
      </w:r>
      <w:r w:rsidR="003A384E" w:rsidRPr="00F32592">
        <w:rPr>
          <w:sz w:val="20"/>
          <w:szCs w:val="20"/>
          <w:lang w:val="en-GB"/>
        </w:rPr>
        <w:t xml:space="preserve">paras </w:t>
      </w:r>
      <w:r w:rsidRPr="00F32592">
        <w:rPr>
          <w:sz w:val="20"/>
          <w:szCs w:val="20"/>
          <w:lang w:val="en-GB"/>
        </w:rPr>
        <w:t>24</w:t>
      </w:r>
      <w:r w:rsidR="003A384E" w:rsidRPr="00F32592">
        <w:rPr>
          <w:sz w:val="20"/>
          <w:szCs w:val="20"/>
          <w:lang w:val="en-GB"/>
        </w:rPr>
        <w:t>-</w:t>
      </w:r>
      <w:r w:rsidRPr="00F32592">
        <w:rPr>
          <w:sz w:val="20"/>
          <w:szCs w:val="20"/>
          <w:lang w:val="en-GB"/>
        </w:rPr>
        <w:t xml:space="preserve">25; and the High Court which has </w:t>
      </w:r>
      <w:r w:rsidR="003A384E" w:rsidRPr="00F32592">
        <w:rPr>
          <w:sz w:val="20"/>
          <w:szCs w:val="20"/>
          <w:lang w:val="en-GB"/>
        </w:rPr>
        <w:t xml:space="preserve">stated </w:t>
      </w:r>
      <w:r w:rsidRPr="00F32592">
        <w:rPr>
          <w:sz w:val="20"/>
          <w:szCs w:val="20"/>
          <w:lang w:val="en-GB"/>
        </w:rPr>
        <w:t>that: ‘the guidance is not the law. The law is to be found in the relevant provisions of the Habitats Directive and the 2010 regulations, and in any jurisprudence that sheds light on their meaning’</w:t>
      </w:r>
      <w:r w:rsidR="003A384E" w:rsidRPr="00F32592">
        <w:rPr>
          <w:sz w:val="20"/>
          <w:szCs w:val="20"/>
          <w:lang w:val="en-GB"/>
        </w:rPr>
        <w:t xml:space="preserve"> in</w:t>
      </w:r>
      <w:r w:rsidRPr="00F32592">
        <w:rPr>
          <w:sz w:val="20"/>
          <w:szCs w:val="20"/>
          <w:lang w:val="en-GB"/>
        </w:rPr>
        <w:t xml:space="preserve"> </w:t>
      </w:r>
      <w:r w:rsidRPr="00F32592">
        <w:rPr>
          <w:i/>
          <w:sz w:val="20"/>
          <w:szCs w:val="20"/>
          <w:lang w:val="en-GB"/>
        </w:rPr>
        <w:t>Prideaux, R (on the application of) v Fcc Environment UK Ltd</w:t>
      </w:r>
      <w:r w:rsidRPr="00F32592">
        <w:rPr>
          <w:sz w:val="20"/>
          <w:szCs w:val="20"/>
          <w:lang w:val="en-GB"/>
        </w:rPr>
        <w:t xml:space="preserve"> [2013] EWHC 1054 (Admin), </w:t>
      </w:r>
      <w:r w:rsidR="003A384E" w:rsidRPr="00F32592">
        <w:rPr>
          <w:sz w:val="20"/>
          <w:szCs w:val="20"/>
          <w:lang w:val="en-GB"/>
        </w:rPr>
        <w:t xml:space="preserve">para </w:t>
      </w:r>
      <w:r w:rsidRPr="00F32592">
        <w:rPr>
          <w:sz w:val="20"/>
          <w:szCs w:val="20"/>
          <w:lang w:val="en-GB"/>
        </w:rPr>
        <w:t>112.</w:t>
      </w:r>
    </w:p>
  </w:footnote>
  <w:footnote w:id="67">
    <w:p w14:paraId="25FE812D" w14:textId="248E70A0"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w:t>
      </w:r>
      <w:r w:rsidR="00A87DC8" w:rsidRPr="00F32592">
        <w:rPr>
          <w:lang w:val="en-GB"/>
        </w:rPr>
        <w:t xml:space="preserve">The </w:t>
      </w:r>
      <w:r w:rsidRPr="00F32592">
        <w:rPr>
          <w:lang w:val="en-GB"/>
        </w:rPr>
        <w:t>UK Competition Act was first published in 1998, www.legislation.gov.uk/ukpga/1998/41/contents</w:t>
      </w:r>
      <w:r w:rsidRPr="00F32592">
        <w:rPr>
          <w:rStyle w:val="Hyperlinkki"/>
          <w:color w:val="auto"/>
          <w:u w:val="none"/>
          <w:lang w:val="en-GB"/>
        </w:rPr>
        <w:t>.</w:t>
      </w:r>
      <w:r w:rsidRPr="00F32592">
        <w:rPr>
          <w:lang w:val="en-GB"/>
        </w:rPr>
        <w:t xml:space="preserve"> </w:t>
      </w:r>
    </w:p>
  </w:footnote>
  <w:footnote w:id="68">
    <w:p w14:paraId="6EF346D0" w14:textId="530324E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iCs/>
          <w:sz w:val="20"/>
          <w:szCs w:val="20"/>
          <w:lang w:val="en-GB"/>
        </w:rPr>
        <w:t>Independent Media Support Ltd v Office of Communications</w:t>
      </w:r>
      <w:r w:rsidRPr="00F32592">
        <w:rPr>
          <w:sz w:val="20"/>
          <w:szCs w:val="20"/>
          <w:lang w:val="en-GB"/>
        </w:rPr>
        <w:t>, [2008] CAT 13.</w:t>
      </w:r>
    </w:p>
  </w:footnote>
  <w:footnote w:id="69">
    <w:p w14:paraId="00839666" w14:textId="4F3DA270"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Georgieva</w:t>
      </w:r>
      <w:r w:rsidR="00485DBD" w:rsidRPr="00F32592">
        <w:rPr>
          <w:lang w:val="en-GB"/>
        </w:rPr>
        <w:t xml:space="preserve"> </w:t>
      </w:r>
      <w:r w:rsidRPr="00F32592">
        <w:rPr>
          <w:rFonts w:eastAsiaTheme="minorHAnsi"/>
          <w:lang w:val="en-GB"/>
        </w:rPr>
        <w:t>(n 5</w:t>
      </w:r>
      <w:r w:rsidR="00BD145F" w:rsidRPr="00F32592">
        <w:rPr>
          <w:rFonts w:eastAsiaTheme="minorHAnsi"/>
          <w:lang w:val="en-GB"/>
        </w:rPr>
        <w:t>8</w:t>
      </w:r>
      <w:r w:rsidRPr="00F32592">
        <w:rPr>
          <w:rFonts w:eastAsiaTheme="minorHAnsi"/>
          <w:lang w:val="en-GB"/>
        </w:rPr>
        <w:t>).</w:t>
      </w:r>
    </w:p>
  </w:footnote>
  <w:footnote w:id="70">
    <w:p w14:paraId="05F09D5E" w14:textId="5BD4F181"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 xml:space="preserve">Cityhook Ltd v Officve of Fair Trading </w:t>
      </w:r>
      <w:r w:rsidRPr="00F32592">
        <w:rPr>
          <w:sz w:val="20"/>
          <w:szCs w:val="20"/>
          <w:lang w:val="en-GB"/>
        </w:rPr>
        <w:t xml:space="preserve">[2007] CAT 18, </w:t>
      </w:r>
      <w:r w:rsidR="00FE12C2" w:rsidRPr="00F32592">
        <w:rPr>
          <w:sz w:val="20"/>
          <w:szCs w:val="20"/>
          <w:lang w:val="en-GB"/>
        </w:rPr>
        <w:t xml:space="preserve">para </w:t>
      </w:r>
      <w:r w:rsidRPr="00F32592">
        <w:rPr>
          <w:sz w:val="20"/>
          <w:szCs w:val="20"/>
          <w:lang w:val="en-GB"/>
        </w:rPr>
        <w:t>255.</w:t>
      </w:r>
    </w:p>
  </w:footnote>
  <w:footnote w:id="71">
    <w:p w14:paraId="6E4C1D27" w14:textId="4AF486BC" w:rsidR="001379A4" w:rsidRPr="00F32592" w:rsidRDefault="001379A4" w:rsidP="00E14136">
      <w:pPr>
        <w:pStyle w:val="Alaviitteenteksti"/>
      </w:pPr>
      <w:r w:rsidRPr="00F32592">
        <w:rPr>
          <w:rStyle w:val="Alaviitteenviite"/>
        </w:rPr>
        <w:footnoteRef/>
      </w:r>
      <w:r w:rsidRPr="00F32592">
        <w:t xml:space="preserve"> Devine and Eli</w:t>
      </w:r>
      <w:r w:rsidR="00BD145F" w:rsidRPr="00F32592">
        <w:t>a</w:t>
      </w:r>
      <w:r w:rsidRPr="00F32592">
        <w:t>ntonio</w:t>
      </w:r>
      <w:r w:rsidR="009F3886" w:rsidRPr="00F32592">
        <w:t xml:space="preserve"> </w:t>
      </w:r>
      <w:r w:rsidRPr="00F32592">
        <w:t>(n 4</w:t>
      </w:r>
      <w:r w:rsidR="00BD145F" w:rsidRPr="00F32592">
        <w:t>5</w:t>
      </w:r>
      <w:r w:rsidRPr="00F32592">
        <w:t>) 57.</w:t>
      </w:r>
    </w:p>
  </w:footnote>
  <w:footnote w:id="72">
    <w:p w14:paraId="084F6D92" w14:textId="1C717E3C" w:rsidR="001379A4" w:rsidRPr="00F32592" w:rsidRDefault="001379A4" w:rsidP="00E14136">
      <w:pPr>
        <w:rPr>
          <w:rFonts w:eastAsiaTheme="minorHAnsi"/>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rFonts w:eastAsiaTheme="minorHAnsi"/>
          <w:sz w:val="20"/>
          <w:szCs w:val="20"/>
          <w:lang w:val="en-GB"/>
        </w:rPr>
        <w:t xml:space="preserve">OFT Decision </w:t>
      </w:r>
      <w:r w:rsidRPr="00F32592">
        <w:rPr>
          <w:rFonts w:eastAsiaTheme="minorHAnsi"/>
          <w:i/>
          <w:iCs/>
          <w:sz w:val="20"/>
          <w:szCs w:val="20"/>
          <w:lang w:val="en-GB"/>
        </w:rPr>
        <w:t xml:space="preserve">MasterCard UK Members Forum Limited </w:t>
      </w:r>
      <w:r w:rsidRPr="00F32592">
        <w:rPr>
          <w:rFonts w:eastAsiaTheme="minorHAnsi"/>
          <w:sz w:val="20"/>
          <w:szCs w:val="20"/>
          <w:lang w:val="en-GB"/>
        </w:rPr>
        <w:t xml:space="preserve">[2005] CA98/05/05, </w:t>
      </w:r>
      <w:r w:rsidR="00FE12C2" w:rsidRPr="00F32592">
        <w:rPr>
          <w:rFonts w:eastAsiaTheme="minorHAnsi"/>
          <w:sz w:val="20"/>
          <w:szCs w:val="20"/>
          <w:lang w:val="en-GB"/>
        </w:rPr>
        <w:t xml:space="preserve">paras </w:t>
      </w:r>
      <w:r w:rsidRPr="00F32592">
        <w:rPr>
          <w:rFonts w:eastAsiaTheme="minorHAnsi"/>
          <w:sz w:val="20"/>
          <w:szCs w:val="20"/>
          <w:lang w:val="en-GB"/>
        </w:rPr>
        <w:t>107–116.</w:t>
      </w:r>
    </w:p>
  </w:footnote>
  <w:footnote w:id="73">
    <w:p w14:paraId="31D42165" w14:textId="5CC1A3B3" w:rsidR="001379A4" w:rsidRPr="00F32592" w:rsidRDefault="001379A4" w:rsidP="00E14136">
      <w:pPr>
        <w:rPr>
          <w:sz w:val="20"/>
          <w:szCs w:val="20"/>
          <w:highlight w:val="yellow"/>
          <w:lang w:val="en-GB"/>
        </w:rPr>
      </w:pPr>
      <w:r w:rsidRPr="00F32592">
        <w:rPr>
          <w:rStyle w:val="Alaviitteenviite"/>
          <w:sz w:val="20"/>
          <w:szCs w:val="20"/>
          <w:lang w:val="en-GB"/>
        </w:rPr>
        <w:footnoteRef/>
      </w:r>
      <w:r w:rsidRPr="00F32592">
        <w:rPr>
          <w:sz w:val="20"/>
          <w:szCs w:val="20"/>
          <w:lang w:val="en-GB"/>
        </w:rPr>
        <w:t xml:space="preserve"> Case C-226/11 </w:t>
      </w:r>
      <w:r w:rsidRPr="00F32592">
        <w:rPr>
          <w:i/>
          <w:sz w:val="20"/>
          <w:szCs w:val="20"/>
          <w:lang w:val="en-GB"/>
        </w:rPr>
        <w:t>Expedia</w:t>
      </w:r>
      <w:r w:rsidRPr="00F32592">
        <w:rPr>
          <w:sz w:val="20"/>
          <w:szCs w:val="20"/>
          <w:lang w:val="en-GB"/>
        </w:rPr>
        <w:t xml:space="preserve"> [2011] </w:t>
      </w:r>
      <w:bookmarkStart w:id="7" w:name="_GoBack"/>
      <w:bookmarkEnd w:id="7"/>
      <w:r w:rsidRPr="00F32592">
        <w:rPr>
          <w:sz w:val="20"/>
          <w:szCs w:val="20"/>
          <w:lang w:val="en-GB"/>
        </w:rPr>
        <w:t>EU:C:2012:795.</w:t>
      </w:r>
    </w:p>
  </w:footnote>
  <w:footnote w:id="74">
    <w:p w14:paraId="7A994937" w14:textId="1B8CC14B"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Mobility Scooters</w:t>
      </w:r>
      <w:r w:rsidR="00E1780B" w:rsidRPr="00F32592">
        <w:rPr>
          <w:i/>
          <w:sz w:val="20"/>
          <w:szCs w:val="20"/>
          <w:lang w:val="en-GB"/>
        </w:rPr>
        <w:t xml:space="preserve"> (Pride Mobility)</w:t>
      </w:r>
      <w:r w:rsidRPr="00F32592">
        <w:rPr>
          <w:i/>
          <w:sz w:val="20"/>
          <w:szCs w:val="20"/>
          <w:lang w:val="en-GB"/>
        </w:rPr>
        <w:t xml:space="preserve"> </w:t>
      </w:r>
      <w:r w:rsidRPr="00F32592">
        <w:rPr>
          <w:sz w:val="20"/>
          <w:szCs w:val="20"/>
          <w:lang w:val="en-GB"/>
        </w:rPr>
        <w:t>CE/9578-12, A.76.</w:t>
      </w:r>
    </w:p>
  </w:footnote>
  <w:footnote w:id="75">
    <w:p w14:paraId="1FDC5D6D" w14:textId="18C0BD28"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Post</w:t>
      </w:r>
      <w:r w:rsidR="009F3886" w:rsidRPr="00F32592">
        <w:rPr>
          <w:sz w:val="20"/>
          <w:szCs w:val="20"/>
          <w:lang w:val="en-GB"/>
        </w:rPr>
        <w:t xml:space="preserve"> </w:t>
      </w:r>
      <w:r w:rsidRPr="00F32592">
        <w:rPr>
          <w:sz w:val="20"/>
          <w:szCs w:val="20"/>
          <w:lang w:val="en-GB"/>
        </w:rPr>
        <w:t>(n 2</w:t>
      </w:r>
      <w:r w:rsidR="00030515" w:rsidRPr="00F32592">
        <w:rPr>
          <w:sz w:val="20"/>
          <w:szCs w:val="20"/>
          <w:lang w:val="en-GB"/>
        </w:rPr>
        <w:t>9</w:t>
      </w:r>
      <w:r w:rsidRPr="00F32592">
        <w:rPr>
          <w:sz w:val="20"/>
          <w:szCs w:val="20"/>
          <w:lang w:val="en-GB"/>
        </w:rPr>
        <w:t xml:space="preserve">) </w:t>
      </w:r>
      <w:r w:rsidR="00485DBD" w:rsidRPr="00F32592">
        <w:rPr>
          <w:sz w:val="20"/>
          <w:szCs w:val="20"/>
          <w:lang w:val="en-GB"/>
        </w:rPr>
        <w:t>133</w:t>
      </w:r>
      <w:r w:rsidR="00AE0B28">
        <w:rPr>
          <w:sz w:val="20"/>
          <w:szCs w:val="20"/>
          <w:lang w:val="en-GB"/>
        </w:rPr>
        <w:t>–</w:t>
      </w:r>
      <w:r w:rsidR="00485DBD" w:rsidRPr="00F32592">
        <w:rPr>
          <w:sz w:val="20"/>
          <w:szCs w:val="20"/>
          <w:lang w:val="en-GB"/>
        </w:rPr>
        <w:t>134</w:t>
      </w:r>
      <w:r w:rsidRPr="00F32592">
        <w:rPr>
          <w:sz w:val="20"/>
          <w:szCs w:val="20"/>
          <w:lang w:val="en-GB"/>
        </w:rPr>
        <w:t>.</w:t>
      </w:r>
    </w:p>
  </w:footnote>
  <w:footnote w:id="76">
    <w:p w14:paraId="373F0B65" w14:textId="279BB267" w:rsidR="001379A4" w:rsidRPr="00F32592" w:rsidRDefault="001379A4" w:rsidP="00E14136">
      <w:pPr>
        <w:pStyle w:val="Alaviitteenteksti"/>
      </w:pPr>
      <w:r w:rsidRPr="00F32592">
        <w:rPr>
          <w:rStyle w:val="Alaviitteenviite"/>
        </w:rPr>
        <w:footnoteRef/>
      </w:r>
      <w:r w:rsidRPr="00F32592">
        <w:t xml:space="preserve"> </w:t>
      </w:r>
      <w:r w:rsidR="00816F16" w:rsidRPr="00F32592">
        <w:rPr>
          <w:lang w:val="en-US"/>
        </w:rPr>
        <w:t xml:space="preserve">Stefan and Biondi (n 26) </w:t>
      </w:r>
      <w:r w:rsidR="00485DBD" w:rsidRPr="00F32592">
        <w:rPr>
          <w:lang w:val="en-US"/>
        </w:rPr>
        <w:t>188</w:t>
      </w:r>
      <w:r w:rsidRPr="00F32592">
        <w:rPr>
          <w:lang w:val="en-US"/>
        </w:rPr>
        <w:t>.</w:t>
      </w:r>
    </w:p>
  </w:footnote>
  <w:footnote w:id="77">
    <w:p w14:paraId="3CD28E15" w14:textId="6128335C"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Dairy retail price initiatives</w:t>
      </w:r>
      <w:r w:rsidRPr="00F32592">
        <w:rPr>
          <w:sz w:val="20"/>
          <w:szCs w:val="20"/>
          <w:lang w:val="en-GB"/>
        </w:rPr>
        <w:t xml:space="preserve"> CE/3094-03.</w:t>
      </w:r>
    </w:p>
  </w:footnote>
  <w:footnote w:id="78">
    <w:p w14:paraId="250F3B82" w14:textId="7D376B6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00C94F50" w:rsidRPr="00F32592">
        <w:rPr>
          <w:i/>
          <w:iCs/>
          <w:sz w:val="20"/>
          <w:szCs w:val="20"/>
          <w:lang w:val="en-GB"/>
        </w:rPr>
        <w:t>Sainsbury</w:t>
      </w:r>
      <w:r w:rsidR="0080255F" w:rsidRPr="00F32592">
        <w:rPr>
          <w:i/>
          <w:iCs/>
          <w:sz w:val="20"/>
          <w:szCs w:val="20"/>
          <w:lang w:val="en-GB"/>
        </w:rPr>
        <w:t xml:space="preserve">’s Supermarkets Ltd v </w:t>
      </w:r>
      <w:r w:rsidRPr="00F32592">
        <w:rPr>
          <w:i/>
          <w:iCs/>
          <w:sz w:val="20"/>
          <w:szCs w:val="20"/>
          <w:lang w:val="en-GB"/>
        </w:rPr>
        <w:t>MasterCard and others</w:t>
      </w:r>
      <w:r w:rsidRPr="00F32592">
        <w:rPr>
          <w:sz w:val="20"/>
          <w:szCs w:val="20"/>
          <w:lang w:val="en-GB"/>
        </w:rPr>
        <w:t xml:space="preserve"> [2018] EWCA 1536 (Civ), </w:t>
      </w:r>
      <w:r w:rsidR="00C94F50" w:rsidRPr="00F32592">
        <w:rPr>
          <w:sz w:val="20"/>
          <w:szCs w:val="20"/>
          <w:lang w:val="en-GB"/>
        </w:rPr>
        <w:t xml:space="preserve">para </w:t>
      </w:r>
      <w:r w:rsidRPr="00F32592">
        <w:rPr>
          <w:sz w:val="20"/>
          <w:szCs w:val="20"/>
          <w:lang w:val="en-GB"/>
        </w:rPr>
        <w:t>106.</w:t>
      </w:r>
    </w:p>
  </w:footnote>
  <w:footnote w:id="79">
    <w:p w14:paraId="546AAE56" w14:textId="6B123045" w:rsidR="001379A4" w:rsidRPr="00F32592" w:rsidRDefault="001379A4" w:rsidP="00E14136">
      <w:pPr>
        <w:rPr>
          <w:i/>
          <w:sz w:val="20"/>
          <w:szCs w:val="20"/>
          <w:lang w:val="en-GB"/>
        </w:rPr>
      </w:pPr>
      <w:r w:rsidRPr="00F32592">
        <w:rPr>
          <w:rStyle w:val="Alaviitteenviite"/>
          <w:sz w:val="20"/>
          <w:szCs w:val="20"/>
          <w:lang w:val="en-GB"/>
        </w:rPr>
        <w:footnoteRef/>
      </w:r>
      <w:r w:rsidRPr="00F32592">
        <w:rPr>
          <w:sz w:val="20"/>
          <w:szCs w:val="20"/>
          <w:lang w:val="en-GB"/>
        </w:rPr>
        <w:t xml:space="preserve"> ibid.</w:t>
      </w:r>
    </w:p>
  </w:footnote>
  <w:footnote w:id="80">
    <w:p w14:paraId="57D57903" w14:textId="0071A170" w:rsidR="001379A4" w:rsidRPr="00F32592" w:rsidRDefault="001379A4" w:rsidP="00E14136">
      <w:pPr>
        <w:pStyle w:val="Alaviitteenteksti"/>
      </w:pPr>
      <w:r w:rsidRPr="00F32592">
        <w:rPr>
          <w:rStyle w:val="Alaviitteenviite"/>
        </w:rPr>
        <w:footnoteRef/>
      </w:r>
      <w:r w:rsidRPr="00F32592">
        <w:t xml:space="preserve"> Dobbs</w:t>
      </w:r>
      <w:r w:rsidR="009F3886" w:rsidRPr="00F32592">
        <w:t xml:space="preserve"> </w:t>
      </w:r>
      <w:r w:rsidRPr="00F32592">
        <w:t>(n 2</w:t>
      </w:r>
      <w:r w:rsidR="00030515" w:rsidRPr="00F32592">
        <w:t>1</w:t>
      </w:r>
      <w:r w:rsidRPr="00F32592">
        <w:t xml:space="preserve">) </w:t>
      </w:r>
      <w:r w:rsidR="004E7D27" w:rsidRPr="00F32592">
        <w:t>148–150</w:t>
      </w:r>
      <w:r w:rsidRPr="00F32592">
        <w:t>.</w:t>
      </w:r>
    </w:p>
  </w:footnote>
  <w:footnote w:id="81">
    <w:p w14:paraId="22A30B31" w14:textId="14CC3563" w:rsidR="001379A4" w:rsidRPr="00F32592" w:rsidRDefault="001379A4" w:rsidP="00E14136">
      <w:pPr>
        <w:rPr>
          <w:sz w:val="20"/>
          <w:szCs w:val="20"/>
          <w:highlight w:val="yellow"/>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The Royal Society for the Protection of Birds, Re Judicial Review</w:t>
      </w:r>
      <w:r w:rsidRPr="00F32592">
        <w:rPr>
          <w:sz w:val="20"/>
          <w:szCs w:val="20"/>
          <w:lang w:val="en-GB"/>
        </w:rPr>
        <w:t xml:space="preserve"> [2016] ScotCS CSOH, </w:t>
      </w:r>
      <w:r w:rsidR="00381A35" w:rsidRPr="00F32592">
        <w:rPr>
          <w:sz w:val="20"/>
          <w:szCs w:val="20"/>
          <w:lang w:val="en-GB"/>
        </w:rPr>
        <w:t xml:space="preserve">para </w:t>
      </w:r>
      <w:r w:rsidRPr="00F32592">
        <w:rPr>
          <w:sz w:val="20"/>
          <w:szCs w:val="20"/>
          <w:lang w:val="en-GB"/>
        </w:rPr>
        <w:t>250.</w:t>
      </w:r>
    </w:p>
  </w:footnote>
  <w:footnote w:id="82">
    <w:p w14:paraId="34AAA25F" w14:textId="146919AB"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I</w:t>
      </w:r>
      <w:r w:rsidR="007B486D" w:rsidRPr="00F32592">
        <w:rPr>
          <w:i/>
          <w:sz w:val="20"/>
          <w:szCs w:val="20"/>
          <w:lang w:val="en-GB"/>
        </w:rPr>
        <w:t>n</w:t>
      </w:r>
      <w:r w:rsidRPr="00F32592">
        <w:rPr>
          <w:i/>
          <w:sz w:val="20"/>
          <w:szCs w:val="20"/>
          <w:lang w:val="en-GB"/>
        </w:rPr>
        <w:t>nt</w:t>
      </w:r>
      <w:r w:rsidR="007B486D" w:rsidRPr="00F32592">
        <w:rPr>
          <w:i/>
          <w:sz w:val="20"/>
          <w:szCs w:val="20"/>
          <w:lang w:val="en-GB"/>
        </w:rPr>
        <w:t>r</w:t>
      </w:r>
      <w:r w:rsidRPr="00F32592">
        <w:rPr>
          <w:i/>
          <w:sz w:val="20"/>
          <w:szCs w:val="20"/>
          <w:lang w:val="en-GB"/>
        </w:rPr>
        <w:t>epreneur Pub Company (CPC) &amp; Ors v Crehan</w:t>
      </w:r>
      <w:r w:rsidRPr="00F32592">
        <w:rPr>
          <w:sz w:val="20"/>
          <w:szCs w:val="20"/>
          <w:lang w:val="en-GB"/>
        </w:rPr>
        <w:t xml:space="preserve"> [2006] UKHL 38, </w:t>
      </w:r>
      <w:r w:rsidR="007B486D" w:rsidRPr="00F32592">
        <w:rPr>
          <w:sz w:val="20"/>
          <w:szCs w:val="20"/>
          <w:lang w:val="en-GB"/>
        </w:rPr>
        <w:t xml:space="preserve">para </w:t>
      </w:r>
      <w:r w:rsidRPr="00F32592">
        <w:rPr>
          <w:sz w:val="20"/>
          <w:szCs w:val="20"/>
          <w:lang w:val="en-GB"/>
        </w:rPr>
        <w:t>5.</w:t>
      </w:r>
    </w:p>
  </w:footnote>
  <w:footnote w:id="83">
    <w:p w14:paraId="221CE6C1" w14:textId="42D4EDA6"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Wye Valley Action Association Ltd., R (on the application of) v Herefordshire Council</w:t>
      </w:r>
      <w:r w:rsidRPr="00F32592">
        <w:rPr>
          <w:sz w:val="20"/>
          <w:szCs w:val="20"/>
          <w:lang w:val="en-GB"/>
        </w:rPr>
        <w:t xml:space="preserve"> [2011] EWCA Civ 20, </w:t>
      </w:r>
      <w:r w:rsidR="00CE4B11" w:rsidRPr="00F32592">
        <w:rPr>
          <w:sz w:val="20"/>
          <w:szCs w:val="20"/>
          <w:lang w:val="en-GB"/>
        </w:rPr>
        <w:t xml:space="preserve">para </w:t>
      </w:r>
      <w:r w:rsidRPr="00F32592">
        <w:rPr>
          <w:sz w:val="20"/>
          <w:szCs w:val="20"/>
          <w:lang w:val="en-GB"/>
        </w:rPr>
        <w:t>18.</w:t>
      </w:r>
    </w:p>
  </w:footnote>
  <w:footnote w:id="84">
    <w:p w14:paraId="19AF8EEA" w14:textId="310EF464" w:rsidR="001379A4" w:rsidRPr="00F32592" w:rsidRDefault="001379A4" w:rsidP="00E14136">
      <w:pPr>
        <w:pStyle w:val="Alaviitteenteksti"/>
      </w:pPr>
      <w:r w:rsidRPr="00F32592">
        <w:rPr>
          <w:rStyle w:val="Alaviitteenviite"/>
        </w:rPr>
        <w:footnoteRef/>
      </w:r>
      <w:r w:rsidRPr="00F32592">
        <w:t xml:space="preserve"> Dobbs (n 2</w:t>
      </w:r>
      <w:r w:rsidR="00ED79EC" w:rsidRPr="00F32592">
        <w:t>1</w:t>
      </w:r>
      <w:r w:rsidRPr="00F32592">
        <w:t>)</w:t>
      </w:r>
      <w:r w:rsidR="00900E4C" w:rsidRPr="00F32592">
        <w:t xml:space="preserve"> 128–140</w:t>
      </w:r>
      <w:r w:rsidRPr="00F32592">
        <w:t>.</w:t>
      </w:r>
    </w:p>
  </w:footnote>
  <w:footnote w:id="85">
    <w:p w14:paraId="0C2925A5" w14:textId="2029BF7B" w:rsidR="001379A4" w:rsidRPr="00F32592" w:rsidRDefault="001379A4" w:rsidP="00E14136">
      <w:pPr>
        <w:rPr>
          <w:sz w:val="20"/>
          <w:szCs w:val="20"/>
          <w:lang w:val="en-GB"/>
        </w:rPr>
      </w:pPr>
      <w:r w:rsidRPr="00F32592">
        <w:rPr>
          <w:rStyle w:val="Alaviitteenviite"/>
          <w:sz w:val="20"/>
          <w:szCs w:val="20"/>
          <w:lang w:val="en-GB"/>
        </w:rPr>
        <w:footnoteRef/>
      </w:r>
      <w:r w:rsidRPr="00F32592">
        <w:rPr>
          <w:sz w:val="20"/>
          <w:szCs w:val="20"/>
          <w:lang w:val="en-GB"/>
        </w:rPr>
        <w:t xml:space="preserve"> </w:t>
      </w:r>
      <w:r w:rsidRPr="00F32592">
        <w:rPr>
          <w:i/>
          <w:sz w:val="20"/>
          <w:szCs w:val="20"/>
          <w:lang w:val="en-GB"/>
        </w:rPr>
        <w:t>Morge v Hampshire County Council</w:t>
      </w:r>
      <w:r w:rsidRPr="00F32592">
        <w:rPr>
          <w:sz w:val="20"/>
          <w:szCs w:val="20"/>
          <w:lang w:val="en-GB"/>
        </w:rPr>
        <w:t xml:space="preserve"> [2009] EWHC 2940 (Admin), </w:t>
      </w:r>
      <w:r w:rsidR="00CE4B11" w:rsidRPr="00F32592">
        <w:rPr>
          <w:sz w:val="20"/>
          <w:szCs w:val="20"/>
          <w:lang w:val="en-GB"/>
        </w:rPr>
        <w:t xml:space="preserve">para </w:t>
      </w:r>
      <w:r w:rsidRPr="00F32592">
        <w:rPr>
          <w:sz w:val="20"/>
          <w:szCs w:val="20"/>
          <w:lang w:val="en-GB"/>
        </w:rPr>
        <w:t>60 states that ‘it might be confidently expected that Natural England were aware of the terms of the Habitats Directive, the Commission Guidance and the Habitats Regulations, given that they were the authority responsible’.</w:t>
      </w:r>
    </w:p>
  </w:footnote>
  <w:footnote w:id="86">
    <w:p w14:paraId="53B94277" w14:textId="2CFA31B8" w:rsidR="001379A4" w:rsidRPr="00F32592" w:rsidRDefault="001379A4" w:rsidP="00E14136">
      <w:pPr>
        <w:pStyle w:val="Alaviitteenteksti"/>
      </w:pPr>
      <w:r w:rsidRPr="00F32592">
        <w:rPr>
          <w:rStyle w:val="Alaviitteenviite"/>
        </w:rPr>
        <w:footnoteRef/>
      </w:r>
      <w:r w:rsidRPr="00F32592">
        <w:t xml:space="preserve"> </w:t>
      </w:r>
      <w:r w:rsidRPr="00F32592">
        <w:rPr>
          <w:lang w:val="en-GB"/>
        </w:rPr>
        <w:t>Post (n 2</w:t>
      </w:r>
      <w:r w:rsidR="00ED79EC" w:rsidRPr="00F32592">
        <w:rPr>
          <w:lang w:val="en-GB"/>
        </w:rPr>
        <w:t>9</w:t>
      </w:r>
      <w:r w:rsidRPr="00F32592">
        <w:rPr>
          <w:lang w:val="en-GB"/>
        </w:rPr>
        <w:t xml:space="preserve">) </w:t>
      </w:r>
      <w:r w:rsidR="00485DBD" w:rsidRPr="00F32592">
        <w:rPr>
          <w:lang w:val="en-GB"/>
        </w:rPr>
        <w:t>135</w:t>
      </w:r>
      <w:r w:rsidRPr="00F32592">
        <w:rPr>
          <w:lang w:val="en-GB"/>
        </w:rPr>
        <w:t>.</w:t>
      </w:r>
    </w:p>
  </w:footnote>
  <w:footnote w:id="87">
    <w:p w14:paraId="44A790DC" w14:textId="565BD635" w:rsidR="001379A4" w:rsidRPr="00F32592" w:rsidRDefault="001379A4" w:rsidP="00E14136">
      <w:pPr>
        <w:pStyle w:val="Alaviitteenteksti"/>
        <w:rPr>
          <w:lang w:val="en-GB"/>
        </w:rPr>
      </w:pPr>
      <w:r w:rsidRPr="00F32592">
        <w:rPr>
          <w:rStyle w:val="Alaviitteenviite"/>
          <w:lang w:val="en-GB"/>
        </w:rPr>
        <w:footnoteRef/>
      </w:r>
      <w:r w:rsidRPr="00F32592">
        <w:rPr>
          <w:lang w:val="en-GB"/>
        </w:rPr>
        <w:t xml:space="preserve"> European Union (Withdrawal) Act 2018</w:t>
      </w:r>
      <w:r w:rsidR="00EA01F6" w:rsidRPr="00F32592">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A78"/>
    <w:multiLevelType w:val="hybridMultilevel"/>
    <w:tmpl w:val="7982D8A0"/>
    <w:lvl w:ilvl="0" w:tplc="B2F85E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64D"/>
    <w:multiLevelType w:val="multilevel"/>
    <w:tmpl w:val="761EECAC"/>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E551D5"/>
    <w:multiLevelType w:val="hybridMultilevel"/>
    <w:tmpl w:val="581CA1FA"/>
    <w:lvl w:ilvl="0" w:tplc="8C70506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65CDB"/>
    <w:multiLevelType w:val="multilevel"/>
    <w:tmpl w:val="EE4EC5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1276C"/>
    <w:multiLevelType w:val="hybridMultilevel"/>
    <w:tmpl w:val="81B475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B1786"/>
    <w:multiLevelType w:val="hybridMultilevel"/>
    <w:tmpl w:val="685E4964"/>
    <w:lvl w:ilvl="0" w:tplc="9F32E8AA">
      <w:start w:val="2"/>
      <w:numFmt w:val="none"/>
      <w:lvlText w:val="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49A"/>
    <w:multiLevelType w:val="hybridMultilevel"/>
    <w:tmpl w:val="3BB4F31E"/>
    <w:lvl w:ilvl="0" w:tplc="3E361BE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C8C27CF"/>
    <w:multiLevelType w:val="multilevel"/>
    <w:tmpl w:val="E3EC830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96DD7"/>
    <w:multiLevelType w:val="hybridMultilevel"/>
    <w:tmpl w:val="4D54DE20"/>
    <w:lvl w:ilvl="0" w:tplc="B2F85E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E1881"/>
    <w:multiLevelType w:val="hybridMultilevel"/>
    <w:tmpl w:val="BA3E69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456399"/>
    <w:multiLevelType w:val="hybridMultilevel"/>
    <w:tmpl w:val="E74E2FD6"/>
    <w:lvl w:ilvl="0" w:tplc="558EBA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2400A"/>
    <w:multiLevelType w:val="hybridMultilevel"/>
    <w:tmpl w:val="487E58DA"/>
    <w:lvl w:ilvl="0" w:tplc="4FEA478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3AB"/>
    <w:multiLevelType w:val="hybridMultilevel"/>
    <w:tmpl w:val="3CA61020"/>
    <w:lvl w:ilvl="0" w:tplc="A8D6BEA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87AC7"/>
    <w:multiLevelType w:val="hybridMultilevel"/>
    <w:tmpl w:val="265CDD74"/>
    <w:lvl w:ilvl="0" w:tplc="65E0C1B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1A14DE2"/>
    <w:multiLevelType w:val="multilevel"/>
    <w:tmpl w:val="267023C6"/>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FF432C8"/>
    <w:multiLevelType w:val="hybridMultilevel"/>
    <w:tmpl w:val="C4C08B2E"/>
    <w:lvl w:ilvl="0" w:tplc="B2F85E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C066F"/>
    <w:multiLevelType w:val="hybridMultilevel"/>
    <w:tmpl w:val="05D87C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05504"/>
    <w:multiLevelType w:val="hybridMultilevel"/>
    <w:tmpl w:val="A6209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41DD6"/>
    <w:multiLevelType w:val="multilevel"/>
    <w:tmpl w:val="A26A629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2"/>
  </w:num>
  <w:num w:numId="4">
    <w:abstractNumId w:val="4"/>
  </w:num>
  <w:num w:numId="5">
    <w:abstractNumId w:val="10"/>
  </w:num>
  <w:num w:numId="6">
    <w:abstractNumId w:val="18"/>
  </w:num>
  <w:num w:numId="7">
    <w:abstractNumId w:val="7"/>
  </w:num>
  <w:num w:numId="8">
    <w:abstractNumId w:val="3"/>
  </w:num>
  <w:num w:numId="9">
    <w:abstractNumId w:val="9"/>
  </w:num>
  <w:num w:numId="10">
    <w:abstractNumId w:val="6"/>
  </w:num>
  <w:num w:numId="11">
    <w:abstractNumId w:val="13"/>
  </w:num>
  <w:num w:numId="12">
    <w:abstractNumId w:val="16"/>
  </w:num>
  <w:num w:numId="13">
    <w:abstractNumId w:val="14"/>
  </w:num>
  <w:num w:numId="14">
    <w:abstractNumId w:val="8"/>
  </w:num>
  <w:num w:numId="15">
    <w:abstractNumId w:val="5"/>
  </w:num>
  <w:num w:numId="16">
    <w:abstractNumId w:val="15"/>
  </w:num>
  <w:num w:numId="17">
    <w:abstractNumId w:val="0"/>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FDE"/>
    <w:rsid w:val="00000F1E"/>
    <w:rsid w:val="00002C3E"/>
    <w:rsid w:val="000112DF"/>
    <w:rsid w:val="000144CC"/>
    <w:rsid w:val="0001692B"/>
    <w:rsid w:val="00020293"/>
    <w:rsid w:val="000275B2"/>
    <w:rsid w:val="00030458"/>
    <w:rsid w:val="00030515"/>
    <w:rsid w:val="000502E3"/>
    <w:rsid w:val="000519BB"/>
    <w:rsid w:val="00055A2F"/>
    <w:rsid w:val="00056F75"/>
    <w:rsid w:val="00063330"/>
    <w:rsid w:val="00074C43"/>
    <w:rsid w:val="00074E73"/>
    <w:rsid w:val="00085DC1"/>
    <w:rsid w:val="000907F9"/>
    <w:rsid w:val="000A1803"/>
    <w:rsid w:val="000A39FC"/>
    <w:rsid w:val="000B0209"/>
    <w:rsid w:val="000B605A"/>
    <w:rsid w:val="000B706F"/>
    <w:rsid w:val="000C0C27"/>
    <w:rsid w:val="000C10EC"/>
    <w:rsid w:val="000C3534"/>
    <w:rsid w:val="000C7124"/>
    <w:rsid w:val="000D1932"/>
    <w:rsid w:val="000D1BED"/>
    <w:rsid w:val="000D46F7"/>
    <w:rsid w:val="000D6507"/>
    <w:rsid w:val="000F2C67"/>
    <w:rsid w:val="001149AA"/>
    <w:rsid w:val="00126C3A"/>
    <w:rsid w:val="0012778E"/>
    <w:rsid w:val="0013113A"/>
    <w:rsid w:val="00132EB4"/>
    <w:rsid w:val="001332EC"/>
    <w:rsid w:val="001334B5"/>
    <w:rsid w:val="001379A4"/>
    <w:rsid w:val="0014145B"/>
    <w:rsid w:val="00164A6C"/>
    <w:rsid w:val="001714BF"/>
    <w:rsid w:val="001808CA"/>
    <w:rsid w:val="00181C21"/>
    <w:rsid w:val="00182173"/>
    <w:rsid w:val="001848E6"/>
    <w:rsid w:val="001875A3"/>
    <w:rsid w:val="001A4294"/>
    <w:rsid w:val="001A6C7B"/>
    <w:rsid w:val="001B1E19"/>
    <w:rsid w:val="001B2382"/>
    <w:rsid w:val="001B2B4C"/>
    <w:rsid w:val="001B63EA"/>
    <w:rsid w:val="001C4482"/>
    <w:rsid w:val="001C48F2"/>
    <w:rsid w:val="001C5C25"/>
    <w:rsid w:val="001D1022"/>
    <w:rsid w:val="001D3844"/>
    <w:rsid w:val="001D3EB2"/>
    <w:rsid w:val="001E0927"/>
    <w:rsid w:val="001E5899"/>
    <w:rsid w:val="001E74A6"/>
    <w:rsid w:val="001F10A9"/>
    <w:rsid w:val="001F2822"/>
    <w:rsid w:val="001F332E"/>
    <w:rsid w:val="001F5A53"/>
    <w:rsid w:val="001F73D8"/>
    <w:rsid w:val="001F7509"/>
    <w:rsid w:val="0020555B"/>
    <w:rsid w:val="00206D22"/>
    <w:rsid w:val="00206FBB"/>
    <w:rsid w:val="00223D62"/>
    <w:rsid w:val="00232620"/>
    <w:rsid w:val="002351B5"/>
    <w:rsid w:val="00236A12"/>
    <w:rsid w:val="00241D0B"/>
    <w:rsid w:val="00242CDC"/>
    <w:rsid w:val="00243EC0"/>
    <w:rsid w:val="002470C0"/>
    <w:rsid w:val="00252C03"/>
    <w:rsid w:val="00255AF4"/>
    <w:rsid w:val="002660B8"/>
    <w:rsid w:val="00271034"/>
    <w:rsid w:val="0027145F"/>
    <w:rsid w:val="00274800"/>
    <w:rsid w:val="0027507B"/>
    <w:rsid w:val="00275D77"/>
    <w:rsid w:val="002823CF"/>
    <w:rsid w:val="00285699"/>
    <w:rsid w:val="00287380"/>
    <w:rsid w:val="00290F9C"/>
    <w:rsid w:val="00293400"/>
    <w:rsid w:val="002A0FDB"/>
    <w:rsid w:val="002B16C9"/>
    <w:rsid w:val="002B4278"/>
    <w:rsid w:val="002B5795"/>
    <w:rsid w:val="002B6888"/>
    <w:rsid w:val="002B7833"/>
    <w:rsid w:val="002C080B"/>
    <w:rsid w:val="002C5368"/>
    <w:rsid w:val="002C7ADC"/>
    <w:rsid w:val="002D073D"/>
    <w:rsid w:val="002D4D07"/>
    <w:rsid w:val="002E49F1"/>
    <w:rsid w:val="002F1B38"/>
    <w:rsid w:val="002F54FD"/>
    <w:rsid w:val="003000D1"/>
    <w:rsid w:val="00304F8E"/>
    <w:rsid w:val="00306932"/>
    <w:rsid w:val="00306DA4"/>
    <w:rsid w:val="00314A07"/>
    <w:rsid w:val="0031704C"/>
    <w:rsid w:val="00320F31"/>
    <w:rsid w:val="003227E0"/>
    <w:rsid w:val="003238DE"/>
    <w:rsid w:val="003301E5"/>
    <w:rsid w:val="0033051B"/>
    <w:rsid w:val="00331548"/>
    <w:rsid w:val="00334581"/>
    <w:rsid w:val="00336D87"/>
    <w:rsid w:val="00351B6F"/>
    <w:rsid w:val="00355B4A"/>
    <w:rsid w:val="003566C3"/>
    <w:rsid w:val="003617D7"/>
    <w:rsid w:val="0036680C"/>
    <w:rsid w:val="00381A35"/>
    <w:rsid w:val="003838C8"/>
    <w:rsid w:val="00395EC2"/>
    <w:rsid w:val="003A35D8"/>
    <w:rsid w:val="003A384E"/>
    <w:rsid w:val="003B7B53"/>
    <w:rsid w:val="003D3671"/>
    <w:rsid w:val="003D6C69"/>
    <w:rsid w:val="003F764C"/>
    <w:rsid w:val="004023C3"/>
    <w:rsid w:val="00406F82"/>
    <w:rsid w:val="00422B6A"/>
    <w:rsid w:val="00425F96"/>
    <w:rsid w:val="004277D4"/>
    <w:rsid w:val="00437B55"/>
    <w:rsid w:val="00442E3C"/>
    <w:rsid w:val="00443786"/>
    <w:rsid w:val="00444EBA"/>
    <w:rsid w:val="00445779"/>
    <w:rsid w:val="00452193"/>
    <w:rsid w:val="00452703"/>
    <w:rsid w:val="00452DE4"/>
    <w:rsid w:val="00455DA3"/>
    <w:rsid w:val="00456362"/>
    <w:rsid w:val="004607A8"/>
    <w:rsid w:val="00462BB2"/>
    <w:rsid w:val="00474E04"/>
    <w:rsid w:val="004760B6"/>
    <w:rsid w:val="0048081F"/>
    <w:rsid w:val="004828FF"/>
    <w:rsid w:val="00485DBD"/>
    <w:rsid w:val="004963C2"/>
    <w:rsid w:val="004A2024"/>
    <w:rsid w:val="004A49AE"/>
    <w:rsid w:val="004B3029"/>
    <w:rsid w:val="004B510F"/>
    <w:rsid w:val="004B6DEB"/>
    <w:rsid w:val="004C032D"/>
    <w:rsid w:val="004C1D9D"/>
    <w:rsid w:val="004C1DB3"/>
    <w:rsid w:val="004C7119"/>
    <w:rsid w:val="004D2653"/>
    <w:rsid w:val="004D6103"/>
    <w:rsid w:val="004E1C77"/>
    <w:rsid w:val="004E2D83"/>
    <w:rsid w:val="004E7D27"/>
    <w:rsid w:val="00510B82"/>
    <w:rsid w:val="00532A7B"/>
    <w:rsid w:val="00547900"/>
    <w:rsid w:val="0055460C"/>
    <w:rsid w:val="005602E4"/>
    <w:rsid w:val="00564657"/>
    <w:rsid w:val="00567D18"/>
    <w:rsid w:val="00574B0B"/>
    <w:rsid w:val="005756B6"/>
    <w:rsid w:val="00582B2F"/>
    <w:rsid w:val="00591433"/>
    <w:rsid w:val="00593936"/>
    <w:rsid w:val="00596D31"/>
    <w:rsid w:val="005A136D"/>
    <w:rsid w:val="005A3C45"/>
    <w:rsid w:val="005A4724"/>
    <w:rsid w:val="005A6911"/>
    <w:rsid w:val="005B0084"/>
    <w:rsid w:val="005B0520"/>
    <w:rsid w:val="005C0467"/>
    <w:rsid w:val="005C5DD0"/>
    <w:rsid w:val="005D225E"/>
    <w:rsid w:val="005D43B9"/>
    <w:rsid w:val="005D521B"/>
    <w:rsid w:val="005D71FE"/>
    <w:rsid w:val="005E1C6B"/>
    <w:rsid w:val="005E1F59"/>
    <w:rsid w:val="005E269F"/>
    <w:rsid w:val="005E31E1"/>
    <w:rsid w:val="005E4585"/>
    <w:rsid w:val="005E7C74"/>
    <w:rsid w:val="005F498E"/>
    <w:rsid w:val="005F7E4C"/>
    <w:rsid w:val="00600F90"/>
    <w:rsid w:val="006017CE"/>
    <w:rsid w:val="00602A92"/>
    <w:rsid w:val="00603C1D"/>
    <w:rsid w:val="006170FD"/>
    <w:rsid w:val="00626F1D"/>
    <w:rsid w:val="006376C9"/>
    <w:rsid w:val="00644471"/>
    <w:rsid w:val="006463FD"/>
    <w:rsid w:val="006473BD"/>
    <w:rsid w:val="00654830"/>
    <w:rsid w:val="00656920"/>
    <w:rsid w:val="00657859"/>
    <w:rsid w:val="00661AE5"/>
    <w:rsid w:val="00662D03"/>
    <w:rsid w:val="00663A73"/>
    <w:rsid w:val="00673F72"/>
    <w:rsid w:val="00676564"/>
    <w:rsid w:val="00677AEC"/>
    <w:rsid w:val="00687738"/>
    <w:rsid w:val="0069314C"/>
    <w:rsid w:val="006A1B9D"/>
    <w:rsid w:val="006A43B0"/>
    <w:rsid w:val="006B0AE4"/>
    <w:rsid w:val="006C2E59"/>
    <w:rsid w:val="006C306D"/>
    <w:rsid w:val="006C4CEC"/>
    <w:rsid w:val="006D145E"/>
    <w:rsid w:val="006D73EC"/>
    <w:rsid w:val="006E7A5B"/>
    <w:rsid w:val="006F1777"/>
    <w:rsid w:val="006F268E"/>
    <w:rsid w:val="006F47B2"/>
    <w:rsid w:val="00702FA8"/>
    <w:rsid w:val="00705691"/>
    <w:rsid w:val="00720284"/>
    <w:rsid w:val="007228DF"/>
    <w:rsid w:val="00722D9E"/>
    <w:rsid w:val="00723FA7"/>
    <w:rsid w:val="00726947"/>
    <w:rsid w:val="007317E0"/>
    <w:rsid w:val="0073212E"/>
    <w:rsid w:val="007338E7"/>
    <w:rsid w:val="00761448"/>
    <w:rsid w:val="00762499"/>
    <w:rsid w:val="00762CC5"/>
    <w:rsid w:val="00765BAB"/>
    <w:rsid w:val="0076706D"/>
    <w:rsid w:val="00772AA9"/>
    <w:rsid w:val="00785746"/>
    <w:rsid w:val="00793FEC"/>
    <w:rsid w:val="00795CE7"/>
    <w:rsid w:val="007B0BB2"/>
    <w:rsid w:val="007B0D08"/>
    <w:rsid w:val="007B2E22"/>
    <w:rsid w:val="007B486D"/>
    <w:rsid w:val="007C2BEA"/>
    <w:rsid w:val="007E35FA"/>
    <w:rsid w:val="007E535A"/>
    <w:rsid w:val="007E6F17"/>
    <w:rsid w:val="007F0199"/>
    <w:rsid w:val="007F3EB0"/>
    <w:rsid w:val="00801442"/>
    <w:rsid w:val="0080255F"/>
    <w:rsid w:val="00805019"/>
    <w:rsid w:val="008132DE"/>
    <w:rsid w:val="008141F1"/>
    <w:rsid w:val="00815A8B"/>
    <w:rsid w:val="00815D06"/>
    <w:rsid w:val="00816F16"/>
    <w:rsid w:val="00824FF6"/>
    <w:rsid w:val="00825DA5"/>
    <w:rsid w:val="00833769"/>
    <w:rsid w:val="008371D0"/>
    <w:rsid w:val="00841310"/>
    <w:rsid w:val="00847F5D"/>
    <w:rsid w:val="00850938"/>
    <w:rsid w:val="00851177"/>
    <w:rsid w:val="008512C5"/>
    <w:rsid w:val="00851599"/>
    <w:rsid w:val="00860B85"/>
    <w:rsid w:val="008625FB"/>
    <w:rsid w:val="0087042A"/>
    <w:rsid w:val="00872553"/>
    <w:rsid w:val="00877B09"/>
    <w:rsid w:val="00885E6A"/>
    <w:rsid w:val="00885F7A"/>
    <w:rsid w:val="00886640"/>
    <w:rsid w:val="008956D2"/>
    <w:rsid w:val="008A3085"/>
    <w:rsid w:val="008B4404"/>
    <w:rsid w:val="008B61C2"/>
    <w:rsid w:val="008B6A2D"/>
    <w:rsid w:val="008C5FC5"/>
    <w:rsid w:val="008E0FF8"/>
    <w:rsid w:val="008E2ED1"/>
    <w:rsid w:val="008F1008"/>
    <w:rsid w:val="008F27EC"/>
    <w:rsid w:val="00900E4C"/>
    <w:rsid w:val="009065FC"/>
    <w:rsid w:val="00911EA7"/>
    <w:rsid w:val="009120DB"/>
    <w:rsid w:val="00913485"/>
    <w:rsid w:val="00924127"/>
    <w:rsid w:val="009258E3"/>
    <w:rsid w:val="009326C6"/>
    <w:rsid w:val="009368BE"/>
    <w:rsid w:val="00936BF4"/>
    <w:rsid w:val="0094023F"/>
    <w:rsid w:val="00940BFB"/>
    <w:rsid w:val="00950EA3"/>
    <w:rsid w:val="009728A6"/>
    <w:rsid w:val="00985A48"/>
    <w:rsid w:val="00985BB2"/>
    <w:rsid w:val="00985C93"/>
    <w:rsid w:val="009875D6"/>
    <w:rsid w:val="00991FF6"/>
    <w:rsid w:val="009934F1"/>
    <w:rsid w:val="009955B4"/>
    <w:rsid w:val="00997CA5"/>
    <w:rsid w:val="009A2C7B"/>
    <w:rsid w:val="009B1B9D"/>
    <w:rsid w:val="009B3124"/>
    <w:rsid w:val="009C1011"/>
    <w:rsid w:val="009C58A4"/>
    <w:rsid w:val="009C5A58"/>
    <w:rsid w:val="009D4E7E"/>
    <w:rsid w:val="009E3EC5"/>
    <w:rsid w:val="009F3886"/>
    <w:rsid w:val="00A00FF0"/>
    <w:rsid w:val="00A0240A"/>
    <w:rsid w:val="00A0759C"/>
    <w:rsid w:val="00A136A2"/>
    <w:rsid w:val="00A1618B"/>
    <w:rsid w:val="00A23959"/>
    <w:rsid w:val="00A24708"/>
    <w:rsid w:val="00A26F0D"/>
    <w:rsid w:val="00A32161"/>
    <w:rsid w:val="00A32221"/>
    <w:rsid w:val="00A43BE8"/>
    <w:rsid w:val="00A50F99"/>
    <w:rsid w:val="00A512A1"/>
    <w:rsid w:val="00A522E3"/>
    <w:rsid w:val="00A56A36"/>
    <w:rsid w:val="00A611B7"/>
    <w:rsid w:val="00A67944"/>
    <w:rsid w:val="00A67E21"/>
    <w:rsid w:val="00A76BB5"/>
    <w:rsid w:val="00A809F4"/>
    <w:rsid w:val="00A81230"/>
    <w:rsid w:val="00A86C51"/>
    <w:rsid w:val="00A87DC8"/>
    <w:rsid w:val="00A962EB"/>
    <w:rsid w:val="00A96456"/>
    <w:rsid w:val="00AA24DF"/>
    <w:rsid w:val="00AB34C6"/>
    <w:rsid w:val="00AC5793"/>
    <w:rsid w:val="00AD4219"/>
    <w:rsid w:val="00AD57B3"/>
    <w:rsid w:val="00AD6B37"/>
    <w:rsid w:val="00AE0B28"/>
    <w:rsid w:val="00AE6DE1"/>
    <w:rsid w:val="00AF298A"/>
    <w:rsid w:val="00AF5F34"/>
    <w:rsid w:val="00AF7056"/>
    <w:rsid w:val="00B04B57"/>
    <w:rsid w:val="00B0726D"/>
    <w:rsid w:val="00B115E5"/>
    <w:rsid w:val="00B15B71"/>
    <w:rsid w:val="00B20762"/>
    <w:rsid w:val="00B335C5"/>
    <w:rsid w:val="00B37EA0"/>
    <w:rsid w:val="00B477C5"/>
    <w:rsid w:val="00B51BE2"/>
    <w:rsid w:val="00B61C9C"/>
    <w:rsid w:val="00B65D28"/>
    <w:rsid w:val="00B67945"/>
    <w:rsid w:val="00B7637E"/>
    <w:rsid w:val="00B818DF"/>
    <w:rsid w:val="00B8246B"/>
    <w:rsid w:val="00B84AFB"/>
    <w:rsid w:val="00B85E4B"/>
    <w:rsid w:val="00BA0861"/>
    <w:rsid w:val="00BA3FE6"/>
    <w:rsid w:val="00BA690D"/>
    <w:rsid w:val="00BA7C70"/>
    <w:rsid w:val="00BB2982"/>
    <w:rsid w:val="00BB42D0"/>
    <w:rsid w:val="00BC2C12"/>
    <w:rsid w:val="00BD023A"/>
    <w:rsid w:val="00BD145F"/>
    <w:rsid w:val="00BD50C8"/>
    <w:rsid w:val="00BD76A2"/>
    <w:rsid w:val="00BE56F3"/>
    <w:rsid w:val="00C01770"/>
    <w:rsid w:val="00C078EB"/>
    <w:rsid w:val="00C07E52"/>
    <w:rsid w:val="00C13784"/>
    <w:rsid w:val="00C14F8C"/>
    <w:rsid w:val="00C208ED"/>
    <w:rsid w:val="00C20EF1"/>
    <w:rsid w:val="00C3364B"/>
    <w:rsid w:val="00C36A53"/>
    <w:rsid w:val="00C36B21"/>
    <w:rsid w:val="00C50860"/>
    <w:rsid w:val="00C55EB0"/>
    <w:rsid w:val="00C63A0A"/>
    <w:rsid w:val="00C6411C"/>
    <w:rsid w:val="00C72120"/>
    <w:rsid w:val="00C81861"/>
    <w:rsid w:val="00C840EB"/>
    <w:rsid w:val="00C866F4"/>
    <w:rsid w:val="00C92C91"/>
    <w:rsid w:val="00C93270"/>
    <w:rsid w:val="00C94F50"/>
    <w:rsid w:val="00CC672E"/>
    <w:rsid w:val="00CD24C2"/>
    <w:rsid w:val="00CD5889"/>
    <w:rsid w:val="00CE125A"/>
    <w:rsid w:val="00CE4B11"/>
    <w:rsid w:val="00CF509D"/>
    <w:rsid w:val="00CF5E1F"/>
    <w:rsid w:val="00D01713"/>
    <w:rsid w:val="00D02FDE"/>
    <w:rsid w:val="00D05C05"/>
    <w:rsid w:val="00D07185"/>
    <w:rsid w:val="00D07A7B"/>
    <w:rsid w:val="00D1129E"/>
    <w:rsid w:val="00D2190D"/>
    <w:rsid w:val="00D230FA"/>
    <w:rsid w:val="00D270BE"/>
    <w:rsid w:val="00D31452"/>
    <w:rsid w:val="00D32D38"/>
    <w:rsid w:val="00D358C8"/>
    <w:rsid w:val="00D441E6"/>
    <w:rsid w:val="00D44D69"/>
    <w:rsid w:val="00D54B7B"/>
    <w:rsid w:val="00D57703"/>
    <w:rsid w:val="00D6750E"/>
    <w:rsid w:val="00D82BAE"/>
    <w:rsid w:val="00D869A6"/>
    <w:rsid w:val="00D879AE"/>
    <w:rsid w:val="00D94BC6"/>
    <w:rsid w:val="00D966A4"/>
    <w:rsid w:val="00DA136F"/>
    <w:rsid w:val="00DA1724"/>
    <w:rsid w:val="00DA2F56"/>
    <w:rsid w:val="00DA41C0"/>
    <w:rsid w:val="00DB205F"/>
    <w:rsid w:val="00DB3B20"/>
    <w:rsid w:val="00DB5432"/>
    <w:rsid w:val="00DB70F8"/>
    <w:rsid w:val="00DC1CA2"/>
    <w:rsid w:val="00DD6CEA"/>
    <w:rsid w:val="00DE6EA2"/>
    <w:rsid w:val="00DF2DE3"/>
    <w:rsid w:val="00DF4A26"/>
    <w:rsid w:val="00E01659"/>
    <w:rsid w:val="00E02266"/>
    <w:rsid w:val="00E03163"/>
    <w:rsid w:val="00E0384B"/>
    <w:rsid w:val="00E14136"/>
    <w:rsid w:val="00E14FA7"/>
    <w:rsid w:val="00E17055"/>
    <w:rsid w:val="00E1780B"/>
    <w:rsid w:val="00E21461"/>
    <w:rsid w:val="00E22AD8"/>
    <w:rsid w:val="00E2325C"/>
    <w:rsid w:val="00E27B68"/>
    <w:rsid w:val="00E3518F"/>
    <w:rsid w:val="00E37620"/>
    <w:rsid w:val="00E40DC9"/>
    <w:rsid w:val="00E44E65"/>
    <w:rsid w:val="00E460E1"/>
    <w:rsid w:val="00E51307"/>
    <w:rsid w:val="00E60757"/>
    <w:rsid w:val="00E6538D"/>
    <w:rsid w:val="00E6750A"/>
    <w:rsid w:val="00E844F9"/>
    <w:rsid w:val="00E85DBE"/>
    <w:rsid w:val="00E902FC"/>
    <w:rsid w:val="00E959E0"/>
    <w:rsid w:val="00E95B4D"/>
    <w:rsid w:val="00EA01F6"/>
    <w:rsid w:val="00EA070A"/>
    <w:rsid w:val="00EA0EB7"/>
    <w:rsid w:val="00EA26BD"/>
    <w:rsid w:val="00EB147B"/>
    <w:rsid w:val="00EB3D1A"/>
    <w:rsid w:val="00EB73C6"/>
    <w:rsid w:val="00ED01DE"/>
    <w:rsid w:val="00ED1739"/>
    <w:rsid w:val="00ED79EC"/>
    <w:rsid w:val="00EE1D4A"/>
    <w:rsid w:val="00EF401E"/>
    <w:rsid w:val="00EF45B6"/>
    <w:rsid w:val="00EF598F"/>
    <w:rsid w:val="00EF686E"/>
    <w:rsid w:val="00F07209"/>
    <w:rsid w:val="00F1278C"/>
    <w:rsid w:val="00F13494"/>
    <w:rsid w:val="00F1750A"/>
    <w:rsid w:val="00F17E09"/>
    <w:rsid w:val="00F2198A"/>
    <w:rsid w:val="00F23CE8"/>
    <w:rsid w:val="00F3230A"/>
    <w:rsid w:val="00F32592"/>
    <w:rsid w:val="00F365D9"/>
    <w:rsid w:val="00F37891"/>
    <w:rsid w:val="00F5377A"/>
    <w:rsid w:val="00F6463A"/>
    <w:rsid w:val="00F667AE"/>
    <w:rsid w:val="00F70F52"/>
    <w:rsid w:val="00F7130A"/>
    <w:rsid w:val="00F72FB0"/>
    <w:rsid w:val="00F74484"/>
    <w:rsid w:val="00F75280"/>
    <w:rsid w:val="00F77EBF"/>
    <w:rsid w:val="00F8402A"/>
    <w:rsid w:val="00F90E0B"/>
    <w:rsid w:val="00FA1768"/>
    <w:rsid w:val="00FB2346"/>
    <w:rsid w:val="00FB68FA"/>
    <w:rsid w:val="00FC14E7"/>
    <w:rsid w:val="00FC2FB1"/>
    <w:rsid w:val="00FD0A28"/>
    <w:rsid w:val="00FD5049"/>
    <w:rsid w:val="00FE12C2"/>
    <w:rsid w:val="00FE58BC"/>
    <w:rsid w:val="00FF4CD7"/>
    <w:rsid w:val="00FF5493"/>
    <w:rsid w:val="00FF6880"/>
    <w:rsid w:val="00FF7A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1D9AD"/>
  <w15:docId w15:val="{DC4D053C-35BE-6E46-ACF5-3BA7E9FF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D02FDE"/>
    <w:pPr>
      <w:spacing w:after="0" w:line="240" w:lineRule="auto"/>
    </w:pPr>
    <w:rPr>
      <w:rFonts w:ascii="Times New Roman" w:eastAsia="Times New Roman" w:hAnsi="Times New Roman" w:cs="Times New Roman"/>
      <w:sz w:val="24"/>
      <w:szCs w:val="24"/>
      <w:lang w:val="fi-FI"/>
    </w:rPr>
  </w:style>
  <w:style w:type="paragraph" w:styleId="Otsikko1">
    <w:name w:val="heading 1"/>
    <w:basedOn w:val="Normaali"/>
    <w:next w:val="Normaali"/>
    <w:link w:val="Otsikko1Char"/>
    <w:uiPriority w:val="9"/>
    <w:qFormat/>
    <w:rsid w:val="00FC14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B818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D54B7B"/>
    <w:pPr>
      <w:keepNext/>
      <w:keepLines/>
      <w:spacing w:before="40"/>
      <w:outlineLvl w:val="2"/>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02FDE"/>
    <w:pPr>
      <w:ind w:left="720"/>
      <w:contextualSpacing/>
    </w:pPr>
  </w:style>
  <w:style w:type="paragraph" w:styleId="Alaviitteenteksti">
    <w:name w:val="footnote text"/>
    <w:basedOn w:val="Normaali"/>
    <w:link w:val="AlaviitteentekstiChar"/>
    <w:uiPriority w:val="99"/>
    <w:unhideWhenUsed/>
    <w:rsid w:val="00D07185"/>
    <w:rPr>
      <w:sz w:val="20"/>
      <w:szCs w:val="20"/>
    </w:rPr>
  </w:style>
  <w:style w:type="character" w:customStyle="1" w:styleId="AlaviitteentekstiChar">
    <w:name w:val="Alaviitteen teksti Char"/>
    <w:basedOn w:val="Kappaleenoletusfontti"/>
    <w:link w:val="Alaviitteenteksti"/>
    <w:uiPriority w:val="99"/>
    <w:rsid w:val="00D07185"/>
    <w:rPr>
      <w:rFonts w:ascii="Times New Roman" w:eastAsia="Times New Roman" w:hAnsi="Times New Roman" w:cs="Times New Roman"/>
      <w:sz w:val="20"/>
      <w:szCs w:val="20"/>
      <w:lang w:val="fi-FI"/>
    </w:rPr>
  </w:style>
  <w:style w:type="character" w:styleId="Alaviitteenviite">
    <w:name w:val="footnote reference"/>
    <w:aliases w:val="Ref,de nota al pie,Footnote number,Nota a pie,fr,Footnote Refernece,Footnote Reference Superscript,Footnotes refss,Appel note de bas de p.,Footnote Reference Number,BVI fnr,callout,Fn Ref,RSC_WP (footnote reference),footnotesign,E FNZ"/>
    <w:basedOn w:val="Kappaleenoletusfontti"/>
    <w:uiPriority w:val="99"/>
    <w:unhideWhenUsed/>
    <w:qFormat/>
    <w:rsid w:val="00D07185"/>
    <w:rPr>
      <w:vertAlign w:val="superscript"/>
    </w:rPr>
  </w:style>
  <w:style w:type="character" w:styleId="Kommentinviite">
    <w:name w:val="annotation reference"/>
    <w:basedOn w:val="Kappaleenoletusfontti"/>
    <w:uiPriority w:val="99"/>
    <w:semiHidden/>
    <w:unhideWhenUsed/>
    <w:rsid w:val="005E269F"/>
    <w:rPr>
      <w:sz w:val="16"/>
      <w:szCs w:val="16"/>
    </w:rPr>
  </w:style>
  <w:style w:type="paragraph" w:styleId="Kommentinteksti">
    <w:name w:val="annotation text"/>
    <w:basedOn w:val="Normaali"/>
    <w:link w:val="KommentintekstiChar"/>
    <w:uiPriority w:val="99"/>
    <w:semiHidden/>
    <w:unhideWhenUsed/>
    <w:rsid w:val="005E269F"/>
    <w:rPr>
      <w:sz w:val="20"/>
      <w:szCs w:val="20"/>
    </w:rPr>
  </w:style>
  <w:style w:type="character" w:customStyle="1" w:styleId="KommentintekstiChar">
    <w:name w:val="Kommentin teksti Char"/>
    <w:basedOn w:val="Kappaleenoletusfontti"/>
    <w:link w:val="Kommentinteksti"/>
    <w:uiPriority w:val="99"/>
    <w:semiHidden/>
    <w:rsid w:val="005E269F"/>
    <w:rPr>
      <w:rFonts w:ascii="Times New Roman" w:eastAsia="Times New Roman" w:hAnsi="Times New Roman" w:cs="Times New Roman"/>
      <w:sz w:val="20"/>
      <w:szCs w:val="20"/>
      <w:lang w:val="fi-FI"/>
    </w:rPr>
  </w:style>
  <w:style w:type="paragraph" w:styleId="Kommentinotsikko">
    <w:name w:val="annotation subject"/>
    <w:basedOn w:val="Kommentinteksti"/>
    <w:next w:val="Kommentinteksti"/>
    <w:link w:val="KommentinotsikkoChar"/>
    <w:uiPriority w:val="99"/>
    <w:semiHidden/>
    <w:unhideWhenUsed/>
    <w:rsid w:val="005E269F"/>
    <w:rPr>
      <w:b/>
      <w:bCs/>
    </w:rPr>
  </w:style>
  <w:style w:type="character" w:customStyle="1" w:styleId="KommentinotsikkoChar">
    <w:name w:val="Kommentin otsikko Char"/>
    <w:basedOn w:val="KommentintekstiChar"/>
    <w:link w:val="Kommentinotsikko"/>
    <w:uiPriority w:val="99"/>
    <w:semiHidden/>
    <w:rsid w:val="005E269F"/>
    <w:rPr>
      <w:rFonts w:ascii="Times New Roman" w:eastAsia="Times New Roman" w:hAnsi="Times New Roman" w:cs="Times New Roman"/>
      <w:b/>
      <w:bCs/>
      <w:sz w:val="20"/>
      <w:szCs w:val="20"/>
      <w:lang w:val="fi-FI"/>
    </w:rPr>
  </w:style>
  <w:style w:type="paragraph" w:styleId="Seliteteksti">
    <w:name w:val="Balloon Text"/>
    <w:basedOn w:val="Normaali"/>
    <w:link w:val="SelitetekstiChar"/>
    <w:uiPriority w:val="99"/>
    <w:semiHidden/>
    <w:unhideWhenUsed/>
    <w:rsid w:val="005E269F"/>
    <w:rPr>
      <w:sz w:val="18"/>
      <w:szCs w:val="18"/>
    </w:rPr>
  </w:style>
  <w:style w:type="character" w:customStyle="1" w:styleId="SelitetekstiChar">
    <w:name w:val="Seliteteksti Char"/>
    <w:basedOn w:val="Kappaleenoletusfontti"/>
    <w:link w:val="Seliteteksti"/>
    <w:uiPriority w:val="99"/>
    <w:semiHidden/>
    <w:rsid w:val="005E269F"/>
    <w:rPr>
      <w:rFonts w:ascii="Times New Roman" w:eastAsia="Times New Roman" w:hAnsi="Times New Roman" w:cs="Times New Roman"/>
      <w:sz w:val="18"/>
      <w:szCs w:val="18"/>
      <w:lang w:val="fi-FI"/>
    </w:rPr>
  </w:style>
  <w:style w:type="character" w:styleId="Hyperlinkki">
    <w:name w:val="Hyperlink"/>
    <w:basedOn w:val="Kappaleenoletusfontti"/>
    <w:uiPriority w:val="99"/>
    <w:unhideWhenUsed/>
    <w:rsid w:val="00564657"/>
    <w:rPr>
      <w:color w:val="0000FF"/>
      <w:u w:val="single"/>
    </w:rPr>
  </w:style>
  <w:style w:type="character" w:customStyle="1" w:styleId="Otsikko2Char">
    <w:name w:val="Otsikko 2 Char"/>
    <w:basedOn w:val="Kappaleenoletusfontti"/>
    <w:link w:val="Otsikko2"/>
    <w:uiPriority w:val="9"/>
    <w:rsid w:val="00B818DF"/>
    <w:rPr>
      <w:rFonts w:asciiTheme="majorHAnsi" w:eastAsiaTheme="majorEastAsia" w:hAnsiTheme="majorHAnsi" w:cstheme="majorBidi"/>
      <w:color w:val="2F5496" w:themeColor="accent1" w:themeShade="BF"/>
      <w:sz w:val="26"/>
      <w:szCs w:val="26"/>
      <w:lang w:val="fi-FI"/>
    </w:rPr>
  </w:style>
  <w:style w:type="character" w:customStyle="1" w:styleId="Otsikko1Char">
    <w:name w:val="Otsikko 1 Char"/>
    <w:basedOn w:val="Kappaleenoletusfontti"/>
    <w:link w:val="Otsikko1"/>
    <w:uiPriority w:val="9"/>
    <w:rsid w:val="00FC14E7"/>
    <w:rPr>
      <w:rFonts w:asciiTheme="majorHAnsi" w:eastAsiaTheme="majorEastAsia" w:hAnsiTheme="majorHAnsi" w:cstheme="majorBidi"/>
      <w:color w:val="2F5496" w:themeColor="accent1" w:themeShade="BF"/>
      <w:sz w:val="32"/>
      <w:szCs w:val="32"/>
      <w:lang w:val="fi-FI"/>
    </w:rPr>
  </w:style>
  <w:style w:type="character" w:customStyle="1" w:styleId="Otsikko3Char">
    <w:name w:val="Otsikko 3 Char"/>
    <w:basedOn w:val="Kappaleenoletusfontti"/>
    <w:link w:val="Otsikko3"/>
    <w:uiPriority w:val="9"/>
    <w:rsid w:val="00D54B7B"/>
    <w:rPr>
      <w:rFonts w:asciiTheme="majorHAnsi" w:eastAsiaTheme="majorEastAsia" w:hAnsiTheme="majorHAnsi" w:cstheme="majorBidi"/>
      <w:color w:val="1F3763" w:themeColor="accent1" w:themeShade="7F"/>
      <w:sz w:val="24"/>
      <w:szCs w:val="24"/>
      <w:lang w:val="fi-FI"/>
    </w:rPr>
  </w:style>
  <w:style w:type="paragraph" w:styleId="Muutos">
    <w:name w:val="Revision"/>
    <w:hidden/>
    <w:uiPriority w:val="99"/>
    <w:semiHidden/>
    <w:rsid w:val="005F498E"/>
    <w:pPr>
      <w:spacing w:after="0" w:line="240" w:lineRule="auto"/>
    </w:pPr>
    <w:rPr>
      <w:rFonts w:ascii="Times New Roman" w:eastAsia="Times New Roman" w:hAnsi="Times New Roman" w:cs="Times New Roman"/>
      <w:sz w:val="24"/>
      <w:szCs w:val="24"/>
      <w:lang w:val="fi-FI"/>
    </w:rPr>
  </w:style>
  <w:style w:type="paragraph" w:styleId="Alatunniste">
    <w:name w:val="footer"/>
    <w:basedOn w:val="Normaali"/>
    <w:link w:val="AlatunnisteChar"/>
    <w:uiPriority w:val="99"/>
    <w:unhideWhenUsed/>
    <w:rsid w:val="00304F8E"/>
    <w:pPr>
      <w:tabs>
        <w:tab w:val="center" w:pos="4513"/>
        <w:tab w:val="right" w:pos="9026"/>
      </w:tabs>
    </w:pPr>
  </w:style>
  <w:style w:type="character" w:customStyle="1" w:styleId="AlatunnisteChar">
    <w:name w:val="Alatunniste Char"/>
    <w:basedOn w:val="Kappaleenoletusfontti"/>
    <w:link w:val="Alatunniste"/>
    <w:uiPriority w:val="99"/>
    <w:rsid w:val="00304F8E"/>
    <w:rPr>
      <w:rFonts w:ascii="Times New Roman" w:eastAsia="Times New Roman" w:hAnsi="Times New Roman" w:cs="Times New Roman"/>
      <w:sz w:val="24"/>
      <w:szCs w:val="24"/>
      <w:lang w:val="fi-FI"/>
    </w:rPr>
  </w:style>
  <w:style w:type="character" w:styleId="Sivunumero">
    <w:name w:val="page number"/>
    <w:basedOn w:val="Kappaleenoletusfontti"/>
    <w:uiPriority w:val="99"/>
    <w:semiHidden/>
    <w:unhideWhenUsed/>
    <w:rsid w:val="00304F8E"/>
  </w:style>
  <w:style w:type="paragraph" w:styleId="NormaaliWWW">
    <w:name w:val="Normal (Web)"/>
    <w:basedOn w:val="Normaali"/>
    <w:uiPriority w:val="99"/>
    <w:unhideWhenUsed/>
    <w:rsid w:val="00A96456"/>
    <w:pPr>
      <w:spacing w:before="100" w:beforeAutospacing="1" w:after="100" w:afterAutospacing="1"/>
    </w:pPr>
    <w:rPr>
      <w:lang w:val="en-GB" w:eastAsia="en-GB"/>
    </w:rPr>
  </w:style>
  <w:style w:type="character" w:customStyle="1" w:styleId="UnresolvedMention1">
    <w:name w:val="Unresolved Mention1"/>
    <w:basedOn w:val="Kappaleenoletusfontti"/>
    <w:uiPriority w:val="99"/>
    <w:semiHidden/>
    <w:unhideWhenUsed/>
    <w:rsid w:val="00F72FB0"/>
    <w:rPr>
      <w:color w:val="605E5C"/>
      <w:shd w:val="clear" w:color="auto" w:fill="E1DFDD"/>
    </w:rPr>
  </w:style>
  <w:style w:type="character" w:styleId="AvattuHyperlinkki">
    <w:name w:val="FollowedHyperlink"/>
    <w:basedOn w:val="Kappaleenoletusfontti"/>
    <w:uiPriority w:val="99"/>
    <w:semiHidden/>
    <w:unhideWhenUsed/>
    <w:rsid w:val="002D073D"/>
    <w:rPr>
      <w:color w:val="954F72" w:themeColor="followedHyperlink"/>
      <w:u w:val="single"/>
    </w:rPr>
  </w:style>
  <w:style w:type="character" w:customStyle="1" w:styleId="UnresolvedMention2">
    <w:name w:val="Unresolved Mention2"/>
    <w:basedOn w:val="Kappaleenoletusfontti"/>
    <w:uiPriority w:val="99"/>
    <w:semiHidden/>
    <w:unhideWhenUsed/>
    <w:rsid w:val="00661AE5"/>
    <w:rPr>
      <w:color w:val="605E5C"/>
      <w:shd w:val="clear" w:color="auto" w:fill="E1DFDD"/>
    </w:rPr>
  </w:style>
  <w:style w:type="character" w:customStyle="1" w:styleId="Ratkaisematonmaininta1">
    <w:name w:val="Ratkaisematon maininta1"/>
    <w:basedOn w:val="Kappaleenoletusfontti"/>
    <w:uiPriority w:val="99"/>
    <w:semiHidden/>
    <w:unhideWhenUsed/>
    <w:rsid w:val="00395EC2"/>
    <w:rPr>
      <w:color w:val="605E5C"/>
      <w:shd w:val="clear" w:color="auto" w:fill="E1DFDD"/>
    </w:rPr>
  </w:style>
  <w:style w:type="paragraph" w:styleId="Sisllysluettelonotsikko">
    <w:name w:val="TOC Heading"/>
    <w:basedOn w:val="Otsikko1"/>
    <w:next w:val="Normaali"/>
    <w:uiPriority w:val="39"/>
    <w:unhideWhenUsed/>
    <w:qFormat/>
    <w:rsid w:val="00D94BC6"/>
    <w:pPr>
      <w:spacing w:before="480" w:line="276" w:lineRule="auto"/>
      <w:outlineLvl w:val="9"/>
    </w:pPr>
    <w:rPr>
      <w:b/>
      <w:bCs/>
      <w:sz w:val="28"/>
      <w:szCs w:val="28"/>
      <w:lang w:val="en-US"/>
    </w:rPr>
  </w:style>
  <w:style w:type="paragraph" w:styleId="Sisluet1">
    <w:name w:val="toc 1"/>
    <w:basedOn w:val="Normaali"/>
    <w:next w:val="Normaali"/>
    <w:autoRedefine/>
    <w:uiPriority w:val="39"/>
    <w:unhideWhenUsed/>
    <w:rsid w:val="00D94BC6"/>
    <w:pPr>
      <w:spacing w:before="120" w:after="120"/>
    </w:pPr>
    <w:rPr>
      <w:rFonts w:asciiTheme="minorHAnsi" w:hAnsiTheme="minorHAnsi" w:cstheme="minorHAnsi"/>
      <w:b/>
      <w:bCs/>
      <w:caps/>
      <w:sz w:val="20"/>
      <w:szCs w:val="20"/>
    </w:rPr>
  </w:style>
  <w:style w:type="paragraph" w:styleId="Sisluet2">
    <w:name w:val="toc 2"/>
    <w:basedOn w:val="Normaali"/>
    <w:next w:val="Normaali"/>
    <w:autoRedefine/>
    <w:uiPriority w:val="39"/>
    <w:unhideWhenUsed/>
    <w:rsid w:val="00D94BC6"/>
    <w:pPr>
      <w:ind w:left="240"/>
    </w:pPr>
    <w:rPr>
      <w:rFonts w:asciiTheme="minorHAnsi" w:hAnsiTheme="minorHAnsi" w:cstheme="minorHAnsi"/>
      <w:smallCaps/>
      <w:sz w:val="20"/>
      <w:szCs w:val="20"/>
    </w:rPr>
  </w:style>
  <w:style w:type="paragraph" w:styleId="Sisluet3">
    <w:name w:val="toc 3"/>
    <w:basedOn w:val="Normaali"/>
    <w:next w:val="Normaali"/>
    <w:autoRedefine/>
    <w:uiPriority w:val="39"/>
    <w:unhideWhenUsed/>
    <w:rsid w:val="00D94BC6"/>
    <w:pPr>
      <w:ind w:left="480"/>
    </w:pPr>
    <w:rPr>
      <w:rFonts w:asciiTheme="minorHAnsi" w:hAnsiTheme="minorHAnsi" w:cstheme="minorHAnsi"/>
      <w:i/>
      <w:iCs/>
      <w:sz w:val="20"/>
      <w:szCs w:val="20"/>
    </w:rPr>
  </w:style>
  <w:style w:type="paragraph" w:styleId="Sisluet4">
    <w:name w:val="toc 4"/>
    <w:basedOn w:val="Normaali"/>
    <w:next w:val="Normaali"/>
    <w:autoRedefine/>
    <w:uiPriority w:val="39"/>
    <w:semiHidden/>
    <w:unhideWhenUsed/>
    <w:rsid w:val="00D94BC6"/>
    <w:pPr>
      <w:ind w:left="720"/>
    </w:pPr>
    <w:rPr>
      <w:rFonts w:asciiTheme="minorHAnsi" w:hAnsiTheme="minorHAnsi" w:cstheme="minorHAnsi"/>
      <w:sz w:val="18"/>
      <w:szCs w:val="18"/>
    </w:rPr>
  </w:style>
  <w:style w:type="paragraph" w:styleId="Sisluet5">
    <w:name w:val="toc 5"/>
    <w:basedOn w:val="Normaali"/>
    <w:next w:val="Normaali"/>
    <w:autoRedefine/>
    <w:uiPriority w:val="39"/>
    <w:semiHidden/>
    <w:unhideWhenUsed/>
    <w:rsid w:val="00D94BC6"/>
    <w:pPr>
      <w:ind w:left="960"/>
    </w:pPr>
    <w:rPr>
      <w:rFonts w:asciiTheme="minorHAnsi" w:hAnsiTheme="minorHAnsi" w:cstheme="minorHAnsi"/>
      <w:sz w:val="18"/>
      <w:szCs w:val="18"/>
    </w:rPr>
  </w:style>
  <w:style w:type="paragraph" w:styleId="Sisluet6">
    <w:name w:val="toc 6"/>
    <w:basedOn w:val="Normaali"/>
    <w:next w:val="Normaali"/>
    <w:autoRedefine/>
    <w:uiPriority w:val="39"/>
    <w:semiHidden/>
    <w:unhideWhenUsed/>
    <w:rsid w:val="00D94BC6"/>
    <w:pPr>
      <w:ind w:left="1200"/>
    </w:pPr>
    <w:rPr>
      <w:rFonts w:asciiTheme="minorHAnsi" w:hAnsiTheme="minorHAnsi" w:cstheme="minorHAnsi"/>
      <w:sz w:val="18"/>
      <w:szCs w:val="18"/>
    </w:rPr>
  </w:style>
  <w:style w:type="paragraph" w:styleId="Sisluet7">
    <w:name w:val="toc 7"/>
    <w:basedOn w:val="Normaali"/>
    <w:next w:val="Normaali"/>
    <w:autoRedefine/>
    <w:uiPriority w:val="39"/>
    <w:semiHidden/>
    <w:unhideWhenUsed/>
    <w:rsid w:val="00D94BC6"/>
    <w:pPr>
      <w:ind w:left="1440"/>
    </w:pPr>
    <w:rPr>
      <w:rFonts w:asciiTheme="minorHAnsi" w:hAnsiTheme="minorHAnsi" w:cstheme="minorHAnsi"/>
      <w:sz w:val="18"/>
      <w:szCs w:val="18"/>
    </w:rPr>
  </w:style>
  <w:style w:type="paragraph" w:styleId="Sisluet8">
    <w:name w:val="toc 8"/>
    <w:basedOn w:val="Normaali"/>
    <w:next w:val="Normaali"/>
    <w:autoRedefine/>
    <w:uiPriority w:val="39"/>
    <w:semiHidden/>
    <w:unhideWhenUsed/>
    <w:rsid w:val="00D94BC6"/>
    <w:pPr>
      <w:ind w:left="1680"/>
    </w:pPr>
    <w:rPr>
      <w:rFonts w:asciiTheme="minorHAnsi" w:hAnsiTheme="minorHAnsi" w:cstheme="minorHAnsi"/>
      <w:sz w:val="18"/>
      <w:szCs w:val="18"/>
    </w:rPr>
  </w:style>
  <w:style w:type="paragraph" w:styleId="Sisluet9">
    <w:name w:val="toc 9"/>
    <w:basedOn w:val="Normaali"/>
    <w:next w:val="Normaali"/>
    <w:autoRedefine/>
    <w:uiPriority w:val="39"/>
    <w:semiHidden/>
    <w:unhideWhenUsed/>
    <w:rsid w:val="00D94BC6"/>
    <w:pPr>
      <w:ind w:left="1920"/>
    </w:pPr>
    <w:rPr>
      <w:rFonts w:asciiTheme="minorHAnsi" w:hAnsiTheme="minorHAnsi" w:cstheme="minorHAnsi"/>
      <w:sz w:val="18"/>
      <w:szCs w:val="18"/>
    </w:rPr>
  </w:style>
  <w:style w:type="character" w:customStyle="1" w:styleId="Ratkaisematonmaininta2">
    <w:name w:val="Ratkaisematon maininta2"/>
    <w:basedOn w:val="Kappaleenoletusfontti"/>
    <w:uiPriority w:val="99"/>
    <w:semiHidden/>
    <w:unhideWhenUsed/>
    <w:rsid w:val="00DB70F8"/>
    <w:rPr>
      <w:color w:val="605E5C"/>
      <w:shd w:val="clear" w:color="auto" w:fill="E1DFDD"/>
    </w:rPr>
  </w:style>
  <w:style w:type="paragraph" w:styleId="Yltunniste">
    <w:name w:val="header"/>
    <w:basedOn w:val="Normaali"/>
    <w:link w:val="YltunnisteChar"/>
    <w:uiPriority w:val="99"/>
    <w:unhideWhenUsed/>
    <w:rsid w:val="003A35D8"/>
    <w:pPr>
      <w:tabs>
        <w:tab w:val="center" w:pos="4819"/>
        <w:tab w:val="right" w:pos="9638"/>
      </w:tabs>
    </w:pPr>
  </w:style>
  <w:style w:type="character" w:customStyle="1" w:styleId="YltunnisteChar">
    <w:name w:val="Ylätunniste Char"/>
    <w:basedOn w:val="Kappaleenoletusfontti"/>
    <w:link w:val="Yltunniste"/>
    <w:uiPriority w:val="99"/>
    <w:rsid w:val="003A35D8"/>
    <w:rPr>
      <w:rFonts w:ascii="Times New Roman" w:eastAsia="Times New Roman" w:hAnsi="Times New Roman" w:cs="Times New Roman"/>
      <w:sz w:val="24"/>
      <w:szCs w:val="24"/>
      <w:lang w:val="fi-FI"/>
    </w:rPr>
  </w:style>
  <w:style w:type="character" w:styleId="Ratkaisematonmaininta">
    <w:name w:val="Unresolved Mention"/>
    <w:basedOn w:val="Kappaleenoletusfontti"/>
    <w:uiPriority w:val="99"/>
    <w:semiHidden/>
    <w:unhideWhenUsed/>
    <w:rsid w:val="0018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949">
      <w:bodyDiv w:val="1"/>
      <w:marLeft w:val="0"/>
      <w:marRight w:val="0"/>
      <w:marTop w:val="0"/>
      <w:marBottom w:val="0"/>
      <w:divBdr>
        <w:top w:val="none" w:sz="0" w:space="0" w:color="auto"/>
        <w:left w:val="none" w:sz="0" w:space="0" w:color="auto"/>
        <w:bottom w:val="none" w:sz="0" w:space="0" w:color="auto"/>
        <w:right w:val="none" w:sz="0" w:space="0" w:color="auto"/>
      </w:divBdr>
      <w:divsChild>
        <w:div w:id="1585264067">
          <w:marLeft w:val="0"/>
          <w:marRight w:val="0"/>
          <w:marTop w:val="0"/>
          <w:marBottom w:val="0"/>
          <w:divBdr>
            <w:top w:val="none" w:sz="0" w:space="0" w:color="auto"/>
            <w:left w:val="none" w:sz="0" w:space="0" w:color="auto"/>
            <w:bottom w:val="none" w:sz="0" w:space="0" w:color="auto"/>
            <w:right w:val="none" w:sz="0" w:space="0" w:color="auto"/>
          </w:divBdr>
          <w:divsChild>
            <w:div w:id="556864005">
              <w:marLeft w:val="0"/>
              <w:marRight w:val="0"/>
              <w:marTop w:val="0"/>
              <w:marBottom w:val="0"/>
              <w:divBdr>
                <w:top w:val="none" w:sz="0" w:space="0" w:color="auto"/>
                <w:left w:val="none" w:sz="0" w:space="0" w:color="auto"/>
                <w:bottom w:val="none" w:sz="0" w:space="0" w:color="auto"/>
                <w:right w:val="none" w:sz="0" w:space="0" w:color="auto"/>
              </w:divBdr>
              <w:divsChild>
                <w:div w:id="2462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8274">
      <w:bodyDiv w:val="1"/>
      <w:marLeft w:val="0"/>
      <w:marRight w:val="0"/>
      <w:marTop w:val="0"/>
      <w:marBottom w:val="0"/>
      <w:divBdr>
        <w:top w:val="none" w:sz="0" w:space="0" w:color="auto"/>
        <w:left w:val="none" w:sz="0" w:space="0" w:color="auto"/>
        <w:bottom w:val="none" w:sz="0" w:space="0" w:color="auto"/>
        <w:right w:val="none" w:sz="0" w:space="0" w:color="auto"/>
      </w:divBdr>
    </w:div>
    <w:div w:id="295985622">
      <w:bodyDiv w:val="1"/>
      <w:marLeft w:val="0"/>
      <w:marRight w:val="0"/>
      <w:marTop w:val="0"/>
      <w:marBottom w:val="0"/>
      <w:divBdr>
        <w:top w:val="none" w:sz="0" w:space="0" w:color="auto"/>
        <w:left w:val="none" w:sz="0" w:space="0" w:color="auto"/>
        <w:bottom w:val="none" w:sz="0" w:space="0" w:color="auto"/>
        <w:right w:val="none" w:sz="0" w:space="0" w:color="auto"/>
      </w:divBdr>
      <w:divsChild>
        <w:div w:id="979309933">
          <w:marLeft w:val="0"/>
          <w:marRight w:val="0"/>
          <w:marTop w:val="0"/>
          <w:marBottom w:val="0"/>
          <w:divBdr>
            <w:top w:val="none" w:sz="0" w:space="0" w:color="auto"/>
            <w:left w:val="none" w:sz="0" w:space="0" w:color="auto"/>
            <w:bottom w:val="none" w:sz="0" w:space="0" w:color="auto"/>
            <w:right w:val="none" w:sz="0" w:space="0" w:color="auto"/>
          </w:divBdr>
          <w:divsChild>
            <w:div w:id="162627414">
              <w:marLeft w:val="0"/>
              <w:marRight w:val="0"/>
              <w:marTop w:val="0"/>
              <w:marBottom w:val="0"/>
              <w:divBdr>
                <w:top w:val="none" w:sz="0" w:space="0" w:color="auto"/>
                <w:left w:val="none" w:sz="0" w:space="0" w:color="auto"/>
                <w:bottom w:val="none" w:sz="0" w:space="0" w:color="auto"/>
                <w:right w:val="none" w:sz="0" w:space="0" w:color="auto"/>
              </w:divBdr>
              <w:divsChild>
                <w:div w:id="19601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8391">
      <w:bodyDiv w:val="1"/>
      <w:marLeft w:val="0"/>
      <w:marRight w:val="0"/>
      <w:marTop w:val="0"/>
      <w:marBottom w:val="0"/>
      <w:divBdr>
        <w:top w:val="none" w:sz="0" w:space="0" w:color="auto"/>
        <w:left w:val="none" w:sz="0" w:space="0" w:color="auto"/>
        <w:bottom w:val="none" w:sz="0" w:space="0" w:color="auto"/>
        <w:right w:val="none" w:sz="0" w:space="0" w:color="auto"/>
      </w:divBdr>
      <w:divsChild>
        <w:div w:id="961425072">
          <w:marLeft w:val="0"/>
          <w:marRight w:val="0"/>
          <w:marTop w:val="0"/>
          <w:marBottom w:val="0"/>
          <w:divBdr>
            <w:top w:val="none" w:sz="0" w:space="0" w:color="auto"/>
            <w:left w:val="none" w:sz="0" w:space="0" w:color="auto"/>
            <w:bottom w:val="none" w:sz="0" w:space="0" w:color="auto"/>
            <w:right w:val="none" w:sz="0" w:space="0" w:color="auto"/>
          </w:divBdr>
          <w:divsChild>
            <w:div w:id="934750883">
              <w:marLeft w:val="0"/>
              <w:marRight w:val="0"/>
              <w:marTop w:val="0"/>
              <w:marBottom w:val="0"/>
              <w:divBdr>
                <w:top w:val="none" w:sz="0" w:space="0" w:color="auto"/>
                <w:left w:val="none" w:sz="0" w:space="0" w:color="auto"/>
                <w:bottom w:val="none" w:sz="0" w:space="0" w:color="auto"/>
                <w:right w:val="none" w:sz="0" w:space="0" w:color="auto"/>
              </w:divBdr>
              <w:divsChild>
                <w:div w:id="12022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894">
      <w:bodyDiv w:val="1"/>
      <w:marLeft w:val="0"/>
      <w:marRight w:val="0"/>
      <w:marTop w:val="0"/>
      <w:marBottom w:val="0"/>
      <w:divBdr>
        <w:top w:val="none" w:sz="0" w:space="0" w:color="auto"/>
        <w:left w:val="none" w:sz="0" w:space="0" w:color="auto"/>
        <w:bottom w:val="none" w:sz="0" w:space="0" w:color="auto"/>
        <w:right w:val="none" w:sz="0" w:space="0" w:color="auto"/>
      </w:divBdr>
      <w:divsChild>
        <w:div w:id="1054041323">
          <w:marLeft w:val="0"/>
          <w:marRight w:val="0"/>
          <w:marTop w:val="0"/>
          <w:marBottom w:val="0"/>
          <w:divBdr>
            <w:top w:val="none" w:sz="0" w:space="0" w:color="auto"/>
            <w:left w:val="none" w:sz="0" w:space="0" w:color="auto"/>
            <w:bottom w:val="none" w:sz="0" w:space="0" w:color="auto"/>
            <w:right w:val="none" w:sz="0" w:space="0" w:color="auto"/>
          </w:divBdr>
          <w:divsChild>
            <w:div w:id="2088647372">
              <w:marLeft w:val="0"/>
              <w:marRight w:val="0"/>
              <w:marTop w:val="0"/>
              <w:marBottom w:val="0"/>
              <w:divBdr>
                <w:top w:val="none" w:sz="0" w:space="0" w:color="auto"/>
                <w:left w:val="none" w:sz="0" w:space="0" w:color="auto"/>
                <w:bottom w:val="none" w:sz="0" w:space="0" w:color="auto"/>
                <w:right w:val="none" w:sz="0" w:space="0" w:color="auto"/>
              </w:divBdr>
              <w:divsChild>
                <w:div w:id="16397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345">
      <w:bodyDiv w:val="1"/>
      <w:marLeft w:val="0"/>
      <w:marRight w:val="0"/>
      <w:marTop w:val="0"/>
      <w:marBottom w:val="0"/>
      <w:divBdr>
        <w:top w:val="none" w:sz="0" w:space="0" w:color="auto"/>
        <w:left w:val="none" w:sz="0" w:space="0" w:color="auto"/>
        <w:bottom w:val="none" w:sz="0" w:space="0" w:color="auto"/>
        <w:right w:val="none" w:sz="0" w:space="0" w:color="auto"/>
      </w:divBdr>
    </w:div>
    <w:div w:id="1500192202">
      <w:bodyDiv w:val="1"/>
      <w:marLeft w:val="0"/>
      <w:marRight w:val="0"/>
      <w:marTop w:val="0"/>
      <w:marBottom w:val="0"/>
      <w:divBdr>
        <w:top w:val="none" w:sz="0" w:space="0" w:color="auto"/>
        <w:left w:val="none" w:sz="0" w:space="0" w:color="auto"/>
        <w:bottom w:val="none" w:sz="0" w:space="0" w:color="auto"/>
        <w:right w:val="none" w:sz="0" w:space="0" w:color="auto"/>
      </w:divBdr>
      <w:divsChild>
        <w:div w:id="1262421502">
          <w:marLeft w:val="0"/>
          <w:marRight w:val="0"/>
          <w:marTop w:val="0"/>
          <w:marBottom w:val="0"/>
          <w:divBdr>
            <w:top w:val="none" w:sz="0" w:space="0" w:color="auto"/>
            <w:left w:val="none" w:sz="0" w:space="0" w:color="auto"/>
            <w:bottom w:val="none" w:sz="0" w:space="0" w:color="auto"/>
            <w:right w:val="none" w:sz="0" w:space="0" w:color="auto"/>
          </w:divBdr>
          <w:divsChild>
            <w:div w:id="229272202">
              <w:marLeft w:val="0"/>
              <w:marRight w:val="0"/>
              <w:marTop w:val="0"/>
              <w:marBottom w:val="0"/>
              <w:divBdr>
                <w:top w:val="none" w:sz="0" w:space="0" w:color="auto"/>
                <w:left w:val="none" w:sz="0" w:space="0" w:color="auto"/>
                <w:bottom w:val="none" w:sz="0" w:space="0" w:color="auto"/>
                <w:right w:val="none" w:sz="0" w:space="0" w:color="auto"/>
              </w:divBdr>
              <w:divsChild>
                <w:div w:id="18816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7605">
      <w:bodyDiv w:val="1"/>
      <w:marLeft w:val="0"/>
      <w:marRight w:val="0"/>
      <w:marTop w:val="0"/>
      <w:marBottom w:val="0"/>
      <w:divBdr>
        <w:top w:val="none" w:sz="0" w:space="0" w:color="auto"/>
        <w:left w:val="none" w:sz="0" w:space="0" w:color="auto"/>
        <w:bottom w:val="none" w:sz="0" w:space="0" w:color="auto"/>
        <w:right w:val="none" w:sz="0" w:space="0" w:color="auto"/>
      </w:divBdr>
      <w:divsChild>
        <w:div w:id="1807352057">
          <w:marLeft w:val="0"/>
          <w:marRight w:val="0"/>
          <w:marTop w:val="0"/>
          <w:marBottom w:val="0"/>
          <w:divBdr>
            <w:top w:val="none" w:sz="0" w:space="0" w:color="auto"/>
            <w:left w:val="none" w:sz="0" w:space="0" w:color="auto"/>
            <w:bottom w:val="none" w:sz="0" w:space="0" w:color="auto"/>
            <w:right w:val="none" w:sz="0" w:space="0" w:color="auto"/>
          </w:divBdr>
          <w:divsChild>
            <w:div w:id="360592707">
              <w:marLeft w:val="0"/>
              <w:marRight w:val="0"/>
              <w:marTop w:val="0"/>
              <w:marBottom w:val="0"/>
              <w:divBdr>
                <w:top w:val="none" w:sz="0" w:space="0" w:color="auto"/>
                <w:left w:val="none" w:sz="0" w:space="0" w:color="auto"/>
                <w:bottom w:val="none" w:sz="0" w:space="0" w:color="auto"/>
                <w:right w:val="none" w:sz="0" w:space="0" w:color="auto"/>
              </w:divBdr>
              <w:divsChild>
                <w:div w:id="20841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8481">
      <w:bodyDiv w:val="1"/>
      <w:marLeft w:val="0"/>
      <w:marRight w:val="0"/>
      <w:marTop w:val="0"/>
      <w:marBottom w:val="0"/>
      <w:divBdr>
        <w:top w:val="none" w:sz="0" w:space="0" w:color="auto"/>
        <w:left w:val="none" w:sz="0" w:space="0" w:color="auto"/>
        <w:bottom w:val="none" w:sz="0" w:space="0" w:color="auto"/>
        <w:right w:val="none" w:sz="0" w:space="0" w:color="auto"/>
      </w:divBdr>
      <w:divsChild>
        <w:div w:id="1659843160">
          <w:marLeft w:val="0"/>
          <w:marRight w:val="0"/>
          <w:marTop w:val="0"/>
          <w:marBottom w:val="0"/>
          <w:divBdr>
            <w:top w:val="none" w:sz="0" w:space="0" w:color="auto"/>
            <w:left w:val="none" w:sz="0" w:space="0" w:color="auto"/>
            <w:bottom w:val="none" w:sz="0" w:space="0" w:color="auto"/>
            <w:right w:val="none" w:sz="0" w:space="0" w:color="auto"/>
          </w:divBdr>
          <w:divsChild>
            <w:div w:id="352414560">
              <w:marLeft w:val="0"/>
              <w:marRight w:val="0"/>
              <w:marTop w:val="0"/>
              <w:marBottom w:val="0"/>
              <w:divBdr>
                <w:top w:val="none" w:sz="0" w:space="0" w:color="auto"/>
                <w:left w:val="none" w:sz="0" w:space="0" w:color="auto"/>
                <w:bottom w:val="none" w:sz="0" w:space="0" w:color="auto"/>
                <w:right w:val="none" w:sz="0" w:space="0" w:color="auto"/>
              </w:divBdr>
              <w:divsChild>
                <w:div w:id="7073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5452">
      <w:bodyDiv w:val="1"/>
      <w:marLeft w:val="0"/>
      <w:marRight w:val="0"/>
      <w:marTop w:val="0"/>
      <w:marBottom w:val="0"/>
      <w:divBdr>
        <w:top w:val="none" w:sz="0" w:space="0" w:color="auto"/>
        <w:left w:val="none" w:sz="0" w:space="0" w:color="auto"/>
        <w:bottom w:val="none" w:sz="0" w:space="0" w:color="auto"/>
        <w:right w:val="none" w:sz="0" w:space="0" w:color="auto"/>
      </w:divBdr>
      <w:divsChild>
        <w:div w:id="1304653882">
          <w:marLeft w:val="0"/>
          <w:marRight w:val="0"/>
          <w:marTop w:val="0"/>
          <w:marBottom w:val="0"/>
          <w:divBdr>
            <w:top w:val="none" w:sz="0" w:space="0" w:color="auto"/>
            <w:left w:val="none" w:sz="0" w:space="0" w:color="auto"/>
            <w:bottom w:val="none" w:sz="0" w:space="0" w:color="auto"/>
            <w:right w:val="none" w:sz="0" w:space="0" w:color="auto"/>
          </w:divBdr>
          <w:divsChild>
            <w:div w:id="1182738654">
              <w:marLeft w:val="0"/>
              <w:marRight w:val="0"/>
              <w:marTop w:val="0"/>
              <w:marBottom w:val="0"/>
              <w:divBdr>
                <w:top w:val="none" w:sz="0" w:space="0" w:color="auto"/>
                <w:left w:val="none" w:sz="0" w:space="0" w:color="auto"/>
                <w:bottom w:val="none" w:sz="0" w:space="0" w:color="auto"/>
                <w:right w:val="none" w:sz="0" w:space="0" w:color="auto"/>
              </w:divBdr>
              <w:divsChild>
                <w:div w:id="5591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apers.ssrn.com/sol3/papers.cfm?abstract_id=3668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61C1-B647-984A-9D74-57A142DC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17</Pages>
  <Words>3641</Words>
  <Characters>29495</Characters>
  <Application>Microsoft Office Word</Application>
  <DocSecurity>0</DocSecurity>
  <Lines>245</Lines>
  <Paragraphs>66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Stefan</dc:creator>
  <cp:keywords/>
  <dc:description/>
  <cp:lastModifiedBy>Emilia Korkea-aho</cp:lastModifiedBy>
  <cp:revision>27</cp:revision>
  <dcterms:created xsi:type="dcterms:W3CDTF">2020-05-05T11:09:00Z</dcterms:created>
  <dcterms:modified xsi:type="dcterms:W3CDTF">2020-08-08T11:15:00Z</dcterms:modified>
</cp:coreProperties>
</file>