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305D1" w14:textId="50B6F5C7" w:rsidR="00062043" w:rsidRPr="00545C56" w:rsidRDefault="00062043" w:rsidP="00625F46">
      <w:pPr>
        <w:spacing w:line="360" w:lineRule="auto"/>
        <w:jc w:val="center"/>
        <w:rPr>
          <w:b/>
          <w:bCs/>
        </w:rPr>
      </w:pPr>
      <w:r w:rsidRPr="00545C56">
        <w:rPr>
          <w:b/>
          <w:bCs/>
        </w:rPr>
        <w:t>Chapter 19</w:t>
      </w:r>
    </w:p>
    <w:p w14:paraId="78B117D5" w14:textId="087FF353" w:rsidR="000F17E3" w:rsidRPr="00545C56" w:rsidRDefault="00451266" w:rsidP="00625F46">
      <w:pPr>
        <w:spacing w:line="360" w:lineRule="auto"/>
        <w:jc w:val="center"/>
        <w:rPr>
          <w:b/>
          <w:bCs/>
        </w:rPr>
      </w:pPr>
      <w:r w:rsidRPr="00545C56">
        <w:rPr>
          <w:b/>
          <w:bCs/>
        </w:rPr>
        <w:t>Soft Law and the Promise</w:t>
      </w:r>
      <w:r w:rsidR="000F17E3" w:rsidRPr="00545C56">
        <w:rPr>
          <w:b/>
          <w:bCs/>
        </w:rPr>
        <w:t xml:space="preserve"> of Transparency in the Member States</w:t>
      </w:r>
    </w:p>
    <w:p w14:paraId="2D112972" w14:textId="668E08EA" w:rsidR="00EC130E" w:rsidRPr="00545C56" w:rsidRDefault="00EC130E" w:rsidP="00625F46">
      <w:pPr>
        <w:spacing w:line="360" w:lineRule="auto"/>
        <w:jc w:val="center"/>
        <w:rPr>
          <w:bCs/>
        </w:rPr>
      </w:pPr>
      <w:proofErr w:type="spellStart"/>
      <w:r w:rsidRPr="00545C56">
        <w:rPr>
          <w:bCs/>
        </w:rPr>
        <w:t>Oana</w:t>
      </w:r>
      <w:proofErr w:type="spellEnd"/>
      <w:r w:rsidRPr="00545C56">
        <w:rPr>
          <w:bCs/>
        </w:rPr>
        <w:t xml:space="preserve"> Stefan</w:t>
      </w:r>
      <w:r w:rsidRPr="00545C56">
        <w:rPr>
          <w:rStyle w:val="FootnoteReference"/>
          <w:bCs/>
        </w:rPr>
        <w:footnoteReference w:customMarkFollows="1" w:id="1"/>
        <w:sym w:font="Symbol" w:char="F02A"/>
      </w:r>
    </w:p>
    <w:p w14:paraId="497EC4C1" w14:textId="77777777" w:rsidR="00625F46" w:rsidRPr="00545C56" w:rsidRDefault="00625F46" w:rsidP="00625F46">
      <w:pPr>
        <w:spacing w:line="360" w:lineRule="auto"/>
        <w:jc w:val="center"/>
      </w:pPr>
    </w:p>
    <w:p w14:paraId="1426703E" w14:textId="4340F706" w:rsidR="000F17E3" w:rsidRPr="00545C56" w:rsidRDefault="00625F46" w:rsidP="005F099F">
      <w:pPr>
        <w:pStyle w:val="Heading1"/>
        <w:numPr>
          <w:ilvl w:val="0"/>
          <w:numId w:val="0"/>
        </w:numPr>
        <w:spacing w:before="0" w:line="360" w:lineRule="auto"/>
        <w:jc w:val="center"/>
        <w:rPr>
          <w:rFonts w:ascii="Times New Roman" w:hAnsi="Times New Roman" w:cs="Times New Roman"/>
          <w:color w:val="auto"/>
          <w:sz w:val="24"/>
          <w:szCs w:val="24"/>
        </w:rPr>
      </w:pPr>
      <w:r w:rsidRPr="00545C56">
        <w:rPr>
          <w:rFonts w:ascii="Times New Roman" w:hAnsi="Times New Roman" w:cs="Times New Roman"/>
          <w:color w:val="auto"/>
          <w:sz w:val="24"/>
          <w:szCs w:val="24"/>
        </w:rPr>
        <w:t xml:space="preserve">I </w:t>
      </w:r>
      <w:r w:rsidR="005F099F" w:rsidRPr="00545C56">
        <w:rPr>
          <w:rFonts w:ascii="Times New Roman" w:hAnsi="Times New Roman" w:cs="Times New Roman"/>
          <w:color w:val="auto"/>
          <w:sz w:val="24"/>
          <w:szCs w:val="24"/>
        </w:rPr>
        <w:t>Introductio</w:t>
      </w:r>
      <w:r w:rsidR="00BD5381" w:rsidRPr="00545C56">
        <w:rPr>
          <w:rFonts w:ascii="Times New Roman" w:hAnsi="Times New Roman" w:cs="Times New Roman"/>
          <w:color w:val="auto"/>
          <w:sz w:val="24"/>
          <w:szCs w:val="24"/>
        </w:rPr>
        <w:t>n</w:t>
      </w:r>
    </w:p>
    <w:p w14:paraId="7A25D5F3" w14:textId="188DD5E6" w:rsidR="000F17E3" w:rsidRPr="00545C56" w:rsidRDefault="000F17E3" w:rsidP="00625F46">
      <w:pPr>
        <w:spacing w:line="360" w:lineRule="auto"/>
        <w:jc w:val="both"/>
      </w:pPr>
    </w:p>
    <w:p w14:paraId="58AC1C72" w14:textId="1EDCEE7D" w:rsidR="00EB0573" w:rsidRPr="00545C56" w:rsidRDefault="002B0EA2" w:rsidP="00625F46">
      <w:pPr>
        <w:spacing w:line="360" w:lineRule="auto"/>
        <w:jc w:val="both"/>
      </w:pPr>
      <w:r w:rsidRPr="00545C56">
        <w:t>This chapter assesses</w:t>
      </w:r>
      <w:r w:rsidR="00EB0573" w:rsidRPr="00545C56">
        <w:t xml:space="preserve"> the informative function of </w:t>
      </w:r>
      <w:r w:rsidR="004724E7" w:rsidRPr="00545C56">
        <w:t xml:space="preserve">EU </w:t>
      </w:r>
      <w:r w:rsidR="00EB0573" w:rsidRPr="00545C56">
        <w:t>soft law, and its potential to increase</w:t>
      </w:r>
      <w:r w:rsidR="008A20C5" w:rsidRPr="00545C56">
        <w:t xml:space="preserve"> </w:t>
      </w:r>
      <w:r w:rsidR="00EB0573" w:rsidRPr="00545C56">
        <w:t xml:space="preserve">transparency </w:t>
      </w:r>
      <w:r w:rsidR="007454BA" w:rsidRPr="00545C56">
        <w:t>in a multi-level governance context</w:t>
      </w:r>
      <w:r w:rsidR="00EB0573" w:rsidRPr="00545C56">
        <w:t>.</w:t>
      </w:r>
      <w:r w:rsidR="00EF2E38" w:rsidRPr="00545C56">
        <w:t xml:space="preserve"> </w:t>
      </w:r>
      <w:r w:rsidR="00EB0573" w:rsidRPr="00545C56">
        <w:t>Tagged as interpretative/decisional instruments</w:t>
      </w:r>
      <w:r w:rsidR="00EB0573" w:rsidRPr="00545C56">
        <w:rPr>
          <w:vertAlign w:val="superscript"/>
        </w:rPr>
        <w:footnoteReference w:id="2"/>
      </w:r>
      <w:r w:rsidR="00EB0573" w:rsidRPr="00545C56">
        <w:t xml:space="preserve"> </w:t>
      </w:r>
      <w:r w:rsidR="009F2C78" w:rsidRPr="00545C56">
        <w:t>or</w:t>
      </w:r>
      <w:r w:rsidR="00EB0573" w:rsidRPr="00545C56">
        <w:t xml:space="preserve"> post-legislative guidance,</w:t>
      </w:r>
      <w:r w:rsidR="00EB0573" w:rsidRPr="00545C56">
        <w:rPr>
          <w:rStyle w:val="FootnoteReference"/>
          <w:rFonts w:eastAsiaTheme="majorEastAsia"/>
        </w:rPr>
        <w:footnoteReference w:id="3"/>
      </w:r>
      <w:r w:rsidR="00EB0573" w:rsidRPr="00545C56">
        <w:t xml:space="preserve"> many communications, notices, or guidelines are used to interpret laconic hard law instruments, such as the Treaty, directives or regulations, or to indicate the way in which EU institutions think appropriate to exercise their discretion. </w:t>
      </w:r>
      <w:r w:rsidR="00C459FC" w:rsidRPr="00545C56">
        <w:t>In</w:t>
      </w:r>
      <w:r w:rsidR="00EB0573" w:rsidRPr="00545C56">
        <w:t xml:space="preserve"> certain sectors, the Commission </w:t>
      </w:r>
      <w:r w:rsidR="00131110">
        <w:t>chose</w:t>
      </w:r>
      <w:r w:rsidR="00EB0573" w:rsidRPr="00545C56">
        <w:t xml:space="preserve"> to regulate through soft law because of the advantages it represent</w:t>
      </w:r>
      <w:r w:rsidR="00131110">
        <w:t>ed</w:t>
      </w:r>
      <w:r w:rsidR="00EB0573" w:rsidRPr="00545C56">
        <w:t>: its speedy adoption process and its potential to increase the flexibility, transparency, and legal certainty of decision making.</w:t>
      </w:r>
      <w:r w:rsidR="00EB0573" w:rsidRPr="00545C56">
        <w:rPr>
          <w:vertAlign w:val="superscript"/>
        </w:rPr>
        <w:footnoteReference w:id="4"/>
      </w:r>
    </w:p>
    <w:p w14:paraId="5E67A701" w14:textId="77777777" w:rsidR="00625F46" w:rsidRPr="00545C56" w:rsidRDefault="00625F46" w:rsidP="00625F46">
      <w:pPr>
        <w:spacing w:line="360" w:lineRule="auto"/>
        <w:jc w:val="both"/>
      </w:pPr>
    </w:p>
    <w:p w14:paraId="2A82A1AB" w14:textId="77777777" w:rsidR="00C459FC" w:rsidRPr="00545C56" w:rsidRDefault="00EB0573" w:rsidP="00625F46">
      <w:pPr>
        <w:spacing w:line="360" w:lineRule="auto"/>
        <w:jc w:val="both"/>
        <w:rPr>
          <w:rFonts w:eastAsia="Calibri"/>
        </w:rPr>
      </w:pPr>
      <w:r w:rsidRPr="00545C56">
        <w:t>Ensuring transparency appears to be one of the main functions of such instruments, often expressly stated in the text of EU soft law.</w:t>
      </w:r>
      <w:r w:rsidRPr="00545C56">
        <w:rPr>
          <w:rStyle w:val="FootnoteReference"/>
          <w:rFonts w:eastAsiaTheme="majorEastAsia"/>
        </w:rPr>
        <w:footnoteReference w:id="5"/>
      </w:r>
      <w:r w:rsidRPr="00545C56">
        <w:t xml:space="preserve"> </w:t>
      </w:r>
      <w:r w:rsidR="00CD7525" w:rsidRPr="00545C56">
        <w:t xml:space="preserve">This </w:t>
      </w:r>
      <w:r w:rsidR="00C459FC" w:rsidRPr="00545C56">
        <w:t>is</w:t>
      </w:r>
      <w:r w:rsidR="00CD7525" w:rsidRPr="00545C56">
        <w:t xml:space="preserve"> confirmed by interviews conducted within the </w:t>
      </w:r>
      <w:proofErr w:type="spellStart"/>
      <w:r w:rsidR="00CD7525" w:rsidRPr="00545C56">
        <w:t>SoLaR</w:t>
      </w:r>
      <w:proofErr w:type="spellEnd"/>
      <w:r w:rsidR="00CD7525" w:rsidRPr="00545C56">
        <w:t xml:space="preserve"> project: in the words of one UK interviewee, soft law is ‘not only a question of regulating, but a question of transparency, consistency, and certainty.’</w:t>
      </w:r>
      <w:r w:rsidR="00CD7525" w:rsidRPr="00545C56">
        <w:rPr>
          <w:rStyle w:val="FootnoteReference"/>
        </w:rPr>
        <w:footnoteReference w:id="6"/>
      </w:r>
      <w:r w:rsidR="00CD7525" w:rsidRPr="00545C56">
        <w:t xml:space="preserve"> </w:t>
      </w:r>
      <w:r w:rsidRPr="00545C56">
        <w:t>In a post-Lisbon context, this function of soft law becomes even more important, with Article 1 TEU stating that decisions should be</w:t>
      </w:r>
      <w:r w:rsidRPr="00545C56">
        <w:rPr>
          <w:rFonts w:eastAsia="Calibri"/>
        </w:rPr>
        <w:t xml:space="preserve"> taken as openly as possible to the citizen and Article 15 TFEU calling for EU institutions to conduct their work as openly as possible. </w:t>
      </w:r>
    </w:p>
    <w:p w14:paraId="1F4EEF77" w14:textId="77777777" w:rsidR="00625F46" w:rsidRPr="00545C56" w:rsidRDefault="00625F46" w:rsidP="00625F46">
      <w:pPr>
        <w:spacing w:line="360" w:lineRule="auto"/>
        <w:jc w:val="both"/>
        <w:rPr>
          <w:rFonts w:eastAsia="Calibri"/>
        </w:rPr>
      </w:pPr>
    </w:p>
    <w:p w14:paraId="5DCC242B" w14:textId="02607579" w:rsidR="00EB0573" w:rsidRPr="00545C56" w:rsidRDefault="003157FD" w:rsidP="00625F46">
      <w:pPr>
        <w:spacing w:line="360" w:lineRule="auto"/>
        <w:jc w:val="both"/>
        <w:rPr>
          <w:rFonts w:eastAsia="Calibri"/>
        </w:rPr>
      </w:pPr>
      <w:r w:rsidRPr="00545C56">
        <w:rPr>
          <w:rFonts w:eastAsia="Calibri"/>
        </w:rPr>
        <w:t>T</w:t>
      </w:r>
      <w:r w:rsidR="000773AD" w:rsidRPr="00545C56">
        <w:rPr>
          <w:rFonts w:eastAsia="Calibri"/>
        </w:rPr>
        <w:t xml:space="preserve">ransparency </w:t>
      </w:r>
      <w:r w:rsidRPr="00545C56">
        <w:rPr>
          <w:rFonts w:eastAsia="Calibri"/>
        </w:rPr>
        <w:t xml:space="preserve">is often seen as a relation between an actor and a forum towards which it is transparent. </w:t>
      </w:r>
      <w:r w:rsidR="003808B5" w:rsidRPr="00545C56">
        <w:rPr>
          <w:rFonts w:eastAsia="Calibri"/>
        </w:rPr>
        <w:t>T</w:t>
      </w:r>
      <w:r w:rsidR="00EB0573" w:rsidRPr="00545C56">
        <w:t>hrough its informative function, soft law is expected to enhance the links between institutions and individuals</w:t>
      </w:r>
      <w:r w:rsidR="00850F32" w:rsidRPr="00545C56">
        <w:t>. This</w:t>
      </w:r>
      <w:r w:rsidR="007454BA" w:rsidRPr="00545C56">
        <w:t xml:space="preserve"> should be conducive to the creation of a climate of legal </w:t>
      </w:r>
      <w:r w:rsidR="007454BA" w:rsidRPr="00545C56">
        <w:lastRenderedPageBreak/>
        <w:t xml:space="preserve">certainty, yet, in the multi-governance framework of the </w:t>
      </w:r>
      <w:r w:rsidR="009F2C78" w:rsidRPr="00545C56">
        <w:t>EU</w:t>
      </w:r>
      <w:r w:rsidR="007454BA" w:rsidRPr="00545C56">
        <w:t xml:space="preserve"> this is not always the case.</w:t>
      </w:r>
      <w:r w:rsidR="002B0EA2" w:rsidRPr="00545C56">
        <w:rPr>
          <w:rStyle w:val="FootnoteReference"/>
        </w:rPr>
        <w:footnoteReference w:id="7"/>
      </w:r>
      <w:r w:rsidR="007454BA" w:rsidRPr="00545C56">
        <w:t xml:space="preserve"> Transparency is supposed to enhance also the connections between European and national authorities, thus creating the premises for a uniform</w:t>
      </w:r>
      <w:r w:rsidR="003808B5" w:rsidRPr="00545C56">
        <w:t xml:space="preserve"> and consistent</w:t>
      </w:r>
      <w:r w:rsidR="007454BA" w:rsidRPr="00545C56">
        <w:t xml:space="preserve"> application of European law</w:t>
      </w:r>
      <w:r w:rsidR="003808B5" w:rsidRPr="00545C56">
        <w:t>.</w:t>
      </w:r>
      <w:r w:rsidR="002A41AA" w:rsidRPr="00545C56">
        <w:rPr>
          <w:rStyle w:val="FootnoteReference"/>
        </w:rPr>
        <w:footnoteReference w:id="8"/>
      </w:r>
      <w:r w:rsidR="002A41AA" w:rsidRPr="00545C56">
        <w:t xml:space="preserve"> </w:t>
      </w:r>
      <w:r w:rsidR="003808B5" w:rsidRPr="00545C56">
        <w:rPr>
          <w:rFonts w:eastAsia="Calibri"/>
        </w:rPr>
        <w:t xml:space="preserve">Finally, transparency </w:t>
      </w:r>
      <w:r w:rsidR="008727AD" w:rsidRPr="00545C56">
        <w:rPr>
          <w:rFonts w:eastAsia="Calibri"/>
        </w:rPr>
        <w:t xml:space="preserve">– in its wider sense of ‘openness’ – includes </w:t>
      </w:r>
      <w:r w:rsidR="003808B5" w:rsidRPr="00545C56">
        <w:rPr>
          <w:rFonts w:eastAsia="Calibri"/>
        </w:rPr>
        <w:t>participation in decision making, a point on which many authors agree that soft law ranks fairly low.</w:t>
      </w:r>
      <w:r w:rsidR="003808B5" w:rsidRPr="00545C56">
        <w:rPr>
          <w:rStyle w:val="FootnoteReference"/>
          <w:rFonts w:eastAsia="Calibri"/>
        </w:rPr>
        <w:footnoteReference w:id="9"/>
      </w:r>
    </w:p>
    <w:p w14:paraId="620A9B99" w14:textId="77777777" w:rsidR="00625F46" w:rsidRPr="00545C56" w:rsidRDefault="00625F46" w:rsidP="00625F46">
      <w:pPr>
        <w:spacing w:line="360" w:lineRule="auto"/>
        <w:jc w:val="both"/>
      </w:pPr>
    </w:p>
    <w:p w14:paraId="4BBF1364" w14:textId="0B448EAC" w:rsidR="005C5FFA" w:rsidRPr="00545C56" w:rsidRDefault="0070498E" w:rsidP="00625F46">
      <w:pPr>
        <w:spacing w:line="360" w:lineRule="auto"/>
        <w:jc w:val="both"/>
      </w:pPr>
      <w:r w:rsidRPr="00545C56">
        <w:t xml:space="preserve">Even though </w:t>
      </w:r>
      <w:r w:rsidR="006355E0" w:rsidRPr="00545C56">
        <w:t xml:space="preserve">widely </w:t>
      </w:r>
      <w:r w:rsidRPr="00545C56">
        <w:t xml:space="preserve">proclaimed, the potential of soft law to increase transparency is relatively unexplored from an empirical point of view, with certain reports pointing to </w:t>
      </w:r>
      <w:r w:rsidR="004938E2" w:rsidRPr="00545C56">
        <w:t>serious flaws</w:t>
      </w:r>
      <w:r w:rsidRPr="00545C56">
        <w:t>.</w:t>
      </w:r>
      <w:r w:rsidRPr="00545C56">
        <w:rPr>
          <w:rStyle w:val="FootnoteReference"/>
          <w:rFonts w:eastAsiaTheme="majorEastAsia"/>
        </w:rPr>
        <w:footnoteReference w:id="10"/>
      </w:r>
      <w:r w:rsidRPr="00545C56">
        <w:t xml:space="preserve"> Soft law comes under a myriad of different names</w:t>
      </w:r>
      <w:r w:rsidR="00272F9B" w:rsidRPr="00545C56">
        <w:t>, shapes, and forms</w:t>
      </w:r>
      <w:r w:rsidRPr="00545C56">
        <w:t>, and is issued according to variable procedures. Such instruments are often very long and technical, and understanding them requires considerable expertise. Furthermore, according to recent case law, soft law does not even have to be translated in all EU languages in order to be relied on against individuals.</w:t>
      </w:r>
      <w:r w:rsidR="00A60B57" w:rsidRPr="00545C56">
        <w:rPr>
          <w:rStyle w:val="FootnoteReference"/>
        </w:rPr>
        <w:footnoteReference w:id="11"/>
      </w:r>
      <w:r w:rsidRPr="00545C56">
        <w:t xml:space="preserve"> Finally, the effects that such instruments can produce in the absence of legally binding force are arguably unclear, rendering soft law presumably unenforceable</w:t>
      </w:r>
      <w:r w:rsidR="00B77979" w:rsidRPr="00545C56">
        <w:t xml:space="preserve"> and unpredictable</w:t>
      </w:r>
      <w:r w:rsidRPr="00545C56">
        <w:t>.</w:t>
      </w:r>
      <w:r w:rsidRPr="00545C56">
        <w:rPr>
          <w:rStyle w:val="FootnoteReference"/>
          <w:rFonts w:eastAsiaTheme="majorEastAsia"/>
        </w:rPr>
        <w:footnoteReference w:id="12"/>
      </w:r>
      <w:r w:rsidRPr="00545C56">
        <w:t xml:space="preserve"> All these elements point to a mismatch: soft law, issued in order to enhance transparency in the activity of EU institutions, can also sometimes lack transparency or even confuse matters further.</w:t>
      </w:r>
      <w:r w:rsidRPr="00545C56">
        <w:rPr>
          <w:vertAlign w:val="superscript"/>
        </w:rPr>
        <w:footnoteReference w:id="13"/>
      </w:r>
      <w:r w:rsidRPr="00545C56">
        <w:t xml:space="preserve"> In this context, </w:t>
      </w:r>
      <w:r w:rsidR="005C5FFA" w:rsidRPr="00545C56">
        <w:t>this chapter analyses</w:t>
      </w:r>
      <w:r w:rsidRPr="00545C56">
        <w:t xml:space="preserve"> whether the statement that soft law increases transparency is a rhetoric strategy or </w:t>
      </w:r>
      <w:r w:rsidR="00FB217E" w:rsidRPr="00545C56">
        <w:rPr>
          <w:iCs/>
        </w:rPr>
        <w:t>is confirmed by practice</w:t>
      </w:r>
      <w:r w:rsidRPr="00545C56">
        <w:t xml:space="preserve">. </w:t>
      </w:r>
    </w:p>
    <w:p w14:paraId="3245696B" w14:textId="77777777" w:rsidR="00625F46" w:rsidRPr="00545C56" w:rsidRDefault="00625F46" w:rsidP="00625F46">
      <w:pPr>
        <w:spacing w:line="360" w:lineRule="auto"/>
        <w:jc w:val="both"/>
      </w:pPr>
    </w:p>
    <w:p w14:paraId="7386547A" w14:textId="16AB57F4" w:rsidR="00C459FC" w:rsidRPr="00545C56" w:rsidRDefault="00AD1280" w:rsidP="00625F46">
      <w:pPr>
        <w:spacing w:line="360" w:lineRule="auto"/>
        <w:jc w:val="both"/>
      </w:pPr>
      <w:r w:rsidRPr="00545C56">
        <w:t xml:space="preserve">The chapter relies </w:t>
      </w:r>
      <w:r w:rsidR="000960B0" w:rsidRPr="00545C56">
        <w:t xml:space="preserve">on the data collected through the </w:t>
      </w:r>
      <w:proofErr w:type="spellStart"/>
      <w:r w:rsidR="000960B0" w:rsidRPr="00545C56">
        <w:t>SoLaR</w:t>
      </w:r>
      <w:proofErr w:type="spellEnd"/>
      <w:r w:rsidR="000960B0" w:rsidRPr="00545C56">
        <w:t xml:space="preserve"> project, </w:t>
      </w:r>
      <w:r w:rsidR="006355E0" w:rsidRPr="00545C56">
        <w:t>and</w:t>
      </w:r>
      <w:r w:rsidR="000960B0" w:rsidRPr="00545C56">
        <w:t xml:space="preserve"> </w:t>
      </w:r>
      <w:r w:rsidRPr="00545C56">
        <w:t>on</w:t>
      </w:r>
      <w:r w:rsidR="00342323" w:rsidRPr="00545C56">
        <w:t xml:space="preserve"> established case law of the ECJ</w:t>
      </w:r>
      <w:r w:rsidR="000960B0" w:rsidRPr="00545C56">
        <w:t>.</w:t>
      </w:r>
      <w:r w:rsidR="005C5FFA" w:rsidRPr="00545C56">
        <w:t xml:space="preserve"> It </w:t>
      </w:r>
      <w:r w:rsidR="00C459FC" w:rsidRPr="00545C56">
        <w:t xml:space="preserve">first </w:t>
      </w:r>
      <w:r w:rsidR="005C5FFA" w:rsidRPr="00545C56">
        <w:t>offers</w:t>
      </w:r>
      <w:r w:rsidR="004938E2" w:rsidRPr="00545C56">
        <w:t xml:space="preserve"> a conceptualisation of the principle of transparency in </w:t>
      </w:r>
      <w:r w:rsidR="000960B0" w:rsidRPr="00545C56">
        <w:t>an</w:t>
      </w:r>
      <w:r w:rsidR="004938E2" w:rsidRPr="00545C56">
        <w:t xml:space="preserve"> EU soft law context. It then looks into </w:t>
      </w:r>
      <w:r w:rsidR="005C5FFA" w:rsidRPr="00545C56">
        <w:t xml:space="preserve">issues relating to the access to soft law before analysing </w:t>
      </w:r>
      <w:r w:rsidR="00873FD1" w:rsidRPr="00545C56">
        <w:t xml:space="preserve">the relational </w:t>
      </w:r>
      <w:r w:rsidR="00873FD1" w:rsidRPr="00545C56">
        <w:lastRenderedPageBreak/>
        <w:t xml:space="preserve">aspect of transparency, namely the capacity to enhance, through EU soft law, the links between individuals, national, and EU authorities. </w:t>
      </w:r>
    </w:p>
    <w:p w14:paraId="2F7CFF8A" w14:textId="4C0028EE" w:rsidR="00C459FC" w:rsidRPr="00545C56" w:rsidRDefault="00C459FC" w:rsidP="00625F46">
      <w:pPr>
        <w:spacing w:line="360" w:lineRule="auto"/>
      </w:pPr>
    </w:p>
    <w:p w14:paraId="0851D2AE" w14:textId="599AF404" w:rsidR="00EB0573" w:rsidRPr="00545C56" w:rsidRDefault="00625F46" w:rsidP="005F099F">
      <w:pPr>
        <w:pStyle w:val="Heading1"/>
        <w:numPr>
          <w:ilvl w:val="0"/>
          <w:numId w:val="0"/>
        </w:numPr>
        <w:spacing w:before="0" w:line="360" w:lineRule="auto"/>
        <w:jc w:val="center"/>
        <w:rPr>
          <w:rFonts w:ascii="Times New Roman" w:hAnsi="Times New Roman" w:cs="Times New Roman"/>
          <w:color w:val="auto"/>
          <w:sz w:val="24"/>
          <w:szCs w:val="24"/>
        </w:rPr>
      </w:pPr>
      <w:r w:rsidRPr="00545C56">
        <w:rPr>
          <w:rFonts w:ascii="Times New Roman" w:hAnsi="Times New Roman" w:cs="Times New Roman"/>
          <w:color w:val="auto"/>
          <w:sz w:val="24"/>
          <w:szCs w:val="24"/>
        </w:rPr>
        <w:t>II Transparency in a Soft Law Context</w:t>
      </w:r>
    </w:p>
    <w:p w14:paraId="460C060C" w14:textId="77777777" w:rsidR="00EB0573" w:rsidRPr="00545C56" w:rsidRDefault="00EB0573" w:rsidP="00625F46">
      <w:pPr>
        <w:spacing w:line="360" w:lineRule="auto"/>
        <w:jc w:val="both"/>
        <w:rPr>
          <w:iCs/>
        </w:rPr>
      </w:pPr>
    </w:p>
    <w:p w14:paraId="75E0DA96" w14:textId="51EB2E4F" w:rsidR="00EB0573" w:rsidRPr="00545C56" w:rsidRDefault="00EB0573" w:rsidP="00625F46">
      <w:pPr>
        <w:spacing w:line="360" w:lineRule="auto"/>
        <w:jc w:val="both"/>
      </w:pPr>
      <w:r w:rsidRPr="00545C56">
        <w:rPr>
          <w:iCs/>
        </w:rPr>
        <w:t xml:space="preserve">In its legal sense, transparency </w:t>
      </w:r>
      <w:r w:rsidR="000773AD" w:rsidRPr="00545C56">
        <w:rPr>
          <w:iCs/>
        </w:rPr>
        <w:t>is</w:t>
      </w:r>
      <w:r w:rsidRPr="00545C56">
        <w:rPr>
          <w:iCs/>
        </w:rPr>
        <w:t xml:space="preserve"> a virtue,</w:t>
      </w:r>
      <w:r w:rsidRPr="00545C56">
        <w:rPr>
          <w:rStyle w:val="FootnoteReference"/>
          <w:rFonts w:eastAsiaTheme="majorEastAsia"/>
        </w:rPr>
        <w:footnoteReference w:id="14"/>
      </w:r>
      <w:r w:rsidRPr="00545C56">
        <w:rPr>
          <w:iCs/>
        </w:rPr>
        <w:t xml:space="preserve"> or a normative concept including standards by which the behaviour of public actors can be evaluated. It</w:t>
      </w:r>
      <w:r w:rsidRPr="00545C56">
        <w:t xml:space="preserve"> is a principle that was progressively integrated into EU law: first, through the work of the Court and, after the 1990s, through Treaty amendments and legislation. </w:t>
      </w:r>
      <w:r w:rsidRPr="00545C56">
        <w:rPr>
          <w:iCs/>
        </w:rPr>
        <w:t>Alongside procedural rights and human rights</w:t>
      </w:r>
      <w:r w:rsidR="006355E0" w:rsidRPr="00545C56">
        <w:rPr>
          <w:iCs/>
        </w:rPr>
        <w:t>,</w:t>
      </w:r>
      <w:r w:rsidRPr="00545C56">
        <w:rPr>
          <w:iCs/>
        </w:rPr>
        <w:t xml:space="preserve"> transparency is considered to be a ‘trust-enhancing principle,’</w:t>
      </w:r>
      <w:r w:rsidRPr="00545C56">
        <w:rPr>
          <w:rStyle w:val="FootnoteReference"/>
          <w:rFonts w:eastAsiaTheme="majorEastAsia"/>
        </w:rPr>
        <w:footnoteReference w:id="15"/>
      </w:r>
      <w:r w:rsidRPr="00545C56">
        <w:rPr>
          <w:iCs/>
        </w:rPr>
        <w:t xml:space="preserve"> that strengthens ‘the democratic character of the institutions and the trust of the public in the administration’.</w:t>
      </w:r>
      <w:r w:rsidRPr="00545C56">
        <w:rPr>
          <w:rStyle w:val="FootnoteReference"/>
          <w:rFonts w:eastAsiaTheme="majorEastAsia"/>
        </w:rPr>
        <w:footnoteReference w:id="16"/>
      </w:r>
      <w:r w:rsidRPr="00545C56">
        <w:rPr>
          <w:iCs/>
        </w:rPr>
        <w:t xml:space="preserve"> </w:t>
      </w:r>
      <w:r w:rsidR="00B53130" w:rsidRPr="00545C56">
        <w:rPr>
          <w:iCs/>
        </w:rPr>
        <w:t>Such accounts promote an understanding of transparency as a value</w:t>
      </w:r>
      <w:r w:rsidR="00F758AD" w:rsidRPr="00545C56">
        <w:rPr>
          <w:iCs/>
        </w:rPr>
        <w:t xml:space="preserve"> of good governance</w:t>
      </w:r>
      <w:r w:rsidR="00B53130" w:rsidRPr="00545C56">
        <w:rPr>
          <w:iCs/>
        </w:rPr>
        <w:t>, yet, the notion has an inherent relational aspect which is also crucial. This aspect is materialised in</w:t>
      </w:r>
      <w:r w:rsidRPr="00545C56">
        <w:rPr>
          <w:iCs/>
        </w:rPr>
        <w:t xml:space="preserve"> links between transparency and other principles such as effectiveness, accountability, fairness and legitimacy</w:t>
      </w:r>
      <w:r w:rsidR="00B53130" w:rsidRPr="00545C56">
        <w:rPr>
          <w:iCs/>
        </w:rPr>
        <w:t>, with academia warning against</w:t>
      </w:r>
      <w:r w:rsidRPr="00545C56">
        <w:rPr>
          <w:iCs/>
        </w:rPr>
        <w:t xml:space="preserve"> elevating transparency to the statute of an intrinsic value of policy formulation</w:t>
      </w:r>
      <w:r w:rsidR="00B53130" w:rsidRPr="00545C56">
        <w:rPr>
          <w:iCs/>
        </w:rPr>
        <w:t>. In this vein, Heald</w:t>
      </w:r>
      <w:r w:rsidRPr="00545C56">
        <w:rPr>
          <w:iCs/>
        </w:rPr>
        <w:t xml:space="preserve"> </w:t>
      </w:r>
      <w:r w:rsidR="00B53130" w:rsidRPr="00545C56">
        <w:rPr>
          <w:iCs/>
        </w:rPr>
        <w:t xml:space="preserve">emphasises the instrumental value of transparency, as </w:t>
      </w:r>
      <w:r w:rsidRPr="00545C56">
        <w:rPr>
          <w:iCs/>
        </w:rPr>
        <w:t xml:space="preserve">a means to achieve </w:t>
      </w:r>
      <w:r w:rsidR="00A414FC" w:rsidRPr="00545C56">
        <w:rPr>
          <w:iCs/>
        </w:rPr>
        <w:t>other</w:t>
      </w:r>
      <w:r w:rsidRPr="00545C56">
        <w:rPr>
          <w:iCs/>
        </w:rPr>
        <w:t xml:space="preserve"> principles</w:t>
      </w:r>
      <w:r w:rsidR="00B53130" w:rsidRPr="00545C56">
        <w:rPr>
          <w:iCs/>
        </w:rPr>
        <w:t>.</w:t>
      </w:r>
      <w:r w:rsidRPr="00545C56">
        <w:rPr>
          <w:rStyle w:val="FootnoteReference"/>
          <w:rFonts w:eastAsiaTheme="majorEastAsia"/>
        </w:rPr>
        <w:footnoteReference w:id="17"/>
      </w:r>
      <w:r w:rsidRPr="00545C56">
        <w:rPr>
          <w:iCs/>
        </w:rPr>
        <w:t xml:space="preserve"> </w:t>
      </w:r>
      <w:r w:rsidR="00B53130" w:rsidRPr="00545C56">
        <w:rPr>
          <w:iCs/>
        </w:rPr>
        <w:t>There are important limitations attached to transparency</w:t>
      </w:r>
      <w:r w:rsidRPr="00545C56">
        <w:rPr>
          <w:iCs/>
        </w:rPr>
        <w:t xml:space="preserve">, and </w:t>
      </w:r>
      <w:proofErr w:type="spellStart"/>
      <w:r w:rsidRPr="00545C56">
        <w:rPr>
          <w:iCs/>
        </w:rPr>
        <w:t>its</w:t>
      </w:r>
      <w:proofErr w:type="spellEnd"/>
      <w:r w:rsidRPr="00545C56">
        <w:rPr>
          <w:iCs/>
        </w:rPr>
        <w:t xml:space="preserve"> inappropriate use might sometimes undermine other objectives, such as effectiveness or privacy.</w:t>
      </w:r>
      <w:r w:rsidRPr="00545C56">
        <w:rPr>
          <w:rStyle w:val="FootnoteReference"/>
          <w:rFonts w:eastAsiaTheme="majorEastAsia"/>
        </w:rPr>
        <w:footnoteReference w:id="18"/>
      </w:r>
      <w:r w:rsidRPr="00545C56">
        <w:rPr>
          <w:iCs/>
        </w:rPr>
        <w:t xml:space="preserve"> </w:t>
      </w:r>
      <w:r w:rsidR="00B53130" w:rsidRPr="00545C56">
        <w:rPr>
          <w:iCs/>
        </w:rPr>
        <w:t>S</w:t>
      </w:r>
      <w:r w:rsidRPr="00545C56">
        <w:rPr>
          <w:iCs/>
        </w:rPr>
        <w:t xml:space="preserve">eeing transparency as a value </w:t>
      </w:r>
      <w:r w:rsidR="00B53130" w:rsidRPr="00545C56">
        <w:rPr>
          <w:iCs/>
        </w:rPr>
        <w:t xml:space="preserve">in and of itself </w:t>
      </w:r>
      <w:r w:rsidRPr="00545C56">
        <w:rPr>
          <w:iCs/>
        </w:rPr>
        <w:t>fails to capture the complex set of institutional relationships between the actor and the forum towards which it is transparent, between the observer, the observed act, and the method of observation.</w:t>
      </w:r>
      <w:r w:rsidRPr="00545C56">
        <w:rPr>
          <w:rStyle w:val="FootnoteReference"/>
          <w:rFonts w:eastAsiaTheme="majorEastAsia"/>
        </w:rPr>
        <w:footnoteReference w:id="19"/>
      </w:r>
      <w:r w:rsidRPr="00545C56">
        <w:rPr>
          <w:iCs/>
        </w:rPr>
        <w:t xml:space="preserve"> Meijer defines transparency as ‘</w:t>
      </w:r>
      <w:r w:rsidRPr="00545C56">
        <w:t>the availability of information about an actor that allows other actors to monitor the workings or performance of the first actor</w:t>
      </w:r>
      <w:r w:rsidR="008722C2" w:rsidRPr="00545C56">
        <w:t>,</w:t>
      </w:r>
      <w:r w:rsidRPr="00545C56">
        <w:t>’</w:t>
      </w:r>
      <w:r w:rsidRPr="00545C56">
        <w:rPr>
          <w:rStyle w:val="FootnoteReference"/>
          <w:rFonts w:eastAsiaTheme="majorEastAsia"/>
        </w:rPr>
        <w:footnoteReference w:id="20"/>
      </w:r>
      <w:r w:rsidRPr="00545C56">
        <w:t xml:space="preserve"> </w:t>
      </w:r>
      <w:r w:rsidR="008722C2" w:rsidRPr="00545C56">
        <w:t xml:space="preserve">emphasising the relational aspect of transparency. In a soft law context, this aspect is crucial for three reasons. </w:t>
      </w:r>
    </w:p>
    <w:p w14:paraId="3D2EFEF7" w14:textId="5191EBF2" w:rsidR="00625F46" w:rsidRPr="00545C56" w:rsidRDefault="00625F46" w:rsidP="00625F46">
      <w:pPr>
        <w:spacing w:line="360" w:lineRule="auto"/>
        <w:jc w:val="both"/>
      </w:pPr>
    </w:p>
    <w:p w14:paraId="6DC8C9CE" w14:textId="63C2625D" w:rsidR="008722C2" w:rsidRPr="00545C56" w:rsidRDefault="008722C2" w:rsidP="00625F46">
      <w:pPr>
        <w:spacing w:line="360" w:lineRule="auto"/>
        <w:jc w:val="both"/>
      </w:pPr>
      <w:r w:rsidRPr="00545C56">
        <w:lastRenderedPageBreak/>
        <w:t>First, transparency is required by the law,</w:t>
      </w:r>
      <w:r w:rsidRPr="00545C56">
        <w:rPr>
          <w:rStyle w:val="FootnoteReference"/>
          <w:rFonts w:eastAsiaTheme="majorEastAsia"/>
        </w:rPr>
        <w:footnoteReference w:id="21"/>
      </w:r>
      <w:r w:rsidRPr="00545C56">
        <w:t xml:space="preserve"> and even more so in a post-Lisbon context. Article 15 TFEU makes it clear that, in the name of good governance, EU institutions need to conduct their work as open as possible. By laying down rules </w:t>
      </w:r>
      <w:r w:rsidR="006355E0" w:rsidRPr="00545C56">
        <w:t>simplifying</w:t>
      </w:r>
      <w:r w:rsidRPr="00545C56">
        <w:t xml:space="preserve"> how discretion will be exercised, the Commission increases the transparency of its actions. The Commission often states that it is driven by transparency goals when issuing soft law instruments. For instance, the guidelines on fines, which set out the criteria used when applying fines to undertakings that are in breach of competition rules, serve the declared purpose of enhancing transparency and impartiality/objectivity in the activity of the Commission.</w:t>
      </w:r>
      <w:r w:rsidRPr="00545C56">
        <w:rPr>
          <w:rStyle w:val="FootnoteReference"/>
          <w:rFonts w:eastAsiaTheme="majorEastAsia"/>
        </w:rPr>
        <w:footnoteReference w:id="22"/>
      </w:r>
      <w:r w:rsidRPr="00545C56">
        <w:t xml:space="preserve"> </w:t>
      </w:r>
    </w:p>
    <w:p w14:paraId="4EF80EAA" w14:textId="77777777" w:rsidR="00625F46" w:rsidRPr="00545C56" w:rsidRDefault="00625F46" w:rsidP="00625F46">
      <w:pPr>
        <w:spacing w:line="360" w:lineRule="auto"/>
        <w:jc w:val="both"/>
      </w:pPr>
    </w:p>
    <w:p w14:paraId="4AF2D9C6" w14:textId="63A2791C" w:rsidR="008722C2" w:rsidRPr="00545C56" w:rsidRDefault="008722C2" w:rsidP="00625F46">
      <w:pPr>
        <w:spacing w:line="360" w:lineRule="auto"/>
        <w:jc w:val="both"/>
      </w:pPr>
      <w:r w:rsidRPr="00545C56">
        <w:t>Second, soft law plays an important role in creating links between the institutions and individuals, natural or legal persons,</w:t>
      </w:r>
      <w:r w:rsidRPr="00545C56">
        <w:rPr>
          <w:bCs/>
          <w:lang w:eastAsia="ro-RO"/>
        </w:rPr>
        <w:t xml:space="preserve"> thus enhancing legal certainty and transparency of administrative activity. </w:t>
      </w:r>
      <w:r w:rsidRPr="00545C56">
        <w:t>Through these instruments, the Commission explains the existing law in a specific sector, presents its own views on the law and clarifies those provisions of an open and indeterminate character.</w:t>
      </w:r>
      <w:r w:rsidRPr="00545C56">
        <w:rPr>
          <w:vertAlign w:val="superscript"/>
        </w:rPr>
        <w:footnoteReference w:id="23"/>
      </w:r>
      <w:r w:rsidRPr="00545C56">
        <w:t xml:space="preserve"> In this context, Snyder talked about ‘regulation by publication’</w:t>
      </w:r>
      <w:bookmarkStart w:id="0" w:name="_Ref270540510"/>
      <w:r w:rsidRPr="00545C56">
        <w:rPr>
          <w:vertAlign w:val="superscript"/>
        </w:rPr>
        <w:footnoteReference w:id="24"/>
      </w:r>
      <w:bookmarkEnd w:id="0"/>
      <w:r w:rsidRPr="00545C56">
        <w:t xml:space="preserve"> and Hoffman about ‘regulation by information’.</w:t>
      </w:r>
      <w:bookmarkStart w:id="1" w:name="_Ref270540787"/>
      <w:r w:rsidRPr="00545C56">
        <w:rPr>
          <w:vertAlign w:val="superscript"/>
        </w:rPr>
        <w:footnoteReference w:id="25"/>
      </w:r>
      <w:bookmarkEnd w:id="1"/>
      <w:r w:rsidRPr="00545C56">
        <w:t xml:space="preserve"> The mechanism is as follows: the Commission publishes guidance and regulates without recourse to binding rules. Individuals would adjust their behaviour in accordance to the guidelines issued by the Commission in order to pre-empt potential challenges to their practices. The interpretative communications of the Commission were found to provide a ‘magna carta’</w:t>
      </w:r>
      <w:r w:rsidRPr="00545C56">
        <w:rPr>
          <w:vertAlign w:val="superscript"/>
        </w:rPr>
        <w:footnoteReference w:id="26"/>
      </w:r>
      <w:r w:rsidRPr="00545C56">
        <w:t xml:space="preserve"> for individuals, clarifying matters related to their rights and duties. Soft law is meant to help the individuals to understand what the law is, what the boundaries of their actions should be and what they should expect in case of infractions, increasing legal certainty. </w:t>
      </w:r>
    </w:p>
    <w:p w14:paraId="1D576DCC" w14:textId="77777777" w:rsidR="00625F46" w:rsidRPr="00545C56" w:rsidRDefault="00625F46" w:rsidP="00625F46">
      <w:pPr>
        <w:spacing w:line="360" w:lineRule="auto"/>
        <w:jc w:val="both"/>
      </w:pPr>
    </w:p>
    <w:p w14:paraId="6199572C" w14:textId="71872CBC" w:rsidR="008722C2" w:rsidRPr="00545C56" w:rsidRDefault="008722C2" w:rsidP="00625F46">
      <w:pPr>
        <w:spacing w:line="360" w:lineRule="auto"/>
        <w:jc w:val="both"/>
      </w:pPr>
      <w:r w:rsidRPr="00545C56">
        <w:t xml:space="preserve">Third, through its transparency function and ‘regulation by information’, EU soft law can strengthen the links between the EU institutions and the national authorities. In that regard, EU soft law constitutes a source of doctrine, </w:t>
      </w:r>
      <w:r w:rsidR="006355E0" w:rsidRPr="00545C56">
        <w:t>guiding</w:t>
      </w:r>
      <w:r w:rsidRPr="00545C56">
        <w:t xml:space="preserve"> public administrations in their activities and, therefore, have the potential to increase the consistency of EU action. This can be observed in financ</w:t>
      </w:r>
      <w:r w:rsidR="00DA718E" w:rsidRPr="00545C56">
        <w:t>ial regulation</w:t>
      </w:r>
      <w:r w:rsidRPr="00545C56">
        <w:t>,</w:t>
      </w:r>
      <w:r w:rsidR="003B132E" w:rsidRPr="00545C56">
        <w:t xml:space="preserve"> with</w:t>
      </w:r>
      <w:r w:rsidRPr="00545C56">
        <w:t xml:space="preserve"> Art</w:t>
      </w:r>
      <w:r w:rsidR="00DA718E" w:rsidRPr="00545C56">
        <w:t>icle</w:t>
      </w:r>
      <w:r w:rsidRPr="00545C56">
        <w:t xml:space="preserve"> 16(1) of the European Supervisor</w:t>
      </w:r>
      <w:r w:rsidR="003B132E" w:rsidRPr="00545C56">
        <w:t xml:space="preserve">y Authorities’ regulations </w:t>
      </w:r>
      <w:r w:rsidR="003B132E" w:rsidRPr="00545C56">
        <w:lastRenderedPageBreak/>
        <w:t xml:space="preserve">stating </w:t>
      </w:r>
      <w:r w:rsidRPr="00545C56">
        <w:t>that guidelines and recommendations shall be issued with a view to establishing consistent, efficient and effective supervisory practices, and to ensuring the common, uniform and consistent application of Union law.</w:t>
      </w:r>
      <w:r w:rsidRPr="00545C56">
        <w:rPr>
          <w:rStyle w:val="FootnoteReference"/>
        </w:rPr>
        <w:footnoteReference w:id="27"/>
      </w:r>
      <w:r w:rsidRPr="00545C56">
        <w:t xml:space="preserve"> </w:t>
      </w:r>
    </w:p>
    <w:p w14:paraId="3E1BDD03" w14:textId="77777777" w:rsidR="00625F46" w:rsidRPr="00545C56" w:rsidRDefault="00625F46" w:rsidP="00625F46">
      <w:pPr>
        <w:spacing w:line="360" w:lineRule="auto"/>
        <w:jc w:val="both"/>
      </w:pPr>
    </w:p>
    <w:p w14:paraId="4E2E923F" w14:textId="69CC2666" w:rsidR="00EB0573" w:rsidRPr="00545C56" w:rsidRDefault="00EB0573" w:rsidP="00625F46">
      <w:pPr>
        <w:spacing w:line="360" w:lineRule="auto"/>
        <w:jc w:val="both"/>
      </w:pPr>
      <w:r w:rsidRPr="00545C56">
        <w:t>Seeing transparency as a relation brings to the fore the distinction between openness and transparency, not always very clear in the literature.</w:t>
      </w:r>
      <w:r w:rsidRPr="00545C56">
        <w:rPr>
          <w:rStyle w:val="FootnoteReference"/>
          <w:rFonts w:eastAsiaTheme="majorEastAsia"/>
        </w:rPr>
        <w:footnoteReference w:id="28"/>
      </w:r>
      <w:r w:rsidRPr="00545C56">
        <w:t xml:space="preserve"> For some, openness relates mostly to the processes allowing us to see how organisations work, with </w:t>
      </w:r>
      <w:proofErr w:type="spellStart"/>
      <w:r w:rsidRPr="00545C56">
        <w:t>Birkinshaw</w:t>
      </w:r>
      <w:proofErr w:type="spellEnd"/>
      <w:r w:rsidRPr="00545C56">
        <w:t xml:space="preserve"> and Larsson arguing that transparency relates to the ability of the observer to understand and access the information delivered by the observed organisation.</w:t>
      </w:r>
      <w:r w:rsidRPr="00545C56">
        <w:rPr>
          <w:rStyle w:val="FootnoteReference"/>
          <w:rFonts w:eastAsiaTheme="majorEastAsia"/>
        </w:rPr>
        <w:footnoteReference w:id="29"/>
      </w:r>
      <w:r w:rsidRPr="00545C56">
        <w:t xml:space="preserve"> Heald explains that openness should be understood as a characteristic of an </w:t>
      </w:r>
      <w:r w:rsidR="00DA718E" w:rsidRPr="00545C56">
        <w:t>organisation</w:t>
      </w:r>
      <w:r w:rsidRPr="00545C56">
        <w:t>, while ‘transparency also requires external receptors capable of processing the information made available.’</w:t>
      </w:r>
      <w:r w:rsidRPr="00545C56">
        <w:rPr>
          <w:rStyle w:val="FootnoteReference"/>
          <w:rFonts w:eastAsiaTheme="majorEastAsia"/>
        </w:rPr>
        <w:footnoteReference w:id="30"/>
      </w:r>
      <w:r w:rsidRPr="00545C56">
        <w:t xml:space="preserve"> Transparency and openness are thus similar concepts that both entail more than simply access to information. Curtin et al enlarged even more the notion of openness. While transparency includes access and availability of information in a general sense (revealing ‘the thinking behind a decision or the way in which a decision is made’),</w:t>
      </w:r>
      <w:r w:rsidRPr="00545C56">
        <w:rPr>
          <w:rStyle w:val="FootnoteReference"/>
          <w:rFonts w:eastAsiaTheme="majorEastAsia"/>
        </w:rPr>
        <w:footnoteReference w:id="31"/>
      </w:r>
      <w:r w:rsidRPr="00545C56">
        <w:t xml:space="preserve"> openness is broader and entails the possibility for citizens</w:t>
      </w:r>
      <w:r w:rsidR="00BE5AA8" w:rsidRPr="00545C56">
        <w:t xml:space="preserve"> to</w:t>
      </w:r>
      <w:r w:rsidRPr="00545C56">
        <w:t xml:space="preserve"> ‘monitor and influence legislative and executive processes through access to information and access to decision-making arenas.’</w:t>
      </w:r>
      <w:r w:rsidRPr="00545C56">
        <w:rPr>
          <w:rStyle w:val="FootnoteReference"/>
          <w:rFonts w:eastAsiaTheme="majorEastAsia"/>
        </w:rPr>
        <w:footnoteReference w:id="32"/>
      </w:r>
      <w:r w:rsidRPr="00545C56">
        <w:t xml:space="preserve"> The notions of ‘vision’ and ‘voice’ are relevant in this context, and they relate to two facets of openness: transparency qua access to comprehensible information and participation of citizens in the decision making process.</w:t>
      </w:r>
      <w:r w:rsidRPr="00545C56">
        <w:rPr>
          <w:rStyle w:val="FootnoteReference"/>
          <w:rFonts w:eastAsiaTheme="majorEastAsia"/>
        </w:rPr>
        <w:footnoteReference w:id="33"/>
      </w:r>
    </w:p>
    <w:p w14:paraId="4DFA94E1" w14:textId="77777777" w:rsidR="00625F46" w:rsidRPr="00545C56" w:rsidRDefault="00625F46" w:rsidP="00625F46">
      <w:pPr>
        <w:spacing w:line="360" w:lineRule="auto"/>
        <w:jc w:val="both"/>
      </w:pPr>
    </w:p>
    <w:p w14:paraId="1CF8B5F0" w14:textId="57EA0BDE" w:rsidR="006F025A" w:rsidRPr="00545C56" w:rsidRDefault="00543D62" w:rsidP="00625F46">
      <w:pPr>
        <w:spacing w:line="360" w:lineRule="auto"/>
        <w:jc w:val="both"/>
      </w:pPr>
      <w:r w:rsidRPr="00545C56">
        <w:lastRenderedPageBreak/>
        <w:t xml:space="preserve">Far from settling the theoretical debate, this chapter employs the notions of openness and transparency interchangeably, </w:t>
      </w:r>
      <w:r w:rsidR="006F025A" w:rsidRPr="00545C56">
        <w:t xml:space="preserve">and deals </w:t>
      </w:r>
      <w:r w:rsidR="00DA718E" w:rsidRPr="00545C56">
        <w:t xml:space="preserve">only </w:t>
      </w:r>
      <w:r w:rsidR="00810903" w:rsidRPr="00545C56">
        <w:t>cursorily</w:t>
      </w:r>
      <w:r w:rsidR="006F025A" w:rsidRPr="00545C56">
        <w:t xml:space="preserve"> with the participation aspect. Some authors </w:t>
      </w:r>
      <w:r w:rsidR="00DA718E" w:rsidRPr="00545C56">
        <w:t xml:space="preserve">find </w:t>
      </w:r>
      <w:r w:rsidR="006F025A" w:rsidRPr="00545C56">
        <w:t>that</w:t>
      </w:r>
      <w:r w:rsidR="008722C2" w:rsidRPr="00545C56">
        <w:t xml:space="preserve"> preparatory and informative soft law instruments fulfil an important function in the pre-legislative stage because it is through these means that the Parliament is informed and </w:t>
      </w:r>
      <w:r w:rsidR="006F025A" w:rsidRPr="00545C56">
        <w:t>consulted on future legislation.</w:t>
      </w:r>
      <w:r w:rsidR="008722C2" w:rsidRPr="00545C56">
        <w:rPr>
          <w:vertAlign w:val="superscript"/>
        </w:rPr>
        <w:footnoteReference w:id="34"/>
      </w:r>
      <w:r w:rsidR="006F025A" w:rsidRPr="00545C56">
        <w:t xml:space="preserve"> Yet,</w:t>
      </w:r>
      <w:r w:rsidR="008722C2" w:rsidRPr="00545C56">
        <w:t xml:space="preserve"> </w:t>
      </w:r>
      <w:r w:rsidR="006F025A" w:rsidRPr="00545C56">
        <w:t xml:space="preserve">the European Parliament is hardly involved in the soft </w:t>
      </w:r>
      <w:proofErr w:type="gramStart"/>
      <w:r w:rsidR="006F025A" w:rsidRPr="00545C56">
        <w:t>law making</w:t>
      </w:r>
      <w:proofErr w:type="gramEnd"/>
      <w:r w:rsidR="006F025A" w:rsidRPr="00545C56">
        <w:t xml:space="preserve"> process. </w:t>
      </w:r>
      <w:r w:rsidR="006F025A" w:rsidRPr="00545C56">
        <w:rPr>
          <w:vertAlign w:val="superscript"/>
        </w:rPr>
        <w:footnoteReference w:id="35"/>
      </w:r>
      <w:r w:rsidR="006F025A" w:rsidRPr="00545C56">
        <w:t xml:space="preserve"> Many </w:t>
      </w:r>
      <w:r w:rsidR="008722C2" w:rsidRPr="00545C56">
        <w:t xml:space="preserve">soft law instruments are the result of consultation procedures. </w:t>
      </w:r>
      <w:r w:rsidR="006F025A" w:rsidRPr="00545C56">
        <w:t>However, it has been argued that ‘consultative procedures are less rigorously adopted and structured in relation to rules whose binding nature is uncertain’,</w:t>
      </w:r>
      <w:r w:rsidR="006F025A" w:rsidRPr="00545C56">
        <w:rPr>
          <w:vertAlign w:val="superscript"/>
        </w:rPr>
        <w:footnoteReference w:id="36"/>
      </w:r>
      <w:r w:rsidR="006F025A" w:rsidRPr="00545C56">
        <w:t xml:space="preserve"> with research showing that soft law is sometimes issued according to procedures that completely lack transparency.</w:t>
      </w:r>
      <w:r w:rsidR="006F025A" w:rsidRPr="00545C56">
        <w:rPr>
          <w:rStyle w:val="FootnoteReference"/>
          <w:rFonts w:eastAsiaTheme="majorEastAsia"/>
        </w:rPr>
        <w:footnoteReference w:id="37"/>
      </w:r>
      <w:r w:rsidR="006F025A" w:rsidRPr="00545C56">
        <w:t xml:space="preserve"> Participation – and the lack of – is a key problem, </w:t>
      </w:r>
      <w:r w:rsidR="00FD2809" w:rsidRPr="00545C56">
        <w:t xml:space="preserve">challenging the argument </w:t>
      </w:r>
      <w:r w:rsidR="006F025A" w:rsidRPr="00545C56">
        <w:t xml:space="preserve">that soft law enhances openness in the meaning of Article 15 TFEU if it is the result of opaque decision making procedures. </w:t>
      </w:r>
      <w:r w:rsidR="00C959A2" w:rsidRPr="00545C56">
        <w:t>More e</w:t>
      </w:r>
      <w:r w:rsidR="006F025A" w:rsidRPr="00545C56">
        <w:t xml:space="preserve">mpirical research </w:t>
      </w:r>
      <w:r w:rsidR="00C959A2" w:rsidRPr="00545C56">
        <w:t>is needed</w:t>
      </w:r>
      <w:r w:rsidR="006F025A" w:rsidRPr="00545C56">
        <w:t xml:space="preserve"> to determine whether the level of involvement of stakeholders and of the European Parliament is satisfactory or not.</w:t>
      </w:r>
      <w:r w:rsidR="006F025A" w:rsidRPr="00545C56">
        <w:rPr>
          <w:rStyle w:val="FootnoteReference"/>
          <w:rFonts w:eastAsiaTheme="majorEastAsia"/>
        </w:rPr>
        <w:footnoteReference w:id="38"/>
      </w:r>
      <w:r w:rsidR="006F025A" w:rsidRPr="00545C56">
        <w:t xml:space="preserve"> This would involve a wider debate on legitimacy of soft law instruments, </w:t>
      </w:r>
      <w:r w:rsidR="00BB5DDA" w:rsidRPr="00545C56">
        <w:t>as</w:t>
      </w:r>
      <w:r w:rsidR="006F025A" w:rsidRPr="00545C56">
        <w:t xml:space="preserve"> addressed elsewhere in this volume.</w:t>
      </w:r>
      <w:r w:rsidR="006F025A" w:rsidRPr="00545C56">
        <w:rPr>
          <w:rStyle w:val="FootnoteReference"/>
        </w:rPr>
        <w:footnoteReference w:id="39"/>
      </w:r>
      <w:r w:rsidR="006F025A" w:rsidRPr="00545C56">
        <w:t xml:space="preserve"> </w:t>
      </w:r>
    </w:p>
    <w:p w14:paraId="212E5EF2" w14:textId="77777777" w:rsidR="00625F46" w:rsidRPr="00545C56" w:rsidRDefault="00625F46" w:rsidP="00625F46">
      <w:pPr>
        <w:spacing w:line="360" w:lineRule="auto"/>
        <w:jc w:val="both"/>
      </w:pPr>
    </w:p>
    <w:p w14:paraId="5E982FA1" w14:textId="632B60FF" w:rsidR="006F025A" w:rsidRPr="00545C56" w:rsidRDefault="006F025A" w:rsidP="00625F46">
      <w:pPr>
        <w:spacing w:line="360" w:lineRule="auto"/>
        <w:jc w:val="both"/>
      </w:pPr>
      <w:r w:rsidRPr="00545C56">
        <w:t xml:space="preserve">Concerned primarily with the relational aspect of transparency/openness, this chapter only briefly deals with some issues related to public consultations. The focus is on the assessing the first facet of transparency/openness: that of access to comprehensible information that can </w:t>
      </w:r>
      <w:r w:rsidR="00BB5DDA" w:rsidRPr="00545C56">
        <w:t>improve</w:t>
      </w:r>
      <w:r w:rsidRPr="00545C56">
        <w:t xml:space="preserve"> the relationship between EU institutions and the individuals on the one hand, and EU institutions and national authorities on the other. The chapter considers first issues of physical access and comprehensibility of EU soft law before looking in the specificities of the relational aspect of transparency. </w:t>
      </w:r>
    </w:p>
    <w:p w14:paraId="509D0B97" w14:textId="44BCF787" w:rsidR="006F025A" w:rsidRPr="00545C56" w:rsidRDefault="006F025A" w:rsidP="00625F46">
      <w:pPr>
        <w:spacing w:line="360" w:lineRule="auto"/>
        <w:jc w:val="both"/>
      </w:pPr>
    </w:p>
    <w:p w14:paraId="2042C98B" w14:textId="0DB8368E" w:rsidR="005E0507" w:rsidRPr="00545C56" w:rsidRDefault="00625F46" w:rsidP="005F099F">
      <w:pPr>
        <w:pStyle w:val="Heading1"/>
        <w:numPr>
          <w:ilvl w:val="0"/>
          <w:numId w:val="0"/>
        </w:numPr>
        <w:spacing w:before="0" w:line="360" w:lineRule="auto"/>
        <w:jc w:val="center"/>
        <w:rPr>
          <w:rFonts w:ascii="Times New Roman" w:hAnsi="Times New Roman" w:cs="Times New Roman"/>
          <w:color w:val="auto"/>
          <w:sz w:val="24"/>
          <w:szCs w:val="24"/>
        </w:rPr>
      </w:pPr>
      <w:r w:rsidRPr="00545C56">
        <w:rPr>
          <w:rFonts w:ascii="Times New Roman" w:hAnsi="Times New Roman" w:cs="Times New Roman"/>
          <w:color w:val="auto"/>
          <w:sz w:val="24"/>
          <w:szCs w:val="24"/>
        </w:rPr>
        <w:t xml:space="preserve">III </w:t>
      </w:r>
      <w:r w:rsidR="005E0507" w:rsidRPr="00545C56">
        <w:rPr>
          <w:rFonts w:ascii="Times New Roman" w:hAnsi="Times New Roman" w:cs="Times New Roman"/>
          <w:color w:val="auto"/>
          <w:sz w:val="24"/>
          <w:szCs w:val="24"/>
        </w:rPr>
        <w:t xml:space="preserve">Access to </w:t>
      </w:r>
      <w:r w:rsidRPr="00545C56">
        <w:rPr>
          <w:rFonts w:ascii="Times New Roman" w:hAnsi="Times New Roman" w:cs="Times New Roman"/>
          <w:color w:val="auto"/>
          <w:sz w:val="24"/>
          <w:szCs w:val="24"/>
        </w:rPr>
        <w:t>S</w:t>
      </w:r>
      <w:r w:rsidR="005E0507" w:rsidRPr="00545C56">
        <w:rPr>
          <w:rFonts w:ascii="Times New Roman" w:hAnsi="Times New Roman" w:cs="Times New Roman"/>
          <w:color w:val="auto"/>
          <w:sz w:val="24"/>
          <w:szCs w:val="24"/>
        </w:rPr>
        <w:t xml:space="preserve">oft </w:t>
      </w:r>
      <w:r w:rsidRPr="00545C56">
        <w:rPr>
          <w:rFonts w:ascii="Times New Roman" w:hAnsi="Times New Roman" w:cs="Times New Roman"/>
          <w:color w:val="auto"/>
          <w:sz w:val="24"/>
          <w:szCs w:val="24"/>
        </w:rPr>
        <w:t>L</w:t>
      </w:r>
      <w:r w:rsidR="005E0507" w:rsidRPr="00545C56">
        <w:rPr>
          <w:rFonts w:ascii="Times New Roman" w:hAnsi="Times New Roman" w:cs="Times New Roman"/>
          <w:color w:val="auto"/>
          <w:sz w:val="24"/>
          <w:szCs w:val="24"/>
        </w:rPr>
        <w:t>aw</w:t>
      </w:r>
    </w:p>
    <w:p w14:paraId="400171AF" w14:textId="77777777" w:rsidR="006F025A" w:rsidRPr="00545C56" w:rsidRDefault="006F025A" w:rsidP="00625F46">
      <w:pPr>
        <w:spacing w:line="360" w:lineRule="auto"/>
        <w:jc w:val="both"/>
      </w:pPr>
    </w:p>
    <w:p w14:paraId="4EFE938F" w14:textId="1678226D" w:rsidR="0095580D" w:rsidRPr="00545C56" w:rsidRDefault="00CD4DE5" w:rsidP="00625F46">
      <w:pPr>
        <w:spacing w:line="360" w:lineRule="auto"/>
        <w:jc w:val="both"/>
      </w:pPr>
      <w:r w:rsidRPr="00545C56">
        <w:t>T</w:t>
      </w:r>
      <w:r w:rsidR="00582D07" w:rsidRPr="00545C56">
        <w:t xml:space="preserve">his </w:t>
      </w:r>
      <w:r w:rsidR="004E28B1" w:rsidRPr="00545C56">
        <w:t>section</w:t>
      </w:r>
      <w:r w:rsidR="00582D07" w:rsidRPr="00545C56">
        <w:t xml:space="preserve"> conceives the standard of openness/transparency in the </w:t>
      </w:r>
      <w:r w:rsidR="009F2C78" w:rsidRPr="00545C56">
        <w:t>EU</w:t>
      </w:r>
      <w:r w:rsidR="00582D07" w:rsidRPr="00545C56">
        <w:t xml:space="preserve"> to include public access to information, as well as the pro-active institutional duty to ensure that information is provided </w:t>
      </w:r>
      <w:r w:rsidR="00582D07" w:rsidRPr="00545C56">
        <w:lastRenderedPageBreak/>
        <w:t>in an accessible and understandable way.</w:t>
      </w:r>
      <w:r w:rsidR="00582D07" w:rsidRPr="00545C56">
        <w:rPr>
          <w:rStyle w:val="FootnoteReference"/>
          <w:rFonts w:eastAsiaTheme="majorEastAsia"/>
        </w:rPr>
        <w:footnoteReference w:id="40"/>
      </w:r>
      <w:r w:rsidR="00582D07" w:rsidRPr="00545C56">
        <w:t xml:space="preserve"> </w:t>
      </w:r>
      <w:r w:rsidR="004E28B1" w:rsidRPr="00545C56">
        <w:t xml:space="preserve">There are several barriers to access considered here, </w:t>
      </w:r>
      <w:r w:rsidR="002B1925" w:rsidRPr="00545C56">
        <w:t>related to physical access, publication, as well as the sheer volume of soft law instruments</w:t>
      </w:r>
      <w:r w:rsidR="004E28B1" w:rsidRPr="00545C56">
        <w:t>. It is argued that translation issues, as well as issues related to clarity, legality, and quality of regulation might be more acute in a soft law context.</w:t>
      </w:r>
    </w:p>
    <w:p w14:paraId="0AFD3046" w14:textId="77777777" w:rsidR="00625F46" w:rsidRPr="00545C56" w:rsidRDefault="00625F46" w:rsidP="00625F46">
      <w:pPr>
        <w:spacing w:line="360" w:lineRule="auto"/>
        <w:jc w:val="both"/>
      </w:pPr>
    </w:p>
    <w:p w14:paraId="1C1DA00C" w14:textId="0700CD76" w:rsidR="0035097A" w:rsidRPr="00545C56" w:rsidRDefault="00625F46" w:rsidP="00625F46">
      <w:pPr>
        <w:pStyle w:val="Heading2"/>
        <w:numPr>
          <w:ilvl w:val="0"/>
          <w:numId w:val="0"/>
        </w:numPr>
        <w:spacing w:before="0" w:line="360" w:lineRule="auto"/>
        <w:rPr>
          <w:rFonts w:ascii="Times New Roman" w:hAnsi="Times New Roman" w:cs="Times New Roman"/>
          <w:b w:val="0"/>
          <w:i/>
          <w:color w:val="auto"/>
          <w:sz w:val="24"/>
          <w:szCs w:val="24"/>
        </w:rPr>
      </w:pPr>
      <w:r w:rsidRPr="00545C56">
        <w:rPr>
          <w:rFonts w:ascii="Times New Roman" w:hAnsi="Times New Roman" w:cs="Times New Roman"/>
          <w:b w:val="0"/>
          <w:i/>
          <w:color w:val="auto"/>
          <w:sz w:val="24"/>
          <w:szCs w:val="24"/>
        </w:rPr>
        <w:t xml:space="preserve">A </w:t>
      </w:r>
      <w:r w:rsidR="0035097A" w:rsidRPr="00545C56">
        <w:rPr>
          <w:rFonts w:ascii="Times New Roman" w:hAnsi="Times New Roman" w:cs="Times New Roman"/>
          <w:b w:val="0"/>
          <w:i/>
          <w:color w:val="auto"/>
          <w:sz w:val="24"/>
          <w:szCs w:val="24"/>
        </w:rPr>
        <w:t>Barriers to physical access to soft law</w:t>
      </w:r>
    </w:p>
    <w:p w14:paraId="121A9BD0" w14:textId="77777777" w:rsidR="00272F9B" w:rsidRPr="00545C56" w:rsidRDefault="00272F9B" w:rsidP="00625F46">
      <w:pPr>
        <w:spacing w:line="360" w:lineRule="auto"/>
        <w:jc w:val="both"/>
        <w:rPr>
          <w:iCs/>
        </w:rPr>
      </w:pPr>
    </w:p>
    <w:p w14:paraId="63E1A934" w14:textId="2DDC9E8A" w:rsidR="004123CA" w:rsidRPr="00545C56" w:rsidRDefault="00272F9B" w:rsidP="00625F46">
      <w:pPr>
        <w:spacing w:line="360" w:lineRule="auto"/>
        <w:jc w:val="both"/>
      </w:pPr>
      <w:r w:rsidRPr="00545C56">
        <w:rPr>
          <w:iCs/>
        </w:rPr>
        <w:t>S</w:t>
      </w:r>
      <w:r w:rsidRPr="00545C56">
        <w:t xml:space="preserve">oft law of general application </w:t>
      </w:r>
      <w:r w:rsidR="0035097A" w:rsidRPr="00545C56">
        <w:rPr>
          <w:iCs/>
        </w:rPr>
        <w:t>abound, are extremely varied, and not always consistently published, thereby challenging transparency.</w:t>
      </w:r>
      <w:r w:rsidRPr="00545C56">
        <w:rPr>
          <w:iCs/>
        </w:rPr>
        <w:t xml:space="preserve"> </w:t>
      </w:r>
      <w:r w:rsidR="0035097A" w:rsidRPr="00545C56">
        <w:t>It has been argued that international soft law comes in an ‘infinite variety’</w:t>
      </w:r>
      <w:r w:rsidR="0035097A" w:rsidRPr="00545C56">
        <w:rPr>
          <w:rStyle w:val="FootnoteReference"/>
          <w:rFonts w:eastAsiaTheme="majorEastAsia"/>
        </w:rPr>
        <w:footnoteReference w:id="41"/>
      </w:r>
      <w:r w:rsidR="0035097A" w:rsidRPr="00545C56">
        <w:t>; EU soft law is no exception. The list of European soft law instruments starts with the fifth paragraph of Article 288 TFEU: ‘Recommendations and opinions shall have no binding force’.</w:t>
      </w:r>
      <w:r w:rsidR="0035097A" w:rsidRPr="00545C56">
        <w:rPr>
          <w:vertAlign w:val="superscript"/>
        </w:rPr>
        <w:footnoteReference w:id="42"/>
      </w:r>
      <w:r w:rsidR="0035097A" w:rsidRPr="00545C56">
        <w:t xml:space="preserve"> However, a vast array of other instruments also come under the heading of European soft legislation. The most frequent designations are recommendations, opinions and resolutions,</w:t>
      </w:r>
      <w:bookmarkStart w:id="2" w:name="_Ref270534855"/>
      <w:r w:rsidR="0035097A" w:rsidRPr="00545C56">
        <w:rPr>
          <w:vertAlign w:val="superscript"/>
        </w:rPr>
        <w:footnoteReference w:id="43"/>
      </w:r>
      <w:bookmarkEnd w:id="2"/>
      <w:r w:rsidR="0035097A" w:rsidRPr="00545C56">
        <w:t xml:space="preserve"> but various other </w:t>
      </w:r>
      <w:r w:rsidR="009C0649" w:rsidRPr="00545C56">
        <w:t>designations are employed too</w:t>
      </w:r>
      <w:r w:rsidR="0035097A" w:rsidRPr="00545C56">
        <w:t>: declarations; green and white papers; conclusions; action papers; reports; programmes; communications; memoranda; statements of the representatives of the Member States meeting in the Council; inter-institutional agreements; codes of conduct; notices; guidelines; practices.</w:t>
      </w:r>
      <w:r w:rsidR="002B1925" w:rsidRPr="00545C56">
        <w:t xml:space="preserve"> </w:t>
      </w:r>
      <w:r w:rsidR="003B3A4D" w:rsidRPr="00545C56">
        <w:t>This</w:t>
      </w:r>
      <w:r w:rsidR="00EB0359" w:rsidRPr="00545C56">
        <w:t xml:space="preserve"> variety</w:t>
      </w:r>
      <w:r w:rsidR="003B3A4D" w:rsidRPr="00545C56">
        <w:t xml:space="preserve"> is reflected </w:t>
      </w:r>
      <w:r w:rsidR="00EB0359" w:rsidRPr="00545C56">
        <w:t xml:space="preserve">in the sample selected by </w:t>
      </w:r>
      <w:proofErr w:type="spellStart"/>
      <w:r w:rsidR="00EB0359" w:rsidRPr="00545C56">
        <w:t>SoLaR</w:t>
      </w:r>
      <w:proofErr w:type="spellEnd"/>
      <w:r w:rsidR="00EB0359" w:rsidRPr="00545C56">
        <w:t xml:space="preserve">, as a quick glance at Annex </w:t>
      </w:r>
      <w:r w:rsidR="00954452" w:rsidRPr="00545C56">
        <w:t xml:space="preserve">I </w:t>
      </w:r>
      <w:r w:rsidR="00EB0359" w:rsidRPr="00545C56">
        <w:t xml:space="preserve">would show. </w:t>
      </w:r>
      <w:r w:rsidR="004123CA" w:rsidRPr="00545C56">
        <w:t>T</w:t>
      </w:r>
      <w:r w:rsidR="0035097A" w:rsidRPr="00545C56">
        <w:t xml:space="preserve">he </w:t>
      </w:r>
      <w:r w:rsidR="00567047" w:rsidRPr="00545C56">
        <w:t xml:space="preserve">different </w:t>
      </w:r>
      <w:r w:rsidR="0035097A" w:rsidRPr="00545C56">
        <w:t>headings</w:t>
      </w:r>
      <w:r w:rsidR="004123CA" w:rsidRPr="00545C56">
        <w:t xml:space="preserve">, as well as the sheer volume of instruments might be confusing, </w:t>
      </w:r>
      <w:r w:rsidR="002B1925" w:rsidRPr="00545C56">
        <w:t xml:space="preserve">as it might not be immediately obvious that various </w:t>
      </w:r>
      <w:r w:rsidR="00567047" w:rsidRPr="00545C56">
        <w:t>keywords</w:t>
      </w:r>
      <w:r w:rsidR="002B1925" w:rsidRPr="00545C56">
        <w:t xml:space="preserve"> do not indicate different degrees of legal effects.</w:t>
      </w:r>
      <w:r w:rsidR="002B1925" w:rsidRPr="00545C56">
        <w:rPr>
          <w:rStyle w:val="FootnoteReference"/>
        </w:rPr>
        <w:footnoteReference w:id="44"/>
      </w:r>
      <w:r w:rsidR="002B1925" w:rsidRPr="00545C56">
        <w:t xml:space="preserve"> C</w:t>
      </w:r>
      <w:r w:rsidR="004123CA" w:rsidRPr="00545C56">
        <w:t xml:space="preserve">ivil servants interviewed by </w:t>
      </w:r>
      <w:proofErr w:type="spellStart"/>
      <w:r w:rsidR="004123CA" w:rsidRPr="00545C56">
        <w:t>SoLaR</w:t>
      </w:r>
      <w:proofErr w:type="spellEnd"/>
      <w:r w:rsidR="004123CA" w:rsidRPr="00545C56">
        <w:t xml:space="preserve"> believ</w:t>
      </w:r>
      <w:r w:rsidR="00567047" w:rsidRPr="00545C56">
        <w:t xml:space="preserve">e that EU guidance can </w:t>
      </w:r>
      <w:r w:rsidR="004123CA" w:rsidRPr="00545C56">
        <w:rPr>
          <w:i/>
        </w:rPr>
        <w:t xml:space="preserve">decrease </w:t>
      </w:r>
      <w:r w:rsidR="004123CA" w:rsidRPr="00545C56">
        <w:t>transparency as too many instruments might obscure the interpretation of the law.</w:t>
      </w:r>
      <w:bookmarkStart w:id="3" w:name="_Ref47706419"/>
      <w:r w:rsidR="004123CA" w:rsidRPr="00545C56">
        <w:rPr>
          <w:rStyle w:val="FootnoteReference"/>
        </w:rPr>
        <w:footnoteReference w:id="45"/>
      </w:r>
      <w:bookmarkEnd w:id="3"/>
      <w:r w:rsidR="002B1925" w:rsidRPr="00545C56">
        <w:t xml:space="preserve"> </w:t>
      </w:r>
    </w:p>
    <w:p w14:paraId="6A489B5A" w14:textId="77777777" w:rsidR="00954452" w:rsidRPr="00545C56" w:rsidRDefault="00954452" w:rsidP="00625F46">
      <w:pPr>
        <w:spacing w:line="360" w:lineRule="auto"/>
        <w:jc w:val="both"/>
      </w:pPr>
    </w:p>
    <w:p w14:paraId="0E59C111" w14:textId="330AEA70" w:rsidR="0035097A" w:rsidRPr="00545C56" w:rsidRDefault="0028125B" w:rsidP="00625F46">
      <w:pPr>
        <w:spacing w:line="360" w:lineRule="auto"/>
        <w:jc w:val="both"/>
      </w:pPr>
      <w:r w:rsidRPr="00545C56">
        <w:lastRenderedPageBreak/>
        <w:t xml:space="preserve">Furthermore, </w:t>
      </w:r>
      <w:r w:rsidR="0035097A" w:rsidRPr="00545C56">
        <w:t>Article 297 TFEU does not require soft law instruments to be published in the Official Journal. Nonetheless, as noted in a report on soft law commissioned by the European Parliament,</w:t>
      </w:r>
      <w:r w:rsidR="0035097A" w:rsidRPr="00545C56">
        <w:rPr>
          <w:rStyle w:val="FootnoteReference"/>
          <w:rFonts w:eastAsiaTheme="majorEastAsia"/>
        </w:rPr>
        <w:t xml:space="preserve"> </w:t>
      </w:r>
      <w:r w:rsidR="0035097A" w:rsidRPr="00545C56">
        <w:rPr>
          <w:rStyle w:val="FootnoteReference"/>
          <w:rFonts w:eastAsiaTheme="majorEastAsia"/>
        </w:rPr>
        <w:footnoteReference w:id="46"/>
      </w:r>
      <w:r w:rsidR="0035097A" w:rsidRPr="00545C56">
        <w:t xml:space="preserve"> the Commission does publish soft law in the C series of the Official Journal, where the recommendations of the Commission and the Council are also published. However, some other instruments, published as COM documents, are available only online.</w:t>
      </w:r>
      <w:r w:rsidR="00EF3482" w:rsidRPr="00545C56">
        <w:rPr>
          <w:rStyle w:val="FootnoteReference"/>
        </w:rPr>
        <w:footnoteReference w:id="47"/>
      </w:r>
      <w:r w:rsidR="0035097A" w:rsidRPr="00545C56">
        <w:t xml:space="preserve"> </w:t>
      </w:r>
      <w:r w:rsidR="00504FDA" w:rsidRPr="00545C56">
        <w:t xml:space="preserve">An important number of the soft law instruments analysed by </w:t>
      </w:r>
      <w:proofErr w:type="spellStart"/>
      <w:r w:rsidR="00504FDA" w:rsidRPr="00545C56">
        <w:t>SoLaR</w:t>
      </w:r>
      <w:proofErr w:type="spellEnd"/>
      <w:r w:rsidR="00504FDA" w:rsidRPr="00545C56">
        <w:t xml:space="preserve"> are published in the C series of the Official Journal, yet some are published by the Publication Office under an ISBN and a DOI,</w:t>
      </w:r>
      <w:r w:rsidR="00504FDA" w:rsidRPr="00545C56">
        <w:rPr>
          <w:rStyle w:val="FootnoteReference"/>
        </w:rPr>
        <w:footnoteReference w:id="48"/>
      </w:r>
      <w:r w:rsidR="00504FDA" w:rsidRPr="00545C56">
        <w:t xml:space="preserve"> while others are published on the website of the issuing agency (ESMA)</w:t>
      </w:r>
      <w:r w:rsidR="00717FE0" w:rsidRPr="00545C56">
        <w:t>, and some others are published as COM documents</w:t>
      </w:r>
      <w:r w:rsidR="00504FDA" w:rsidRPr="00545C56">
        <w:t>.</w:t>
      </w:r>
      <w:r w:rsidR="00717FE0" w:rsidRPr="00545C56">
        <w:rPr>
          <w:rStyle w:val="FootnoteReference"/>
        </w:rPr>
        <w:footnoteReference w:id="49"/>
      </w:r>
      <w:r w:rsidR="00504FDA" w:rsidRPr="00545C56">
        <w:t xml:space="preserve"> </w:t>
      </w:r>
      <w:r w:rsidR="0035097A" w:rsidRPr="00545C56">
        <w:t>While the Commission now publishes annual reports in various areas, such reports might create confusion with regards to the rules applicable. Given the vast array of issues reported per annual volume, it might be a cumbersome task for individuals</w:t>
      </w:r>
      <w:r w:rsidR="00294E66" w:rsidRPr="00545C56">
        <w:t xml:space="preserve"> and national authorities</w:t>
      </w:r>
      <w:r w:rsidR="0035097A" w:rsidRPr="00545C56">
        <w:t xml:space="preserve"> to closely monitor these instruments in order to be up to date with latest rules that the Commission might decide to publish therein.</w:t>
      </w:r>
      <w:r w:rsidR="00510DA4" w:rsidRPr="00545C56">
        <w:t xml:space="preserve"> It would be recommended that all these publication processes are better streamlined in order to facilitate access.</w:t>
      </w:r>
    </w:p>
    <w:p w14:paraId="2E31B669" w14:textId="77777777" w:rsidR="00625F46" w:rsidRPr="00545C56" w:rsidRDefault="00625F46" w:rsidP="00625F46">
      <w:pPr>
        <w:spacing w:line="360" w:lineRule="auto"/>
        <w:jc w:val="both"/>
      </w:pPr>
    </w:p>
    <w:p w14:paraId="2FFBCC45" w14:textId="44D6D6FF" w:rsidR="00EA35AF" w:rsidRPr="00545C56" w:rsidRDefault="00625F46" w:rsidP="002803C8">
      <w:pPr>
        <w:pStyle w:val="Heading2"/>
        <w:numPr>
          <w:ilvl w:val="0"/>
          <w:numId w:val="0"/>
        </w:numPr>
        <w:spacing w:before="0" w:line="360" w:lineRule="auto"/>
        <w:jc w:val="both"/>
        <w:rPr>
          <w:rFonts w:ascii="Times New Roman" w:hAnsi="Times New Roman" w:cs="Times New Roman"/>
          <w:b w:val="0"/>
          <w:i/>
          <w:color w:val="auto"/>
          <w:sz w:val="24"/>
          <w:szCs w:val="24"/>
        </w:rPr>
      </w:pPr>
      <w:r w:rsidRPr="00545C56">
        <w:rPr>
          <w:rFonts w:ascii="Times New Roman" w:hAnsi="Times New Roman" w:cs="Times New Roman"/>
          <w:b w:val="0"/>
          <w:i/>
          <w:color w:val="auto"/>
          <w:sz w:val="24"/>
          <w:szCs w:val="24"/>
        </w:rPr>
        <w:t xml:space="preserve">B </w:t>
      </w:r>
      <w:r w:rsidR="00EA35AF" w:rsidRPr="00545C56">
        <w:rPr>
          <w:rFonts w:ascii="Times New Roman" w:hAnsi="Times New Roman" w:cs="Times New Roman"/>
          <w:b w:val="0"/>
          <w:i/>
          <w:color w:val="auto"/>
          <w:sz w:val="24"/>
          <w:szCs w:val="24"/>
        </w:rPr>
        <w:t>Lost in Translation</w:t>
      </w:r>
      <w:r w:rsidR="00D809C3" w:rsidRPr="00545C56">
        <w:rPr>
          <w:rFonts w:ascii="Times New Roman" w:hAnsi="Times New Roman" w:cs="Times New Roman"/>
          <w:b w:val="0"/>
          <w:i/>
          <w:color w:val="auto"/>
          <w:sz w:val="24"/>
          <w:szCs w:val="24"/>
        </w:rPr>
        <w:t xml:space="preserve"> and Transposition</w:t>
      </w:r>
      <w:r w:rsidR="00EA35AF" w:rsidRPr="00545C56">
        <w:rPr>
          <w:rFonts w:ascii="Times New Roman" w:hAnsi="Times New Roman" w:cs="Times New Roman"/>
          <w:b w:val="0"/>
          <w:i/>
          <w:color w:val="auto"/>
          <w:sz w:val="24"/>
          <w:szCs w:val="24"/>
        </w:rPr>
        <w:t xml:space="preserve">: </w:t>
      </w:r>
      <w:r w:rsidR="00D66420" w:rsidRPr="00545C56">
        <w:rPr>
          <w:rFonts w:ascii="Times New Roman" w:hAnsi="Times New Roman" w:cs="Times New Roman"/>
          <w:b w:val="0"/>
          <w:i/>
          <w:color w:val="auto"/>
          <w:sz w:val="24"/>
          <w:szCs w:val="24"/>
        </w:rPr>
        <w:t>Issues Stemming from the Multi-</w:t>
      </w:r>
      <w:r w:rsidR="005F5F0E" w:rsidRPr="00545C56">
        <w:rPr>
          <w:rFonts w:ascii="Times New Roman" w:hAnsi="Times New Roman" w:cs="Times New Roman"/>
          <w:b w:val="0"/>
          <w:i/>
          <w:color w:val="auto"/>
          <w:sz w:val="24"/>
          <w:szCs w:val="24"/>
        </w:rPr>
        <w:t xml:space="preserve">Linguistic </w:t>
      </w:r>
      <w:r w:rsidR="00D66420" w:rsidRPr="00545C56">
        <w:rPr>
          <w:rFonts w:ascii="Times New Roman" w:hAnsi="Times New Roman" w:cs="Times New Roman"/>
          <w:b w:val="0"/>
          <w:i/>
          <w:color w:val="auto"/>
          <w:sz w:val="24"/>
          <w:szCs w:val="24"/>
        </w:rPr>
        <w:t xml:space="preserve">and </w:t>
      </w:r>
      <w:r w:rsidR="005F5F0E" w:rsidRPr="00545C56">
        <w:rPr>
          <w:rFonts w:ascii="Times New Roman" w:hAnsi="Times New Roman" w:cs="Times New Roman"/>
          <w:b w:val="0"/>
          <w:i/>
          <w:color w:val="auto"/>
          <w:sz w:val="24"/>
          <w:szCs w:val="24"/>
        </w:rPr>
        <w:t>Multi-Level</w:t>
      </w:r>
      <w:r w:rsidR="00D66420" w:rsidRPr="00545C56">
        <w:rPr>
          <w:rFonts w:ascii="Times New Roman" w:hAnsi="Times New Roman" w:cs="Times New Roman"/>
          <w:b w:val="0"/>
          <w:i/>
          <w:color w:val="auto"/>
          <w:sz w:val="24"/>
          <w:szCs w:val="24"/>
        </w:rPr>
        <w:t xml:space="preserve"> Nature of the EU</w:t>
      </w:r>
    </w:p>
    <w:p w14:paraId="44D18A56" w14:textId="77777777" w:rsidR="00EA35AF" w:rsidRPr="00545C56" w:rsidRDefault="00EA35AF" w:rsidP="00625F46">
      <w:pPr>
        <w:spacing w:line="360" w:lineRule="auto"/>
        <w:rPr>
          <w:lang w:eastAsia="en-GB"/>
        </w:rPr>
      </w:pPr>
    </w:p>
    <w:p w14:paraId="2CB4FBBA" w14:textId="5FD2228D" w:rsidR="00EF3482" w:rsidRPr="00545C56" w:rsidRDefault="0035097A" w:rsidP="00625F46">
      <w:pPr>
        <w:spacing w:line="360" w:lineRule="auto"/>
        <w:jc w:val="both"/>
        <w:rPr>
          <w:bCs/>
          <w:lang w:eastAsia="ro-RO"/>
        </w:rPr>
      </w:pPr>
      <w:r w:rsidRPr="00545C56">
        <w:rPr>
          <w:bCs/>
          <w:lang w:eastAsia="ro-RO"/>
        </w:rPr>
        <w:t>Translation issues are a classic problem in the</w:t>
      </w:r>
      <w:r w:rsidR="00BD062E" w:rsidRPr="00545C56">
        <w:rPr>
          <w:bCs/>
          <w:lang w:eastAsia="ro-RO"/>
        </w:rPr>
        <w:t xml:space="preserve"> multi-cultural and multi-linguistic </w:t>
      </w:r>
      <w:r w:rsidR="009F2C78" w:rsidRPr="00545C56">
        <w:rPr>
          <w:bCs/>
          <w:lang w:eastAsia="ro-RO"/>
        </w:rPr>
        <w:t>EU</w:t>
      </w:r>
      <w:r w:rsidRPr="00545C56">
        <w:rPr>
          <w:bCs/>
          <w:lang w:eastAsia="ro-RO"/>
        </w:rPr>
        <w:t>.</w:t>
      </w:r>
      <w:r w:rsidRPr="00545C56">
        <w:rPr>
          <w:rStyle w:val="FootnoteReference"/>
          <w:rFonts w:eastAsiaTheme="majorEastAsia"/>
          <w:lang w:eastAsia="ro-RO"/>
        </w:rPr>
        <w:footnoteReference w:id="50"/>
      </w:r>
      <w:r w:rsidRPr="00545C56">
        <w:rPr>
          <w:bCs/>
          <w:lang w:eastAsia="ro-RO"/>
        </w:rPr>
        <w:t xml:space="preserve"> </w:t>
      </w:r>
      <w:r w:rsidR="00BD062E" w:rsidRPr="00545C56">
        <w:rPr>
          <w:bCs/>
          <w:lang w:eastAsia="ro-RO"/>
        </w:rPr>
        <w:t xml:space="preserve">To counteract such problems, the </w:t>
      </w:r>
      <w:r w:rsidRPr="00545C56">
        <w:rPr>
          <w:bCs/>
          <w:lang w:eastAsia="ro-RO"/>
        </w:rPr>
        <w:t>ESAs translate EU financial guidance in all official languages.</w:t>
      </w:r>
      <w:r w:rsidRPr="00545C56">
        <w:rPr>
          <w:rStyle w:val="FootnoteReference"/>
          <w:bCs/>
          <w:lang w:eastAsia="ro-RO"/>
        </w:rPr>
        <w:footnoteReference w:id="51"/>
      </w:r>
      <w:r w:rsidRPr="00545C56">
        <w:rPr>
          <w:bCs/>
          <w:lang w:eastAsia="ro-RO"/>
        </w:rPr>
        <w:t xml:space="preserve"> </w:t>
      </w:r>
      <w:r w:rsidRPr="00545C56">
        <w:rPr>
          <w:bCs/>
          <w:lang w:eastAsia="ro-RO"/>
        </w:rPr>
        <w:lastRenderedPageBreak/>
        <w:t>However, our research shows that the differences in translations might impair consistent application throughout Europe.</w:t>
      </w:r>
      <w:bookmarkStart w:id="4" w:name="_Ref47706958"/>
      <w:r w:rsidRPr="00545C56">
        <w:rPr>
          <w:rStyle w:val="FootnoteReference"/>
          <w:bCs/>
          <w:lang w:eastAsia="ro-RO"/>
        </w:rPr>
        <w:footnoteReference w:id="52"/>
      </w:r>
      <w:bookmarkEnd w:id="4"/>
      <w:r w:rsidR="00EF3482" w:rsidRPr="00545C56">
        <w:rPr>
          <w:bCs/>
          <w:lang w:eastAsia="ro-RO"/>
        </w:rPr>
        <w:t xml:space="preserve"> </w:t>
      </w:r>
    </w:p>
    <w:p w14:paraId="749FE1A6" w14:textId="77777777" w:rsidR="00625F46" w:rsidRPr="00545C56" w:rsidRDefault="00625F46" w:rsidP="00625F46">
      <w:pPr>
        <w:spacing w:line="360" w:lineRule="auto"/>
        <w:jc w:val="both"/>
        <w:rPr>
          <w:bCs/>
          <w:lang w:eastAsia="ro-RO"/>
        </w:rPr>
      </w:pPr>
    </w:p>
    <w:p w14:paraId="75246626" w14:textId="36B377EA" w:rsidR="00343DAF" w:rsidRPr="00545C56" w:rsidRDefault="007A0617" w:rsidP="00625F46">
      <w:pPr>
        <w:spacing w:line="360" w:lineRule="auto"/>
        <w:jc w:val="both"/>
      </w:pPr>
      <w:r>
        <w:rPr>
          <w:bCs/>
          <w:lang w:eastAsia="ro-RO"/>
        </w:rPr>
        <w:t>G</w:t>
      </w:r>
      <w:r w:rsidR="0035097A" w:rsidRPr="00545C56">
        <w:rPr>
          <w:bCs/>
          <w:lang w:eastAsia="ro-RO"/>
        </w:rPr>
        <w:t xml:space="preserve">iven the lack of binding force of </w:t>
      </w:r>
      <w:r>
        <w:rPr>
          <w:bCs/>
          <w:lang w:eastAsia="ro-RO"/>
        </w:rPr>
        <w:t>soft law</w:t>
      </w:r>
      <w:r w:rsidR="0035097A" w:rsidRPr="00545C56">
        <w:rPr>
          <w:bCs/>
          <w:lang w:eastAsia="ro-RO"/>
        </w:rPr>
        <w:t xml:space="preserve">, there </w:t>
      </w:r>
      <w:r>
        <w:rPr>
          <w:bCs/>
          <w:lang w:eastAsia="ro-RO"/>
        </w:rPr>
        <w:t>is no requirement to publish such instruments in all</w:t>
      </w:r>
      <w:r w:rsidR="00612936" w:rsidRPr="00545C56">
        <w:rPr>
          <w:bCs/>
          <w:lang w:eastAsia="ro-RO"/>
        </w:rPr>
        <w:t xml:space="preserve"> the </w:t>
      </w:r>
      <w:r w:rsidR="0035097A" w:rsidRPr="00545C56">
        <w:rPr>
          <w:bCs/>
          <w:lang w:eastAsia="ro-RO"/>
        </w:rPr>
        <w:t xml:space="preserve">official languages. </w:t>
      </w:r>
      <w:r w:rsidR="007A7920" w:rsidRPr="00545C56">
        <w:rPr>
          <w:bCs/>
          <w:lang w:eastAsia="ro-RO"/>
        </w:rPr>
        <w:t xml:space="preserve">Some of the instruments dealt with by </w:t>
      </w:r>
      <w:proofErr w:type="spellStart"/>
      <w:r w:rsidR="007A7920" w:rsidRPr="00545C56">
        <w:rPr>
          <w:bCs/>
          <w:lang w:eastAsia="ro-RO"/>
        </w:rPr>
        <w:t>SoLaR</w:t>
      </w:r>
      <w:proofErr w:type="spellEnd"/>
      <w:r w:rsidR="007A7920" w:rsidRPr="00545C56">
        <w:rPr>
          <w:bCs/>
          <w:lang w:eastAsia="ro-RO"/>
        </w:rPr>
        <w:t xml:space="preserve"> were available in </w:t>
      </w:r>
      <w:r>
        <w:rPr>
          <w:bCs/>
          <w:lang w:eastAsia="ro-RO"/>
        </w:rPr>
        <w:t>most of the</w:t>
      </w:r>
      <w:r w:rsidR="007A7920" w:rsidRPr="00545C56">
        <w:rPr>
          <w:bCs/>
          <w:lang w:eastAsia="ro-RO"/>
        </w:rPr>
        <w:t xml:space="preserve"> languages,</w:t>
      </w:r>
      <w:r w:rsidR="007A7920" w:rsidRPr="00545C56">
        <w:rPr>
          <w:rStyle w:val="FootnoteReference"/>
          <w:bCs/>
          <w:lang w:eastAsia="ro-RO"/>
        </w:rPr>
        <w:footnoteReference w:id="53"/>
      </w:r>
      <w:r w:rsidR="007A7920" w:rsidRPr="00545C56">
        <w:rPr>
          <w:bCs/>
          <w:lang w:eastAsia="ro-RO"/>
        </w:rPr>
        <w:t xml:space="preserve"> while others only in English.</w:t>
      </w:r>
      <w:bookmarkStart w:id="5" w:name="_Ref47718090"/>
      <w:r w:rsidR="007A7920" w:rsidRPr="00545C56">
        <w:rPr>
          <w:rStyle w:val="FootnoteReference"/>
          <w:bCs/>
          <w:lang w:eastAsia="ro-RO"/>
        </w:rPr>
        <w:footnoteReference w:id="54"/>
      </w:r>
      <w:bookmarkEnd w:id="5"/>
      <w:r w:rsidR="007A7920" w:rsidRPr="00545C56">
        <w:rPr>
          <w:bCs/>
          <w:lang w:eastAsia="ro-RO"/>
        </w:rPr>
        <w:t xml:space="preserve"> </w:t>
      </w:r>
      <w:r w:rsidR="0035097A" w:rsidRPr="00545C56">
        <w:rPr>
          <w:bCs/>
          <w:lang w:eastAsia="ro-RO"/>
        </w:rPr>
        <w:t xml:space="preserve">Thus, individuals may encounter difficulties in understanding or accessing the text relevant to their case. </w:t>
      </w:r>
      <w:r w:rsidR="000A43D1" w:rsidRPr="00545C56">
        <w:rPr>
          <w:bCs/>
          <w:lang w:eastAsia="ro-RO"/>
        </w:rPr>
        <w:t>This happened in</w:t>
      </w:r>
      <w:r w:rsidR="0035097A" w:rsidRPr="00545C56">
        <w:rPr>
          <w:bCs/>
          <w:lang w:eastAsia="ro-RO"/>
        </w:rPr>
        <w:t xml:space="preserve"> </w:t>
      </w:r>
      <w:r w:rsidR="0035097A" w:rsidRPr="00545C56">
        <w:rPr>
          <w:bCs/>
          <w:i/>
          <w:lang w:eastAsia="ro-RO"/>
        </w:rPr>
        <w:t>PTC</w:t>
      </w:r>
      <w:r w:rsidR="0035097A" w:rsidRPr="00545C56">
        <w:rPr>
          <w:bCs/>
          <w:lang w:eastAsia="ro-RO"/>
        </w:rPr>
        <w:t xml:space="preserve">, </w:t>
      </w:r>
      <w:r w:rsidR="000A43D1" w:rsidRPr="00545C56">
        <w:rPr>
          <w:bCs/>
          <w:lang w:eastAsia="ro-RO"/>
        </w:rPr>
        <w:t>where untranslated soft law was applied by national authorities to a Polish telecommunications company</w:t>
      </w:r>
      <w:r w:rsidR="0035097A" w:rsidRPr="00545C56">
        <w:rPr>
          <w:bCs/>
          <w:lang w:eastAsia="ro-RO"/>
        </w:rPr>
        <w:t>.</w:t>
      </w:r>
      <w:bookmarkStart w:id="6" w:name="_Ref421525955"/>
      <w:r w:rsidR="0035097A" w:rsidRPr="00545C56">
        <w:rPr>
          <w:bCs/>
          <w:vertAlign w:val="superscript"/>
          <w:lang w:eastAsia="ro-RO"/>
        </w:rPr>
        <w:footnoteReference w:id="55"/>
      </w:r>
      <w:bookmarkEnd w:id="6"/>
      <w:r w:rsidR="0035097A" w:rsidRPr="00545C56">
        <w:rPr>
          <w:bCs/>
          <w:lang w:eastAsia="ro-RO"/>
        </w:rPr>
        <w:t xml:space="preserve"> As mentioned by environmental</w:t>
      </w:r>
      <w:r w:rsidR="00EF3482" w:rsidRPr="00545C56">
        <w:rPr>
          <w:bCs/>
          <w:lang w:eastAsia="ro-RO"/>
        </w:rPr>
        <w:t xml:space="preserve"> </w:t>
      </w:r>
      <w:r w:rsidR="0035097A" w:rsidRPr="00545C56">
        <w:rPr>
          <w:bCs/>
          <w:lang w:eastAsia="ro-RO"/>
        </w:rPr>
        <w:t>officials interviewed by the Slovenian team, the language can be an issue also for the national authorities, not only the individuals.</w:t>
      </w:r>
      <w:bookmarkStart w:id="7" w:name="_Ref47707002"/>
      <w:r w:rsidR="0035097A" w:rsidRPr="00545C56">
        <w:rPr>
          <w:rStyle w:val="FootnoteReference"/>
          <w:bCs/>
          <w:lang w:eastAsia="ro-RO"/>
        </w:rPr>
        <w:footnoteReference w:id="56"/>
      </w:r>
      <w:bookmarkEnd w:id="7"/>
      <w:r w:rsidR="00343DAF" w:rsidRPr="00545C56">
        <w:rPr>
          <w:bCs/>
          <w:lang w:eastAsia="ro-RO"/>
        </w:rPr>
        <w:t xml:space="preserve"> Specific ‘Brussels jargon’ might be a problem too, with an interviewee in the UK noting that </w:t>
      </w:r>
      <w:r w:rsidR="00343DAF" w:rsidRPr="00545C56">
        <w:t>the State aid Manual published by the Department for Business, Energy, and Industrial Strategy (BEIS)</w:t>
      </w:r>
      <w:r w:rsidR="00343DAF" w:rsidRPr="00545C56">
        <w:rPr>
          <w:rStyle w:val="FootnoteReference"/>
          <w:rFonts w:eastAsiaTheme="majorEastAsia"/>
        </w:rPr>
        <w:footnoteReference w:id="57"/>
      </w:r>
      <w:r w:rsidR="00343DAF" w:rsidRPr="00545C56">
        <w:t xml:space="preserve"> is a translation into common law terms of formal EU guidance written originally in English such as the Commission Notice on the Notion of Aid.</w:t>
      </w:r>
      <w:bookmarkStart w:id="8" w:name="_Ref37865847"/>
      <w:r w:rsidR="00343DAF" w:rsidRPr="00545C56">
        <w:rPr>
          <w:rStyle w:val="FootnoteReference"/>
          <w:rFonts w:eastAsiaTheme="majorEastAsia"/>
        </w:rPr>
        <w:footnoteReference w:id="58"/>
      </w:r>
      <w:bookmarkEnd w:id="8"/>
    </w:p>
    <w:p w14:paraId="34A08A54" w14:textId="77777777" w:rsidR="00625F46" w:rsidRPr="00545C56" w:rsidRDefault="00625F46" w:rsidP="00625F46">
      <w:pPr>
        <w:spacing w:line="360" w:lineRule="auto"/>
        <w:jc w:val="both"/>
        <w:rPr>
          <w:bCs/>
          <w:lang w:eastAsia="ro-RO"/>
        </w:rPr>
      </w:pPr>
    </w:p>
    <w:p w14:paraId="5197BCCF" w14:textId="44D0971D" w:rsidR="00193354" w:rsidRPr="00545C56" w:rsidRDefault="00D66420" w:rsidP="00625F46">
      <w:pPr>
        <w:spacing w:line="360" w:lineRule="auto"/>
        <w:jc w:val="both"/>
      </w:pPr>
      <w:r w:rsidRPr="00545C56">
        <w:t xml:space="preserve">The multi-level governance structure of the </w:t>
      </w:r>
      <w:r w:rsidR="009F2C78" w:rsidRPr="00545C56">
        <w:t>EU</w:t>
      </w:r>
      <w:r w:rsidR="00D809C3" w:rsidRPr="00545C56">
        <w:t xml:space="preserve"> and the need to implement nationally EU material</w:t>
      </w:r>
      <w:r w:rsidRPr="00545C56">
        <w:t xml:space="preserve"> might raise problems of transparency as well. </w:t>
      </w:r>
      <w:r w:rsidR="00BD062E" w:rsidRPr="00545C56">
        <w:t>While there is no obligation to transpose soft law,</w:t>
      </w:r>
      <w:r w:rsidR="005F0435" w:rsidRPr="00545C56">
        <w:t xml:space="preserve"> unsurprisingly,</w:t>
      </w:r>
      <w:r w:rsidR="00BD062E" w:rsidRPr="00545C56">
        <w:t xml:space="preserve"> experiences are </w:t>
      </w:r>
      <w:r w:rsidR="00FB0472" w:rsidRPr="00545C56">
        <w:t>diverse, country</w:t>
      </w:r>
      <w:r w:rsidR="00BD062E" w:rsidRPr="00545C56">
        <w:t xml:space="preserve"> and field-dependent.</w:t>
      </w:r>
      <w:r w:rsidR="00BD062E" w:rsidRPr="00545C56">
        <w:rPr>
          <w:rStyle w:val="FootnoteReference"/>
        </w:rPr>
        <w:footnoteReference w:id="59"/>
      </w:r>
      <w:r w:rsidR="00BD062E" w:rsidRPr="00545C56">
        <w:t xml:space="preserve"> </w:t>
      </w:r>
      <w:r w:rsidR="00FD09AD" w:rsidRPr="00545C56">
        <w:t xml:space="preserve">The Member States analysed by </w:t>
      </w:r>
      <w:proofErr w:type="spellStart"/>
      <w:r w:rsidR="00FD09AD" w:rsidRPr="00545C56">
        <w:t>SoLaR</w:t>
      </w:r>
      <w:proofErr w:type="spellEnd"/>
      <w:r w:rsidR="00FD09AD" w:rsidRPr="00545C56">
        <w:t xml:space="preserve"> chose between various options</w:t>
      </w:r>
      <w:r w:rsidR="00193354" w:rsidRPr="00545C56">
        <w:t>,</w:t>
      </w:r>
      <w:bookmarkStart w:id="9" w:name="_Ref47707749"/>
      <w:r w:rsidR="00FD09AD" w:rsidRPr="00545C56">
        <w:rPr>
          <w:rStyle w:val="FootnoteReference"/>
        </w:rPr>
        <w:footnoteReference w:id="60"/>
      </w:r>
      <w:bookmarkEnd w:id="9"/>
      <w:r w:rsidR="00D334CB" w:rsidRPr="00545C56">
        <w:t xml:space="preserve"> </w:t>
      </w:r>
      <w:r w:rsidR="00193354" w:rsidRPr="00545C56">
        <w:t>which, to paraphrase Abbott et al.</w:t>
      </w:r>
      <w:r w:rsidR="00193354" w:rsidRPr="00545C56">
        <w:rPr>
          <w:rStyle w:val="FootnoteReference"/>
        </w:rPr>
        <w:footnoteReference w:id="61"/>
      </w:r>
      <w:r w:rsidR="00193354" w:rsidRPr="00545C56">
        <w:t xml:space="preserve"> and </w:t>
      </w:r>
      <w:proofErr w:type="spellStart"/>
      <w:r w:rsidR="00193354" w:rsidRPr="00545C56">
        <w:t>Terpan</w:t>
      </w:r>
      <w:proofErr w:type="spellEnd"/>
      <w:r w:rsidR="00193354" w:rsidRPr="00545C56">
        <w:t>,</w:t>
      </w:r>
      <w:r w:rsidR="00193354" w:rsidRPr="00545C56">
        <w:rPr>
          <w:rStyle w:val="FootnoteReference"/>
        </w:rPr>
        <w:footnoteReference w:id="62"/>
      </w:r>
      <w:r w:rsidR="00193354" w:rsidRPr="00545C56">
        <w:t xml:space="preserve"> seem to reflect the continuum of ‘legalization.’ The variations go from full engagement with soft law in the text of national hard law to brief website references and no engagement at all.</w:t>
      </w:r>
      <w:r w:rsidR="001E0AF0" w:rsidRPr="00545C56">
        <w:rPr>
          <w:rStyle w:val="FootnoteReference"/>
        </w:rPr>
        <w:footnoteReference w:id="63"/>
      </w:r>
      <w:r w:rsidR="00193354" w:rsidRPr="00545C56">
        <w:t xml:space="preserve"> </w:t>
      </w:r>
      <w:r w:rsidR="00A47F15" w:rsidRPr="00545C56">
        <w:t xml:space="preserve">Following respective constitutional and administrative organisation rules, </w:t>
      </w:r>
      <w:r w:rsidR="00A47F15" w:rsidRPr="00545C56">
        <w:lastRenderedPageBreak/>
        <w:t xml:space="preserve">the transposition of EU soft law is done centrally, but also at the regional level, at the discretion of various authorities, such as in Italy where certain EU guidance stemming from the </w:t>
      </w:r>
      <w:proofErr w:type="spellStart"/>
      <w:r w:rsidR="00A47F15" w:rsidRPr="00545C56">
        <w:t>Habitas</w:t>
      </w:r>
      <w:proofErr w:type="spellEnd"/>
      <w:r w:rsidR="00A47F15" w:rsidRPr="00545C56">
        <w:t xml:space="preserve"> Directive</w:t>
      </w:r>
      <w:r w:rsidR="00A47F15" w:rsidRPr="00545C56">
        <w:rPr>
          <w:rStyle w:val="FootnoteReference"/>
        </w:rPr>
        <w:footnoteReference w:id="64"/>
      </w:r>
      <w:r w:rsidR="00A47F15" w:rsidRPr="00545C56">
        <w:t xml:space="preserve"> was transposed into binding form only at the local level.</w:t>
      </w:r>
      <w:r w:rsidR="00A47F15" w:rsidRPr="00545C56">
        <w:rPr>
          <w:rStyle w:val="FootnoteReference"/>
        </w:rPr>
        <w:footnoteReference w:id="65"/>
      </w:r>
      <w:r w:rsidR="00D809C3" w:rsidRPr="00545C56">
        <w:t xml:space="preserve"> </w:t>
      </w:r>
    </w:p>
    <w:p w14:paraId="0DE77716" w14:textId="77777777" w:rsidR="00625F46" w:rsidRPr="00545C56" w:rsidRDefault="00625F46" w:rsidP="00625F46">
      <w:pPr>
        <w:spacing w:line="360" w:lineRule="auto"/>
        <w:jc w:val="both"/>
      </w:pPr>
    </w:p>
    <w:p w14:paraId="1B5D9472" w14:textId="0FDC5C5B" w:rsidR="00D66420" w:rsidRPr="00545C56" w:rsidRDefault="00D334CB" w:rsidP="00625F46">
      <w:pPr>
        <w:spacing w:line="360" w:lineRule="auto"/>
        <w:jc w:val="both"/>
      </w:pPr>
      <w:r w:rsidRPr="00545C56">
        <w:t xml:space="preserve">First, in certain areas, the transposition </w:t>
      </w:r>
      <w:r w:rsidR="00DC72D9" w:rsidRPr="00545C56">
        <w:t>might follow traditional routes, and can be done through national soft law or even hard law</w:t>
      </w:r>
      <w:r w:rsidRPr="00545C56">
        <w:t xml:space="preserve">. </w:t>
      </w:r>
      <w:r w:rsidR="00D0072D" w:rsidRPr="00545C56">
        <w:t>Examples of the former include</w:t>
      </w:r>
      <w:r w:rsidRPr="00545C56">
        <w:t xml:space="preserve"> the </w:t>
      </w:r>
      <w:proofErr w:type="spellStart"/>
      <w:r w:rsidRPr="00545C56">
        <w:rPr>
          <w:i/>
          <w:iCs/>
        </w:rPr>
        <w:t>Bundesanstalt</w:t>
      </w:r>
      <w:proofErr w:type="spellEnd"/>
      <w:r w:rsidRPr="00545C56">
        <w:rPr>
          <w:i/>
          <w:iCs/>
        </w:rPr>
        <w:t xml:space="preserve"> fur </w:t>
      </w:r>
      <w:proofErr w:type="spellStart"/>
      <w:r w:rsidRPr="00545C56">
        <w:rPr>
          <w:i/>
          <w:iCs/>
        </w:rPr>
        <w:t>Finanzdienstleistungsaufsicht</w:t>
      </w:r>
      <w:proofErr w:type="spellEnd"/>
      <w:r w:rsidRPr="00545C56">
        <w:t xml:space="preserve"> (</w:t>
      </w:r>
      <w:proofErr w:type="spellStart"/>
      <w:r w:rsidRPr="00545C56">
        <w:t>BaFin</w:t>
      </w:r>
      <w:proofErr w:type="spellEnd"/>
      <w:r w:rsidRPr="00545C56">
        <w:t>) circulars (</w:t>
      </w:r>
      <w:proofErr w:type="spellStart"/>
      <w:r w:rsidRPr="00545C56">
        <w:rPr>
          <w:i/>
          <w:iCs/>
        </w:rPr>
        <w:t>Rundschreiben</w:t>
      </w:r>
      <w:proofErr w:type="spellEnd"/>
      <w:r w:rsidRPr="00545C56">
        <w:t xml:space="preserve">) </w:t>
      </w:r>
      <w:r w:rsidR="00DC72D9" w:rsidRPr="00545C56">
        <w:t xml:space="preserve">and </w:t>
      </w:r>
      <w:r w:rsidRPr="00545C56">
        <w:t>information sheets (</w:t>
      </w:r>
      <w:proofErr w:type="spellStart"/>
      <w:r w:rsidRPr="00545C56">
        <w:rPr>
          <w:i/>
          <w:iCs/>
        </w:rPr>
        <w:t>Merkblatt</w:t>
      </w:r>
      <w:proofErr w:type="spellEnd"/>
      <w:r w:rsidRPr="00545C56">
        <w:t>)</w:t>
      </w:r>
      <w:r w:rsidR="00DD15A0" w:rsidRPr="00545C56">
        <w:t>.</w:t>
      </w:r>
      <w:r w:rsidR="00DC72D9" w:rsidRPr="00545C56">
        <w:rPr>
          <w:rStyle w:val="FootnoteReference"/>
        </w:rPr>
        <w:footnoteReference w:id="66"/>
      </w:r>
      <w:r w:rsidR="007F5F65" w:rsidRPr="00545C56">
        <w:t xml:space="preserve"> Similarly, a French </w:t>
      </w:r>
      <w:proofErr w:type="spellStart"/>
      <w:r w:rsidR="007F5F65" w:rsidRPr="00545C56">
        <w:rPr>
          <w:i/>
        </w:rPr>
        <w:t>circulaire</w:t>
      </w:r>
      <w:proofErr w:type="spellEnd"/>
      <w:r w:rsidR="007F5F65" w:rsidRPr="00545C56">
        <w:rPr>
          <w:rStyle w:val="FootnoteReference"/>
          <w:lang w:val="en-US"/>
        </w:rPr>
        <w:footnoteReference w:id="67"/>
      </w:r>
      <w:r w:rsidR="007F5F65" w:rsidRPr="00545C56">
        <w:rPr>
          <w:lang w:val="en-US"/>
        </w:rPr>
        <w:t xml:space="preserve"> guides the action of the administration in relation to State aid, and, together with Art. 1511-1-1 of the </w:t>
      </w:r>
      <w:r w:rsidR="007F5F65" w:rsidRPr="00545C56">
        <w:rPr>
          <w:i/>
          <w:iCs/>
          <w:lang w:val="en-US"/>
        </w:rPr>
        <w:t xml:space="preserve">Code general des </w:t>
      </w:r>
      <w:proofErr w:type="spellStart"/>
      <w:r w:rsidR="007F5F65" w:rsidRPr="00545C56">
        <w:rPr>
          <w:i/>
          <w:iCs/>
          <w:lang w:val="en-US"/>
        </w:rPr>
        <w:t>collectivités</w:t>
      </w:r>
      <w:proofErr w:type="spellEnd"/>
      <w:r w:rsidR="007F5F65" w:rsidRPr="00545C56">
        <w:rPr>
          <w:i/>
          <w:iCs/>
          <w:lang w:val="en-US"/>
        </w:rPr>
        <w:t xml:space="preserve"> </w:t>
      </w:r>
      <w:proofErr w:type="spellStart"/>
      <w:r w:rsidR="007F5F65" w:rsidRPr="00545C56">
        <w:rPr>
          <w:i/>
          <w:iCs/>
          <w:lang w:val="en-US"/>
        </w:rPr>
        <w:t>territoriales</w:t>
      </w:r>
      <w:proofErr w:type="spellEnd"/>
      <w:r w:rsidR="007F5F65" w:rsidRPr="00545C56">
        <w:rPr>
          <w:iCs/>
          <w:lang w:val="en-US"/>
        </w:rPr>
        <w:t>,</w:t>
      </w:r>
      <w:r w:rsidR="007F5F65" w:rsidRPr="00545C56">
        <w:rPr>
          <w:lang w:val="en-US"/>
        </w:rPr>
        <w:t xml:space="preserve"> is meant to gather all the relevant EU legislation. Soft law is sometimes transposed into hard law, such as the </w:t>
      </w:r>
      <w:r w:rsidR="007F5F65" w:rsidRPr="00545C56">
        <w:t>the Banking Communication,</w:t>
      </w:r>
      <w:r w:rsidR="004F366F" w:rsidRPr="00545C56">
        <w:rPr>
          <w:rStyle w:val="FootnoteReference"/>
        </w:rPr>
        <w:footnoteReference w:id="68"/>
      </w:r>
      <w:r w:rsidR="007F5F65" w:rsidRPr="00545C56">
        <w:t xml:space="preserve"> transposed into the Slovenian legal order through </w:t>
      </w:r>
      <w:r w:rsidR="004F366F" w:rsidRPr="00545C56">
        <w:t xml:space="preserve">an </w:t>
      </w:r>
      <w:r w:rsidR="007F5F65" w:rsidRPr="00545C56">
        <w:t>amendment to the Banking Act.</w:t>
      </w:r>
      <w:r w:rsidR="004F366F" w:rsidRPr="00545C56">
        <w:rPr>
          <w:rStyle w:val="FootnoteReference"/>
        </w:rPr>
        <w:footnoteReference w:id="69"/>
      </w:r>
      <w:r w:rsidR="004F366F" w:rsidRPr="00545C56">
        <w:t xml:space="preserve"> Second, the text of soft law can be reproduced without citing the source in the text of national acts</w:t>
      </w:r>
      <w:r w:rsidR="00714EDA" w:rsidRPr="00545C56">
        <w:t>, leading to hybrid combinations. For instance, the French commercial code</w:t>
      </w:r>
      <w:r w:rsidR="00714EDA" w:rsidRPr="00545C56">
        <w:rPr>
          <w:rStyle w:val="FootnoteReference"/>
        </w:rPr>
        <w:footnoteReference w:id="70"/>
      </w:r>
      <w:r w:rsidR="00714EDA" w:rsidRPr="00545C56">
        <w:t xml:space="preserve"> incorporates the thresholds of the </w:t>
      </w:r>
      <w:r w:rsidR="00714EDA" w:rsidRPr="00545C56">
        <w:rPr>
          <w:i/>
        </w:rPr>
        <w:t xml:space="preserve">De minimis </w:t>
      </w:r>
      <w:r w:rsidR="00714EDA" w:rsidRPr="00545C56">
        <w:t>notice.</w:t>
      </w:r>
      <w:r w:rsidR="00714EDA" w:rsidRPr="00545C56">
        <w:rPr>
          <w:rStyle w:val="FootnoteReference"/>
        </w:rPr>
        <w:footnoteReference w:id="71"/>
      </w:r>
      <w:r w:rsidR="00714EDA" w:rsidRPr="00545C56">
        <w:t xml:space="preserve"> </w:t>
      </w:r>
      <w:r w:rsidR="005173F3" w:rsidRPr="00545C56">
        <w:t>Third, EU soft law is included in national acts by reference to the original source, such as the Aviation Act of Slovenia referring to the Aviation Guidelines of the Commission.</w:t>
      </w:r>
      <w:r w:rsidR="005173F3" w:rsidRPr="00545C56">
        <w:rPr>
          <w:rStyle w:val="FootnoteReference"/>
        </w:rPr>
        <w:footnoteReference w:id="72"/>
      </w:r>
      <w:r w:rsidR="00820966" w:rsidRPr="00545C56">
        <w:t xml:space="preserve"> Fourth, </w:t>
      </w:r>
      <w:r w:rsidR="00EF1D6C" w:rsidRPr="00545C56">
        <w:t xml:space="preserve">EU soft law may simply be referred to on websites, or in national guides. Examples in this regard include </w:t>
      </w:r>
      <w:r w:rsidR="00B3099D" w:rsidRPr="00545C56">
        <w:t>the Dutch practice to issue national guidance ‘limited to a single phrase stating the Commission’s guidelines on a certain issue also apply to the corresponding national provision,’</w:t>
      </w:r>
      <w:bookmarkStart w:id="10" w:name="_Ref47713603"/>
      <w:r w:rsidR="00B3099D" w:rsidRPr="00545C56">
        <w:rPr>
          <w:rStyle w:val="FootnoteReference"/>
        </w:rPr>
        <w:footnoteReference w:id="73"/>
      </w:r>
      <w:bookmarkEnd w:id="10"/>
      <w:r w:rsidR="00B3099D" w:rsidRPr="00545C56">
        <w:t xml:space="preserve"> with websites mentioning quick references to the EU text. </w:t>
      </w:r>
      <w:r w:rsidR="00D90735" w:rsidRPr="00545C56">
        <w:t>Similarly, a</w:t>
      </w:r>
      <w:r w:rsidR="00EF1D6C" w:rsidRPr="00545C56">
        <w:t xml:space="preserve"> reference </w:t>
      </w:r>
      <w:r w:rsidR="00EF1D6C" w:rsidRPr="00545C56">
        <w:lastRenderedPageBreak/>
        <w:t>to EU’s Buying Social guide</w:t>
      </w:r>
      <w:r w:rsidR="00AF67AA" w:rsidRPr="00545C56">
        <w:rPr>
          <w:rStyle w:val="FootnoteReference"/>
        </w:rPr>
        <w:footnoteReference w:id="74"/>
      </w:r>
      <w:r w:rsidR="00EF1D6C" w:rsidRPr="00545C56">
        <w:t xml:space="preserve"> </w:t>
      </w:r>
      <w:r w:rsidR="00D90735" w:rsidRPr="00545C56">
        <w:t xml:space="preserve">is included </w:t>
      </w:r>
      <w:r w:rsidR="00EF1D6C" w:rsidRPr="00545C56">
        <w:t>in the list of further reading appended to the Finnish Handbook of Government Procurements</w:t>
      </w:r>
      <w:r w:rsidR="00D90735" w:rsidRPr="00545C56">
        <w:t>.</w:t>
      </w:r>
      <w:bookmarkStart w:id="11" w:name="_Ref47717296"/>
      <w:r w:rsidR="00EF1D6C" w:rsidRPr="00545C56">
        <w:rPr>
          <w:rStyle w:val="FootnoteReference"/>
        </w:rPr>
        <w:footnoteReference w:id="75"/>
      </w:r>
      <w:bookmarkEnd w:id="11"/>
      <w:r w:rsidR="00D90735" w:rsidRPr="00545C56">
        <w:t xml:space="preserve"> Finally, t</w:t>
      </w:r>
      <w:r w:rsidR="00820966" w:rsidRPr="00545C56">
        <w:t>he EU-inspired practice of questions and answers (Q&amp;A) has been a valuable source of translating EU financial regulation soft law into the national legal orders, such as for instance</w:t>
      </w:r>
      <w:r w:rsidR="00DC4F7E" w:rsidRPr="00545C56">
        <w:t xml:space="preserve"> the </w:t>
      </w:r>
      <w:r w:rsidR="00567047" w:rsidRPr="00545C56">
        <w:t xml:space="preserve">Q&amp;A </w:t>
      </w:r>
      <w:r w:rsidR="00DC4F7E" w:rsidRPr="00545C56">
        <w:t>included in</w:t>
      </w:r>
      <w:r w:rsidR="00820966" w:rsidRPr="00545C56">
        <w:t xml:space="preserve"> the </w:t>
      </w:r>
      <w:r w:rsidR="00DC4F7E" w:rsidRPr="00545C56">
        <w:t>Perimeter Guidance Manual</w:t>
      </w:r>
      <w:r w:rsidR="00DC4F7E" w:rsidRPr="00545C56">
        <w:rPr>
          <w:rStyle w:val="FootnoteReference"/>
        </w:rPr>
        <w:footnoteReference w:id="76"/>
      </w:r>
      <w:r w:rsidR="00DC4F7E" w:rsidRPr="00545C56">
        <w:t xml:space="preserve"> by the </w:t>
      </w:r>
      <w:r w:rsidR="00820966" w:rsidRPr="00545C56">
        <w:t xml:space="preserve">UK’s </w:t>
      </w:r>
      <w:r w:rsidR="00DC4F7E" w:rsidRPr="00545C56">
        <w:t>Financial Conduct Authority (FCA)</w:t>
      </w:r>
      <w:r w:rsidR="004809AA" w:rsidRPr="00545C56">
        <w:t>.</w:t>
      </w:r>
      <w:bookmarkStart w:id="12" w:name="_Ref47708938"/>
      <w:r w:rsidR="004809AA" w:rsidRPr="00545C56">
        <w:rPr>
          <w:rStyle w:val="FootnoteReference"/>
        </w:rPr>
        <w:footnoteReference w:id="77"/>
      </w:r>
      <w:bookmarkEnd w:id="12"/>
      <w:r w:rsidR="00D84C49" w:rsidRPr="00545C56">
        <w:t xml:space="preserve"> </w:t>
      </w:r>
      <w:r w:rsidR="00EF1D6C" w:rsidRPr="00545C56">
        <w:t xml:space="preserve">Fifth, </w:t>
      </w:r>
      <w:r w:rsidR="00D84C49" w:rsidRPr="00545C56">
        <w:t xml:space="preserve">soft law might not be included at all in the national legal order, but there would exist a certain faith in national authorities that </w:t>
      </w:r>
      <w:r w:rsidR="00D66420" w:rsidRPr="00545C56">
        <w:t>they would know what rules to apply</w:t>
      </w:r>
      <w:r w:rsidR="00D84C49" w:rsidRPr="00545C56">
        <w:t>. Such category was confirmed by the case law, such as in the environmental sector in the UK,</w:t>
      </w:r>
      <w:r w:rsidR="00D84C49" w:rsidRPr="00545C56">
        <w:rPr>
          <w:rStyle w:val="FootnoteReference"/>
          <w:rFonts w:eastAsiaTheme="majorEastAsia"/>
        </w:rPr>
        <w:t xml:space="preserve"> </w:t>
      </w:r>
      <w:r w:rsidR="00D84C49" w:rsidRPr="00545C56">
        <w:rPr>
          <w:rStyle w:val="FootnoteReference"/>
          <w:rFonts w:eastAsiaTheme="majorEastAsia"/>
        </w:rPr>
        <w:footnoteReference w:id="78"/>
      </w:r>
      <w:r w:rsidR="00D84C49" w:rsidRPr="00545C56">
        <w:t xml:space="preserve"> as well as by interviews, such as with Slovenian officials feeling bound by EU State aid guidance Slovenia committed to.</w:t>
      </w:r>
      <w:r w:rsidR="00D66420" w:rsidRPr="00545C56">
        <w:rPr>
          <w:rStyle w:val="FootnoteReference"/>
        </w:rPr>
        <w:footnoteReference w:id="79"/>
      </w:r>
    </w:p>
    <w:p w14:paraId="03D02DCF" w14:textId="77777777" w:rsidR="00625F46" w:rsidRPr="00545C56" w:rsidRDefault="00625F46" w:rsidP="00625F46">
      <w:pPr>
        <w:spacing w:line="360" w:lineRule="auto"/>
        <w:jc w:val="both"/>
      </w:pPr>
    </w:p>
    <w:p w14:paraId="6405839B" w14:textId="6378B3CE" w:rsidR="00D66420" w:rsidRPr="00545C56" w:rsidRDefault="00D66420" w:rsidP="00625F46">
      <w:pPr>
        <w:spacing w:line="360" w:lineRule="auto"/>
        <w:jc w:val="both"/>
      </w:pPr>
      <w:r w:rsidRPr="00545C56">
        <w:t xml:space="preserve">The question is, which of the above options would offer the maximum from the point of view of transparency and consistency. A traditional approach would be that the official reception, through </w:t>
      </w:r>
      <w:r w:rsidR="001E0F53" w:rsidRPr="00545C56">
        <w:t xml:space="preserve">incorporation in </w:t>
      </w:r>
      <w:r w:rsidRPr="00545C56">
        <w:t xml:space="preserve">soft or (even better) hard law would be </w:t>
      </w:r>
      <w:r w:rsidR="00567047" w:rsidRPr="00545C56">
        <w:t>preferred</w:t>
      </w:r>
      <w:r w:rsidRPr="00545C56">
        <w:t xml:space="preserve">. Yet, this might just not correspond to the idea that flexibility is one of the most sought-after features of soft law: what happens if guidance is amended at the EU level? Would the national level always respond with a swift change in the corresponding instrument? Seen in this light, potentially the </w:t>
      </w:r>
      <w:r w:rsidR="001B2E3F" w:rsidRPr="00545C56">
        <w:t xml:space="preserve">best solution would be the </w:t>
      </w:r>
      <w:r w:rsidRPr="00545C56">
        <w:t xml:space="preserve">inclusion of soft law by </w:t>
      </w:r>
      <w:r w:rsidR="00977D27" w:rsidRPr="00545C56">
        <w:t>dynamic</w:t>
      </w:r>
      <w:r w:rsidRPr="00545C56">
        <w:t xml:space="preserve"> reference</w:t>
      </w:r>
      <w:r w:rsidR="001B2E3F" w:rsidRPr="00545C56">
        <w:t>, in either national hard or soft law,</w:t>
      </w:r>
      <w:r w:rsidRPr="00545C56">
        <w:t xml:space="preserve"> to the original source</w:t>
      </w:r>
      <w:r w:rsidR="001E0F53" w:rsidRPr="00545C56">
        <w:t xml:space="preserve"> – including an expectation that this means a reference to the up to date version of the instrument at any given time</w:t>
      </w:r>
      <w:r w:rsidRPr="00545C56">
        <w:t xml:space="preserve">. This is confirmed by public consultations in the area of financial regulation in the UK, where, to keep the volume of the rules at a manageable level, the FCA </w:t>
      </w:r>
      <w:r w:rsidR="001B2E3F" w:rsidRPr="00545C56">
        <w:t xml:space="preserve">(non-binding) </w:t>
      </w:r>
      <w:r w:rsidRPr="00545C56">
        <w:t xml:space="preserve">handbook included only references to corresponding ESAs guidance. This appears to have been done in agreement with most stakeholders’ wishes, as </w:t>
      </w:r>
      <w:r w:rsidR="008D555E" w:rsidRPr="00545C56">
        <w:t xml:space="preserve">summarised </w:t>
      </w:r>
      <w:r w:rsidRPr="00545C56">
        <w:t>in a policy statement from the FCA, although a minority of respondents suggested additional signposts, and a few suggested integrating in the handbook the entirety of EU applicable provisions.</w:t>
      </w:r>
      <w:r w:rsidRPr="00545C56">
        <w:rPr>
          <w:rStyle w:val="FootnoteReference"/>
          <w:rFonts w:eastAsiaTheme="majorEastAsia"/>
        </w:rPr>
        <w:footnoteReference w:id="80"/>
      </w:r>
      <w:r w:rsidRPr="00545C56">
        <w:t xml:space="preserve"> Such approach would resonate with wider </w:t>
      </w:r>
      <w:r w:rsidR="00567047" w:rsidRPr="00545C56">
        <w:t>conclusions that</w:t>
      </w:r>
      <w:r w:rsidRPr="00545C56">
        <w:t xml:space="preserve"> too </w:t>
      </w:r>
      <w:r w:rsidRPr="00545C56">
        <w:lastRenderedPageBreak/>
        <w:t>much inform</w:t>
      </w:r>
      <w:r w:rsidR="00E17F27" w:rsidRPr="00545C56">
        <w:t>ation might impair transparency.</w:t>
      </w:r>
      <w:r w:rsidR="00E17F27" w:rsidRPr="00545C56">
        <w:rPr>
          <w:rStyle w:val="FootnoteReference"/>
          <w:rFonts w:eastAsiaTheme="majorEastAsia"/>
        </w:rPr>
        <w:footnoteReference w:id="81"/>
      </w:r>
      <w:r w:rsidRPr="00545C56">
        <w:t xml:space="preserve"> What is more, integrating soft law by way of reference might even increase the weight of EU soft law, by showing that the rules are applicable internationally. </w:t>
      </w:r>
    </w:p>
    <w:p w14:paraId="647A151F" w14:textId="77777777" w:rsidR="00625F46" w:rsidRPr="00545C56" w:rsidRDefault="00625F46" w:rsidP="00625F46">
      <w:pPr>
        <w:spacing w:line="360" w:lineRule="auto"/>
        <w:jc w:val="both"/>
      </w:pPr>
    </w:p>
    <w:p w14:paraId="5D0EA36B" w14:textId="2896DF99" w:rsidR="00D66420" w:rsidRPr="00545C56" w:rsidRDefault="00E17F27" w:rsidP="00625F46">
      <w:pPr>
        <w:spacing w:line="360" w:lineRule="auto"/>
        <w:jc w:val="both"/>
      </w:pPr>
      <w:r w:rsidRPr="00545C56">
        <w:t xml:space="preserve">Another potential solution is the publication of Q&amp;As, referring to EU guidance. Such </w:t>
      </w:r>
      <w:r w:rsidR="00D66420" w:rsidRPr="00545C56">
        <w:t>pra</w:t>
      </w:r>
      <w:r w:rsidRPr="00545C56">
        <w:t xml:space="preserve">ctice, developed </w:t>
      </w:r>
      <w:r w:rsidR="00D66420" w:rsidRPr="00545C56">
        <w:t>especi</w:t>
      </w:r>
      <w:r w:rsidRPr="00545C56">
        <w:t>ally in EU financial regulation,</w:t>
      </w:r>
      <w:r w:rsidR="00D66420" w:rsidRPr="00545C56">
        <w:t xml:space="preserve"> has inspired national authorities to produce their own Q&amp;As, potentially increasing transparency, especially for individuals who can find relevant information faster. In Germany, for instance, all interviewees confirmed that this practice is on the rise,</w:t>
      </w:r>
      <w:r w:rsidRPr="00545C56">
        <w:rPr>
          <w:rStyle w:val="FootnoteReference"/>
        </w:rPr>
        <w:footnoteReference w:id="82"/>
      </w:r>
      <w:r w:rsidR="00D66420" w:rsidRPr="00545C56">
        <w:t xml:space="preserve"> while</w:t>
      </w:r>
      <w:r w:rsidR="00D76AAB" w:rsidRPr="00545C56">
        <w:t>,</w:t>
      </w:r>
      <w:r w:rsidR="00D66420" w:rsidRPr="00545C56">
        <w:t xml:space="preserve"> in the UK</w:t>
      </w:r>
      <w:r w:rsidR="00D76AAB" w:rsidRPr="00545C56">
        <w:t>,</w:t>
      </w:r>
      <w:r w:rsidR="00D66420" w:rsidRPr="00545C56">
        <w:t xml:space="preserve"> the FCA has also integrated Q&amp;As.</w:t>
      </w:r>
      <w:r w:rsidRPr="00545C56">
        <w:rPr>
          <w:rStyle w:val="FootnoteReference"/>
        </w:rPr>
        <w:footnoteReference w:id="83"/>
      </w:r>
      <w:r w:rsidR="00D66420" w:rsidRPr="00545C56">
        <w:t xml:space="preserve"> As mentioned by German interviewees, this might raise concerns of legitimacy, as well as of legal effects, as they are ‘softer’ than soft law. Similarly, the way in which ESAs Q&amp;As are drafted is sometimes not transparent in itself, although they do involve </w:t>
      </w:r>
      <w:r w:rsidR="00671C4E" w:rsidRPr="00545C56">
        <w:t>national</w:t>
      </w:r>
      <w:r w:rsidR="00D66420" w:rsidRPr="00545C56">
        <w:t xml:space="preserve"> representatives.</w:t>
      </w:r>
      <w:r w:rsidR="00D66420" w:rsidRPr="00545C56">
        <w:rPr>
          <w:rStyle w:val="FootnoteReference"/>
        </w:rPr>
        <w:footnoteReference w:id="84"/>
      </w:r>
      <w:r w:rsidR="00D66420" w:rsidRPr="00545C56">
        <w:t xml:space="preserve"> Perspectives from Italy </w:t>
      </w:r>
      <w:r w:rsidRPr="00545C56">
        <w:t>show</w:t>
      </w:r>
      <w:r w:rsidR="00D66420" w:rsidRPr="00545C56">
        <w:t xml:space="preserve"> a totally different picture: the Italian regulatory authority rarely considers them, as they are perceived to be directed mostly at the financial institutions within their day-to-day operation.</w:t>
      </w:r>
      <w:r w:rsidR="00D66420" w:rsidRPr="00545C56">
        <w:rPr>
          <w:rStyle w:val="FootnoteReference"/>
        </w:rPr>
        <w:footnoteReference w:id="85"/>
      </w:r>
    </w:p>
    <w:p w14:paraId="48B6A5CE" w14:textId="77777777" w:rsidR="00D76AAB" w:rsidRPr="00545C56" w:rsidRDefault="00D76AAB" w:rsidP="00625F46">
      <w:pPr>
        <w:spacing w:line="360" w:lineRule="auto"/>
        <w:jc w:val="both"/>
        <w:rPr>
          <w:bCs/>
          <w:lang w:eastAsia="ro-RO"/>
        </w:rPr>
      </w:pPr>
    </w:p>
    <w:p w14:paraId="15A01E35" w14:textId="652ABF4F" w:rsidR="00D66420" w:rsidRPr="00545C56" w:rsidRDefault="00625F46" w:rsidP="00625F46">
      <w:pPr>
        <w:pStyle w:val="Heading2"/>
        <w:numPr>
          <w:ilvl w:val="0"/>
          <w:numId w:val="0"/>
        </w:numPr>
        <w:spacing w:before="0" w:line="360" w:lineRule="auto"/>
        <w:rPr>
          <w:rFonts w:ascii="Times New Roman" w:hAnsi="Times New Roman" w:cs="Times New Roman"/>
          <w:b w:val="0"/>
          <w:i/>
          <w:color w:val="auto"/>
          <w:sz w:val="24"/>
          <w:szCs w:val="24"/>
        </w:rPr>
      </w:pPr>
      <w:r w:rsidRPr="00545C56">
        <w:rPr>
          <w:rFonts w:ascii="Times New Roman" w:hAnsi="Times New Roman" w:cs="Times New Roman"/>
          <w:b w:val="0"/>
          <w:i/>
          <w:color w:val="auto"/>
          <w:sz w:val="24"/>
          <w:szCs w:val="24"/>
        </w:rPr>
        <w:t xml:space="preserve">C </w:t>
      </w:r>
      <w:r w:rsidR="00D66420" w:rsidRPr="00545C56">
        <w:rPr>
          <w:rFonts w:ascii="Times New Roman" w:hAnsi="Times New Roman" w:cs="Times New Roman"/>
          <w:b w:val="0"/>
          <w:i/>
          <w:color w:val="auto"/>
          <w:sz w:val="24"/>
          <w:szCs w:val="24"/>
        </w:rPr>
        <w:t>Issues related to the content of soft law</w:t>
      </w:r>
    </w:p>
    <w:p w14:paraId="0F0A8D6A" w14:textId="77777777" w:rsidR="000D707F" w:rsidRPr="00545C56" w:rsidRDefault="000D707F" w:rsidP="00625F46">
      <w:pPr>
        <w:spacing w:line="360" w:lineRule="auto"/>
        <w:jc w:val="both"/>
      </w:pPr>
    </w:p>
    <w:p w14:paraId="6E16E622" w14:textId="3F0CAA6D" w:rsidR="00BB4B12" w:rsidRPr="00545C56" w:rsidRDefault="00BB4B12" w:rsidP="00625F46">
      <w:pPr>
        <w:spacing w:line="360" w:lineRule="auto"/>
        <w:jc w:val="both"/>
      </w:pPr>
      <w:r w:rsidRPr="00545C56">
        <w:t>The literature discussed this point at length and it was argued that the duty to communicate the law in a clear and transparent fashion is part of the good administration requirement provided for in Article 41, Charter of Fundamental Rights,</w:t>
      </w:r>
      <w:r w:rsidRPr="00545C56">
        <w:rPr>
          <w:rStyle w:val="FootnoteReference"/>
          <w:rFonts w:eastAsiaTheme="majorEastAsia"/>
        </w:rPr>
        <w:footnoteReference w:id="86"/>
      </w:r>
      <w:r w:rsidRPr="00545C56">
        <w:t xml:space="preserve"> and with legal certainty requiring that legal rules in force at a certain moment are clear and precise.</w:t>
      </w:r>
      <w:r w:rsidRPr="00545C56">
        <w:rPr>
          <w:rStyle w:val="FootnoteReference"/>
          <w:rFonts w:eastAsiaTheme="majorEastAsia"/>
        </w:rPr>
        <w:footnoteReference w:id="87"/>
      </w:r>
      <w:r w:rsidRPr="00545C56">
        <w:t xml:space="preserve"> Yet, t</w:t>
      </w:r>
      <w:r w:rsidR="000D707F" w:rsidRPr="00545C56">
        <w:t xml:space="preserve">he content of soft law instruments is often ambiguous, as </w:t>
      </w:r>
      <w:r w:rsidR="00671C4E" w:rsidRPr="00545C56">
        <w:t xml:space="preserve">criticised </w:t>
      </w:r>
      <w:r w:rsidR="000D707F" w:rsidRPr="00545C56">
        <w:t>in front of the ECJ itself by applicants</w:t>
      </w:r>
      <w:r w:rsidR="000D707F" w:rsidRPr="00545C56">
        <w:rPr>
          <w:rStyle w:val="FootnoteReference"/>
          <w:rFonts w:eastAsiaTheme="majorEastAsia"/>
        </w:rPr>
        <w:footnoteReference w:id="88"/>
      </w:r>
      <w:r w:rsidR="000D707F" w:rsidRPr="00545C56">
        <w:t xml:space="preserve"> and Court members.</w:t>
      </w:r>
      <w:r w:rsidR="000D707F" w:rsidRPr="00545C56">
        <w:rPr>
          <w:vertAlign w:val="superscript"/>
        </w:rPr>
        <w:footnoteReference w:id="89"/>
      </w:r>
      <w:r w:rsidR="000D707F" w:rsidRPr="00545C56">
        <w:t xml:space="preserve"> </w:t>
      </w:r>
    </w:p>
    <w:p w14:paraId="3A892592" w14:textId="77777777" w:rsidR="00625F46" w:rsidRPr="00545C56" w:rsidRDefault="00625F46" w:rsidP="00625F46">
      <w:pPr>
        <w:spacing w:line="360" w:lineRule="auto"/>
        <w:jc w:val="both"/>
      </w:pPr>
    </w:p>
    <w:p w14:paraId="3A19232D" w14:textId="51022D15" w:rsidR="0035097A" w:rsidRPr="00545C56" w:rsidRDefault="000D707F" w:rsidP="00625F46">
      <w:pPr>
        <w:spacing w:line="360" w:lineRule="auto"/>
        <w:jc w:val="both"/>
        <w:rPr>
          <w:bCs/>
          <w:lang w:eastAsia="ro-RO"/>
        </w:rPr>
      </w:pPr>
      <w:r w:rsidRPr="00545C56">
        <w:lastRenderedPageBreak/>
        <w:t xml:space="preserve">Similarly, according to the interviews of </w:t>
      </w:r>
      <w:proofErr w:type="spellStart"/>
      <w:r w:rsidRPr="00545C56">
        <w:t>SoLaR</w:t>
      </w:r>
      <w:proofErr w:type="spellEnd"/>
      <w:r w:rsidRPr="00545C56">
        <w:t xml:space="preserve">, </w:t>
      </w:r>
      <w:r w:rsidR="000B475E" w:rsidRPr="00545C56">
        <w:t xml:space="preserve">some soft law instruments </w:t>
      </w:r>
      <w:r w:rsidRPr="00545C56">
        <w:t>lack in precision and clarity, which increase</w:t>
      </w:r>
      <w:r w:rsidR="000B475E" w:rsidRPr="00545C56">
        <w:t>s</w:t>
      </w:r>
      <w:r w:rsidRPr="00545C56">
        <w:t xml:space="preserve"> the potential </w:t>
      </w:r>
      <w:r w:rsidR="000B475E" w:rsidRPr="00545C56">
        <w:t>for varying national interpretation</w:t>
      </w:r>
      <w:r w:rsidRPr="00545C56">
        <w:t>.</w:t>
      </w:r>
      <w:r w:rsidR="00222B00" w:rsidRPr="00545C56">
        <w:rPr>
          <w:rStyle w:val="FootnoteReference"/>
        </w:rPr>
        <w:footnoteReference w:id="90"/>
      </w:r>
      <w:r w:rsidRPr="00545C56">
        <w:t xml:space="preserve"> </w:t>
      </w:r>
      <w:r w:rsidR="006479D8" w:rsidRPr="00545C56">
        <w:rPr>
          <w:bCs/>
          <w:lang w:eastAsia="ro-RO"/>
        </w:rPr>
        <w:t>German c</w:t>
      </w:r>
      <w:r w:rsidR="00222B00" w:rsidRPr="00545C56">
        <w:rPr>
          <w:bCs/>
          <w:lang w:eastAsia="ro-RO"/>
        </w:rPr>
        <w:t xml:space="preserve">ivil servants </w:t>
      </w:r>
      <w:r w:rsidR="00907328" w:rsidRPr="00545C56">
        <w:rPr>
          <w:bCs/>
          <w:lang w:eastAsia="ro-RO"/>
        </w:rPr>
        <w:t xml:space="preserve">criticised </w:t>
      </w:r>
      <w:r w:rsidR="00F33F27" w:rsidRPr="00545C56">
        <w:rPr>
          <w:bCs/>
          <w:lang w:eastAsia="ro-RO"/>
        </w:rPr>
        <w:t>the lack of clarity of EU social soft law</w:t>
      </w:r>
      <w:r w:rsidR="00F33F27" w:rsidRPr="00545C56">
        <w:t>.</w:t>
      </w:r>
      <w:r w:rsidR="00F33F27" w:rsidRPr="00545C56">
        <w:rPr>
          <w:rStyle w:val="FootnoteReference"/>
        </w:rPr>
        <w:footnoteReference w:id="91"/>
      </w:r>
      <w:r w:rsidR="00F33F27" w:rsidRPr="00545C56">
        <w:t xml:space="preserve"> </w:t>
      </w:r>
      <w:r w:rsidR="00184C17" w:rsidRPr="00545C56">
        <w:rPr>
          <w:bCs/>
          <w:lang w:eastAsia="ro-RO"/>
        </w:rPr>
        <w:t>Finnish respondent</w:t>
      </w:r>
      <w:r w:rsidR="00F33F27" w:rsidRPr="00545C56">
        <w:rPr>
          <w:bCs/>
          <w:lang w:eastAsia="ro-RO"/>
        </w:rPr>
        <w:t>s</w:t>
      </w:r>
      <w:r w:rsidR="00184C17" w:rsidRPr="00545C56">
        <w:rPr>
          <w:bCs/>
          <w:lang w:eastAsia="ro-RO"/>
        </w:rPr>
        <w:t xml:space="preserve"> mentioned that </w:t>
      </w:r>
      <w:r w:rsidR="00F33F27" w:rsidRPr="00545C56">
        <w:rPr>
          <w:bCs/>
          <w:lang w:eastAsia="ro-RO"/>
        </w:rPr>
        <w:t xml:space="preserve">environmental </w:t>
      </w:r>
      <w:r w:rsidR="00184C17" w:rsidRPr="00545C56">
        <w:rPr>
          <w:bCs/>
          <w:lang w:eastAsia="ro-RO"/>
        </w:rPr>
        <w:t>soft law is open to interpretation, hence difficult to apply in practice</w:t>
      </w:r>
      <w:r w:rsidR="00F33F27" w:rsidRPr="00545C56">
        <w:rPr>
          <w:bCs/>
          <w:lang w:eastAsia="ro-RO"/>
        </w:rPr>
        <w:t>,</w:t>
      </w:r>
      <w:r w:rsidR="00F33F27" w:rsidRPr="00545C56">
        <w:rPr>
          <w:rStyle w:val="FootnoteReference"/>
          <w:bCs/>
          <w:lang w:eastAsia="ro-RO"/>
        </w:rPr>
        <w:t xml:space="preserve"> </w:t>
      </w:r>
      <w:bookmarkStart w:id="13" w:name="_Ref47717830"/>
      <w:r w:rsidR="00F33F27" w:rsidRPr="00545C56">
        <w:rPr>
          <w:rStyle w:val="FootnoteReference"/>
          <w:bCs/>
          <w:lang w:eastAsia="ro-RO"/>
        </w:rPr>
        <w:footnoteReference w:id="92"/>
      </w:r>
      <w:bookmarkEnd w:id="13"/>
      <w:r w:rsidR="00F33F27" w:rsidRPr="00545C56">
        <w:rPr>
          <w:bCs/>
          <w:lang w:eastAsia="ro-RO"/>
        </w:rPr>
        <w:t xml:space="preserve"> and that the transparency of ECB guidance is even lower than that of the ESAs guidance.</w:t>
      </w:r>
      <w:bookmarkStart w:id="14" w:name="_Ref47713350"/>
      <w:r w:rsidR="00F33F27" w:rsidRPr="00545C56">
        <w:rPr>
          <w:rStyle w:val="FootnoteReference"/>
          <w:bCs/>
          <w:lang w:eastAsia="ro-RO"/>
        </w:rPr>
        <w:footnoteReference w:id="93"/>
      </w:r>
      <w:bookmarkEnd w:id="14"/>
      <w:r w:rsidR="00F33F27" w:rsidRPr="00545C56">
        <w:rPr>
          <w:bCs/>
          <w:lang w:eastAsia="ro-RO"/>
        </w:rPr>
        <w:t xml:space="preserve"> </w:t>
      </w:r>
      <w:r w:rsidR="0035097A" w:rsidRPr="00545C56">
        <w:rPr>
          <w:bCs/>
          <w:lang w:eastAsia="ro-RO"/>
        </w:rPr>
        <w:t>Conversely, another</w:t>
      </w:r>
      <w:r w:rsidR="00F33F27" w:rsidRPr="00545C56">
        <w:rPr>
          <w:bCs/>
          <w:lang w:eastAsia="ro-RO"/>
        </w:rPr>
        <w:t xml:space="preserve"> Finnish</w:t>
      </w:r>
      <w:r w:rsidR="0035097A" w:rsidRPr="00545C56">
        <w:rPr>
          <w:bCs/>
          <w:lang w:eastAsia="ro-RO"/>
        </w:rPr>
        <w:t xml:space="preserve"> respondent linked the lack of transparency with the high specialisation of the financial sector.</w:t>
      </w:r>
      <w:r w:rsidR="0035097A" w:rsidRPr="00545C56">
        <w:rPr>
          <w:rStyle w:val="FootnoteReference"/>
          <w:bCs/>
          <w:lang w:eastAsia="ro-RO"/>
        </w:rPr>
        <w:footnoteReference w:id="94"/>
      </w:r>
      <w:r w:rsidR="0035097A" w:rsidRPr="00545C56">
        <w:rPr>
          <w:bCs/>
          <w:lang w:eastAsia="ro-RO"/>
        </w:rPr>
        <w:t xml:space="preserve"> In the Netherlands, the perspective seems to be that in financial regulation soft law may increase transparency because market participants appreciate the clarity</w:t>
      </w:r>
      <w:r w:rsidR="00852325" w:rsidRPr="00545C56">
        <w:rPr>
          <w:bCs/>
          <w:lang w:eastAsia="ro-RO"/>
        </w:rPr>
        <w:t xml:space="preserve"> ‘</w:t>
      </w:r>
      <w:r w:rsidR="0035097A" w:rsidRPr="00545C56">
        <w:rPr>
          <w:bCs/>
          <w:lang w:eastAsia="ro-RO"/>
        </w:rPr>
        <w:t>public documents’ provide.</w:t>
      </w:r>
      <w:r w:rsidR="0035097A" w:rsidRPr="00545C56">
        <w:rPr>
          <w:rStyle w:val="FootnoteReference"/>
          <w:bCs/>
          <w:lang w:eastAsia="ro-RO"/>
        </w:rPr>
        <w:footnoteReference w:id="95"/>
      </w:r>
      <w:r w:rsidR="0035097A" w:rsidRPr="00545C56">
        <w:rPr>
          <w:bCs/>
          <w:lang w:eastAsia="ro-RO"/>
        </w:rPr>
        <w:t xml:space="preserve"> Similar positive perspectives on the transparency of financial regulation soft law were expressed by Slovenian officials.</w:t>
      </w:r>
      <w:r w:rsidR="0035097A" w:rsidRPr="00545C56">
        <w:rPr>
          <w:rStyle w:val="FootnoteReference"/>
          <w:bCs/>
          <w:lang w:eastAsia="ro-RO"/>
        </w:rPr>
        <w:footnoteReference w:id="96"/>
      </w:r>
      <w:r w:rsidR="0035097A" w:rsidRPr="00545C56">
        <w:rPr>
          <w:bCs/>
          <w:lang w:eastAsia="ro-RO"/>
        </w:rPr>
        <w:t xml:space="preserve"> French respondents were unanimous in maintaining that EU </w:t>
      </w:r>
      <w:r w:rsidR="00F33F27" w:rsidRPr="00545C56">
        <w:rPr>
          <w:bCs/>
          <w:lang w:eastAsia="ro-RO"/>
        </w:rPr>
        <w:t xml:space="preserve">environmental </w:t>
      </w:r>
      <w:r w:rsidR="0035097A" w:rsidRPr="00545C56">
        <w:rPr>
          <w:bCs/>
          <w:lang w:eastAsia="ro-RO"/>
        </w:rPr>
        <w:t>guidance can clarify hard law.</w:t>
      </w:r>
      <w:bookmarkStart w:id="15" w:name="_Ref47713251"/>
      <w:r w:rsidR="0035097A" w:rsidRPr="00545C56">
        <w:rPr>
          <w:rStyle w:val="FootnoteReference"/>
          <w:bCs/>
          <w:lang w:eastAsia="ro-RO"/>
        </w:rPr>
        <w:footnoteReference w:id="97"/>
      </w:r>
      <w:bookmarkEnd w:id="15"/>
    </w:p>
    <w:p w14:paraId="3A732DAD" w14:textId="77777777" w:rsidR="00625F46" w:rsidRPr="00545C56" w:rsidRDefault="00625F46" w:rsidP="00625F46">
      <w:pPr>
        <w:spacing w:line="360" w:lineRule="auto"/>
        <w:jc w:val="both"/>
        <w:rPr>
          <w:bCs/>
          <w:lang w:eastAsia="ro-RO"/>
        </w:rPr>
      </w:pPr>
    </w:p>
    <w:p w14:paraId="4224FC12" w14:textId="7B72985B" w:rsidR="003C78FD" w:rsidRPr="00545C56" w:rsidRDefault="003C78FD" w:rsidP="00625F46">
      <w:pPr>
        <w:spacing w:line="360" w:lineRule="auto"/>
        <w:jc w:val="both"/>
      </w:pPr>
      <w:r w:rsidRPr="00545C56">
        <w:rPr>
          <w:bCs/>
          <w:lang w:eastAsia="ro-RO"/>
        </w:rPr>
        <w:t xml:space="preserve">The views are mixed and it is difficult to draw patterns regarding which instruments or practices are likely to lead to maximum transparency. In competition, an area where soft law is somewhat of an acquired taste, most interviewees agreed that soft law increases </w:t>
      </w:r>
      <w:r w:rsidRPr="00545C56">
        <w:t>transparency and predictability</w:t>
      </w:r>
      <w:r w:rsidR="004123CA" w:rsidRPr="00545C56">
        <w:t>.</w:t>
      </w:r>
      <w:r w:rsidRPr="00545C56">
        <w:rPr>
          <w:rStyle w:val="FootnoteReference"/>
        </w:rPr>
        <w:footnoteReference w:id="98"/>
      </w:r>
      <w:r w:rsidRPr="00545C56">
        <w:t xml:space="preserve"> </w:t>
      </w:r>
      <w:r w:rsidR="004123CA" w:rsidRPr="00545C56">
        <w:t>However, as</w:t>
      </w:r>
      <w:r w:rsidRPr="00545C56">
        <w:t xml:space="preserve"> mentioned by the Italian report, there is a difference between these statements and what actually happens in practice, given that legal effects are not </w:t>
      </w:r>
      <w:r w:rsidR="00EB3988" w:rsidRPr="00545C56">
        <w:t xml:space="preserve">recognised </w:t>
      </w:r>
      <w:r w:rsidRPr="00545C56">
        <w:t>to EU guidance at the national level.</w:t>
      </w:r>
      <w:bookmarkStart w:id="16" w:name="_Ref47715302"/>
      <w:r w:rsidRPr="00545C56">
        <w:rPr>
          <w:rStyle w:val="FootnoteReference"/>
        </w:rPr>
        <w:footnoteReference w:id="99"/>
      </w:r>
      <w:bookmarkEnd w:id="16"/>
      <w:r w:rsidRPr="00545C56">
        <w:t xml:space="preserve"> </w:t>
      </w:r>
      <w:r w:rsidR="006D5F53" w:rsidRPr="00545C56">
        <w:t xml:space="preserve"> </w:t>
      </w:r>
    </w:p>
    <w:p w14:paraId="6FAC254E" w14:textId="77777777" w:rsidR="00625F46" w:rsidRPr="00545C56" w:rsidRDefault="00625F46" w:rsidP="00625F46">
      <w:pPr>
        <w:spacing w:line="360" w:lineRule="auto"/>
        <w:jc w:val="both"/>
      </w:pPr>
    </w:p>
    <w:p w14:paraId="728BE6DD" w14:textId="764BC920" w:rsidR="00DD15A0" w:rsidRPr="00545C56" w:rsidRDefault="000D707F" w:rsidP="00625F46">
      <w:pPr>
        <w:pStyle w:val="Listparagraf1"/>
        <w:spacing w:line="360" w:lineRule="auto"/>
        <w:ind w:left="0"/>
        <w:contextualSpacing w:val="0"/>
        <w:jc w:val="both"/>
        <w:rPr>
          <w:rFonts w:ascii="Times New Roman" w:hAnsi="Times New Roman"/>
          <w:bCs/>
          <w:sz w:val="24"/>
          <w:szCs w:val="24"/>
          <w:lang w:eastAsia="ro-RO"/>
        </w:rPr>
      </w:pPr>
      <w:r w:rsidRPr="00545C56">
        <w:rPr>
          <w:rFonts w:ascii="Times New Roman" w:hAnsi="Times New Roman"/>
          <w:sz w:val="24"/>
          <w:szCs w:val="24"/>
        </w:rPr>
        <w:t xml:space="preserve">Transparency is </w:t>
      </w:r>
      <w:r w:rsidR="003C4F38" w:rsidRPr="00545C56">
        <w:rPr>
          <w:rFonts w:ascii="Times New Roman" w:hAnsi="Times New Roman"/>
          <w:sz w:val="24"/>
          <w:szCs w:val="24"/>
        </w:rPr>
        <w:t>also</w:t>
      </w:r>
      <w:r w:rsidRPr="00545C56">
        <w:rPr>
          <w:rFonts w:ascii="Times New Roman" w:hAnsi="Times New Roman"/>
          <w:sz w:val="24"/>
          <w:szCs w:val="24"/>
        </w:rPr>
        <w:t xml:space="preserve"> at a loss when soft law provisions conflict with hard law, partly because of the blurred line that divides the two categories of </w:t>
      </w:r>
      <w:r w:rsidR="00A87D20" w:rsidRPr="00545C56">
        <w:rPr>
          <w:rFonts w:ascii="Times New Roman" w:hAnsi="Times New Roman"/>
          <w:sz w:val="24"/>
          <w:szCs w:val="24"/>
        </w:rPr>
        <w:t>regulation</w:t>
      </w:r>
      <w:r w:rsidRPr="00545C56">
        <w:rPr>
          <w:rFonts w:ascii="Times New Roman" w:hAnsi="Times New Roman"/>
          <w:sz w:val="24"/>
          <w:szCs w:val="24"/>
        </w:rPr>
        <w:t xml:space="preserve">. This is solved, in theory, by simply considering the hierarchy of norms: soft law would always be trumped by hard law. However, the overlap between hard and soft law is not always easy to grasp. Sometimes soft law interpreting hard law provisions creates new obligations and in such situations, soft law is generally considered </w:t>
      </w:r>
      <w:r w:rsidRPr="00545C56">
        <w:rPr>
          <w:rFonts w:ascii="Times New Roman" w:hAnsi="Times New Roman"/>
          <w:i/>
          <w:sz w:val="24"/>
          <w:szCs w:val="24"/>
        </w:rPr>
        <w:t xml:space="preserve">ultra vires </w:t>
      </w:r>
      <w:r w:rsidRPr="00545C56">
        <w:rPr>
          <w:rFonts w:ascii="Times New Roman" w:hAnsi="Times New Roman"/>
          <w:sz w:val="24"/>
          <w:szCs w:val="24"/>
        </w:rPr>
        <w:t>and is annulled by the Courts.</w:t>
      </w:r>
      <w:r w:rsidRPr="00545C56">
        <w:rPr>
          <w:rStyle w:val="FootnoteReference"/>
          <w:rFonts w:ascii="Times New Roman" w:eastAsiaTheme="majorEastAsia" w:hAnsi="Times New Roman"/>
          <w:sz w:val="24"/>
          <w:szCs w:val="24"/>
        </w:rPr>
        <w:footnoteReference w:id="100"/>
      </w:r>
      <w:r w:rsidRPr="00545C56">
        <w:rPr>
          <w:rFonts w:ascii="Times New Roman" w:hAnsi="Times New Roman"/>
          <w:sz w:val="24"/>
          <w:szCs w:val="24"/>
        </w:rPr>
        <w:t xml:space="preserve"> </w:t>
      </w:r>
      <w:r w:rsidRPr="00545C56">
        <w:rPr>
          <w:rFonts w:ascii="Times New Roman" w:hAnsi="Times New Roman"/>
          <w:sz w:val="24"/>
          <w:szCs w:val="24"/>
          <w:lang w:eastAsia="en-US"/>
        </w:rPr>
        <w:t xml:space="preserve">As noted by Scott, in the case </w:t>
      </w:r>
      <w:r w:rsidRPr="00545C56">
        <w:rPr>
          <w:rFonts w:ascii="Times New Roman" w:hAnsi="Times New Roman"/>
          <w:sz w:val="24"/>
          <w:szCs w:val="24"/>
          <w:lang w:eastAsia="en-US"/>
        </w:rPr>
        <w:lastRenderedPageBreak/>
        <w:t>of vague, general hard law norms, it may ‘frequently be impossible to make a clear determination of where the boundaries of the ex</w:t>
      </w:r>
      <w:r w:rsidR="003C4F38" w:rsidRPr="00545C56">
        <w:rPr>
          <w:rFonts w:ascii="Times New Roman" w:hAnsi="Times New Roman"/>
          <w:sz w:val="24"/>
          <w:szCs w:val="24"/>
          <w:lang w:eastAsia="en-US"/>
        </w:rPr>
        <w:t>isting obligation begin and end</w:t>
      </w:r>
      <w:r w:rsidRPr="00545C56">
        <w:rPr>
          <w:rFonts w:ascii="Times New Roman" w:hAnsi="Times New Roman"/>
          <w:sz w:val="24"/>
          <w:szCs w:val="24"/>
          <w:lang w:eastAsia="en-US"/>
        </w:rPr>
        <w:t>’</w:t>
      </w:r>
      <w:r w:rsidR="002244F5" w:rsidRPr="00545C56">
        <w:rPr>
          <w:rFonts w:ascii="Times New Roman" w:hAnsi="Times New Roman"/>
          <w:sz w:val="24"/>
          <w:szCs w:val="24"/>
          <w:lang w:eastAsia="en-US"/>
        </w:rPr>
        <w:t>.</w:t>
      </w:r>
      <w:r w:rsidRPr="00545C56">
        <w:rPr>
          <w:rFonts w:ascii="Times New Roman" w:hAnsi="Times New Roman"/>
          <w:sz w:val="24"/>
          <w:szCs w:val="24"/>
          <w:vertAlign w:val="superscript"/>
          <w:lang w:eastAsia="en-US"/>
        </w:rPr>
        <w:footnoteReference w:id="101"/>
      </w:r>
      <w:r w:rsidRPr="00545C56">
        <w:rPr>
          <w:rFonts w:ascii="Times New Roman" w:hAnsi="Times New Roman"/>
          <w:sz w:val="24"/>
          <w:szCs w:val="24"/>
          <w:lang w:eastAsia="en-US"/>
        </w:rPr>
        <w:t xml:space="preserve"> Even though a soft law instrument might not seem to introduce new legal obligations, it might promote a radical interpretation of an obligation provided in a regulation or a directive thus having in practice significant effects on the legal situation of individuals or Member States. Indeed, one can envisage that in the absence of the soft law instrument, the national or European authorities might interpret the specific obligation provided in the hard law provision in a more lenient or indeed more stringent way. Interviewees on the </w:t>
      </w:r>
      <w:proofErr w:type="spellStart"/>
      <w:r w:rsidRPr="00545C56">
        <w:rPr>
          <w:rFonts w:ascii="Times New Roman" w:hAnsi="Times New Roman"/>
          <w:sz w:val="24"/>
          <w:szCs w:val="24"/>
          <w:lang w:eastAsia="en-US"/>
        </w:rPr>
        <w:t>SoLaR</w:t>
      </w:r>
      <w:proofErr w:type="spellEnd"/>
      <w:r w:rsidRPr="00545C56">
        <w:rPr>
          <w:rFonts w:ascii="Times New Roman" w:hAnsi="Times New Roman"/>
          <w:sz w:val="24"/>
          <w:szCs w:val="24"/>
          <w:lang w:eastAsia="en-US"/>
        </w:rPr>
        <w:t xml:space="preserve"> project confirmed the existence of a very thin line between interpretation of the law and clarification of the law.</w:t>
      </w:r>
      <w:r w:rsidRPr="00545C56">
        <w:rPr>
          <w:rStyle w:val="FootnoteReference"/>
          <w:rFonts w:ascii="Times New Roman" w:hAnsi="Times New Roman"/>
          <w:sz w:val="24"/>
          <w:szCs w:val="24"/>
          <w:lang w:eastAsia="en-US"/>
        </w:rPr>
        <w:footnoteReference w:id="102"/>
      </w:r>
      <w:r w:rsidRPr="00545C56">
        <w:rPr>
          <w:rFonts w:ascii="Times New Roman" w:hAnsi="Times New Roman"/>
          <w:sz w:val="24"/>
          <w:szCs w:val="24"/>
          <w:lang w:eastAsia="en-US"/>
        </w:rPr>
        <w:t xml:space="preserve"> </w:t>
      </w:r>
      <w:r w:rsidR="003C4F38" w:rsidRPr="00545C56">
        <w:rPr>
          <w:rFonts w:ascii="Times New Roman" w:hAnsi="Times New Roman"/>
          <w:sz w:val="24"/>
          <w:szCs w:val="24"/>
        </w:rPr>
        <w:t>Concerns regarding the legality of soft law have</w:t>
      </w:r>
      <w:r w:rsidR="000865B1" w:rsidRPr="00545C56">
        <w:rPr>
          <w:rFonts w:ascii="Times New Roman" w:hAnsi="Times New Roman"/>
          <w:sz w:val="24"/>
          <w:szCs w:val="24"/>
        </w:rPr>
        <w:t xml:space="preserve"> also been expressed, with </w:t>
      </w:r>
      <w:r w:rsidR="00184C17" w:rsidRPr="00545C56">
        <w:rPr>
          <w:rFonts w:ascii="Times New Roman" w:hAnsi="Times New Roman"/>
          <w:bCs/>
          <w:sz w:val="24"/>
          <w:szCs w:val="24"/>
          <w:lang w:eastAsia="ro-RO"/>
        </w:rPr>
        <w:t xml:space="preserve">Finnish interviewees </w:t>
      </w:r>
      <w:r w:rsidR="000865B1" w:rsidRPr="00545C56">
        <w:rPr>
          <w:rFonts w:ascii="Times New Roman" w:hAnsi="Times New Roman"/>
          <w:bCs/>
          <w:sz w:val="24"/>
          <w:szCs w:val="24"/>
          <w:lang w:eastAsia="ro-RO"/>
        </w:rPr>
        <w:t>raising</w:t>
      </w:r>
      <w:r w:rsidR="00184C17" w:rsidRPr="00545C56">
        <w:rPr>
          <w:rFonts w:ascii="Times New Roman" w:hAnsi="Times New Roman"/>
          <w:bCs/>
          <w:sz w:val="24"/>
          <w:szCs w:val="24"/>
          <w:lang w:eastAsia="ro-RO"/>
        </w:rPr>
        <w:t xml:space="preserve"> matters regarding the competence of the ECB to adopt guidance.</w:t>
      </w:r>
      <w:r w:rsidR="00184C17" w:rsidRPr="00545C56">
        <w:rPr>
          <w:rStyle w:val="FootnoteReference"/>
          <w:rFonts w:ascii="Times New Roman" w:hAnsi="Times New Roman"/>
          <w:bCs/>
          <w:sz w:val="24"/>
          <w:szCs w:val="24"/>
          <w:lang w:eastAsia="ro-RO"/>
        </w:rPr>
        <w:footnoteReference w:id="103"/>
      </w:r>
      <w:r w:rsidR="00184C17" w:rsidRPr="00545C56">
        <w:rPr>
          <w:rFonts w:ascii="Times New Roman" w:hAnsi="Times New Roman"/>
          <w:bCs/>
          <w:sz w:val="24"/>
          <w:szCs w:val="24"/>
          <w:lang w:eastAsia="ro-RO"/>
        </w:rPr>
        <w:t xml:space="preserve"> The issue of competence was </w:t>
      </w:r>
      <w:r w:rsidR="003C4F38" w:rsidRPr="00545C56">
        <w:rPr>
          <w:rFonts w:ascii="Times New Roman" w:hAnsi="Times New Roman"/>
          <w:bCs/>
          <w:sz w:val="24"/>
          <w:szCs w:val="24"/>
          <w:lang w:eastAsia="ro-RO"/>
        </w:rPr>
        <w:t>mentioned</w:t>
      </w:r>
      <w:r w:rsidR="00184C17" w:rsidRPr="00545C56">
        <w:rPr>
          <w:rFonts w:ascii="Times New Roman" w:hAnsi="Times New Roman"/>
          <w:bCs/>
          <w:sz w:val="24"/>
          <w:szCs w:val="24"/>
          <w:lang w:eastAsia="ro-RO"/>
        </w:rPr>
        <w:t xml:space="preserve"> also </w:t>
      </w:r>
      <w:r w:rsidR="004620A3" w:rsidRPr="00545C56">
        <w:rPr>
          <w:rFonts w:ascii="Times New Roman" w:hAnsi="Times New Roman"/>
          <w:bCs/>
          <w:sz w:val="24"/>
          <w:szCs w:val="24"/>
          <w:lang w:eastAsia="ro-RO"/>
        </w:rPr>
        <w:t>by a Dutch official talking about competition law</w:t>
      </w:r>
      <w:r w:rsidR="00B76EF6" w:rsidRPr="00545C56">
        <w:rPr>
          <w:rStyle w:val="FootnoteReference"/>
          <w:rFonts w:ascii="Times New Roman" w:hAnsi="Times New Roman"/>
          <w:bCs/>
          <w:sz w:val="24"/>
          <w:szCs w:val="24"/>
          <w:lang w:eastAsia="ro-RO"/>
        </w:rPr>
        <w:footnoteReference w:id="104"/>
      </w:r>
      <w:r w:rsidR="00B76EF6" w:rsidRPr="00545C56">
        <w:rPr>
          <w:rFonts w:ascii="Times New Roman" w:hAnsi="Times New Roman"/>
          <w:bCs/>
          <w:sz w:val="24"/>
          <w:szCs w:val="24"/>
          <w:lang w:eastAsia="ro-RO"/>
        </w:rPr>
        <w:t xml:space="preserve"> and</w:t>
      </w:r>
      <w:r w:rsidR="004620A3" w:rsidRPr="00545C56">
        <w:rPr>
          <w:rFonts w:ascii="Times New Roman" w:hAnsi="Times New Roman"/>
          <w:bCs/>
          <w:sz w:val="24"/>
          <w:szCs w:val="24"/>
          <w:lang w:eastAsia="ro-RO"/>
        </w:rPr>
        <w:t xml:space="preserve"> by a Slovenian official talking about environmental guidance,</w:t>
      </w:r>
      <w:r w:rsidR="00B76EF6" w:rsidRPr="00545C56">
        <w:rPr>
          <w:rStyle w:val="FootnoteReference"/>
          <w:rFonts w:ascii="Times New Roman" w:hAnsi="Times New Roman"/>
          <w:bCs/>
          <w:sz w:val="24"/>
          <w:szCs w:val="24"/>
          <w:lang w:eastAsia="ro-RO"/>
        </w:rPr>
        <w:footnoteReference w:id="105"/>
      </w:r>
      <w:r w:rsidR="00184C17" w:rsidRPr="00545C56">
        <w:rPr>
          <w:rFonts w:ascii="Times New Roman" w:hAnsi="Times New Roman"/>
          <w:bCs/>
          <w:sz w:val="24"/>
          <w:szCs w:val="24"/>
          <w:lang w:eastAsia="ro-RO"/>
        </w:rPr>
        <w:t xml:space="preserve"> </w:t>
      </w:r>
      <w:r w:rsidR="004620A3" w:rsidRPr="00545C56">
        <w:rPr>
          <w:rFonts w:ascii="Times New Roman" w:hAnsi="Times New Roman"/>
          <w:bCs/>
          <w:sz w:val="24"/>
          <w:szCs w:val="24"/>
          <w:lang w:eastAsia="ro-RO"/>
        </w:rPr>
        <w:t xml:space="preserve">who wondered </w:t>
      </w:r>
      <w:r w:rsidR="00184C17" w:rsidRPr="00545C56">
        <w:rPr>
          <w:rFonts w:ascii="Times New Roman" w:hAnsi="Times New Roman"/>
          <w:bCs/>
          <w:sz w:val="24"/>
          <w:szCs w:val="24"/>
          <w:lang w:eastAsia="ro-RO"/>
        </w:rPr>
        <w:t xml:space="preserve">why </w:t>
      </w:r>
      <w:r w:rsidR="004620A3" w:rsidRPr="00545C56">
        <w:rPr>
          <w:rFonts w:ascii="Times New Roman" w:hAnsi="Times New Roman"/>
          <w:bCs/>
          <w:sz w:val="24"/>
          <w:szCs w:val="24"/>
          <w:lang w:eastAsia="ro-RO"/>
        </w:rPr>
        <w:t>an authority should</w:t>
      </w:r>
      <w:r w:rsidR="00184C17" w:rsidRPr="00545C56">
        <w:rPr>
          <w:rFonts w:ascii="Times New Roman" w:hAnsi="Times New Roman"/>
          <w:bCs/>
          <w:sz w:val="24"/>
          <w:szCs w:val="24"/>
          <w:lang w:eastAsia="ro-RO"/>
        </w:rPr>
        <w:t xml:space="preserve"> adopt </w:t>
      </w:r>
      <w:r w:rsidR="004620A3" w:rsidRPr="00545C56">
        <w:rPr>
          <w:rFonts w:ascii="Times New Roman" w:hAnsi="Times New Roman"/>
          <w:bCs/>
          <w:sz w:val="24"/>
          <w:szCs w:val="24"/>
          <w:lang w:eastAsia="ro-RO"/>
        </w:rPr>
        <w:t>non-binding</w:t>
      </w:r>
      <w:r w:rsidR="00184C17" w:rsidRPr="00545C56">
        <w:rPr>
          <w:rFonts w:ascii="Times New Roman" w:hAnsi="Times New Roman"/>
          <w:bCs/>
          <w:sz w:val="24"/>
          <w:szCs w:val="24"/>
          <w:lang w:eastAsia="ro-RO"/>
        </w:rPr>
        <w:t xml:space="preserve"> too</w:t>
      </w:r>
      <w:r w:rsidR="004620A3" w:rsidRPr="00545C56">
        <w:rPr>
          <w:rFonts w:ascii="Times New Roman" w:hAnsi="Times New Roman"/>
          <w:bCs/>
          <w:sz w:val="24"/>
          <w:szCs w:val="24"/>
          <w:lang w:eastAsia="ro-RO"/>
        </w:rPr>
        <w:t>ls instead of adopting hard law.</w:t>
      </w:r>
      <w:r w:rsidR="003C4F38" w:rsidRPr="00545C56">
        <w:rPr>
          <w:rFonts w:ascii="Times New Roman" w:hAnsi="Times New Roman"/>
          <w:bCs/>
          <w:sz w:val="24"/>
          <w:szCs w:val="24"/>
          <w:lang w:eastAsia="ro-RO"/>
        </w:rPr>
        <w:t xml:space="preserve"> </w:t>
      </w:r>
    </w:p>
    <w:p w14:paraId="52B9B91D" w14:textId="77777777" w:rsidR="00625F46" w:rsidRPr="00545C56" w:rsidRDefault="00625F46" w:rsidP="00625F46">
      <w:pPr>
        <w:pStyle w:val="Listparagraf1"/>
        <w:spacing w:line="360" w:lineRule="auto"/>
        <w:ind w:left="0"/>
        <w:contextualSpacing w:val="0"/>
        <w:jc w:val="both"/>
        <w:rPr>
          <w:rFonts w:ascii="Times New Roman" w:hAnsi="Times New Roman"/>
          <w:bCs/>
          <w:sz w:val="24"/>
          <w:szCs w:val="24"/>
          <w:lang w:eastAsia="ro-RO"/>
        </w:rPr>
      </w:pPr>
    </w:p>
    <w:p w14:paraId="74F656C0" w14:textId="34D22FB1" w:rsidR="000D707F" w:rsidRPr="00545C56" w:rsidRDefault="0092242D" w:rsidP="00625F46">
      <w:pPr>
        <w:pStyle w:val="Listparagraf1"/>
        <w:spacing w:line="360" w:lineRule="auto"/>
        <w:ind w:left="0"/>
        <w:contextualSpacing w:val="0"/>
        <w:jc w:val="both"/>
        <w:rPr>
          <w:rFonts w:ascii="Times New Roman" w:hAnsi="Times New Roman"/>
          <w:sz w:val="24"/>
          <w:szCs w:val="24"/>
        </w:rPr>
      </w:pPr>
      <w:r w:rsidRPr="00545C56">
        <w:rPr>
          <w:rFonts w:ascii="Times New Roman" w:hAnsi="Times New Roman"/>
          <w:bCs/>
          <w:sz w:val="24"/>
          <w:szCs w:val="24"/>
          <w:lang w:eastAsia="ro-RO"/>
        </w:rPr>
        <w:t>T</w:t>
      </w:r>
      <w:r w:rsidR="003C4F38" w:rsidRPr="00545C56">
        <w:rPr>
          <w:rFonts w:ascii="Times New Roman" w:hAnsi="Times New Roman"/>
          <w:bCs/>
          <w:sz w:val="24"/>
          <w:szCs w:val="24"/>
          <w:lang w:eastAsia="ro-RO"/>
        </w:rPr>
        <w:t>he extremely popular Notice on the Notion of Aid</w:t>
      </w:r>
      <w:r w:rsidRPr="00545C56">
        <w:rPr>
          <w:rFonts w:ascii="Times New Roman" w:hAnsi="Times New Roman"/>
          <w:bCs/>
          <w:sz w:val="24"/>
          <w:szCs w:val="24"/>
          <w:lang w:eastAsia="ro-RO"/>
        </w:rPr>
        <w:t xml:space="preserve"> illustrates </w:t>
      </w:r>
      <w:r w:rsidR="00DD15A0" w:rsidRPr="00545C56">
        <w:rPr>
          <w:rFonts w:ascii="Times New Roman" w:hAnsi="Times New Roman"/>
          <w:bCs/>
          <w:sz w:val="24"/>
          <w:szCs w:val="24"/>
          <w:lang w:eastAsia="ro-RO"/>
        </w:rPr>
        <w:t>the importance of these</w:t>
      </w:r>
      <w:r w:rsidRPr="00545C56">
        <w:rPr>
          <w:rFonts w:ascii="Times New Roman" w:hAnsi="Times New Roman"/>
          <w:bCs/>
          <w:sz w:val="24"/>
          <w:szCs w:val="24"/>
          <w:lang w:eastAsia="ro-RO"/>
        </w:rPr>
        <w:t xml:space="preserve"> concerns. I</w:t>
      </w:r>
      <w:r w:rsidR="003C4F38" w:rsidRPr="00545C56">
        <w:rPr>
          <w:rFonts w:ascii="Times New Roman" w:hAnsi="Times New Roman"/>
          <w:bCs/>
          <w:sz w:val="24"/>
          <w:szCs w:val="24"/>
          <w:lang w:eastAsia="ro-RO"/>
        </w:rPr>
        <w:t>ssued in 2016</w:t>
      </w:r>
      <w:r w:rsidR="00971EDB" w:rsidRPr="00545C56">
        <w:rPr>
          <w:rFonts w:ascii="Times New Roman" w:hAnsi="Times New Roman"/>
          <w:bCs/>
          <w:sz w:val="24"/>
          <w:szCs w:val="24"/>
          <w:lang w:eastAsia="ro-RO"/>
        </w:rPr>
        <w:t>,</w:t>
      </w:r>
      <w:r w:rsidR="003C4F38" w:rsidRPr="00545C56">
        <w:rPr>
          <w:rFonts w:ascii="Times New Roman" w:hAnsi="Times New Roman"/>
          <w:bCs/>
          <w:sz w:val="24"/>
          <w:szCs w:val="24"/>
          <w:lang w:eastAsia="ro-RO"/>
        </w:rPr>
        <w:t xml:space="preserve"> </w:t>
      </w:r>
      <w:r w:rsidR="00DD15A0" w:rsidRPr="00545C56">
        <w:rPr>
          <w:rFonts w:ascii="Times New Roman" w:hAnsi="Times New Roman"/>
          <w:bCs/>
          <w:sz w:val="24"/>
          <w:szCs w:val="24"/>
          <w:lang w:eastAsia="ro-RO"/>
        </w:rPr>
        <w:t>the notice is</w:t>
      </w:r>
      <w:r w:rsidR="003C4F38" w:rsidRPr="00545C56">
        <w:rPr>
          <w:rFonts w:ascii="Times New Roman" w:hAnsi="Times New Roman"/>
          <w:bCs/>
          <w:sz w:val="24"/>
          <w:szCs w:val="24"/>
          <w:lang w:eastAsia="ro-RO"/>
        </w:rPr>
        <w:t xml:space="preserve"> already </w:t>
      </w:r>
      <w:r w:rsidR="000D707F" w:rsidRPr="00545C56">
        <w:rPr>
          <w:rFonts w:ascii="Times New Roman" w:hAnsi="Times New Roman"/>
          <w:sz w:val="24"/>
          <w:szCs w:val="24"/>
        </w:rPr>
        <w:t xml:space="preserve">amply relied on at the national level as shown by </w:t>
      </w:r>
      <w:proofErr w:type="spellStart"/>
      <w:r w:rsidR="000D707F" w:rsidRPr="00545C56">
        <w:rPr>
          <w:rFonts w:ascii="Times New Roman" w:hAnsi="Times New Roman"/>
          <w:sz w:val="24"/>
          <w:szCs w:val="24"/>
        </w:rPr>
        <w:t>SoLaR</w:t>
      </w:r>
      <w:proofErr w:type="spellEnd"/>
      <w:r w:rsidR="000D707F" w:rsidRPr="00545C56">
        <w:rPr>
          <w:rFonts w:ascii="Times New Roman" w:hAnsi="Times New Roman"/>
          <w:sz w:val="24"/>
          <w:szCs w:val="24"/>
        </w:rPr>
        <w:t xml:space="preserve"> research,</w:t>
      </w:r>
      <w:r w:rsidR="000D707F" w:rsidRPr="00545C56">
        <w:rPr>
          <w:rStyle w:val="FootnoteReference"/>
          <w:rFonts w:ascii="Times New Roman" w:hAnsi="Times New Roman"/>
          <w:sz w:val="24"/>
          <w:szCs w:val="24"/>
        </w:rPr>
        <w:footnoteReference w:id="106"/>
      </w:r>
      <w:r w:rsidR="000D707F" w:rsidRPr="00545C56">
        <w:rPr>
          <w:rFonts w:ascii="Times New Roman" w:hAnsi="Times New Roman"/>
          <w:sz w:val="24"/>
          <w:szCs w:val="24"/>
        </w:rPr>
        <w:t xml:space="preserve"> </w:t>
      </w:r>
      <w:r w:rsidR="00DD15A0" w:rsidRPr="00545C56">
        <w:rPr>
          <w:rFonts w:ascii="Times New Roman" w:hAnsi="Times New Roman"/>
          <w:sz w:val="24"/>
          <w:szCs w:val="24"/>
        </w:rPr>
        <w:t>and</w:t>
      </w:r>
      <w:r w:rsidR="000D707F" w:rsidRPr="00545C56">
        <w:rPr>
          <w:rFonts w:ascii="Times New Roman" w:hAnsi="Times New Roman"/>
          <w:sz w:val="24"/>
          <w:szCs w:val="24"/>
        </w:rPr>
        <w:t xml:space="preserve"> featur</w:t>
      </w:r>
      <w:r w:rsidRPr="00545C56">
        <w:rPr>
          <w:rFonts w:ascii="Times New Roman" w:hAnsi="Times New Roman"/>
          <w:sz w:val="24"/>
          <w:szCs w:val="24"/>
        </w:rPr>
        <w:t>es</w:t>
      </w:r>
      <w:r w:rsidR="000D707F" w:rsidRPr="00545C56">
        <w:rPr>
          <w:rFonts w:ascii="Times New Roman" w:hAnsi="Times New Roman"/>
          <w:sz w:val="24"/>
          <w:szCs w:val="24"/>
        </w:rPr>
        <w:t xml:space="preserve"> regularly in the case law of the ECJ.</w:t>
      </w:r>
      <w:r w:rsidR="000D707F" w:rsidRPr="00545C56">
        <w:rPr>
          <w:rStyle w:val="FootnoteReference"/>
          <w:rFonts w:ascii="Times New Roman" w:hAnsi="Times New Roman"/>
          <w:sz w:val="24"/>
          <w:szCs w:val="24"/>
        </w:rPr>
        <w:footnoteReference w:id="107"/>
      </w:r>
      <w:r w:rsidR="000D707F" w:rsidRPr="00545C56">
        <w:rPr>
          <w:rFonts w:ascii="Times New Roman" w:hAnsi="Times New Roman"/>
          <w:sz w:val="24"/>
          <w:szCs w:val="24"/>
        </w:rPr>
        <w:t xml:space="preserve"> </w:t>
      </w:r>
      <w:r w:rsidRPr="00545C56">
        <w:rPr>
          <w:rFonts w:ascii="Times New Roman" w:hAnsi="Times New Roman"/>
          <w:sz w:val="24"/>
          <w:szCs w:val="24"/>
        </w:rPr>
        <w:t>It</w:t>
      </w:r>
      <w:r w:rsidR="000D707F" w:rsidRPr="00545C56">
        <w:rPr>
          <w:rFonts w:ascii="Times New Roman" w:hAnsi="Times New Roman"/>
          <w:sz w:val="24"/>
          <w:szCs w:val="24"/>
        </w:rPr>
        <w:t xml:space="preserve"> codifies the rather convoluted case law of the ECJ defining the notion of State aid</w:t>
      </w:r>
      <w:r w:rsidRPr="00545C56">
        <w:rPr>
          <w:rFonts w:ascii="Times New Roman" w:hAnsi="Times New Roman"/>
          <w:sz w:val="24"/>
          <w:szCs w:val="24"/>
        </w:rPr>
        <w:t>.</w:t>
      </w:r>
      <w:r w:rsidR="000D707F" w:rsidRPr="00545C56">
        <w:rPr>
          <w:rFonts w:ascii="Times New Roman" w:hAnsi="Times New Roman"/>
          <w:sz w:val="24"/>
          <w:szCs w:val="24"/>
        </w:rPr>
        <w:t xml:space="preserve"> According to </w:t>
      </w:r>
      <w:r w:rsidRPr="00545C56">
        <w:rPr>
          <w:rFonts w:ascii="Times New Roman" w:hAnsi="Times New Roman"/>
          <w:sz w:val="24"/>
          <w:szCs w:val="24"/>
        </w:rPr>
        <w:t>Article 107 (1) TFEU</w:t>
      </w:r>
      <w:r w:rsidR="000D707F" w:rsidRPr="00545C56">
        <w:rPr>
          <w:rFonts w:ascii="Times New Roman" w:hAnsi="Times New Roman"/>
          <w:sz w:val="24"/>
          <w:szCs w:val="24"/>
        </w:rPr>
        <w:t xml:space="preserve">, support schemes granting a specific advantage to national industries and distort </w:t>
      </w:r>
      <w:r w:rsidRPr="00545C56">
        <w:rPr>
          <w:rFonts w:ascii="Times New Roman" w:hAnsi="Times New Roman"/>
          <w:sz w:val="24"/>
          <w:szCs w:val="24"/>
        </w:rPr>
        <w:t xml:space="preserve">EU competition and trade </w:t>
      </w:r>
      <w:r w:rsidR="000D707F" w:rsidRPr="00545C56">
        <w:rPr>
          <w:rFonts w:ascii="Times New Roman" w:hAnsi="Times New Roman"/>
          <w:sz w:val="24"/>
          <w:szCs w:val="24"/>
        </w:rPr>
        <w:t xml:space="preserve">are prohibited unless they are approved by the Commission, which enjoys discretion under Article 107 (2) and especially (3). The notice is controversial for two reasons. First, unlike other State aid soft law, this is an instrument issued within the ambit of Article 107 (1), which lays down the objective concept of State aid, an area where there is very little discretion for the Commission to exert or to explain. </w:t>
      </w:r>
      <w:r w:rsidR="000D707F" w:rsidRPr="00545C56">
        <w:rPr>
          <w:rFonts w:ascii="Times New Roman" w:hAnsi="Times New Roman"/>
          <w:bCs/>
          <w:iCs/>
          <w:sz w:val="24"/>
          <w:szCs w:val="24"/>
        </w:rPr>
        <w:t xml:space="preserve">Second, the Commission is limited in its interpretation of Article 107 (1) by the case law of the Court, as is also acknowledged by the Preamble to the Notice. </w:t>
      </w:r>
      <w:r w:rsidR="003C4F38" w:rsidRPr="00545C56">
        <w:rPr>
          <w:rFonts w:ascii="Times New Roman" w:hAnsi="Times New Roman"/>
          <w:bCs/>
          <w:iCs/>
          <w:sz w:val="24"/>
          <w:szCs w:val="24"/>
        </w:rPr>
        <w:t>Yet,</w:t>
      </w:r>
      <w:r w:rsidR="000D707F" w:rsidRPr="00545C56">
        <w:rPr>
          <w:rFonts w:ascii="Times New Roman" w:hAnsi="Times New Roman"/>
          <w:sz w:val="24"/>
          <w:szCs w:val="24"/>
        </w:rPr>
        <w:t xml:space="preserve"> many paragraphs of the Notice refer solely to Commission practice. </w:t>
      </w:r>
      <w:r w:rsidR="003C4F38" w:rsidRPr="00545C56">
        <w:rPr>
          <w:rFonts w:ascii="Times New Roman" w:hAnsi="Times New Roman"/>
          <w:sz w:val="24"/>
          <w:szCs w:val="24"/>
        </w:rPr>
        <w:t>Thus</w:t>
      </w:r>
      <w:r w:rsidR="000D707F" w:rsidRPr="00545C56">
        <w:rPr>
          <w:rFonts w:ascii="Times New Roman" w:hAnsi="Times New Roman"/>
          <w:sz w:val="24"/>
          <w:szCs w:val="24"/>
        </w:rPr>
        <w:t xml:space="preserve">, while the Notice must be commended for pooling a vast array of subtleties inherent within the notion of aid, its goal to promote transparency is undermined by the uneasy </w:t>
      </w:r>
      <w:r w:rsidR="000D707F" w:rsidRPr="00545C56">
        <w:rPr>
          <w:rFonts w:ascii="Times New Roman" w:hAnsi="Times New Roman"/>
          <w:sz w:val="24"/>
          <w:szCs w:val="24"/>
        </w:rPr>
        <w:lastRenderedPageBreak/>
        <w:t>mix of codified case law, views of the Commission on issues not yet decided by the ECJ, and views of the Commission on aspects pertaining to its limited discretion.</w:t>
      </w:r>
      <w:r w:rsidR="000D707F" w:rsidRPr="00545C56">
        <w:rPr>
          <w:rStyle w:val="FootnoteReference"/>
          <w:rFonts w:ascii="Times New Roman" w:hAnsi="Times New Roman"/>
          <w:sz w:val="24"/>
          <w:szCs w:val="24"/>
        </w:rPr>
        <w:footnoteReference w:id="108"/>
      </w:r>
    </w:p>
    <w:p w14:paraId="39FF7FF4" w14:textId="77777777" w:rsidR="00625F46" w:rsidRPr="00545C56" w:rsidRDefault="00625F46" w:rsidP="00625F46">
      <w:pPr>
        <w:pStyle w:val="Listparagraf1"/>
        <w:spacing w:line="360" w:lineRule="auto"/>
        <w:ind w:left="0"/>
        <w:contextualSpacing w:val="0"/>
        <w:jc w:val="both"/>
        <w:rPr>
          <w:rFonts w:ascii="Times New Roman" w:hAnsi="Times New Roman"/>
          <w:sz w:val="24"/>
          <w:szCs w:val="24"/>
        </w:rPr>
      </w:pPr>
    </w:p>
    <w:p w14:paraId="7E5046A0" w14:textId="7AB1C36B" w:rsidR="006479D8" w:rsidRPr="00545C56" w:rsidRDefault="00B12823" w:rsidP="006479D8">
      <w:pPr>
        <w:pStyle w:val="Listparagraf1"/>
        <w:spacing w:line="360" w:lineRule="auto"/>
        <w:ind w:left="0"/>
        <w:contextualSpacing w:val="0"/>
        <w:jc w:val="both"/>
        <w:rPr>
          <w:rFonts w:ascii="Times New Roman" w:hAnsi="Times New Roman"/>
          <w:sz w:val="24"/>
          <w:szCs w:val="24"/>
        </w:rPr>
      </w:pPr>
      <w:r w:rsidRPr="00545C56">
        <w:rPr>
          <w:rFonts w:ascii="Times New Roman" w:hAnsi="Times New Roman"/>
          <w:sz w:val="24"/>
          <w:szCs w:val="24"/>
        </w:rPr>
        <w:t>While it can be argued that issues related to the clarity, the legality, and ultimately the quality of regulation are not soft-law specific, it is important to highlight that in a soft law context such issues are difficult to correct. This is because of the very high justiciability thresholds</w:t>
      </w:r>
      <w:r w:rsidRPr="00545C56">
        <w:rPr>
          <w:rStyle w:val="FootnoteReference"/>
          <w:rFonts w:ascii="Times New Roman" w:hAnsi="Times New Roman"/>
          <w:sz w:val="24"/>
          <w:szCs w:val="24"/>
        </w:rPr>
        <w:footnoteReference w:id="109"/>
      </w:r>
      <w:r w:rsidRPr="00545C56">
        <w:rPr>
          <w:rFonts w:ascii="Times New Roman" w:hAnsi="Times New Roman"/>
          <w:sz w:val="24"/>
          <w:szCs w:val="24"/>
        </w:rPr>
        <w:t xml:space="preserve"> which make often impossible judicial review of such instruments,</w:t>
      </w:r>
      <w:r w:rsidR="006479D8" w:rsidRPr="00545C56">
        <w:rPr>
          <w:rStyle w:val="FootnoteReference"/>
          <w:rFonts w:ascii="Times New Roman" w:hAnsi="Times New Roman"/>
          <w:sz w:val="24"/>
          <w:szCs w:val="24"/>
        </w:rPr>
        <w:t xml:space="preserve"> </w:t>
      </w:r>
      <w:r w:rsidR="006479D8" w:rsidRPr="00545C56">
        <w:rPr>
          <w:rStyle w:val="FootnoteReference"/>
          <w:rFonts w:ascii="Times New Roman" w:hAnsi="Times New Roman"/>
          <w:sz w:val="24"/>
          <w:szCs w:val="24"/>
        </w:rPr>
        <w:footnoteReference w:id="110"/>
      </w:r>
      <w:r w:rsidRPr="00545C56">
        <w:rPr>
          <w:rFonts w:ascii="Times New Roman" w:hAnsi="Times New Roman"/>
          <w:sz w:val="24"/>
          <w:szCs w:val="24"/>
        </w:rPr>
        <w:t xml:space="preserve"> as well as because of the lack of wider participation in the p</w:t>
      </w:r>
      <w:r w:rsidR="006479D8" w:rsidRPr="00545C56">
        <w:rPr>
          <w:rFonts w:ascii="Times New Roman" w:hAnsi="Times New Roman"/>
          <w:sz w:val="24"/>
          <w:szCs w:val="24"/>
        </w:rPr>
        <w:t>rocess of adoption of soft law.</w:t>
      </w:r>
    </w:p>
    <w:p w14:paraId="1112D6A3" w14:textId="149DE6B2" w:rsidR="00B12823" w:rsidRPr="00545C56" w:rsidRDefault="00B12823" w:rsidP="00625F46">
      <w:pPr>
        <w:pStyle w:val="Listparagraf1"/>
        <w:spacing w:line="360" w:lineRule="auto"/>
        <w:ind w:left="0"/>
        <w:contextualSpacing w:val="0"/>
        <w:jc w:val="both"/>
        <w:rPr>
          <w:rFonts w:ascii="Times New Roman" w:hAnsi="Times New Roman"/>
          <w:sz w:val="24"/>
          <w:szCs w:val="24"/>
        </w:rPr>
      </w:pPr>
    </w:p>
    <w:p w14:paraId="19DC7521" w14:textId="77777777" w:rsidR="00625F46" w:rsidRPr="00545C56" w:rsidRDefault="00625F46" w:rsidP="00625F46">
      <w:pPr>
        <w:pStyle w:val="Listparagraf1"/>
        <w:spacing w:line="360" w:lineRule="auto"/>
        <w:ind w:left="0"/>
        <w:contextualSpacing w:val="0"/>
        <w:jc w:val="both"/>
        <w:rPr>
          <w:rFonts w:ascii="Times New Roman" w:hAnsi="Times New Roman"/>
          <w:sz w:val="24"/>
          <w:szCs w:val="24"/>
        </w:rPr>
      </w:pPr>
    </w:p>
    <w:p w14:paraId="7B709C66" w14:textId="4BF32444" w:rsidR="0095580D" w:rsidRPr="00545C56" w:rsidRDefault="00625F46" w:rsidP="005F099F">
      <w:pPr>
        <w:pStyle w:val="Heading1"/>
        <w:numPr>
          <w:ilvl w:val="0"/>
          <w:numId w:val="0"/>
        </w:numPr>
        <w:spacing w:before="0" w:line="360" w:lineRule="auto"/>
        <w:jc w:val="center"/>
        <w:rPr>
          <w:rFonts w:ascii="Times New Roman" w:hAnsi="Times New Roman" w:cs="Times New Roman"/>
          <w:color w:val="auto"/>
          <w:sz w:val="24"/>
          <w:szCs w:val="24"/>
        </w:rPr>
      </w:pPr>
      <w:r w:rsidRPr="00545C56">
        <w:rPr>
          <w:rFonts w:ascii="Times New Roman" w:hAnsi="Times New Roman" w:cs="Times New Roman"/>
          <w:color w:val="auto"/>
          <w:sz w:val="24"/>
          <w:szCs w:val="24"/>
        </w:rPr>
        <w:t xml:space="preserve">IV </w:t>
      </w:r>
      <w:r w:rsidR="005E0507" w:rsidRPr="00545C56">
        <w:rPr>
          <w:rFonts w:ascii="Times New Roman" w:hAnsi="Times New Roman" w:cs="Times New Roman"/>
          <w:color w:val="auto"/>
          <w:sz w:val="24"/>
          <w:szCs w:val="24"/>
        </w:rPr>
        <w:t xml:space="preserve">The </w:t>
      </w:r>
      <w:r w:rsidRPr="00545C56">
        <w:rPr>
          <w:rFonts w:ascii="Times New Roman" w:hAnsi="Times New Roman" w:cs="Times New Roman"/>
          <w:color w:val="auto"/>
          <w:sz w:val="24"/>
          <w:szCs w:val="24"/>
        </w:rPr>
        <w:t>R</w:t>
      </w:r>
      <w:r w:rsidR="005E0507" w:rsidRPr="00545C56">
        <w:rPr>
          <w:rFonts w:ascii="Times New Roman" w:hAnsi="Times New Roman" w:cs="Times New Roman"/>
          <w:color w:val="auto"/>
          <w:sz w:val="24"/>
          <w:szCs w:val="24"/>
        </w:rPr>
        <w:t xml:space="preserve">elational </w:t>
      </w:r>
      <w:r w:rsidRPr="00545C56">
        <w:rPr>
          <w:rFonts w:ascii="Times New Roman" w:hAnsi="Times New Roman" w:cs="Times New Roman"/>
          <w:color w:val="auto"/>
          <w:sz w:val="24"/>
          <w:szCs w:val="24"/>
        </w:rPr>
        <w:t>A</w:t>
      </w:r>
      <w:r w:rsidR="005E0507" w:rsidRPr="00545C56">
        <w:rPr>
          <w:rFonts w:ascii="Times New Roman" w:hAnsi="Times New Roman" w:cs="Times New Roman"/>
          <w:color w:val="auto"/>
          <w:sz w:val="24"/>
          <w:szCs w:val="24"/>
        </w:rPr>
        <w:t xml:space="preserve">spect of </w:t>
      </w:r>
      <w:r w:rsidRPr="00545C56">
        <w:rPr>
          <w:rFonts w:ascii="Times New Roman" w:hAnsi="Times New Roman" w:cs="Times New Roman"/>
          <w:color w:val="auto"/>
          <w:sz w:val="24"/>
          <w:szCs w:val="24"/>
        </w:rPr>
        <w:t>T</w:t>
      </w:r>
      <w:r w:rsidR="005E0507" w:rsidRPr="00545C56">
        <w:rPr>
          <w:rFonts w:ascii="Times New Roman" w:hAnsi="Times New Roman" w:cs="Times New Roman"/>
          <w:color w:val="auto"/>
          <w:sz w:val="24"/>
          <w:szCs w:val="24"/>
        </w:rPr>
        <w:t>ransparency</w:t>
      </w:r>
    </w:p>
    <w:p w14:paraId="39864363" w14:textId="77777777" w:rsidR="00625F46" w:rsidRPr="00545C56" w:rsidRDefault="00625F46" w:rsidP="00625F46">
      <w:pPr>
        <w:rPr>
          <w:lang w:eastAsia="en-GB"/>
        </w:rPr>
      </w:pPr>
    </w:p>
    <w:p w14:paraId="2BCA3D6C" w14:textId="0E367F18" w:rsidR="00DE5993" w:rsidRPr="00545C56" w:rsidRDefault="00582D07" w:rsidP="00625F46">
      <w:pPr>
        <w:spacing w:line="360" w:lineRule="auto"/>
        <w:jc w:val="both"/>
      </w:pPr>
      <w:r w:rsidRPr="00545C56">
        <w:t xml:space="preserve">The </w:t>
      </w:r>
      <w:r w:rsidR="00FE144B" w:rsidRPr="00545C56">
        <w:t>analysis</w:t>
      </w:r>
      <w:r w:rsidRPr="00545C56">
        <w:t xml:space="preserve"> </w:t>
      </w:r>
      <w:r w:rsidR="004E28B1" w:rsidRPr="00545C56">
        <w:t>now turns to limitations of transparency inherent in</w:t>
      </w:r>
      <w:r w:rsidRPr="00545C56">
        <w:t xml:space="preserve"> </w:t>
      </w:r>
      <w:r w:rsidR="0095580D" w:rsidRPr="00545C56">
        <w:t>the</w:t>
      </w:r>
      <w:r w:rsidRPr="00545C56">
        <w:t xml:space="preserve"> relationship between the forum and its observers, as well as </w:t>
      </w:r>
      <w:r w:rsidR="004E28B1" w:rsidRPr="00545C56">
        <w:t xml:space="preserve">the </w:t>
      </w:r>
      <w:r w:rsidRPr="00545C56">
        <w:t xml:space="preserve">relationship </w:t>
      </w:r>
      <w:r w:rsidR="004E28B1" w:rsidRPr="00545C56">
        <w:t>between transparency and</w:t>
      </w:r>
      <w:r w:rsidRPr="00545C56">
        <w:t xml:space="preserve"> other principles of law. </w:t>
      </w:r>
      <w:r w:rsidR="00505A62" w:rsidRPr="00545C56">
        <w:t>As mentioned in Section II, soft law has the potential to enhance the links between individuals and institutions</w:t>
      </w:r>
      <w:r w:rsidR="00DE5993" w:rsidRPr="00545C56">
        <w:t xml:space="preserve"> on the one hand and between EU and national institutions on the other</w:t>
      </w:r>
      <w:r w:rsidR="00505A62" w:rsidRPr="00545C56">
        <w:t xml:space="preserve">. </w:t>
      </w:r>
      <w:r w:rsidR="00355EF0" w:rsidRPr="00545C56">
        <w:t>The first</w:t>
      </w:r>
      <w:r w:rsidR="00DE5993" w:rsidRPr="00545C56">
        <w:t xml:space="preserve"> aspect of this relationship is participation in </w:t>
      </w:r>
      <w:r w:rsidR="00355EF0" w:rsidRPr="00545C56">
        <w:t>EU soft law</w:t>
      </w:r>
      <w:r w:rsidR="00DE5993" w:rsidRPr="00545C56">
        <w:t xml:space="preserve"> making</w:t>
      </w:r>
      <w:r w:rsidR="00355EF0" w:rsidRPr="00545C56">
        <w:t>,</w:t>
      </w:r>
      <w:r w:rsidR="00DE5993" w:rsidRPr="00545C56">
        <w:t xml:space="preserve"> </w:t>
      </w:r>
      <w:r w:rsidR="00355EF0" w:rsidRPr="00545C56">
        <w:t>which can concern</w:t>
      </w:r>
      <w:r w:rsidR="00DE5993" w:rsidRPr="00545C56">
        <w:t xml:space="preserve"> private parties and national authorities</w:t>
      </w:r>
      <w:r w:rsidR="00355EF0" w:rsidRPr="00545C56">
        <w:t xml:space="preserve"> alike</w:t>
      </w:r>
      <w:r w:rsidR="00DE5993" w:rsidRPr="00545C56">
        <w:t>. While legitimacy is not the primary focus of the analysis here,</w:t>
      </w:r>
      <w:r w:rsidR="00DE5993" w:rsidRPr="00545C56">
        <w:rPr>
          <w:rStyle w:val="FootnoteReference"/>
        </w:rPr>
        <w:footnoteReference w:id="111"/>
      </w:r>
      <w:r w:rsidR="00DE5993" w:rsidRPr="00545C56">
        <w:t xml:space="preserve"> public consultations will be briefly discussed as a specific soft </w:t>
      </w:r>
      <w:proofErr w:type="gramStart"/>
      <w:r w:rsidR="00DE5993" w:rsidRPr="00545C56">
        <w:t>law making</w:t>
      </w:r>
      <w:proofErr w:type="gramEnd"/>
      <w:r w:rsidR="00DE5993" w:rsidRPr="00545C56">
        <w:t xml:space="preserve"> mechanism. </w:t>
      </w:r>
      <w:r w:rsidR="00355EF0" w:rsidRPr="00545C56">
        <w:t xml:space="preserve">The second aspect concerns the potential of ‘regulation by publication’ to increase legal certainty, equality, and consistent application of EU law, yet this is rather limited by the limited effects that soft law can produce in a </w:t>
      </w:r>
      <w:r w:rsidR="006414C2" w:rsidRPr="00545C56">
        <w:t>multi-level</w:t>
      </w:r>
      <w:r w:rsidR="00355EF0" w:rsidRPr="00545C56">
        <w:t xml:space="preserve"> governance setting.</w:t>
      </w:r>
    </w:p>
    <w:p w14:paraId="6ED402FB" w14:textId="77777777" w:rsidR="00625F46" w:rsidRPr="00545C56" w:rsidRDefault="00625F46" w:rsidP="00625F46">
      <w:pPr>
        <w:spacing w:line="360" w:lineRule="auto"/>
        <w:jc w:val="both"/>
      </w:pPr>
    </w:p>
    <w:p w14:paraId="6120CEB5" w14:textId="1C8D099B" w:rsidR="00DE5993" w:rsidRPr="00545C56" w:rsidRDefault="00625F46" w:rsidP="00625F46">
      <w:pPr>
        <w:pStyle w:val="Heading2"/>
        <w:numPr>
          <w:ilvl w:val="0"/>
          <w:numId w:val="0"/>
        </w:numPr>
        <w:spacing w:before="0" w:line="360" w:lineRule="auto"/>
        <w:rPr>
          <w:rFonts w:ascii="Times New Roman" w:hAnsi="Times New Roman" w:cs="Times New Roman"/>
          <w:b w:val="0"/>
          <w:i/>
          <w:color w:val="auto"/>
          <w:sz w:val="24"/>
          <w:szCs w:val="24"/>
        </w:rPr>
      </w:pPr>
      <w:r w:rsidRPr="00545C56">
        <w:rPr>
          <w:rFonts w:ascii="Times New Roman" w:hAnsi="Times New Roman" w:cs="Times New Roman"/>
          <w:b w:val="0"/>
          <w:i/>
          <w:color w:val="auto"/>
          <w:sz w:val="24"/>
          <w:szCs w:val="24"/>
        </w:rPr>
        <w:t xml:space="preserve">A </w:t>
      </w:r>
      <w:r w:rsidR="00355EF0" w:rsidRPr="00545C56">
        <w:rPr>
          <w:rFonts w:ascii="Times New Roman" w:hAnsi="Times New Roman" w:cs="Times New Roman"/>
          <w:b w:val="0"/>
          <w:i/>
          <w:color w:val="auto"/>
          <w:sz w:val="24"/>
          <w:szCs w:val="24"/>
        </w:rPr>
        <w:t>Consultations</w:t>
      </w:r>
    </w:p>
    <w:p w14:paraId="3B97B4C9" w14:textId="77777777" w:rsidR="00F0208A" w:rsidRPr="00545C56" w:rsidRDefault="00F0208A" w:rsidP="00625F46">
      <w:pPr>
        <w:spacing w:line="360" w:lineRule="auto"/>
        <w:jc w:val="both"/>
      </w:pPr>
    </w:p>
    <w:p w14:paraId="45BE854B" w14:textId="5FB3F1E2" w:rsidR="00E81986" w:rsidRPr="00545C56" w:rsidRDefault="00E81986" w:rsidP="00625F46">
      <w:pPr>
        <w:spacing w:line="360" w:lineRule="auto"/>
        <w:jc w:val="both"/>
        <w:rPr>
          <w:color w:val="000000" w:themeColor="text1"/>
        </w:rPr>
      </w:pPr>
      <w:r w:rsidRPr="00545C56">
        <w:t>T</w:t>
      </w:r>
      <w:r w:rsidRPr="00545C56">
        <w:rPr>
          <w:color w:val="000000" w:themeColor="text1"/>
        </w:rPr>
        <w:t>he literature shows that, even if it is true that the Commission undertakes lengthy public consultation before publishing soft law, such consultations are not always systematic, and there is little information as to how they occur.</w:t>
      </w:r>
      <w:r w:rsidRPr="00545C56">
        <w:rPr>
          <w:rStyle w:val="FootnoteReference"/>
          <w:rFonts w:eastAsiaTheme="majorEastAsia"/>
          <w:color w:val="000000" w:themeColor="text1"/>
        </w:rPr>
        <w:footnoteReference w:id="112"/>
      </w:r>
      <w:r w:rsidRPr="00545C56">
        <w:rPr>
          <w:color w:val="000000" w:themeColor="text1"/>
        </w:rPr>
        <w:t xml:space="preserve"> A study on the OMC showed the prevalence of </w:t>
      </w:r>
      <w:r w:rsidRPr="00545C56">
        <w:rPr>
          <w:color w:val="000000" w:themeColor="text1"/>
        </w:rPr>
        <w:lastRenderedPageBreak/>
        <w:t>technocratic and bureaucratic forms of representation, as opposed to substantive political or functional ones. This was connected to fairly limited levels of transparency at both the EU and the national level, with OMC processes taking place behind closed doors.</w:t>
      </w:r>
      <w:r w:rsidRPr="00545C56">
        <w:rPr>
          <w:rStyle w:val="FootnoteReference"/>
          <w:color w:val="000000" w:themeColor="text1"/>
        </w:rPr>
        <w:footnoteReference w:id="113"/>
      </w:r>
      <w:r w:rsidRPr="00545C56">
        <w:rPr>
          <w:color w:val="000000" w:themeColor="text1"/>
        </w:rPr>
        <w:t xml:space="preserve"> As revealed also by Armstrong, in practice, the participation of various stakeholders’ rights in OMC processes were limited</w:t>
      </w:r>
      <w:r w:rsidR="002C4FEF" w:rsidRPr="00545C56">
        <w:rPr>
          <w:color w:val="000000" w:themeColor="text1"/>
        </w:rPr>
        <w:t>,</w:t>
      </w:r>
      <w:r w:rsidRPr="00545C56">
        <w:rPr>
          <w:rStyle w:val="FootnoteReference"/>
          <w:rFonts w:eastAsiaTheme="majorEastAsia"/>
          <w:color w:val="000000" w:themeColor="text1"/>
        </w:rPr>
        <w:footnoteReference w:id="114"/>
      </w:r>
      <w:r w:rsidRPr="00545C56">
        <w:rPr>
          <w:color w:val="000000" w:themeColor="text1"/>
        </w:rPr>
        <w:t xml:space="preserve"> resulting in uneven representation. </w:t>
      </w:r>
    </w:p>
    <w:p w14:paraId="5683451A" w14:textId="77777777" w:rsidR="00625F46" w:rsidRPr="00545C56" w:rsidRDefault="00625F46" w:rsidP="00625F46">
      <w:pPr>
        <w:spacing w:line="360" w:lineRule="auto"/>
        <w:jc w:val="both"/>
      </w:pPr>
    </w:p>
    <w:p w14:paraId="44DA3F9D" w14:textId="1553549B" w:rsidR="00E92E86" w:rsidRPr="00545C56" w:rsidRDefault="00E81986" w:rsidP="00625F46">
      <w:pPr>
        <w:spacing w:line="360" w:lineRule="auto"/>
        <w:jc w:val="both"/>
      </w:pPr>
      <w:r w:rsidRPr="00545C56">
        <w:rPr>
          <w:lang w:eastAsia="en-GB"/>
        </w:rPr>
        <w:t>The lack of participation seems to be however, forum and sector dependent.</w:t>
      </w:r>
      <w:r w:rsidR="00F0208A" w:rsidRPr="00545C56">
        <w:t xml:space="preserve"> </w:t>
      </w:r>
      <w:r w:rsidR="00E92E86" w:rsidRPr="00545C56">
        <w:t>Consultations on new soft law are frequently organised</w:t>
      </w:r>
      <w:r w:rsidR="00F0208A" w:rsidRPr="00545C56">
        <w:t xml:space="preserve"> in competition and State aid law, as well as in other areas – such as energy, with consultation procedures required sometimes by hard law instruments. </w:t>
      </w:r>
    </w:p>
    <w:p w14:paraId="35CF52AE" w14:textId="38E16832" w:rsidR="00E92E86" w:rsidRPr="00545C56" w:rsidRDefault="00E92E86" w:rsidP="00625F46">
      <w:pPr>
        <w:spacing w:line="360" w:lineRule="auto"/>
        <w:jc w:val="both"/>
        <w:rPr>
          <w:lang w:eastAsia="en-GB"/>
        </w:rPr>
      </w:pPr>
      <w:r w:rsidRPr="00545C56">
        <w:rPr>
          <w:lang w:eastAsia="en-GB"/>
        </w:rPr>
        <w:t>In competition and State aid the process is relatively streamlined.</w:t>
      </w:r>
      <w:r w:rsidRPr="00545C56">
        <w:rPr>
          <w:rStyle w:val="FootnoteReference"/>
          <w:lang w:eastAsia="en-GB"/>
        </w:rPr>
        <w:footnoteReference w:id="115"/>
      </w:r>
      <w:r w:rsidRPr="00545C56">
        <w:rPr>
          <w:lang w:eastAsia="en-GB"/>
        </w:rPr>
        <w:t xml:space="preserve"> This has been also observed by </w:t>
      </w:r>
      <w:proofErr w:type="spellStart"/>
      <w:r w:rsidRPr="00545C56">
        <w:rPr>
          <w:lang w:eastAsia="en-GB"/>
        </w:rPr>
        <w:t>SoLaR</w:t>
      </w:r>
      <w:proofErr w:type="spellEnd"/>
      <w:r w:rsidRPr="00545C56">
        <w:rPr>
          <w:lang w:eastAsia="en-GB"/>
        </w:rPr>
        <w:t xml:space="preserve"> interviewees, for instance, by Finnish official who tagged competition soft law as ‘democratic’ as drafted following discussions with </w:t>
      </w:r>
      <w:r w:rsidR="00396EE7" w:rsidRPr="00545C56">
        <w:rPr>
          <w:lang w:eastAsia="en-GB"/>
        </w:rPr>
        <w:t xml:space="preserve">Member State </w:t>
      </w:r>
      <w:r w:rsidRPr="00545C56">
        <w:rPr>
          <w:lang w:eastAsia="en-GB"/>
        </w:rPr>
        <w:t>representatives.</w:t>
      </w:r>
      <w:bookmarkStart w:id="17" w:name="_Ref47716926"/>
      <w:r w:rsidRPr="00545C56">
        <w:rPr>
          <w:rStyle w:val="FootnoteReference"/>
          <w:lang w:eastAsia="en-GB"/>
        </w:rPr>
        <w:footnoteReference w:id="116"/>
      </w:r>
      <w:bookmarkEnd w:id="17"/>
      <w:r w:rsidRPr="00545C56">
        <w:rPr>
          <w:lang w:eastAsia="en-GB"/>
        </w:rPr>
        <w:t xml:space="preserve"> Only Italian respondents were marginally dissatisfied with the participatory aspect of EU soft law transparency (the view expressed was that the real problems in competition and State aid do not relate to soft law).</w:t>
      </w:r>
      <w:r w:rsidRPr="00545C56">
        <w:rPr>
          <w:rStyle w:val="FootnoteReference"/>
          <w:lang w:eastAsia="en-GB"/>
        </w:rPr>
        <w:footnoteReference w:id="117"/>
      </w:r>
      <w:r w:rsidRPr="00545C56">
        <w:rPr>
          <w:lang w:eastAsia="en-GB"/>
        </w:rPr>
        <w:t xml:space="preserve"> It was considered that the text of the proposal submitted to public consultation is already a compromise, with consultations becoming a simple formality, not capable of influencing the content of the measure at issue. In relation to State aid, it was mentioned that it is impossible to check whether public consultations were taken into consideration by the Commission. While all documentation is available on the webpage of DG Comp, one would have to carry out extensive analysis to see how many of the arguments expressed by the participants made it in the final text.</w:t>
      </w:r>
      <w:r w:rsidRPr="00545C56">
        <w:rPr>
          <w:rStyle w:val="FootnoteReference"/>
          <w:lang w:eastAsia="en-GB"/>
        </w:rPr>
        <w:footnoteReference w:id="118"/>
      </w:r>
      <w:r w:rsidRPr="00545C56">
        <w:rPr>
          <w:lang w:eastAsia="en-GB"/>
        </w:rPr>
        <w:t xml:space="preserve"> </w:t>
      </w:r>
    </w:p>
    <w:p w14:paraId="04FEE245" w14:textId="77777777" w:rsidR="00625F46" w:rsidRPr="00545C56" w:rsidRDefault="00625F46" w:rsidP="00625F46">
      <w:pPr>
        <w:spacing w:line="360" w:lineRule="auto"/>
        <w:jc w:val="both"/>
        <w:rPr>
          <w:lang w:eastAsia="en-GB"/>
        </w:rPr>
      </w:pPr>
    </w:p>
    <w:p w14:paraId="7BED6144" w14:textId="3A670E3F" w:rsidR="00E84515" w:rsidRPr="00545C56" w:rsidRDefault="00E84515" w:rsidP="00625F46">
      <w:pPr>
        <w:spacing w:line="360" w:lineRule="auto"/>
        <w:jc w:val="both"/>
        <w:rPr>
          <w:color w:val="000000" w:themeColor="text1"/>
        </w:rPr>
      </w:pPr>
      <w:r w:rsidRPr="00545C56">
        <w:rPr>
          <w:color w:val="000000" w:themeColor="text1"/>
        </w:rPr>
        <w:t>With regards to environmental EU guidance, French</w:t>
      </w:r>
      <w:r w:rsidRPr="00545C56">
        <w:rPr>
          <w:rStyle w:val="FootnoteReference"/>
          <w:color w:val="000000" w:themeColor="text1"/>
        </w:rPr>
        <w:footnoteReference w:id="119"/>
      </w:r>
      <w:r w:rsidRPr="00545C56">
        <w:rPr>
          <w:color w:val="000000" w:themeColor="text1"/>
        </w:rPr>
        <w:t xml:space="preserve"> and Slovenian</w:t>
      </w:r>
      <w:r w:rsidRPr="00545C56">
        <w:rPr>
          <w:rStyle w:val="FootnoteReference"/>
          <w:color w:val="000000" w:themeColor="text1"/>
        </w:rPr>
        <w:footnoteReference w:id="120"/>
      </w:r>
      <w:r w:rsidRPr="00545C56">
        <w:rPr>
          <w:color w:val="000000" w:themeColor="text1"/>
        </w:rPr>
        <w:t xml:space="preserve"> officials interviewed by the </w:t>
      </w:r>
      <w:proofErr w:type="spellStart"/>
      <w:r w:rsidRPr="00545C56">
        <w:rPr>
          <w:color w:val="000000" w:themeColor="text1"/>
        </w:rPr>
        <w:t>SoLaR</w:t>
      </w:r>
      <w:proofErr w:type="spellEnd"/>
      <w:r w:rsidRPr="00545C56">
        <w:rPr>
          <w:color w:val="000000" w:themeColor="text1"/>
        </w:rPr>
        <w:t xml:space="preserve"> team agreed that the Commission does not involve Member States enough in the </w:t>
      </w:r>
      <w:r w:rsidRPr="00545C56">
        <w:rPr>
          <w:color w:val="000000" w:themeColor="text1"/>
        </w:rPr>
        <w:lastRenderedPageBreak/>
        <w:t>process of drafting, which in turn may impair transparency and consistency</w:t>
      </w:r>
      <w:r w:rsidR="00F90E42" w:rsidRPr="00545C56">
        <w:rPr>
          <w:color w:val="000000" w:themeColor="text1"/>
        </w:rPr>
        <w:t>. Paradoxically, this lack of consultation</w:t>
      </w:r>
      <w:r w:rsidRPr="00545C56">
        <w:rPr>
          <w:color w:val="000000" w:themeColor="text1"/>
        </w:rPr>
        <w:t xml:space="preserve"> </w:t>
      </w:r>
      <w:r w:rsidR="0063062F" w:rsidRPr="00545C56">
        <w:rPr>
          <w:color w:val="000000" w:themeColor="text1"/>
        </w:rPr>
        <w:t xml:space="preserve">does </w:t>
      </w:r>
      <w:r w:rsidRPr="00545C56">
        <w:rPr>
          <w:color w:val="000000" w:themeColor="text1"/>
        </w:rPr>
        <w:t>not deter compliance at the national level.</w:t>
      </w:r>
      <w:r w:rsidRPr="00545C56">
        <w:rPr>
          <w:rStyle w:val="FootnoteReference"/>
          <w:color w:val="000000" w:themeColor="text1"/>
        </w:rPr>
        <w:footnoteReference w:id="121"/>
      </w:r>
    </w:p>
    <w:p w14:paraId="662C1D33" w14:textId="77777777" w:rsidR="00396EE7" w:rsidRPr="00545C56" w:rsidRDefault="00396EE7" w:rsidP="00625F46">
      <w:pPr>
        <w:spacing w:line="360" w:lineRule="auto"/>
        <w:jc w:val="both"/>
        <w:rPr>
          <w:color w:val="000000" w:themeColor="text1"/>
        </w:rPr>
      </w:pPr>
    </w:p>
    <w:p w14:paraId="390C58A7" w14:textId="1E9A56B0" w:rsidR="00E81986" w:rsidRPr="00545C56" w:rsidRDefault="00F0208A" w:rsidP="00625F46">
      <w:pPr>
        <w:spacing w:line="360" w:lineRule="auto"/>
        <w:jc w:val="both"/>
        <w:rPr>
          <w:color w:val="000000" w:themeColor="text1"/>
        </w:rPr>
      </w:pPr>
      <w:r w:rsidRPr="00545C56">
        <w:t>Consultations are not required only for soft law issued by the Commission, but also for soft law issued by EU agencies. For instance, consultations</w:t>
      </w:r>
      <w:r w:rsidR="00E92E86" w:rsidRPr="00545C56">
        <w:t xml:space="preserve"> have to be organised</w:t>
      </w:r>
      <w:r w:rsidRPr="00545C56">
        <w:t xml:space="preserve">, wherever appropriate, in order to issue guidance </w:t>
      </w:r>
      <w:r w:rsidR="00E92E86" w:rsidRPr="00545C56">
        <w:t xml:space="preserve">according to Article 16 of the ESAs Regulations. </w:t>
      </w:r>
      <w:r w:rsidR="00E81986" w:rsidRPr="00545C56">
        <w:rPr>
          <w:color w:val="000000" w:themeColor="text1"/>
        </w:rPr>
        <w:t xml:space="preserve">However, </w:t>
      </w:r>
      <w:proofErr w:type="spellStart"/>
      <w:r w:rsidR="00FD4BD6" w:rsidRPr="00545C56">
        <w:rPr>
          <w:color w:val="000000" w:themeColor="text1"/>
        </w:rPr>
        <w:t>SoLaR</w:t>
      </w:r>
      <w:proofErr w:type="spellEnd"/>
      <w:r w:rsidR="00E81986" w:rsidRPr="00545C56">
        <w:rPr>
          <w:color w:val="000000" w:themeColor="text1"/>
        </w:rPr>
        <w:t xml:space="preserve"> interviews confirm </w:t>
      </w:r>
      <w:r w:rsidR="00FD4BD6" w:rsidRPr="00545C56">
        <w:rPr>
          <w:color w:val="000000" w:themeColor="text1"/>
        </w:rPr>
        <w:t>participation</w:t>
      </w:r>
      <w:r w:rsidR="00E81986" w:rsidRPr="00545C56">
        <w:rPr>
          <w:color w:val="000000" w:themeColor="text1"/>
        </w:rPr>
        <w:t xml:space="preserve"> concerns in relation to ESAs soft law. According to civil servants working in the area of financial regulation in Finland, it is unclear whether consultations have any actual effect, and, what is more, negotiations points are sometimes reopened in order to push for certain positions.</w:t>
      </w:r>
      <w:r w:rsidR="00E81986" w:rsidRPr="00545C56">
        <w:rPr>
          <w:rStyle w:val="FootnoteReference"/>
          <w:color w:val="000000" w:themeColor="text1"/>
        </w:rPr>
        <w:footnoteReference w:id="122"/>
      </w:r>
      <w:r w:rsidR="00E81986" w:rsidRPr="00545C56">
        <w:rPr>
          <w:color w:val="000000" w:themeColor="text1"/>
        </w:rPr>
        <w:t xml:space="preserve"> </w:t>
      </w:r>
    </w:p>
    <w:p w14:paraId="172640F4" w14:textId="77777777" w:rsidR="00625F46" w:rsidRPr="00545C56" w:rsidRDefault="00625F46" w:rsidP="00625F46">
      <w:pPr>
        <w:spacing w:line="360" w:lineRule="auto"/>
        <w:jc w:val="both"/>
        <w:rPr>
          <w:lang w:eastAsia="en-GB"/>
        </w:rPr>
      </w:pPr>
    </w:p>
    <w:p w14:paraId="72D9210F" w14:textId="21FC6293" w:rsidR="006414C2" w:rsidRPr="00545C56" w:rsidRDefault="00E84515" w:rsidP="00625F46">
      <w:pPr>
        <w:spacing w:line="360" w:lineRule="auto"/>
        <w:jc w:val="both"/>
        <w:rPr>
          <w:lang w:eastAsia="en-GB"/>
        </w:rPr>
      </w:pPr>
      <w:r w:rsidRPr="00545C56">
        <w:rPr>
          <w:lang w:eastAsia="en-GB"/>
        </w:rPr>
        <w:t xml:space="preserve">More research is needed in order to assess the robustness of these consultations and their relevance for the legitimacy of soft law. With regards to the relational aspect of transparency, of interest for this </w:t>
      </w:r>
      <w:r w:rsidR="007C7833" w:rsidRPr="00545C56">
        <w:rPr>
          <w:lang w:eastAsia="en-GB"/>
        </w:rPr>
        <w:t>chapter</w:t>
      </w:r>
      <w:r w:rsidRPr="00545C56">
        <w:rPr>
          <w:lang w:eastAsia="en-GB"/>
        </w:rPr>
        <w:t>, the views from national civil servants</w:t>
      </w:r>
      <w:r w:rsidR="004221F9" w:rsidRPr="00545C56">
        <w:rPr>
          <w:lang w:eastAsia="en-GB"/>
        </w:rPr>
        <w:t xml:space="preserve"> are very important, with a shared feeling emerging that national perspectives are not always taken into account when drafting EU soft law</w:t>
      </w:r>
      <w:r w:rsidRPr="00545C56">
        <w:rPr>
          <w:lang w:eastAsia="en-GB"/>
        </w:rPr>
        <w:t>.</w:t>
      </w:r>
      <w:r w:rsidR="002C3191" w:rsidRPr="00545C56">
        <w:rPr>
          <w:lang w:eastAsia="en-GB"/>
        </w:rPr>
        <w:t xml:space="preserve"> This leads to the conclusion that EU soft law creates one-way relationships, with the Commission simply informing of its intentions but not always listening to national voices. </w:t>
      </w:r>
    </w:p>
    <w:p w14:paraId="319685B1" w14:textId="77777777" w:rsidR="00625F46" w:rsidRPr="00545C56" w:rsidRDefault="00625F46" w:rsidP="00625F46">
      <w:pPr>
        <w:spacing w:line="360" w:lineRule="auto"/>
        <w:jc w:val="both"/>
        <w:rPr>
          <w:lang w:eastAsia="en-GB"/>
        </w:rPr>
      </w:pPr>
    </w:p>
    <w:p w14:paraId="0ED63862" w14:textId="111FB428" w:rsidR="006414C2" w:rsidRPr="00545C56" w:rsidRDefault="00625F46" w:rsidP="00625F46">
      <w:pPr>
        <w:pStyle w:val="Heading2"/>
        <w:numPr>
          <w:ilvl w:val="0"/>
          <w:numId w:val="0"/>
        </w:numPr>
        <w:spacing w:before="0" w:line="360" w:lineRule="auto"/>
        <w:rPr>
          <w:rFonts w:ascii="Times New Roman" w:hAnsi="Times New Roman" w:cs="Times New Roman"/>
          <w:b w:val="0"/>
          <w:i/>
          <w:color w:val="auto"/>
          <w:sz w:val="24"/>
          <w:szCs w:val="24"/>
        </w:rPr>
      </w:pPr>
      <w:r w:rsidRPr="00545C56">
        <w:rPr>
          <w:rFonts w:ascii="Times New Roman" w:hAnsi="Times New Roman" w:cs="Times New Roman"/>
          <w:b w:val="0"/>
          <w:i/>
          <w:color w:val="auto"/>
          <w:sz w:val="24"/>
          <w:szCs w:val="24"/>
        </w:rPr>
        <w:t xml:space="preserve">B </w:t>
      </w:r>
      <w:r w:rsidR="006414C2" w:rsidRPr="00545C56">
        <w:rPr>
          <w:rFonts w:ascii="Times New Roman" w:hAnsi="Times New Roman" w:cs="Times New Roman"/>
          <w:b w:val="0"/>
          <w:i/>
          <w:color w:val="auto"/>
          <w:sz w:val="24"/>
          <w:szCs w:val="24"/>
        </w:rPr>
        <w:t>Transparency and other principles of law</w:t>
      </w:r>
    </w:p>
    <w:p w14:paraId="0734D71D" w14:textId="77777777" w:rsidR="006414C2" w:rsidRPr="00545C56" w:rsidRDefault="006414C2" w:rsidP="00625F46">
      <w:pPr>
        <w:spacing w:line="360" w:lineRule="auto"/>
        <w:jc w:val="both"/>
      </w:pPr>
    </w:p>
    <w:p w14:paraId="39BC0790" w14:textId="4BE0B2CA" w:rsidR="006F508B" w:rsidRPr="00545C56" w:rsidRDefault="006414C2" w:rsidP="00625F46">
      <w:pPr>
        <w:spacing w:line="360" w:lineRule="auto"/>
        <w:jc w:val="both"/>
        <w:rPr>
          <w:iCs/>
        </w:rPr>
      </w:pPr>
      <w:r w:rsidRPr="00545C56">
        <w:t>Transparent ‘regulation by publication</w:t>
      </w:r>
      <w:r w:rsidR="00CA49B9" w:rsidRPr="00545C56">
        <w:t>’</w:t>
      </w:r>
      <w:r w:rsidR="00DE5993" w:rsidRPr="00545C56">
        <w:t xml:space="preserve"> </w:t>
      </w:r>
      <w:r w:rsidR="00CA49B9" w:rsidRPr="00545C56">
        <w:t xml:space="preserve">can, in principle, enhance </w:t>
      </w:r>
      <w:r w:rsidR="00DE5993" w:rsidRPr="00545C56">
        <w:t xml:space="preserve">legal certainty. This link is not always clear, with </w:t>
      </w:r>
      <w:proofErr w:type="spellStart"/>
      <w:r w:rsidR="00DE5993" w:rsidRPr="00545C56">
        <w:t>Birkinshaw</w:t>
      </w:r>
      <w:proofErr w:type="spellEnd"/>
      <w:r w:rsidR="00DE5993" w:rsidRPr="00545C56">
        <w:t xml:space="preserve"> finding that </w:t>
      </w:r>
      <w:r w:rsidR="00DE5993" w:rsidRPr="00545C56">
        <w:rPr>
          <w:iCs/>
        </w:rPr>
        <w:t>the notion of open government has been used in a pejorative sense, as provision of ‘access to information under non</w:t>
      </w:r>
      <w:r w:rsidR="00801FAE" w:rsidRPr="00545C56">
        <w:rPr>
          <w:iCs/>
        </w:rPr>
        <w:t>-</w:t>
      </w:r>
      <w:r w:rsidR="00DE5993" w:rsidRPr="00545C56">
        <w:rPr>
          <w:iCs/>
        </w:rPr>
        <w:t>legally binding codes that do not create rights’.</w:t>
      </w:r>
      <w:r w:rsidR="00DE5993" w:rsidRPr="00545C56">
        <w:rPr>
          <w:rStyle w:val="FootnoteReference"/>
          <w:rFonts w:eastAsiaTheme="majorEastAsia"/>
        </w:rPr>
        <w:footnoteReference w:id="123"/>
      </w:r>
      <w:r w:rsidR="00DE5993" w:rsidRPr="00545C56">
        <w:rPr>
          <w:iCs/>
        </w:rPr>
        <w:t xml:space="preserve"> Yet, this is not always the case, and the intensity of the link between </w:t>
      </w:r>
      <w:r w:rsidR="00882A68" w:rsidRPr="00545C56">
        <w:rPr>
          <w:iCs/>
        </w:rPr>
        <w:t>transparency and legal certainty varies</w:t>
      </w:r>
      <w:r w:rsidR="00DE5993" w:rsidRPr="00545C56">
        <w:rPr>
          <w:iCs/>
        </w:rPr>
        <w:t xml:space="preserve"> in function of the sectors and levels of EU governance. </w:t>
      </w:r>
    </w:p>
    <w:p w14:paraId="18B51E23" w14:textId="77777777" w:rsidR="00625F46" w:rsidRPr="00545C56" w:rsidRDefault="00625F46" w:rsidP="00625F46">
      <w:pPr>
        <w:spacing w:line="360" w:lineRule="auto"/>
        <w:jc w:val="both"/>
        <w:rPr>
          <w:iCs/>
        </w:rPr>
      </w:pPr>
    </w:p>
    <w:p w14:paraId="73250E49" w14:textId="6A5E6390" w:rsidR="006F508B" w:rsidRPr="00545C56" w:rsidRDefault="00DE5993" w:rsidP="00625F46">
      <w:pPr>
        <w:spacing w:line="360" w:lineRule="auto"/>
        <w:jc w:val="both"/>
      </w:pPr>
      <w:r w:rsidRPr="00545C56">
        <w:rPr>
          <w:iCs/>
        </w:rPr>
        <w:t xml:space="preserve">In some sectors this link is particularly weak, given the judicial reluctance to </w:t>
      </w:r>
      <w:r w:rsidR="00A519AC" w:rsidRPr="00545C56">
        <w:rPr>
          <w:iCs/>
        </w:rPr>
        <w:t xml:space="preserve">recognise </w:t>
      </w:r>
      <w:r w:rsidRPr="00545C56">
        <w:rPr>
          <w:iCs/>
        </w:rPr>
        <w:t xml:space="preserve">legal effects of soft law. This was found in relation </w:t>
      </w:r>
      <w:r w:rsidR="00801FAE" w:rsidRPr="00545C56">
        <w:rPr>
          <w:iCs/>
        </w:rPr>
        <w:t>to</w:t>
      </w:r>
      <w:r w:rsidRPr="00545C56">
        <w:rPr>
          <w:iCs/>
        </w:rPr>
        <w:t xml:space="preserve"> the Lisbon Agenda and the OMC,</w:t>
      </w:r>
      <w:bookmarkStart w:id="18" w:name="_Ref420570788"/>
      <w:r w:rsidRPr="00545C56">
        <w:rPr>
          <w:rStyle w:val="FootnoteReference"/>
          <w:rFonts w:eastAsiaTheme="majorEastAsia"/>
          <w:lang w:bidi="en-US"/>
        </w:rPr>
        <w:t xml:space="preserve"> </w:t>
      </w:r>
      <w:r w:rsidRPr="00545C56">
        <w:rPr>
          <w:rStyle w:val="FootnoteReference"/>
          <w:rFonts w:eastAsiaTheme="majorEastAsia"/>
          <w:lang w:bidi="en-US"/>
        </w:rPr>
        <w:footnoteReference w:id="124"/>
      </w:r>
      <w:bookmarkEnd w:id="18"/>
      <w:r w:rsidRPr="00545C56">
        <w:rPr>
          <w:lang w:bidi="en-US"/>
        </w:rPr>
        <w:t xml:space="preserve"> </w:t>
      </w:r>
      <w:r w:rsidRPr="00545C56">
        <w:rPr>
          <w:iCs/>
        </w:rPr>
        <w:t xml:space="preserve">as well as </w:t>
      </w:r>
      <w:r w:rsidRPr="00545C56">
        <w:rPr>
          <w:lang w:bidi="en-US"/>
        </w:rPr>
        <w:t xml:space="preserve">for standalone soft law instruments issued in the social sphere, which do not necessarily </w:t>
      </w:r>
      <w:r w:rsidRPr="00545C56">
        <w:rPr>
          <w:lang w:bidi="en-US"/>
        </w:rPr>
        <w:lastRenderedPageBreak/>
        <w:t>accompany hard law.</w:t>
      </w:r>
      <w:bookmarkStart w:id="19" w:name="_Ref420570779"/>
      <w:r w:rsidRPr="00545C56">
        <w:rPr>
          <w:rStyle w:val="FootnoteReference"/>
          <w:rFonts w:eastAsiaTheme="majorEastAsia"/>
          <w:lang w:bidi="en-US"/>
        </w:rPr>
        <w:footnoteReference w:id="125"/>
      </w:r>
      <w:bookmarkEnd w:id="19"/>
      <w:r w:rsidRPr="00545C56">
        <w:rPr>
          <w:lang w:bidi="en-US"/>
        </w:rPr>
        <w:t xml:space="preserve"> However, in other sectors, </w:t>
      </w:r>
      <w:r w:rsidRPr="00545C56">
        <w:t>soft law can be enforced through the traditional judicial route, hence creating rights and obligations.</w:t>
      </w:r>
      <w:bookmarkStart w:id="20" w:name="_Ref420570647"/>
      <w:r w:rsidRPr="00545C56">
        <w:rPr>
          <w:rStyle w:val="FootnoteReference"/>
          <w:rFonts w:eastAsiaTheme="majorEastAsia"/>
        </w:rPr>
        <w:footnoteReference w:id="126"/>
      </w:r>
      <w:bookmarkEnd w:id="20"/>
      <w:r w:rsidRPr="00545C56">
        <w:t xml:space="preserve"> </w:t>
      </w:r>
      <w:r w:rsidRPr="00545C56">
        <w:rPr>
          <w:lang w:bidi="en-US"/>
        </w:rPr>
        <w:t xml:space="preserve">In competition, soft law might be considered binding for the enacting institution. As laid down in cases such </w:t>
      </w:r>
      <w:r w:rsidRPr="00545C56">
        <w:rPr>
          <w:i/>
          <w:lang w:bidi="en-US"/>
        </w:rPr>
        <w:t xml:space="preserve">Dansk </w:t>
      </w:r>
      <w:proofErr w:type="spellStart"/>
      <w:r w:rsidRPr="00545C56">
        <w:rPr>
          <w:i/>
          <w:lang w:bidi="en-US"/>
        </w:rPr>
        <w:t>Rørindustri</w:t>
      </w:r>
      <w:proofErr w:type="spellEnd"/>
      <w:r w:rsidRPr="00545C56">
        <w:rPr>
          <w:lang w:bidi="en-US"/>
        </w:rPr>
        <w:t xml:space="preserve">, by publishing soft law, the Commission </w:t>
      </w:r>
      <w:r w:rsidRPr="00545C56">
        <w:rPr>
          <w:lang w:eastAsia="ro-RO"/>
        </w:rPr>
        <w:t>imposes a limit on the exercise of its discretion and cannot depart from those rules under risk of being found to be in breach of the general principles of law such as equal treatment or the protection of legitimate expectations.</w:t>
      </w:r>
      <w:r w:rsidRPr="00545C56">
        <w:rPr>
          <w:vertAlign w:val="superscript"/>
          <w:lang w:eastAsia="ro-RO"/>
        </w:rPr>
        <w:footnoteReference w:id="127"/>
      </w:r>
      <w:r w:rsidRPr="00545C56">
        <w:rPr>
          <w:lang w:eastAsia="ro-RO"/>
        </w:rPr>
        <w:t xml:space="preserve"> </w:t>
      </w:r>
      <w:r w:rsidRPr="00545C56">
        <w:rPr>
          <w:lang w:bidi="en-US"/>
        </w:rPr>
        <w:t>Thus, binding effects for soft law</w:t>
      </w:r>
      <w:r w:rsidRPr="00545C56">
        <w:rPr>
          <w:rStyle w:val="FootnoteTextChar"/>
          <w:rFonts w:ascii="Times New Roman" w:eastAsiaTheme="minorEastAsia" w:hAnsi="Times New Roman"/>
          <w:sz w:val="24"/>
          <w:szCs w:val="24"/>
          <w:lang w:val="en-GB" w:eastAsia="ro-RO"/>
        </w:rPr>
        <w:t xml:space="preserve"> are not automatically acknowledged by the Court, but are mediated through the operation of general principles of law. In this respect transparency is crucial</w:t>
      </w:r>
      <w:r w:rsidR="004925E0" w:rsidRPr="00545C56">
        <w:rPr>
          <w:rStyle w:val="FootnoteTextChar"/>
          <w:rFonts w:ascii="Times New Roman" w:eastAsiaTheme="minorEastAsia" w:hAnsi="Times New Roman"/>
          <w:sz w:val="24"/>
          <w:szCs w:val="24"/>
          <w:lang w:val="en-GB" w:eastAsia="ro-RO"/>
        </w:rPr>
        <w:t>. T</w:t>
      </w:r>
      <w:r w:rsidRPr="00545C56">
        <w:t>he case law discussing the legal effects of soft law cites together: transparency and legal certainty; transparency and objectivity; and transparency and t</w:t>
      </w:r>
      <w:r w:rsidR="00D949E0" w:rsidRPr="00545C56">
        <w:t>he right to good administration</w:t>
      </w:r>
      <w:r w:rsidRPr="00545C56">
        <w:t xml:space="preserve"> as principles enhanced by the publication or amendment of soft law instruments.</w:t>
      </w:r>
      <w:r w:rsidR="00D62570" w:rsidRPr="00545C56">
        <w:rPr>
          <w:rStyle w:val="FootnoteReference"/>
        </w:rPr>
        <w:footnoteReference w:id="128"/>
      </w:r>
      <w:r w:rsidRPr="00545C56">
        <w:t xml:space="preserve"> </w:t>
      </w:r>
    </w:p>
    <w:p w14:paraId="7693A1DA" w14:textId="77777777" w:rsidR="00625F46" w:rsidRPr="00545C56" w:rsidRDefault="00625F46" w:rsidP="00625F46">
      <w:pPr>
        <w:spacing w:line="360" w:lineRule="auto"/>
        <w:jc w:val="both"/>
      </w:pPr>
    </w:p>
    <w:p w14:paraId="10FACD23" w14:textId="421E7410" w:rsidR="00882A68" w:rsidRPr="00545C56" w:rsidRDefault="00DE5993" w:rsidP="00625F46">
      <w:pPr>
        <w:spacing w:line="360" w:lineRule="auto"/>
        <w:jc w:val="both"/>
      </w:pPr>
      <w:r w:rsidRPr="00545C56">
        <w:t xml:space="preserve">Yet, even in competition, the link between transparency and legal certainty in relation to EU soft law is weaker at the national level of governance. In </w:t>
      </w:r>
      <w:r w:rsidRPr="00545C56">
        <w:rPr>
          <w:i/>
          <w:iCs/>
        </w:rPr>
        <w:t>Expedia,</w:t>
      </w:r>
      <w:r w:rsidRPr="00545C56">
        <w:t xml:space="preserve"> the Court held that the national authorities and courts were not bound by the provisions of EU guidance, namely the </w:t>
      </w:r>
      <w:r w:rsidRPr="00545C56">
        <w:rPr>
          <w:i/>
        </w:rPr>
        <w:t xml:space="preserve">de minimis </w:t>
      </w:r>
      <w:r w:rsidRPr="00545C56">
        <w:t>notice in competition law.</w:t>
      </w:r>
      <w:r w:rsidR="00E17A6F" w:rsidRPr="00545C56">
        <w:rPr>
          <w:rStyle w:val="FootnoteReference"/>
        </w:rPr>
        <w:footnoteReference w:id="129"/>
      </w:r>
      <w:r w:rsidRPr="00545C56">
        <w:t xml:space="preserve"> </w:t>
      </w:r>
      <w:r w:rsidR="00882A68" w:rsidRPr="00545C56">
        <w:t>The French competition authority</w:t>
      </w:r>
      <w:r w:rsidRPr="00545C56">
        <w:t xml:space="preserve"> had complete discretion to take the thresholds mentioned therein into consideration and to judge that, despite a minimal coverage of the market, an agreement could still breach competition rules.</w:t>
      </w:r>
      <w:r w:rsidRPr="00545C56">
        <w:rPr>
          <w:rStyle w:val="FootnoteReference"/>
        </w:rPr>
        <w:footnoteReference w:id="130"/>
      </w:r>
      <w:r w:rsidRPr="00545C56">
        <w:t xml:space="preserve"> As noted by the Court, the notice was meant to make transparent the manner in which </w:t>
      </w:r>
      <w:r w:rsidRPr="00545C56">
        <w:rPr>
          <w:i/>
        </w:rPr>
        <w:t>the Commission</w:t>
      </w:r>
      <w:r w:rsidRPr="00545C56">
        <w:t xml:space="preserve"> applies Article 101 TFEU,</w:t>
      </w:r>
      <w:r w:rsidRPr="00545C56">
        <w:rPr>
          <w:rStyle w:val="FootnoteReference"/>
        </w:rPr>
        <w:t xml:space="preserve"> </w:t>
      </w:r>
      <w:r w:rsidRPr="00545C56">
        <w:rPr>
          <w:rStyle w:val="FootnoteReference"/>
        </w:rPr>
        <w:footnoteReference w:id="131"/>
      </w:r>
      <w:r w:rsidRPr="00545C56">
        <w:t xml:space="preserve"> while national authorities’ disregard of the notice could not interfere with principles such legitimate expectations and legal certainty.</w:t>
      </w:r>
      <w:r w:rsidRPr="00545C56">
        <w:rPr>
          <w:rStyle w:val="FootnoteReference"/>
        </w:rPr>
        <w:footnoteReference w:id="132"/>
      </w:r>
      <w:r w:rsidRPr="00545C56">
        <w:t xml:space="preserve"> </w:t>
      </w:r>
      <w:proofErr w:type="spellStart"/>
      <w:r w:rsidR="00882A68" w:rsidRPr="00545C56">
        <w:t>SoLaR</w:t>
      </w:r>
      <w:proofErr w:type="spellEnd"/>
      <w:r w:rsidR="00882A68" w:rsidRPr="00545C56">
        <w:t xml:space="preserve"> research shows that, as a consequence</w:t>
      </w:r>
      <w:r w:rsidR="00882A68" w:rsidRPr="00545C56">
        <w:rPr>
          <w:i/>
        </w:rPr>
        <w:t xml:space="preserve">, </w:t>
      </w:r>
      <w:r w:rsidR="00882A68" w:rsidRPr="00545C56">
        <w:t xml:space="preserve">national authorities might have relaxed their approach towards EU guidance. If the UK competition authority has, for a long time, complied with EU guidance, it noted in </w:t>
      </w:r>
      <w:r w:rsidR="00882A68" w:rsidRPr="00545C56">
        <w:rPr>
          <w:i/>
        </w:rPr>
        <w:t xml:space="preserve">Mobility Scooters </w:t>
      </w:r>
      <w:r w:rsidR="00882A68" w:rsidRPr="00545C56">
        <w:t>that ‘notwithstanding the potential application of the Commission</w:t>
      </w:r>
      <w:r w:rsidR="00CC0301" w:rsidRPr="00545C56">
        <w:t>’</w:t>
      </w:r>
      <w:r w:rsidR="00882A68" w:rsidRPr="00545C56">
        <w:t xml:space="preserve">s De minimis Notice, the </w:t>
      </w:r>
      <w:r w:rsidR="00201BC8" w:rsidRPr="00545C56">
        <w:t>[authority]</w:t>
      </w:r>
      <w:r w:rsidR="00882A68" w:rsidRPr="00545C56">
        <w:t xml:space="preserve"> will also consider a number of factors in </w:t>
      </w:r>
      <w:r w:rsidR="00882A68" w:rsidRPr="00545C56">
        <w:lastRenderedPageBreak/>
        <w:t xml:space="preserve">determining whether the </w:t>
      </w:r>
      <w:r w:rsidR="00201BC8" w:rsidRPr="00545C56">
        <w:t>i</w:t>
      </w:r>
      <w:r w:rsidR="00882A68" w:rsidRPr="00545C56">
        <w:t>nfringements are appreciable by reference to the actual circumstances of the agreement.’</w:t>
      </w:r>
      <w:r w:rsidR="00882A68" w:rsidRPr="00545C56">
        <w:rPr>
          <w:rStyle w:val="FootnoteReference"/>
          <w:rFonts w:eastAsiaTheme="majorEastAsia"/>
        </w:rPr>
        <w:footnoteReference w:id="133"/>
      </w:r>
    </w:p>
    <w:p w14:paraId="7751D497" w14:textId="77777777" w:rsidR="00625F46" w:rsidRPr="00545C56" w:rsidRDefault="00625F46" w:rsidP="00625F46">
      <w:pPr>
        <w:spacing w:line="360" w:lineRule="auto"/>
        <w:jc w:val="both"/>
      </w:pPr>
    </w:p>
    <w:p w14:paraId="2765BCE0" w14:textId="16FB8925" w:rsidR="00DE5993" w:rsidRPr="00545C56" w:rsidRDefault="00DE5993" w:rsidP="00625F46">
      <w:pPr>
        <w:spacing w:line="360" w:lineRule="auto"/>
        <w:jc w:val="both"/>
      </w:pPr>
      <w:proofErr w:type="spellStart"/>
      <w:r w:rsidRPr="00545C56">
        <w:t>SoLaR</w:t>
      </w:r>
      <w:proofErr w:type="spellEnd"/>
      <w:r w:rsidRPr="00545C56">
        <w:t xml:space="preserve"> has not undertaken any </w:t>
      </w:r>
      <w:r w:rsidR="00882A68" w:rsidRPr="00545C56">
        <w:t>empirical</w:t>
      </w:r>
      <w:r w:rsidRPr="00545C56">
        <w:t xml:space="preserve"> research into </w:t>
      </w:r>
      <w:r w:rsidR="00201BC8" w:rsidRPr="00545C56">
        <w:t xml:space="preserve">the perceptions of individuals and whether they believe the information provided through EU soft law can help enhance legal certainty. </w:t>
      </w:r>
      <w:proofErr w:type="spellStart"/>
      <w:r w:rsidRPr="00545C56">
        <w:t>SoLaR</w:t>
      </w:r>
      <w:proofErr w:type="spellEnd"/>
      <w:r w:rsidRPr="00545C56">
        <w:t xml:space="preserve"> </w:t>
      </w:r>
      <w:r w:rsidR="00882A68" w:rsidRPr="00545C56">
        <w:t>research does reveal a related aspect, namely</w:t>
      </w:r>
      <w:r w:rsidRPr="00545C56">
        <w:t xml:space="preserve"> the impact of </w:t>
      </w:r>
      <w:r w:rsidR="00882A68" w:rsidRPr="00545C56">
        <w:t>‘regulation by publication’</w:t>
      </w:r>
      <w:r w:rsidRPr="00545C56">
        <w:t xml:space="preserve"> on the relationship between national institutions and EU institutions, </w:t>
      </w:r>
      <w:r w:rsidR="00882A68" w:rsidRPr="00545C56">
        <w:t xml:space="preserve">shedding light on whether transparency through soft law is conducive to equal and consistent application of EU law at the national level. </w:t>
      </w:r>
    </w:p>
    <w:p w14:paraId="1955A7AF" w14:textId="77777777" w:rsidR="00625F46" w:rsidRPr="00545C56" w:rsidRDefault="00625F46" w:rsidP="00625F46">
      <w:pPr>
        <w:spacing w:line="360" w:lineRule="auto"/>
        <w:jc w:val="both"/>
      </w:pPr>
    </w:p>
    <w:p w14:paraId="56E21DBA" w14:textId="284A657F" w:rsidR="00AD79D7" w:rsidRPr="00545C56" w:rsidRDefault="00AD79D7" w:rsidP="00625F46">
      <w:pPr>
        <w:spacing w:line="360" w:lineRule="auto"/>
        <w:jc w:val="both"/>
      </w:pPr>
      <w:r w:rsidRPr="00545C56">
        <w:t>With regards to certain sectors, such as competition law, the officials interviewed were more optimistic with regards to the transparency function of soft law, and its potential to ensure uniform application of the law. Finnish interviewees noted, for instance, the value of soft law in increasing transparency and predictability.</w:t>
      </w:r>
      <w:r w:rsidRPr="00545C56">
        <w:rPr>
          <w:rStyle w:val="FootnoteReference"/>
        </w:rPr>
        <w:footnoteReference w:id="134"/>
      </w:r>
      <w:r w:rsidRPr="00545C56">
        <w:t xml:space="preserve"> Similar perspectives transpire from some of the judgments analysed. </w:t>
      </w:r>
      <w:r w:rsidR="00630DA6" w:rsidRPr="00545C56">
        <w:t xml:space="preserve">In </w:t>
      </w:r>
      <w:r w:rsidR="00630DA6" w:rsidRPr="00545C56">
        <w:rPr>
          <w:i/>
          <w:iCs/>
        </w:rPr>
        <w:t xml:space="preserve">Wye Valley, </w:t>
      </w:r>
      <w:r w:rsidR="00630DA6" w:rsidRPr="00545C56">
        <w:t xml:space="preserve">in relation to the </w:t>
      </w:r>
      <w:r w:rsidR="00630DA6" w:rsidRPr="00545C56">
        <w:rPr>
          <w:color w:val="000000"/>
        </w:rPr>
        <w:t xml:space="preserve">Commission’s guidance on </w:t>
      </w:r>
      <w:r w:rsidR="00201BC8" w:rsidRPr="00545C56">
        <w:rPr>
          <w:color w:val="000000"/>
        </w:rPr>
        <w:t>environmental impact assessments</w:t>
      </w:r>
      <w:r w:rsidR="00630DA6" w:rsidRPr="00545C56">
        <w:rPr>
          <w:color w:val="000000"/>
        </w:rPr>
        <w:t>, the</w:t>
      </w:r>
      <w:r w:rsidR="00201BC8" w:rsidRPr="00545C56">
        <w:rPr>
          <w:color w:val="000000"/>
        </w:rPr>
        <w:t xml:space="preserve"> UK</w:t>
      </w:r>
      <w:r w:rsidR="00630DA6" w:rsidRPr="00545C56">
        <w:rPr>
          <w:color w:val="000000"/>
        </w:rPr>
        <w:t xml:space="preserve"> Court of Appeal has stated ‘The objective of the guidance is twofold: first, </w:t>
      </w:r>
      <w:r w:rsidR="00EF2E38" w:rsidRPr="00545C56">
        <w:rPr>
          <w:color w:val="000000"/>
        </w:rPr>
        <w:t>‘</w:t>
      </w:r>
      <w:r w:rsidR="00630DA6" w:rsidRPr="00545C56">
        <w:rPr>
          <w:color w:val="000000"/>
        </w:rPr>
        <w:t>the document aims to improve understanding of what can be reasonably considered to be covered by certain project categories that have proved particularly difficult to interpret in practice</w:t>
      </w:r>
      <w:r w:rsidR="00EF2E38" w:rsidRPr="00545C56">
        <w:rPr>
          <w:color w:val="000000"/>
        </w:rPr>
        <w:t>’</w:t>
      </w:r>
      <w:r w:rsidR="00630DA6" w:rsidRPr="00545C56">
        <w:rPr>
          <w:color w:val="000000"/>
        </w:rPr>
        <w:t xml:space="preserve">; secondly, it is intended to provide an overview of existing useful sources of information at EU level. </w:t>
      </w:r>
      <w:r w:rsidR="00630DA6" w:rsidRPr="00545C56">
        <w:rPr>
          <w:rStyle w:val="FootnoteReference"/>
          <w:rFonts w:eastAsiaTheme="majorEastAsia"/>
          <w:color w:val="000000"/>
        </w:rPr>
        <w:footnoteReference w:id="135"/>
      </w:r>
      <w:r w:rsidR="00B406F0" w:rsidRPr="00545C56">
        <w:rPr>
          <w:color w:val="000000"/>
        </w:rPr>
        <w:t xml:space="preserve"> </w:t>
      </w:r>
      <w:r w:rsidRPr="00545C56">
        <w:rPr>
          <w:color w:val="000000"/>
        </w:rPr>
        <w:t xml:space="preserve">While some of the judges interviewed were rather </w:t>
      </w:r>
      <w:r w:rsidRPr="00545C56">
        <w:t>sceptical about the benefits of using soft law in court, they did acknowledge that soft law can render administrative action more transparent.</w:t>
      </w:r>
      <w:r w:rsidRPr="00545C56">
        <w:rPr>
          <w:rStyle w:val="FootnoteReference"/>
        </w:rPr>
        <w:footnoteReference w:id="136"/>
      </w:r>
      <w:r w:rsidRPr="00545C56">
        <w:t xml:space="preserve"> Even though some courts, such as the French Conseil </w:t>
      </w:r>
      <w:proofErr w:type="spellStart"/>
      <w:r w:rsidRPr="00545C56">
        <w:t>d’</w:t>
      </w:r>
      <w:r w:rsidR="00ED2E33">
        <w:t>É</w:t>
      </w:r>
      <w:r w:rsidRPr="00545C56">
        <w:t>tat</w:t>
      </w:r>
      <w:proofErr w:type="spellEnd"/>
      <w:r w:rsidRPr="00545C56">
        <w:t>, have never noted that guidelines can ensure the uniform application of EU law, French interviewees agreed that soft law can help with motivating both judicial and administrative decisions.</w:t>
      </w:r>
      <w:r w:rsidRPr="00545C56">
        <w:rPr>
          <w:rStyle w:val="FootnoteReference"/>
        </w:rPr>
        <w:footnoteReference w:id="137"/>
      </w:r>
      <w:r w:rsidRPr="00545C56">
        <w:t xml:space="preserve"> Such views are not always shared, with a Finnish </w:t>
      </w:r>
      <w:r w:rsidR="0068767E" w:rsidRPr="00545C56">
        <w:t>interviewee</w:t>
      </w:r>
      <w:r w:rsidRPr="00545C56">
        <w:t xml:space="preserve"> finding rather unclear how soft law should be used by national courts, and whether it is preferable to rely on EU case law instead.</w:t>
      </w:r>
      <w:r w:rsidRPr="00545C56">
        <w:rPr>
          <w:rStyle w:val="FootnoteReference"/>
        </w:rPr>
        <w:footnoteReference w:id="138"/>
      </w:r>
    </w:p>
    <w:p w14:paraId="060E9DC0" w14:textId="77777777" w:rsidR="00625F46" w:rsidRPr="00545C56" w:rsidRDefault="00625F46" w:rsidP="00625F46">
      <w:pPr>
        <w:spacing w:line="360" w:lineRule="auto"/>
        <w:jc w:val="both"/>
      </w:pPr>
    </w:p>
    <w:p w14:paraId="35595AD6" w14:textId="234305B7" w:rsidR="00F32D7A" w:rsidRPr="00545C56" w:rsidRDefault="00D4130E" w:rsidP="00625F46">
      <w:pPr>
        <w:spacing w:line="360" w:lineRule="auto"/>
        <w:jc w:val="both"/>
      </w:pPr>
      <w:r w:rsidRPr="00545C56">
        <w:lastRenderedPageBreak/>
        <w:t xml:space="preserve">Being transparent and engaging in ‘regulation by publication’ at the EU level cannot, in and of itself, guarantee that the relationships between EU institutions, national institutions and individuals </w:t>
      </w:r>
      <w:r w:rsidR="00BB7BA3" w:rsidRPr="00545C56">
        <w:t xml:space="preserve">are strengthened and that legitimate expectations, equality, and consistency in the application of the law are improved. For this to happen, EU soft law also needs to gain recognition at the national level. This can be achieved for instance if </w:t>
      </w:r>
      <w:r w:rsidR="00F32D7A" w:rsidRPr="00545C56">
        <w:t>national authorities issue</w:t>
      </w:r>
      <w:r w:rsidR="00BB7BA3" w:rsidRPr="00545C56">
        <w:t>d</w:t>
      </w:r>
      <w:r w:rsidR="00F32D7A" w:rsidRPr="00545C56">
        <w:t xml:space="preserve"> their own guidance documents, or expressly endorse Commission guidance (as pleaded also by Advocate General </w:t>
      </w:r>
      <w:proofErr w:type="spellStart"/>
      <w:r w:rsidR="00F32D7A" w:rsidRPr="00545C56">
        <w:t>Kokott</w:t>
      </w:r>
      <w:proofErr w:type="spellEnd"/>
      <w:r w:rsidR="00F32D7A" w:rsidRPr="00545C56">
        <w:t xml:space="preserve"> in Expedia).</w:t>
      </w:r>
      <w:r w:rsidR="00BB7BA3" w:rsidRPr="00545C56">
        <w:rPr>
          <w:rStyle w:val="FootnoteReference"/>
        </w:rPr>
        <w:footnoteReference w:id="139"/>
      </w:r>
      <w:r w:rsidR="00F32D7A" w:rsidRPr="00545C56">
        <w:t xml:space="preserve"> </w:t>
      </w:r>
      <w:r w:rsidR="00BB7BA3" w:rsidRPr="00545C56">
        <w:t>S</w:t>
      </w:r>
      <w:r w:rsidR="00F32D7A" w:rsidRPr="00545C56">
        <w:t xml:space="preserve">ome authorities </w:t>
      </w:r>
      <w:r w:rsidR="00BB7BA3" w:rsidRPr="00545C56">
        <w:t>already do this</w:t>
      </w:r>
      <w:r w:rsidR="00F32D7A" w:rsidRPr="00545C56">
        <w:t>– for instance the French Competition Authority has established its own guidance on setting fines, which also aim at increasing transparency and explaining the different methodologies to the individuals</w:t>
      </w:r>
      <w:r w:rsidR="00BB7BA3" w:rsidRPr="00545C56">
        <w:t>,</w:t>
      </w:r>
      <w:r w:rsidR="00BB7BA3" w:rsidRPr="00545C56">
        <w:rPr>
          <w:rStyle w:val="FootnoteReference"/>
        </w:rPr>
        <w:footnoteReference w:id="140"/>
      </w:r>
      <w:r w:rsidR="00BB7BA3" w:rsidRPr="00545C56">
        <w:t xml:space="preserve"> and the public procurement guidelines are </w:t>
      </w:r>
      <w:r w:rsidR="00C36539" w:rsidRPr="00545C56">
        <w:t>‘</w:t>
      </w:r>
      <w:r w:rsidR="00BB7BA3" w:rsidRPr="00545C56">
        <w:t>nationalised</w:t>
      </w:r>
      <w:r w:rsidR="00C36539" w:rsidRPr="00545C56">
        <w:t>’</w:t>
      </w:r>
      <w:r w:rsidR="00BB7BA3" w:rsidRPr="00545C56">
        <w:t xml:space="preserve"> in Finland</w:t>
      </w:r>
      <w:r w:rsidR="00F32D7A" w:rsidRPr="00545C56">
        <w:t>.</w:t>
      </w:r>
      <w:r w:rsidR="00BB7BA3" w:rsidRPr="00545C56">
        <w:rPr>
          <w:rStyle w:val="FootnoteReference"/>
        </w:rPr>
        <w:footnoteReference w:id="141"/>
      </w:r>
      <w:r w:rsidR="00F32D7A" w:rsidRPr="00545C56">
        <w:t xml:space="preserve"> Similarly, the Italian Competition Authority has also established its own guidance in competition and is committed to respect it, just as the Commission is self-bound by its soft law.</w:t>
      </w:r>
      <w:r w:rsidR="00F32D7A" w:rsidRPr="00545C56">
        <w:rPr>
          <w:rStyle w:val="FootnoteReference"/>
        </w:rPr>
        <w:footnoteReference w:id="142"/>
      </w:r>
    </w:p>
    <w:p w14:paraId="79C67290" w14:textId="77777777" w:rsidR="00625F46" w:rsidRPr="00545C56" w:rsidRDefault="00625F46" w:rsidP="00625F46">
      <w:pPr>
        <w:spacing w:line="360" w:lineRule="auto"/>
        <w:jc w:val="both"/>
      </w:pPr>
    </w:p>
    <w:p w14:paraId="5AE07F78" w14:textId="69B7CCF9" w:rsidR="00E37095" w:rsidRDefault="00F32D7A" w:rsidP="00625F46">
      <w:pPr>
        <w:spacing w:line="360" w:lineRule="auto"/>
        <w:jc w:val="both"/>
      </w:pPr>
      <w:r w:rsidRPr="00545C56">
        <w:t xml:space="preserve">Another way </w:t>
      </w:r>
      <w:r w:rsidR="00C274DF" w:rsidRPr="00545C56">
        <w:t xml:space="preserve">to enhance EU ‘regulation by publication’ is </w:t>
      </w:r>
      <w:r w:rsidRPr="00545C56">
        <w:t xml:space="preserve">as a result of </w:t>
      </w:r>
      <w:r w:rsidR="00E37095" w:rsidRPr="00545C56">
        <w:t xml:space="preserve">hard law </w:t>
      </w:r>
      <w:r w:rsidRPr="00545C56">
        <w:t xml:space="preserve">provisions, </w:t>
      </w:r>
      <w:r w:rsidR="00E37095" w:rsidRPr="00545C56">
        <w:t xml:space="preserve">at the EU or the national levels. For example, ESA guidance is subject to the </w:t>
      </w:r>
      <w:r w:rsidR="00992B2E" w:rsidRPr="00545C56">
        <w:t>‘</w:t>
      </w:r>
      <w:r w:rsidR="00E37095" w:rsidRPr="00545C56">
        <w:t>comply or explain</w:t>
      </w:r>
      <w:r w:rsidR="00992B2E" w:rsidRPr="00545C56">
        <w:t>’</w:t>
      </w:r>
      <w:r w:rsidR="00E37095" w:rsidRPr="00545C56">
        <w:t xml:space="preserve"> mechanism provided for in the regulations, with authors agreeing that ESMA is achieving convergence and consistency in the European financial supervision.</w:t>
      </w:r>
      <w:r w:rsidR="00E37095" w:rsidRPr="00545C56">
        <w:rPr>
          <w:rStyle w:val="FootnoteReference"/>
        </w:rPr>
        <w:footnoteReference w:id="143"/>
      </w:r>
      <w:r w:rsidR="00E37095" w:rsidRPr="00545C56">
        <w:t xml:space="preserve"> Such success appears hard to attain for guidance issued by other agencies not following the ‘comply or explain’ framework, such as </w:t>
      </w:r>
      <w:r w:rsidR="001E0AF0" w:rsidRPr="00545C56">
        <w:t>Agency for the Cooperation of Energy Regulators</w:t>
      </w:r>
      <w:r w:rsidR="00E37095" w:rsidRPr="00545C56">
        <w:t>.</w:t>
      </w:r>
      <w:r w:rsidR="00E37095" w:rsidRPr="00545C56">
        <w:rPr>
          <w:rStyle w:val="FootnoteReference"/>
        </w:rPr>
        <w:footnoteReference w:id="144"/>
      </w:r>
      <w:r w:rsidR="00E37095" w:rsidRPr="00545C56">
        <w:t xml:space="preserve"> National provisions can also act as intermediary. In the UK, </w:t>
      </w:r>
      <w:r w:rsidRPr="00545C56">
        <w:t>Section 60(3) of the CA ’98, which advises authorities to ‘have regard to any relevant decision or statement of the [European] Commission’.</w:t>
      </w:r>
      <w:r w:rsidRPr="00545C56">
        <w:rPr>
          <w:rStyle w:val="FootnoteReference"/>
          <w:rFonts w:eastAsiaTheme="majorEastAsia"/>
        </w:rPr>
        <w:footnoteReference w:id="145"/>
      </w:r>
      <w:r w:rsidRPr="00545C56">
        <w:t xml:space="preserve"> Georgieva</w:t>
      </w:r>
      <w:r w:rsidRPr="00545C56">
        <w:rPr>
          <w:rStyle w:val="FootnoteReference"/>
          <w:rFonts w:eastAsiaTheme="majorEastAsia"/>
        </w:rPr>
        <w:footnoteReference w:id="146"/>
      </w:r>
      <w:r w:rsidRPr="00545C56">
        <w:t xml:space="preserve"> finds that the existence of such consistency obligation in the national legal order might make the application of</w:t>
      </w:r>
      <w:r w:rsidR="001F72F6" w:rsidRPr="00545C56">
        <w:t xml:space="preserve"> soft law in court more likely, as confirmed in very recent case law from the UK. In </w:t>
      </w:r>
      <w:r w:rsidR="001F72F6" w:rsidRPr="00545C56">
        <w:rPr>
          <w:i/>
        </w:rPr>
        <w:t xml:space="preserve">Mastercard, </w:t>
      </w:r>
      <w:r w:rsidR="001F72F6" w:rsidRPr="00545C56">
        <w:t xml:space="preserve">the Court of Appeal noted, in relation to EU competition </w:t>
      </w:r>
      <w:r w:rsidR="001F72F6" w:rsidRPr="00545C56">
        <w:lastRenderedPageBreak/>
        <w:t>guidance that, although not legally binding and allowing for flexibility, it facilitates a consistency of approach across the Member States.</w:t>
      </w:r>
      <w:r w:rsidRPr="00545C56">
        <w:rPr>
          <w:rStyle w:val="FootnoteReference"/>
          <w:rFonts w:eastAsiaTheme="majorEastAsia"/>
        </w:rPr>
        <w:footnoteReference w:id="147"/>
      </w:r>
      <w:r w:rsidRPr="00545C56">
        <w:t xml:space="preserve"> </w:t>
      </w:r>
    </w:p>
    <w:p w14:paraId="13CFBC9E" w14:textId="77777777" w:rsidR="00CC3357" w:rsidRPr="00545C56" w:rsidRDefault="00CC3357" w:rsidP="00625F46">
      <w:pPr>
        <w:spacing w:line="360" w:lineRule="auto"/>
        <w:jc w:val="both"/>
      </w:pPr>
    </w:p>
    <w:p w14:paraId="350F9170" w14:textId="0E8C972E" w:rsidR="006700AF" w:rsidRPr="00545C56" w:rsidRDefault="00E37095" w:rsidP="00625F46">
      <w:pPr>
        <w:spacing w:line="360" w:lineRule="auto"/>
        <w:jc w:val="both"/>
      </w:pPr>
      <w:r w:rsidRPr="00545C56">
        <w:t xml:space="preserve">Finally, by simply acting in the spirit of sincere cooperation national authorities and courts might help EU soft law achieve its full potential for transparency. </w:t>
      </w:r>
      <w:r w:rsidR="00F32D7A" w:rsidRPr="00545C56">
        <w:t>Interviews with judges confirmed that soft law is taken into account even if not mentioned by the parties because it is important ‘to do the right thing’ with regards to principles such as sincere cooperation and consistent interpretation.</w:t>
      </w:r>
      <w:r w:rsidR="00F32D7A" w:rsidRPr="00545C56">
        <w:rPr>
          <w:rStyle w:val="FootnoteReference"/>
        </w:rPr>
        <w:footnoteReference w:id="148"/>
      </w:r>
      <w:r w:rsidR="00F32D7A" w:rsidRPr="00545C56">
        <w:t xml:space="preserve">  </w:t>
      </w:r>
      <w:r w:rsidR="00003931" w:rsidRPr="00545C56">
        <w:t xml:space="preserve">Asking to act in the spirit of sincere cooperation with the EU is not a tall order, as such cooperation already happens to a certain extent at the national level. </w:t>
      </w:r>
      <w:r w:rsidR="00F32D7A" w:rsidRPr="00545C56">
        <w:t>In one UK finan</w:t>
      </w:r>
      <w:r w:rsidR="006F508B" w:rsidRPr="00545C56">
        <w:t>cial regulation case, the High C</w:t>
      </w:r>
      <w:r w:rsidR="00F32D7A" w:rsidRPr="00545C56">
        <w:t xml:space="preserve">ourt held that also national soft law should be taken into account in order to ‘ensure consistency between the </w:t>
      </w:r>
      <w:r w:rsidRPr="00545C56">
        <w:t>[financial authority]</w:t>
      </w:r>
      <w:r w:rsidR="00F32D7A" w:rsidRPr="00545C56">
        <w:t xml:space="preserve"> and the court in the application of the market abuse regime’</w:t>
      </w:r>
      <w:r w:rsidR="00A670F7" w:rsidRPr="00545C56">
        <w:t>.</w:t>
      </w:r>
      <w:r w:rsidR="00F32D7A" w:rsidRPr="00545C56">
        <w:rPr>
          <w:rStyle w:val="FootnoteReference"/>
        </w:rPr>
        <w:footnoteReference w:id="149"/>
      </w:r>
      <w:r w:rsidR="00F32D7A" w:rsidRPr="00545C56">
        <w:t xml:space="preserve"> </w:t>
      </w:r>
    </w:p>
    <w:p w14:paraId="449F2B57" w14:textId="77777777" w:rsidR="00625F46" w:rsidRPr="00545C56" w:rsidRDefault="00625F46" w:rsidP="00625F46">
      <w:pPr>
        <w:spacing w:line="360" w:lineRule="auto"/>
        <w:jc w:val="both"/>
      </w:pPr>
    </w:p>
    <w:p w14:paraId="6F265B00" w14:textId="42906B18" w:rsidR="00D87ACB" w:rsidRPr="00545C56" w:rsidRDefault="00D87ACB" w:rsidP="00625F46">
      <w:pPr>
        <w:spacing w:line="360" w:lineRule="auto"/>
        <w:jc w:val="both"/>
      </w:pPr>
      <w:r w:rsidRPr="00545C56">
        <w:t>Sincere cooperation can also be empowered by the EU institutional setup, as for instance in financial regulation. As pointed out by Moloney, achieving consistency across the EU is the result of a compromise between, on the one hand, the soft character of ESMA guidance and ESMA’s intergovernmental setup.</w:t>
      </w:r>
      <w:r w:rsidRPr="00545C56">
        <w:rPr>
          <w:rStyle w:val="FootnoteReference"/>
        </w:rPr>
        <w:footnoteReference w:id="150"/>
      </w:r>
      <w:r w:rsidRPr="00545C56">
        <w:t xml:space="preserve"> National authorities have thus the freedom to decide on national supervision, but also have the possibility to impose common rules by cooperating within ESMA.</w:t>
      </w:r>
      <w:r w:rsidR="006700AF" w:rsidRPr="00545C56">
        <w:t xml:space="preserve"> This insight brings us back to the discussion on consultations dealt with above, and highlights again the importance of a two-way relationship and dialogue between, on the one hand, the forum issuing soft law and, on the other, its addressees. </w:t>
      </w:r>
      <w:proofErr w:type="spellStart"/>
      <w:r w:rsidR="00EF2E38" w:rsidRPr="00545C56">
        <w:t>Korkea-aho</w:t>
      </w:r>
      <w:proofErr w:type="spellEnd"/>
      <w:r w:rsidR="00EF2E38" w:rsidRPr="00545C56">
        <w:t xml:space="preserve"> and </w:t>
      </w:r>
      <w:proofErr w:type="spellStart"/>
      <w:r w:rsidR="00EF2E38" w:rsidRPr="00545C56">
        <w:t>Hartlapp</w:t>
      </w:r>
      <w:proofErr w:type="spellEnd"/>
      <w:r w:rsidR="00EF2E38" w:rsidRPr="00545C56">
        <w:t xml:space="preserve"> argue in this volume that diversity is key in understanding </w:t>
      </w:r>
      <w:r w:rsidR="00870484" w:rsidRPr="00545C56">
        <w:t xml:space="preserve">the national reactions to </w:t>
      </w:r>
      <w:r w:rsidR="00EF2E38" w:rsidRPr="00545C56">
        <w:t>soft law.</w:t>
      </w:r>
      <w:r w:rsidR="00EF2E38" w:rsidRPr="00545C56">
        <w:rPr>
          <w:rStyle w:val="FootnoteReference"/>
        </w:rPr>
        <w:footnoteReference w:id="151"/>
      </w:r>
      <w:r w:rsidR="00EF2E38" w:rsidRPr="00545C56">
        <w:t xml:space="preserve"> </w:t>
      </w:r>
      <w:r w:rsidR="00870484" w:rsidRPr="00545C56">
        <w:t xml:space="preserve">This chapter submits the modest proposal that, </w:t>
      </w:r>
      <w:r w:rsidR="00064E89" w:rsidRPr="00545C56">
        <w:t>by relying on</w:t>
      </w:r>
      <w:r w:rsidR="00870484" w:rsidRPr="00545C56">
        <w:t xml:space="preserve"> the duty of sincere cooperation, soft law could help achieve </w:t>
      </w:r>
      <w:r w:rsidR="00A3400C" w:rsidRPr="00545C56">
        <w:t>a certain degree of</w:t>
      </w:r>
      <w:r w:rsidR="003F3F87" w:rsidRPr="00545C56">
        <w:t xml:space="preserve"> unity in this diversity</w:t>
      </w:r>
      <w:r w:rsidR="00766034" w:rsidRPr="00545C56">
        <w:t>, provided its transparency function is taken seriously.</w:t>
      </w:r>
      <w:r w:rsidR="001E0AF0" w:rsidRPr="00545C56">
        <w:rPr>
          <w:rStyle w:val="FootnoteReference"/>
        </w:rPr>
        <w:footnoteReference w:id="152"/>
      </w:r>
      <w:r w:rsidR="00766034" w:rsidRPr="00545C56">
        <w:t xml:space="preserve"> </w:t>
      </w:r>
    </w:p>
    <w:p w14:paraId="294E7C3A" w14:textId="77777777" w:rsidR="00625F46" w:rsidRPr="00545C56" w:rsidRDefault="00625F46" w:rsidP="00625F46">
      <w:pPr>
        <w:spacing w:line="360" w:lineRule="auto"/>
        <w:jc w:val="both"/>
      </w:pPr>
    </w:p>
    <w:p w14:paraId="04E7BA88" w14:textId="2E8DA84C" w:rsidR="00885825" w:rsidRPr="00545C56" w:rsidRDefault="00625F46" w:rsidP="005F099F">
      <w:pPr>
        <w:pStyle w:val="Heading1"/>
        <w:numPr>
          <w:ilvl w:val="0"/>
          <w:numId w:val="0"/>
        </w:numPr>
        <w:spacing w:before="0" w:line="360" w:lineRule="auto"/>
        <w:jc w:val="center"/>
        <w:rPr>
          <w:rFonts w:ascii="Times New Roman" w:hAnsi="Times New Roman" w:cs="Times New Roman"/>
          <w:color w:val="auto"/>
          <w:sz w:val="24"/>
          <w:szCs w:val="24"/>
        </w:rPr>
      </w:pPr>
      <w:r w:rsidRPr="00545C56">
        <w:rPr>
          <w:rFonts w:ascii="Times New Roman" w:hAnsi="Times New Roman" w:cs="Times New Roman"/>
          <w:color w:val="auto"/>
          <w:sz w:val="24"/>
          <w:szCs w:val="24"/>
        </w:rPr>
        <w:t>V C</w:t>
      </w:r>
      <w:r w:rsidR="00885825" w:rsidRPr="00545C56">
        <w:rPr>
          <w:rFonts w:ascii="Times New Roman" w:hAnsi="Times New Roman" w:cs="Times New Roman"/>
          <w:color w:val="auto"/>
          <w:sz w:val="24"/>
          <w:szCs w:val="24"/>
        </w:rPr>
        <w:t>onclusions</w:t>
      </w:r>
    </w:p>
    <w:p w14:paraId="3C008A81" w14:textId="77777777" w:rsidR="00BD1CF5" w:rsidRPr="00545C56" w:rsidRDefault="00BD1CF5" w:rsidP="00625F46">
      <w:pPr>
        <w:spacing w:line="360" w:lineRule="auto"/>
        <w:rPr>
          <w:lang w:eastAsia="en-GB"/>
        </w:rPr>
      </w:pPr>
    </w:p>
    <w:p w14:paraId="7BCE410A" w14:textId="02193419" w:rsidR="00BD1CF5" w:rsidRPr="00545C56" w:rsidRDefault="00BD1CF5" w:rsidP="00625F46">
      <w:pPr>
        <w:spacing w:line="360" w:lineRule="auto"/>
        <w:jc w:val="both"/>
      </w:pPr>
      <w:r w:rsidRPr="00545C56">
        <w:lastRenderedPageBreak/>
        <w:t xml:space="preserve">This chapter explored the transparency enhancing function of soft law, by looking at established case law of the ECJ and insights from the </w:t>
      </w:r>
      <w:proofErr w:type="spellStart"/>
      <w:r w:rsidRPr="00545C56">
        <w:t>SoLaR</w:t>
      </w:r>
      <w:proofErr w:type="spellEnd"/>
      <w:r w:rsidRPr="00545C56">
        <w:t xml:space="preserve"> project. While perspectives vary across the board, the picture emerging is that of a work in progress. The views from the case law and interviews show a certain trust in the potential of EU soft law to connect, through information, individuals, national, and EU institutions. This is strikingly illustrated, among others, by the warm welcome given to initiatives to codify and explain the case law of the Court through instruments such as the Notice on the Notion of State aid. Yet, there is a certain reluctance to acknowledge that in practice such potential for transparency is achieved. This is for several reasons, related to the quantity and quality of instruments, the way in which they are published, but also for reasons pertaining to core drawbacks of soft law, such as their lack of legitimacy or uncertain legal effects in a multi-level governance context. </w:t>
      </w:r>
      <w:r w:rsidR="00742164" w:rsidRPr="00545C56">
        <w:t>For some of these problems, there are quick-fixes, such as an improved accessibility to soft law, or better translation and dissemination practices. For others, a deeper reform is needed involving strengthening the links between the EU soft law issuing authorities and the national authorities and Courts. A great first step in this direction would be for the EU to engage in a dialogue with its Member States regarding soft law.</w:t>
      </w:r>
      <w:r w:rsidR="00742164" w:rsidRPr="00545C56">
        <w:rPr>
          <w:rStyle w:val="FootnoteReference"/>
        </w:rPr>
        <w:footnoteReference w:id="153"/>
      </w:r>
    </w:p>
    <w:sectPr w:rsidR="00BD1CF5" w:rsidRPr="00545C56">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C5D99" w16cex:dateUtc="2020-07-17T16:25:00Z"/>
  <w16cex:commentExtensible w16cex:durableId="22BC5BC2" w16cex:dateUtc="2020-07-17T16:17:00Z"/>
  <w16cex:commentExtensible w16cex:durableId="22BC6005" w16cex:dateUtc="2020-07-17T16:36:00Z"/>
  <w16cex:commentExtensible w16cex:durableId="22BC6017" w16cex:dateUtc="2020-07-17T16:36:00Z"/>
  <w16cex:commentExtensible w16cex:durableId="22BC6172" w16cex:dateUtc="2020-07-17T16:42:00Z"/>
  <w16cex:commentExtensible w16cex:durableId="22BC6212" w16cex:dateUtc="2020-07-17T1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18692" w14:textId="77777777" w:rsidR="00302668" w:rsidRDefault="00302668" w:rsidP="00EB0573">
      <w:r>
        <w:separator/>
      </w:r>
    </w:p>
  </w:endnote>
  <w:endnote w:type="continuationSeparator" w:id="0">
    <w:p w14:paraId="1BA204BD" w14:textId="77777777" w:rsidR="00302668" w:rsidRDefault="00302668" w:rsidP="00EB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5B0D" w14:textId="375A5F12" w:rsidR="00CD1F3A" w:rsidRDefault="00CD1F3A">
    <w:pPr>
      <w:pStyle w:val="Footer"/>
      <w:jc w:val="center"/>
    </w:pPr>
  </w:p>
  <w:p w14:paraId="7AAE0195" w14:textId="77777777" w:rsidR="00CD1F3A" w:rsidRDefault="00CD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19610" w14:textId="77777777" w:rsidR="00302668" w:rsidRDefault="00302668" w:rsidP="00EB0573">
      <w:r>
        <w:separator/>
      </w:r>
    </w:p>
  </w:footnote>
  <w:footnote w:type="continuationSeparator" w:id="0">
    <w:p w14:paraId="4AE8EAFB" w14:textId="77777777" w:rsidR="00302668" w:rsidRDefault="00302668" w:rsidP="00EB0573">
      <w:r>
        <w:continuationSeparator/>
      </w:r>
    </w:p>
  </w:footnote>
  <w:footnote w:id="1">
    <w:p w14:paraId="71F8F1A4" w14:textId="2F5BEE87"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sym w:font="Symbol" w:char="F02A"/>
      </w:r>
      <w:r w:rsidRPr="00545C56">
        <w:rPr>
          <w:rFonts w:ascii="Times New Roman" w:hAnsi="Times New Roman"/>
          <w:lang w:val="en-US"/>
        </w:rPr>
        <w:t xml:space="preserve"> Thanks to Mariolina Eliantonio and Emilia </w:t>
      </w:r>
      <w:proofErr w:type="spellStart"/>
      <w:r w:rsidRPr="00545C56">
        <w:rPr>
          <w:rFonts w:ascii="Times New Roman" w:hAnsi="Times New Roman"/>
          <w:lang w:val="en-US"/>
        </w:rPr>
        <w:t>Korkea-aho</w:t>
      </w:r>
      <w:proofErr w:type="spellEnd"/>
      <w:r w:rsidRPr="00545C56">
        <w:rPr>
          <w:rFonts w:ascii="Times New Roman" w:hAnsi="Times New Roman"/>
          <w:lang w:val="en-US"/>
        </w:rPr>
        <w:t xml:space="preserve"> for comments on earlier versions and to Irene </w:t>
      </w:r>
      <w:proofErr w:type="spellStart"/>
      <w:r w:rsidRPr="00545C56">
        <w:rPr>
          <w:rFonts w:ascii="Times New Roman" w:hAnsi="Times New Roman"/>
          <w:lang w:val="en-US"/>
        </w:rPr>
        <w:t>Agnolucci</w:t>
      </w:r>
      <w:proofErr w:type="spellEnd"/>
      <w:r w:rsidRPr="00545C56">
        <w:rPr>
          <w:rFonts w:ascii="Times New Roman" w:hAnsi="Times New Roman"/>
          <w:lang w:val="en-US"/>
        </w:rPr>
        <w:t xml:space="preserve"> for research assistance. All websites accessed </w:t>
      </w:r>
      <w:r w:rsidRPr="00545C56">
        <w:rPr>
          <w:rFonts w:ascii="Times New Roman" w:hAnsi="Times New Roman"/>
          <w:lang w:val="en-GB"/>
        </w:rPr>
        <w:t>21</w:t>
      </w:r>
      <w:r w:rsidRPr="00545C56">
        <w:rPr>
          <w:rFonts w:ascii="Times New Roman" w:hAnsi="Times New Roman"/>
          <w:vertAlign w:val="superscript"/>
          <w:lang w:val="en-GB"/>
        </w:rPr>
        <w:t>th</w:t>
      </w:r>
      <w:r w:rsidRPr="00545C56">
        <w:rPr>
          <w:rFonts w:ascii="Times New Roman" w:hAnsi="Times New Roman"/>
          <w:lang w:val="en-GB"/>
        </w:rPr>
        <w:t xml:space="preserve"> July 2020.</w:t>
      </w:r>
    </w:p>
  </w:footnote>
  <w:footnote w:id="2">
    <w:p w14:paraId="14AEA89E" w14:textId="150890BF" w:rsidR="00CD1F3A" w:rsidRPr="00545C56" w:rsidRDefault="00CD1F3A" w:rsidP="002803C8">
      <w:pPr>
        <w:contextualSpacing/>
        <w:rPr>
          <w:i/>
          <w:sz w:val="20"/>
          <w:szCs w:val="20"/>
        </w:rPr>
      </w:pPr>
      <w:r w:rsidRPr="00545C56">
        <w:rPr>
          <w:rStyle w:val="FootnoteReference"/>
          <w:rFonts w:eastAsiaTheme="majorEastAsia"/>
          <w:sz w:val="20"/>
          <w:szCs w:val="20"/>
        </w:rPr>
        <w:footnoteRef/>
      </w:r>
      <w:r w:rsidRPr="00545C56">
        <w:rPr>
          <w:sz w:val="20"/>
          <w:szCs w:val="20"/>
        </w:rPr>
        <w:t xml:space="preserve"> L </w:t>
      </w:r>
      <w:proofErr w:type="spellStart"/>
      <w:r w:rsidRPr="00545C56">
        <w:rPr>
          <w:sz w:val="20"/>
          <w:szCs w:val="20"/>
        </w:rPr>
        <w:t>Senden</w:t>
      </w:r>
      <w:proofErr w:type="spellEnd"/>
      <w:r w:rsidRPr="00545C56">
        <w:rPr>
          <w:sz w:val="20"/>
          <w:szCs w:val="20"/>
        </w:rPr>
        <w:t>,</w:t>
      </w:r>
      <w:r w:rsidRPr="00545C56">
        <w:rPr>
          <w:i/>
          <w:sz w:val="20"/>
          <w:szCs w:val="20"/>
        </w:rPr>
        <w:t xml:space="preserve"> Soft Law in European Community Law</w:t>
      </w:r>
      <w:r w:rsidRPr="00545C56">
        <w:rPr>
          <w:sz w:val="20"/>
          <w:szCs w:val="20"/>
        </w:rPr>
        <w:t xml:space="preserve"> (Oxford, Hart Publishing, 2004) 140.</w:t>
      </w:r>
    </w:p>
  </w:footnote>
  <w:footnote w:id="3">
    <w:p w14:paraId="0B8761AF" w14:textId="35579ED1"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J Scott, ‘In Legal Limbo: Post-Legislative Guidance as a Challenge for European Administrative Law’ (2011) 48 </w:t>
      </w:r>
      <w:r w:rsidRPr="00545C56">
        <w:rPr>
          <w:rFonts w:ascii="Times New Roman" w:hAnsi="Times New Roman"/>
          <w:i/>
          <w:lang w:val="en-GB"/>
        </w:rPr>
        <w:t>Common Market Law Review</w:t>
      </w:r>
      <w:r w:rsidRPr="00545C56">
        <w:rPr>
          <w:rFonts w:ascii="Times New Roman" w:hAnsi="Times New Roman"/>
          <w:lang w:val="en-GB"/>
        </w:rPr>
        <w:t xml:space="preserve"> 329. </w:t>
      </w:r>
    </w:p>
  </w:footnote>
  <w:footnote w:id="4">
    <w:p w14:paraId="63BB3776" w14:textId="5F91D28A"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F Rawlinson, ‘The Role of Policy Frameworks, codes and Guidelines in the Control of State Aid’, in I Harden (ed), </w:t>
      </w:r>
      <w:r w:rsidRPr="00545C56">
        <w:rPr>
          <w:rFonts w:ascii="Times New Roman" w:hAnsi="Times New Roman"/>
          <w:i/>
          <w:iCs/>
          <w:lang w:val="en-GB"/>
        </w:rPr>
        <w:t>State Aid: Community Law and Policy</w:t>
      </w:r>
      <w:r w:rsidRPr="00545C56">
        <w:rPr>
          <w:rFonts w:ascii="Times New Roman" w:hAnsi="Times New Roman"/>
          <w:lang w:val="en-GB"/>
        </w:rPr>
        <w:t>, vol 4</w:t>
      </w:r>
      <w:r w:rsidRPr="00545C56">
        <w:rPr>
          <w:rFonts w:ascii="Times New Roman" w:hAnsi="Times New Roman"/>
          <w:i/>
          <w:iCs/>
          <w:lang w:val="en-GB"/>
        </w:rPr>
        <w:t xml:space="preserve"> </w:t>
      </w:r>
      <w:r w:rsidRPr="00545C56">
        <w:rPr>
          <w:rFonts w:ascii="Times New Roman" w:hAnsi="Times New Roman"/>
          <w:lang w:val="en-GB"/>
        </w:rPr>
        <w:t>(ERA, 1993) 56–58.</w:t>
      </w:r>
    </w:p>
  </w:footnote>
  <w:footnote w:id="5">
    <w:p w14:paraId="204B8F3F" w14:textId="5C1AAF87" w:rsidR="00CD1F3A" w:rsidRPr="00545C56" w:rsidRDefault="00CD1F3A" w:rsidP="002803C8">
      <w:pPr>
        <w:pStyle w:val="NormalWeb"/>
        <w:shd w:val="clear" w:color="auto" w:fill="FFFFFF"/>
        <w:spacing w:before="0" w:beforeAutospacing="0" w:after="0" w:afterAutospacing="0"/>
        <w:contextualSpacing/>
        <w:rPr>
          <w:sz w:val="20"/>
          <w:szCs w:val="20"/>
          <w:lang w:val="en-GB"/>
        </w:rPr>
      </w:pPr>
      <w:r w:rsidRPr="00545C56">
        <w:rPr>
          <w:rStyle w:val="FootnoteReference"/>
          <w:rFonts w:eastAsiaTheme="majorEastAsia"/>
          <w:sz w:val="20"/>
          <w:szCs w:val="20"/>
        </w:rPr>
        <w:footnoteRef/>
      </w:r>
      <w:r w:rsidRPr="00545C56">
        <w:rPr>
          <w:sz w:val="20"/>
          <w:szCs w:val="20"/>
          <w:lang w:val="en-US"/>
        </w:rPr>
        <w:t xml:space="preserve"> Commission Notice on the notion of State aid as referred to in Article 107(1) of the Treaty on the Functioning of the EU [2016] OJ C 262, 19.7.2016.</w:t>
      </w:r>
    </w:p>
  </w:footnote>
  <w:footnote w:id="6">
    <w:p w14:paraId="042D8719" w14:textId="6978DC0C"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hAnsi="Times New Roman"/>
        </w:rPr>
        <w:footnoteRef/>
      </w:r>
      <w:r w:rsidRPr="00545C56">
        <w:rPr>
          <w:rFonts w:ascii="Times New Roman" w:hAnsi="Times New Roman"/>
          <w:lang w:val="en-US"/>
        </w:rPr>
        <w:t xml:space="preserve"> Dobbs</w:t>
      </w:r>
      <w:r w:rsidR="00E800DF">
        <w:rPr>
          <w:rFonts w:ascii="Times New Roman" w:hAnsi="Times New Roman"/>
          <w:lang w:val="en-US"/>
        </w:rPr>
        <w:t xml:space="preserve"> and</w:t>
      </w:r>
      <w:r w:rsidRPr="00545C56">
        <w:rPr>
          <w:rFonts w:ascii="Times New Roman" w:hAnsi="Times New Roman"/>
          <w:lang w:val="en-US"/>
        </w:rPr>
        <w:t xml:space="preserve"> Stefan </w:t>
      </w:r>
      <w:r w:rsidRPr="00545C56">
        <w:rPr>
          <w:rFonts w:ascii="Times New Roman" w:hAnsi="Times New Roman"/>
          <w:lang w:val="en-GB"/>
        </w:rPr>
        <w:t>this volume.</w:t>
      </w:r>
    </w:p>
  </w:footnote>
  <w:footnote w:id="7">
    <w:p w14:paraId="1B307DBF" w14:textId="7537418C"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O Stefan, ‘Helping Loose Ends Meet? The Judicial Acknowledgement of Soft Law as a Tool of Multi-Level Governance’ (2014) 21 </w:t>
      </w:r>
      <w:r w:rsidRPr="00545C56">
        <w:rPr>
          <w:rFonts w:ascii="Times New Roman" w:hAnsi="Times New Roman"/>
          <w:i/>
          <w:color w:val="000000" w:themeColor="text1"/>
          <w:lang w:val="en-US"/>
        </w:rPr>
        <w:t>Maastricht Journal of European and Comparative Law</w:t>
      </w:r>
      <w:r w:rsidRPr="00545C56">
        <w:rPr>
          <w:rFonts w:ascii="Times New Roman" w:hAnsi="Times New Roman"/>
          <w:color w:val="000000" w:themeColor="text1"/>
          <w:lang w:val="en-US"/>
        </w:rPr>
        <w:t xml:space="preserve"> 359.  </w:t>
      </w:r>
    </w:p>
  </w:footnote>
  <w:footnote w:id="8">
    <w:p w14:paraId="15264A22" w14:textId="343F5CF1"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hAnsi="Times New Roman"/>
          <w:color w:val="000000" w:themeColor="text1"/>
          <w:lang w:val="en-GB"/>
        </w:rPr>
        <w:footnoteRef/>
      </w:r>
      <w:r w:rsidRPr="00545C56">
        <w:rPr>
          <w:rFonts w:ascii="Times New Roman" w:hAnsi="Times New Roman"/>
          <w:color w:val="000000" w:themeColor="text1"/>
          <w:lang w:val="en-US"/>
        </w:rPr>
        <w:t xml:space="preserve"> S </w:t>
      </w:r>
      <w:proofErr w:type="spellStart"/>
      <w:r w:rsidRPr="00545C56">
        <w:rPr>
          <w:rFonts w:ascii="Times New Roman" w:hAnsi="Times New Roman"/>
          <w:color w:val="000000" w:themeColor="text1"/>
          <w:lang w:val="en-GB"/>
        </w:rPr>
        <w:t>Prechal</w:t>
      </w:r>
      <w:proofErr w:type="spellEnd"/>
      <w:r w:rsidR="00E800DF">
        <w:rPr>
          <w:rFonts w:ascii="Times New Roman" w:hAnsi="Times New Roman"/>
          <w:color w:val="000000" w:themeColor="text1"/>
          <w:lang w:val="en-GB"/>
        </w:rPr>
        <w:t xml:space="preserve"> and</w:t>
      </w:r>
      <w:r w:rsidRPr="00545C56">
        <w:rPr>
          <w:rFonts w:ascii="Times New Roman" w:hAnsi="Times New Roman"/>
          <w:color w:val="000000" w:themeColor="text1"/>
          <w:lang w:val="en-GB"/>
        </w:rPr>
        <w:t xml:space="preserve"> M de Leeuw, ‘Dimensions of Transparency: The Building Blocks for a New Legal Principle? (2007) 1 </w:t>
      </w:r>
      <w:r w:rsidRPr="00545C56">
        <w:rPr>
          <w:rFonts w:ascii="Times New Roman" w:hAnsi="Times New Roman"/>
          <w:i/>
          <w:color w:val="000000" w:themeColor="text1"/>
          <w:lang w:val="en-GB"/>
        </w:rPr>
        <w:t>Review of European Administrative Law</w:t>
      </w:r>
      <w:r w:rsidRPr="00545C56">
        <w:rPr>
          <w:rFonts w:ascii="Times New Roman" w:hAnsi="Times New Roman"/>
          <w:color w:val="000000" w:themeColor="text1"/>
          <w:lang w:val="en-GB"/>
        </w:rPr>
        <w:t xml:space="preserve"> 51; </w:t>
      </w:r>
      <w:r w:rsidRPr="00545C56">
        <w:rPr>
          <w:rFonts w:ascii="Times New Roman" w:hAnsi="Times New Roman"/>
          <w:color w:val="000000" w:themeColor="text1"/>
          <w:lang w:val="en-US"/>
        </w:rPr>
        <w:t xml:space="preserve">M </w:t>
      </w:r>
      <w:proofErr w:type="spellStart"/>
      <w:r w:rsidRPr="00545C56">
        <w:rPr>
          <w:rFonts w:ascii="Times New Roman" w:hAnsi="Times New Roman"/>
          <w:color w:val="000000" w:themeColor="text1"/>
          <w:lang w:val="en-US"/>
        </w:rPr>
        <w:t>Cini</w:t>
      </w:r>
      <w:proofErr w:type="spellEnd"/>
      <w:r w:rsidRPr="00545C56">
        <w:rPr>
          <w:rFonts w:ascii="Times New Roman" w:hAnsi="Times New Roman"/>
          <w:color w:val="000000" w:themeColor="text1"/>
          <w:lang w:val="en-US"/>
        </w:rPr>
        <w:t xml:space="preserve">, ‘The Soft Law Approach: Commission Rule-Making in the EU’s State Aid Regime’ (2001) 8 </w:t>
      </w:r>
      <w:r w:rsidRPr="00545C56">
        <w:rPr>
          <w:rFonts w:ascii="Times New Roman" w:hAnsi="Times New Roman"/>
          <w:i/>
          <w:color w:val="000000" w:themeColor="text1"/>
          <w:lang w:val="en-US"/>
        </w:rPr>
        <w:t>Journal of European Public Policy</w:t>
      </w:r>
      <w:r w:rsidRPr="00545C56">
        <w:rPr>
          <w:rFonts w:ascii="Times New Roman" w:hAnsi="Times New Roman"/>
          <w:color w:val="000000" w:themeColor="text1"/>
          <w:lang w:val="en-US"/>
        </w:rPr>
        <w:t xml:space="preserve"> 192, 194. </w:t>
      </w:r>
    </w:p>
  </w:footnote>
  <w:footnote w:id="9">
    <w:p w14:paraId="53BC2361" w14:textId="7A4511BC"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w:t>
      </w:r>
      <w:r w:rsidRPr="00545C56">
        <w:rPr>
          <w:rFonts w:ascii="Times New Roman" w:hAnsi="Times New Roman"/>
          <w:color w:val="000000" w:themeColor="text1"/>
          <w:lang w:val="en-GB"/>
        </w:rPr>
        <w:t xml:space="preserve">S Vaughan, ‘Differentiation and Dysfunction: An Exploration of Post-Legislative Guidance Practices in 14 EU Agencies (2015) 17 </w:t>
      </w:r>
      <w:r w:rsidRPr="00545C56">
        <w:rPr>
          <w:rFonts w:ascii="Times New Roman" w:hAnsi="Times New Roman"/>
          <w:i/>
          <w:color w:val="000000" w:themeColor="text1"/>
          <w:lang w:val="en-GB"/>
        </w:rPr>
        <w:t>Cambridge Yearbook of European Legal Studies</w:t>
      </w:r>
      <w:r w:rsidRPr="00545C56">
        <w:rPr>
          <w:rFonts w:ascii="Times New Roman" w:hAnsi="Times New Roman"/>
          <w:color w:val="000000" w:themeColor="text1"/>
          <w:lang w:val="en-GB"/>
        </w:rPr>
        <w:t xml:space="preserve"> 66; E </w:t>
      </w:r>
      <w:proofErr w:type="spellStart"/>
      <w:r w:rsidRPr="00545C56">
        <w:rPr>
          <w:rFonts w:ascii="Times New Roman" w:hAnsi="Times New Roman"/>
          <w:color w:val="000000" w:themeColor="text1"/>
          <w:lang w:val="en-GB"/>
        </w:rPr>
        <w:t>Korkea-aho</w:t>
      </w:r>
      <w:proofErr w:type="spellEnd"/>
      <w:r w:rsidRPr="00545C56">
        <w:rPr>
          <w:rFonts w:ascii="Times New Roman" w:hAnsi="Times New Roman"/>
          <w:color w:val="000000" w:themeColor="text1"/>
          <w:lang w:val="en-GB"/>
        </w:rPr>
        <w:t xml:space="preserve">, ‘Laws in Progress? Reconceptualizing Accountability Strategies in the Era of Framework Norms’ (2013) 2 </w:t>
      </w:r>
      <w:r w:rsidRPr="00545C56">
        <w:rPr>
          <w:rFonts w:ascii="Times New Roman" w:hAnsi="Times New Roman"/>
          <w:i/>
          <w:color w:val="000000" w:themeColor="text1"/>
          <w:lang w:val="en-GB"/>
        </w:rPr>
        <w:t>Transnational Environmental Law</w:t>
      </w:r>
      <w:r w:rsidRPr="00545C56">
        <w:rPr>
          <w:rFonts w:ascii="Times New Roman" w:hAnsi="Times New Roman"/>
          <w:color w:val="000000" w:themeColor="text1"/>
          <w:lang w:val="en-GB"/>
        </w:rPr>
        <w:t xml:space="preserve"> 36; Scott (n 2); S </w:t>
      </w:r>
      <w:proofErr w:type="spellStart"/>
      <w:r w:rsidRPr="00545C56">
        <w:rPr>
          <w:rFonts w:ascii="Times New Roman" w:hAnsi="Times New Roman"/>
          <w:color w:val="000000" w:themeColor="text1"/>
          <w:lang w:val="en-GB"/>
        </w:rPr>
        <w:t>Smismans</w:t>
      </w:r>
      <w:proofErr w:type="spellEnd"/>
      <w:r w:rsidRPr="00545C56">
        <w:rPr>
          <w:rFonts w:ascii="Times New Roman" w:hAnsi="Times New Roman"/>
          <w:color w:val="000000" w:themeColor="text1"/>
          <w:lang w:val="en-GB"/>
        </w:rPr>
        <w:t xml:space="preserve">, ‘New Modes of Governance and the Participatory Myth’ (2008) 31 </w:t>
      </w:r>
      <w:r w:rsidRPr="00545C56">
        <w:rPr>
          <w:rFonts w:ascii="Times New Roman" w:hAnsi="Times New Roman"/>
          <w:i/>
          <w:color w:val="000000" w:themeColor="text1"/>
          <w:lang w:val="en-GB"/>
        </w:rPr>
        <w:t>West European Politics</w:t>
      </w:r>
      <w:r w:rsidRPr="00545C56">
        <w:rPr>
          <w:rFonts w:ascii="Times New Roman" w:hAnsi="Times New Roman"/>
          <w:color w:val="000000" w:themeColor="text1"/>
          <w:lang w:val="en-GB"/>
        </w:rPr>
        <w:t xml:space="preserve"> 874.</w:t>
      </w:r>
    </w:p>
  </w:footnote>
  <w:footnote w:id="10">
    <w:p w14:paraId="239446F0" w14:textId="3CC514DE"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w:t>
      </w:r>
      <w:r w:rsidRPr="00545C56">
        <w:rPr>
          <w:rFonts w:ascii="Times New Roman" w:hAnsi="Times New Roman"/>
          <w:lang w:val="en-GB"/>
        </w:rPr>
        <w:t>A van den Brink</w:t>
      </w:r>
      <w:r w:rsidR="00E800DF">
        <w:rPr>
          <w:rFonts w:ascii="Times New Roman" w:hAnsi="Times New Roman"/>
          <w:lang w:val="en-GB"/>
        </w:rPr>
        <w:t xml:space="preserve"> and</w:t>
      </w:r>
      <w:r w:rsidRPr="00545C56">
        <w:rPr>
          <w:rFonts w:ascii="Times New Roman" w:hAnsi="Times New Roman"/>
          <w:lang w:val="en-GB"/>
        </w:rPr>
        <w:t xml:space="preserve"> L </w:t>
      </w:r>
      <w:proofErr w:type="spellStart"/>
      <w:r w:rsidRPr="00545C56">
        <w:rPr>
          <w:rFonts w:ascii="Times New Roman" w:hAnsi="Times New Roman"/>
          <w:lang w:val="en-GB"/>
        </w:rPr>
        <w:t>Senden</w:t>
      </w:r>
      <w:proofErr w:type="spellEnd"/>
      <w:r w:rsidRPr="00545C56">
        <w:rPr>
          <w:rFonts w:ascii="Times New Roman" w:hAnsi="Times New Roman"/>
          <w:lang w:val="en-GB"/>
        </w:rPr>
        <w:t>, ‘Checks and Balances of Soft EU Rule-Making’ (2012) Policy Department C: Citizens</w:t>
      </w:r>
      <w:r w:rsidR="00E800DF">
        <w:rPr>
          <w:rFonts w:ascii="Times New Roman" w:hAnsi="Times New Roman"/>
          <w:lang w:val="en-GB"/>
        </w:rPr>
        <w:t>’</w:t>
      </w:r>
      <w:r w:rsidRPr="00545C56">
        <w:rPr>
          <w:rFonts w:ascii="Times New Roman" w:hAnsi="Times New Roman"/>
          <w:lang w:val="en-GB"/>
        </w:rPr>
        <w:t xml:space="preserve"> Rights and Constitutional Affairs 20,</w:t>
      </w:r>
      <w:r w:rsidR="00E800DF">
        <w:rPr>
          <w:rFonts w:ascii="Times New Roman" w:hAnsi="Times New Roman"/>
          <w:lang w:val="en-GB"/>
        </w:rPr>
        <w:t xml:space="preserve"> </w:t>
      </w:r>
      <w:r w:rsidRPr="00545C56">
        <w:rPr>
          <w:rFonts w:ascii="Times New Roman" w:eastAsiaTheme="majorEastAsia" w:hAnsi="Times New Roman"/>
          <w:color w:val="000000" w:themeColor="text1"/>
          <w:lang w:val="en-US"/>
        </w:rPr>
        <w:t>https://ssrn.com/abstract=2042480</w:t>
      </w:r>
      <w:r w:rsidRPr="00545C56">
        <w:rPr>
          <w:rFonts w:ascii="Times New Roman" w:hAnsi="Times New Roman"/>
          <w:color w:val="000000" w:themeColor="text1"/>
          <w:shd w:val="clear" w:color="auto" w:fill="FFFFFF"/>
          <w:lang w:val="en-US"/>
        </w:rPr>
        <w:t> or </w:t>
      </w:r>
      <w:r w:rsidRPr="00545C56">
        <w:rPr>
          <w:rFonts w:ascii="Times New Roman" w:eastAsiaTheme="majorEastAsia" w:hAnsi="Times New Roman"/>
          <w:color w:val="000000" w:themeColor="text1"/>
          <w:lang w:val="en-US"/>
        </w:rPr>
        <w:t>http://dx.doi.org/10.2139/ssrn.2042480</w:t>
      </w:r>
      <w:r w:rsidRPr="00545C56">
        <w:rPr>
          <w:rFonts w:ascii="Times New Roman" w:hAnsi="Times New Roman"/>
          <w:color w:val="000000" w:themeColor="text1"/>
          <w:lang w:val="en-GB"/>
        </w:rPr>
        <w:t>.</w:t>
      </w:r>
    </w:p>
  </w:footnote>
  <w:footnote w:id="11">
    <w:p w14:paraId="68388622" w14:textId="772EB524"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Case C-410/09 </w:t>
      </w:r>
      <w:proofErr w:type="spellStart"/>
      <w:r w:rsidRPr="00545C56">
        <w:rPr>
          <w:rFonts w:ascii="Times New Roman" w:hAnsi="Times New Roman"/>
          <w:i/>
          <w:color w:val="000000" w:themeColor="text1"/>
          <w:lang w:val="en-US"/>
        </w:rPr>
        <w:t>Polska</w:t>
      </w:r>
      <w:proofErr w:type="spellEnd"/>
      <w:r w:rsidRPr="00545C56">
        <w:rPr>
          <w:rFonts w:ascii="Times New Roman" w:hAnsi="Times New Roman"/>
          <w:i/>
          <w:color w:val="000000" w:themeColor="text1"/>
          <w:lang w:val="en-US"/>
        </w:rPr>
        <w:t xml:space="preserve"> </w:t>
      </w:r>
      <w:proofErr w:type="spellStart"/>
      <w:r w:rsidRPr="00545C56">
        <w:rPr>
          <w:rFonts w:ascii="Times New Roman" w:hAnsi="Times New Roman"/>
          <w:i/>
          <w:color w:val="000000" w:themeColor="text1"/>
          <w:lang w:val="en-US"/>
        </w:rPr>
        <w:t>Telefonia</w:t>
      </w:r>
      <w:proofErr w:type="spellEnd"/>
      <w:r w:rsidRPr="00545C56">
        <w:rPr>
          <w:rFonts w:ascii="Times New Roman" w:hAnsi="Times New Roman"/>
          <w:i/>
          <w:color w:val="000000" w:themeColor="text1"/>
          <w:lang w:val="en-US"/>
        </w:rPr>
        <w:t xml:space="preserve"> </w:t>
      </w:r>
      <w:proofErr w:type="spellStart"/>
      <w:r w:rsidRPr="00545C56">
        <w:rPr>
          <w:rFonts w:ascii="Times New Roman" w:hAnsi="Times New Roman"/>
          <w:i/>
          <w:color w:val="000000" w:themeColor="text1"/>
          <w:lang w:val="en-US"/>
        </w:rPr>
        <w:t>Cyfrowa</w:t>
      </w:r>
      <w:proofErr w:type="spellEnd"/>
      <w:r w:rsidRPr="00545C56">
        <w:rPr>
          <w:rFonts w:ascii="Times New Roman" w:hAnsi="Times New Roman"/>
          <w:i/>
          <w:color w:val="000000" w:themeColor="text1"/>
          <w:lang w:val="en-US"/>
        </w:rPr>
        <w:t xml:space="preserve"> (PTC)</w:t>
      </w:r>
      <w:r w:rsidRPr="00545C56">
        <w:rPr>
          <w:rFonts w:ascii="Times New Roman" w:hAnsi="Times New Roman"/>
          <w:iCs/>
          <w:color w:val="000000" w:themeColor="text1"/>
          <w:lang w:val="en-US"/>
        </w:rPr>
        <w:t>,</w:t>
      </w:r>
      <w:r w:rsidRPr="00545C56">
        <w:rPr>
          <w:rFonts w:ascii="Times New Roman" w:hAnsi="Times New Roman"/>
          <w:i/>
          <w:color w:val="000000" w:themeColor="text1"/>
          <w:lang w:val="en-US"/>
        </w:rPr>
        <w:t xml:space="preserve"> </w:t>
      </w:r>
      <w:r w:rsidRPr="00545C56">
        <w:rPr>
          <w:rFonts w:ascii="Times New Roman" w:hAnsi="Times New Roman"/>
          <w:color w:val="000000" w:themeColor="text1"/>
          <w:lang w:val="en-US"/>
        </w:rPr>
        <w:t xml:space="preserve">[2011] EU:C:2011:294. </w:t>
      </w:r>
    </w:p>
  </w:footnote>
  <w:footnote w:id="12">
    <w:p w14:paraId="0A7234FD" w14:textId="42F80D99"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C </w:t>
      </w:r>
      <w:proofErr w:type="spellStart"/>
      <w:r w:rsidRPr="00545C56">
        <w:rPr>
          <w:rFonts w:ascii="Times New Roman" w:hAnsi="Times New Roman"/>
          <w:color w:val="000000" w:themeColor="text1"/>
          <w:lang w:val="en-GB"/>
        </w:rPr>
        <w:t>Chinkin</w:t>
      </w:r>
      <w:proofErr w:type="spellEnd"/>
      <w:r w:rsidRPr="00545C56">
        <w:rPr>
          <w:rFonts w:ascii="Times New Roman" w:hAnsi="Times New Roman"/>
          <w:color w:val="000000" w:themeColor="text1"/>
          <w:lang w:val="en-GB"/>
        </w:rPr>
        <w:t xml:space="preserve">, ‘The Challenge of Soft Law: Development and Change in International Law’ (1989) 38 </w:t>
      </w:r>
      <w:r w:rsidRPr="00545C56">
        <w:rPr>
          <w:rFonts w:ascii="Times New Roman" w:hAnsi="Times New Roman"/>
          <w:i/>
          <w:color w:val="000000" w:themeColor="text1"/>
          <w:lang w:val="en-GB"/>
        </w:rPr>
        <w:t>International &amp; Comparative Law Quarterly</w:t>
      </w:r>
      <w:r w:rsidRPr="00545C56">
        <w:rPr>
          <w:rFonts w:ascii="Times New Roman" w:hAnsi="Times New Roman"/>
          <w:color w:val="000000" w:themeColor="text1"/>
          <w:lang w:val="en-GB"/>
        </w:rPr>
        <w:t xml:space="preserve"> 850.</w:t>
      </w:r>
    </w:p>
  </w:footnote>
  <w:footnote w:id="13">
    <w:p w14:paraId="5A67928B" w14:textId="2DA9F546"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H Hofmann, ‘Administrative Governance in State aid Policy’, in H Hofmann</w:t>
      </w:r>
      <w:r w:rsidR="00E800DF">
        <w:rPr>
          <w:rFonts w:ascii="Times New Roman" w:hAnsi="Times New Roman"/>
          <w:color w:val="000000" w:themeColor="text1"/>
          <w:lang w:val="en-GB"/>
        </w:rPr>
        <w:t xml:space="preserve"> and</w:t>
      </w:r>
      <w:r w:rsidRPr="00545C56">
        <w:rPr>
          <w:rFonts w:ascii="Times New Roman" w:hAnsi="Times New Roman"/>
          <w:color w:val="000000" w:themeColor="text1"/>
          <w:lang w:val="en-GB"/>
        </w:rPr>
        <w:t xml:space="preserve"> A </w:t>
      </w:r>
      <w:proofErr w:type="spellStart"/>
      <w:r w:rsidRPr="00545C56">
        <w:rPr>
          <w:rFonts w:ascii="Times New Roman" w:hAnsi="Times New Roman"/>
          <w:color w:val="000000" w:themeColor="text1"/>
          <w:lang w:val="en-GB"/>
        </w:rPr>
        <w:t>Türk</w:t>
      </w:r>
      <w:proofErr w:type="spellEnd"/>
      <w:r w:rsidRPr="00545C56">
        <w:rPr>
          <w:rFonts w:ascii="Times New Roman" w:hAnsi="Times New Roman"/>
          <w:color w:val="000000" w:themeColor="text1"/>
          <w:lang w:val="en-GB"/>
        </w:rPr>
        <w:t xml:space="preserve">, </w:t>
      </w:r>
      <w:r w:rsidRPr="00545C56">
        <w:rPr>
          <w:rFonts w:ascii="Times New Roman" w:hAnsi="Times New Roman"/>
          <w:i/>
          <w:iCs/>
          <w:color w:val="000000" w:themeColor="text1"/>
          <w:lang w:val="en-GB"/>
        </w:rPr>
        <w:t>EU Administrative Governance</w:t>
      </w:r>
      <w:r w:rsidRPr="00545C56">
        <w:rPr>
          <w:rFonts w:ascii="Times New Roman" w:hAnsi="Times New Roman"/>
          <w:color w:val="000000" w:themeColor="text1"/>
          <w:lang w:val="en-GB"/>
        </w:rPr>
        <w:t xml:space="preserve"> (Cheltenham, Edward Elgar, 2006); </w:t>
      </w:r>
      <w:proofErr w:type="spellStart"/>
      <w:r w:rsidRPr="00545C56">
        <w:rPr>
          <w:rFonts w:ascii="Times New Roman" w:hAnsi="Times New Roman"/>
          <w:color w:val="000000" w:themeColor="text1"/>
          <w:lang w:val="en-GB"/>
        </w:rPr>
        <w:t>Senden</w:t>
      </w:r>
      <w:proofErr w:type="spellEnd"/>
      <w:r w:rsidRPr="00545C56">
        <w:rPr>
          <w:rFonts w:ascii="Times New Roman" w:hAnsi="Times New Roman"/>
          <w:color w:val="000000" w:themeColor="text1"/>
          <w:lang w:val="en-GB"/>
        </w:rPr>
        <w:t xml:space="preserve"> (n 1)</w:t>
      </w:r>
      <w:r w:rsidRPr="00545C56">
        <w:rPr>
          <w:rFonts w:ascii="Times New Roman" w:hAnsi="Times New Roman"/>
          <w:i/>
          <w:iCs/>
          <w:color w:val="000000" w:themeColor="text1"/>
          <w:lang w:val="en-GB"/>
        </w:rPr>
        <w:t xml:space="preserve"> </w:t>
      </w:r>
      <w:r w:rsidRPr="00545C56">
        <w:rPr>
          <w:rFonts w:ascii="Times New Roman" w:hAnsi="Times New Roman"/>
          <w:color w:val="000000" w:themeColor="text1"/>
          <w:lang w:val="en-GB"/>
        </w:rPr>
        <w:t xml:space="preserve">497. </w:t>
      </w:r>
    </w:p>
  </w:footnote>
  <w:footnote w:id="14">
    <w:p w14:paraId="3F880F3D" w14:textId="25C1139B"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w:t>
      </w:r>
      <w:proofErr w:type="gramStart"/>
      <w:r w:rsidRPr="00545C56">
        <w:rPr>
          <w:rFonts w:ascii="Times New Roman" w:hAnsi="Times New Roman"/>
          <w:lang w:val="en-GB"/>
        </w:rPr>
        <w:t>A</w:t>
      </w:r>
      <w:proofErr w:type="gramEnd"/>
      <w:r w:rsidRPr="00545C56">
        <w:rPr>
          <w:rFonts w:ascii="Times New Roman" w:hAnsi="Times New Roman"/>
          <w:lang w:val="en-GB"/>
        </w:rPr>
        <w:t xml:space="preserve"> Etzioni, ‘Is Transparency the Best Disinfectant?’ (2010) 18 </w:t>
      </w:r>
      <w:r w:rsidRPr="00545C56">
        <w:rPr>
          <w:rFonts w:ascii="Times New Roman" w:hAnsi="Times New Roman"/>
          <w:i/>
          <w:lang w:val="en-GB"/>
        </w:rPr>
        <w:t>Journal of Political Philosophy</w:t>
      </w:r>
      <w:r w:rsidRPr="00545C56">
        <w:rPr>
          <w:rFonts w:ascii="Times New Roman" w:hAnsi="Times New Roman"/>
          <w:lang w:val="en-GB"/>
        </w:rPr>
        <w:t xml:space="preserve"> 389, 389.</w:t>
      </w:r>
    </w:p>
  </w:footnote>
  <w:footnote w:id="15">
    <w:p w14:paraId="3AFB464D" w14:textId="390D8C28"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K </w:t>
      </w:r>
      <w:proofErr w:type="spellStart"/>
      <w:r w:rsidRPr="00545C56">
        <w:rPr>
          <w:rFonts w:ascii="Times New Roman" w:hAnsi="Times New Roman"/>
          <w:lang w:val="en-GB"/>
        </w:rPr>
        <w:t>Lenaerts</w:t>
      </w:r>
      <w:proofErr w:type="spellEnd"/>
      <w:r w:rsidRPr="00545C56">
        <w:rPr>
          <w:rFonts w:ascii="Times New Roman" w:hAnsi="Times New Roman"/>
          <w:lang w:val="en-GB"/>
        </w:rPr>
        <w:t>, ‘“In the Union We Trust”: Trust - Enhancing Principles of Community Law’, (2004) 41</w:t>
      </w:r>
      <w:r w:rsidRPr="00545C56">
        <w:rPr>
          <w:rFonts w:ascii="Times New Roman" w:hAnsi="Times New Roman"/>
          <w:i/>
          <w:lang w:val="en-GB"/>
        </w:rPr>
        <w:t>Common Market Law Review</w:t>
      </w:r>
      <w:r w:rsidRPr="00545C56">
        <w:rPr>
          <w:rFonts w:ascii="Times New Roman" w:hAnsi="Times New Roman"/>
          <w:lang w:val="en-GB"/>
        </w:rPr>
        <w:t xml:space="preserve"> 317.</w:t>
      </w:r>
    </w:p>
  </w:footnote>
  <w:footnote w:id="16">
    <w:p w14:paraId="54C4DE53" w14:textId="6C33496E"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s-ES"/>
        </w:rPr>
        <w:t xml:space="preserve"> Case T-14/98 </w:t>
      </w:r>
      <w:proofErr w:type="spellStart"/>
      <w:r w:rsidRPr="00545C56">
        <w:rPr>
          <w:rFonts w:ascii="Times New Roman" w:hAnsi="Times New Roman"/>
          <w:i/>
          <w:lang w:val="es-ES"/>
        </w:rPr>
        <w:t>Hautala</w:t>
      </w:r>
      <w:proofErr w:type="spellEnd"/>
      <w:r w:rsidRPr="00545C56">
        <w:rPr>
          <w:rFonts w:ascii="Times New Roman" w:hAnsi="Times New Roman"/>
          <w:i/>
          <w:lang w:val="es-ES"/>
        </w:rPr>
        <w:t xml:space="preserve"> v Council</w:t>
      </w:r>
      <w:r w:rsidRPr="00545C56">
        <w:rPr>
          <w:rFonts w:ascii="Times New Roman" w:hAnsi="Times New Roman"/>
          <w:iCs/>
          <w:lang w:val="es-ES"/>
        </w:rPr>
        <w:t>,</w:t>
      </w:r>
      <w:r w:rsidRPr="00545C56">
        <w:rPr>
          <w:rFonts w:ascii="Times New Roman" w:hAnsi="Times New Roman"/>
          <w:i/>
          <w:lang w:val="es-ES"/>
        </w:rPr>
        <w:t xml:space="preserve"> </w:t>
      </w:r>
      <w:r w:rsidRPr="00545C56">
        <w:rPr>
          <w:rFonts w:ascii="Times New Roman" w:hAnsi="Times New Roman"/>
          <w:lang w:val="es-ES"/>
        </w:rPr>
        <w:t xml:space="preserve">[1999] </w:t>
      </w:r>
      <w:proofErr w:type="gramStart"/>
      <w:r w:rsidRPr="00545C56">
        <w:rPr>
          <w:rFonts w:ascii="Times New Roman" w:hAnsi="Times New Roman"/>
          <w:lang w:val="es-ES"/>
        </w:rPr>
        <w:t>EU:T</w:t>
      </w:r>
      <w:proofErr w:type="gramEnd"/>
      <w:r w:rsidRPr="00545C56">
        <w:rPr>
          <w:rFonts w:ascii="Times New Roman" w:hAnsi="Times New Roman"/>
          <w:lang w:val="es-ES"/>
        </w:rPr>
        <w:t xml:space="preserve">:1999:157, para 83. </w:t>
      </w:r>
      <w:r w:rsidRPr="00545C56">
        <w:rPr>
          <w:rFonts w:ascii="Times New Roman" w:hAnsi="Times New Roman"/>
          <w:lang w:val="en-GB"/>
        </w:rPr>
        <w:t xml:space="preserve">Confirmed on appeal, case C-353/99 </w:t>
      </w:r>
      <w:proofErr w:type="spellStart"/>
      <w:r w:rsidRPr="00545C56">
        <w:rPr>
          <w:rFonts w:ascii="Times New Roman" w:hAnsi="Times New Roman"/>
          <w:i/>
          <w:lang w:val="en-GB"/>
        </w:rPr>
        <w:t>Hautala</w:t>
      </w:r>
      <w:proofErr w:type="spellEnd"/>
      <w:r w:rsidRPr="00545C56">
        <w:rPr>
          <w:rFonts w:ascii="Times New Roman" w:hAnsi="Times New Roman"/>
          <w:i/>
          <w:lang w:val="en-GB"/>
        </w:rPr>
        <w:t xml:space="preserve"> v Council </w:t>
      </w:r>
      <w:r w:rsidRPr="00545C56">
        <w:rPr>
          <w:rFonts w:ascii="Times New Roman" w:hAnsi="Times New Roman"/>
          <w:lang w:val="en-GB"/>
        </w:rPr>
        <w:t>[2001] EU:C:2001:661, para 22.</w:t>
      </w:r>
    </w:p>
  </w:footnote>
  <w:footnote w:id="17">
    <w:p w14:paraId="1F91F4A4" w14:textId="4285997C" w:rsidR="00CD1F3A" w:rsidRPr="00545C56" w:rsidRDefault="00CD1F3A" w:rsidP="002803C8">
      <w:pPr>
        <w:pStyle w:val="FootnoteText"/>
        <w:contextualSpacing/>
        <w:rPr>
          <w:rFonts w:ascii="Times New Roman" w:hAnsi="Times New Roman"/>
          <w:color w:val="000000"/>
          <w:shd w:val="clear" w:color="auto" w:fill="FFFFFF"/>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C Heald, ‘</w:t>
      </w:r>
      <w:r w:rsidRPr="00545C56">
        <w:rPr>
          <w:rFonts w:ascii="Times New Roman" w:hAnsi="Times New Roman"/>
          <w:color w:val="000000"/>
          <w:shd w:val="clear" w:color="auto" w:fill="FFFFFF"/>
          <w:lang w:val="en-GB"/>
        </w:rPr>
        <w:t>Transparency as an instrumental value’ in Hood</w:t>
      </w:r>
      <w:r w:rsidR="00E800DF">
        <w:rPr>
          <w:rFonts w:ascii="Times New Roman" w:hAnsi="Times New Roman"/>
          <w:color w:val="000000"/>
          <w:shd w:val="clear" w:color="auto" w:fill="FFFFFF"/>
          <w:lang w:val="en-GB"/>
        </w:rPr>
        <w:t xml:space="preserve"> and</w:t>
      </w:r>
      <w:r w:rsidRPr="00545C56">
        <w:rPr>
          <w:rFonts w:ascii="Times New Roman" w:hAnsi="Times New Roman"/>
          <w:color w:val="000000"/>
          <w:shd w:val="clear" w:color="auto" w:fill="FFFFFF"/>
          <w:lang w:val="en-GB"/>
        </w:rPr>
        <w:t xml:space="preserve"> Heald (eds), </w:t>
      </w:r>
      <w:r w:rsidRPr="00545C56">
        <w:rPr>
          <w:rFonts w:ascii="Times New Roman" w:hAnsi="Times New Roman"/>
          <w:i/>
          <w:iCs/>
          <w:color w:val="000000"/>
          <w:shd w:val="clear" w:color="auto" w:fill="FFFFFF"/>
          <w:lang w:val="en-GB"/>
        </w:rPr>
        <w:t>Transparency, a Key to Better Governance</w:t>
      </w:r>
      <w:r w:rsidRPr="00545C56">
        <w:rPr>
          <w:rFonts w:ascii="Times New Roman" w:hAnsi="Times New Roman"/>
          <w:color w:val="000000"/>
          <w:shd w:val="clear" w:color="auto" w:fill="FFFFFF"/>
          <w:lang w:val="en-GB"/>
        </w:rPr>
        <w:t xml:space="preserve"> (Oxford, Oxford University Press, 2006) 67–68.</w:t>
      </w:r>
    </w:p>
  </w:footnote>
  <w:footnote w:id="18">
    <w:p w14:paraId="3D62ECED" w14:textId="00B87CA7"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ibid, 68–69. </w:t>
      </w:r>
    </w:p>
  </w:footnote>
  <w:footnote w:id="19">
    <w:p w14:paraId="17282687" w14:textId="4092CEF3"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R Oliver, </w:t>
      </w:r>
      <w:proofErr w:type="gramStart"/>
      <w:r w:rsidRPr="00545C56">
        <w:rPr>
          <w:rFonts w:ascii="Times New Roman" w:hAnsi="Times New Roman"/>
          <w:i/>
          <w:iCs/>
          <w:lang w:val="en-GB"/>
        </w:rPr>
        <w:t>What</w:t>
      </w:r>
      <w:proofErr w:type="gramEnd"/>
      <w:r w:rsidRPr="00545C56">
        <w:rPr>
          <w:rFonts w:ascii="Times New Roman" w:hAnsi="Times New Roman"/>
          <w:i/>
          <w:iCs/>
          <w:lang w:val="en-GB"/>
        </w:rPr>
        <w:t xml:space="preserve"> is Transparency?</w:t>
      </w:r>
      <w:r w:rsidRPr="00545C56">
        <w:rPr>
          <w:rFonts w:ascii="Times New Roman" w:hAnsi="Times New Roman"/>
          <w:lang w:val="en-GB"/>
        </w:rPr>
        <w:t xml:space="preserve"> (McGraw-Hill, 2004) 2.</w:t>
      </w:r>
    </w:p>
  </w:footnote>
  <w:footnote w:id="20">
    <w:p w14:paraId="7A5AC821" w14:textId="7D8616FB"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A Meijer, ‘Understanding the Complex Dynamics of Transparency’ (2013) 73 </w:t>
      </w:r>
      <w:r w:rsidRPr="00545C56">
        <w:rPr>
          <w:rFonts w:ascii="Times New Roman" w:hAnsi="Times New Roman"/>
          <w:i/>
          <w:lang w:val="en-GB"/>
        </w:rPr>
        <w:t>Public Administration Review</w:t>
      </w:r>
      <w:r w:rsidRPr="00545C56">
        <w:rPr>
          <w:rFonts w:ascii="Times New Roman" w:hAnsi="Times New Roman"/>
          <w:lang w:val="en-GB"/>
        </w:rPr>
        <w:t xml:space="preserve"> 429, 430.</w:t>
      </w:r>
    </w:p>
  </w:footnote>
  <w:footnote w:id="21">
    <w:p w14:paraId="52B20F72" w14:textId="5240D57E"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Etzioni (n 13) 396 et s.</w:t>
      </w:r>
    </w:p>
  </w:footnote>
  <w:footnote w:id="22">
    <w:p w14:paraId="140767CD" w14:textId="04A8DF10" w:rsidR="00CD1F3A" w:rsidRPr="00545C56" w:rsidRDefault="00CD1F3A" w:rsidP="002803C8">
      <w:pPr>
        <w:pStyle w:val="FootnoteText"/>
        <w:contextualSpacing/>
        <w:rPr>
          <w:rFonts w:ascii="Times New Roman" w:hAnsi="Times New Roman"/>
          <w:lang w:val="es-ES"/>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Guidelines on the method of setting fines (n 4), para. </w:t>
      </w:r>
      <w:r w:rsidRPr="00545C56">
        <w:rPr>
          <w:rFonts w:ascii="Times New Roman" w:hAnsi="Times New Roman"/>
          <w:lang w:val="es-ES"/>
        </w:rPr>
        <w:t>3.</w:t>
      </w:r>
    </w:p>
  </w:footnote>
  <w:footnote w:id="23">
    <w:p w14:paraId="77044AD1" w14:textId="5F0C4DFA" w:rsidR="00CD1F3A" w:rsidRPr="00545C56" w:rsidRDefault="00CD1F3A" w:rsidP="002803C8">
      <w:pPr>
        <w:pStyle w:val="FootnoteText"/>
        <w:contextualSpacing/>
        <w:rPr>
          <w:rFonts w:ascii="Times New Roman" w:hAnsi="Times New Roman"/>
          <w:lang w:val="es-ES"/>
        </w:rPr>
      </w:pPr>
      <w:r w:rsidRPr="00545C56">
        <w:rPr>
          <w:rStyle w:val="FootnoteReference"/>
          <w:rFonts w:ascii="Times New Roman" w:eastAsiaTheme="majorEastAsia" w:hAnsi="Times New Roman"/>
          <w:lang w:val="en-GB"/>
        </w:rPr>
        <w:footnoteRef/>
      </w:r>
      <w:r w:rsidRPr="00545C56">
        <w:rPr>
          <w:rFonts w:ascii="Times New Roman" w:hAnsi="Times New Roman"/>
          <w:lang w:val="es-ES"/>
        </w:rPr>
        <w:t xml:space="preserve"> M </w:t>
      </w:r>
      <w:proofErr w:type="spellStart"/>
      <w:r w:rsidRPr="00545C56">
        <w:rPr>
          <w:rFonts w:ascii="Times New Roman" w:hAnsi="Times New Roman"/>
          <w:lang w:val="es-ES"/>
        </w:rPr>
        <w:t>Gardenes</w:t>
      </w:r>
      <w:proofErr w:type="spellEnd"/>
      <w:r w:rsidRPr="00545C56">
        <w:rPr>
          <w:rFonts w:ascii="Times New Roman" w:hAnsi="Times New Roman"/>
          <w:lang w:val="es-ES"/>
        </w:rPr>
        <w:t xml:space="preserve"> Santiago, ‘Las comunicaciones interpretativas de la </w:t>
      </w:r>
      <w:proofErr w:type="spellStart"/>
      <w:r w:rsidRPr="00545C56">
        <w:rPr>
          <w:rFonts w:ascii="Times New Roman" w:hAnsi="Times New Roman"/>
          <w:lang w:val="es-ES"/>
        </w:rPr>
        <w:t>Comision</w:t>
      </w:r>
      <w:proofErr w:type="spellEnd"/>
      <w:r w:rsidRPr="00545C56">
        <w:rPr>
          <w:rFonts w:ascii="Times New Roman" w:hAnsi="Times New Roman"/>
          <w:lang w:val="es-ES"/>
        </w:rPr>
        <w:t xml:space="preserve">: concepto y valor normativo’ (1992) 19 </w:t>
      </w:r>
      <w:r w:rsidRPr="00545C56">
        <w:rPr>
          <w:rFonts w:ascii="Times New Roman" w:hAnsi="Times New Roman"/>
          <w:i/>
          <w:iCs/>
          <w:lang w:val="es-ES"/>
        </w:rPr>
        <w:t>Revista de Instituciones Europeas</w:t>
      </w:r>
      <w:r w:rsidRPr="00545C56">
        <w:rPr>
          <w:rFonts w:ascii="Times New Roman" w:hAnsi="Times New Roman"/>
          <w:lang w:val="es-ES"/>
        </w:rPr>
        <w:t xml:space="preserve"> 933, 939–940.</w:t>
      </w:r>
      <w:r w:rsidRPr="00545C56">
        <w:rPr>
          <w:rFonts w:ascii="Times New Roman" w:hAnsi="Times New Roman"/>
        </w:rPr>
        <w:t xml:space="preserve"> </w:t>
      </w:r>
    </w:p>
  </w:footnote>
  <w:footnote w:id="24">
    <w:p w14:paraId="7AB71DF2" w14:textId="0C09626B"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w:t>
      </w:r>
      <w:r w:rsidRPr="00545C56">
        <w:rPr>
          <w:rFonts w:ascii="Times New Roman" w:hAnsi="Times New Roman"/>
          <w:lang w:val="en-US"/>
        </w:rPr>
        <w:t>F Snyder, ‘Soft Law and Institutional Practice in the European Community’, in S Martin</w:t>
      </w:r>
      <w:r w:rsidR="00E800DF">
        <w:rPr>
          <w:rFonts w:ascii="Times New Roman" w:hAnsi="Times New Roman"/>
          <w:lang w:val="en-US"/>
        </w:rPr>
        <w:t xml:space="preserve"> and</w:t>
      </w:r>
      <w:r w:rsidRPr="00545C56">
        <w:rPr>
          <w:rFonts w:ascii="Times New Roman" w:hAnsi="Times New Roman"/>
          <w:lang w:val="en-US"/>
        </w:rPr>
        <w:t xml:space="preserve"> E Noël (ed</w:t>
      </w:r>
      <w:r w:rsidR="00E800DF">
        <w:rPr>
          <w:rFonts w:ascii="Times New Roman" w:hAnsi="Times New Roman"/>
          <w:lang w:val="en-US"/>
        </w:rPr>
        <w:t>s</w:t>
      </w:r>
      <w:r w:rsidRPr="00545C56">
        <w:rPr>
          <w:rFonts w:ascii="Times New Roman" w:hAnsi="Times New Roman"/>
          <w:lang w:val="en-US"/>
        </w:rPr>
        <w:t xml:space="preserve">), </w:t>
      </w:r>
      <w:r w:rsidRPr="00545C56">
        <w:rPr>
          <w:rFonts w:ascii="Times New Roman" w:hAnsi="Times New Roman"/>
          <w:i/>
          <w:iCs/>
          <w:lang w:val="en-US"/>
        </w:rPr>
        <w:t xml:space="preserve">The Construction of Europe, Essays in </w:t>
      </w:r>
      <w:proofErr w:type="spellStart"/>
      <w:r w:rsidRPr="00545C56">
        <w:rPr>
          <w:rFonts w:ascii="Times New Roman" w:hAnsi="Times New Roman"/>
          <w:i/>
          <w:iCs/>
          <w:lang w:val="en-US"/>
        </w:rPr>
        <w:t>Honour</w:t>
      </w:r>
      <w:proofErr w:type="spellEnd"/>
      <w:r w:rsidRPr="00545C56">
        <w:rPr>
          <w:rFonts w:ascii="Times New Roman" w:hAnsi="Times New Roman"/>
          <w:i/>
          <w:iCs/>
          <w:lang w:val="en-US"/>
        </w:rPr>
        <w:t xml:space="preserve"> of Emile Noël </w:t>
      </w:r>
      <w:r w:rsidRPr="00545C56">
        <w:rPr>
          <w:rFonts w:ascii="Times New Roman" w:hAnsi="Times New Roman"/>
          <w:lang w:val="en-US"/>
        </w:rPr>
        <w:t xml:space="preserve">(Dordrecht, Kluwer, 1994) </w:t>
      </w:r>
      <w:r w:rsidRPr="00545C56">
        <w:rPr>
          <w:rFonts w:ascii="Times New Roman" w:hAnsi="Times New Roman"/>
          <w:lang w:val="en-GB"/>
        </w:rPr>
        <w:t>199–201.</w:t>
      </w:r>
    </w:p>
  </w:footnote>
  <w:footnote w:id="25">
    <w:p w14:paraId="5E04CE04" w14:textId="5DDDFA9B"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w:t>
      </w:r>
      <w:r w:rsidRPr="00545C56">
        <w:rPr>
          <w:rFonts w:ascii="Times New Roman" w:hAnsi="Times New Roman"/>
          <w:lang w:val="en-US"/>
        </w:rPr>
        <w:t>H Hofmann, ‘Negotiated and Non-Negotiated Administrative Rule-Making’ (2006) 43</w:t>
      </w:r>
      <w:r w:rsidR="00E800DF">
        <w:rPr>
          <w:rFonts w:ascii="Times New Roman" w:hAnsi="Times New Roman"/>
          <w:lang w:val="en-US"/>
        </w:rPr>
        <w:t xml:space="preserve"> </w:t>
      </w:r>
      <w:r w:rsidRPr="00E800DF">
        <w:rPr>
          <w:rFonts w:ascii="Times New Roman" w:hAnsi="Times New Roman"/>
          <w:i/>
          <w:lang w:val="en-US"/>
        </w:rPr>
        <w:t>CML</w:t>
      </w:r>
      <w:r w:rsidR="00E800DF">
        <w:rPr>
          <w:rFonts w:ascii="Times New Roman" w:hAnsi="Times New Roman"/>
          <w:i/>
          <w:lang w:val="en-US"/>
        </w:rPr>
        <w:t xml:space="preserve"> </w:t>
      </w:r>
      <w:r w:rsidRPr="00E800DF">
        <w:rPr>
          <w:rFonts w:ascii="Times New Roman" w:hAnsi="Times New Roman"/>
          <w:i/>
          <w:lang w:val="en-US"/>
        </w:rPr>
        <w:t>R</w:t>
      </w:r>
      <w:r w:rsidR="00E800DF">
        <w:rPr>
          <w:rFonts w:ascii="Times New Roman" w:hAnsi="Times New Roman"/>
          <w:i/>
          <w:lang w:val="en-US"/>
        </w:rPr>
        <w:t>ev</w:t>
      </w:r>
      <w:r w:rsidRPr="00545C56">
        <w:rPr>
          <w:rFonts w:ascii="Times New Roman" w:hAnsi="Times New Roman"/>
          <w:lang w:val="en-US"/>
        </w:rPr>
        <w:t xml:space="preserve"> 153, 172. </w:t>
      </w:r>
    </w:p>
  </w:footnote>
  <w:footnote w:id="26">
    <w:p w14:paraId="79604817" w14:textId="3AFA4AA6"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N </w:t>
      </w:r>
      <w:proofErr w:type="spellStart"/>
      <w:r w:rsidRPr="00545C56">
        <w:rPr>
          <w:rFonts w:ascii="Times New Roman" w:hAnsi="Times New Roman"/>
          <w:lang w:val="en-GB"/>
        </w:rPr>
        <w:t>Tornberg</w:t>
      </w:r>
      <w:proofErr w:type="spellEnd"/>
      <w:r w:rsidRPr="00545C56">
        <w:rPr>
          <w:rFonts w:ascii="Times New Roman" w:hAnsi="Times New Roman"/>
          <w:lang w:val="en-GB"/>
        </w:rPr>
        <w:t xml:space="preserve">, ‘The Commission’s Communications on the General Good. Magna carta or law-making?’ (1999) 24 </w:t>
      </w:r>
      <w:r w:rsidRPr="00545C56">
        <w:rPr>
          <w:rFonts w:ascii="Times New Roman" w:hAnsi="Times New Roman"/>
          <w:i/>
          <w:lang w:val="en-GB"/>
        </w:rPr>
        <w:t>European Business Law Review</w:t>
      </w:r>
      <w:r w:rsidRPr="00545C56">
        <w:rPr>
          <w:rFonts w:ascii="Times New Roman" w:hAnsi="Times New Roman"/>
          <w:lang w:val="en-GB"/>
        </w:rPr>
        <w:t xml:space="preserve"> 27.</w:t>
      </w:r>
    </w:p>
  </w:footnote>
  <w:footnote w:id="27">
    <w:p w14:paraId="7DBA95FC" w14:textId="70DEEBF2" w:rsidR="00CD1F3A" w:rsidRPr="00545C56" w:rsidRDefault="00CD1F3A" w:rsidP="002803C8">
      <w:pPr>
        <w:pStyle w:val="NormalWeb"/>
        <w:shd w:val="clear" w:color="auto" w:fill="FFFFFF"/>
        <w:spacing w:before="0" w:beforeAutospacing="0" w:after="0" w:afterAutospacing="0"/>
        <w:contextualSpacing/>
        <w:rPr>
          <w:color w:val="000000" w:themeColor="text1"/>
          <w:sz w:val="20"/>
          <w:szCs w:val="20"/>
          <w:lang w:val="en-US"/>
        </w:rPr>
      </w:pPr>
      <w:r w:rsidRPr="00545C56">
        <w:rPr>
          <w:rStyle w:val="FootnoteReference"/>
          <w:color w:val="000000" w:themeColor="text1"/>
          <w:sz w:val="20"/>
          <w:szCs w:val="20"/>
        </w:rPr>
        <w:footnoteRef/>
      </w:r>
      <w:r w:rsidRPr="00545C56">
        <w:rPr>
          <w:color w:val="000000" w:themeColor="text1"/>
          <w:sz w:val="20"/>
          <w:szCs w:val="20"/>
          <w:lang w:val="en-US"/>
        </w:rPr>
        <w:t xml:space="preserve"> </w:t>
      </w:r>
      <w:r w:rsidRPr="00545C56">
        <w:rPr>
          <w:color w:val="000000" w:themeColor="text1"/>
          <w:sz w:val="20"/>
          <w:szCs w:val="20"/>
          <w:shd w:val="clear" w:color="auto" w:fill="FFFFFF"/>
          <w:lang w:val="en-US"/>
        </w:rPr>
        <w:t xml:space="preserve">Regulation (EU) No 1093/2010 of the European Parliament and of the Council of 24 November 2010 establishing a European Supervisory Authority (European Banking Authority), [2010] </w:t>
      </w:r>
      <w:r w:rsidRPr="00545C56">
        <w:rPr>
          <w:rStyle w:val="Emphasis"/>
          <w:rFonts w:eastAsiaTheme="majorEastAsia"/>
          <w:i w:val="0"/>
          <w:iCs w:val="0"/>
          <w:color w:val="000000" w:themeColor="text1"/>
          <w:sz w:val="20"/>
          <w:szCs w:val="20"/>
          <w:shd w:val="clear" w:color="auto" w:fill="FFFFFF"/>
          <w:lang w:val="en-US"/>
        </w:rPr>
        <w:t>OJ L331, 15.12.2010</w:t>
      </w:r>
      <w:r w:rsidRPr="00545C56">
        <w:rPr>
          <w:rStyle w:val="Emphasis"/>
          <w:rFonts w:eastAsiaTheme="majorEastAsia"/>
          <w:color w:val="000000" w:themeColor="text1"/>
          <w:sz w:val="20"/>
          <w:szCs w:val="20"/>
          <w:shd w:val="clear" w:color="auto" w:fill="FFFFFF"/>
          <w:lang w:val="en-US"/>
        </w:rPr>
        <w:t xml:space="preserve">, </w:t>
      </w:r>
      <w:r w:rsidRPr="00545C56">
        <w:rPr>
          <w:rStyle w:val="Emphasis"/>
          <w:rFonts w:eastAsiaTheme="majorEastAsia"/>
          <w:i w:val="0"/>
          <w:iCs w:val="0"/>
          <w:color w:val="000000" w:themeColor="text1"/>
          <w:sz w:val="20"/>
          <w:szCs w:val="20"/>
          <w:shd w:val="clear" w:color="auto" w:fill="FFFFFF"/>
          <w:lang w:val="en-US"/>
        </w:rPr>
        <w:t>p. 12–47</w:t>
      </w:r>
      <w:r w:rsidRPr="00545C56">
        <w:rPr>
          <w:color w:val="000000" w:themeColor="text1"/>
          <w:sz w:val="20"/>
          <w:szCs w:val="20"/>
          <w:shd w:val="clear" w:color="auto" w:fill="FFFFFF"/>
          <w:lang w:val="en-US"/>
        </w:rPr>
        <w:t xml:space="preserve">; </w:t>
      </w:r>
      <w:r w:rsidRPr="00545C56">
        <w:rPr>
          <w:color w:val="000000" w:themeColor="text1"/>
          <w:sz w:val="20"/>
          <w:szCs w:val="20"/>
          <w:lang w:val="en-US"/>
        </w:rPr>
        <w:t xml:space="preserve">Regulation (EU) No 1095/2010 of the European Parliament and of the Council of 24 November 2010 establishing a European Supervisory Authority (European Securities and Markets Authority) [2010] </w:t>
      </w:r>
      <w:r w:rsidRPr="00545C56">
        <w:rPr>
          <w:rStyle w:val="Emphasis"/>
          <w:rFonts w:eastAsiaTheme="majorEastAsia"/>
          <w:i w:val="0"/>
          <w:iCs w:val="0"/>
          <w:color w:val="000000" w:themeColor="text1"/>
          <w:sz w:val="20"/>
          <w:szCs w:val="20"/>
          <w:lang w:val="en-US"/>
        </w:rPr>
        <w:t>OJ L331, 15.12.2010</w:t>
      </w:r>
      <w:r w:rsidRPr="00545C56">
        <w:rPr>
          <w:rStyle w:val="Emphasis"/>
          <w:rFonts w:eastAsiaTheme="majorEastAsia"/>
          <w:color w:val="000000" w:themeColor="text1"/>
          <w:sz w:val="20"/>
          <w:szCs w:val="20"/>
          <w:lang w:val="en-US"/>
        </w:rPr>
        <w:t xml:space="preserve">, </w:t>
      </w:r>
      <w:r w:rsidRPr="00545C56">
        <w:rPr>
          <w:rStyle w:val="Emphasis"/>
          <w:rFonts w:eastAsiaTheme="majorEastAsia"/>
          <w:i w:val="0"/>
          <w:iCs w:val="0"/>
          <w:color w:val="000000" w:themeColor="text1"/>
          <w:sz w:val="20"/>
          <w:szCs w:val="20"/>
          <w:lang w:val="en-US"/>
        </w:rPr>
        <w:t>p. 84–119</w:t>
      </w:r>
      <w:r w:rsidRPr="00545C56">
        <w:rPr>
          <w:rStyle w:val="Emphasis"/>
          <w:rFonts w:eastAsiaTheme="majorEastAsia"/>
          <w:color w:val="000000" w:themeColor="text1"/>
          <w:sz w:val="20"/>
          <w:szCs w:val="20"/>
          <w:lang w:val="en-US"/>
        </w:rPr>
        <w:t xml:space="preserve">; </w:t>
      </w:r>
      <w:r w:rsidRPr="00545C56">
        <w:rPr>
          <w:color w:val="000000" w:themeColor="text1"/>
          <w:sz w:val="20"/>
          <w:szCs w:val="20"/>
          <w:lang w:val="en-US"/>
        </w:rPr>
        <w:t xml:space="preserve">Regulation (EU) No 1094/2010 of the European Parliament and of the Council of 24 November 2010 establishing a European Supervisory Authority (European Insurance and Occupational Pensions Authority) [2010] </w:t>
      </w:r>
      <w:r w:rsidRPr="00545C56">
        <w:rPr>
          <w:rStyle w:val="Emphasis"/>
          <w:rFonts w:eastAsiaTheme="majorEastAsia"/>
          <w:i w:val="0"/>
          <w:iCs w:val="0"/>
          <w:color w:val="000000" w:themeColor="text1"/>
          <w:sz w:val="20"/>
          <w:szCs w:val="20"/>
          <w:lang w:val="en-US"/>
        </w:rPr>
        <w:t>OJ L331, 15.12.2010, p. 48–83.</w:t>
      </w:r>
      <w:r w:rsidRPr="00545C56">
        <w:rPr>
          <w:rStyle w:val="Emphasis"/>
          <w:rFonts w:eastAsiaTheme="majorEastAsia"/>
          <w:color w:val="000000" w:themeColor="text1"/>
          <w:sz w:val="20"/>
          <w:szCs w:val="20"/>
          <w:lang w:val="en-US"/>
        </w:rPr>
        <w:t> </w:t>
      </w:r>
    </w:p>
  </w:footnote>
  <w:footnote w:id="28">
    <w:p w14:paraId="07BC97F2" w14:textId="312759AD"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Heald (n 17) </w:t>
      </w:r>
      <w:r w:rsidRPr="00545C56">
        <w:rPr>
          <w:rFonts w:ascii="Times New Roman" w:hAnsi="Times New Roman"/>
          <w:color w:val="000000" w:themeColor="text1"/>
          <w:shd w:val="clear" w:color="auto" w:fill="FFFFFF"/>
          <w:lang w:val="en-GB"/>
        </w:rPr>
        <w:t xml:space="preserve">25; for </w:t>
      </w:r>
      <w:proofErr w:type="gramStart"/>
      <w:r w:rsidRPr="00545C56">
        <w:rPr>
          <w:rFonts w:ascii="Times New Roman" w:hAnsi="Times New Roman"/>
          <w:color w:val="000000" w:themeColor="text1"/>
          <w:shd w:val="clear" w:color="auto" w:fill="FFFFFF"/>
          <w:lang w:val="en-GB"/>
        </w:rPr>
        <w:t>a</w:t>
      </w:r>
      <w:proofErr w:type="gramEnd"/>
      <w:r w:rsidRPr="00545C56">
        <w:rPr>
          <w:rFonts w:ascii="Times New Roman" w:hAnsi="Times New Roman"/>
          <w:color w:val="000000" w:themeColor="text1"/>
          <w:shd w:val="clear" w:color="auto" w:fill="FFFFFF"/>
          <w:lang w:val="en-GB"/>
        </w:rPr>
        <w:t xml:space="preserve"> EU specific literature review see A </w:t>
      </w:r>
      <w:proofErr w:type="spellStart"/>
      <w:r w:rsidRPr="00545C56">
        <w:rPr>
          <w:rFonts w:ascii="Times New Roman" w:hAnsi="Times New Roman"/>
          <w:color w:val="000000" w:themeColor="text1"/>
          <w:shd w:val="clear" w:color="auto" w:fill="FFFFFF"/>
          <w:lang w:val="en-GB"/>
        </w:rPr>
        <w:t>Alemanno</w:t>
      </w:r>
      <w:proofErr w:type="spellEnd"/>
      <w:r w:rsidRPr="00545C56">
        <w:rPr>
          <w:rFonts w:ascii="Times New Roman" w:hAnsi="Times New Roman"/>
          <w:color w:val="000000" w:themeColor="text1"/>
          <w:shd w:val="clear" w:color="auto" w:fill="FFFFFF"/>
          <w:lang w:val="en-GB"/>
        </w:rPr>
        <w:t xml:space="preserve">, ‘Unpacking the Principle of Openness in EU Law: Transparency, Participation and Democracy’ (2014) 39 </w:t>
      </w:r>
      <w:r w:rsidRPr="00545C56">
        <w:rPr>
          <w:rFonts w:ascii="Times New Roman" w:hAnsi="Times New Roman"/>
          <w:i/>
          <w:color w:val="000000" w:themeColor="text1"/>
          <w:shd w:val="clear" w:color="auto" w:fill="FFFFFF"/>
          <w:lang w:val="en-GB"/>
        </w:rPr>
        <w:t>European Law Review</w:t>
      </w:r>
      <w:r w:rsidRPr="00545C56">
        <w:rPr>
          <w:rFonts w:ascii="Times New Roman" w:hAnsi="Times New Roman"/>
          <w:color w:val="000000" w:themeColor="text1"/>
          <w:shd w:val="clear" w:color="auto" w:fill="FFFFFF"/>
          <w:lang w:val="en-GB"/>
        </w:rPr>
        <w:t xml:space="preserve"> 72.</w:t>
      </w:r>
    </w:p>
  </w:footnote>
  <w:footnote w:id="29">
    <w:p w14:paraId="691DDF6D" w14:textId="43B09AC4"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P </w:t>
      </w:r>
      <w:proofErr w:type="spellStart"/>
      <w:r w:rsidRPr="00545C56">
        <w:rPr>
          <w:rFonts w:ascii="Times New Roman" w:hAnsi="Times New Roman"/>
          <w:color w:val="000000" w:themeColor="text1"/>
          <w:lang w:val="en-GB"/>
        </w:rPr>
        <w:t>Birkinshaw</w:t>
      </w:r>
      <w:proofErr w:type="spellEnd"/>
      <w:r w:rsidRPr="00545C56">
        <w:rPr>
          <w:rFonts w:ascii="Times New Roman" w:hAnsi="Times New Roman"/>
          <w:color w:val="000000" w:themeColor="text1"/>
          <w:lang w:val="en-GB"/>
        </w:rPr>
        <w:t xml:space="preserve">, ‘Freedom of Information and Openness: Fundamental Human Rights’ (2006) 58 </w:t>
      </w:r>
      <w:r w:rsidRPr="00545C56">
        <w:rPr>
          <w:rFonts w:ascii="Times New Roman" w:hAnsi="Times New Roman"/>
          <w:i/>
          <w:color w:val="000000" w:themeColor="text1"/>
          <w:lang w:val="en-GB"/>
        </w:rPr>
        <w:t>Administrative Law Review</w:t>
      </w:r>
      <w:r w:rsidRPr="00545C56">
        <w:rPr>
          <w:rFonts w:ascii="Times New Roman" w:hAnsi="Times New Roman"/>
          <w:color w:val="000000" w:themeColor="text1"/>
          <w:lang w:val="en-GB"/>
        </w:rPr>
        <w:t xml:space="preserve"> 189; T Larsson, ‘How Open Can a Government Be? The Swedish Experience’, in V </w:t>
      </w:r>
      <w:proofErr w:type="spellStart"/>
      <w:r w:rsidRPr="00545C56">
        <w:rPr>
          <w:rFonts w:ascii="Times New Roman" w:hAnsi="Times New Roman"/>
          <w:color w:val="000000" w:themeColor="text1"/>
          <w:lang w:val="en-GB"/>
        </w:rPr>
        <w:t>Deckmyn</w:t>
      </w:r>
      <w:proofErr w:type="spellEnd"/>
      <w:r w:rsidR="00E800DF">
        <w:rPr>
          <w:rFonts w:ascii="Times New Roman" w:hAnsi="Times New Roman"/>
          <w:color w:val="000000" w:themeColor="text1"/>
          <w:lang w:val="en-GB"/>
        </w:rPr>
        <w:t xml:space="preserve"> and</w:t>
      </w:r>
      <w:r w:rsidRPr="00545C56">
        <w:rPr>
          <w:rFonts w:ascii="Times New Roman" w:hAnsi="Times New Roman"/>
          <w:color w:val="000000" w:themeColor="text1"/>
          <w:lang w:val="en-GB"/>
        </w:rPr>
        <w:t xml:space="preserve"> I Thomson (eds), </w:t>
      </w:r>
      <w:r w:rsidRPr="00545C56">
        <w:rPr>
          <w:rFonts w:ascii="Times New Roman" w:hAnsi="Times New Roman"/>
          <w:i/>
          <w:iCs/>
          <w:color w:val="000000" w:themeColor="text1"/>
          <w:lang w:val="en-GB"/>
        </w:rPr>
        <w:t>Openness and Transparency in the EU</w:t>
      </w:r>
      <w:r w:rsidRPr="00545C56">
        <w:rPr>
          <w:rFonts w:ascii="Times New Roman" w:hAnsi="Times New Roman"/>
          <w:color w:val="000000" w:themeColor="text1"/>
          <w:lang w:val="en-GB"/>
        </w:rPr>
        <w:t xml:space="preserve"> (Maastricht, European Institute of Public Administration, 1998), 40–42. </w:t>
      </w:r>
    </w:p>
  </w:footnote>
  <w:footnote w:id="30">
    <w:p w14:paraId="3A11417F" w14:textId="453BC36B"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Heald (n 17)</w:t>
      </w:r>
      <w:r w:rsidRPr="00545C56">
        <w:rPr>
          <w:rFonts w:ascii="Times New Roman" w:hAnsi="Times New Roman"/>
          <w:color w:val="000000" w:themeColor="text1"/>
          <w:shd w:val="clear" w:color="auto" w:fill="FFFFFF"/>
          <w:lang w:val="en-GB"/>
        </w:rPr>
        <w:t xml:space="preserve"> 26. </w:t>
      </w:r>
    </w:p>
  </w:footnote>
  <w:footnote w:id="31">
    <w:p w14:paraId="430A8A5D" w14:textId="20BEA928"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D Curtin, et al, ‘Constitutionalising EU Executive Rule-Making Procedures: A Research Agenda’ (2013) 19 </w:t>
      </w:r>
      <w:r w:rsidRPr="00545C56">
        <w:rPr>
          <w:rFonts w:ascii="Times New Roman" w:hAnsi="Times New Roman"/>
          <w:i/>
          <w:color w:val="000000" w:themeColor="text1"/>
          <w:lang w:val="en-GB"/>
        </w:rPr>
        <w:t xml:space="preserve">European Law Journal </w:t>
      </w:r>
      <w:r w:rsidRPr="00545C56">
        <w:rPr>
          <w:rFonts w:ascii="Times New Roman" w:hAnsi="Times New Roman"/>
          <w:color w:val="000000" w:themeColor="text1"/>
          <w:lang w:val="en-GB"/>
        </w:rPr>
        <w:t>1, 6.</w:t>
      </w:r>
    </w:p>
  </w:footnote>
  <w:footnote w:id="32">
    <w:p w14:paraId="5125B08B" w14:textId="28D84E43" w:rsidR="00CD1F3A" w:rsidRPr="00545C56" w:rsidRDefault="00CD1F3A" w:rsidP="002803C8">
      <w:pPr>
        <w:autoSpaceDE w:val="0"/>
        <w:autoSpaceDN w:val="0"/>
        <w:adjustRightInd w:val="0"/>
        <w:contextualSpacing/>
        <w:rPr>
          <w:color w:val="000000" w:themeColor="text1"/>
          <w:sz w:val="20"/>
          <w:szCs w:val="20"/>
        </w:rPr>
      </w:pPr>
      <w:r w:rsidRPr="00545C56">
        <w:rPr>
          <w:rStyle w:val="FootnoteReference"/>
          <w:rFonts w:eastAsiaTheme="majorEastAsia"/>
          <w:color w:val="000000" w:themeColor="text1"/>
          <w:sz w:val="20"/>
          <w:szCs w:val="20"/>
        </w:rPr>
        <w:footnoteRef/>
      </w:r>
      <w:r w:rsidRPr="00545C56">
        <w:rPr>
          <w:color w:val="000000" w:themeColor="text1"/>
          <w:sz w:val="20"/>
          <w:szCs w:val="20"/>
        </w:rPr>
        <w:t xml:space="preserve"> Etzioni (n 13); P Craig, </w:t>
      </w:r>
      <w:r w:rsidRPr="00545C56">
        <w:rPr>
          <w:i/>
          <w:iCs/>
          <w:color w:val="000000" w:themeColor="text1"/>
          <w:sz w:val="20"/>
          <w:szCs w:val="20"/>
        </w:rPr>
        <w:t>EU Administrative Law</w:t>
      </w:r>
      <w:r w:rsidRPr="00545C56">
        <w:rPr>
          <w:color w:val="000000" w:themeColor="text1"/>
          <w:sz w:val="20"/>
          <w:szCs w:val="20"/>
        </w:rPr>
        <w:t xml:space="preserve"> (Oxford, Oxford University Press, 2012) 357; B </w:t>
      </w:r>
      <w:proofErr w:type="spellStart"/>
      <w:r w:rsidRPr="00545C56">
        <w:rPr>
          <w:color w:val="000000" w:themeColor="text1"/>
          <w:sz w:val="20"/>
          <w:szCs w:val="20"/>
        </w:rPr>
        <w:t>Bugaric</w:t>
      </w:r>
      <w:proofErr w:type="spellEnd"/>
      <w:r w:rsidRPr="00545C56">
        <w:rPr>
          <w:color w:val="000000" w:themeColor="text1"/>
          <w:sz w:val="20"/>
          <w:szCs w:val="20"/>
        </w:rPr>
        <w:t xml:space="preserve">, ‘Openness and transparency in public administration: Challenges for public law’ (2004) 22 </w:t>
      </w:r>
      <w:r w:rsidRPr="00545C56">
        <w:rPr>
          <w:i/>
          <w:color w:val="000000" w:themeColor="text1"/>
          <w:sz w:val="20"/>
          <w:szCs w:val="20"/>
        </w:rPr>
        <w:t>Wisconsin International Law Journal</w:t>
      </w:r>
      <w:r w:rsidRPr="00545C56">
        <w:rPr>
          <w:color w:val="000000" w:themeColor="text1"/>
          <w:sz w:val="20"/>
          <w:szCs w:val="20"/>
        </w:rPr>
        <w:t xml:space="preserve"> 487. </w:t>
      </w:r>
    </w:p>
  </w:footnote>
  <w:footnote w:id="33">
    <w:p w14:paraId="2DF2A54E" w14:textId="6581590F" w:rsidR="00CD1F3A" w:rsidRPr="00545C56" w:rsidRDefault="00CD1F3A" w:rsidP="002803C8">
      <w:pPr>
        <w:pStyle w:val="FootnoteText"/>
        <w:contextualSpacing/>
        <w:rPr>
          <w:rFonts w:ascii="Times New Roman" w:hAnsi="Times New Roman"/>
          <w:color w:val="000000" w:themeColor="text1"/>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rPr>
        <w:t xml:space="preserve"> D </w:t>
      </w:r>
      <w:proofErr w:type="spellStart"/>
      <w:r w:rsidRPr="00545C56">
        <w:rPr>
          <w:rFonts w:ascii="Times New Roman" w:hAnsi="Times New Roman"/>
          <w:color w:val="000000" w:themeColor="text1"/>
        </w:rPr>
        <w:t>Curtin</w:t>
      </w:r>
      <w:proofErr w:type="spellEnd"/>
      <w:r w:rsidR="00E800DF">
        <w:rPr>
          <w:rFonts w:ascii="Times New Roman" w:hAnsi="Times New Roman"/>
          <w:color w:val="000000" w:themeColor="text1"/>
        </w:rPr>
        <w:t xml:space="preserve"> and</w:t>
      </w:r>
      <w:r w:rsidRPr="00545C56">
        <w:rPr>
          <w:rFonts w:ascii="Times New Roman" w:hAnsi="Times New Roman"/>
          <w:color w:val="000000" w:themeColor="text1"/>
        </w:rPr>
        <w:t xml:space="preserve"> J Mendes, ‘Transparence et </w:t>
      </w:r>
      <w:proofErr w:type="gramStart"/>
      <w:r w:rsidRPr="00545C56">
        <w:rPr>
          <w:rFonts w:ascii="Times New Roman" w:hAnsi="Times New Roman"/>
          <w:color w:val="000000" w:themeColor="text1"/>
        </w:rPr>
        <w:t>Participation:</w:t>
      </w:r>
      <w:proofErr w:type="gramEnd"/>
      <w:r w:rsidRPr="00545C56">
        <w:rPr>
          <w:rFonts w:ascii="Times New Roman" w:hAnsi="Times New Roman"/>
          <w:color w:val="000000" w:themeColor="text1"/>
        </w:rPr>
        <w:t xml:space="preserve"> des Principes Démocratiques pour l’Administration de l’Union Européenne’ (2011) 137–138 </w:t>
      </w:r>
      <w:r w:rsidRPr="00545C56">
        <w:rPr>
          <w:rFonts w:ascii="Times New Roman" w:hAnsi="Times New Roman"/>
          <w:i/>
          <w:color w:val="000000" w:themeColor="text1"/>
        </w:rPr>
        <w:t>Revue Française d’Administration Publique</w:t>
      </w:r>
      <w:r w:rsidRPr="00545C56">
        <w:rPr>
          <w:rFonts w:ascii="Times New Roman" w:hAnsi="Times New Roman"/>
          <w:color w:val="000000" w:themeColor="text1"/>
        </w:rPr>
        <w:t xml:space="preserve"> 101; A </w:t>
      </w:r>
      <w:proofErr w:type="spellStart"/>
      <w:r w:rsidRPr="00545C56">
        <w:rPr>
          <w:rFonts w:ascii="Times New Roman" w:hAnsi="Times New Roman"/>
          <w:color w:val="000000" w:themeColor="text1"/>
        </w:rPr>
        <w:t>Meijer</w:t>
      </w:r>
      <w:proofErr w:type="spellEnd"/>
      <w:r w:rsidRPr="00545C56">
        <w:rPr>
          <w:rFonts w:ascii="Times New Roman" w:hAnsi="Times New Roman"/>
          <w:color w:val="000000" w:themeColor="text1"/>
        </w:rPr>
        <w:t xml:space="preserve"> et al, ‘Open </w:t>
      </w:r>
      <w:proofErr w:type="spellStart"/>
      <w:r w:rsidRPr="00545C56">
        <w:rPr>
          <w:rFonts w:ascii="Times New Roman" w:hAnsi="Times New Roman"/>
          <w:color w:val="000000" w:themeColor="text1"/>
        </w:rPr>
        <w:t>government</w:t>
      </w:r>
      <w:proofErr w:type="spellEnd"/>
      <w:r w:rsidRPr="00545C56">
        <w:rPr>
          <w:rFonts w:ascii="Times New Roman" w:hAnsi="Times New Roman"/>
          <w:color w:val="000000" w:themeColor="text1"/>
        </w:rPr>
        <w:t xml:space="preserve">: </w:t>
      </w:r>
      <w:proofErr w:type="spellStart"/>
      <w:r w:rsidRPr="00545C56">
        <w:rPr>
          <w:rFonts w:ascii="Times New Roman" w:hAnsi="Times New Roman"/>
          <w:color w:val="000000" w:themeColor="text1"/>
        </w:rPr>
        <w:t>connecting</w:t>
      </w:r>
      <w:proofErr w:type="spellEnd"/>
      <w:r w:rsidRPr="00545C56">
        <w:rPr>
          <w:rFonts w:ascii="Times New Roman" w:hAnsi="Times New Roman"/>
          <w:color w:val="000000" w:themeColor="text1"/>
        </w:rPr>
        <w:t xml:space="preserve"> vision and </w:t>
      </w:r>
      <w:proofErr w:type="spellStart"/>
      <w:r w:rsidRPr="00545C56">
        <w:rPr>
          <w:rFonts w:ascii="Times New Roman" w:hAnsi="Times New Roman"/>
          <w:color w:val="000000" w:themeColor="text1"/>
        </w:rPr>
        <w:t>voice</w:t>
      </w:r>
      <w:proofErr w:type="spellEnd"/>
      <w:r w:rsidRPr="00545C56">
        <w:rPr>
          <w:rFonts w:ascii="Times New Roman" w:hAnsi="Times New Roman"/>
          <w:color w:val="000000" w:themeColor="text1"/>
        </w:rPr>
        <w:t xml:space="preserve">’ (2012) 78 </w:t>
      </w:r>
      <w:r w:rsidRPr="00545C56">
        <w:rPr>
          <w:rFonts w:ascii="Times New Roman" w:hAnsi="Times New Roman"/>
          <w:i/>
          <w:color w:val="000000" w:themeColor="text1"/>
        </w:rPr>
        <w:t xml:space="preserve">International </w:t>
      </w:r>
      <w:proofErr w:type="spellStart"/>
      <w:r w:rsidRPr="00545C56">
        <w:rPr>
          <w:rFonts w:ascii="Times New Roman" w:hAnsi="Times New Roman"/>
          <w:i/>
          <w:color w:val="000000" w:themeColor="text1"/>
        </w:rPr>
        <w:t>Review</w:t>
      </w:r>
      <w:proofErr w:type="spellEnd"/>
      <w:r w:rsidRPr="00545C56">
        <w:rPr>
          <w:rFonts w:ascii="Times New Roman" w:hAnsi="Times New Roman"/>
          <w:i/>
          <w:color w:val="000000" w:themeColor="text1"/>
        </w:rPr>
        <w:t xml:space="preserve"> of Administrative Sciences</w:t>
      </w:r>
      <w:r w:rsidRPr="00545C56">
        <w:rPr>
          <w:rFonts w:ascii="Times New Roman" w:hAnsi="Times New Roman"/>
          <w:color w:val="000000" w:themeColor="text1"/>
        </w:rPr>
        <w:t xml:space="preserve"> 10. </w:t>
      </w:r>
    </w:p>
  </w:footnote>
  <w:footnote w:id="34">
    <w:p w14:paraId="3B9BF0E8" w14:textId="2478D65B"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w:t>
      </w:r>
      <w:proofErr w:type="spellStart"/>
      <w:r w:rsidRPr="00545C56">
        <w:rPr>
          <w:rFonts w:ascii="Times New Roman" w:hAnsi="Times New Roman"/>
          <w:color w:val="000000" w:themeColor="text1"/>
          <w:lang w:val="en-GB"/>
        </w:rPr>
        <w:t>Senden</w:t>
      </w:r>
      <w:proofErr w:type="spellEnd"/>
      <w:r w:rsidRPr="00545C56">
        <w:rPr>
          <w:rFonts w:ascii="Times New Roman" w:hAnsi="Times New Roman"/>
          <w:color w:val="000000" w:themeColor="text1"/>
          <w:lang w:val="en-GB"/>
        </w:rPr>
        <w:t xml:space="preserve"> (n 12) 483.</w:t>
      </w:r>
    </w:p>
  </w:footnote>
  <w:footnote w:id="35">
    <w:p w14:paraId="7EBFD9B5" w14:textId="4AC42C96" w:rsidR="00CD1F3A" w:rsidRPr="00545C56" w:rsidRDefault="00CD1F3A" w:rsidP="002803C8">
      <w:pPr>
        <w:autoSpaceDE w:val="0"/>
        <w:autoSpaceDN w:val="0"/>
        <w:adjustRightInd w:val="0"/>
        <w:contextualSpacing/>
        <w:rPr>
          <w:color w:val="000000" w:themeColor="text1"/>
          <w:sz w:val="20"/>
          <w:szCs w:val="20"/>
        </w:rPr>
      </w:pPr>
      <w:r w:rsidRPr="00545C56">
        <w:rPr>
          <w:rStyle w:val="FootnoteReference"/>
          <w:rFonts w:eastAsiaTheme="majorEastAsia"/>
          <w:color w:val="000000" w:themeColor="text1"/>
          <w:sz w:val="20"/>
          <w:szCs w:val="20"/>
        </w:rPr>
        <w:footnoteRef/>
      </w:r>
      <w:r w:rsidRPr="00545C56">
        <w:rPr>
          <w:color w:val="000000" w:themeColor="text1"/>
          <w:sz w:val="20"/>
          <w:szCs w:val="20"/>
        </w:rPr>
        <w:t xml:space="preserve"> Hofmann (n 25) 172.</w:t>
      </w:r>
    </w:p>
  </w:footnote>
  <w:footnote w:id="36">
    <w:p w14:paraId="0C687003" w14:textId="3DAA7AA6"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R Baldwin, </w:t>
      </w:r>
      <w:r w:rsidRPr="00545C56">
        <w:rPr>
          <w:rFonts w:ascii="Times New Roman" w:hAnsi="Times New Roman"/>
          <w:i/>
          <w:iCs/>
          <w:color w:val="000000" w:themeColor="text1"/>
          <w:lang w:val="en-GB"/>
        </w:rPr>
        <w:t>Rules and Government</w:t>
      </w:r>
      <w:r w:rsidRPr="00545C56">
        <w:rPr>
          <w:rFonts w:ascii="Times New Roman" w:hAnsi="Times New Roman"/>
          <w:iCs/>
          <w:color w:val="000000" w:themeColor="text1"/>
          <w:lang w:val="en-GB"/>
        </w:rPr>
        <w:t xml:space="preserve"> (Oxford, Clarendon Press, 1997)</w:t>
      </w:r>
      <w:r w:rsidRPr="00545C56">
        <w:rPr>
          <w:rFonts w:ascii="Times New Roman" w:hAnsi="Times New Roman"/>
          <w:color w:val="000000" w:themeColor="text1"/>
          <w:lang w:val="en-GB"/>
        </w:rPr>
        <w:t xml:space="preserve"> 284.</w:t>
      </w:r>
    </w:p>
  </w:footnote>
  <w:footnote w:id="37">
    <w:p w14:paraId="1D9DE2EE" w14:textId="1A4F78CF"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Scott (n 2) 336, O Stefan, ‘COVID-19 Soft Law: Voluminous, Effective, Legitimate? A Research Agenda’, (2020) </w:t>
      </w:r>
      <w:r w:rsidRPr="00545C56">
        <w:rPr>
          <w:rFonts w:ascii="Times New Roman" w:hAnsi="Times New Roman"/>
          <w:i/>
          <w:color w:val="000000" w:themeColor="text1"/>
          <w:lang w:val="en-GB"/>
        </w:rPr>
        <w:t>European Forum</w:t>
      </w:r>
      <w:r w:rsidR="009635EB">
        <w:rPr>
          <w:rFonts w:ascii="Times New Roman" w:hAnsi="Times New Roman"/>
          <w:color w:val="000000" w:themeColor="text1"/>
          <w:lang w:val="en-GB"/>
        </w:rPr>
        <w:t xml:space="preserve">, </w:t>
      </w:r>
      <w:r w:rsidRPr="00545C56">
        <w:rPr>
          <w:rFonts w:ascii="Times New Roman" w:hAnsi="Times New Roman"/>
          <w:color w:val="000000" w:themeColor="text1"/>
          <w:lang w:val="en-GB"/>
        </w:rPr>
        <w:t>http://www.europeanpapers.eu/en/europeanforum/covid-19-soft-law-voluminous-effective-legitimate.</w:t>
      </w:r>
    </w:p>
  </w:footnote>
  <w:footnote w:id="38">
    <w:p w14:paraId="4D179502" w14:textId="5C8EC6E3"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van den Brink</w:t>
      </w:r>
      <w:r w:rsidR="009635EB">
        <w:rPr>
          <w:rFonts w:ascii="Times New Roman" w:hAnsi="Times New Roman"/>
          <w:color w:val="000000" w:themeColor="text1"/>
          <w:lang w:val="en-GB"/>
        </w:rPr>
        <w:t xml:space="preserve"> and</w:t>
      </w:r>
      <w:r w:rsidRPr="00545C56">
        <w:rPr>
          <w:rFonts w:ascii="Times New Roman" w:hAnsi="Times New Roman"/>
          <w:color w:val="000000" w:themeColor="text1"/>
          <w:lang w:val="en-GB"/>
        </w:rPr>
        <w:t xml:space="preserve"> </w:t>
      </w:r>
      <w:proofErr w:type="spellStart"/>
      <w:r w:rsidRPr="00545C56">
        <w:rPr>
          <w:rFonts w:ascii="Times New Roman" w:hAnsi="Times New Roman"/>
          <w:color w:val="000000" w:themeColor="text1"/>
          <w:lang w:val="en-GB"/>
        </w:rPr>
        <w:t>Senden</w:t>
      </w:r>
      <w:proofErr w:type="spellEnd"/>
      <w:r w:rsidRPr="00545C56">
        <w:rPr>
          <w:rFonts w:ascii="Times New Roman" w:hAnsi="Times New Roman"/>
          <w:color w:val="000000" w:themeColor="text1"/>
          <w:lang w:val="en-GB"/>
        </w:rPr>
        <w:t xml:space="preserve"> (n 9).</w:t>
      </w:r>
    </w:p>
  </w:footnote>
  <w:footnote w:id="39">
    <w:p w14:paraId="1CBC51AF" w14:textId="14B78DD5"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w:t>
      </w:r>
      <w:proofErr w:type="spellStart"/>
      <w:r w:rsidRPr="00545C56">
        <w:rPr>
          <w:rFonts w:ascii="Times New Roman" w:hAnsi="Times New Roman"/>
          <w:color w:val="000000" w:themeColor="text1"/>
          <w:lang w:val="en-US"/>
        </w:rPr>
        <w:t>Mörth</w:t>
      </w:r>
      <w:proofErr w:type="spellEnd"/>
      <w:r w:rsidRPr="00545C56">
        <w:rPr>
          <w:rFonts w:ascii="Times New Roman" w:hAnsi="Times New Roman"/>
          <w:color w:val="000000" w:themeColor="text1"/>
          <w:lang w:val="en-US"/>
        </w:rPr>
        <w:t xml:space="preserve"> this volume. </w:t>
      </w:r>
    </w:p>
  </w:footnote>
  <w:footnote w:id="40">
    <w:p w14:paraId="45348234" w14:textId="57763942"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w:t>
      </w:r>
      <w:proofErr w:type="gramStart"/>
      <w:r w:rsidRPr="00545C56">
        <w:rPr>
          <w:rFonts w:ascii="Times New Roman" w:hAnsi="Times New Roman"/>
          <w:lang w:val="en-GB"/>
        </w:rPr>
        <w:t>A</w:t>
      </w:r>
      <w:proofErr w:type="gramEnd"/>
      <w:r w:rsidRPr="00545C56">
        <w:rPr>
          <w:rFonts w:ascii="Times New Roman" w:hAnsi="Times New Roman"/>
          <w:lang w:val="en-GB"/>
        </w:rPr>
        <w:t xml:space="preserve"> </w:t>
      </w:r>
      <w:proofErr w:type="spellStart"/>
      <w:r w:rsidRPr="00545C56">
        <w:rPr>
          <w:rFonts w:ascii="Times New Roman" w:hAnsi="Times New Roman"/>
          <w:lang w:val="en-GB"/>
        </w:rPr>
        <w:t>Alemanno</w:t>
      </w:r>
      <w:proofErr w:type="spellEnd"/>
      <w:r w:rsidR="009635EB">
        <w:rPr>
          <w:rFonts w:ascii="Times New Roman" w:hAnsi="Times New Roman"/>
          <w:lang w:val="en-GB"/>
        </w:rPr>
        <w:t xml:space="preserve"> and</w:t>
      </w:r>
      <w:r w:rsidRPr="00545C56">
        <w:rPr>
          <w:rFonts w:ascii="Times New Roman" w:hAnsi="Times New Roman"/>
          <w:lang w:val="en-GB"/>
        </w:rPr>
        <w:t xml:space="preserve"> O Stefan, ‘Openness at the Court of Justice of the EU: Toppling a taboo’ (2014) 51 </w:t>
      </w:r>
      <w:r w:rsidRPr="00545C56">
        <w:rPr>
          <w:rFonts w:ascii="Times New Roman" w:hAnsi="Times New Roman"/>
          <w:i/>
          <w:lang w:val="en-GB"/>
        </w:rPr>
        <w:t>Common Market Law Review</w:t>
      </w:r>
      <w:r w:rsidRPr="00545C56">
        <w:rPr>
          <w:rFonts w:ascii="Times New Roman" w:hAnsi="Times New Roman"/>
          <w:lang w:val="en-GB"/>
        </w:rPr>
        <w:t xml:space="preserve"> 109. </w:t>
      </w:r>
    </w:p>
  </w:footnote>
  <w:footnote w:id="41">
    <w:p w14:paraId="4F3D39F5" w14:textId="286D8995"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R Baxter, ‘International law in her infinite variety’ (1980) 29 </w:t>
      </w:r>
      <w:r w:rsidRPr="00545C56">
        <w:rPr>
          <w:rFonts w:ascii="Times New Roman" w:hAnsi="Times New Roman"/>
          <w:i/>
          <w:lang w:val="en-GB"/>
        </w:rPr>
        <w:t xml:space="preserve">International </w:t>
      </w:r>
      <w:proofErr w:type="gramStart"/>
      <w:r w:rsidRPr="00545C56">
        <w:rPr>
          <w:rFonts w:ascii="Times New Roman" w:hAnsi="Times New Roman"/>
          <w:i/>
          <w:lang w:val="en-GB"/>
        </w:rPr>
        <w:t>And</w:t>
      </w:r>
      <w:proofErr w:type="gramEnd"/>
      <w:r w:rsidRPr="00545C56">
        <w:rPr>
          <w:rFonts w:ascii="Times New Roman" w:hAnsi="Times New Roman"/>
          <w:i/>
          <w:lang w:val="en-GB"/>
        </w:rPr>
        <w:t xml:space="preserve"> Comparative Law Quarterly</w:t>
      </w:r>
      <w:r w:rsidRPr="00545C56">
        <w:rPr>
          <w:rFonts w:ascii="Times New Roman" w:hAnsi="Times New Roman"/>
          <w:lang w:val="en-GB"/>
        </w:rPr>
        <w:t xml:space="preserve"> 549.</w:t>
      </w:r>
    </w:p>
  </w:footnote>
  <w:footnote w:id="42">
    <w:p w14:paraId="7AE556EC" w14:textId="77A2DB04"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Recommendations and opinions survived the initiative to better define the Union’s instruments and to reduce their number, put forward in the </w:t>
      </w:r>
      <w:proofErr w:type="spellStart"/>
      <w:r w:rsidRPr="00545C56">
        <w:rPr>
          <w:rFonts w:ascii="Times New Roman" w:hAnsi="Times New Roman"/>
          <w:lang w:val="en-GB"/>
        </w:rPr>
        <w:t>Laeken</w:t>
      </w:r>
      <w:proofErr w:type="spellEnd"/>
      <w:r w:rsidRPr="00545C56">
        <w:rPr>
          <w:rFonts w:ascii="Times New Roman" w:hAnsi="Times New Roman"/>
          <w:lang w:val="en-GB"/>
        </w:rPr>
        <w:t xml:space="preserve"> Declaration on the Future of the EU (2001), </w:t>
      </w:r>
      <w:r w:rsidRPr="00545C56">
        <w:rPr>
          <w:rFonts w:ascii="Times New Roman" w:hAnsi="Times New Roman"/>
          <w:lang w:val="en-US"/>
        </w:rPr>
        <w:t>https://www.cvce.eu/en/obj/laeken_declaration_on_the_future_of_the_european_union_15_december_2001-en-a76801d5-4bf0-4483-9000-e6df94b07a55.html</w:t>
      </w:r>
      <w:r w:rsidRPr="00545C56">
        <w:rPr>
          <w:rFonts w:ascii="Times New Roman" w:hAnsi="Times New Roman"/>
          <w:lang w:val="en-GB"/>
        </w:rPr>
        <w:t xml:space="preserve">. They were preserved by Convention Working Group IX on ‘Simplification’, </w:t>
      </w:r>
      <w:r w:rsidRPr="00545C56">
        <w:rPr>
          <w:rFonts w:ascii="Times New Roman" w:hAnsi="Times New Roman"/>
          <w:lang w:val="en-US"/>
        </w:rPr>
        <w:t>http://european-convention.europa.eu/docs/wd9/4869.pdf</w:t>
      </w:r>
      <w:r w:rsidRPr="00545C56">
        <w:rPr>
          <w:rFonts w:ascii="Times New Roman" w:hAnsi="Times New Roman"/>
          <w:lang w:val="en-GB"/>
        </w:rPr>
        <w:t xml:space="preserve">, and figured in Article I-33 of the Constitution. See K </w:t>
      </w:r>
      <w:proofErr w:type="spellStart"/>
      <w:r w:rsidRPr="00545C56">
        <w:rPr>
          <w:rFonts w:ascii="Times New Roman" w:hAnsi="Times New Roman"/>
          <w:lang w:val="en-GB"/>
        </w:rPr>
        <w:t>Lenaerts</w:t>
      </w:r>
      <w:proofErr w:type="spellEnd"/>
      <w:r w:rsidR="009635EB">
        <w:rPr>
          <w:rFonts w:ascii="Times New Roman" w:hAnsi="Times New Roman"/>
          <w:lang w:val="en-GB"/>
        </w:rPr>
        <w:t xml:space="preserve"> and</w:t>
      </w:r>
      <w:r w:rsidRPr="00545C56">
        <w:rPr>
          <w:rFonts w:ascii="Times New Roman" w:hAnsi="Times New Roman"/>
          <w:lang w:val="en-GB"/>
        </w:rPr>
        <w:t xml:space="preserve"> M </w:t>
      </w:r>
      <w:proofErr w:type="spellStart"/>
      <w:r w:rsidRPr="00545C56">
        <w:rPr>
          <w:rFonts w:ascii="Times New Roman" w:hAnsi="Times New Roman"/>
          <w:lang w:val="en-GB"/>
        </w:rPr>
        <w:t>Desomer</w:t>
      </w:r>
      <w:proofErr w:type="spellEnd"/>
      <w:r w:rsidRPr="00545C56">
        <w:rPr>
          <w:rFonts w:ascii="Times New Roman" w:hAnsi="Times New Roman"/>
          <w:lang w:val="en-GB"/>
        </w:rPr>
        <w:t xml:space="preserve">, ‘Towards a Hierarchy of Legal Acts in the EU? Simplification of Legal Instruments and Procedures’ (2005) 11 </w:t>
      </w:r>
      <w:r w:rsidRPr="00545C56">
        <w:rPr>
          <w:rFonts w:ascii="Times New Roman" w:hAnsi="Times New Roman"/>
          <w:i/>
          <w:lang w:val="en-GB"/>
        </w:rPr>
        <w:t xml:space="preserve">European Law Journal </w:t>
      </w:r>
      <w:r w:rsidRPr="00545C56">
        <w:rPr>
          <w:rFonts w:ascii="Times New Roman" w:hAnsi="Times New Roman"/>
          <w:lang w:val="en-GB"/>
        </w:rPr>
        <w:t>744, 748–749.</w:t>
      </w:r>
    </w:p>
  </w:footnote>
  <w:footnote w:id="43">
    <w:p w14:paraId="4B44A3A7" w14:textId="0384A4EB"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A von </w:t>
      </w:r>
      <w:proofErr w:type="spellStart"/>
      <w:r w:rsidRPr="00545C56">
        <w:rPr>
          <w:rFonts w:ascii="Times New Roman" w:hAnsi="Times New Roman"/>
          <w:lang w:val="en-GB"/>
        </w:rPr>
        <w:t>Bogdandy</w:t>
      </w:r>
      <w:proofErr w:type="spellEnd"/>
      <w:r w:rsidRPr="00545C56">
        <w:rPr>
          <w:rFonts w:ascii="Times New Roman" w:hAnsi="Times New Roman"/>
          <w:lang w:val="en-GB"/>
        </w:rPr>
        <w:t xml:space="preserve"> et al, ‘Legal Instruments in EU Law and their Reform: </w:t>
      </w:r>
      <w:proofErr w:type="gramStart"/>
      <w:r w:rsidRPr="00545C56">
        <w:rPr>
          <w:rFonts w:ascii="Times New Roman" w:hAnsi="Times New Roman"/>
          <w:lang w:val="en-GB"/>
        </w:rPr>
        <w:t>a</w:t>
      </w:r>
      <w:proofErr w:type="gramEnd"/>
      <w:r w:rsidRPr="00545C56">
        <w:rPr>
          <w:rFonts w:ascii="Times New Roman" w:hAnsi="Times New Roman"/>
          <w:lang w:val="en-GB"/>
        </w:rPr>
        <w:t xml:space="preserve"> Systematic Approach on an Empirical Basis’ (2004) 23 </w:t>
      </w:r>
      <w:r w:rsidRPr="00545C56">
        <w:rPr>
          <w:rFonts w:ascii="Times New Roman" w:hAnsi="Times New Roman"/>
          <w:i/>
          <w:lang w:val="en-GB"/>
        </w:rPr>
        <w:t xml:space="preserve">Yearbook of European Law </w:t>
      </w:r>
      <w:r w:rsidRPr="00545C56">
        <w:rPr>
          <w:rFonts w:ascii="Times New Roman" w:hAnsi="Times New Roman"/>
          <w:lang w:val="en-GB"/>
        </w:rPr>
        <w:t>91,112.</w:t>
      </w:r>
    </w:p>
  </w:footnote>
  <w:footnote w:id="44">
    <w:p w14:paraId="3E69C96A" w14:textId="111192E0" w:rsidR="00CD1F3A" w:rsidRPr="00545C56" w:rsidRDefault="00CD1F3A" w:rsidP="002803C8">
      <w:pPr>
        <w:contextualSpacing/>
        <w:rPr>
          <w:sz w:val="20"/>
          <w:szCs w:val="20"/>
          <w:lang w:eastAsia="en-GB"/>
        </w:rPr>
      </w:pPr>
      <w:r w:rsidRPr="00545C56">
        <w:rPr>
          <w:rStyle w:val="FootnoteReference"/>
          <w:sz w:val="20"/>
          <w:szCs w:val="20"/>
        </w:rPr>
        <w:footnoteRef/>
      </w:r>
      <w:r w:rsidRPr="00545C56">
        <w:rPr>
          <w:sz w:val="20"/>
          <w:szCs w:val="20"/>
        </w:rPr>
        <w:t xml:space="preserve"> </w:t>
      </w:r>
      <w:r w:rsidRPr="00545C56">
        <w:rPr>
          <w:sz w:val="20"/>
          <w:szCs w:val="20"/>
          <w:lang w:eastAsia="en-GB"/>
        </w:rPr>
        <w:t xml:space="preserve">P </w:t>
      </w:r>
      <w:proofErr w:type="spellStart"/>
      <w:r w:rsidRPr="00545C56">
        <w:rPr>
          <w:sz w:val="20"/>
          <w:szCs w:val="20"/>
          <w:lang w:eastAsia="en-GB"/>
        </w:rPr>
        <w:t>Láncos</w:t>
      </w:r>
      <w:proofErr w:type="spellEnd"/>
      <w:r w:rsidRPr="00545C56">
        <w:rPr>
          <w:sz w:val="20"/>
          <w:szCs w:val="20"/>
          <w:lang w:eastAsia="en-GB"/>
        </w:rPr>
        <w:t xml:space="preserve">, </w:t>
      </w:r>
      <w:r w:rsidR="009635EB">
        <w:rPr>
          <w:sz w:val="20"/>
          <w:szCs w:val="20"/>
          <w:lang w:eastAsia="en-GB"/>
        </w:rPr>
        <w:t>‘</w:t>
      </w:r>
      <w:r w:rsidRPr="00545C56">
        <w:rPr>
          <w:sz w:val="20"/>
          <w:szCs w:val="20"/>
          <w:lang w:eastAsia="en-GB"/>
        </w:rPr>
        <w:t xml:space="preserve">A Hard Core Under the Soft Shell: How Binding Is Union Soft Law for Member States?’ (2018) 24 </w:t>
      </w:r>
      <w:r w:rsidRPr="00545C56">
        <w:rPr>
          <w:i/>
          <w:sz w:val="20"/>
          <w:szCs w:val="20"/>
          <w:lang w:eastAsia="en-GB"/>
        </w:rPr>
        <w:t>European Public Law</w:t>
      </w:r>
      <w:r w:rsidRPr="00545C56">
        <w:rPr>
          <w:sz w:val="20"/>
          <w:szCs w:val="20"/>
          <w:lang w:eastAsia="en-GB"/>
        </w:rPr>
        <w:t xml:space="preserve"> 755.</w:t>
      </w:r>
    </w:p>
  </w:footnote>
  <w:footnote w:id="45">
    <w:p w14:paraId="04DBC439" w14:textId="06277D1D"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GB"/>
        </w:rPr>
        <w:t xml:space="preserve"> V </w:t>
      </w:r>
      <w:proofErr w:type="spellStart"/>
      <w:r w:rsidRPr="00545C56">
        <w:rPr>
          <w:rFonts w:ascii="Times New Roman" w:hAnsi="Times New Roman"/>
          <w:lang w:val="en-US"/>
        </w:rPr>
        <w:t>Rošic</w:t>
      </w:r>
      <w:proofErr w:type="spellEnd"/>
      <w:r w:rsidRPr="00545C56">
        <w:rPr>
          <w:rFonts w:ascii="Times New Roman" w:hAnsi="Times New Roman"/>
          <w:lang w:val="en-US"/>
        </w:rPr>
        <w:t xml:space="preserve"> </w:t>
      </w:r>
      <w:proofErr w:type="spellStart"/>
      <w:r w:rsidRPr="00545C56">
        <w:rPr>
          <w:rFonts w:ascii="Times New Roman" w:hAnsi="Times New Roman"/>
          <w:lang w:val="en-US"/>
        </w:rPr>
        <w:t>Feguš</w:t>
      </w:r>
      <w:proofErr w:type="spellEnd"/>
      <w:r w:rsidRPr="00545C56">
        <w:rPr>
          <w:rFonts w:ascii="Times New Roman" w:hAnsi="Times New Roman"/>
          <w:lang w:val="en-US"/>
        </w:rPr>
        <w:t xml:space="preserve">, ‘National Report of the Republic of Slovenia’, in O Stefan (ed), ‘EU Competition and State Aid Soft Law in the Member States’, (2020) </w:t>
      </w:r>
      <w:proofErr w:type="spellStart"/>
      <w:r w:rsidRPr="00545C56">
        <w:rPr>
          <w:rFonts w:ascii="Times New Roman" w:hAnsi="Times New Roman"/>
          <w:lang w:val="en-US"/>
        </w:rPr>
        <w:t>SoLaR</w:t>
      </w:r>
      <w:proofErr w:type="spellEnd"/>
      <w:r w:rsidRPr="00545C56">
        <w:rPr>
          <w:rFonts w:ascii="Times New Roman" w:hAnsi="Times New Roman"/>
          <w:lang w:val="en-US"/>
        </w:rPr>
        <w:t xml:space="preserve"> Working Paper</w:t>
      </w:r>
      <w:r w:rsidR="00ED0CFB">
        <w:rPr>
          <w:rFonts w:ascii="Times New Roman" w:hAnsi="Times New Roman"/>
          <w:lang w:val="en-US"/>
        </w:rPr>
        <w:t xml:space="preserve">, </w:t>
      </w:r>
      <w:r w:rsidRPr="00756D35">
        <w:rPr>
          <w:rFonts w:ascii="Times New Roman" w:eastAsiaTheme="majorEastAsia" w:hAnsi="Times New Roman"/>
          <w:lang w:val="en-US"/>
        </w:rPr>
        <w:t>https://papers.ssrn.com/sol3/papers.cfm?abstract_id=2356227</w:t>
      </w:r>
      <w:r w:rsidRPr="00545C56">
        <w:rPr>
          <w:rFonts w:ascii="Times New Roman" w:hAnsi="Times New Roman"/>
          <w:lang w:val="en-US"/>
        </w:rPr>
        <w:t>, 173.</w:t>
      </w:r>
    </w:p>
  </w:footnote>
  <w:footnote w:id="46">
    <w:p w14:paraId="5F68DFF4" w14:textId="3EA63FDC" w:rsidR="00CD1F3A" w:rsidRPr="00545C56" w:rsidRDefault="00CD1F3A" w:rsidP="002803C8">
      <w:pPr>
        <w:pStyle w:val="FootnoteText"/>
        <w:contextualSpacing/>
        <w:rPr>
          <w:rFonts w:ascii="Times New Roman" w:hAnsi="Times New Roman"/>
          <w:lang w:val="es-ES"/>
        </w:rPr>
      </w:pPr>
      <w:r w:rsidRPr="00545C56">
        <w:rPr>
          <w:rStyle w:val="FootnoteReference"/>
          <w:rFonts w:ascii="Times New Roman" w:eastAsiaTheme="majorEastAsia" w:hAnsi="Times New Roman"/>
          <w:lang w:val="en-GB"/>
        </w:rPr>
        <w:footnoteRef/>
      </w:r>
      <w:r w:rsidRPr="00545C56">
        <w:rPr>
          <w:rFonts w:ascii="Times New Roman" w:hAnsi="Times New Roman"/>
          <w:lang w:val="es-ES"/>
        </w:rPr>
        <w:t xml:space="preserve"> van den </w:t>
      </w:r>
      <w:proofErr w:type="spellStart"/>
      <w:r w:rsidRPr="00545C56">
        <w:rPr>
          <w:rFonts w:ascii="Times New Roman" w:hAnsi="Times New Roman"/>
          <w:lang w:val="es-ES"/>
        </w:rPr>
        <w:t>Brink</w:t>
      </w:r>
      <w:proofErr w:type="spellEnd"/>
      <w:r w:rsidR="009635EB">
        <w:rPr>
          <w:rFonts w:ascii="Times New Roman" w:hAnsi="Times New Roman"/>
          <w:lang w:val="es-ES"/>
        </w:rPr>
        <w:t xml:space="preserve"> and</w:t>
      </w:r>
      <w:r w:rsidRPr="00545C56">
        <w:rPr>
          <w:rFonts w:ascii="Times New Roman" w:hAnsi="Times New Roman"/>
          <w:lang w:val="es-ES"/>
        </w:rPr>
        <w:t xml:space="preserve"> </w:t>
      </w:r>
      <w:proofErr w:type="spellStart"/>
      <w:r w:rsidRPr="00545C56">
        <w:rPr>
          <w:rFonts w:ascii="Times New Roman" w:hAnsi="Times New Roman"/>
          <w:lang w:val="es-ES"/>
        </w:rPr>
        <w:t>Senden</w:t>
      </w:r>
      <w:proofErr w:type="spellEnd"/>
      <w:r w:rsidRPr="00545C56">
        <w:rPr>
          <w:rFonts w:ascii="Times New Roman" w:hAnsi="Times New Roman"/>
          <w:lang w:val="es-ES"/>
        </w:rPr>
        <w:t xml:space="preserve"> (n 9) 27.</w:t>
      </w:r>
    </w:p>
  </w:footnote>
  <w:footnote w:id="47">
    <w:p w14:paraId="69B4BF58" w14:textId="3C397F24"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For statistics on the publication of soft law in the environmental field, see M Eliantonio, ‘Soft Law in Environmental Matters and the Role of the European Courts: Too Much or Too Little of It?’, (2018) 37 </w:t>
      </w:r>
      <w:r w:rsidRPr="00545C56">
        <w:rPr>
          <w:rFonts w:ascii="Times New Roman" w:hAnsi="Times New Roman"/>
          <w:i/>
          <w:lang w:val="en-US"/>
        </w:rPr>
        <w:t>Yearbook of European Law</w:t>
      </w:r>
      <w:r w:rsidRPr="00545C56">
        <w:rPr>
          <w:rFonts w:ascii="Times New Roman" w:hAnsi="Times New Roman"/>
          <w:lang w:val="en-US"/>
        </w:rPr>
        <w:t xml:space="preserve"> 496.</w:t>
      </w:r>
    </w:p>
  </w:footnote>
  <w:footnote w:id="48">
    <w:p w14:paraId="2A61660E" w14:textId="478E84B8" w:rsidR="00CD1F3A" w:rsidRPr="00545C56" w:rsidRDefault="00CD1F3A" w:rsidP="002803C8">
      <w:pPr>
        <w:contextualSpacing/>
        <w:rPr>
          <w:sz w:val="20"/>
          <w:szCs w:val="20"/>
        </w:rPr>
      </w:pPr>
      <w:r w:rsidRPr="00545C56">
        <w:rPr>
          <w:rStyle w:val="FootnoteReference"/>
          <w:sz w:val="20"/>
          <w:szCs w:val="20"/>
        </w:rPr>
        <w:footnoteRef/>
      </w:r>
      <w:r w:rsidRPr="00545C56">
        <w:rPr>
          <w:sz w:val="20"/>
          <w:szCs w:val="20"/>
        </w:rPr>
        <w:t xml:space="preserve"> DG for Employment, Social Affairs and Inclusion (European Commission), DG for the Internal Market and Services (European Commission), ‘Buying Social. A Guide to Taking Account of Social Considerations in Public Procurement’ (European Commission) (2011), </w:t>
      </w:r>
      <w:proofErr w:type="gramStart"/>
      <w:r w:rsidRPr="00545C56">
        <w:rPr>
          <w:sz w:val="20"/>
          <w:szCs w:val="20"/>
        </w:rPr>
        <w:t>https://op.europa.eu/en/publication-detail/-/publication/cb70c481-0e29-4040-9be2-c408cddf081f .</w:t>
      </w:r>
      <w:proofErr w:type="gramEnd"/>
      <w:r w:rsidRPr="00545C56">
        <w:rPr>
          <w:sz w:val="20"/>
          <w:szCs w:val="20"/>
        </w:rPr>
        <w:t xml:space="preserve"> </w:t>
      </w:r>
    </w:p>
  </w:footnote>
  <w:footnote w:id="49">
    <w:p w14:paraId="694BE7D3" w14:textId="41866D45"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hAnsi="Times New Roman"/>
        </w:rPr>
        <w:footnoteRef/>
      </w:r>
      <w:r w:rsidRPr="00545C56">
        <w:rPr>
          <w:rFonts w:ascii="Times New Roman" w:hAnsi="Times New Roman"/>
          <w:lang w:val="en-US"/>
        </w:rPr>
        <w:t xml:space="preserve"> </w:t>
      </w:r>
      <w:r w:rsidRPr="00545C56">
        <w:rPr>
          <w:rFonts w:ascii="Times New Roman" w:hAnsi="Times New Roman"/>
          <w:color w:val="000000"/>
          <w:lang w:val="en-US"/>
        </w:rPr>
        <w:t xml:space="preserve">Commission staff working document - Accompanying document to the Communication from the Commission Trans-European Network: Toward and integrated approach, </w:t>
      </w:r>
      <w:proofErr w:type="gramStart"/>
      <w:r w:rsidRPr="00545C56">
        <w:rPr>
          <w:rFonts w:ascii="Times New Roman" w:hAnsi="Times New Roman"/>
          <w:color w:val="000000"/>
          <w:lang w:val="en-US"/>
        </w:rPr>
        <w:t>COM(</w:t>
      </w:r>
      <w:proofErr w:type="gramEnd"/>
      <w:r w:rsidRPr="00545C56">
        <w:rPr>
          <w:rFonts w:ascii="Times New Roman" w:hAnsi="Times New Roman"/>
          <w:color w:val="000000"/>
          <w:lang w:val="en-US"/>
        </w:rPr>
        <w:t xml:space="preserve">2007)135 final, </w:t>
      </w:r>
      <w:r w:rsidRPr="00545C56">
        <w:rPr>
          <w:rFonts w:ascii="Times New Roman" w:hAnsi="Times New Roman"/>
          <w:lang w:val="en-US"/>
        </w:rPr>
        <w:t>https://eur-lex.europa.eu/legal-content/EN/TXT/HTML/?uri=CELEX:52007SC0374&amp;from=EN</w:t>
      </w:r>
      <w:r w:rsidRPr="00545C56">
        <w:rPr>
          <w:rFonts w:ascii="Times New Roman" w:hAnsi="Times New Roman"/>
          <w:color w:val="000000"/>
          <w:lang w:val="en-US"/>
        </w:rPr>
        <w:t xml:space="preserve"> . </w:t>
      </w:r>
    </w:p>
  </w:footnote>
  <w:footnote w:id="50">
    <w:p w14:paraId="5564751F" w14:textId="4065A8E3" w:rsidR="00CD1F3A" w:rsidRPr="00545C56" w:rsidRDefault="00CD1F3A" w:rsidP="002803C8">
      <w:pPr>
        <w:autoSpaceDE w:val="0"/>
        <w:autoSpaceDN w:val="0"/>
        <w:adjustRightInd w:val="0"/>
        <w:contextualSpacing/>
        <w:rPr>
          <w:sz w:val="20"/>
          <w:szCs w:val="20"/>
        </w:rPr>
      </w:pPr>
      <w:r w:rsidRPr="00545C56">
        <w:rPr>
          <w:rStyle w:val="FootnoteReference"/>
          <w:rFonts w:eastAsiaTheme="majorEastAsia"/>
          <w:sz w:val="20"/>
          <w:szCs w:val="20"/>
        </w:rPr>
        <w:footnoteRef/>
      </w:r>
      <w:r w:rsidRPr="00545C56">
        <w:rPr>
          <w:sz w:val="20"/>
          <w:szCs w:val="20"/>
        </w:rPr>
        <w:t xml:space="preserve"> M </w:t>
      </w:r>
      <w:proofErr w:type="spellStart"/>
      <w:r w:rsidRPr="00545C56">
        <w:rPr>
          <w:sz w:val="20"/>
          <w:szCs w:val="20"/>
        </w:rPr>
        <w:t>Bobek</w:t>
      </w:r>
      <w:proofErr w:type="spellEnd"/>
      <w:r w:rsidRPr="00545C56">
        <w:rPr>
          <w:sz w:val="20"/>
          <w:szCs w:val="20"/>
        </w:rPr>
        <w:t xml:space="preserve">, ‘The binding force of Babel: The enforcement of EC law unpublished in the languages of the new Member States’ (2007) 9 </w:t>
      </w:r>
      <w:r w:rsidRPr="00545C56">
        <w:rPr>
          <w:i/>
          <w:sz w:val="20"/>
          <w:szCs w:val="20"/>
        </w:rPr>
        <w:t xml:space="preserve">Cambridge Yearbook of European Legal Studies </w:t>
      </w:r>
      <w:r w:rsidRPr="00545C56">
        <w:rPr>
          <w:sz w:val="20"/>
          <w:szCs w:val="20"/>
        </w:rPr>
        <w:t xml:space="preserve">43; E </w:t>
      </w:r>
      <w:proofErr w:type="spellStart"/>
      <w:r w:rsidRPr="00545C56">
        <w:rPr>
          <w:sz w:val="20"/>
          <w:szCs w:val="20"/>
        </w:rPr>
        <w:t>Paunio</w:t>
      </w:r>
      <w:proofErr w:type="spellEnd"/>
      <w:r w:rsidRPr="00545C56">
        <w:rPr>
          <w:sz w:val="20"/>
          <w:szCs w:val="20"/>
        </w:rPr>
        <w:t xml:space="preserve">, </w:t>
      </w:r>
      <w:r w:rsidRPr="00545C56">
        <w:rPr>
          <w:i/>
          <w:iCs/>
          <w:sz w:val="20"/>
          <w:szCs w:val="20"/>
        </w:rPr>
        <w:t>Legal Certainty in Multilingual EU Law: Language, Discourse and Reasoning at the European Court of Justice</w:t>
      </w:r>
      <w:r w:rsidRPr="00545C56">
        <w:rPr>
          <w:sz w:val="20"/>
          <w:szCs w:val="20"/>
        </w:rPr>
        <w:t xml:space="preserve"> (London, Routledge, 2016).</w:t>
      </w:r>
    </w:p>
  </w:footnote>
  <w:footnote w:id="51">
    <w:p w14:paraId="09EE0C2B" w14:textId="5EDCFC8F"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F </w:t>
      </w:r>
      <w:proofErr w:type="spellStart"/>
      <w:r w:rsidRPr="00545C56">
        <w:rPr>
          <w:rFonts w:ascii="Times New Roman" w:hAnsi="Times New Roman"/>
          <w:color w:val="000000" w:themeColor="text1"/>
          <w:lang w:val="en-US"/>
        </w:rPr>
        <w:t>Demarigny</w:t>
      </w:r>
      <w:proofErr w:type="spellEnd"/>
      <w:r w:rsidRPr="00545C56">
        <w:rPr>
          <w:rFonts w:ascii="Times New Roman" w:hAnsi="Times New Roman"/>
          <w:color w:val="000000" w:themeColor="text1"/>
          <w:lang w:val="en-US"/>
        </w:rPr>
        <w:t xml:space="preserve"> et al, ‘Review of the New European System of Financial Supervision (ESFS), Part 1: The Work of the European Supervisory Authorities (EBA, EIOPA and ESMA) – The ESFS’s Micro-Prudential Pillar’ (2013) 56, </w:t>
      </w:r>
      <w:proofErr w:type="gramStart"/>
      <w:r w:rsidRPr="00545C56">
        <w:rPr>
          <w:rFonts w:ascii="Times New Roman" w:hAnsi="Times New Roman"/>
          <w:lang w:val="en-US"/>
        </w:rPr>
        <w:t>https://www.europarl.europa.eu/RegData/etudes/etudes/join/2013/507446/IPOL-ECON_ET(2013)507446_EN.pdf</w:t>
      </w:r>
      <w:r w:rsidRPr="00545C56">
        <w:rPr>
          <w:rFonts w:ascii="Times New Roman" w:hAnsi="Times New Roman"/>
          <w:color w:val="000000" w:themeColor="text1"/>
          <w:lang w:val="en-US"/>
        </w:rPr>
        <w:t xml:space="preserve"> .</w:t>
      </w:r>
      <w:proofErr w:type="gramEnd"/>
      <w:r w:rsidRPr="00545C56">
        <w:rPr>
          <w:rFonts w:ascii="Times New Roman" w:hAnsi="Times New Roman"/>
          <w:color w:val="000000" w:themeColor="text1"/>
          <w:lang w:val="en-US"/>
        </w:rPr>
        <w:t xml:space="preserve"> </w:t>
      </w:r>
    </w:p>
  </w:footnote>
  <w:footnote w:id="52">
    <w:p w14:paraId="0C55824D" w14:textId="052178A6" w:rsidR="00CD1F3A" w:rsidRPr="00077D89" w:rsidRDefault="00CD1F3A" w:rsidP="002803C8">
      <w:pPr>
        <w:pStyle w:val="FootnoteText"/>
        <w:contextualSpacing/>
        <w:rPr>
          <w:rFonts w:ascii="Times New Roman" w:hAnsi="Times New Roman"/>
          <w:color w:val="000000" w:themeColor="text1"/>
          <w:highlight w:val="yellow"/>
          <w:lang w:val="fi-FI"/>
        </w:rPr>
      </w:pPr>
      <w:r w:rsidRPr="00077D89">
        <w:rPr>
          <w:rStyle w:val="FootnoteReference"/>
          <w:rFonts w:ascii="Times New Roman" w:hAnsi="Times New Roman"/>
          <w:color w:val="000000" w:themeColor="text1"/>
        </w:rPr>
        <w:footnoteRef/>
      </w:r>
      <w:r w:rsidRPr="00077D89">
        <w:rPr>
          <w:rFonts w:ascii="Times New Roman" w:hAnsi="Times New Roman"/>
          <w:color w:val="000000" w:themeColor="text1"/>
          <w:lang w:val="en-US"/>
        </w:rPr>
        <w:t xml:space="preserve"> </w:t>
      </w:r>
      <w:r w:rsidRPr="00077D89">
        <w:rPr>
          <w:rFonts w:ascii="Times New Roman" w:hAnsi="Times New Roman"/>
          <w:color w:val="000000" w:themeColor="text1"/>
          <w:lang w:val="en-GB"/>
        </w:rPr>
        <w:t xml:space="preserve">M </w:t>
      </w:r>
      <w:proofErr w:type="spellStart"/>
      <w:r w:rsidRPr="00077D89">
        <w:rPr>
          <w:rFonts w:ascii="Times New Roman" w:hAnsi="Times New Roman"/>
          <w:color w:val="000000" w:themeColor="text1"/>
          <w:lang w:val="en-GB"/>
        </w:rPr>
        <w:t>Avbelj</w:t>
      </w:r>
      <w:proofErr w:type="spellEnd"/>
      <w:r w:rsidRPr="00077D89">
        <w:rPr>
          <w:rFonts w:ascii="Times New Roman" w:hAnsi="Times New Roman"/>
          <w:color w:val="000000" w:themeColor="text1"/>
          <w:lang w:val="en-GB"/>
        </w:rPr>
        <w:t xml:space="preserve"> (ed)</w:t>
      </w:r>
      <w:r w:rsidR="009635EB">
        <w:rPr>
          <w:rFonts w:ascii="Times New Roman" w:hAnsi="Times New Roman"/>
          <w:color w:val="000000" w:themeColor="text1"/>
          <w:lang w:val="en-GB"/>
        </w:rPr>
        <w:t>,</w:t>
      </w:r>
      <w:r w:rsidRPr="00077D89">
        <w:rPr>
          <w:rFonts w:ascii="Times New Roman" w:hAnsi="Times New Roman"/>
          <w:color w:val="000000" w:themeColor="text1"/>
          <w:lang w:val="en-GB"/>
        </w:rPr>
        <w:t xml:space="preserve"> ‘EU Financial Regulation Soft Law in the Member States’, (2020) </w:t>
      </w:r>
      <w:proofErr w:type="spellStart"/>
      <w:r w:rsidRPr="00077D89">
        <w:rPr>
          <w:rFonts w:ascii="Times New Roman" w:hAnsi="Times New Roman"/>
          <w:color w:val="000000" w:themeColor="text1"/>
          <w:lang w:val="en-GB"/>
        </w:rPr>
        <w:t>SoLaR</w:t>
      </w:r>
      <w:proofErr w:type="spellEnd"/>
      <w:r w:rsidRPr="00077D89">
        <w:rPr>
          <w:rFonts w:ascii="Times New Roman" w:hAnsi="Times New Roman"/>
          <w:color w:val="000000" w:themeColor="text1"/>
          <w:lang w:val="en-GB"/>
        </w:rPr>
        <w:t xml:space="preserve"> Working Paper</w:t>
      </w:r>
      <w:r w:rsidR="00077D89">
        <w:rPr>
          <w:rFonts w:ascii="Times New Roman" w:hAnsi="Times New Roman"/>
          <w:color w:val="000000" w:themeColor="text1"/>
          <w:lang w:val="en-GB"/>
        </w:rPr>
        <w:t xml:space="preserve">, </w:t>
      </w:r>
      <w:r w:rsidR="00077D89" w:rsidRPr="00077D89">
        <w:rPr>
          <w:rFonts w:ascii="Times New Roman" w:hAnsi="Times New Roman"/>
          <w:color w:val="000000" w:themeColor="text1"/>
          <w:lang w:val="fi-FI"/>
        </w:rPr>
        <w:t>https://papers.ssrn.com/sol3/papers.cfm?abstract_id=3668793</w:t>
      </w:r>
      <w:r w:rsidRPr="00077D89">
        <w:rPr>
          <w:rFonts w:ascii="Times New Roman" w:hAnsi="Times New Roman"/>
          <w:color w:val="000000" w:themeColor="text1"/>
          <w:lang w:val="en-US"/>
        </w:rPr>
        <w:t>, 14</w:t>
      </w:r>
      <w:r w:rsidRPr="00077D89">
        <w:rPr>
          <w:rFonts w:ascii="Times New Roman" w:hAnsi="Times New Roman"/>
          <w:color w:val="000000" w:themeColor="text1"/>
          <w:lang w:val="en-GB"/>
        </w:rPr>
        <w:t>; O Stefan</w:t>
      </w:r>
      <w:r w:rsidR="009635EB">
        <w:rPr>
          <w:rFonts w:ascii="Times New Roman" w:hAnsi="Times New Roman"/>
          <w:color w:val="000000" w:themeColor="text1"/>
          <w:lang w:val="en-GB"/>
        </w:rPr>
        <w:t xml:space="preserve"> and</w:t>
      </w:r>
      <w:r w:rsidRPr="00077D89">
        <w:rPr>
          <w:rFonts w:ascii="Times New Roman" w:hAnsi="Times New Roman"/>
          <w:color w:val="000000" w:themeColor="text1"/>
          <w:lang w:val="en-GB"/>
        </w:rPr>
        <w:t xml:space="preserve"> A Biondi, ‘National Report on the UK’ in Stefan (n </w:t>
      </w:r>
      <w:r w:rsidRPr="00077D89">
        <w:rPr>
          <w:rFonts w:ascii="Times New Roman" w:hAnsi="Times New Roman"/>
          <w:color w:val="000000" w:themeColor="text1"/>
          <w:lang w:val="en-GB"/>
        </w:rPr>
        <w:fldChar w:fldCharType="begin"/>
      </w:r>
      <w:r w:rsidRPr="00077D89">
        <w:rPr>
          <w:rFonts w:ascii="Times New Roman" w:hAnsi="Times New Roman"/>
          <w:color w:val="000000" w:themeColor="text1"/>
          <w:lang w:val="en-GB"/>
        </w:rPr>
        <w:instrText xml:space="preserve"> NOTEREF _Ref47706419 \h </w:instrText>
      </w:r>
      <w:r w:rsidR="00545C56" w:rsidRPr="00077D89">
        <w:rPr>
          <w:rFonts w:ascii="Times New Roman" w:hAnsi="Times New Roman"/>
          <w:color w:val="000000" w:themeColor="text1"/>
          <w:lang w:val="en-GB"/>
        </w:rPr>
        <w:instrText xml:space="preserve"> \* MERGEFORMAT </w:instrText>
      </w:r>
      <w:r w:rsidRPr="00077D89">
        <w:rPr>
          <w:rFonts w:ascii="Times New Roman" w:hAnsi="Times New Roman"/>
          <w:color w:val="000000" w:themeColor="text1"/>
          <w:lang w:val="en-GB"/>
        </w:rPr>
      </w:r>
      <w:r w:rsidRPr="00077D89">
        <w:rPr>
          <w:rFonts w:ascii="Times New Roman" w:hAnsi="Times New Roman"/>
          <w:color w:val="000000" w:themeColor="text1"/>
          <w:lang w:val="en-GB"/>
        </w:rPr>
        <w:fldChar w:fldCharType="separate"/>
      </w:r>
      <w:r w:rsidR="00CC3357" w:rsidRPr="00077D89">
        <w:rPr>
          <w:rFonts w:ascii="Times New Roman" w:hAnsi="Times New Roman"/>
          <w:color w:val="000000" w:themeColor="text1"/>
          <w:lang w:val="en-GB"/>
        </w:rPr>
        <w:t>44</w:t>
      </w:r>
      <w:r w:rsidRPr="00077D89">
        <w:rPr>
          <w:rFonts w:ascii="Times New Roman" w:hAnsi="Times New Roman"/>
          <w:color w:val="000000" w:themeColor="text1"/>
          <w:lang w:val="en-GB"/>
        </w:rPr>
        <w:fldChar w:fldCharType="end"/>
      </w:r>
      <w:r w:rsidRPr="00077D89">
        <w:rPr>
          <w:rFonts w:ascii="Times New Roman" w:hAnsi="Times New Roman"/>
          <w:color w:val="000000" w:themeColor="text1"/>
          <w:lang w:val="en-GB"/>
        </w:rPr>
        <w:t>), 178.</w:t>
      </w:r>
    </w:p>
  </w:footnote>
  <w:footnote w:id="53">
    <w:p w14:paraId="12B4ACD0" w14:textId="00B0AFA6" w:rsidR="00CD1F3A" w:rsidRPr="00077D89" w:rsidRDefault="00CD1F3A" w:rsidP="002803C8">
      <w:pPr>
        <w:pStyle w:val="FootnoteText"/>
        <w:rPr>
          <w:rFonts w:ascii="Times New Roman" w:hAnsi="Times New Roman"/>
          <w:lang w:val="en-US"/>
        </w:rPr>
      </w:pPr>
      <w:r w:rsidRPr="00077D89">
        <w:rPr>
          <w:rStyle w:val="FootnoteReference"/>
          <w:rFonts w:ascii="Times New Roman" w:hAnsi="Times New Roman"/>
        </w:rPr>
        <w:footnoteRef/>
      </w:r>
      <w:r w:rsidRPr="00077D89">
        <w:rPr>
          <w:rFonts w:ascii="Times New Roman" w:hAnsi="Times New Roman"/>
          <w:lang w:val="en-US"/>
        </w:rPr>
        <w:t xml:space="preserve"> </w:t>
      </w:r>
      <w:r w:rsidR="007A0617" w:rsidRPr="00077D89">
        <w:rPr>
          <w:rFonts w:ascii="Times New Roman" w:hAnsi="Times New Roman"/>
          <w:lang w:val="en-US"/>
        </w:rPr>
        <w:t>Most of the competition and State aid instruments.</w:t>
      </w:r>
    </w:p>
  </w:footnote>
  <w:footnote w:id="54">
    <w:p w14:paraId="267778E2" w14:textId="337748DA" w:rsidR="00CD1F3A" w:rsidRPr="00545C56" w:rsidRDefault="00CD1F3A" w:rsidP="002803C8">
      <w:pPr>
        <w:pStyle w:val="FootnoteText"/>
        <w:rPr>
          <w:rFonts w:ascii="Times New Roman" w:hAnsi="Times New Roman"/>
          <w:lang w:val="en-US"/>
        </w:rPr>
      </w:pPr>
      <w:r w:rsidRPr="00077D89">
        <w:rPr>
          <w:rStyle w:val="FootnoteReference"/>
          <w:rFonts w:ascii="Times New Roman" w:hAnsi="Times New Roman"/>
        </w:rPr>
        <w:footnoteRef/>
      </w:r>
      <w:r w:rsidRPr="00077D89">
        <w:rPr>
          <w:rFonts w:ascii="Times New Roman" w:hAnsi="Times New Roman"/>
          <w:lang w:val="en-US"/>
        </w:rPr>
        <w:t xml:space="preserve"> </w:t>
      </w:r>
      <w:r w:rsidRPr="00077D89">
        <w:rPr>
          <w:rFonts w:ascii="Times New Roman" w:hAnsi="Times New Roman"/>
          <w:color w:val="000000" w:themeColor="text1"/>
          <w:lang w:val="en-US"/>
        </w:rPr>
        <w:t>M Eliantonio</w:t>
      </w:r>
      <w:r w:rsidR="009635EB">
        <w:rPr>
          <w:rFonts w:ascii="Times New Roman" w:hAnsi="Times New Roman"/>
          <w:color w:val="000000" w:themeColor="text1"/>
          <w:lang w:val="en-US"/>
        </w:rPr>
        <w:t xml:space="preserve"> and</w:t>
      </w:r>
      <w:r w:rsidRPr="00545C56">
        <w:rPr>
          <w:rFonts w:ascii="Times New Roman" w:hAnsi="Times New Roman"/>
          <w:color w:val="000000" w:themeColor="text1"/>
          <w:lang w:val="en-US"/>
        </w:rPr>
        <w:t xml:space="preserve"> G </w:t>
      </w:r>
      <w:proofErr w:type="spellStart"/>
      <w:r w:rsidRPr="00545C56">
        <w:rPr>
          <w:rFonts w:ascii="Times New Roman" w:hAnsi="Times New Roman"/>
          <w:color w:val="000000" w:themeColor="text1"/>
          <w:lang w:val="en-US"/>
        </w:rPr>
        <w:t>Lisi</w:t>
      </w:r>
      <w:proofErr w:type="spellEnd"/>
      <w:r w:rsidRPr="00545C56">
        <w:rPr>
          <w:rFonts w:ascii="Times New Roman" w:hAnsi="Times New Roman"/>
          <w:color w:val="000000" w:themeColor="text1"/>
          <w:lang w:val="en-US"/>
        </w:rPr>
        <w:t xml:space="preserve"> (eds), ‘</w:t>
      </w:r>
      <w:r w:rsidRPr="00545C56">
        <w:rPr>
          <w:rFonts w:ascii="Times New Roman" w:hAnsi="Times New Roman"/>
          <w:lang w:val="en-US"/>
        </w:rPr>
        <w:t xml:space="preserve">EU Environmental Soft Law in the Member States’, (2020) </w:t>
      </w:r>
      <w:proofErr w:type="spellStart"/>
      <w:r w:rsidRPr="00545C56">
        <w:rPr>
          <w:rFonts w:ascii="Times New Roman" w:hAnsi="Times New Roman"/>
          <w:lang w:val="en-US"/>
        </w:rPr>
        <w:t>SoLaR</w:t>
      </w:r>
      <w:proofErr w:type="spellEnd"/>
      <w:r w:rsidRPr="00545C56">
        <w:rPr>
          <w:rFonts w:ascii="Times New Roman" w:hAnsi="Times New Roman"/>
          <w:lang w:val="en-US"/>
        </w:rPr>
        <w:t xml:space="preserve"> </w:t>
      </w:r>
      <w:r w:rsidR="00077D89">
        <w:rPr>
          <w:rFonts w:ascii="Times New Roman" w:hAnsi="Times New Roman"/>
          <w:lang w:val="en-US"/>
        </w:rPr>
        <w:t>W</w:t>
      </w:r>
      <w:r w:rsidRPr="00545C56">
        <w:rPr>
          <w:rFonts w:ascii="Times New Roman" w:hAnsi="Times New Roman"/>
          <w:lang w:val="en-US"/>
        </w:rPr>
        <w:t xml:space="preserve">orking </w:t>
      </w:r>
      <w:r w:rsidR="00077D89">
        <w:rPr>
          <w:rFonts w:ascii="Times New Roman" w:hAnsi="Times New Roman"/>
          <w:lang w:val="en-US"/>
        </w:rPr>
        <w:t>P</w:t>
      </w:r>
      <w:r w:rsidRPr="00545C56">
        <w:rPr>
          <w:rFonts w:ascii="Times New Roman" w:hAnsi="Times New Roman"/>
          <w:lang w:val="en-US"/>
        </w:rPr>
        <w:t>aper</w:t>
      </w:r>
      <w:r w:rsidR="00077D89">
        <w:rPr>
          <w:rFonts w:ascii="Times New Roman" w:hAnsi="Times New Roman"/>
          <w:lang w:val="en-US"/>
        </w:rPr>
        <w:t xml:space="preserve">, </w:t>
      </w:r>
      <w:r w:rsidRPr="00ED0CFB">
        <w:rPr>
          <w:rFonts w:ascii="Times New Roman" w:hAnsi="Times New Roman"/>
          <w:lang w:val="en-US"/>
        </w:rPr>
        <w:t>https://papers.ssrn.com/sol3/papers.cfm?abstract_id=3656418</w:t>
      </w:r>
      <w:r w:rsidRPr="00545C56">
        <w:rPr>
          <w:rFonts w:ascii="Times New Roman" w:hAnsi="Times New Roman"/>
          <w:color w:val="000000" w:themeColor="text1"/>
          <w:lang w:val="en-US"/>
        </w:rPr>
        <w:t>, 11.</w:t>
      </w:r>
    </w:p>
  </w:footnote>
  <w:footnote w:id="55">
    <w:p w14:paraId="47746BAF" w14:textId="6C801998"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w:t>
      </w:r>
      <w:proofErr w:type="spellStart"/>
      <w:r w:rsidRPr="00545C56">
        <w:rPr>
          <w:rFonts w:ascii="Times New Roman" w:hAnsi="Times New Roman"/>
          <w:i/>
          <w:color w:val="000000" w:themeColor="text1"/>
          <w:lang w:val="en-GB"/>
        </w:rPr>
        <w:t>Polska</w:t>
      </w:r>
      <w:proofErr w:type="spellEnd"/>
      <w:r w:rsidRPr="00545C56">
        <w:rPr>
          <w:rFonts w:ascii="Times New Roman" w:hAnsi="Times New Roman"/>
          <w:i/>
          <w:color w:val="000000" w:themeColor="text1"/>
          <w:lang w:val="en-GB"/>
        </w:rPr>
        <w:t xml:space="preserve"> </w:t>
      </w:r>
      <w:proofErr w:type="spellStart"/>
      <w:r w:rsidRPr="00545C56">
        <w:rPr>
          <w:rFonts w:ascii="Times New Roman" w:hAnsi="Times New Roman"/>
          <w:i/>
          <w:color w:val="000000" w:themeColor="text1"/>
          <w:lang w:val="en-GB"/>
        </w:rPr>
        <w:t>Telefonia</w:t>
      </w:r>
      <w:proofErr w:type="spellEnd"/>
      <w:r w:rsidRPr="00545C56">
        <w:rPr>
          <w:rFonts w:ascii="Times New Roman" w:hAnsi="Times New Roman"/>
          <w:i/>
          <w:color w:val="000000" w:themeColor="text1"/>
          <w:lang w:val="en-GB"/>
        </w:rPr>
        <w:t xml:space="preserve"> </w:t>
      </w:r>
      <w:proofErr w:type="spellStart"/>
      <w:r w:rsidRPr="00545C56">
        <w:rPr>
          <w:rFonts w:ascii="Times New Roman" w:hAnsi="Times New Roman"/>
          <w:i/>
          <w:color w:val="000000" w:themeColor="text1"/>
          <w:lang w:val="en-GB"/>
        </w:rPr>
        <w:t>Cyfrowa</w:t>
      </w:r>
      <w:proofErr w:type="spellEnd"/>
      <w:r w:rsidRPr="00545C56">
        <w:rPr>
          <w:rFonts w:ascii="Times New Roman" w:hAnsi="Times New Roman"/>
          <w:color w:val="000000" w:themeColor="text1"/>
          <w:lang w:val="en-GB"/>
        </w:rPr>
        <w:t xml:space="preserve"> (n 10), paras 31–34, see also </w:t>
      </w:r>
      <w:r w:rsidR="009635EB">
        <w:rPr>
          <w:rFonts w:ascii="Times New Roman" w:hAnsi="Times New Roman"/>
          <w:color w:val="000000" w:themeColor="text1"/>
          <w:lang w:val="en-GB"/>
        </w:rPr>
        <w:t xml:space="preserve">O </w:t>
      </w:r>
      <w:r w:rsidRPr="00545C56">
        <w:rPr>
          <w:rFonts w:ascii="Times New Roman" w:hAnsi="Times New Roman"/>
          <w:color w:val="000000" w:themeColor="text1"/>
          <w:lang w:val="en-GB"/>
        </w:rPr>
        <w:t xml:space="preserve">Stefan, ‘EU Soft Law’ (2012) 75 </w:t>
      </w:r>
      <w:r w:rsidR="002803C8">
        <w:rPr>
          <w:rFonts w:ascii="Times New Roman" w:hAnsi="Times New Roman"/>
          <w:i/>
          <w:color w:val="000000" w:themeColor="text1"/>
          <w:lang w:val="en-GB"/>
        </w:rPr>
        <w:t>Modern Law Review</w:t>
      </w:r>
      <w:r w:rsidRPr="00545C56">
        <w:rPr>
          <w:rFonts w:ascii="Times New Roman" w:hAnsi="Times New Roman"/>
          <w:color w:val="000000" w:themeColor="text1"/>
          <w:lang w:val="en-GB"/>
        </w:rPr>
        <w:t xml:space="preserve"> 879. </w:t>
      </w:r>
    </w:p>
  </w:footnote>
  <w:footnote w:id="56">
    <w:p w14:paraId="5853FCC1" w14:textId="6BB74304" w:rsidR="00CD1F3A" w:rsidRPr="00545C56" w:rsidRDefault="00CD1F3A" w:rsidP="002803C8">
      <w:pPr>
        <w:pStyle w:val="FootnoteText"/>
        <w:contextualSpacing/>
        <w:rPr>
          <w:rFonts w:ascii="Times New Roman" w:hAnsi="Times New Roman"/>
          <w:color w:val="000000" w:themeColor="text1"/>
          <w:highlight w:val="yellow"/>
          <w:lang w:val="fi-FI"/>
        </w:rPr>
      </w:pPr>
      <w:r w:rsidRPr="00545C56">
        <w:rPr>
          <w:rStyle w:val="FootnoteReference"/>
          <w:rFonts w:ascii="Times New Roman" w:hAnsi="Times New Roman"/>
          <w:color w:val="000000" w:themeColor="text1"/>
          <w:lang w:val="en-GB"/>
        </w:rPr>
        <w:footnoteRef/>
      </w:r>
      <w:r w:rsidRPr="00545C56">
        <w:rPr>
          <w:rFonts w:ascii="Times New Roman" w:hAnsi="Times New Roman"/>
          <w:color w:val="000000" w:themeColor="text1"/>
          <w:lang w:val="en-US"/>
        </w:rPr>
        <w:t xml:space="preserve"> K </w:t>
      </w:r>
      <w:proofErr w:type="spellStart"/>
      <w:r w:rsidRPr="00545C56">
        <w:rPr>
          <w:rFonts w:ascii="Times New Roman" w:hAnsi="Times New Roman"/>
          <w:color w:val="000000" w:themeColor="text1"/>
          <w:lang w:val="en-US"/>
        </w:rPr>
        <w:t>Vatovec</w:t>
      </w:r>
      <w:proofErr w:type="spellEnd"/>
      <w:r w:rsidRPr="00545C56">
        <w:rPr>
          <w:rFonts w:ascii="Times New Roman" w:hAnsi="Times New Roman"/>
          <w:color w:val="000000" w:themeColor="text1"/>
          <w:lang w:val="en-US"/>
        </w:rPr>
        <w:t>, ‘National Report on Slovenia’, in Eliantonio</w:t>
      </w:r>
      <w:r w:rsidR="009635EB">
        <w:rPr>
          <w:rFonts w:ascii="Times New Roman" w:hAnsi="Times New Roman"/>
          <w:color w:val="000000" w:themeColor="text1"/>
          <w:lang w:val="en-US"/>
        </w:rPr>
        <w:t xml:space="preserve"> and</w:t>
      </w:r>
      <w:r w:rsidRPr="00545C56">
        <w:rPr>
          <w:rFonts w:ascii="Times New Roman" w:hAnsi="Times New Roman"/>
          <w:color w:val="000000" w:themeColor="text1"/>
          <w:lang w:val="en-US"/>
        </w:rPr>
        <w:t xml:space="preserve"> </w:t>
      </w:r>
      <w:proofErr w:type="spellStart"/>
      <w:r w:rsidRPr="00545C56">
        <w:rPr>
          <w:rFonts w:ascii="Times New Roman" w:hAnsi="Times New Roman"/>
          <w:color w:val="000000" w:themeColor="text1"/>
          <w:lang w:val="en-US"/>
        </w:rPr>
        <w:t>Lisi</w:t>
      </w:r>
      <w:proofErr w:type="spellEnd"/>
      <w:r w:rsidRPr="00545C56">
        <w:rPr>
          <w:rFonts w:ascii="Times New Roman" w:hAnsi="Times New Roman"/>
          <w:color w:val="000000" w:themeColor="text1"/>
          <w:lang w:val="en-US"/>
        </w:rPr>
        <w:t xml:space="preserve">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_Ref47718090 \h </w:instrText>
      </w:r>
      <w:r w:rsidR="00545C56" w:rsidRPr="00545C56">
        <w:rPr>
          <w:rFonts w:ascii="Times New Roman" w:hAnsi="Times New Roman"/>
          <w:color w:val="000000" w:themeColor="text1"/>
          <w:lang w:val="en-US"/>
        </w:rPr>
        <w:instrText xml:space="preserve">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53</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xml:space="preserve">), 121. </w:t>
      </w:r>
    </w:p>
  </w:footnote>
  <w:footnote w:id="57">
    <w:p w14:paraId="27403FD7" w14:textId="39CCC37C" w:rsidR="00CD1F3A" w:rsidRPr="00545C56" w:rsidRDefault="00CD1F3A" w:rsidP="002803C8">
      <w:pPr>
        <w:contextualSpacing/>
        <w:rPr>
          <w:color w:val="000000" w:themeColor="text1"/>
          <w:sz w:val="20"/>
          <w:szCs w:val="20"/>
        </w:rPr>
      </w:pPr>
      <w:r w:rsidRPr="00545C56">
        <w:rPr>
          <w:rStyle w:val="FootnoteReference"/>
          <w:rFonts w:eastAsiaTheme="majorEastAsia"/>
          <w:color w:val="000000" w:themeColor="text1"/>
          <w:sz w:val="20"/>
          <w:szCs w:val="20"/>
        </w:rPr>
        <w:footnoteRef/>
      </w:r>
      <w:r w:rsidRPr="00545C56">
        <w:rPr>
          <w:color w:val="000000" w:themeColor="text1"/>
          <w:sz w:val="20"/>
          <w:szCs w:val="20"/>
        </w:rPr>
        <w:t xml:space="preserve"> BEIS, ‘Guidance. State aid manual’ (2015), </w:t>
      </w:r>
      <w:proofErr w:type="gramStart"/>
      <w:r w:rsidRPr="00545C56">
        <w:rPr>
          <w:sz w:val="20"/>
          <w:szCs w:val="20"/>
        </w:rPr>
        <w:t>www.gov.uk/government/publications/state-aid-manual</w:t>
      </w:r>
      <w:r w:rsidRPr="00545C56">
        <w:rPr>
          <w:color w:val="000000" w:themeColor="text1"/>
          <w:sz w:val="20"/>
          <w:szCs w:val="20"/>
        </w:rPr>
        <w:t xml:space="preserve"> .</w:t>
      </w:r>
      <w:proofErr w:type="gramEnd"/>
      <w:r w:rsidRPr="00545C56">
        <w:rPr>
          <w:color w:val="000000" w:themeColor="text1"/>
          <w:sz w:val="20"/>
          <w:szCs w:val="20"/>
        </w:rPr>
        <w:t xml:space="preserve"> </w:t>
      </w:r>
    </w:p>
  </w:footnote>
  <w:footnote w:id="58">
    <w:p w14:paraId="66DDF086" w14:textId="2A118DFE"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eastAsiaTheme="majorEastAsia" w:hAnsi="Times New Roman"/>
          <w:color w:val="000000" w:themeColor="text1"/>
        </w:rPr>
        <w:footnoteRef/>
      </w:r>
      <w:r w:rsidRPr="00545C56">
        <w:rPr>
          <w:rFonts w:ascii="Times New Roman" w:hAnsi="Times New Roman"/>
          <w:color w:val="000000" w:themeColor="text1"/>
          <w:lang w:val="en-US"/>
        </w:rPr>
        <w:t xml:space="preserve"> Stefan and Dobbs this volume</w:t>
      </w:r>
      <w:r w:rsidR="00077D89">
        <w:rPr>
          <w:rFonts w:ascii="Times New Roman" w:hAnsi="Times New Roman"/>
          <w:color w:val="000000" w:themeColor="text1"/>
          <w:lang w:val="en-US"/>
        </w:rPr>
        <w:t>.</w:t>
      </w:r>
    </w:p>
  </w:footnote>
  <w:footnote w:id="59">
    <w:p w14:paraId="57E8EA81" w14:textId="329627C3" w:rsidR="00CD1F3A" w:rsidRPr="00545C56" w:rsidRDefault="00CD1F3A" w:rsidP="002803C8">
      <w:pPr>
        <w:pStyle w:val="FootnoteText"/>
        <w:contextualSpacing/>
        <w:rPr>
          <w:rFonts w:ascii="Times New Roman" w:eastAsiaTheme="majorEastAsia" w:hAnsi="Times New Roman"/>
          <w:color w:val="000000" w:themeColor="text1"/>
          <w:shd w:val="clear" w:color="auto" w:fill="FFFFFF"/>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Noted in relation to Germany by </w:t>
      </w:r>
      <w:r w:rsidRPr="00545C56">
        <w:rPr>
          <w:rStyle w:val="authors"/>
          <w:rFonts w:ascii="Times New Roman" w:eastAsiaTheme="majorEastAsia" w:hAnsi="Times New Roman"/>
          <w:color w:val="000000" w:themeColor="text1"/>
          <w:shd w:val="clear" w:color="auto" w:fill="FFFFFF"/>
          <w:lang w:val="en-US"/>
        </w:rPr>
        <w:t xml:space="preserve">M </w:t>
      </w:r>
      <w:proofErr w:type="spellStart"/>
      <w:r w:rsidRPr="00545C56">
        <w:rPr>
          <w:rStyle w:val="authors"/>
          <w:rFonts w:ascii="Times New Roman" w:eastAsiaTheme="majorEastAsia" w:hAnsi="Times New Roman"/>
          <w:color w:val="000000" w:themeColor="text1"/>
          <w:shd w:val="clear" w:color="auto" w:fill="FFFFFF"/>
          <w:lang w:val="en-US"/>
        </w:rPr>
        <w:t>Hartlapp</w:t>
      </w:r>
      <w:proofErr w:type="spellEnd"/>
      <w:r w:rsidR="009635EB">
        <w:rPr>
          <w:rStyle w:val="authors"/>
          <w:rFonts w:ascii="Times New Roman" w:eastAsiaTheme="majorEastAsia" w:hAnsi="Times New Roman"/>
          <w:color w:val="000000" w:themeColor="text1"/>
          <w:shd w:val="clear" w:color="auto" w:fill="FFFFFF"/>
          <w:lang w:val="en-US"/>
        </w:rPr>
        <w:t xml:space="preserve"> and</w:t>
      </w:r>
      <w:r w:rsidRPr="00545C56">
        <w:rPr>
          <w:rStyle w:val="authors"/>
          <w:rFonts w:ascii="Times New Roman" w:eastAsiaTheme="majorEastAsia" w:hAnsi="Times New Roman"/>
          <w:color w:val="000000" w:themeColor="text1"/>
          <w:shd w:val="clear" w:color="auto" w:fill="FFFFFF"/>
          <w:lang w:val="en-US"/>
        </w:rPr>
        <w:t xml:space="preserve"> A Hofmann</w:t>
      </w:r>
      <w:r w:rsidRPr="00545C56">
        <w:rPr>
          <w:rFonts w:ascii="Times New Roman" w:hAnsi="Times New Roman"/>
          <w:color w:val="000000" w:themeColor="text1"/>
          <w:shd w:val="clear" w:color="auto" w:fill="FFFFFF"/>
          <w:lang w:val="en-US"/>
        </w:rPr>
        <w:t>, ‘</w:t>
      </w:r>
      <w:r w:rsidRPr="00545C56">
        <w:rPr>
          <w:rStyle w:val="arttitle"/>
          <w:rFonts w:ascii="Times New Roman" w:eastAsiaTheme="majorEastAsia" w:hAnsi="Times New Roman"/>
          <w:color w:val="000000" w:themeColor="text1"/>
          <w:shd w:val="clear" w:color="auto" w:fill="FFFFFF"/>
          <w:lang w:val="en-US"/>
        </w:rPr>
        <w:t>The use of EU soft law by national courts and bureaucrats: how relation to hard law and policy maturity matter’ (2020)</w:t>
      </w:r>
      <w:r w:rsidRPr="00545C56">
        <w:rPr>
          <w:rFonts w:ascii="Times New Roman" w:hAnsi="Times New Roman"/>
          <w:color w:val="000000" w:themeColor="text1"/>
          <w:shd w:val="clear" w:color="auto" w:fill="FFFFFF"/>
          <w:lang w:val="en-US"/>
        </w:rPr>
        <w:t> </w:t>
      </w:r>
      <w:r w:rsidRPr="00545C56">
        <w:rPr>
          <w:rStyle w:val="serialtitle"/>
          <w:rFonts w:ascii="Times New Roman" w:eastAsiaTheme="majorEastAsia" w:hAnsi="Times New Roman"/>
          <w:i/>
          <w:color w:val="000000" w:themeColor="text1"/>
          <w:shd w:val="clear" w:color="auto" w:fill="FFFFFF"/>
          <w:lang w:val="en-US"/>
        </w:rPr>
        <w:t>West European Politics</w:t>
      </w:r>
      <w:r w:rsidRPr="00545C56">
        <w:rPr>
          <w:rStyle w:val="serialtitle"/>
          <w:rFonts w:ascii="Times New Roman" w:eastAsiaTheme="majorEastAsia" w:hAnsi="Times New Roman"/>
          <w:color w:val="000000" w:themeColor="text1"/>
          <w:shd w:val="clear" w:color="auto" w:fill="FFFFFF"/>
          <w:lang w:val="en-US"/>
        </w:rPr>
        <w:t xml:space="preserve">. </w:t>
      </w:r>
    </w:p>
  </w:footnote>
  <w:footnote w:id="60">
    <w:p w14:paraId="114729DF" w14:textId="444F3769"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Compiled by the author from the </w:t>
      </w:r>
      <w:proofErr w:type="spellStart"/>
      <w:r w:rsidRPr="00545C56">
        <w:rPr>
          <w:rFonts w:ascii="Times New Roman" w:hAnsi="Times New Roman"/>
          <w:color w:val="000000" w:themeColor="text1"/>
          <w:lang w:val="en-US"/>
        </w:rPr>
        <w:t>SoLaR</w:t>
      </w:r>
      <w:proofErr w:type="spellEnd"/>
      <w:r w:rsidRPr="00545C56">
        <w:rPr>
          <w:rFonts w:ascii="Times New Roman" w:hAnsi="Times New Roman"/>
          <w:color w:val="000000" w:themeColor="text1"/>
          <w:lang w:val="en-US"/>
        </w:rPr>
        <w:t xml:space="preserve"> Working Papers: Stefan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_Ref47706419 \h </w:instrText>
      </w:r>
      <w:r w:rsidR="00545C56" w:rsidRPr="00545C56">
        <w:rPr>
          <w:rFonts w:ascii="Times New Roman" w:hAnsi="Times New Roman"/>
          <w:color w:val="000000" w:themeColor="text1"/>
          <w:lang w:val="en-US"/>
        </w:rPr>
        <w:instrText xml:space="preserve">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44</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xml:space="preserve">); </w:t>
      </w:r>
      <w:proofErr w:type="spellStart"/>
      <w:r w:rsidRPr="00545C56">
        <w:rPr>
          <w:rFonts w:ascii="Times New Roman" w:hAnsi="Times New Roman"/>
          <w:color w:val="000000" w:themeColor="text1"/>
          <w:lang w:val="en-US"/>
        </w:rPr>
        <w:t>Avbelj</w:t>
      </w:r>
      <w:proofErr w:type="spellEnd"/>
      <w:r w:rsidRPr="00545C56">
        <w:rPr>
          <w:rFonts w:ascii="Times New Roman" w:hAnsi="Times New Roman"/>
          <w:color w:val="000000" w:themeColor="text1"/>
          <w:lang w:val="en-US"/>
        </w:rPr>
        <w:t xml:space="preserve">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_Ref47706958 \h </w:instrText>
      </w:r>
      <w:r w:rsidR="00545C56" w:rsidRPr="00545C56">
        <w:rPr>
          <w:rFonts w:ascii="Times New Roman" w:hAnsi="Times New Roman"/>
          <w:color w:val="000000" w:themeColor="text1"/>
          <w:lang w:val="en-US"/>
        </w:rPr>
        <w:instrText xml:space="preserve">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51</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Eliantonio</w:t>
      </w:r>
      <w:r w:rsidR="009635EB">
        <w:rPr>
          <w:rFonts w:ascii="Times New Roman" w:hAnsi="Times New Roman"/>
          <w:color w:val="000000" w:themeColor="text1"/>
          <w:lang w:val="en-US"/>
        </w:rPr>
        <w:t xml:space="preserve"> and</w:t>
      </w:r>
      <w:r w:rsidRPr="00545C56">
        <w:rPr>
          <w:rFonts w:ascii="Times New Roman" w:hAnsi="Times New Roman"/>
          <w:color w:val="000000" w:themeColor="text1"/>
          <w:lang w:val="en-US"/>
        </w:rPr>
        <w:t xml:space="preserve"> </w:t>
      </w:r>
      <w:proofErr w:type="spellStart"/>
      <w:r w:rsidRPr="00545C56">
        <w:rPr>
          <w:rFonts w:ascii="Times New Roman" w:hAnsi="Times New Roman"/>
          <w:color w:val="000000" w:themeColor="text1"/>
          <w:lang w:val="en-US"/>
        </w:rPr>
        <w:t>Lisi</w:t>
      </w:r>
      <w:proofErr w:type="spellEnd"/>
      <w:r w:rsidRPr="00545C56">
        <w:rPr>
          <w:rFonts w:ascii="Times New Roman" w:hAnsi="Times New Roman"/>
          <w:color w:val="000000" w:themeColor="text1"/>
          <w:lang w:val="en-US"/>
        </w:rPr>
        <w:t xml:space="preserve">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_Ref47718090 \h </w:instrText>
      </w:r>
      <w:r w:rsidR="00545C56" w:rsidRPr="00545C56">
        <w:rPr>
          <w:rFonts w:ascii="Times New Roman" w:hAnsi="Times New Roman"/>
          <w:color w:val="000000" w:themeColor="text1"/>
          <w:lang w:val="en-US"/>
        </w:rPr>
        <w:instrText xml:space="preserve">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53</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xml:space="preserve">), M </w:t>
      </w:r>
      <w:proofErr w:type="spellStart"/>
      <w:r w:rsidRPr="00545C56">
        <w:rPr>
          <w:rFonts w:ascii="Times New Roman" w:hAnsi="Times New Roman"/>
          <w:color w:val="000000" w:themeColor="text1"/>
          <w:lang w:val="en-US"/>
        </w:rPr>
        <w:t>Hartlapp</w:t>
      </w:r>
      <w:proofErr w:type="spellEnd"/>
      <w:r w:rsidRPr="00545C56">
        <w:rPr>
          <w:rFonts w:ascii="Times New Roman" w:hAnsi="Times New Roman"/>
          <w:color w:val="000000" w:themeColor="text1"/>
          <w:lang w:val="en-US"/>
        </w:rPr>
        <w:t xml:space="preserve"> (ed)</w:t>
      </w:r>
      <w:r w:rsidR="009635EB">
        <w:rPr>
          <w:rFonts w:ascii="Times New Roman" w:hAnsi="Times New Roman"/>
          <w:color w:val="000000" w:themeColor="text1"/>
          <w:lang w:val="en-US"/>
        </w:rPr>
        <w:t>,</w:t>
      </w:r>
      <w:r w:rsidRPr="00545C56">
        <w:rPr>
          <w:rFonts w:ascii="Times New Roman" w:hAnsi="Times New Roman"/>
          <w:color w:val="000000" w:themeColor="text1"/>
          <w:lang w:val="en-US"/>
        </w:rPr>
        <w:t xml:space="preserve"> ‘Studying EU soft law effects in social policy’, (2020) </w:t>
      </w:r>
      <w:proofErr w:type="spellStart"/>
      <w:r w:rsidRPr="00545C56">
        <w:rPr>
          <w:rFonts w:ascii="Times New Roman" w:hAnsi="Times New Roman"/>
          <w:color w:val="000000" w:themeColor="text1"/>
          <w:lang w:val="en-US"/>
        </w:rPr>
        <w:t>SoLaR</w:t>
      </w:r>
      <w:proofErr w:type="spellEnd"/>
      <w:r w:rsidRPr="00545C56">
        <w:rPr>
          <w:rFonts w:ascii="Times New Roman" w:hAnsi="Times New Roman"/>
          <w:color w:val="000000" w:themeColor="text1"/>
          <w:lang w:val="en-US"/>
        </w:rPr>
        <w:t xml:space="preserve"> Working Paper</w:t>
      </w:r>
      <w:r w:rsidR="00077D89">
        <w:rPr>
          <w:rFonts w:ascii="Times New Roman" w:hAnsi="Times New Roman"/>
          <w:color w:val="000000" w:themeColor="text1"/>
          <w:lang w:val="en-US"/>
        </w:rPr>
        <w:t xml:space="preserve">, </w:t>
      </w:r>
      <w:r w:rsidRPr="00077D89">
        <w:rPr>
          <w:rFonts w:ascii="Times New Roman" w:eastAsiaTheme="majorEastAsia" w:hAnsi="Times New Roman"/>
          <w:lang w:val="en-US"/>
        </w:rPr>
        <w:t>https://papers.ssrn.com/sol3/papers.cfm?abstract_id=3668981</w:t>
      </w:r>
      <w:r w:rsidRPr="00545C56">
        <w:rPr>
          <w:rFonts w:ascii="Times New Roman" w:hAnsi="Times New Roman"/>
          <w:lang w:val="en-US"/>
        </w:rPr>
        <w:t>.</w:t>
      </w:r>
    </w:p>
  </w:footnote>
  <w:footnote w:id="61">
    <w:p w14:paraId="513626C9" w14:textId="2E0D9B8D"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KW </w:t>
      </w:r>
      <w:r w:rsidRPr="00545C56">
        <w:rPr>
          <w:rFonts w:ascii="Times New Roman" w:hAnsi="Times New Roman"/>
          <w:color w:val="000000" w:themeColor="text1"/>
          <w:lang w:val="en-GB" w:eastAsia="ro-RO"/>
        </w:rPr>
        <w:t>Abbott et al</w:t>
      </w:r>
      <w:r w:rsidR="009635EB">
        <w:rPr>
          <w:rFonts w:ascii="Times New Roman" w:hAnsi="Times New Roman"/>
          <w:color w:val="000000" w:themeColor="text1"/>
          <w:lang w:val="en-GB" w:eastAsia="ro-RO"/>
        </w:rPr>
        <w:t>,</w:t>
      </w:r>
      <w:r w:rsidRPr="00545C56">
        <w:rPr>
          <w:rFonts w:ascii="Times New Roman" w:hAnsi="Times New Roman"/>
          <w:color w:val="000000" w:themeColor="text1"/>
          <w:lang w:val="en-GB" w:eastAsia="ro-RO"/>
        </w:rPr>
        <w:t xml:space="preserve"> ‘The Concept of Legalization’ (2000) 54 </w:t>
      </w:r>
      <w:r w:rsidRPr="00545C56">
        <w:rPr>
          <w:rFonts w:ascii="Times New Roman" w:hAnsi="Times New Roman"/>
          <w:i/>
          <w:iCs/>
          <w:color w:val="000000" w:themeColor="text1"/>
          <w:lang w:val="en-GB" w:eastAsia="ro-RO"/>
        </w:rPr>
        <w:t>International Organization</w:t>
      </w:r>
      <w:r w:rsidRPr="00545C56">
        <w:rPr>
          <w:rFonts w:ascii="Times New Roman" w:hAnsi="Times New Roman"/>
          <w:color w:val="000000" w:themeColor="text1"/>
          <w:lang w:val="en-GB" w:eastAsia="ro-RO"/>
        </w:rPr>
        <w:t xml:space="preserve"> 401.</w:t>
      </w:r>
    </w:p>
  </w:footnote>
  <w:footnote w:id="62">
    <w:p w14:paraId="35583520" w14:textId="02740347"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F </w:t>
      </w:r>
      <w:proofErr w:type="spellStart"/>
      <w:r w:rsidRPr="00545C56">
        <w:rPr>
          <w:rFonts w:ascii="Times New Roman" w:hAnsi="Times New Roman"/>
          <w:color w:val="000000" w:themeColor="text1"/>
          <w:lang w:val="en-US"/>
        </w:rPr>
        <w:t>Terpan</w:t>
      </w:r>
      <w:proofErr w:type="spellEnd"/>
      <w:r w:rsidRPr="00545C56">
        <w:rPr>
          <w:rFonts w:ascii="Times New Roman" w:hAnsi="Times New Roman"/>
          <w:color w:val="000000" w:themeColor="text1"/>
          <w:lang w:val="en-US"/>
        </w:rPr>
        <w:t xml:space="preserve">, ‘Soft Law in the EU—the Changing Nature of EU Law’ (2015) 21 </w:t>
      </w:r>
      <w:r w:rsidRPr="00545C56">
        <w:rPr>
          <w:rFonts w:ascii="Times New Roman" w:hAnsi="Times New Roman"/>
          <w:i/>
          <w:color w:val="000000" w:themeColor="text1"/>
          <w:lang w:val="en-US"/>
        </w:rPr>
        <w:t xml:space="preserve">European Law Journal </w:t>
      </w:r>
      <w:r w:rsidRPr="00545C56">
        <w:rPr>
          <w:rFonts w:ascii="Times New Roman" w:hAnsi="Times New Roman"/>
          <w:color w:val="000000" w:themeColor="text1"/>
          <w:lang w:val="en-US"/>
        </w:rPr>
        <w:t>68.</w:t>
      </w:r>
    </w:p>
  </w:footnote>
  <w:footnote w:id="63">
    <w:p w14:paraId="114217DE" w14:textId="7303A66C" w:rsidR="00CD1F3A" w:rsidRPr="00545C56" w:rsidRDefault="00CD1F3A" w:rsidP="002803C8">
      <w:pPr>
        <w:pStyle w:val="FootnoteText"/>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w:t>
      </w:r>
      <w:proofErr w:type="spellStart"/>
      <w:r w:rsidRPr="00545C56">
        <w:rPr>
          <w:rFonts w:ascii="Times New Roman" w:hAnsi="Times New Roman"/>
          <w:lang w:val="en-US"/>
        </w:rPr>
        <w:t>Korkea-aho</w:t>
      </w:r>
      <w:proofErr w:type="spellEnd"/>
      <w:r w:rsidRPr="00545C56">
        <w:rPr>
          <w:rFonts w:ascii="Times New Roman" w:hAnsi="Times New Roman"/>
          <w:lang w:val="en-US"/>
        </w:rPr>
        <w:t xml:space="preserve"> and </w:t>
      </w:r>
      <w:proofErr w:type="spellStart"/>
      <w:r w:rsidRPr="00545C56">
        <w:rPr>
          <w:rFonts w:ascii="Times New Roman" w:hAnsi="Times New Roman"/>
          <w:lang w:val="en-US"/>
        </w:rPr>
        <w:t>Hartlapp</w:t>
      </w:r>
      <w:proofErr w:type="spellEnd"/>
      <w:r w:rsidRPr="00545C56">
        <w:rPr>
          <w:rFonts w:ascii="Times New Roman" w:hAnsi="Times New Roman"/>
          <w:lang w:val="en-US"/>
        </w:rPr>
        <w:t xml:space="preserve"> this volume.</w:t>
      </w:r>
    </w:p>
  </w:footnote>
  <w:footnote w:id="64">
    <w:p w14:paraId="59E1037C" w14:textId="01C42434"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Council Directive 92/43/EEC of 21 May 1992 on the conservation of natural habitats and of wild fauna and flora (Habitat Directive), OJ L 206, 22.7.1992, p. 7–50. </w:t>
      </w:r>
    </w:p>
  </w:footnote>
  <w:footnote w:id="65">
    <w:p w14:paraId="4AA7C89C" w14:textId="0B554385" w:rsidR="00CD1F3A" w:rsidRPr="00545C56" w:rsidRDefault="00CD1F3A" w:rsidP="002803C8">
      <w:pPr>
        <w:pStyle w:val="FootnoteText"/>
        <w:contextualSpacing/>
        <w:rPr>
          <w:rFonts w:ascii="Times New Roman" w:hAnsi="Times New Roman"/>
          <w:color w:val="000000" w:themeColor="text1"/>
          <w:lang w:val="fi-FI"/>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G </w:t>
      </w:r>
      <w:proofErr w:type="spellStart"/>
      <w:r w:rsidRPr="00545C56">
        <w:rPr>
          <w:rFonts w:ascii="Times New Roman" w:hAnsi="Times New Roman"/>
          <w:color w:val="000000" w:themeColor="text1"/>
          <w:lang w:val="en-US"/>
        </w:rPr>
        <w:t>Lisi</w:t>
      </w:r>
      <w:proofErr w:type="spellEnd"/>
      <w:r w:rsidR="009635EB">
        <w:rPr>
          <w:rFonts w:ascii="Times New Roman" w:hAnsi="Times New Roman"/>
          <w:color w:val="000000" w:themeColor="text1"/>
          <w:lang w:val="en-US"/>
        </w:rPr>
        <w:t xml:space="preserve"> and</w:t>
      </w:r>
      <w:r w:rsidRPr="00545C56">
        <w:rPr>
          <w:rFonts w:ascii="Times New Roman" w:hAnsi="Times New Roman"/>
          <w:color w:val="000000" w:themeColor="text1"/>
          <w:lang w:val="en-US"/>
        </w:rPr>
        <w:t xml:space="preserve"> M Eliantonio, ‘National Report on Italy’ in Eliantonio</w:t>
      </w:r>
      <w:r w:rsidR="009635EB">
        <w:rPr>
          <w:rFonts w:ascii="Times New Roman" w:hAnsi="Times New Roman"/>
          <w:color w:val="000000" w:themeColor="text1"/>
          <w:lang w:val="en-US"/>
        </w:rPr>
        <w:t xml:space="preserve"> and </w:t>
      </w:r>
      <w:proofErr w:type="spellStart"/>
      <w:r w:rsidRPr="00545C56">
        <w:rPr>
          <w:rFonts w:ascii="Times New Roman" w:hAnsi="Times New Roman"/>
          <w:color w:val="000000" w:themeColor="text1"/>
          <w:lang w:val="en-US"/>
        </w:rPr>
        <w:t>Lisi</w:t>
      </w:r>
      <w:proofErr w:type="spellEnd"/>
      <w:r w:rsidRPr="00545C56">
        <w:rPr>
          <w:rFonts w:ascii="Times New Roman" w:hAnsi="Times New Roman"/>
          <w:color w:val="000000" w:themeColor="text1"/>
          <w:lang w:val="en-US"/>
        </w:rPr>
        <w:t xml:space="preserve">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_Ref47718090 \h </w:instrText>
      </w:r>
      <w:r w:rsidR="00545C56" w:rsidRPr="00545C56">
        <w:rPr>
          <w:rFonts w:ascii="Times New Roman" w:hAnsi="Times New Roman"/>
          <w:color w:val="000000" w:themeColor="text1"/>
          <w:lang w:val="en-US"/>
        </w:rPr>
        <w:instrText xml:space="preserve">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53</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w:t>
      </w:r>
      <w:r w:rsidRPr="00545C56">
        <w:rPr>
          <w:rFonts w:ascii="Times New Roman" w:hAnsi="Times New Roman"/>
          <w:color w:val="000000" w:themeColor="text1"/>
          <w:lang w:val="fi-FI"/>
        </w:rPr>
        <w:t xml:space="preserve"> 70.</w:t>
      </w:r>
      <w:r w:rsidRPr="00545C56">
        <w:rPr>
          <w:rFonts w:ascii="Times New Roman" w:hAnsi="Times New Roman"/>
          <w:color w:val="000000" w:themeColor="text1"/>
          <w:lang w:val="en-US"/>
        </w:rPr>
        <w:t xml:space="preserve"> </w:t>
      </w:r>
    </w:p>
  </w:footnote>
  <w:footnote w:id="66">
    <w:p w14:paraId="4C037DB9" w14:textId="284FDF35"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w:t>
      </w:r>
      <w:r w:rsidR="00CC3357" w:rsidRPr="00545C56">
        <w:rPr>
          <w:rFonts w:ascii="Times New Roman" w:hAnsi="Times New Roman"/>
          <w:color w:val="000000" w:themeColor="text1"/>
          <w:lang w:val="en-US"/>
        </w:rPr>
        <w:t xml:space="preserve">M </w:t>
      </w:r>
      <w:proofErr w:type="spellStart"/>
      <w:r w:rsidR="00CC3357" w:rsidRPr="00545C56">
        <w:rPr>
          <w:rFonts w:ascii="Times New Roman" w:hAnsi="Times New Roman"/>
          <w:color w:val="000000" w:themeColor="text1"/>
          <w:lang w:val="en-US"/>
        </w:rPr>
        <w:t>Hartlapp</w:t>
      </w:r>
      <w:proofErr w:type="spellEnd"/>
      <w:r w:rsidR="009635EB">
        <w:rPr>
          <w:rFonts w:ascii="Times New Roman" w:hAnsi="Times New Roman"/>
          <w:color w:val="000000" w:themeColor="text1"/>
          <w:lang w:val="en-US"/>
        </w:rPr>
        <w:t xml:space="preserve"> and</w:t>
      </w:r>
      <w:r w:rsidR="00CC3357" w:rsidRPr="00545C56">
        <w:rPr>
          <w:rFonts w:ascii="Times New Roman" w:hAnsi="Times New Roman"/>
          <w:color w:val="000000" w:themeColor="text1"/>
          <w:lang w:val="en-US"/>
        </w:rPr>
        <w:t xml:space="preserve"> A </w:t>
      </w:r>
      <w:proofErr w:type="spellStart"/>
      <w:r w:rsidR="00CC3357" w:rsidRPr="00545C56">
        <w:rPr>
          <w:rFonts w:ascii="Times New Roman" w:hAnsi="Times New Roman"/>
          <w:lang w:val="en-US"/>
        </w:rPr>
        <w:t>Schwerdtfeger</w:t>
      </w:r>
      <w:proofErr w:type="spellEnd"/>
      <w:r w:rsidR="00CC3357" w:rsidRPr="00545C56">
        <w:rPr>
          <w:rFonts w:ascii="Times New Roman" w:hAnsi="Times New Roman"/>
          <w:color w:val="000000" w:themeColor="text1"/>
          <w:lang w:val="en-US"/>
        </w:rPr>
        <w:t xml:space="preserve">, ‘Studying EU Soft Law Effects in Financial Regulation: Insights from Germany’ in </w:t>
      </w:r>
      <w:proofErr w:type="spellStart"/>
      <w:r w:rsidR="00CC3357" w:rsidRPr="00545C56">
        <w:rPr>
          <w:rFonts w:ascii="Times New Roman" w:hAnsi="Times New Roman"/>
          <w:color w:val="000000" w:themeColor="text1"/>
          <w:lang w:val="en-US"/>
        </w:rPr>
        <w:t>Avbelj</w:t>
      </w:r>
      <w:proofErr w:type="spellEnd"/>
      <w:r w:rsidR="00CC3357" w:rsidRPr="00545C56">
        <w:rPr>
          <w:rFonts w:ascii="Times New Roman" w:hAnsi="Times New Roman"/>
          <w:color w:val="000000" w:themeColor="text1"/>
          <w:lang w:val="en-US"/>
        </w:rPr>
        <w:t xml:space="preserve"> (n </w:t>
      </w:r>
      <w:r w:rsidR="00CC3357" w:rsidRPr="00545C56">
        <w:rPr>
          <w:rFonts w:ascii="Times New Roman" w:hAnsi="Times New Roman"/>
          <w:color w:val="000000" w:themeColor="text1"/>
          <w:lang w:val="en-US"/>
        </w:rPr>
        <w:fldChar w:fldCharType="begin"/>
      </w:r>
      <w:r w:rsidR="00CC3357" w:rsidRPr="00545C56">
        <w:rPr>
          <w:rFonts w:ascii="Times New Roman" w:hAnsi="Times New Roman"/>
          <w:color w:val="000000" w:themeColor="text1"/>
          <w:lang w:val="en-US"/>
        </w:rPr>
        <w:instrText xml:space="preserve"> NOTEREF _Ref47706958 \h  \* MERGEFORMAT </w:instrText>
      </w:r>
      <w:r w:rsidR="00CC3357" w:rsidRPr="00545C56">
        <w:rPr>
          <w:rFonts w:ascii="Times New Roman" w:hAnsi="Times New Roman"/>
          <w:color w:val="000000" w:themeColor="text1"/>
          <w:lang w:val="en-US"/>
        </w:rPr>
      </w:r>
      <w:r w:rsidR="00CC3357"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51</w:t>
      </w:r>
      <w:r w:rsidR="00CC3357" w:rsidRPr="00545C56">
        <w:rPr>
          <w:rFonts w:ascii="Times New Roman" w:hAnsi="Times New Roman"/>
          <w:color w:val="000000" w:themeColor="text1"/>
          <w:lang w:val="en-US"/>
        </w:rPr>
        <w:fldChar w:fldCharType="end"/>
      </w:r>
      <w:r w:rsidR="00CC3357" w:rsidRPr="00545C56">
        <w:rPr>
          <w:rFonts w:ascii="Times New Roman" w:hAnsi="Times New Roman"/>
          <w:color w:val="000000" w:themeColor="text1"/>
          <w:lang w:val="en-US"/>
        </w:rPr>
        <w:t>), 64</w:t>
      </w:r>
      <w:r w:rsidR="00CC3357">
        <w:rPr>
          <w:rFonts w:ascii="Times New Roman" w:hAnsi="Times New Roman"/>
          <w:color w:val="000000" w:themeColor="text1"/>
          <w:lang w:val="en-US"/>
        </w:rPr>
        <w:t xml:space="preserve">; </w:t>
      </w:r>
      <w:proofErr w:type="spellStart"/>
      <w:r w:rsidRPr="00545C56">
        <w:rPr>
          <w:rStyle w:val="authors"/>
          <w:rFonts w:ascii="Times New Roman" w:eastAsiaTheme="majorEastAsia" w:hAnsi="Times New Roman"/>
          <w:color w:val="000000" w:themeColor="text1"/>
          <w:shd w:val="clear" w:color="auto" w:fill="FFFFFF"/>
          <w:lang w:val="en-US"/>
        </w:rPr>
        <w:t>Hartlapp</w:t>
      </w:r>
      <w:proofErr w:type="spellEnd"/>
      <w:r w:rsidR="009635EB">
        <w:rPr>
          <w:rStyle w:val="authors"/>
          <w:rFonts w:ascii="Times New Roman" w:eastAsiaTheme="majorEastAsia" w:hAnsi="Times New Roman"/>
          <w:color w:val="000000" w:themeColor="text1"/>
          <w:shd w:val="clear" w:color="auto" w:fill="FFFFFF"/>
          <w:lang w:val="en-US"/>
        </w:rPr>
        <w:t xml:space="preserve"> and</w:t>
      </w:r>
      <w:r w:rsidRPr="00545C56">
        <w:rPr>
          <w:rStyle w:val="authors"/>
          <w:rFonts w:ascii="Times New Roman" w:eastAsiaTheme="majorEastAsia" w:hAnsi="Times New Roman"/>
          <w:color w:val="000000" w:themeColor="text1"/>
          <w:shd w:val="clear" w:color="auto" w:fill="FFFFFF"/>
          <w:lang w:val="en-US"/>
        </w:rPr>
        <w:t xml:space="preserve"> Hofmann</w:t>
      </w:r>
      <w:r w:rsidRPr="00545C56">
        <w:rPr>
          <w:rFonts w:ascii="Times New Roman" w:hAnsi="Times New Roman"/>
          <w:color w:val="000000" w:themeColor="text1"/>
          <w:shd w:val="clear" w:color="auto" w:fill="FFFFFF"/>
          <w:lang w:val="en-US"/>
        </w:rPr>
        <w:t xml:space="preserve"> </w:t>
      </w:r>
      <w:r w:rsidRPr="00545C56">
        <w:rPr>
          <w:rStyle w:val="Date1"/>
          <w:rFonts w:ascii="Times New Roman" w:eastAsiaTheme="majorEastAsia" w:hAnsi="Times New Roman"/>
          <w:color w:val="000000" w:themeColor="text1"/>
          <w:shd w:val="clear" w:color="auto" w:fill="FFFFFF"/>
          <w:lang w:val="en-US"/>
        </w:rPr>
        <w:t>(n 57)</w:t>
      </w:r>
      <w:r w:rsidRPr="00545C56">
        <w:rPr>
          <w:rFonts w:ascii="Times New Roman" w:hAnsi="Times New Roman"/>
          <w:color w:val="000000" w:themeColor="text1"/>
          <w:shd w:val="clear" w:color="auto" w:fill="FFFFFF"/>
          <w:lang w:val="en-US"/>
        </w:rPr>
        <w:t xml:space="preserve">, 7. </w:t>
      </w:r>
    </w:p>
  </w:footnote>
  <w:footnote w:id="67">
    <w:p w14:paraId="6FDD4AEB" w14:textId="4E8B34A6" w:rsidR="00CD1F3A" w:rsidRPr="00545C56" w:rsidRDefault="00CD1F3A" w:rsidP="002803C8">
      <w:pPr>
        <w:pStyle w:val="FootnoteText"/>
        <w:contextualSpacing/>
        <w:rPr>
          <w:rFonts w:ascii="Times New Roman" w:hAnsi="Times New Roman"/>
          <w:color w:val="000000" w:themeColor="text1"/>
        </w:rPr>
      </w:pPr>
      <w:r w:rsidRPr="00545C56">
        <w:rPr>
          <w:rStyle w:val="FootnoteReference"/>
          <w:rFonts w:ascii="Times New Roman" w:hAnsi="Times New Roman"/>
          <w:color w:val="000000" w:themeColor="text1"/>
          <w:lang w:val="en-GB"/>
        </w:rPr>
        <w:footnoteRef/>
      </w:r>
      <w:r w:rsidRPr="00545C56">
        <w:rPr>
          <w:rFonts w:ascii="Times New Roman" w:hAnsi="Times New Roman"/>
          <w:color w:val="000000" w:themeColor="text1"/>
        </w:rPr>
        <w:t xml:space="preserve"> Circulaire du Premier Ministre, 5 </w:t>
      </w:r>
      <w:proofErr w:type="spellStart"/>
      <w:r w:rsidRPr="00545C56">
        <w:rPr>
          <w:rFonts w:ascii="Times New Roman" w:hAnsi="Times New Roman"/>
          <w:color w:val="000000" w:themeColor="text1"/>
        </w:rPr>
        <w:t>February</w:t>
      </w:r>
      <w:proofErr w:type="spellEnd"/>
      <w:r w:rsidRPr="00545C56">
        <w:rPr>
          <w:rFonts w:ascii="Times New Roman" w:hAnsi="Times New Roman"/>
          <w:color w:val="000000" w:themeColor="text1"/>
        </w:rPr>
        <w:t xml:space="preserve"> 2019, ‘Application des règles européennes de concurrence relatives aux aides publiques aux activités économiques’, no 6060/SG, </w:t>
      </w:r>
      <w:proofErr w:type="gramStart"/>
      <w:r w:rsidRPr="00545C56">
        <w:rPr>
          <w:rFonts w:ascii="Times New Roman" w:eastAsiaTheme="majorEastAsia" w:hAnsi="Times New Roman"/>
        </w:rPr>
        <w:t>http://circulaires.legifrance.gouv.fr/pdf/2019/02/cir_44368.pdf</w:t>
      </w:r>
      <w:r w:rsidRPr="00545C56">
        <w:rPr>
          <w:rFonts w:ascii="Times New Roman" w:hAnsi="Times New Roman"/>
          <w:color w:val="000000" w:themeColor="text1"/>
        </w:rPr>
        <w:t xml:space="preserve"> .</w:t>
      </w:r>
      <w:proofErr w:type="gramEnd"/>
      <w:r w:rsidRPr="00545C56">
        <w:rPr>
          <w:rFonts w:ascii="Times New Roman" w:hAnsi="Times New Roman"/>
          <w:color w:val="000000" w:themeColor="text1"/>
        </w:rPr>
        <w:t xml:space="preserve"> </w:t>
      </w:r>
    </w:p>
  </w:footnote>
  <w:footnote w:id="68">
    <w:p w14:paraId="3F27C7BB" w14:textId="468CCD7E"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Communication from the Commission on the application, from 1 January 2011, of State aid rules to support measures in </w:t>
      </w:r>
      <w:proofErr w:type="spellStart"/>
      <w:r w:rsidRPr="00545C56">
        <w:rPr>
          <w:rFonts w:ascii="Times New Roman" w:hAnsi="Times New Roman"/>
          <w:color w:val="000000" w:themeColor="text1"/>
          <w:lang w:val="en-US"/>
        </w:rPr>
        <w:t>favour</w:t>
      </w:r>
      <w:proofErr w:type="spellEnd"/>
      <w:r w:rsidRPr="00545C56">
        <w:rPr>
          <w:rFonts w:ascii="Times New Roman" w:hAnsi="Times New Roman"/>
          <w:color w:val="000000" w:themeColor="text1"/>
          <w:lang w:val="en-US"/>
        </w:rPr>
        <w:t xml:space="preserve"> of banks in the context of the financial crisis, OJ C329/7, 7.12.2010, p. 7-10. </w:t>
      </w:r>
    </w:p>
  </w:footnote>
  <w:footnote w:id="69">
    <w:p w14:paraId="18208475" w14:textId="1B32AC01"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w:t>
      </w:r>
      <w:proofErr w:type="spellStart"/>
      <w:r w:rsidRPr="00545C56">
        <w:rPr>
          <w:rFonts w:ascii="Times New Roman" w:hAnsi="Times New Roman"/>
          <w:lang w:val="en-US"/>
        </w:rPr>
        <w:t>Rošic</w:t>
      </w:r>
      <w:proofErr w:type="spellEnd"/>
      <w:r w:rsidRPr="00545C56">
        <w:rPr>
          <w:rFonts w:ascii="Times New Roman" w:hAnsi="Times New Roman"/>
          <w:lang w:val="en-US"/>
        </w:rPr>
        <w:t xml:space="preserve"> </w:t>
      </w:r>
      <w:proofErr w:type="spellStart"/>
      <w:r w:rsidRPr="00545C56">
        <w:rPr>
          <w:rFonts w:ascii="Times New Roman" w:hAnsi="Times New Roman"/>
          <w:lang w:val="en-US"/>
        </w:rPr>
        <w:t>Feguš</w:t>
      </w:r>
      <w:proofErr w:type="spellEnd"/>
      <w:r w:rsidRPr="00545C56">
        <w:rPr>
          <w:rFonts w:ascii="Times New Roman" w:hAnsi="Times New Roman"/>
          <w:lang w:val="en-US"/>
        </w:rPr>
        <w:t xml:space="preserve"> (n </w:t>
      </w:r>
      <w:r w:rsidRPr="00545C56">
        <w:rPr>
          <w:rFonts w:ascii="Times New Roman" w:hAnsi="Times New Roman"/>
          <w:lang w:val="en-US"/>
        </w:rPr>
        <w:fldChar w:fldCharType="begin"/>
      </w:r>
      <w:r w:rsidRPr="00545C56">
        <w:rPr>
          <w:rFonts w:ascii="Times New Roman" w:hAnsi="Times New Roman"/>
          <w:lang w:val="en-US"/>
        </w:rPr>
        <w:instrText xml:space="preserve"> NOTEREF _Ref47706419 \h </w:instrText>
      </w:r>
      <w:r w:rsidR="00545C56" w:rsidRPr="00545C56">
        <w:rPr>
          <w:rFonts w:ascii="Times New Roman" w:hAnsi="Times New Roman"/>
          <w:lang w:val="en-US"/>
        </w:rPr>
        <w:instrText xml:space="preserve">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44</w:t>
      </w:r>
      <w:r w:rsidRPr="00545C56">
        <w:rPr>
          <w:rFonts w:ascii="Times New Roman" w:hAnsi="Times New Roman"/>
          <w:lang w:val="en-US"/>
        </w:rPr>
        <w:fldChar w:fldCharType="end"/>
      </w:r>
      <w:r w:rsidRPr="00545C56">
        <w:rPr>
          <w:rFonts w:ascii="Times New Roman" w:hAnsi="Times New Roman"/>
          <w:lang w:val="en-US"/>
        </w:rPr>
        <w:t>) 152.</w:t>
      </w:r>
    </w:p>
  </w:footnote>
  <w:footnote w:id="70">
    <w:p w14:paraId="6BDF4B2D" w14:textId="29639FBB"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w:t>
      </w:r>
      <w:r w:rsidRPr="00545C56">
        <w:rPr>
          <w:rFonts w:ascii="Times New Roman" w:hAnsi="Times New Roman"/>
          <w:color w:val="000000" w:themeColor="text1"/>
          <w:lang w:val="en-GB"/>
        </w:rPr>
        <w:t xml:space="preserve">Art. L. 464-6-1 &amp; 2 of the French </w:t>
      </w:r>
      <w:r w:rsidR="002803C8">
        <w:rPr>
          <w:rFonts w:ascii="Times New Roman" w:hAnsi="Times New Roman"/>
          <w:color w:val="000000" w:themeColor="text1"/>
          <w:lang w:val="en-GB"/>
        </w:rPr>
        <w:t>T</w:t>
      </w:r>
      <w:r w:rsidRPr="00545C56">
        <w:rPr>
          <w:rFonts w:ascii="Times New Roman" w:hAnsi="Times New Roman"/>
          <w:color w:val="000000" w:themeColor="text1"/>
          <w:lang w:val="en-GB"/>
        </w:rPr>
        <w:t xml:space="preserve">rade </w:t>
      </w:r>
      <w:r w:rsidR="002803C8">
        <w:rPr>
          <w:rFonts w:ascii="Times New Roman" w:hAnsi="Times New Roman"/>
          <w:color w:val="000000" w:themeColor="text1"/>
          <w:lang w:val="en-GB"/>
        </w:rPr>
        <w:t>C</w:t>
      </w:r>
      <w:r w:rsidRPr="00545C56">
        <w:rPr>
          <w:rFonts w:ascii="Times New Roman" w:hAnsi="Times New Roman"/>
          <w:color w:val="000000" w:themeColor="text1"/>
          <w:lang w:val="en-GB"/>
        </w:rPr>
        <w:t>ode (</w:t>
      </w:r>
      <w:r w:rsidRPr="00545C56">
        <w:rPr>
          <w:rFonts w:ascii="Times New Roman" w:hAnsi="Times New Roman"/>
          <w:i/>
          <w:color w:val="000000" w:themeColor="text1"/>
          <w:lang w:val="en-GB"/>
        </w:rPr>
        <w:t>Code de commerce</w:t>
      </w:r>
      <w:r w:rsidRPr="00545C56">
        <w:rPr>
          <w:rFonts w:ascii="Times New Roman" w:hAnsi="Times New Roman"/>
          <w:color w:val="000000" w:themeColor="text1"/>
          <w:lang w:val="en-GB"/>
        </w:rPr>
        <w:t xml:space="preserve">), which incorporate market share thresholds into French law. </w:t>
      </w:r>
    </w:p>
  </w:footnote>
  <w:footnote w:id="71">
    <w:p w14:paraId="44C1116E" w14:textId="7C4D065B" w:rsidR="00CD1F3A" w:rsidRPr="009635EB"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Communication from the Commission — Notice on agreements of minor importance which do not appreciably restrict competition under Article 101(1) of the Treaty on the Functioning of the EU (De Minimis Notice), OJ C291, 30.8.2014, p. 1</w:t>
      </w:r>
      <w:r w:rsidR="009635EB">
        <w:rPr>
          <w:rFonts w:ascii="Times New Roman" w:hAnsi="Times New Roman"/>
          <w:color w:val="000000" w:themeColor="text1"/>
          <w:lang w:val="en-US"/>
        </w:rPr>
        <w:t>–</w:t>
      </w:r>
      <w:r w:rsidRPr="00545C56">
        <w:rPr>
          <w:rFonts w:ascii="Times New Roman" w:hAnsi="Times New Roman"/>
          <w:color w:val="000000" w:themeColor="text1"/>
          <w:lang w:val="en-US"/>
        </w:rPr>
        <w:t xml:space="preserve">4. </w:t>
      </w:r>
    </w:p>
  </w:footnote>
  <w:footnote w:id="72">
    <w:p w14:paraId="5AC95A38" w14:textId="1800123E" w:rsidR="00CD1F3A" w:rsidRPr="00545C56" w:rsidRDefault="00CD1F3A" w:rsidP="002803C8">
      <w:pPr>
        <w:pStyle w:val="NormalWeb"/>
        <w:shd w:val="clear" w:color="auto" w:fill="FFFFFF"/>
        <w:spacing w:before="0" w:beforeAutospacing="0" w:after="0" w:afterAutospacing="0"/>
        <w:contextualSpacing/>
        <w:rPr>
          <w:color w:val="000000" w:themeColor="text1"/>
          <w:sz w:val="20"/>
          <w:szCs w:val="20"/>
          <w:lang w:val="en-US"/>
        </w:rPr>
      </w:pPr>
      <w:r w:rsidRPr="00545C56">
        <w:rPr>
          <w:rStyle w:val="FootnoteReference"/>
          <w:color w:val="000000" w:themeColor="text1"/>
          <w:sz w:val="20"/>
          <w:szCs w:val="20"/>
        </w:rPr>
        <w:footnoteRef/>
      </w:r>
      <w:r w:rsidRPr="00545C56">
        <w:rPr>
          <w:color w:val="000000" w:themeColor="text1"/>
          <w:sz w:val="20"/>
          <w:szCs w:val="20"/>
          <w:lang w:val="en-US"/>
        </w:rPr>
        <w:t xml:space="preserve"> Article 158(4) of the Slovenian Aviation Act: ‘The operation of public airport may be financed from public resources as operating aid in accordance with the Guidelines on State aid to airports and </w:t>
      </w:r>
      <w:proofErr w:type="gramStart"/>
      <w:r w:rsidRPr="00545C56">
        <w:rPr>
          <w:color w:val="000000" w:themeColor="text1"/>
          <w:sz w:val="20"/>
          <w:szCs w:val="20"/>
          <w:lang w:val="en-US"/>
        </w:rPr>
        <w:t>airlines’</w:t>
      </w:r>
      <w:proofErr w:type="gramEnd"/>
      <w:r w:rsidRPr="00545C56">
        <w:rPr>
          <w:color w:val="000000" w:themeColor="text1"/>
          <w:sz w:val="20"/>
          <w:szCs w:val="20"/>
          <w:lang w:val="en-US"/>
        </w:rPr>
        <w:t>. See Communication from the Commission – Guidelines on State aid to airports and airlines, OJ C99 4. 4. 2014, p. 3).</w:t>
      </w:r>
    </w:p>
  </w:footnote>
  <w:footnote w:id="73">
    <w:p w14:paraId="47973FCB" w14:textId="75AA53D8" w:rsidR="00CD1F3A" w:rsidRPr="00545C56" w:rsidRDefault="00CD1F3A" w:rsidP="002803C8">
      <w:pPr>
        <w:pStyle w:val="FootnoteText"/>
        <w:contextualSpacing/>
        <w:rPr>
          <w:rFonts w:ascii="Times New Roman" w:hAnsi="Times New Roman"/>
          <w:iCs/>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C Cauffman</w:t>
      </w:r>
      <w:r w:rsidR="009635EB">
        <w:rPr>
          <w:rFonts w:ascii="Times New Roman" w:hAnsi="Times New Roman"/>
          <w:color w:val="000000" w:themeColor="text1"/>
          <w:lang w:val="en-US"/>
        </w:rPr>
        <w:t xml:space="preserve"> and </w:t>
      </w:r>
      <w:r w:rsidRPr="00545C56">
        <w:rPr>
          <w:rFonts w:ascii="Times New Roman" w:hAnsi="Times New Roman"/>
          <w:color w:val="000000" w:themeColor="text1"/>
          <w:lang w:val="en-US"/>
        </w:rPr>
        <w:t xml:space="preserve">N </w:t>
      </w:r>
      <w:proofErr w:type="spellStart"/>
      <w:r w:rsidRPr="00545C56">
        <w:rPr>
          <w:rFonts w:ascii="Times New Roman" w:hAnsi="Times New Roman"/>
          <w:color w:val="000000" w:themeColor="text1"/>
          <w:lang w:val="en-US"/>
        </w:rPr>
        <w:t>Philipsen</w:t>
      </w:r>
      <w:proofErr w:type="spellEnd"/>
      <w:r w:rsidRPr="00545C56">
        <w:rPr>
          <w:rFonts w:ascii="Times New Roman" w:hAnsi="Times New Roman"/>
          <w:color w:val="000000" w:themeColor="text1"/>
          <w:lang w:val="en-US"/>
        </w:rPr>
        <w:t xml:space="preserve">, ‘National Report on the Netherlands’ in Stefan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_Ref47706419 \h </w:instrText>
      </w:r>
      <w:r w:rsidR="00545C56" w:rsidRPr="00545C56">
        <w:rPr>
          <w:rFonts w:ascii="Times New Roman" w:hAnsi="Times New Roman"/>
          <w:color w:val="000000" w:themeColor="text1"/>
          <w:lang w:val="en-US"/>
        </w:rPr>
        <w:instrText xml:space="preserve">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44</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117.</w:t>
      </w:r>
    </w:p>
  </w:footnote>
  <w:footnote w:id="74">
    <w:p w14:paraId="77B36A22" w14:textId="5FE499D1"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DG for Employment, Social Affairs and Inclusion (European Commission), DG for the Internal Market and Services (European Commission) (n 48). </w:t>
      </w:r>
    </w:p>
  </w:footnote>
  <w:footnote w:id="75">
    <w:p w14:paraId="39E04E73" w14:textId="225F8081"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E </w:t>
      </w:r>
      <w:proofErr w:type="spellStart"/>
      <w:r w:rsidRPr="00545C56">
        <w:rPr>
          <w:rFonts w:ascii="Times New Roman" w:hAnsi="Times New Roman"/>
          <w:color w:val="000000" w:themeColor="text1"/>
          <w:lang w:val="en-US"/>
        </w:rPr>
        <w:t>Korkea-aho</w:t>
      </w:r>
      <w:proofErr w:type="spellEnd"/>
      <w:r w:rsidRPr="00545C56">
        <w:rPr>
          <w:rFonts w:ascii="Times New Roman" w:hAnsi="Times New Roman"/>
          <w:color w:val="000000" w:themeColor="text1"/>
          <w:lang w:val="en-US"/>
        </w:rPr>
        <w:t xml:space="preserve">, ‘The Finnish report on the reception of social soft law’ in </w:t>
      </w:r>
      <w:proofErr w:type="spellStart"/>
      <w:r w:rsidRPr="00545C56">
        <w:rPr>
          <w:rFonts w:ascii="Times New Roman" w:hAnsi="Times New Roman"/>
          <w:color w:val="000000" w:themeColor="text1"/>
          <w:lang w:val="en-US"/>
        </w:rPr>
        <w:t>Hartlapp</w:t>
      </w:r>
      <w:proofErr w:type="spellEnd"/>
      <w:r w:rsidRPr="00545C56">
        <w:rPr>
          <w:rFonts w:ascii="Times New Roman" w:hAnsi="Times New Roman"/>
          <w:color w:val="000000" w:themeColor="text1"/>
          <w:lang w:val="en-US"/>
        </w:rPr>
        <w:t xml:space="preserve"> (n</w:t>
      </w:r>
      <w:r w:rsidR="00077D89">
        <w:rPr>
          <w:rFonts w:ascii="Times New Roman" w:hAnsi="Times New Roman"/>
          <w:color w:val="000000" w:themeColor="text1"/>
          <w:lang w:val="en-US"/>
        </w:rPr>
        <w:t xml:space="preserve">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_Ref47707749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59</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xml:space="preserve">) 28. </w:t>
      </w:r>
    </w:p>
  </w:footnote>
  <w:footnote w:id="76">
    <w:p w14:paraId="5DD101EA" w14:textId="6AA3AF1B"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w:t>
      </w:r>
      <w:proofErr w:type="gramStart"/>
      <w:r w:rsidRPr="00545C56">
        <w:rPr>
          <w:rFonts w:ascii="Times New Roman" w:hAnsi="Times New Roman"/>
          <w:lang w:val="en-US"/>
        </w:rPr>
        <w:t>https://www.handbook.fca.org.uk/handbook/PERG.pdf</w:t>
      </w:r>
      <w:r w:rsidRPr="00545C56">
        <w:rPr>
          <w:rFonts w:ascii="Times New Roman" w:hAnsi="Times New Roman"/>
          <w:color w:val="000000" w:themeColor="text1"/>
          <w:lang w:val="en-US"/>
        </w:rPr>
        <w:t xml:space="preserve"> .</w:t>
      </w:r>
      <w:proofErr w:type="gramEnd"/>
      <w:r w:rsidRPr="00545C56">
        <w:rPr>
          <w:rFonts w:ascii="Times New Roman" w:hAnsi="Times New Roman"/>
          <w:color w:val="000000" w:themeColor="text1"/>
          <w:lang w:val="en-US"/>
        </w:rPr>
        <w:t xml:space="preserve"> </w:t>
      </w:r>
    </w:p>
  </w:footnote>
  <w:footnote w:id="77">
    <w:p w14:paraId="73202086" w14:textId="58386DC0"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S Post, ‘EU Soft Law Effects in Financial Regulation: Insights from the United Kingdom’ in </w:t>
      </w:r>
      <w:proofErr w:type="spellStart"/>
      <w:r w:rsidRPr="00545C56">
        <w:rPr>
          <w:rFonts w:ascii="Times New Roman" w:hAnsi="Times New Roman"/>
          <w:color w:val="000000" w:themeColor="text1"/>
          <w:lang w:val="en-US"/>
        </w:rPr>
        <w:t>Avbelj</w:t>
      </w:r>
      <w:proofErr w:type="spellEnd"/>
      <w:r w:rsidRPr="00545C56">
        <w:rPr>
          <w:rFonts w:ascii="Times New Roman" w:hAnsi="Times New Roman"/>
          <w:color w:val="000000" w:themeColor="text1"/>
          <w:lang w:val="en-US"/>
        </w:rPr>
        <w:t xml:space="preserve">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_Ref47706958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51</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w:t>
      </w:r>
      <w:r w:rsidR="009635EB">
        <w:rPr>
          <w:rFonts w:ascii="Times New Roman" w:hAnsi="Times New Roman"/>
          <w:color w:val="000000" w:themeColor="text1"/>
          <w:lang w:val="en-US"/>
        </w:rPr>
        <w:t xml:space="preserve"> </w:t>
      </w:r>
      <w:r w:rsidRPr="00545C56">
        <w:rPr>
          <w:rFonts w:ascii="Times New Roman" w:hAnsi="Times New Roman"/>
          <w:color w:val="000000" w:themeColor="text1"/>
          <w:lang w:val="en-US"/>
        </w:rPr>
        <w:t>136.</w:t>
      </w:r>
    </w:p>
  </w:footnote>
  <w:footnote w:id="78">
    <w:p w14:paraId="3EFBFFD5" w14:textId="27F84E52"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w:t>
      </w:r>
      <w:proofErr w:type="spellStart"/>
      <w:r w:rsidRPr="00545C56">
        <w:rPr>
          <w:rFonts w:ascii="Times New Roman" w:hAnsi="Times New Roman"/>
          <w:color w:val="000000" w:themeColor="text1"/>
          <w:lang w:val="en-GB"/>
        </w:rPr>
        <w:t>eg</w:t>
      </w:r>
      <w:proofErr w:type="spellEnd"/>
      <w:r w:rsidRPr="00545C56">
        <w:rPr>
          <w:rFonts w:ascii="Times New Roman" w:hAnsi="Times New Roman"/>
          <w:color w:val="000000" w:themeColor="text1"/>
          <w:lang w:val="en-GB"/>
        </w:rPr>
        <w:t xml:space="preserve"> </w:t>
      </w:r>
      <w:proofErr w:type="spellStart"/>
      <w:r w:rsidRPr="00545C56">
        <w:rPr>
          <w:rFonts w:ascii="Times New Roman" w:hAnsi="Times New Roman"/>
          <w:i/>
          <w:color w:val="000000" w:themeColor="text1"/>
          <w:lang w:val="en-GB"/>
        </w:rPr>
        <w:t>Morge</w:t>
      </w:r>
      <w:proofErr w:type="spellEnd"/>
      <w:r w:rsidRPr="00545C56">
        <w:rPr>
          <w:rFonts w:ascii="Times New Roman" w:hAnsi="Times New Roman"/>
          <w:i/>
          <w:color w:val="000000" w:themeColor="text1"/>
          <w:lang w:val="en-GB"/>
        </w:rPr>
        <w:t xml:space="preserve"> v Hampshire County Council</w:t>
      </w:r>
      <w:r w:rsidRPr="00545C56">
        <w:rPr>
          <w:rFonts w:ascii="Times New Roman" w:hAnsi="Times New Roman"/>
          <w:color w:val="000000" w:themeColor="text1"/>
          <w:lang w:val="en-GB"/>
        </w:rPr>
        <w:t xml:space="preserve"> [2011] UKSC 2 [60]: ‘it might be confidently expected that Natural England were aware of the terms of the Habitats Directive, the Commission Guidance and the Habitats Regulations, given that they were the authority responsible’.</w:t>
      </w:r>
    </w:p>
  </w:footnote>
  <w:footnote w:id="79">
    <w:p w14:paraId="43124B98" w14:textId="07D73811"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w:t>
      </w:r>
      <w:proofErr w:type="spellStart"/>
      <w:r w:rsidRPr="00545C56">
        <w:rPr>
          <w:rFonts w:ascii="Times New Roman" w:hAnsi="Times New Roman"/>
          <w:color w:val="000000" w:themeColor="text1"/>
          <w:lang w:val="en-US"/>
        </w:rPr>
        <w:t>Rošic</w:t>
      </w:r>
      <w:proofErr w:type="spellEnd"/>
      <w:r w:rsidRPr="00545C56">
        <w:rPr>
          <w:rFonts w:ascii="Times New Roman" w:hAnsi="Times New Roman"/>
          <w:color w:val="000000" w:themeColor="text1"/>
          <w:lang w:val="en-US"/>
        </w:rPr>
        <w:t xml:space="preserve"> </w:t>
      </w:r>
      <w:proofErr w:type="spellStart"/>
      <w:r w:rsidRPr="00545C56">
        <w:rPr>
          <w:rFonts w:ascii="Times New Roman" w:hAnsi="Times New Roman"/>
          <w:color w:val="000000" w:themeColor="text1"/>
          <w:lang w:val="en-US"/>
        </w:rPr>
        <w:t>Feguš</w:t>
      </w:r>
      <w:proofErr w:type="spellEnd"/>
      <w:r w:rsidRPr="00545C56">
        <w:rPr>
          <w:rFonts w:ascii="Times New Roman" w:hAnsi="Times New Roman"/>
          <w:color w:val="000000" w:themeColor="text1"/>
          <w:lang w:val="en-US"/>
        </w:rPr>
        <w:t xml:space="preserve"> </w:t>
      </w:r>
      <w:r w:rsidRPr="00545C56">
        <w:rPr>
          <w:rFonts w:ascii="Times New Roman" w:hAnsi="Times New Roman"/>
          <w:lang w:val="en-US"/>
        </w:rPr>
        <w:t xml:space="preserve">(n </w:t>
      </w:r>
      <w:r w:rsidRPr="00545C56">
        <w:rPr>
          <w:rFonts w:ascii="Times New Roman" w:hAnsi="Times New Roman"/>
          <w:lang w:val="en-US"/>
        </w:rPr>
        <w:fldChar w:fldCharType="begin"/>
      </w:r>
      <w:r w:rsidRPr="00545C56">
        <w:rPr>
          <w:rFonts w:ascii="Times New Roman" w:hAnsi="Times New Roman"/>
          <w:lang w:val="en-US"/>
        </w:rPr>
        <w:instrText xml:space="preserve"> NOTEREF _Ref47706419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44</w:t>
      </w:r>
      <w:r w:rsidRPr="00545C56">
        <w:rPr>
          <w:rFonts w:ascii="Times New Roman" w:hAnsi="Times New Roman"/>
          <w:lang w:val="en-US"/>
        </w:rPr>
        <w:fldChar w:fldCharType="end"/>
      </w:r>
      <w:r w:rsidRPr="00545C56">
        <w:rPr>
          <w:rFonts w:ascii="Times New Roman" w:hAnsi="Times New Roman"/>
          <w:lang w:val="en-US"/>
        </w:rPr>
        <w:t>) 171.</w:t>
      </w:r>
      <w:r w:rsidRPr="00545C56">
        <w:rPr>
          <w:rFonts w:ascii="Times New Roman" w:hAnsi="Times New Roman"/>
          <w:color w:val="000000" w:themeColor="text1"/>
          <w:lang w:val="en-US"/>
        </w:rPr>
        <w:t xml:space="preserve"> </w:t>
      </w:r>
    </w:p>
  </w:footnote>
  <w:footnote w:id="80">
    <w:p w14:paraId="2FEAE6BA" w14:textId="05437111" w:rsidR="00CD1F3A" w:rsidRPr="00545C56" w:rsidRDefault="00CD1F3A" w:rsidP="002803C8">
      <w:pPr>
        <w:autoSpaceDE w:val="0"/>
        <w:autoSpaceDN w:val="0"/>
        <w:adjustRightInd w:val="0"/>
        <w:contextualSpacing/>
        <w:rPr>
          <w:color w:val="000000" w:themeColor="text1"/>
          <w:sz w:val="20"/>
          <w:szCs w:val="20"/>
        </w:rPr>
      </w:pPr>
      <w:r w:rsidRPr="00545C56">
        <w:rPr>
          <w:rStyle w:val="FootnoteReference"/>
          <w:rFonts w:eastAsiaTheme="majorEastAsia"/>
          <w:color w:val="000000" w:themeColor="text1"/>
          <w:sz w:val="20"/>
          <w:szCs w:val="20"/>
        </w:rPr>
        <w:footnoteRef/>
      </w:r>
      <w:r w:rsidRPr="00545C56">
        <w:rPr>
          <w:color w:val="000000" w:themeColor="text1"/>
          <w:sz w:val="20"/>
          <w:szCs w:val="20"/>
        </w:rPr>
        <w:t xml:space="preserve"> </w:t>
      </w:r>
      <w:r w:rsidRPr="00545C56">
        <w:rPr>
          <w:rFonts w:eastAsiaTheme="minorHAnsi"/>
          <w:color w:val="000000" w:themeColor="text1"/>
          <w:sz w:val="20"/>
          <w:szCs w:val="20"/>
        </w:rPr>
        <w:t xml:space="preserve">FCA, ‘Markets in Financial Instruments Directive II Implementation – Policy Statement I’ (PS17/5, 31 March 2017), </w:t>
      </w:r>
      <w:proofErr w:type="gramStart"/>
      <w:r w:rsidRPr="00545C56">
        <w:rPr>
          <w:rFonts w:eastAsiaTheme="minorHAnsi"/>
          <w:sz w:val="20"/>
          <w:szCs w:val="20"/>
        </w:rPr>
        <w:t>https://www.fca.org.uk/publication/policy/ps17-05.pdf</w:t>
      </w:r>
      <w:r w:rsidRPr="00545C56">
        <w:rPr>
          <w:rFonts w:eastAsiaTheme="minorHAnsi"/>
          <w:color w:val="000000" w:themeColor="text1"/>
          <w:sz w:val="20"/>
          <w:szCs w:val="20"/>
        </w:rPr>
        <w:t xml:space="preserve"> .</w:t>
      </w:r>
      <w:proofErr w:type="gramEnd"/>
      <w:r w:rsidRPr="00545C56">
        <w:rPr>
          <w:rFonts w:eastAsiaTheme="minorHAnsi"/>
          <w:color w:val="000000" w:themeColor="text1"/>
          <w:sz w:val="20"/>
          <w:szCs w:val="20"/>
        </w:rPr>
        <w:t xml:space="preserve"> </w:t>
      </w:r>
    </w:p>
  </w:footnote>
  <w:footnote w:id="81">
    <w:p w14:paraId="69C659AE" w14:textId="580374BF"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G </w:t>
      </w:r>
      <w:r w:rsidRPr="00545C56">
        <w:rPr>
          <w:rFonts w:ascii="Times New Roman" w:hAnsi="Times New Roman"/>
          <w:color w:val="000000" w:themeColor="text1"/>
          <w:shd w:val="clear" w:color="auto" w:fill="FFFFFF"/>
          <w:lang w:val="en-US"/>
        </w:rPr>
        <w:t xml:space="preserve">Michener, ‘Gauging the Impact of Transparency Policies’ (2019) 79 </w:t>
      </w:r>
      <w:r w:rsidRPr="00545C56">
        <w:rPr>
          <w:rFonts w:ascii="Times New Roman" w:hAnsi="Times New Roman"/>
          <w:i/>
          <w:color w:val="000000" w:themeColor="text1"/>
          <w:shd w:val="clear" w:color="auto" w:fill="FFFFFF"/>
          <w:lang w:val="en-US"/>
        </w:rPr>
        <w:t>Public Admin</w:t>
      </w:r>
      <w:r w:rsidR="002803C8">
        <w:rPr>
          <w:rFonts w:ascii="Times New Roman" w:hAnsi="Times New Roman"/>
          <w:i/>
          <w:color w:val="000000" w:themeColor="text1"/>
          <w:shd w:val="clear" w:color="auto" w:fill="FFFFFF"/>
          <w:lang w:val="en-US"/>
        </w:rPr>
        <w:t>istration</w:t>
      </w:r>
      <w:r w:rsidRPr="00545C56">
        <w:rPr>
          <w:rFonts w:ascii="Times New Roman" w:hAnsi="Times New Roman"/>
          <w:i/>
          <w:color w:val="000000" w:themeColor="text1"/>
          <w:shd w:val="clear" w:color="auto" w:fill="FFFFFF"/>
          <w:lang w:val="en-US"/>
        </w:rPr>
        <w:t xml:space="preserve"> </w:t>
      </w:r>
      <w:r w:rsidRPr="00545C56">
        <w:rPr>
          <w:rFonts w:ascii="Times New Roman" w:hAnsi="Times New Roman"/>
          <w:i/>
          <w:color w:val="000000" w:themeColor="text1"/>
          <w:shd w:val="clear" w:color="auto" w:fill="FFFFFF"/>
          <w:lang w:val="en-US"/>
        </w:rPr>
        <w:t>Rev</w:t>
      </w:r>
      <w:r w:rsidR="002803C8">
        <w:rPr>
          <w:rFonts w:ascii="Times New Roman" w:hAnsi="Times New Roman"/>
          <w:i/>
          <w:color w:val="000000" w:themeColor="text1"/>
          <w:shd w:val="clear" w:color="auto" w:fill="FFFFFF"/>
          <w:lang w:val="en-US"/>
        </w:rPr>
        <w:t>iew</w:t>
      </w:r>
      <w:r w:rsidRPr="00545C56">
        <w:rPr>
          <w:rFonts w:ascii="Times New Roman" w:hAnsi="Times New Roman"/>
          <w:color w:val="000000" w:themeColor="text1"/>
          <w:shd w:val="clear" w:color="auto" w:fill="FFFFFF"/>
          <w:lang w:val="en-US"/>
        </w:rPr>
        <w:t xml:space="preserve"> 136. </w:t>
      </w:r>
    </w:p>
  </w:footnote>
  <w:footnote w:id="82">
    <w:p w14:paraId="68B5AD92" w14:textId="2AB3FDFD"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w:t>
      </w:r>
      <w:proofErr w:type="spellStart"/>
      <w:r w:rsidRPr="00545C56">
        <w:rPr>
          <w:rFonts w:ascii="Times New Roman" w:hAnsi="Times New Roman"/>
          <w:color w:val="000000" w:themeColor="text1"/>
          <w:lang w:val="en-US"/>
        </w:rPr>
        <w:t>Hartlapp</w:t>
      </w:r>
      <w:proofErr w:type="spellEnd"/>
      <w:r w:rsidR="009635EB">
        <w:rPr>
          <w:rFonts w:ascii="Times New Roman" w:hAnsi="Times New Roman"/>
          <w:color w:val="000000" w:themeColor="text1"/>
          <w:lang w:val="en-US"/>
        </w:rPr>
        <w:t xml:space="preserve"> and</w:t>
      </w:r>
      <w:r w:rsidRPr="00545C56">
        <w:rPr>
          <w:rFonts w:ascii="Times New Roman" w:hAnsi="Times New Roman"/>
          <w:color w:val="000000" w:themeColor="text1"/>
          <w:lang w:val="en-US"/>
        </w:rPr>
        <w:t xml:space="preserve"> </w:t>
      </w:r>
      <w:proofErr w:type="spellStart"/>
      <w:r w:rsidRPr="00545C56">
        <w:rPr>
          <w:rFonts w:ascii="Times New Roman" w:hAnsi="Times New Roman"/>
          <w:lang w:val="en-US"/>
        </w:rPr>
        <w:t>Schwerdtfeger</w:t>
      </w:r>
      <w:proofErr w:type="spellEnd"/>
      <w:r w:rsidRPr="00545C56">
        <w:rPr>
          <w:rFonts w:ascii="Times New Roman" w:hAnsi="Times New Roman"/>
          <w:lang w:val="en-US"/>
        </w:rPr>
        <w:t xml:space="preserve"> (n</w:t>
      </w:r>
      <w:r w:rsidR="006C755F">
        <w:rPr>
          <w:rFonts w:ascii="Times New Roman" w:hAnsi="Times New Roman"/>
          <w:lang w:val="en-US"/>
        </w:rPr>
        <w:t xml:space="preserve"> 65)</w:t>
      </w:r>
      <w:r w:rsidRPr="00545C56">
        <w:rPr>
          <w:rFonts w:ascii="Times New Roman" w:hAnsi="Times New Roman"/>
          <w:lang w:val="en-US"/>
        </w:rPr>
        <w:t xml:space="preserve"> 64.</w:t>
      </w:r>
    </w:p>
  </w:footnote>
  <w:footnote w:id="83">
    <w:p w14:paraId="02A1E16A" w14:textId="56239034"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Post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_Ref47708938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76</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137.</w:t>
      </w:r>
    </w:p>
  </w:footnote>
  <w:footnote w:id="84">
    <w:p w14:paraId="29555BEC" w14:textId="2D0902EF"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hAnsi="Times New Roman"/>
          <w:color w:val="000000" w:themeColor="text1"/>
          <w:lang w:val="en-GB"/>
        </w:rPr>
        <w:footnoteRef/>
      </w:r>
      <w:r w:rsidRPr="00545C56">
        <w:rPr>
          <w:rFonts w:ascii="Times New Roman" w:hAnsi="Times New Roman"/>
          <w:color w:val="000000" w:themeColor="text1"/>
          <w:lang w:val="en-GB"/>
        </w:rPr>
        <w:t xml:space="preserve"> </w:t>
      </w:r>
      <w:proofErr w:type="spellStart"/>
      <w:r w:rsidRPr="00545C56">
        <w:rPr>
          <w:rFonts w:ascii="Times New Roman" w:hAnsi="Times New Roman"/>
          <w:color w:val="000000" w:themeColor="text1"/>
          <w:lang w:val="en-US"/>
        </w:rPr>
        <w:t>Hartlapp</w:t>
      </w:r>
      <w:proofErr w:type="spellEnd"/>
      <w:r w:rsidR="009635EB">
        <w:rPr>
          <w:rFonts w:ascii="Times New Roman" w:hAnsi="Times New Roman"/>
          <w:color w:val="000000" w:themeColor="text1"/>
          <w:lang w:val="en-US"/>
        </w:rPr>
        <w:t xml:space="preserve"> and</w:t>
      </w:r>
      <w:r w:rsidRPr="00545C56">
        <w:rPr>
          <w:rFonts w:ascii="Times New Roman" w:hAnsi="Times New Roman"/>
          <w:color w:val="000000" w:themeColor="text1"/>
          <w:lang w:val="en-US"/>
        </w:rPr>
        <w:t xml:space="preserve"> </w:t>
      </w:r>
      <w:proofErr w:type="spellStart"/>
      <w:r w:rsidRPr="00545C56">
        <w:rPr>
          <w:rFonts w:ascii="Times New Roman" w:hAnsi="Times New Roman"/>
          <w:lang w:val="en-US"/>
        </w:rPr>
        <w:t>Schwerdtfeger</w:t>
      </w:r>
      <w:proofErr w:type="spellEnd"/>
      <w:r w:rsidRPr="00545C56">
        <w:rPr>
          <w:rFonts w:ascii="Times New Roman" w:hAnsi="Times New Roman"/>
          <w:lang w:val="en-US"/>
        </w:rPr>
        <w:t xml:space="preserve"> (n</w:t>
      </w:r>
      <w:r w:rsidR="006C755F">
        <w:rPr>
          <w:rFonts w:ascii="Times New Roman" w:hAnsi="Times New Roman"/>
          <w:lang w:val="en-US"/>
        </w:rPr>
        <w:t xml:space="preserve"> 65)</w:t>
      </w:r>
      <w:r w:rsidRPr="00545C56">
        <w:rPr>
          <w:rFonts w:ascii="Times New Roman" w:hAnsi="Times New Roman"/>
          <w:lang w:val="en-US"/>
        </w:rPr>
        <w:t xml:space="preserve"> 65.</w:t>
      </w:r>
    </w:p>
  </w:footnote>
  <w:footnote w:id="85">
    <w:p w14:paraId="4AB435F0" w14:textId="0E27603E"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w:t>
      </w:r>
      <w:r w:rsidRPr="00545C56">
        <w:rPr>
          <w:rFonts w:ascii="Times New Roman" w:hAnsi="Times New Roman"/>
          <w:color w:val="000000" w:themeColor="text1"/>
          <w:lang w:val="en-GB"/>
        </w:rPr>
        <w:t>J Albert</w:t>
      </w:r>
      <w:r w:rsidR="009635EB">
        <w:rPr>
          <w:rFonts w:ascii="Times New Roman" w:hAnsi="Times New Roman"/>
          <w:color w:val="000000" w:themeColor="text1"/>
          <w:lang w:val="en-GB"/>
        </w:rPr>
        <w:t>i and</w:t>
      </w:r>
      <w:r w:rsidRPr="00545C56">
        <w:rPr>
          <w:rFonts w:ascii="Times New Roman" w:hAnsi="Times New Roman"/>
          <w:color w:val="000000" w:themeColor="text1"/>
          <w:lang w:val="en-GB"/>
        </w:rPr>
        <w:t xml:space="preserve"> L D’Amico, ‘The implementation of ESMA’s guidelines at national level – Italian Report’ </w:t>
      </w:r>
      <w:r w:rsidRPr="00545C56">
        <w:rPr>
          <w:rFonts w:ascii="Times New Roman" w:hAnsi="Times New Roman"/>
          <w:color w:val="000000" w:themeColor="text1"/>
          <w:lang w:val="en-US"/>
        </w:rPr>
        <w:t xml:space="preserve">in </w:t>
      </w:r>
      <w:proofErr w:type="spellStart"/>
      <w:r w:rsidRPr="00545C56">
        <w:rPr>
          <w:rFonts w:ascii="Times New Roman" w:hAnsi="Times New Roman"/>
          <w:color w:val="000000" w:themeColor="text1"/>
          <w:lang w:val="en-US"/>
        </w:rPr>
        <w:t>Avbelj</w:t>
      </w:r>
      <w:proofErr w:type="spellEnd"/>
      <w:r w:rsidRPr="00545C56">
        <w:rPr>
          <w:rFonts w:ascii="Times New Roman" w:hAnsi="Times New Roman"/>
          <w:color w:val="000000" w:themeColor="text1"/>
          <w:lang w:val="en-US"/>
        </w:rPr>
        <w:t xml:space="preserve">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_Ref47706958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51</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71.</w:t>
      </w:r>
    </w:p>
  </w:footnote>
  <w:footnote w:id="86">
    <w:p w14:paraId="47320757" w14:textId="2A6FCEF3"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M Aziz, ‘Mainstreaming the Duty of Clarity and Transparency as part of Good Administrative Practice in the EU’ (2004) 10 </w:t>
      </w:r>
      <w:r w:rsidRPr="00545C56">
        <w:rPr>
          <w:rFonts w:ascii="Times New Roman" w:hAnsi="Times New Roman"/>
          <w:i/>
          <w:iCs/>
          <w:color w:val="000000" w:themeColor="text1"/>
          <w:lang w:val="en-GB"/>
        </w:rPr>
        <w:t xml:space="preserve">European Law Journal </w:t>
      </w:r>
      <w:r w:rsidRPr="00545C56">
        <w:rPr>
          <w:rFonts w:ascii="Times New Roman" w:hAnsi="Times New Roman"/>
          <w:color w:val="000000" w:themeColor="text1"/>
          <w:lang w:val="en-GB"/>
        </w:rPr>
        <w:t>282.</w:t>
      </w:r>
    </w:p>
  </w:footnote>
  <w:footnote w:id="87">
    <w:p w14:paraId="6550805A" w14:textId="21B78F38"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Case C-63/93 </w:t>
      </w:r>
      <w:r w:rsidRPr="00545C56">
        <w:rPr>
          <w:rFonts w:ascii="Times New Roman" w:hAnsi="Times New Roman"/>
          <w:i/>
          <w:iCs/>
          <w:color w:val="000000" w:themeColor="text1"/>
          <w:lang w:val="en-GB"/>
        </w:rPr>
        <w:t>Duff and others v Minister for Agriculture and Food</w:t>
      </w:r>
      <w:r w:rsidRPr="00545C56">
        <w:rPr>
          <w:rFonts w:ascii="Times New Roman" w:hAnsi="Times New Roman"/>
          <w:color w:val="000000" w:themeColor="text1"/>
          <w:lang w:val="en-GB"/>
        </w:rPr>
        <w:t>, [1995] EU:C:1995:170, Opinion of AG Cosmas, para 25.</w:t>
      </w:r>
    </w:p>
  </w:footnote>
  <w:footnote w:id="88">
    <w:p w14:paraId="5688B10F" w14:textId="24819413"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eastAsiaTheme="majorEastAsia" w:hAnsi="Times New Roman"/>
          <w:lang w:val="en-GB"/>
        </w:rPr>
        <w:footnoteRef/>
      </w:r>
      <w:r w:rsidRPr="00545C56">
        <w:rPr>
          <w:rFonts w:ascii="Times New Roman" w:hAnsi="Times New Roman"/>
          <w:lang w:val="en-US"/>
        </w:rPr>
        <w:t xml:space="preserve"> Case C-310/99 </w:t>
      </w:r>
      <w:r w:rsidRPr="00545C56">
        <w:rPr>
          <w:rFonts w:ascii="Times New Roman" w:hAnsi="Times New Roman"/>
          <w:i/>
          <w:iCs/>
          <w:lang w:val="en-US"/>
        </w:rPr>
        <w:t>Italy v Commission</w:t>
      </w:r>
      <w:r w:rsidRPr="00545C56">
        <w:rPr>
          <w:rFonts w:ascii="Times New Roman" w:hAnsi="Times New Roman"/>
          <w:lang w:val="en-US"/>
        </w:rPr>
        <w:t>, [2002] EU:C:2002:143, para 97.</w:t>
      </w:r>
    </w:p>
  </w:footnote>
  <w:footnote w:id="89">
    <w:p w14:paraId="54FD7BA4" w14:textId="19FE2532"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Case C-510/06 </w:t>
      </w:r>
      <w:r w:rsidRPr="00545C56">
        <w:rPr>
          <w:rFonts w:ascii="Times New Roman" w:hAnsi="Times New Roman"/>
          <w:i/>
          <w:iCs/>
          <w:lang w:val="en-GB"/>
        </w:rPr>
        <w:t>Archer Daniels Midland v Commission</w:t>
      </w:r>
      <w:r w:rsidRPr="00545C56">
        <w:rPr>
          <w:rFonts w:ascii="Times New Roman" w:hAnsi="Times New Roman"/>
          <w:lang w:val="en-GB"/>
        </w:rPr>
        <w:t xml:space="preserve">, [2008] EU:C:2008:280, Opinion of AG </w:t>
      </w:r>
      <w:proofErr w:type="spellStart"/>
      <w:r w:rsidRPr="00545C56">
        <w:rPr>
          <w:rFonts w:ascii="Times New Roman" w:hAnsi="Times New Roman"/>
          <w:lang w:val="en-GB"/>
        </w:rPr>
        <w:t>Trstenjak</w:t>
      </w:r>
      <w:proofErr w:type="spellEnd"/>
      <w:r w:rsidRPr="00545C56">
        <w:rPr>
          <w:rFonts w:ascii="Times New Roman" w:hAnsi="Times New Roman"/>
          <w:lang w:val="en-GB"/>
        </w:rPr>
        <w:t xml:space="preserve">, para 84; more recently case C-295/12 </w:t>
      </w:r>
      <w:r w:rsidRPr="00545C56">
        <w:rPr>
          <w:rFonts w:ascii="Times New Roman" w:hAnsi="Times New Roman"/>
          <w:i/>
          <w:lang w:val="en-GB"/>
        </w:rPr>
        <w:t>Telefonica</w:t>
      </w:r>
      <w:r w:rsidRPr="00545C56">
        <w:rPr>
          <w:rFonts w:ascii="Times New Roman" w:hAnsi="Times New Roman"/>
          <w:lang w:val="en-GB"/>
        </w:rPr>
        <w:t xml:space="preserve">, [2013] EU:C:2013:619, Opinion of AG </w:t>
      </w:r>
      <w:proofErr w:type="spellStart"/>
      <w:r w:rsidRPr="00545C56">
        <w:rPr>
          <w:rFonts w:ascii="Times New Roman" w:hAnsi="Times New Roman"/>
          <w:lang w:val="en-GB"/>
        </w:rPr>
        <w:t>Wathelet</w:t>
      </w:r>
      <w:proofErr w:type="spellEnd"/>
      <w:r w:rsidRPr="00545C56">
        <w:rPr>
          <w:rFonts w:ascii="Times New Roman" w:hAnsi="Times New Roman"/>
          <w:lang w:val="en-GB"/>
        </w:rPr>
        <w:t>, para 144.</w:t>
      </w:r>
    </w:p>
  </w:footnote>
  <w:footnote w:id="90">
    <w:p w14:paraId="0A8ADE25" w14:textId="68EF9467"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Stefan</w:t>
      </w:r>
      <w:r w:rsidR="009635EB">
        <w:rPr>
          <w:rFonts w:ascii="Times New Roman" w:hAnsi="Times New Roman"/>
          <w:lang w:val="en-US"/>
        </w:rPr>
        <w:t xml:space="preserve"> and</w:t>
      </w:r>
      <w:r w:rsidRPr="00545C56">
        <w:rPr>
          <w:rFonts w:ascii="Times New Roman" w:hAnsi="Times New Roman"/>
          <w:lang w:val="en-US"/>
        </w:rPr>
        <w:t xml:space="preserve"> Biondi (n </w:t>
      </w:r>
      <w:r w:rsidRPr="00545C56">
        <w:rPr>
          <w:rFonts w:ascii="Times New Roman" w:hAnsi="Times New Roman"/>
          <w:lang w:val="en-US"/>
        </w:rPr>
        <w:fldChar w:fldCharType="begin"/>
      </w:r>
      <w:r w:rsidRPr="00545C56">
        <w:rPr>
          <w:rFonts w:ascii="Times New Roman" w:hAnsi="Times New Roman"/>
          <w:lang w:val="en-US"/>
        </w:rPr>
        <w:instrText xml:space="preserve"> NOTEREF _Ref47706958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51</w:t>
      </w:r>
      <w:r w:rsidRPr="00545C56">
        <w:rPr>
          <w:rFonts w:ascii="Times New Roman" w:hAnsi="Times New Roman"/>
          <w:lang w:val="en-US"/>
        </w:rPr>
        <w:fldChar w:fldCharType="end"/>
      </w:r>
      <w:r w:rsidRPr="00545C56">
        <w:rPr>
          <w:rFonts w:ascii="Times New Roman" w:hAnsi="Times New Roman"/>
          <w:lang w:val="en-US"/>
        </w:rPr>
        <w:t>) 189.</w:t>
      </w:r>
    </w:p>
  </w:footnote>
  <w:footnote w:id="91">
    <w:p w14:paraId="603628FA" w14:textId="4A1D23CF"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M </w:t>
      </w:r>
      <w:proofErr w:type="spellStart"/>
      <w:r w:rsidRPr="00545C56">
        <w:rPr>
          <w:rFonts w:ascii="Times New Roman" w:hAnsi="Times New Roman"/>
          <w:lang w:val="en-GB"/>
        </w:rPr>
        <w:t>Hartlapp</w:t>
      </w:r>
      <w:proofErr w:type="spellEnd"/>
      <w:r w:rsidRPr="00545C56">
        <w:rPr>
          <w:rFonts w:ascii="Times New Roman" w:hAnsi="Times New Roman"/>
          <w:lang w:val="en-GB"/>
        </w:rPr>
        <w:t>, ‘</w:t>
      </w:r>
      <w:r w:rsidRPr="00545C56">
        <w:rPr>
          <w:rFonts w:ascii="Times New Roman" w:hAnsi="Times New Roman"/>
          <w:lang w:val="en-US"/>
        </w:rPr>
        <w:t>Studying EU Soft Law Effects in Social Policy: Insights from Germany</w:t>
      </w:r>
      <w:r w:rsidRPr="00545C56">
        <w:rPr>
          <w:rFonts w:ascii="Times New Roman" w:hAnsi="Times New Roman"/>
          <w:lang w:val="en-GB"/>
        </w:rPr>
        <w:t xml:space="preserve">’, in </w:t>
      </w:r>
      <w:proofErr w:type="spellStart"/>
      <w:r w:rsidRPr="00545C56">
        <w:rPr>
          <w:rFonts w:ascii="Times New Roman" w:hAnsi="Times New Roman"/>
          <w:lang w:val="en-GB"/>
        </w:rPr>
        <w:t>Hartlapp</w:t>
      </w:r>
      <w:proofErr w:type="spellEnd"/>
      <w:r w:rsidRPr="00545C56">
        <w:rPr>
          <w:rFonts w:ascii="Times New Roman" w:hAnsi="Times New Roman"/>
          <w:lang w:val="en-GB"/>
        </w:rPr>
        <w:t xml:space="preserve"> (n </w:t>
      </w:r>
      <w:r w:rsidRPr="00545C56">
        <w:rPr>
          <w:rFonts w:ascii="Times New Roman" w:hAnsi="Times New Roman"/>
          <w:lang w:val="en-GB"/>
        </w:rPr>
        <w:fldChar w:fldCharType="begin"/>
      </w:r>
      <w:r w:rsidRPr="00545C56">
        <w:rPr>
          <w:rFonts w:ascii="Times New Roman" w:hAnsi="Times New Roman"/>
          <w:lang w:val="en-GB"/>
        </w:rPr>
        <w:instrText xml:space="preserve"> NOTEREF _Ref47707749 \h  \* MERGEFORMAT </w:instrText>
      </w:r>
      <w:r w:rsidRPr="00545C56">
        <w:rPr>
          <w:rFonts w:ascii="Times New Roman" w:hAnsi="Times New Roman"/>
          <w:lang w:val="en-GB"/>
        </w:rPr>
      </w:r>
      <w:r w:rsidRPr="00545C56">
        <w:rPr>
          <w:rFonts w:ascii="Times New Roman" w:hAnsi="Times New Roman"/>
          <w:lang w:val="en-GB"/>
        </w:rPr>
        <w:fldChar w:fldCharType="separate"/>
      </w:r>
      <w:r w:rsidR="00CC3357">
        <w:rPr>
          <w:rFonts w:ascii="Times New Roman" w:hAnsi="Times New Roman"/>
          <w:lang w:val="en-GB"/>
        </w:rPr>
        <w:t>59</w:t>
      </w:r>
      <w:r w:rsidRPr="00545C56">
        <w:rPr>
          <w:rFonts w:ascii="Times New Roman" w:hAnsi="Times New Roman"/>
          <w:lang w:val="en-GB"/>
        </w:rPr>
        <w:fldChar w:fldCharType="end"/>
      </w:r>
      <w:r w:rsidRPr="00545C56">
        <w:rPr>
          <w:rFonts w:ascii="Times New Roman" w:hAnsi="Times New Roman"/>
          <w:lang w:val="en-GB"/>
        </w:rPr>
        <w:t>) 63.</w:t>
      </w:r>
    </w:p>
  </w:footnote>
  <w:footnote w:id="92">
    <w:p w14:paraId="42CE208A" w14:textId="361EE22F" w:rsidR="00CD1F3A" w:rsidRPr="00545C56" w:rsidRDefault="00CD1F3A" w:rsidP="002803C8">
      <w:pPr>
        <w:pStyle w:val="FootnoteText"/>
        <w:contextualSpacing/>
        <w:rPr>
          <w:rFonts w:ascii="Times New Roman" w:hAnsi="Times New Roman"/>
          <w:bCs/>
          <w:lang w:val="fi-FI"/>
        </w:rPr>
      </w:pPr>
      <w:r w:rsidRPr="00545C56">
        <w:rPr>
          <w:rStyle w:val="FootnoteReference"/>
          <w:rFonts w:ascii="Times New Roman" w:hAnsi="Times New Roman"/>
          <w:lang w:val="en-GB"/>
        </w:rPr>
        <w:footnoteRef/>
      </w:r>
      <w:r w:rsidRPr="00545C56">
        <w:rPr>
          <w:rFonts w:ascii="Times New Roman" w:hAnsi="Times New Roman"/>
          <w:lang w:val="en-GB"/>
        </w:rPr>
        <w:t xml:space="preserve"> E </w:t>
      </w:r>
      <w:proofErr w:type="spellStart"/>
      <w:r w:rsidRPr="00545C56">
        <w:rPr>
          <w:rFonts w:ascii="Times New Roman" w:hAnsi="Times New Roman"/>
          <w:lang w:val="en-GB"/>
        </w:rPr>
        <w:t>Korkea-aho</w:t>
      </w:r>
      <w:proofErr w:type="spellEnd"/>
      <w:r w:rsidRPr="00545C56">
        <w:rPr>
          <w:rFonts w:ascii="Times New Roman" w:hAnsi="Times New Roman"/>
          <w:lang w:val="en-GB"/>
        </w:rPr>
        <w:t xml:space="preserve">, </w:t>
      </w:r>
      <w:r w:rsidRPr="00545C56">
        <w:rPr>
          <w:rFonts w:ascii="Times New Roman" w:hAnsi="Times New Roman"/>
          <w:lang w:val="en-US"/>
        </w:rPr>
        <w:t>‘</w:t>
      </w:r>
      <w:r w:rsidRPr="00545C56">
        <w:rPr>
          <w:rFonts w:ascii="Times New Roman" w:hAnsi="Times New Roman"/>
          <w:bCs/>
          <w:lang w:val="en-US"/>
        </w:rPr>
        <w:t>National Report on Finland: The Use of EU Soft Law by National Courts and Administration in the Field of EU Environmental Law’, in Eliantonio</w:t>
      </w:r>
      <w:r w:rsidR="009635EB">
        <w:rPr>
          <w:rFonts w:ascii="Times New Roman" w:hAnsi="Times New Roman"/>
          <w:bCs/>
          <w:lang w:val="en-US"/>
        </w:rPr>
        <w:t xml:space="preserve"> and</w:t>
      </w:r>
      <w:r w:rsidRPr="00545C56">
        <w:rPr>
          <w:rFonts w:ascii="Times New Roman" w:hAnsi="Times New Roman"/>
          <w:bCs/>
          <w:lang w:val="en-US"/>
        </w:rPr>
        <w:t xml:space="preserve"> </w:t>
      </w:r>
      <w:proofErr w:type="spellStart"/>
      <w:r w:rsidRPr="00545C56">
        <w:rPr>
          <w:rFonts w:ascii="Times New Roman" w:hAnsi="Times New Roman"/>
          <w:bCs/>
          <w:lang w:val="en-US"/>
        </w:rPr>
        <w:t>Lisi</w:t>
      </w:r>
      <w:proofErr w:type="spellEnd"/>
      <w:r w:rsidRPr="00545C56">
        <w:rPr>
          <w:rFonts w:ascii="Times New Roman" w:hAnsi="Times New Roman"/>
          <w:bCs/>
          <w:lang w:val="en-US"/>
        </w:rPr>
        <w:t xml:space="preserve"> </w:t>
      </w:r>
      <w:r w:rsidRPr="00545C56">
        <w:rPr>
          <w:rFonts w:ascii="Times New Roman" w:hAnsi="Times New Roman"/>
          <w:color w:val="000000" w:themeColor="text1"/>
          <w:lang w:val="en-US"/>
        </w:rPr>
        <w:t xml:space="preserve">(n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_Ref47718090 \h </w:instrText>
      </w:r>
      <w:r w:rsidR="00545C56" w:rsidRPr="00545C56">
        <w:rPr>
          <w:rFonts w:ascii="Times New Roman" w:hAnsi="Times New Roman"/>
          <w:color w:val="000000" w:themeColor="text1"/>
          <w:lang w:val="en-US"/>
        </w:rPr>
        <w:instrText xml:space="preserve">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53</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31</w:t>
      </w:r>
      <w:r w:rsidRPr="00545C56">
        <w:rPr>
          <w:rFonts w:ascii="Times New Roman" w:hAnsi="Times New Roman"/>
          <w:bCs/>
          <w:lang w:val="en-US"/>
        </w:rPr>
        <w:t>.</w:t>
      </w:r>
    </w:p>
  </w:footnote>
  <w:footnote w:id="93">
    <w:p w14:paraId="2AC58F21" w14:textId="17022995"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P </w:t>
      </w:r>
      <w:proofErr w:type="spellStart"/>
      <w:r w:rsidRPr="00545C56">
        <w:rPr>
          <w:rFonts w:ascii="Times New Roman" w:hAnsi="Times New Roman"/>
          <w:lang w:val="en-US"/>
        </w:rPr>
        <w:t>Leino</w:t>
      </w:r>
      <w:proofErr w:type="spellEnd"/>
      <w:r w:rsidRPr="00545C56">
        <w:rPr>
          <w:rFonts w:ascii="Times New Roman" w:hAnsi="Times New Roman"/>
          <w:lang w:val="en-US"/>
        </w:rPr>
        <w:t>-Sandberg</w:t>
      </w:r>
      <w:r w:rsidR="009635EB">
        <w:rPr>
          <w:rFonts w:ascii="Times New Roman" w:hAnsi="Times New Roman"/>
          <w:lang w:val="en-US"/>
        </w:rPr>
        <w:t xml:space="preserve"> and</w:t>
      </w:r>
      <w:r w:rsidRPr="00545C56">
        <w:rPr>
          <w:rFonts w:ascii="Times New Roman" w:hAnsi="Times New Roman"/>
          <w:lang w:val="en-US"/>
        </w:rPr>
        <w:t xml:space="preserve"> E </w:t>
      </w:r>
      <w:proofErr w:type="spellStart"/>
      <w:r w:rsidRPr="00545C56">
        <w:rPr>
          <w:rFonts w:ascii="Times New Roman" w:hAnsi="Times New Roman"/>
          <w:lang w:val="en-US"/>
        </w:rPr>
        <w:t>Korkea-aho</w:t>
      </w:r>
      <w:proofErr w:type="spellEnd"/>
      <w:r w:rsidRPr="00545C56">
        <w:rPr>
          <w:rFonts w:ascii="Times New Roman" w:hAnsi="Times New Roman"/>
          <w:lang w:val="en-US"/>
        </w:rPr>
        <w:t xml:space="preserve">, ‘Country Report on Finland’ in </w:t>
      </w:r>
      <w:proofErr w:type="spellStart"/>
      <w:r w:rsidRPr="00545C56">
        <w:rPr>
          <w:rFonts w:ascii="Times New Roman" w:hAnsi="Times New Roman"/>
          <w:lang w:val="en-US"/>
        </w:rPr>
        <w:t>Avbelj</w:t>
      </w:r>
      <w:proofErr w:type="spellEnd"/>
      <w:r w:rsidRPr="00545C56">
        <w:rPr>
          <w:rFonts w:ascii="Times New Roman" w:hAnsi="Times New Roman"/>
          <w:lang w:val="en-US"/>
        </w:rPr>
        <w:t xml:space="preserve"> </w:t>
      </w:r>
      <w:r w:rsidRPr="00545C56">
        <w:rPr>
          <w:rFonts w:ascii="Times New Roman" w:hAnsi="Times New Roman"/>
          <w:color w:val="000000" w:themeColor="text1"/>
          <w:lang w:val="en-US"/>
        </w:rPr>
        <w:t xml:space="preserve">(n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_Ref47706958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51</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36</w:t>
      </w:r>
      <w:r w:rsidR="009635EB">
        <w:rPr>
          <w:rFonts w:ascii="Times New Roman" w:hAnsi="Times New Roman"/>
          <w:color w:val="000000" w:themeColor="text1"/>
          <w:lang w:val="en-US"/>
        </w:rPr>
        <w:t>.</w:t>
      </w:r>
    </w:p>
  </w:footnote>
  <w:footnote w:id="94">
    <w:p w14:paraId="0AC13904" w14:textId="55399328"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hAnsi="Times New Roman"/>
          <w:lang w:val="en-GB"/>
        </w:rPr>
        <w:footnoteRef/>
      </w:r>
      <w:r w:rsidRPr="00545C56">
        <w:rPr>
          <w:rFonts w:ascii="Times New Roman" w:hAnsi="Times New Roman"/>
          <w:lang w:val="en-GB"/>
        </w:rPr>
        <w:t xml:space="preserve"> </w:t>
      </w:r>
      <w:r w:rsidRPr="009635EB">
        <w:rPr>
          <w:rFonts w:ascii="Times New Roman" w:hAnsi="Times New Roman"/>
          <w:lang w:val="en-GB"/>
        </w:rPr>
        <w:t>ibid.</w:t>
      </w:r>
    </w:p>
  </w:footnote>
  <w:footnote w:id="95">
    <w:p w14:paraId="0859F629" w14:textId="482F06D8"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hAnsi="Times New Roman"/>
          <w:lang w:val="en-GB"/>
        </w:rPr>
        <w:footnoteRef/>
      </w:r>
      <w:r w:rsidRPr="00545C56">
        <w:rPr>
          <w:rFonts w:ascii="Times New Roman" w:hAnsi="Times New Roman"/>
          <w:lang w:val="en-GB"/>
        </w:rPr>
        <w:t xml:space="preserve"> C Cauffman, ‘Financial Soft Law in the Netherlands’ </w:t>
      </w:r>
      <w:r w:rsidRPr="00545C56">
        <w:rPr>
          <w:rFonts w:ascii="Times New Roman" w:hAnsi="Times New Roman"/>
          <w:lang w:val="en-US"/>
        </w:rPr>
        <w:t xml:space="preserve">in </w:t>
      </w:r>
      <w:proofErr w:type="spellStart"/>
      <w:r w:rsidRPr="00545C56">
        <w:rPr>
          <w:rFonts w:ascii="Times New Roman" w:hAnsi="Times New Roman"/>
          <w:lang w:val="en-US"/>
        </w:rPr>
        <w:t>Avbelj</w:t>
      </w:r>
      <w:proofErr w:type="spellEnd"/>
      <w:r w:rsidRPr="00545C56">
        <w:rPr>
          <w:rFonts w:ascii="Times New Roman" w:hAnsi="Times New Roman"/>
          <w:lang w:val="en-US"/>
        </w:rPr>
        <w:t xml:space="preserve"> </w:t>
      </w:r>
      <w:r w:rsidRPr="00545C56">
        <w:rPr>
          <w:rFonts w:ascii="Times New Roman" w:hAnsi="Times New Roman"/>
          <w:color w:val="000000" w:themeColor="text1"/>
          <w:lang w:val="en-US"/>
        </w:rPr>
        <w:t xml:space="preserve">(n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_Ref47706958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51</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95.</w:t>
      </w:r>
    </w:p>
  </w:footnote>
  <w:footnote w:id="96">
    <w:p w14:paraId="7E454A39" w14:textId="4F267272"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hAnsi="Times New Roman"/>
          <w:lang w:val="en-GB"/>
        </w:rPr>
        <w:footnoteRef/>
      </w:r>
      <w:r w:rsidRPr="00545C56">
        <w:rPr>
          <w:rFonts w:ascii="Times New Roman" w:hAnsi="Times New Roman"/>
          <w:lang w:val="en-GB"/>
        </w:rPr>
        <w:t xml:space="preserve"> M </w:t>
      </w:r>
      <w:proofErr w:type="spellStart"/>
      <w:r w:rsidRPr="00545C56">
        <w:rPr>
          <w:rFonts w:ascii="Times New Roman" w:hAnsi="Times New Roman"/>
          <w:lang w:val="en-GB"/>
        </w:rPr>
        <w:t>Avbelj</w:t>
      </w:r>
      <w:proofErr w:type="spellEnd"/>
      <w:r w:rsidRPr="00545C56">
        <w:rPr>
          <w:rFonts w:ascii="Times New Roman" w:hAnsi="Times New Roman"/>
          <w:lang w:val="en-GB"/>
        </w:rPr>
        <w:t xml:space="preserve">, ‘The implementation of ESMA’s guidelines in Slovenia’ </w:t>
      </w:r>
      <w:r w:rsidRPr="00545C56">
        <w:rPr>
          <w:rFonts w:ascii="Times New Roman" w:hAnsi="Times New Roman"/>
          <w:lang w:val="en-US"/>
        </w:rPr>
        <w:t xml:space="preserve">in </w:t>
      </w:r>
      <w:proofErr w:type="spellStart"/>
      <w:r w:rsidRPr="00545C56">
        <w:rPr>
          <w:rFonts w:ascii="Times New Roman" w:hAnsi="Times New Roman"/>
          <w:lang w:val="en-US"/>
        </w:rPr>
        <w:t>Avbelj</w:t>
      </w:r>
      <w:proofErr w:type="spellEnd"/>
      <w:r w:rsidRPr="00545C56">
        <w:rPr>
          <w:rFonts w:ascii="Times New Roman" w:hAnsi="Times New Roman"/>
          <w:lang w:val="en-US"/>
        </w:rPr>
        <w:t xml:space="preserve"> </w:t>
      </w:r>
      <w:r w:rsidRPr="00545C56">
        <w:rPr>
          <w:rFonts w:ascii="Times New Roman" w:hAnsi="Times New Roman"/>
          <w:color w:val="000000" w:themeColor="text1"/>
          <w:lang w:val="en-US"/>
        </w:rPr>
        <w:t xml:space="preserve">(n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_Ref47706958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51</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102.</w:t>
      </w:r>
    </w:p>
  </w:footnote>
  <w:footnote w:id="97">
    <w:p w14:paraId="433D69EA" w14:textId="746F82A2"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lang w:val="en-GB"/>
        </w:rPr>
        <w:footnoteRef/>
      </w:r>
      <w:r w:rsidRPr="00545C56">
        <w:rPr>
          <w:rFonts w:ascii="Times New Roman" w:hAnsi="Times New Roman"/>
          <w:lang w:val="en-GB"/>
        </w:rPr>
        <w:t xml:space="preserve"> G </w:t>
      </w:r>
      <w:proofErr w:type="spellStart"/>
      <w:r w:rsidRPr="00545C56">
        <w:rPr>
          <w:rFonts w:ascii="Times New Roman" w:hAnsi="Times New Roman"/>
          <w:lang w:val="en-GB"/>
        </w:rPr>
        <w:t>Lisi</w:t>
      </w:r>
      <w:proofErr w:type="spellEnd"/>
      <w:r w:rsidRPr="00545C56">
        <w:rPr>
          <w:rFonts w:ascii="Times New Roman" w:hAnsi="Times New Roman"/>
          <w:lang w:val="en-GB"/>
        </w:rPr>
        <w:t xml:space="preserve"> et al, ‘</w:t>
      </w:r>
      <w:r w:rsidRPr="00545C56">
        <w:rPr>
          <w:rFonts w:ascii="Times New Roman" w:hAnsi="Times New Roman"/>
          <w:lang w:val="en-US"/>
        </w:rPr>
        <w:t xml:space="preserve">National Report on France: The Use of EU Soft Law by National Courts and Administration in the Field of EU Environmental Law’ in </w:t>
      </w:r>
      <w:r w:rsidRPr="00545C56">
        <w:rPr>
          <w:rFonts w:ascii="Times New Roman" w:hAnsi="Times New Roman"/>
          <w:bCs/>
          <w:lang w:val="en-US"/>
        </w:rPr>
        <w:t>Eliantonio</w:t>
      </w:r>
      <w:r w:rsidR="00A94CD5">
        <w:rPr>
          <w:rFonts w:ascii="Times New Roman" w:hAnsi="Times New Roman"/>
          <w:bCs/>
          <w:lang w:val="en-US"/>
        </w:rPr>
        <w:t xml:space="preserve"> and</w:t>
      </w:r>
      <w:r w:rsidRPr="00545C56">
        <w:rPr>
          <w:rFonts w:ascii="Times New Roman" w:hAnsi="Times New Roman"/>
          <w:bCs/>
          <w:lang w:val="en-US"/>
        </w:rPr>
        <w:t xml:space="preserve"> </w:t>
      </w:r>
      <w:proofErr w:type="spellStart"/>
      <w:r w:rsidRPr="00545C56">
        <w:rPr>
          <w:rFonts w:ascii="Times New Roman" w:hAnsi="Times New Roman"/>
          <w:bCs/>
          <w:lang w:val="en-US"/>
        </w:rPr>
        <w:t>Lisi</w:t>
      </w:r>
      <w:proofErr w:type="spellEnd"/>
      <w:r w:rsidRPr="00545C56">
        <w:rPr>
          <w:rFonts w:ascii="Times New Roman" w:hAnsi="Times New Roman"/>
          <w:bCs/>
          <w:lang w:val="en-US"/>
        </w:rPr>
        <w:t xml:space="preserve"> </w:t>
      </w:r>
      <w:r w:rsidRPr="00545C56">
        <w:rPr>
          <w:rFonts w:ascii="Times New Roman" w:hAnsi="Times New Roman"/>
          <w:color w:val="000000" w:themeColor="text1"/>
          <w:lang w:val="en-US"/>
        </w:rPr>
        <w:t xml:space="preserve">(n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_Ref47718090 \h </w:instrText>
      </w:r>
      <w:r w:rsidR="00545C56" w:rsidRPr="00545C56">
        <w:rPr>
          <w:rFonts w:ascii="Times New Roman" w:hAnsi="Times New Roman"/>
          <w:color w:val="000000" w:themeColor="text1"/>
          <w:lang w:val="en-US"/>
        </w:rPr>
        <w:instrText xml:space="preserve">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53</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46.</w:t>
      </w:r>
    </w:p>
  </w:footnote>
  <w:footnote w:id="98">
    <w:p w14:paraId="1FE7214C" w14:textId="20C9D365"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Stefan (n </w:t>
      </w:r>
      <w:r w:rsidRPr="00545C56">
        <w:rPr>
          <w:rFonts w:ascii="Times New Roman" w:hAnsi="Times New Roman"/>
          <w:lang w:val="en-US"/>
        </w:rPr>
        <w:fldChar w:fldCharType="begin"/>
      </w:r>
      <w:r w:rsidRPr="00545C56">
        <w:rPr>
          <w:rFonts w:ascii="Times New Roman" w:hAnsi="Times New Roman"/>
          <w:lang w:val="en-US"/>
        </w:rPr>
        <w:instrText xml:space="preserve"> NOTEREF _Ref47706419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44</w:t>
      </w:r>
      <w:r w:rsidRPr="00545C56">
        <w:rPr>
          <w:rFonts w:ascii="Times New Roman" w:hAnsi="Times New Roman"/>
          <w:lang w:val="en-US"/>
        </w:rPr>
        <w:fldChar w:fldCharType="end"/>
      </w:r>
      <w:r w:rsidRPr="00545C56">
        <w:rPr>
          <w:rFonts w:ascii="Times New Roman" w:hAnsi="Times New Roman"/>
          <w:lang w:val="en-US"/>
        </w:rPr>
        <w:t>) 29 et s</w:t>
      </w:r>
      <w:r w:rsidR="00A94CD5">
        <w:rPr>
          <w:rFonts w:ascii="Times New Roman" w:hAnsi="Times New Roman"/>
          <w:lang w:val="en-US"/>
        </w:rPr>
        <w:t>eq</w:t>
      </w:r>
      <w:r w:rsidRPr="00545C56">
        <w:rPr>
          <w:rFonts w:ascii="Times New Roman" w:hAnsi="Times New Roman"/>
          <w:lang w:val="en-US"/>
        </w:rPr>
        <w:t>.</w:t>
      </w:r>
    </w:p>
  </w:footnote>
  <w:footnote w:id="99">
    <w:p w14:paraId="130EF6EE" w14:textId="36CED4F5"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Alberti</w:t>
      </w:r>
      <w:r w:rsidR="00A94CD5">
        <w:rPr>
          <w:rFonts w:ascii="Times New Roman" w:hAnsi="Times New Roman"/>
          <w:lang w:val="en-US"/>
        </w:rPr>
        <w:t xml:space="preserve"> and</w:t>
      </w:r>
      <w:r w:rsidRPr="00545C56">
        <w:rPr>
          <w:rFonts w:ascii="Times New Roman" w:hAnsi="Times New Roman"/>
          <w:lang w:val="en-US"/>
        </w:rPr>
        <w:t xml:space="preserve"> </w:t>
      </w:r>
      <w:proofErr w:type="spellStart"/>
      <w:r w:rsidRPr="00545C56">
        <w:rPr>
          <w:rFonts w:ascii="Times New Roman" w:hAnsi="Times New Roman"/>
          <w:lang w:val="en-US"/>
        </w:rPr>
        <w:t>Croci</w:t>
      </w:r>
      <w:proofErr w:type="spellEnd"/>
      <w:r w:rsidRPr="00545C56">
        <w:rPr>
          <w:rFonts w:ascii="Times New Roman" w:hAnsi="Times New Roman"/>
          <w:lang w:val="en-US"/>
        </w:rPr>
        <w:t xml:space="preserve">, ‘National Report on Italy’ in Stefan (n </w:t>
      </w:r>
      <w:r w:rsidRPr="00545C56">
        <w:rPr>
          <w:rFonts w:ascii="Times New Roman" w:hAnsi="Times New Roman"/>
          <w:lang w:val="en-US"/>
        </w:rPr>
        <w:fldChar w:fldCharType="begin"/>
      </w:r>
      <w:r w:rsidRPr="00545C56">
        <w:rPr>
          <w:rFonts w:ascii="Times New Roman" w:hAnsi="Times New Roman"/>
          <w:lang w:val="en-US"/>
        </w:rPr>
        <w:instrText xml:space="preserve"> NOTEREF _Ref47706419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44</w:t>
      </w:r>
      <w:r w:rsidRPr="00545C56">
        <w:rPr>
          <w:rFonts w:ascii="Times New Roman" w:hAnsi="Times New Roman"/>
          <w:lang w:val="en-US"/>
        </w:rPr>
        <w:fldChar w:fldCharType="end"/>
      </w:r>
      <w:r w:rsidRPr="00545C56">
        <w:rPr>
          <w:rFonts w:ascii="Times New Roman" w:hAnsi="Times New Roman"/>
          <w:lang w:val="en-US"/>
        </w:rPr>
        <w:t>) 107.</w:t>
      </w:r>
    </w:p>
  </w:footnote>
  <w:footnote w:id="100">
    <w:p w14:paraId="2F6CFC94" w14:textId="5E729199" w:rsidR="00CD1F3A" w:rsidRPr="00545C56" w:rsidRDefault="00CD1F3A" w:rsidP="002803C8">
      <w:pPr>
        <w:pStyle w:val="FootnoteText"/>
        <w:contextualSpacing/>
        <w:rPr>
          <w:rFonts w:ascii="Times New Roman" w:hAnsi="Times New Roman"/>
          <w:color w:val="000000" w:themeColor="text1"/>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rPr>
        <w:t xml:space="preserve"> Case C-366/88 </w:t>
      </w:r>
      <w:r w:rsidRPr="00545C56">
        <w:rPr>
          <w:rFonts w:ascii="Times New Roman" w:hAnsi="Times New Roman"/>
          <w:i/>
          <w:color w:val="000000" w:themeColor="text1"/>
        </w:rPr>
        <w:t>France v Commission</w:t>
      </w:r>
      <w:r w:rsidRPr="00545C56">
        <w:rPr>
          <w:rFonts w:ascii="Times New Roman" w:eastAsiaTheme="minorEastAsia" w:hAnsi="Times New Roman"/>
          <w:color w:val="000000" w:themeColor="text1"/>
        </w:rPr>
        <w:t xml:space="preserve">, </w:t>
      </w:r>
      <w:r w:rsidRPr="00545C56">
        <w:rPr>
          <w:rFonts w:ascii="Times New Roman" w:hAnsi="Times New Roman"/>
          <w:color w:val="000000" w:themeColor="text1"/>
        </w:rPr>
        <w:t xml:space="preserve">[1990] </w:t>
      </w:r>
      <w:proofErr w:type="gramStart"/>
      <w:r w:rsidRPr="00545C56">
        <w:rPr>
          <w:rFonts w:ascii="Times New Roman" w:hAnsi="Times New Roman"/>
          <w:color w:val="000000" w:themeColor="text1"/>
        </w:rPr>
        <w:t>EU:</w:t>
      </w:r>
      <w:proofErr w:type="gramEnd"/>
      <w:r w:rsidRPr="00545C56">
        <w:rPr>
          <w:rFonts w:ascii="Times New Roman" w:hAnsi="Times New Roman"/>
          <w:color w:val="000000" w:themeColor="text1"/>
        </w:rPr>
        <w:t>C:1990:348.</w:t>
      </w:r>
    </w:p>
  </w:footnote>
  <w:footnote w:id="101">
    <w:p w14:paraId="03227723" w14:textId="6809113D"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eastAsiaTheme="majorEastAsia" w:hAnsi="Times New Roman"/>
          <w:color w:val="000000" w:themeColor="text1"/>
          <w:lang w:val="en-GB"/>
        </w:rPr>
        <w:footnoteRef/>
      </w:r>
      <w:r w:rsidRPr="00545C56">
        <w:rPr>
          <w:rFonts w:ascii="Times New Roman" w:hAnsi="Times New Roman"/>
          <w:color w:val="000000" w:themeColor="text1"/>
          <w:lang w:val="en-GB"/>
        </w:rPr>
        <w:t xml:space="preserve"> Scott (n 2) 342.</w:t>
      </w:r>
    </w:p>
  </w:footnote>
  <w:footnote w:id="102">
    <w:p w14:paraId="5C41241F" w14:textId="37CC7C7E" w:rsidR="00CD1F3A" w:rsidRPr="00545C56" w:rsidRDefault="00CD1F3A" w:rsidP="002803C8">
      <w:pPr>
        <w:pStyle w:val="FootnoteText"/>
        <w:contextualSpacing/>
        <w:rPr>
          <w:rFonts w:ascii="Times New Roman" w:hAnsi="Times New Roman"/>
          <w:bCs/>
          <w:color w:val="000000" w:themeColor="text1"/>
          <w:lang w:val="fi-FI"/>
        </w:rPr>
      </w:pPr>
      <w:r w:rsidRPr="00545C56">
        <w:rPr>
          <w:rStyle w:val="FootnoteReference"/>
          <w:rFonts w:ascii="Times New Roman" w:hAnsi="Times New Roman"/>
          <w:color w:val="000000" w:themeColor="text1"/>
          <w:lang w:val="en-GB"/>
        </w:rPr>
        <w:footnoteRef/>
      </w:r>
      <w:r w:rsidRPr="00545C56">
        <w:rPr>
          <w:rFonts w:ascii="Times New Roman" w:hAnsi="Times New Roman"/>
          <w:color w:val="000000" w:themeColor="text1"/>
          <w:lang w:val="en-GB"/>
        </w:rPr>
        <w:t xml:space="preserve"> </w:t>
      </w:r>
      <w:proofErr w:type="spellStart"/>
      <w:r w:rsidRPr="00545C56">
        <w:rPr>
          <w:rFonts w:ascii="Times New Roman" w:hAnsi="Times New Roman"/>
          <w:color w:val="000000" w:themeColor="text1"/>
          <w:lang w:val="en-GB"/>
        </w:rPr>
        <w:t>Lisi</w:t>
      </w:r>
      <w:proofErr w:type="spellEnd"/>
      <w:r w:rsidRPr="00545C56">
        <w:rPr>
          <w:rFonts w:ascii="Times New Roman" w:hAnsi="Times New Roman"/>
          <w:color w:val="000000" w:themeColor="text1"/>
          <w:lang w:val="en-GB"/>
        </w:rPr>
        <w:t xml:space="preserve"> (n </w:t>
      </w:r>
      <w:r w:rsidRPr="00545C56">
        <w:rPr>
          <w:rFonts w:ascii="Times New Roman" w:hAnsi="Times New Roman"/>
          <w:color w:val="000000" w:themeColor="text1"/>
          <w:lang w:val="en-GB"/>
        </w:rPr>
        <w:fldChar w:fldCharType="begin"/>
      </w:r>
      <w:r w:rsidRPr="00545C56">
        <w:rPr>
          <w:rFonts w:ascii="Times New Roman" w:hAnsi="Times New Roman"/>
          <w:color w:val="000000" w:themeColor="text1"/>
          <w:lang w:val="en-GB"/>
        </w:rPr>
        <w:instrText xml:space="preserve"> NOTEREF _Ref47713251 \h </w:instrText>
      </w:r>
      <w:r w:rsidR="00545C56" w:rsidRPr="00545C56">
        <w:rPr>
          <w:rFonts w:ascii="Times New Roman" w:hAnsi="Times New Roman"/>
          <w:color w:val="000000" w:themeColor="text1"/>
          <w:lang w:val="en-GB"/>
        </w:rPr>
        <w:instrText xml:space="preserve"> \* MERGEFORMAT </w:instrText>
      </w:r>
      <w:r w:rsidRPr="00545C56">
        <w:rPr>
          <w:rFonts w:ascii="Times New Roman" w:hAnsi="Times New Roman"/>
          <w:color w:val="000000" w:themeColor="text1"/>
          <w:lang w:val="en-GB"/>
        </w:rPr>
      </w:r>
      <w:r w:rsidRPr="00545C56">
        <w:rPr>
          <w:rFonts w:ascii="Times New Roman" w:hAnsi="Times New Roman"/>
          <w:color w:val="000000" w:themeColor="text1"/>
          <w:lang w:val="en-GB"/>
        </w:rPr>
        <w:fldChar w:fldCharType="separate"/>
      </w:r>
      <w:r w:rsidR="00CC3357">
        <w:rPr>
          <w:rFonts w:ascii="Times New Roman" w:hAnsi="Times New Roman"/>
          <w:color w:val="000000" w:themeColor="text1"/>
          <w:lang w:val="en-GB"/>
        </w:rPr>
        <w:t>96</w:t>
      </w:r>
      <w:r w:rsidRPr="00545C56">
        <w:rPr>
          <w:rFonts w:ascii="Times New Roman" w:hAnsi="Times New Roman"/>
          <w:color w:val="000000" w:themeColor="text1"/>
          <w:lang w:val="en-GB"/>
        </w:rPr>
        <w:fldChar w:fldCharType="end"/>
      </w:r>
      <w:r w:rsidRPr="00545C56">
        <w:rPr>
          <w:rFonts w:ascii="Times New Roman" w:hAnsi="Times New Roman"/>
          <w:color w:val="000000" w:themeColor="text1"/>
          <w:lang w:val="en-GB"/>
        </w:rPr>
        <w:t>) 46</w:t>
      </w:r>
      <w:r w:rsidRPr="00545C56">
        <w:rPr>
          <w:rFonts w:ascii="Times New Roman" w:hAnsi="Times New Roman"/>
          <w:bCs/>
          <w:color w:val="000000" w:themeColor="text1"/>
          <w:lang w:val="en-US"/>
        </w:rPr>
        <w:t>.</w:t>
      </w:r>
    </w:p>
  </w:footnote>
  <w:footnote w:id="103">
    <w:p w14:paraId="7DD9C674" w14:textId="78E38907"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w:t>
      </w:r>
      <w:proofErr w:type="spellStart"/>
      <w:r w:rsidRPr="00545C56">
        <w:rPr>
          <w:rFonts w:ascii="Times New Roman" w:hAnsi="Times New Roman"/>
          <w:lang w:val="en-US"/>
        </w:rPr>
        <w:t>Leino</w:t>
      </w:r>
      <w:proofErr w:type="spellEnd"/>
      <w:r w:rsidRPr="00545C56">
        <w:rPr>
          <w:rFonts w:ascii="Times New Roman" w:hAnsi="Times New Roman"/>
          <w:lang w:val="en-US"/>
        </w:rPr>
        <w:t>-Sandberg</w:t>
      </w:r>
      <w:r w:rsidR="00A94CD5">
        <w:rPr>
          <w:rFonts w:ascii="Times New Roman" w:hAnsi="Times New Roman"/>
          <w:lang w:val="en-US"/>
        </w:rPr>
        <w:t xml:space="preserve"> and</w:t>
      </w:r>
      <w:r w:rsidRPr="00545C56">
        <w:rPr>
          <w:rFonts w:ascii="Times New Roman" w:hAnsi="Times New Roman"/>
          <w:lang w:val="en-US"/>
        </w:rPr>
        <w:t xml:space="preserve"> </w:t>
      </w:r>
      <w:proofErr w:type="spellStart"/>
      <w:r w:rsidRPr="00545C56">
        <w:rPr>
          <w:rFonts w:ascii="Times New Roman" w:hAnsi="Times New Roman"/>
          <w:lang w:val="en-US"/>
        </w:rPr>
        <w:t>Korkea-aho</w:t>
      </w:r>
      <w:proofErr w:type="spellEnd"/>
      <w:r w:rsidRPr="00545C56">
        <w:rPr>
          <w:rFonts w:ascii="Times New Roman" w:hAnsi="Times New Roman"/>
          <w:lang w:val="en-US"/>
        </w:rPr>
        <w:t xml:space="preserve"> (n </w:t>
      </w:r>
      <w:r w:rsidRPr="00545C56">
        <w:rPr>
          <w:rFonts w:ascii="Times New Roman" w:hAnsi="Times New Roman"/>
          <w:lang w:val="en-US"/>
        </w:rPr>
        <w:fldChar w:fldCharType="begin"/>
      </w:r>
      <w:r w:rsidRPr="00545C56">
        <w:rPr>
          <w:rFonts w:ascii="Times New Roman" w:hAnsi="Times New Roman"/>
          <w:lang w:val="en-US"/>
        </w:rPr>
        <w:instrText xml:space="preserve"> NOTEREF _Ref47713350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92</w:t>
      </w:r>
      <w:r w:rsidRPr="00545C56">
        <w:rPr>
          <w:rFonts w:ascii="Times New Roman" w:hAnsi="Times New Roman"/>
          <w:lang w:val="en-US"/>
        </w:rPr>
        <w:fldChar w:fldCharType="end"/>
      </w:r>
      <w:r w:rsidRPr="00545C56">
        <w:rPr>
          <w:rFonts w:ascii="Times New Roman" w:hAnsi="Times New Roman"/>
          <w:lang w:val="en-US"/>
        </w:rPr>
        <w:t>) 36.</w:t>
      </w:r>
    </w:p>
  </w:footnote>
  <w:footnote w:id="104">
    <w:p w14:paraId="1DD06686" w14:textId="2E77E3DE" w:rsidR="00CD1F3A" w:rsidRPr="00545C56" w:rsidRDefault="00CD1F3A" w:rsidP="002803C8">
      <w:pPr>
        <w:pStyle w:val="FootnoteText"/>
        <w:contextualSpacing/>
        <w:rPr>
          <w:rFonts w:ascii="Times New Roman" w:hAnsi="Times New Roman"/>
          <w:bCs/>
          <w:color w:val="000000" w:themeColor="text1"/>
        </w:rPr>
      </w:pPr>
      <w:r w:rsidRPr="00545C56">
        <w:rPr>
          <w:rStyle w:val="FootnoteReference"/>
          <w:rFonts w:ascii="Times New Roman" w:hAnsi="Times New Roman"/>
          <w:color w:val="000000" w:themeColor="text1"/>
          <w:lang w:val="en-GB"/>
        </w:rPr>
        <w:footnoteRef/>
      </w:r>
      <w:r w:rsidRPr="00545C56">
        <w:rPr>
          <w:rFonts w:ascii="Times New Roman" w:hAnsi="Times New Roman"/>
          <w:bCs/>
          <w:color w:val="000000" w:themeColor="text1"/>
        </w:rPr>
        <w:t xml:space="preserve"> </w:t>
      </w:r>
      <w:proofErr w:type="spellStart"/>
      <w:r w:rsidRPr="00545C56">
        <w:rPr>
          <w:rFonts w:ascii="Times New Roman" w:hAnsi="Times New Roman"/>
          <w:bCs/>
          <w:color w:val="000000" w:themeColor="text1"/>
        </w:rPr>
        <w:t>Cauffman</w:t>
      </w:r>
      <w:proofErr w:type="spellEnd"/>
      <w:r w:rsidR="00A94CD5">
        <w:rPr>
          <w:rFonts w:ascii="Times New Roman" w:hAnsi="Times New Roman"/>
          <w:bCs/>
          <w:color w:val="000000" w:themeColor="text1"/>
        </w:rPr>
        <w:t xml:space="preserve"> and</w:t>
      </w:r>
      <w:r w:rsidRPr="00545C56">
        <w:rPr>
          <w:rFonts w:ascii="Times New Roman" w:hAnsi="Times New Roman"/>
          <w:bCs/>
          <w:color w:val="000000" w:themeColor="text1"/>
        </w:rPr>
        <w:t xml:space="preserve"> </w:t>
      </w:r>
      <w:proofErr w:type="spellStart"/>
      <w:r w:rsidRPr="00545C56">
        <w:rPr>
          <w:rFonts w:ascii="Times New Roman" w:hAnsi="Times New Roman"/>
          <w:bCs/>
          <w:color w:val="000000" w:themeColor="text1"/>
        </w:rPr>
        <w:t>Philipsen</w:t>
      </w:r>
      <w:proofErr w:type="spellEnd"/>
      <w:r w:rsidRPr="00545C56">
        <w:rPr>
          <w:rFonts w:ascii="Times New Roman" w:hAnsi="Times New Roman"/>
          <w:bCs/>
          <w:color w:val="000000" w:themeColor="text1"/>
        </w:rPr>
        <w:t xml:space="preserve"> (n </w:t>
      </w:r>
      <w:r w:rsidRPr="00545C56">
        <w:rPr>
          <w:rFonts w:ascii="Times New Roman" w:hAnsi="Times New Roman"/>
          <w:bCs/>
          <w:color w:val="000000" w:themeColor="text1"/>
        </w:rPr>
        <w:fldChar w:fldCharType="begin"/>
      </w:r>
      <w:r w:rsidRPr="00545C56">
        <w:rPr>
          <w:rFonts w:ascii="Times New Roman" w:hAnsi="Times New Roman"/>
          <w:bCs/>
          <w:color w:val="000000" w:themeColor="text1"/>
        </w:rPr>
        <w:instrText xml:space="preserve"> NOTEREF _Ref47713603 \h  \* MERGEFORMAT </w:instrText>
      </w:r>
      <w:r w:rsidRPr="00545C56">
        <w:rPr>
          <w:rFonts w:ascii="Times New Roman" w:hAnsi="Times New Roman"/>
          <w:bCs/>
          <w:color w:val="000000" w:themeColor="text1"/>
        </w:rPr>
      </w:r>
      <w:r w:rsidRPr="00545C56">
        <w:rPr>
          <w:rFonts w:ascii="Times New Roman" w:hAnsi="Times New Roman"/>
          <w:bCs/>
          <w:color w:val="000000" w:themeColor="text1"/>
        </w:rPr>
        <w:fldChar w:fldCharType="separate"/>
      </w:r>
      <w:r w:rsidR="00CC3357">
        <w:rPr>
          <w:rFonts w:ascii="Times New Roman" w:hAnsi="Times New Roman"/>
          <w:bCs/>
          <w:color w:val="000000" w:themeColor="text1"/>
        </w:rPr>
        <w:t>72</w:t>
      </w:r>
      <w:r w:rsidRPr="00545C56">
        <w:rPr>
          <w:rFonts w:ascii="Times New Roman" w:hAnsi="Times New Roman"/>
          <w:bCs/>
          <w:color w:val="000000" w:themeColor="text1"/>
        </w:rPr>
        <w:fldChar w:fldCharType="end"/>
      </w:r>
      <w:r w:rsidRPr="00545C56">
        <w:rPr>
          <w:rFonts w:ascii="Times New Roman" w:hAnsi="Times New Roman"/>
          <w:bCs/>
          <w:color w:val="000000" w:themeColor="text1"/>
        </w:rPr>
        <w:t>) 142.</w:t>
      </w:r>
    </w:p>
  </w:footnote>
  <w:footnote w:id="105">
    <w:p w14:paraId="0803B875" w14:textId="486D7724" w:rsidR="00CD1F3A" w:rsidRPr="00545C56" w:rsidRDefault="00CD1F3A" w:rsidP="002803C8">
      <w:pPr>
        <w:pStyle w:val="FootnoteText"/>
        <w:contextualSpacing/>
        <w:rPr>
          <w:rFonts w:ascii="Times New Roman" w:hAnsi="Times New Roman"/>
          <w:color w:val="000000" w:themeColor="text1"/>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rPr>
        <w:t xml:space="preserve"> </w:t>
      </w:r>
      <w:proofErr w:type="spellStart"/>
      <w:r w:rsidRPr="00545C56">
        <w:rPr>
          <w:rFonts w:ascii="Times New Roman" w:hAnsi="Times New Roman"/>
          <w:color w:val="000000" w:themeColor="text1"/>
        </w:rPr>
        <w:t>Vatovec</w:t>
      </w:r>
      <w:proofErr w:type="spellEnd"/>
      <w:r w:rsidRPr="00545C56">
        <w:rPr>
          <w:rFonts w:ascii="Times New Roman" w:hAnsi="Times New Roman"/>
          <w:color w:val="000000" w:themeColor="text1"/>
        </w:rPr>
        <w:t xml:space="preserve">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rPr>
        <w:instrText xml:space="preserve"> NOTEREF _Ref47707002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rPr>
        <w:t>55</w:t>
      </w:r>
      <w:r w:rsidRPr="00545C56">
        <w:rPr>
          <w:rFonts w:ascii="Times New Roman" w:hAnsi="Times New Roman"/>
          <w:color w:val="000000" w:themeColor="text1"/>
          <w:lang w:val="en-US"/>
        </w:rPr>
        <w:fldChar w:fldCharType="end"/>
      </w:r>
      <w:r w:rsidRPr="00545C56">
        <w:rPr>
          <w:rFonts w:ascii="Times New Roman" w:hAnsi="Times New Roman"/>
          <w:color w:val="000000" w:themeColor="text1"/>
        </w:rPr>
        <w:t>) 121.</w:t>
      </w:r>
    </w:p>
  </w:footnote>
  <w:footnote w:id="106">
    <w:p w14:paraId="70A53F94" w14:textId="2A808276"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Stefan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_Ref47706419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44</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19.</w:t>
      </w:r>
    </w:p>
  </w:footnote>
  <w:footnote w:id="107">
    <w:p w14:paraId="0E84F553" w14:textId="5DFCC53F"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Thirteen State aid cases in the past three years, compiled by the author from curia.europa.eu.</w:t>
      </w:r>
    </w:p>
  </w:footnote>
  <w:footnote w:id="108">
    <w:p w14:paraId="588D2269" w14:textId="561932E6" w:rsidR="00CD1F3A" w:rsidRPr="00545C56"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The discussion of the Notice on the Notion of State aid draws on A Biondi</w:t>
      </w:r>
      <w:r w:rsidR="00A94CD5">
        <w:rPr>
          <w:rFonts w:ascii="Times New Roman" w:hAnsi="Times New Roman"/>
          <w:color w:val="000000" w:themeColor="text1"/>
          <w:lang w:val="en-US"/>
        </w:rPr>
        <w:t xml:space="preserve"> and</w:t>
      </w:r>
      <w:r w:rsidRPr="00545C56">
        <w:rPr>
          <w:rFonts w:ascii="Times New Roman" w:hAnsi="Times New Roman"/>
          <w:color w:val="000000" w:themeColor="text1"/>
          <w:lang w:val="en-US"/>
        </w:rPr>
        <w:t xml:space="preserve"> O Stefan, ‘The Notice on the Notion of State Aid: Every light has its shadow’ in B </w:t>
      </w:r>
      <w:proofErr w:type="spellStart"/>
      <w:r w:rsidRPr="00545C56">
        <w:rPr>
          <w:rFonts w:ascii="Times New Roman" w:hAnsi="Times New Roman"/>
          <w:color w:val="000000" w:themeColor="text1"/>
          <w:lang w:val="en-US"/>
        </w:rPr>
        <w:t>Nascimbene</w:t>
      </w:r>
      <w:proofErr w:type="spellEnd"/>
      <w:r w:rsidRPr="00545C56">
        <w:rPr>
          <w:rFonts w:ascii="Times New Roman" w:hAnsi="Times New Roman"/>
          <w:color w:val="000000" w:themeColor="text1"/>
          <w:lang w:val="en-US"/>
        </w:rPr>
        <w:t xml:space="preserve"> (ed), </w:t>
      </w:r>
      <w:r w:rsidRPr="00545C56">
        <w:rPr>
          <w:rFonts w:ascii="Times New Roman" w:hAnsi="Times New Roman"/>
          <w:i/>
          <w:iCs/>
          <w:color w:val="000000" w:themeColor="text1"/>
          <w:lang w:val="en-US"/>
        </w:rPr>
        <w:t xml:space="preserve">The </w:t>
      </w:r>
      <w:proofErr w:type="spellStart"/>
      <w:r w:rsidRPr="00545C56">
        <w:rPr>
          <w:rFonts w:ascii="Times New Roman" w:hAnsi="Times New Roman"/>
          <w:i/>
          <w:iCs/>
          <w:color w:val="000000" w:themeColor="text1"/>
          <w:lang w:val="en-US"/>
        </w:rPr>
        <w:t>Modernisation</w:t>
      </w:r>
      <w:proofErr w:type="spellEnd"/>
      <w:r w:rsidRPr="00545C56">
        <w:rPr>
          <w:rFonts w:ascii="Times New Roman" w:hAnsi="Times New Roman"/>
          <w:i/>
          <w:iCs/>
          <w:color w:val="000000" w:themeColor="text1"/>
          <w:lang w:val="en-US"/>
        </w:rPr>
        <w:t xml:space="preserve"> of EU State Aid Control Evolution and Perspectives of the EU Rules on State Aids and Services of General Economic Interest </w:t>
      </w:r>
      <w:r w:rsidRPr="00545C56">
        <w:rPr>
          <w:rFonts w:ascii="Times New Roman" w:hAnsi="Times New Roman"/>
          <w:color w:val="000000" w:themeColor="text1"/>
          <w:lang w:val="en-US"/>
        </w:rPr>
        <w:t xml:space="preserve">(Springer, 2018). </w:t>
      </w:r>
    </w:p>
  </w:footnote>
  <w:footnote w:id="109">
    <w:p w14:paraId="427C8852" w14:textId="36664AD7" w:rsidR="00CD1F3A" w:rsidRPr="00545C56" w:rsidRDefault="00CD1F3A" w:rsidP="002803C8">
      <w:pPr>
        <w:pStyle w:val="FootnoteText"/>
        <w:contextualSpacing/>
        <w:rPr>
          <w:rFonts w:ascii="Times New Roman" w:hAnsi="Times New Roman"/>
          <w:color w:val="000000" w:themeColor="text1"/>
          <w:highlight w:val="yellow"/>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Eliantonio this volume.</w:t>
      </w:r>
    </w:p>
  </w:footnote>
  <w:footnote w:id="110">
    <w:p w14:paraId="70BB874F" w14:textId="26D9195B" w:rsidR="00CD1F3A" w:rsidRPr="00545C56" w:rsidRDefault="00CD1F3A" w:rsidP="002803C8">
      <w:pPr>
        <w:pStyle w:val="FootnoteText"/>
        <w:contextualSpacing/>
        <w:rPr>
          <w:rFonts w:ascii="Times New Roman" w:hAnsi="Times New Roman"/>
          <w:color w:val="000000" w:themeColor="text1"/>
          <w:lang w:val="en-GB"/>
        </w:rPr>
      </w:pPr>
      <w:r w:rsidRPr="00545C56">
        <w:rPr>
          <w:rStyle w:val="FootnoteReference"/>
          <w:rFonts w:ascii="Times New Roman" w:hAnsi="Times New Roman"/>
          <w:color w:val="000000" w:themeColor="text1"/>
          <w:lang w:val="en-GB"/>
        </w:rPr>
        <w:footnoteRef/>
      </w:r>
      <w:r w:rsidRPr="00545C56">
        <w:rPr>
          <w:rFonts w:ascii="Times New Roman" w:hAnsi="Times New Roman"/>
          <w:color w:val="000000" w:themeColor="text1"/>
          <w:lang w:val="en-GB"/>
        </w:rPr>
        <w:t xml:space="preserve"> </w:t>
      </w:r>
      <w:r w:rsidRPr="00545C56">
        <w:rPr>
          <w:rFonts w:ascii="Times New Roman" w:hAnsi="Times New Roman"/>
          <w:color w:val="000000" w:themeColor="text1"/>
          <w:shd w:val="clear" w:color="auto" w:fill="FFFFFF"/>
          <w:lang w:val="en-GB"/>
        </w:rPr>
        <w:t xml:space="preserve">Case C-16/16 P </w:t>
      </w:r>
      <w:r w:rsidRPr="00545C56">
        <w:rPr>
          <w:rFonts w:ascii="Times New Roman" w:hAnsi="Times New Roman"/>
          <w:i/>
          <w:iCs/>
          <w:color w:val="000000" w:themeColor="text1"/>
          <w:shd w:val="clear" w:color="auto" w:fill="FFFFFF"/>
          <w:lang w:val="en-GB"/>
        </w:rPr>
        <w:t>Belgium v Commission</w:t>
      </w:r>
      <w:r w:rsidRPr="00545C56">
        <w:rPr>
          <w:rFonts w:ascii="Times New Roman" w:hAnsi="Times New Roman"/>
          <w:color w:val="000000" w:themeColor="text1"/>
          <w:shd w:val="clear" w:color="auto" w:fill="FFFFFF"/>
          <w:lang w:val="en-GB"/>
        </w:rPr>
        <w:t xml:space="preserve">, [2018] EU:C:2018:79. </w:t>
      </w:r>
    </w:p>
  </w:footnote>
  <w:footnote w:id="111">
    <w:p w14:paraId="1C7A683C" w14:textId="4CB3692E"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color w:val="000000" w:themeColor="text1"/>
        </w:rPr>
        <w:footnoteRef/>
      </w:r>
      <w:r w:rsidRPr="00545C56">
        <w:rPr>
          <w:rFonts w:ascii="Times New Roman" w:hAnsi="Times New Roman"/>
          <w:color w:val="000000" w:themeColor="text1"/>
          <w:lang w:val="en-US"/>
        </w:rPr>
        <w:t xml:space="preserve"> </w:t>
      </w:r>
      <w:proofErr w:type="spellStart"/>
      <w:r w:rsidRPr="00545C56">
        <w:rPr>
          <w:rFonts w:ascii="Times New Roman" w:hAnsi="Times New Roman"/>
          <w:color w:val="000000" w:themeColor="text1"/>
          <w:lang w:val="en-US"/>
        </w:rPr>
        <w:t>Mörth</w:t>
      </w:r>
      <w:proofErr w:type="spellEnd"/>
      <w:r w:rsidRPr="00545C56">
        <w:rPr>
          <w:rFonts w:ascii="Times New Roman" w:hAnsi="Times New Roman"/>
          <w:color w:val="000000" w:themeColor="text1"/>
          <w:lang w:val="en-US"/>
        </w:rPr>
        <w:t xml:space="preserve"> this volume. </w:t>
      </w:r>
    </w:p>
  </w:footnote>
  <w:footnote w:id="112">
    <w:p w14:paraId="06765B0E" w14:textId="49865AA1" w:rsidR="00CD1F3A" w:rsidRPr="00545C56" w:rsidRDefault="00CD1F3A" w:rsidP="002803C8">
      <w:pPr>
        <w:contextualSpacing/>
        <w:rPr>
          <w:color w:val="000000" w:themeColor="text1"/>
          <w:sz w:val="20"/>
          <w:szCs w:val="20"/>
        </w:rPr>
      </w:pPr>
      <w:r w:rsidRPr="00545C56">
        <w:rPr>
          <w:rStyle w:val="FootnoteReference"/>
          <w:rFonts w:eastAsiaTheme="majorEastAsia"/>
          <w:color w:val="000000" w:themeColor="text1"/>
          <w:sz w:val="20"/>
          <w:szCs w:val="20"/>
        </w:rPr>
        <w:footnoteRef/>
      </w:r>
      <w:r w:rsidRPr="00545C56">
        <w:rPr>
          <w:color w:val="000000" w:themeColor="text1"/>
          <w:sz w:val="20"/>
          <w:szCs w:val="20"/>
        </w:rPr>
        <w:t xml:space="preserve"> Scott (n 2) 336. </w:t>
      </w:r>
    </w:p>
  </w:footnote>
  <w:footnote w:id="113">
    <w:p w14:paraId="058FDFE9" w14:textId="444053C7"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hAnsi="Times New Roman"/>
          <w:lang w:val="en-GB"/>
        </w:rPr>
        <w:footnoteRef/>
      </w:r>
      <w:r w:rsidRPr="00545C56">
        <w:rPr>
          <w:rFonts w:ascii="Times New Roman" w:hAnsi="Times New Roman"/>
          <w:lang w:val="en-GB"/>
        </w:rPr>
        <w:t xml:space="preserve"> S </w:t>
      </w:r>
      <w:proofErr w:type="spellStart"/>
      <w:r w:rsidRPr="00545C56">
        <w:rPr>
          <w:rFonts w:ascii="Times New Roman" w:hAnsi="Times New Roman"/>
          <w:color w:val="000000" w:themeColor="text1"/>
          <w:lang w:val="en-GB"/>
        </w:rPr>
        <w:t>Kröger</w:t>
      </w:r>
      <w:proofErr w:type="spellEnd"/>
      <w:r w:rsidRPr="00545C56">
        <w:rPr>
          <w:rFonts w:ascii="Times New Roman" w:hAnsi="Times New Roman"/>
          <w:color w:val="000000" w:themeColor="text1"/>
          <w:lang w:val="en-GB"/>
        </w:rPr>
        <w:t xml:space="preserve">, ‘The End of Democracy as We Know it? The Legitimacy Deficits of Bureaucratic Social Policy Governance’ (2007) 29 </w:t>
      </w:r>
      <w:r w:rsidRPr="00545C56">
        <w:rPr>
          <w:rFonts w:ascii="Times New Roman" w:hAnsi="Times New Roman"/>
          <w:i/>
          <w:color w:val="000000" w:themeColor="text1"/>
          <w:lang w:val="en-GB"/>
        </w:rPr>
        <w:t>Journal of European Integration</w:t>
      </w:r>
      <w:r w:rsidRPr="00545C56">
        <w:rPr>
          <w:rFonts w:ascii="Times New Roman" w:hAnsi="Times New Roman"/>
          <w:color w:val="000000" w:themeColor="text1"/>
          <w:lang w:val="en-GB"/>
        </w:rPr>
        <w:t>, 565.</w:t>
      </w:r>
    </w:p>
  </w:footnote>
  <w:footnote w:id="114">
    <w:p w14:paraId="7B8DAD7B" w14:textId="07574649"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K Armstrong, ‘How Open is the United Kingdom to the OMC process on social inclusion’ in J Zeitlin</w:t>
      </w:r>
      <w:r w:rsidR="00A94CD5">
        <w:rPr>
          <w:rFonts w:ascii="Times New Roman" w:hAnsi="Times New Roman"/>
          <w:lang w:val="en-GB"/>
        </w:rPr>
        <w:t xml:space="preserve"> and</w:t>
      </w:r>
      <w:r w:rsidRPr="00545C56">
        <w:rPr>
          <w:rFonts w:ascii="Times New Roman" w:hAnsi="Times New Roman"/>
          <w:lang w:val="en-GB"/>
        </w:rPr>
        <w:t xml:space="preserve"> P </w:t>
      </w:r>
      <w:proofErr w:type="spellStart"/>
      <w:r w:rsidRPr="00545C56">
        <w:rPr>
          <w:rFonts w:ascii="Times New Roman" w:hAnsi="Times New Roman"/>
          <w:lang w:val="en-GB"/>
        </w:rPr>
        <w:t>Pochet</w:t>
      </w:r>
      <w:proofErr w:type="spellEnd"/>
      <w:r w:rsidRPr="00545C56">
        <w:rPr>
          <w:rFonts w:ascii="Times New Roman" w:hAnsi="Times New Roman"/>
          <w:lang w:val="en-GB"/>
        </w:rPr>
        <w:t xml:space="preserve"> (eds), </w:t>
      </w:r>
      <w:r w:rsidRPr="00545C56">
        <w:rPr>
          <w:rFonts w:ascii="Times New Roman" w:hAnsi="Times New Roman"/>
          <w:i/>
          <w:iCs/>
          <w:lang w:val="en-GB"/>
        </w:rPr>
        <w:t>The Open Method of Co-ordination in Action</w:t>
      </w:r>
      <w:r w:rsidRPr="00545C56">
        <w:rPr>
          <w:rFonts w:ascii="Times New Roman" w:hAnsi="Times New Roman"/>
          <w:lang w:val="en-GB"/>
        </w:rPr>
        <w:t xml:space="preserve"> (Brussels, PIE-Peter Lang, 2005) 287.</w:t>
      </w:r>
    </w:p>
  </w:footnote>
  <w:footnote w:id="115">
    <w:p w14:paraId="6DA3A058" w14:textId="5A85C8FF"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M </w:t>
      </w:r>
      <w:proofErr w:type="spellStart"/>
      <w:r w:rsidRPr="00545C56">
        <w:rPr>
          <w:rFonts w:ascii="Times New Roman" w:hAnsi="Times New Roman"/>
          <w:lang w:val="en-US"/>
        </w:rPr>
        <w:t>Botta</w:t>
      </w:r>
      <w:proofErr w:type="spellEnd"/>
      <w:r w:rsidRPr="00545C56">
        <w:rPr>
          <w:rFonts w:ascii="Times New Roman" w:hAnsi="Times New Roman"/>
          <w:lang w:val="en-US"/>
        </w:rPr>
        <w:t xml:space="preserve">, ‘Competition policy: safeguarding the Commission’s competences in State aid control’ (2016) 38 </w:t>
      </w:r>
      <w:r w:rsidRPr="00545C56">
        <w:rPr>
          <w:rFonts w:ascii="Times New Roman" w:hAnsi="Times New Roman"/>
          <w:i/>
          <w:lang w:val="en-US"/>
        </w:rPr>
        <w:t>Journal of European Integration</w:t>
      </w:r>
      <w:r w:rsidRPr="00545C56">
        <w:rPr>
          <w:rFonts w:ascii="Times New Roman" w:hAnsi="Times New Roman"/>
          <w:lang w:val="en-US"/>
        </w:rPr>
        <w:t xml:space="preserve"> 265, 271; Biondi</w:t>
      </w:r>
      <w:r w:rsidR="00A94CD5">
        <w:rPr>
          <w:rFonts w:ascii="Times New Roman" w:hAnsi="Times New Roman"/>
          <w:lang w:val="en-US"/>
        </w:rPr>
        <w:t xml:space="preserve"> and</w:t>
      </w:r>
      <w:r w:rsidRPr="00545C56">
        <w:rPr>
          <w:rFonts w:ascii="Times New Roman" w:hAnsi="Times New Roman"/>
          <w:lang w:val="en-US"/>
        </w:rPr>
        <w:t xml:space="preserve"> Stefan (n 109). </w:t>
      </w:r>
    </w:p>
  </w:footnote>
  <w:footnote w:id="116">
    <w:p w14:paraId="394B4695" w14:textId="0FC51B28"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K </w:t>
      </w:r>
      <w:proofErr w:type="spellStart"/>
      <w:r w:rsidRPr="00545C56">
        <w:rPr>
          <w:rFonts w:ascii="Times New Roman" w:hAnsi="Times New Roman"/>
          <w:lang w:val="en-US"/>
        </w:rPr>
        <w:t>Havu</w:t>
      </w:r>
      <w:proofErr w:type="spellEnd"/>
      <w:r w:rsidR="00A94CD5">
        <w:rPr>
          <w:rFonts w:ascii="Times New Roman" w:hAnsi="Times New Roman"/>
          <w:lang w:val="en-US"/>
        </w:rPr>
        <w:t xml:space="preserve"> and</w:t>
      </w:r>
      <w:r w:rsidRPr="00545C56">
        <w:rPr>
          <w:rFonts w:ascii="Times New Roman" w:hAnsi="Times New Roman"/>
          <w:lang w:val="en-US"/>
        </w:rPr>
        <w:t xml:space="preserve"> L </w:t>
      </w:r>
      <w:proofErr w:type="spellStart"/>
      <w:r w:rsidRPr="00545C56">
        <w:rPr>
          <w:rFonts w:ascii="Times New Roman" w:hAnsi="Times New Roman"/>
          <w:lang w:val="en-US"/>
        </w:rPr>
        <w:t>Tarkkila</w:t>
      </w:r>
      <w:proofErr w:type="spellEnd"/>
      <w:r w:rsidRPr="00545C56">
        <w:rPr>
          <w:rFonts w:ascii="Times New Roman" w:hAnsi="Times New Roman"/>
          <w:lang w:val="en-US"/>
        </w:rPr>
        <w:t xml:space="preserve">, ‘National Report on Finland: the Use of EU Soft Law by National Courts and Administration in the Field of EU Competition and State Aid Law’ in Stefan </w:t>
      </w:r>
      <w:r w:rsidRPr="00545C56">
        <w:rPr>
          <w:rFonts w:ascii="Times New Roman" w:hAnsi="Times New Roman"/>
          <w:color w:val="000000" w:themeColor="text1"/>
          <w:lang w:val="en-US"/>
        </w:rPr>
        <w:t xml:space="preserve">(n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_Ref47706419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44</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47.</w:t>
      </w:r>
    </w:p>
  </w:footnote>
  <w:footnote w:id="117">
    <w:p w14:paraId="17DF8A4A" w14:textId="77985557"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Alberti</w:t>
      </w:r>
      <w:r w:rsidR="00A94CD5">
        <w:rPr>
          <w:rFonts w:ascii="Times New Roman" w:hAnsi="Times New Roman"/>
          <w:lang w:val="en-US"/>
        </w:rPr>
        <w:t xml:space="preserve"> and</w:t>
      </w:r>
      <w:r w:rsidRPr="00545C56">
        <w:rPr>
          <w:rFonts w:ascii="Times New Roman" w:hAnsi="Times New Roman"/>
          <w:lang w:val="en-US"/>
        </w:rPr>
        <w:t xml:space="preserve"> </w:t>
      </w:r>
      <w:proofErr w:type="spellStart"/>
      <w:r w:rsidRPr="00545C56">
        <w:rPr>
          <w:rFonts w:ascii="Times New Roman" w:hAnsi="Times New Roman"/>
          <w:lang w:val="en-US"/>
        </w:rPr>
        <w:t>Croci</w:t>
      </w:r>
      <w:proofErr w:type="spellEnd"/>
      <w:r w:rsidRPr="00545C56">
        <w:rPr>
          <w:rFonts w:ascii="Times New Roman" w:hAnsi="Times New Roman"/>
          <w:lang w:val="en-US"/>
        </w:rPr>
        <w:t xml:space="preserve"> (n </w:t>
      </w:r>
      <w:r w:rsidRPr="00545C56">
        <w:rPr>
          <w:rFonts w:ascii="Times New Roman" w:hAnsi="Times New Roman"/>
          <w:lang w:val="en-US"/>
        </w:rPr>
        <w:fldChar w:fldCharType="begin"/>
      </w:r>
      <w:r w:rsidRPr="00545C56">
        <w:rPr>
          <w:rFonts w:ascii="Times New Roman" w:hAnsi="Times New Roman"/>
          <w:lang w:val="en-US"/>
        </w:rPr>
        <w:instrText xml:space="preserve"> NOTEREF _Ref47715302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98</w:t>
      </w:r>
      <w:r w:rsidRPr="00545C56">
        <w:rPr>
          <w:rFonts w:ascii="Times New Roman" w:hAnsi="Times New Roman"/>
          <w:lang w:val="en-US"/>
        </w:rPr>
        <w:fldChar w:fldCharType="end"/>
      </w:r>
      <w:r w:rsidRPr="00545C56">
        <w:rPr>
          <w:rFonts w:ascii="Times New Roman" w:hAnsi="Times New Roman"/>
          <w:lang w:val="en-US"/>
        </w:rPr>
        <w:t>) 111.</w:t>
      </w:r>
    </w:p>
  </w:footnote>
  <w:footnote w:id="118">
    <w:p w14:paraId="75C8E949" w14:textId="541D828B"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w:t>
      </w:r>
      <w:r w:rsidRPr="00A94CD5">
        <w:rPr>
          <w:rFonts w:ascii="Times New Roman" w:hAnsi="Times New Roman"/>
          <w:lang w:val="en-US"/>
        </w:rPr>
        <w:t>ibid</w:t>
      </w:r>
      <w:r w:rsidRPr="00545C56">
        <w:rPr>
          <w:rFonts w:ascii="Times New Roman" w:hAnsi="Times New Roman"/>
          <w:lang w:val="en-US"/>
        </w:rPr>
        <w:t>, 110; see also Biondi</w:t>
      </w:r>
      <w:r w:rsidR="00A94CD5">
        <w:rPr>
          <w:rFonts w:ascii="Times New Roman" w:hAnsi="Times New Roman"/>
          <w:lang w:val="en-US"/>
        </w:rPr>
        <w:t xml:space="preserve"> and</w:t>
      </w:r>
      <w:r w:rsidRPr="00545C56">
        <w:rPr>
          <w:rFonts w:ascii="Times New Roman" w:hAnsi="Times New Roman"/>
          <w:lang w:val="en-US"/>
        </w:rPr>
        <w:t xml:space="preserve"> Stefan (n 109). </w:t>
      </w:r>
    </w:p>
  </w:footnote>
  <w:footnote w:id="119">
    <w:p w14:paraId="66E722C8" w14:textId="0B25EF02" w:rsidR="00CD1F3A" w:rsidRPr="00545C56" w:rsidRDefault="00CD1F3A" w:rsidP="002803C8">
      <w:pPr>
        <w:pStyle w:val="FootnoteText"/>
        <w:contextualSpacing/>
        <w:rPr>
          <w:rFonts w:ascii="Times New Roman" w:hAnsi="Times New Roman"/>
          <w:bCs/>
          <w:lang w:val="fi-FI"/>
        </w:rPr>
      </w:pPr>
      <w:r w:rsidRPr="00545C56">
        <w:rPr>
          <w:rStyle w:val="FootnoteReference"/>
          <w:rFonts w:ascii="Times New Roman" w:hAnsi="Times New Roman"/>
          <w:lang w:val="en-GB"/>
        </w:rPr>
        <w:footnoteRef/>
      </w:r>
      <w:r w:rsidRPr="00545C56">
        <w:rPr>
          <w:rFonts w:ascii="Times New Roman" w:hAnsi="Times New Roman"/>
        </w:rPr>
        <w:t xml:space="preserve"> </w:t>
      </w:r>
      <w:proofErr w:type="spellStart"/>
      <w:r w:rsidRPr="00545C56">
        <w:rPr>
          <w:rFonts w:ascii="Times New Roman" w:hAnsi="Times New Roman"/>
          <w:color w:val="000000" w:themeColor="text1"/>
        </w:rPr>
        <w:t>Lisi</w:t>
      </w:r>
      <w:proofErr w:type="spellEnd"/>
      <w:r w:rsidRPr="00545C56">
        <w:rPr>
          <w:rFonts w:ascii="Times New Roman" w:hAnsi="Times New Roman"/>
          <w:color w:val="000000" w:themeColor="text1"/>
        </w:rPr>
        <w:t xml:space="preserve"> (n </w:t>
      </w:r>
      <w:r w:rsidRPr="00545C56">
        <w:rPr>
          <w:rFonts w:ascii="Times New Roman" w:hAnsi="Times New Roman"/>
          <w:color w:val="000000" w:themeColor="text1"/>
          <w:lang w:val="en-GB"/>
        </w:rPr>
        <w:fldChar w:fldCharType="begin"/>
      </w:r>
      <w:r w:rsidRPr="00545C56">
        <w:rPr>
          <w:rFonts w:ascii="Times New Roman" w:hAnsi="Times New Roman"/>
          <w:color w:val="000000" w:themeColor="text1"/>
        </w:rPr>
        <w:instrText xml:space="preserve"> NOTEREF _Ref47713251 \h  \* MERGEFORMAT </w:instrText>
      </w:r>
      <w:r w:rsidRPr="00545C56">
        <w:rPr>
          <w:rFonts w:ascii="Times New Roman" w:hAnsi="Times New Roman"/>
          <w:color w:val="000000" w:themeColor="text1"/>
          <w:lang w:val="en-GB"/>
        </w:rPr>
      </w:r>
      <w:r w:rsidRPr="00545C56">
        <w:rPr>
          <w:rFonts w:ascii="Times New Roman" w:hAnsi="Times New Roman"/>
          <w:color w:val="000000" w:themeColor="text1"/>
          <w:lang w:val="en-GB"/>
        </w:rPr>
        <w:fldChar w:fldCharType="separate"/>
      </w:r>
      <w:r w:rsidR="00CC3357">
        <w:rPr>
          <w:rFonts w:ascii="Times New Roman" w:hAnsi="Times New Roman"/>
          <w:color w:val="000000" w:themeColor="text1"/>
        </w:rPr>
        <w:t>96</w:t>
      </w:r>
      <w:r w:rsidRPr="00545C56">
        <w:rPr>
          <w:rFonts w:ascii="Times New Roman" w:hAnsi="Times New Roman"/>
          <w:color w:val="000000" w:themeColor="text1"/>
          <w:lang w:val="en-GB"/>
        </w:rPr>
        <w:fldChar w:fldCharType="end"/>
      </w:r>
      <w:r w:rsidRPr="00545C56">
        <w:rPr>
          <w:rFonts w:ascii="Times New Roman" w:hAnsi="Times New Roman"/>
          <w:color w:val="000000" w:themeColor="text1"/>
        </w:rPr>
        <w:t>) 47</w:t>
      </w:r>
      <w:r w:rsidRPr="00545C56">
        <w:rPr>
          <w:rFonts w:ascii="Times New Roman" w:hAnsi="Times New Roman"/>
          <w:bCs/>
        </w:rPr>
        <w:t>.</w:t>
      </w:r>
    </w:p>
  </w:footnote>
  <w:footnote w:id="120">
    <w:p w14:paraId="4C2E3FE7" w14:textId="494ED167" w:rsidR="00CD1F3A" w:rsidRPr="00545C56" w:rsidRDefault="00CD1F3A" w:rsidP="002803C8">
      <w:pPr>
        <w:pStyle w:val="FootnoteText"/>
        <w:contextualSpacing/>
        <w:rPr>
          <w:rFonts w:ascii="Times New Roman" w:hAnsi="Times New Roman"/>
        </w:rPr>
      </w:pPr>
      <w:r w:rsidRPr="00545C56">
        <w:rPr>
          <w:rStyle w:val="FootnoteReference"/>
          <w:rFonts w:ascii="Times New Roman" w:hAnsi="Times New Roman"/>
          <w:lang w:val="en-GB"/>
        </w:rPr>
        <w:footnoteRef/>
      </w:r>
      <w:r w:rsidRPr="00545C56">
        <w:rPr>
          <w:rFonts w:ascii="Times New Roman" w:hAnsi="Times New Roman"/>
        </w:rPr>
        <w:t xml:space="preserve"> </w:t>
      </w:r>
      <w:proofErr w:type="spellStart"/>
      <w:r w:rsidRPr="00545C56">
        <w:rPr>
          <w:rFonts w:ascii="Times New Roman" w:hAnsi="Times New Roman"/>
          <w:color w:val="000000" w:themeColor="text1"/>
        </w:rPr>
        <w:t>Vatovec</w:t>
      </w:r>
      <w:proofErr w:type="spellEnd"/>
      <w:r w:rsidRPr="00545C56">
        <w:rPr>
          <w:rFonts w:ascii="Times New Roman" w:hAnsi="Times New Roman"/>
          <w:color w:val="000000" w:themeColor="text1"/>
        </w:rPr>
        <w:t xml:space="preserve">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rPr>
        <w:instrText xml:space="preserve"> NOTEREF _Ref47707002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rPr>
        <w:t>55</w:t>
      </w:r>
      <w:r w:rsidRPr="00545C56">
        <w:rPr>
          <w:rFonts w:ascii="Times New Roman" w:hAnsi="Times New Roman"/>
          <w:color w:val="000000" w:themeColor="text1"/>
          <w:lang w:val="en-US"/>
        </w:rPr>
        <w:fldChar w:fldCharType="end"/>
      </w:r>
      <w:r w:rsidRPr="00545C56">
        <w:rPr>
          <w:rFonts w:ascii="Times New Roman" w:hAnsi="Times New Roman"/>
          <w:color w:val="000000" w:themeColor="text1"/>
        </w:rPr>
        <w:t>) 121.</w:t>
      </w:r>
    </w:p>
  </w:footnote>
  <w:footnote w:id="121">
    <w:p w14:paraId="25565451" w14:textId="6FC446AA" w:rsidR="00CD1F3A" w:rsidRPr="00545C56" w:rsidRDefault="00CD1F3A" w:rsidP="002803C8">
      <w:pPr>
        <w:pStyle w:val="FootnoteText"/>
        <w:contextualSpacing/>
        <w:rPr>
          <w:rFonts w:ascii="Times New Roman" w:hAnsi="Times New Roman"/>
          <w:bCs/>
          <w:lang w:val="fi-FI"/>
        </w:rPr>
      </w:pPr>
      <w:r w:rsidRPr="00545C56">
        <w:rPr>
          <w:rStyle w:val="FootnoteReference"/>
          <w:rFonts w:ascii="Times New Roman" w:hAnsi="Times New Roman"/>
          <w:lang w:val="en-GB"/>
        </w:rPr>
        <w:footnoteRef/>
      </w:r>
      <w:r w:rsidRPr="00545C56">
        <w:rPr>
          <w:rFonts w:ascii="Times New Roman" w:hAnsi="Times New Roman"/>
        </w:rPr>
        <w:t xml:space="preserve"> </w:t>
      </w:r>
      <w:proofErr w:type="spellStart"/>
      <w:r w:rsidRPr="00545C56">
        <w:rPr>
          <w:rFonts w:ascii="Times New Roman" w:hAnsi="Times New Roman"/>
          <w:color w:val="000000" w:themeColor="text1"/>
        </w:rPr>
        <w:t>Lisi</w:t>
      </w:r>
      <w:proofErr w:type="spellEnd"/>
      <w:r w:rsidRPr="00545C56">
        <w:rPr>
          <w:rFonts w:ascii="Times New Roman" w:hAnsi="Times New Roman"/>
          <w:color w:val="000000" w:themeColor="text1"/>
        </w:rPr>
        <w:t xml:space="preserve"> (n </w:t>
      </w:r>
      <w:r w:rsidRPr="00545C56">
        <w:rPr>
          <w:rFonts w:ascii="Times New Roman" w:hAnsi="Times New Roman"/>
          <w:color w:val="000000" w:themeColor="text1"/>
          <w:lang w:val="en-GB"/>
        </w:rPr>
        <w:fldChar w:fldCharType="begin"/>
      </w:r>
      <w:r w:rsidRPr="00545C56">
        <w:rPr>
          <w:rFonts w:ascii="Times New Roman" w:hAnsi="Times New Roman"/>
          <w:color w:val="000000" w:themeColor="text1"/>
        </w:rPr>
        <w:instrText xml:space="preserve"> NOTEREF _Ref47713251 \h  \* MERGEFORMAT </w:instrText>
      </w:r>
      <w:r w:rsidRPr="00545C56">
        <w:rPr>
          <w:rFonts w:ascii="Times New Roman" w:hAnsi="Times New Roman"/>
          <w:color w:val="000000" w:themeColor="text1"/>
          <w:lang w:val="en-GB"/>
        </w:rPr>
      </w:r>
      <w:r w:rsidRPr="00545C56">
        <w:rPr>
          <w:rFonts w:ascii="Times New Roman" w:hAnsi="Times New Roman"/>
          <w:color w:val="000000" w:themeColor="text1"/>
          <w:lang w:val="en-GB"/>
        </w:rPr>
        <w:fldChar w:fldCharType="separate"/>
      </w:r>
      <w:r w:rsidR="00CC3357">
        <w:rPr>
          <w:rFonts w:ascii="Times New Roman" w:hAnsi="Times New Roman"/>
          <w:color w:val="000000" w:themeColor="text1"/>
        </w:rPr>
        <w:t>96</w:t>
      </w:r>
      <w:r w:rsidRPr="00545C56">
        <w:rPr>
          <w:rFonts w:ascii="Times New Roman" w:hAnsi="Times New Roman"/>
          <w:color w:val="000000" w:themeColor="text1"/>
          <w:lang w:val="en-GB"/>
        </w:rPr>
        <w:fldChar w:fldCharType="end"/>
      </w:r>
      <w:r w:rsidRPr="00545C56">
        <w:rPr>
          <w:rFonts w:ascii="Times New Roman" w:hAnsi="Times New Roman"/>
          <w:color w:val="000000" w:themeColor="text1"/>
        </w:rPr>
        <w:t>) 46</w:t>
      </w:r>
      <w:r w:rsidRPr="00545C56">
        <w:rPr>
          <w:rFonts w:ascii="Times New Roman" w:hAnsi="Times New Roman"/>
          <w:bCs/>
        </w:rPr>
        <w:t>.</w:t>
      </w:r>
    </w:p>
  </w:footnote>
  <w:footnote w:id="122">
    <w:p w14:paraId="4C7F313F" w14:textId="1BC00DC2"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hAnsi="Times New Roman"/>
          <w:lang w:val="en-GB"/>
        </w:rPr>
        <w:footnoteRef/>
      </w:r>
      <w:r w:rsidRPr="00545C56">
        <w:rPr>
          <w:rFonts w:ascii="Times New Roman" w:hAnsi="Times New Roman"/>
          <w:lang w:val="en-GB"/>
        </w:rPr>
        <w:t xml:space="preserve"> </w:t>
      </w:r>
      <w:proofErr w:type="spellStart"/>
      <w:r w:rsidRPr="00545C56">
        <w:rPr>
          <w:rFonts w:ascii="Times New Roman" w:hAnsi="Times New Roman"/>
          <w:lang w:val="en-US"/>
        </w:rPr>
        <w:t>Leino</w:t>
      </w:r>
      <w:proofErr w:type="spellEnd"/>
      <w:r w:rsidRPr="00545C56">
        <w:rPr>
          <w:rFonts w:ascii="Times New Roman" w:hAnsi="Times New Roman"/>
          <w:lang w:val="en-US"/>
        </w:rPr>
        <w:t>-Sandberg</w:t>
      </w:r>
      <w:r w:rsidR="00A94CD5">
        <w:rPr>
          <w:rFonts w:ascii="Times New Roman" w:hAnsi="Times New Roman"/>
          <w:lang w:val="en-US"/>
        </w:rPr>
        <w:t xml:space="preserve"> and</w:t>
      </w:r>
      <w:r w:rsidRPr="00545C56">
        <w:rPr>
          <w:rFonts w:ascii="Times New Roman" w:hAnsi="Times New Roman"/>
          <w:lang w:val="en-US"/>
        </w:rPr>
        <w:t xml:space="preserve"> </w:t>
      </w:r>
      <w:proofErr w:type="spellStart"/>
      <w:r w:rsidRPr="00545C56">
        <w:rPr>
          <w:rFonts w:ascii="Times New Roman" w:hAnsi="Times New Roman"/>
          <w:lang w:val="en-US"/>
        </w:rPr>
        <w:t>Korkea-aho</w:t>
      </w:r>
      <w:proofErr w:type="spellEnd"/>
      <w:r w:rsidRPr="00545C56">
        <w:rPr>
          <w:rFonts w:ascii="Times New Roman" w:hAnsi="Times New Roman"/>
          <w:lang w:val="en-US"/>
        </w:rPr>
        <w:t xml:space="preserve"> (n </w:t>
      </w:r>
      <w:r w:rsidRPr="00545C56">
        <w:rPr>
          <w:rFonts w:ascii="Times New Roman" w:hAnsi="Times New Roman"/>
          <w:lang w:val="en-US"/>
        </w:rPr>
        <w:fldChar w:fldCharType="begin"/>
      </w:r>
      <w:r w:rsidRPr="00545C56">
        <w:rPr>
          <w:rFonts w:ascii="Times New Roman" w:hAnsi="Times New Roman"/>
          <w:lang w:val="en-US"/>
        </w:rPr>
        <w:instrText xml:space="preserve"> NOTEREF _Ref47713350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92</w:t>
      </w:r>
      <w:r w:rsidRPr="00545C56">
        <w:rPr>
          <w:rFonts w:ascii="Times New Roman" w:hAnsi="Times New Roman"/>
          <w:lang w:val="en-US"/>
        </w:rPr>
        <w:fldChar w:fldCharType="end"/>
      </w:r>
      <w:r w:rsidRPr="00545C56">
        <w:rPr>
          <w:rFonts w:ascii="Times New Roman" w:hAnsi="Times New Roman"/>
          <w:lang w:val="en-US"/>
        </w:rPr>
        <w:t>) 35.</w:t>
      </w:r>
    </w:p>
  </w:footnote>
  <w:footnote w:id="123">
    <w:p w14:paraId="3AA4DEB1" w14:textId="5E86B27A"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w:t>
      </w:r>
      <w:proofErr w:type="spellStart"/>
      <w:r w:rsidRPr="00545C56">
        <w:rPr>
          <w:rFonts w:ascii="Times New Roman" w:hAnsi="Times New Roman"/>
          <w:lang w:val="en-GB"/>
        </w:rPr>
        <w:t>Birkinshaw</w:t>
      </w:r>
      <w:proofErr w:type="spellEnd"/>
      <w:r w:rsidRPr="00545C56">
        <w:rPr>
          <w:rFonts w:ascii="Times New Roman" w:hAnsi="Times New Roman"/>
          <w:lang w:val="en-GB"/>
        </w:rPr>
        <w:t xml:space="preserve"> (n 29) 190.</w:t>
      </w:r>
    </w:p>
  </w:footnote>
  <w:footnote w:id="124">
    <w:p w14:paraId="62000038" w14:textId="77777777"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w:t>
      </w:r>
      <w:r w:rsidRPr="00545C56">
        <w:rPr>
          <w:rFonts w:ascii="Times New Roman" w:hAnsi="Times New Roman"/>
          <w:lang w:val="en-GB"/>
        </w:rPr>
        <w:fldChar w:fldCharType="begin"/>
      </w:r>
      <w:r w:rsidRPr="00545C56">
        <w:rPr>
          <w:rFonts w:ascii="Times New Roman" w:hAnsi="Times New Roman"/>
          <w:lang w:val="en-GB"/>
        </w:rPr>
        <w:instrText xml:space="preserve"> ADDIN EN.CITE &lt;EndNote&gt;&lt;Cite&gt;&lt;Author&gt;Smismans&lt;/Author&gt;&lt;Year&gt;2010&lt;/Year&gt;&lt;RecNum&gt;1546&lt;/RecNum&gt;&lt;DisplayText&gt;Stijn Smismans, ‘From harmonization to co-ordination? EU law in the Lisbon governance architecture’ (2010) 18 Journal of European Public Policy 504&lt;/DisplayText&gt;&lt;record&gt;&lt;rec-number&gt;1546&lt;/rec-number&gt;&lt;foreign-keys&gt;&lt;key app="EN" db-id="vw2df2d0larr5wefdtk5v9rqs0wfd5ex9pxv" timestamp="0"&gt;1546&lt;/key&gt;&lt;/foreign-keys&gt;&lt;ref-type name="Journal Article"&gt;17&lt;/ref-type&gt;&lt;contributors&gt;&lt;authors&gt;&lt;author&gt;Smismans, Stijn&lt;/author&gt;&lt;/authors&gt;&lt;/contributors&gt;&lt;titles&gt;&lt;title&gt;From harmonization to co-ordination? EU law in the Lisbon governance architecture&lt;/title&gt;&lt;secondary-title&gt;Journal of European Public Policy&lt;/secondary-title&gt;&lt;/titles&gt;&lt;pages&gt;504-524&lt;/pages&gt;&lt;volume&gt;18&lt;/volume&gt;&lt;number&gt;4&lt;/number&gt;&lt;dates&gt;&lt;year&gt;2010&lt;/year&gt;&lt;pub-dates&gt;&lt;date&gt;2013/05/10&lt;/date&gt;&lt;/pub-dates&gt;&lt;/dates&gt;&lt;pub-location&gt;2010&lt;/pub-location&gt;&lt;isbn&gt;1350-1763&lt;/isbn&gt;&lt;urls&gt;&lt;related-urls&gt;&lt;url&gt;http://dx.doi.org/10.1080/13501763.2011.560073&lt;/url&gt;&lt;/related-urls&gt;&lt;/urls&gt;&lt;electronic-resource-num&gt;10.1080/13501763.2011.560073&lt;/electronic-resource-num&gt;&lt;/record&gt;&lt;/Cite&gt;&lt;/EndNote&gt;</w:instrText>
      </w:r>
      <w:r w:rsidRPr="00545C56">
        <w:rPr>
          <w:rFonts w:ascii="Times New Roman" w:hAnsi="Times New Roman"/>
          <w:lang w:val="en-GB"/>
        </w:rPr>
        <w:fldChar w:fldCharType="separate"/>
      </w:r>
      <w:r w:rsidRPr="00545C56">
        <w:rPr>
          <w:rFonts w:ascii="Times New Roman" w:hAnsi="Times New Roman"/>
          <w:lang w:val="en-GB"/>
        </w:rPr>
        <w:t xml:space="preserve">S </w:t>
      </w:r>
      <w:proofErr w:type="spellStart"/>
      <w:r w:rsidRPr="00545C56">
        <w:rPr>
          <w:rFonts w:ascii="Times New Roman" w:hAnsi="Times New Roman"/>
          <w:lang w:val="en-GB"/>
        </w:rPr>
        <w:t>Smismans</w:t>
      </w:r>
      <w:proofErr w:type="spellEnd"/>
      <w:r w:rsidRPr="00545C56">
        <w:rPr>
          <w:rFonts w:ascii="Times New Roman" w:hAnsi="Times New Roman"/>
          <w:lang w:val="en-GB"/>
        </w:rPr>
        <w:t xml:space="preserve">, ‘From harmonization to co-ordination? EU law in the Lisbon governance architecture’ (2010) 18 </w:t>
      </w:r>
      <w:r w:rsidRPr="00545C56">
        <w:rPr>
          <w:rFonts w:ascii="Times New Roman" w:hAnsi="Times New Roman"/>
          <w:i/>
          <w:lang w:val="en-GB"/>
        </w:rPr>
        <w:t>Journal of European Public Policy</w:t>
      </w:r>
      <w:r w:rsidRPr="00545C56">
        <w:rPr>
          <w:rFonts w:ascii="Times New Roman" w:hAnsi="Times New Roman"/>
          <w:lang w:val="en-GB"/>
        </w:rPr>
        <w:t xml:space="preserve"> 504</w:t>
      </w:r>
      <w:r w:rsidRPr="00545C56">
        <w:rPr>
          <w:rFonts w:ascii="Times New Roman" w:hAnsi="Times New Roman"/>
          <w:lang w:val="en-GB"/>
        </w:rPr>
        <w:fldChar w:fldCharType="end"/>
      </w:r>
      <w:r w:rsidRPr="00545C56">
        <w:rPr>
          <w:rFonts w:ascii="Times New Roman" w:hAnsi="Times New Roman"/>
          <w:lang w:val="en-GB"/>
        </w:rPr>
        <w:t>.</w:t>
      </w:r>
    </w:p>
  </w:footnote>
  <w:footnote w:id="125">
    <w:p w14:paraId="35154EF8" w14:textId="5EDB8729" w:rsidR="00CD1F3A" w:rsidRPr="00A94CD5" w:rsidRDefault="00CD1F3A" w:rsidP="002803C8">
      <w:pPr>
        <w:pStyle w:val="FootnoteText"/>
        <w:contextualSpacing/>
        <w:rPr>
          <w:rFonts w:ascii="Times New Roman" w:hAnsi="Times New Roman"/>
          <w:lang w:val="en-US"/>
        </w:rPr>
      </w:pPr>
      <w:r w:rsidRPr="00A94CD5">
        <w:rPr>
          <w:rStyle w:val="FootnoteReference"/>
          <w:rFonts w:ascii="Times New Roman" w:eastAsiaTheme="majorEastAsia" w:hAnsi="Times New Roman"/>
          <w:lang w:val="en-US"/>
        </w:rPr>
        <w:footnoteRef/>
      </w:r>
      <w:r w:rsidRPr="00A94CD5">
        <w:rPr>
          <w:rFonts w:ascii="Times New Roman" w:hAnsi="Times New Roman"/>
          <w:lang w:val="en-US"/>
        </w:rPr>
        <w:t xml:space="preserve"> </w:t>
      </w:r>
      <w:r w:rsidRPr="00A94CD5">
        <w:rPr>
          <w:rFonts w:ascii="Times New Roman" w:hAnsi="Times New Roman"/>
          <w:lang w:val="en-US"/>
        </w:rPr>
        <w:fldChar w:fldCharType="begin"/>
      </w:r>
      <w:r w:rsidRPr="00A94CD5">
        <w:rPr>
          <w:rFonts w:ascii="Times New Roman" w:hAnsi="Times New Roman"/>
          <w:lang w:val="en-US"/>
        </w:rPr>
        <w:instrText xml:space="preserve"> ADDIN EN.CITE &lt;EndNote&gt;&lt;Cite&gt;&lt;Author&gt;Hervey&lt;/Author&gt;&lt;Year&gt;2010&lt;/Year&gt;&lt;RecNum&gt;1364&lt;/RecNum&gt;&lt;DisplayText&gt;Tamara Hervey, ‘&amp;apos;Adjudicating in the Shadow of the Informal Settlement?’: The Court of Justice of the European Union, ‘New Governance’ and Social Welfare’ (2010) 63 Current Legal Problems 92&lt;/DisplayText&gt;&lt;record&gt;&lt;rec-number&gt;1364&lt;/rec-number&gt;&lt;foreign-keys&gt;&lt;key app="EN" db-id="vw2df2d0larr5wefdtk5v9rqs0wfd5ex9pxv" timestamp="0"&gt;1364&lt;/key&gt;&lt;/foreign-keys&gt;&lt;ref-type name="Journal Article"&gt;17&lt;/ref-type&gt;&lt;contributors&gt;&lt;authors&gt;&lt;author&gt;Tamara Hervey&lt;/author&gt;&lt;/authors&gt;&lt;/contributors&gt;&lt;titles&gt;&lt;title&gt;&amp;apos;Adjudicating in the Shadow of the Informal Settlement?’: The Court of Justice of the European Union, ‘New Governance’ and Social Welfare&lt;/title&gt;&lt;secondary-title&gt;Current Legal Problems&lt;/secondary-title&gt;&lt;/titles&gt;&lt;pages&gt;92&lt;/pages&gt;&lt;volume&gt;63&lt;/volume&gt;&lt;number&gt;1&lt;/number&gt;&lt;dates&gt;&lt;year&gt;2010&lt;/year&gt;&lt;/dates&gt;&lt;pub-location&gt;2010&lt;/pub-location&gt;&lt;urls&gt;&lt;/urls&gt;&lt;/record&gt;&lt;/Cite&gt;&lt;/EndNote&gt;</w:instrText>
      </w:r>
      <w:r w:rsidRPr="00A94CD5">
        <w:rPr>
          <w:rFonts w:ascii="Times New Roman" w:hAnsi="Times New Roman"/>
          <w:lang w:val="en-US"/>
        </w:rPr>
        <w:fldChar w:fldCharType="separate"/>
      </w:r>
      <w:r w:rsidRPr="00A94CD5">
        <w:rPr>
          <w:rFonts w:ascii="Times New Roman" w:hAnsi="Times New Roman"/>
          <w:lang w:val="en-US"/>
        </w:rPr>
        <w:t xml:space="preserve">T Hervey, ‘Adjudicating in the Shadow of the Informal </w:t>
      </w:r>
      <w:proofErr w:type="gramStart"/>
      <w:r w:rsidRPr="00A94CD5">
        <w:rPr>
          <w:rFonts w:ascii="Times New Roman" w:hAnsi="Times New Roman"/>
          <w:lang w:val="en-US"/>
        </w:rPr>
        <w:t>Settlement?:</w:t>
      </w:r>
      <w:proofErr w:type="gramEnd"/>
      <w:r w:rsidRPr="00A94CD5">
        <w:rPr>
          <w:rFonts w:ascii="Times New Roman" w:hAnsi="Times New Roman"/>
          <w:lang w:val="en-US"/>
        </w:rPr>
        <w:t xml:space="preserve"> The Court of Justice of the EU, ‘New Governanc</w:t>
      </w:r>
      <w:r w:rsidR="00A94CD5">
        <w:rPr>
          <w:rFonts w:ascii="Times New Roman" w:hAnsi="Times New Roman"/>
          <w:lang w:val="en-US"/>
        </w:rPr>
        <w:t>e'</w:t>
      </w:r>
      <w:r w:rsidRPr="00A94CD5">
        <w:rPr>
          <w:rFonts w:ascii="Times New Roman" w:hAnsi="Times New Roman"/>
          <w:lang w:val="en-US"/>
        </w:rPr>
        <w:t xml:space="preserve"> and Social Welfare’ (2010) 63 </w:t>
      </w:r>
      <w:r w:rsidRPr="00A94CD5">
        <w:rPr>
          <w:rFonts w:ascii="Times New Roman" w:hAnsi="Times New Roman"/>
          <w:i/>
          <w:lang w:val="en-US"/>
        </w:rPr>
        <w:t>Current Legal Problems</w:t>
      </w:r>
      <w:r w:rsidRPr="00A94CD5">
        <w:rPr>
          <w:rFonts w:ascii="Times New Roman" w:hAnsi="Times New Roman"/>
          <w:lang w:val="en-US"/>
        </w:rPr>
        <w:t xml:space="preserve"> 92</w:t>
      </w:r>
      <w:r w:rsidRPr="00A94CD5">
        <w:rPr>
          <w:rFonts w:ascii="Times New Roman" w:hAnsi="Times New Roman"/>
          <w:lang w:val="en-US"/>
        </w:rPr>
        <w:fldChar w:fldCharType="end"/>
      </w:r>
      <w:r w:rsidRPr="00A94CD5">
        <w:rPr>
          <w:rFonts w:ascii="Times New Roman" w:hAnsi="Times New Roman"/>
          <w:lang w:val="en-US"/>
        </w:rPr>
        <w:t>.</w:t>
      </w:r>
    </w:p>
  </w:footnote>
  <w:footnote w:id="126">
    <w:p w14:paraId="0D8345C8" w14:textId="0C0CDD78" w:rsidR="00CD1F3A" w:rsidRPr="00A94CD5" w:rsidRDefault="00CD1F3A" w:rsidP="002803C8">
      <w:pPr>
        <w:pStyle w:val="FootnoteText"/>
        <w:contextualSpacing/>
        <w:rPr>
          <w:rFonts w:ascii="Times New Roman" w:hAnsi="Times New Roman"/>
          <w:lang w:val="en-US"/>
        </w:rPr>
      </w:pPr>
      <w:r w:rsidRPr="00A94CD5">
        <w:rPr>
          <w:rFonts w:ascii="Times New Roman" w:hAnsi="Times New Roman"/>
          <w:vertAlign w:val="superscript"/>
          <w:lang w:val="en-US"/>
        </w:rPr>
        <w:footnoteRef/>
      </w:r>
      <w:r w:rsidRPr="00A94CD5">
        <w:rPr>
          <w:rFonts w:ascii="Times New Roman" w:hAnsi="Times New Roman"/>
          <w:vertAlign w:val="superscript"/>
          <w:lang w:val="en-US"/>
        </w:rPr>
        <w:t xml:space="preserve"> </w:t>
      </w:r>
      <w:r w:rsidRPr="00A94CD5">
        <w:rPr>
          <w:rFonts w:ascii="Times New Roman" w:hAnsi="Times New Roman"/>
          <w:lang w:val="en-US"/>
        </w:rPr>
        <w:t xml:space="preserve">O Stefan, ‘Soft Law and the Enforcement of EU Law’ in A </w:t>
      </w:r>
      <w:proofErr w:type="spellStart"/>
      <w:r w:rsidRPr="00A94CD5">
        <w:rPr>
          <w:rFonts w:ascii="Times New Roman" w:hAnsi="Times New Roman"/>
          <w:lang w:val="en-US"/>
        </w:rPr>
        <w:t>Jakab</w:t>
      </w:r>
      <w:proofErr w:type="spellEnd"/>
      <w:r w:rsidRPr="00A94CD5">
        <w:rPr>
          <w:rFonts w:ascii="Times New Roman" w:hAnsi="Times New Roman"/>
          <w:lang w:val="en-US"/>
        </w:rPr>
        <w:t xml:space="preserve"> and D </w:t>
      </w:r>
      <w:proofErr w:type="spellStart"/>
      <w:r w:rsidRPr="00A94CD5">
        <w:rPr>
          <w:rFonts w:ascii="Times New Roman" w:hAnsi="Times New Roman"/>
          <w:lang w:val="en-US"/>
        </w:rPr>
        <w:t>Kochenov</w:t>
      </w:r>
      <w:proofErr w:type="spellEnd"/>
      <w:r w:rsidRPr="00A94CD5">
        <w:rPr>
          <w:rFonts w:ascii="Times New Roman" w:hAnsi="Times New Roman"/>
          <w:lang w:val="en-US"/>
        </w:rPr>
        <w:t xml:space="preserve"> (eds)</w:t>
      </w:r>
      <w:r w:rsidR="00A94CD5">
        <w:rPr>
          <w:rFonts w:ascii="Times New Roman" w:hAnsi="Times New Roman"/>
          <w:lang w:val="en-US"/>
        </w:rPr>
        <w:t>,</w:t>
      </w:r>
      <w:r w:rsidRPr="00A94CD5">
        <w:rPr>
          <w:rFonts w:ascii="Times New Roman" w:hAnsi="Times New Roman"/>
          <w:lang w:val="en-US"/>
        </w:rPr>
        <w:t xml:space="preserve"> </w:t>
      </w:r>
      <w:r w:rsidRPr="00A94CD5">
        <w:rPr>
          <w:rFonts w:ascii="Times New Roman" w:hAnsi="Times New Roman"/>
          <w:bCs/>
          <w:i/>
          <w:iCs/>
          <w:lang w:val="en-US"/>
        </w:rPr>
        <w:t xml:space="preserve">The Enforcement of EU Law and Values: Ensuring Member States’ Compliance </w:t>
      </w:r>
      <w:r w:rsidRPr="00A94CD5">
        <w:rPr>
          <w:rFonts w:ascii="Times New Roman" w:hAnsi="Times New Roman"/>
          <w:bCs/>
          <w:iCs/>
          <w:lang w:val="en-US"/>
        </w:rPr>
        <w:t>(Oxford, Oxford University Press, 2017)</w:t>
      </w:r>
      <w:r w:rsidR="00A94CD5">
        <w:rPr>
          <w:rFonts w:ascii="Times New Roman" w:hAnsi="Times New Roman"/>
          <w:bCs/>
          <w:iCs/>
          <w:lang w:val="en-US"/>
        </w:rPr>
        <w:t>.</w:t>
      </w:r>
    </w:p>
  </w:footnote>
  <w:footnote w:id="127">
    <w:p w14:paraId="0018BA4A" w14:textId="6A8FC7F4" w:rsidR="00CD1F3A" w:rsidRPr="00A94CD5" w:rsidRDefault="00CD1F3A" w:rsidP="002803C8">
      <w:pPr>
        <w:pStyle w:val="FootnoteText"/>
        <w:contextualSpacing/>
        <w:rPr>
          <w:rFonts w:ascii="Times New Roman" w:hAnsi="Times New Roman"/>
          <w:lang w:val="en-US"/>
        </w:rPr>
      </w:pPr>
      <w:r w:rsidRPr="00A94CD5">
        <w:rPr>
          <w:rStyle w:val="FootnoteReference"/>
          <w:rFonts w:ascii="Times New Roman" w:eastAsiaTheme="majorEastAsia" w:hAnsi="Times New Roman"/>
          <w:lang w:val="en-US"/>
        </w:rPr>
        <w:footnoteRef/>
      </w:r>
      <w:r w:rsidRPr="00A94CD5">
        <w:rPr>
          <w:rFonts w:ascii="Times New Roman" w:hAnsi="Times New Roman"/>
          <w:lang w:val="en-US"/>
        </w:rPr>
        <w:t xml:space="preserve"> Joint Cases C-189/02, C-202/02, C-205/02, C-208/02 and C-213/02 </w:t>
      </w:r>
      <w:r w:rsidRPr="00A94CD5">
        <w:rPr>
          <w:rFonts w:ascii="Times New Roman" w:hAnsi="Times New Roman"/>
          <w:i/>
          <w:lang w:val="en-US"/>
        </w:rPr>
        <w:t xml:space="preserve">Dansk </w:t>
      </w:r>
      <w:proofErr w:type="spellStart"/>
      <w:r w:rsidRPr="00A94CD5">
        <w:rPr>
          <w:rFonts w:ascii="Times New Roman" w:hAnsi="Times New Roman"/>
          <w:i/>
          <w:lang w:val="en-US"/>
        </w:rPr>
        <w:t>Rørindustri</w:t>
      </w:r>
      <w:proofErr w:type="spellEnd"/>
      <w:r w:rsidRPr="00A94CD5">
        <w:rPr>
          <w:rFonts w:ascii="Times New Roman" w:hAnsi="Times New Roman"/>
          <w:i/>
          <w:lang w:val="en-US"/>
        </w:rPr>
        <w:t xml:space="preserve"> and others v Commission</w:t>
      </w:r>
      <w:r w:rsidRPr="00A94CD5">
        <w:rPr>
          <w:rFonts w:ascii="Times New Roman" w:hAnsi="Times New Roman"/>
          <w:lang w:val="en-US"/>
        </w:rPr>
        <w:t>, [2005]:EU:C:2005:408,</w:t>
      </w:r>
      <w:r w:rsidRPr="00A94CD5">
        <w:rPr>
          <w:rFonts w:ascii="Times New Roman" w:hAnsi="Times New Roman"/>
          <w:i/>
          <w:lang w:val="en-US"/>
        </w:rPr>
        <w:t xml:space="preserve"> </w:t>
      </w:r>
      <w:r w:rsidRPr="00A94CD5">
        <w:rPr>
          <w:rFonts w:ascii="Times New Roman" w:hAnsi="Times New Roman"/>
          <w:lang w:val="en-US"/>
        </w:rPr>
        <w:t>para 211.</w:t>
      </w:r>
    </w:p>
  </w:footnote>
  <w:footnote w:id="128">
    <w:p w14:paraId="323D7289" w14:textId="3D6B8FAA" w:rsidR="00CD1F3A" w:rsidRPr="00A94CD5" w:rsidRDefault="00CD1F3A" w:rsidP="002803C8">
      <w:pPr>
        <w:pStyle w:val="FootnoteText"/>
        <w:contextualSpacing/>
        <w:rPr>
          <w:rFonts w:ascii="Times New Roman" w:hAnsi="Times New Roman"/>
          <w:lang w:val="en-US"/>
        </w:rPr>
      </w:pPr>
      <w:r w:rsidRPr="00A94CD5">
        <w:rPr>
          <w:rStyle w:val="FootnoteReference"/>
          <w:rFonts w:ascii="Times New Roman" w:hAnsi="Times New Roman"/>
          <w:lang w:val="en-US"/>
        </w:rPr>
        <w:footnoteRef/>
      </w:r>
      <w:r w:rsidRPr="00A94CD5">
        <w:rPr>
          <w:rFonts w:ascii="Times New Roman" w:hAnsi="Times New Roman"/>
          <w:lang w:val="en-US"/>
        </w:rPr>
        <w:t xml:space="preserve"> O Stefan, </w:t>
      </w:r>
      <w:r w:rsidRPr="00A94CD5">
        <w:rPr>
          <w:rFonts w:ascii="Times New Roman" w:hAnsi="Times New Roman"/>
          <w:i/>
          <w:lang w:val="en-US"/>
        </w:rPr>
        <w:t>Soft Law in court. Competition law, state aid and the Court of Justice of the EU</w:t>
      </w:r>
      <w:r w:rsidRPr="00A94CD5">
        <w:rPr>
          <w:rFonts w:ascii="Times New Roman" w:hAnsi="Times New Roman"/>
          <w:lang w:val="en-US"/>
        </w:rPr>
        <w:t xml:space="preserve"> (Wolters Kluwer, 2013) 218, and the case law cited.</w:t>
      </w:r>
    </w:p>
  </w:footnote>
  <w:footnote w:id="129">
    <w:p w14:paraId="0C7295F4" w14:textId="7513AB03" w:rsidR="00CD1F3A" w:rsidRPr="00A94CD5" w:rsidRDefault="00CD1F3A" w:rsidP="002803C8">
      <w:pPr>
        <w:pStyle w:val="FootnoteText"/>
        <w:contextualSpacing/>
        <w:rPr>
          <w:rFonts w:ascii="Times New Roman" w:hAnsi="Times New Roman"/>
          <w:lang w:val="en-US"/>
        </w:rPr>
      </w:pPr>
      <w:r w:rsidRPr="00A94CD5">
        <w:rPr>
          <w:rStyle w:val="FootnoteReference"/>
          <w:rFonts w:ascii="Times New Roman" w:hAnsi="Times New Roman"/>
          <w:lang w:val="en-US"/>
        </w:rPr>
        <w:footnoteRef/>
      </w:r>
      <w:r w:rsidRPr="00A94CD5">
        <w:rPr>
          <w:rFonts w:ascii="Times New Roman" w:hAnsi="Times New Roman"/>
          <w:lang w:val="en-US"/>
        </w:rPr>
        <w:t xml:space="preserve"> De Minimis Notice (n 70). </w:t>
      </w:r>
    </w:p>
  </w:footnote>
  <w:footnote w:id="130">
    <w:p w14:paraId="140A95E6" w14:textId="28F6CBF6" w:rsidR="00CD1F3A" w:rsidRPr="00A94CD5" w:rsidRDefault="00CD1F3A" w:rsidP="002803C8">
      <w:pPr>
        <w:pStyle w:val="FootnoteText"/>
        <w:contextualSpacing/>
        <w:rPr>
          <w:rFonts w:ascii="Times New Roman" w:hAnsi="Times New Roman"/>
          <w:lang w:val="en-US"/>
        </w:rPr>
      </w:pPr>
      <w:r w:rsidRPr="00A94CD5">
        <w:rPr>
          <w:rStyle w:val="FootnoteReference"/>
          <w:rFonts w:ascii="Times New Roman" w:hAnsi="Times New Roman"/>
          <w:lang w:val="en-US"/>
        </w:rPr>
        <w:footnoteRef/>
      </w:r>
      <w:r w:rsidRPr="00A94CD5">
        <w:rPr>
          <w:rFonts w:ascii="Times New Roman" w:hAnsi="Times New Roman"/>
          <w:lang w:val="en-US"/>
        </w:rPr>
        <w:t xml:space="preserve"> Case C-226/11 </w:t>
      </w:r>
      <w:r w:rsidRPr="00A94CD5">
        <w:rPr>
          <w:rFonts w:ascii="Times New Roman" w:hAnsi="Times New Roman"/>
          <w:i/>
          <w:lang w:val="en-US"/>
        </w:rPr>
        <w:t>Expedia</w:t>
      </w:r>
      <w:r w:rsidRPr="00A94CD5">
        <w:rPr>
          <w:rFonts w:ascii="Times New Roman" w:hAnsi="Times New Roman"/>
          <w:lang w:val="en-US"/>
        </w:rPr>
        <w:t>, [2012] EU:C:2012:795, para 31.</w:t>
      </w:r>
    </w:p>
  </w:footnote>
  <w:footnote w:id="131">
    <w:p w14:paraId="75255F22" w14:textId="3EDB70A6" w:rsidR="00CD1F3A" w:rsidRPr="00A94CD5" w:rsidRDefault="00CD1F3A" w:rsidP="002803C8">
      <w:pPr>
        <w:pStyle w:val="FootnoteText"/>
        <w:contextualSpacing/>
        <w:rPr>
          <w:rFonts w:ascii="Times New Roman" w:hAnsi="Times New Roman"/>
          <w:lang w:val="en-US"/>
        </w:rPr>
      </w:pPr>
      <w:r w:rsidRPr="00A94CD5">
        <w:rPr>
          <w:rStyle w:val="FootnoteReference"/>
          <w:rFonts w:ascii="Times New Roman" w:hAnsi="Times New Roman"/>
          <w:lang w:val="en-US"/>
        </w:rPr>
        <w:footnoteRef/>
      </w:r>
      <w:r w:rsidRPr="00A94CD5">
        <w:rPr>
          <w:rFonts w:ascii="Times New Roman" w:hAnsi="Times New Roman"/>
          <w:lang w:val="en-US"/>
        </w:rPr>
        <w:t xml:space="preserve"> ibid, paras 28</w:t>
      </w:r>
      <w:r w:rsidR="006707E9" w:rsidRPr="00A94CD5">
        <w:rPr>
          <w:rFonts w:ascii="Times New Roman" w:hAnsi="Times New Roman"/>
          <w:lang w:val="en-US"/>
        </w:rPr>
        <w:t>–</w:t>
      </w:r>
      <w:r w:rsidRPr="00A94CD5">
        <w:rPr>
          <w:rFonts w:ascii="Times New Roman" w:hAnsi="Times New Roman"/>
          <w:lang w:val="en-US"/>
        </w:rPr>
        <w:t>29.</w:t>
      </w:r>
    </w:p>
  </w:footnote>
  <w:footnote w:id="132">
    <w:p w14:paraId="35BF9F9A" w14:textId="049CBF55" w:rsidR="00CD1F3A" w:rsidRPr="00A94CD5" w:rsidRDefault="00CD1F3A" w:rsidP="002803C8">
      <w:pPr>
        <w:pStyle w:val="FootnoteText"/>
        <w:contextualSpacing/>
        <w:rPr>
          <w:rFonts w:ascii="Times New Roman" w:hAnsi="Times New Roman"/>
          <w:lang w:val="en-US"/>
        </w:rPr>
      </w:pPr>
      <w:r w:rsidRPr="00A94CD5">
        <w:rPr>
          <w:rStyle w:val="FootnoteReference"/>
          <w:rFonts w:ascii="Times New Roman" w:hAnsi="Times New Roman"/>
          <w:lang w:val="en-US"/>
        </w:rPr>
        <w:footnoteRef/>
      </w:r>
      <w:r w:rsidRPr="00A94CD5">
        <w:rPr>
          <w:rFonts w:ascii="Times New Roman" w:hAnsi="Times New Roman"/>
          <w:lang w:val="en-US"/>
        </w:rPr>
        <w:t xml:space="preserve"> </w:t>
      </w:r>
      <w:r w:rsidRPr="00A94CD5">
        <w:rPr>
          <w:rFonts w:ascii="Times New Roman" w:hAnsi="Times New Roman"/>
          <w:iCs/>
          <w:lang w:val="en-US"/>
        </w:rPr>
        <w:t>ibid</w:t>
      </w:r>
      <w:r w:rsidRPr="00A94CD5">
        <w:rPr>
          <w:rFonts w:ascii="Times New Roman" w:hAnsi="Times New Roman"/>
          <w:lang w:val="en-US"/>
        </w:rPr>
        <w:t>, para 32.</w:t>
      </w:r>
    </w:p>
  </w:footnote>
  <w:footnote w:id="133">
    <w:p w14:paraId="0D36180D" w14:textId="0D8B15D8" w:rsidR="00CD1F3A" w:rsidRPr="00545C56" w:rsidRDefault="00CD1F3A" w:rsidP="002803C8">
      <w:pPr>
        <w:pStyle w:val="FootnoteText"/>
        <w:contextualSpacing/>
        <w:rPr>
          <w:rFonts w:ascii="Times New Roman" w:hAnsi="Times New Roman"/>
          <w:lang w:val="es-ES"/>
        </w:rPr>
      </w:pPr>
      <w:r w:rsidRPr="00545C56">
        <w:rPr>
          <w:rStyle w:val="FootnoteReference"/>
          <w:rFonts w:ascii="Times New Roman" w:eastAsiaTheme="majorEastAsia" w:hAnsi="Times New Roman"/>
          <w:lang w:val="en-GB"/>
        </w:rPr>
        <w:footnoteRef/>
      </w:r>
      <w:r w:rsidRPr="00545C56">
        <w:rPr>
          <w:rFonts w:ascii="Times New Roman" w:hAnsi="Times New Roman"/>
          <w:lang w:val="es-ES"/>
        </w:rPr>
        <w:t xml:space="preserve"> </w:t>
      </w:r>
      <w:proofErr w:type="spellStart"/>
      <w:r w:rsidRPr="00545C56">
        <w:rPr>
          <w:rFonts w:ascii="Times New Roman" w:hAnsi="Times New Roman"/>
          <w:i/>
          <w:lang w:val="es-ES"/>
        </w:rPr>
        <w:t>Mobility</w:t>
      </w:r>
      <w:proofErr w:type="spellEnd"/>
      <w:r w:rsidRPr="00545C56">
        <w:rPr>
          <w:rFonts w:ascii="Times New Roman" w:hAnsi="Times New Roman"/>
          <w:i/>
          <w:lang w:val="es-ES"/>
        </w:rPr>
        <w:t xml:space="preserve"> </w:t>
      </w:r>
      <w:proofErr w:type="spellStart"/>
      <w:r w:rsidRPr="00545C56">
        <w:rPr>
          <w:rFonts w:ascii="Times New Roman" w:hAnsi="Times New Roman"/>
          <w:i/>
          <w:lang w:val="es-ES"/>
        </w:rPr>
        <w:t>Scooters</w:t>
      </w:r>
      <w:proofErr w:type="spellEnd"/>
      <w:r w:rsidRPr="00545C56">
        <w:rPr>
          <w:rFonts w:ascii="Times New Roman" w:hAnsi="Times New Roman"/>
          <w:i/>
          <w:lang w:val="es-ES"/>
        </w:rPr>
        <w:t xml:space="preserve">, </w:t>
      </w:r>
      <w:r w:rsidRPr="00545C56">
        <w:rPr>
          <w:rFonts w:ascii="Times New Roman" w:hAnsi="Times New Roman"/>
          <w:lang w:val="es-ES"/>
        </w:rPr>
        <w:t xml:space="preserve">CE/9578-12, at A.76 </w:t>
      </w:r>
    </w:p>
  </w:footnote>
  <w:footnote w:id="134">
    <w:p w14:paraId="16AC6B76" w14:textId="24FA7C0B"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w:t>
      </w:r>
      <w:proofErr w:type="spellStart"/>
      <w:r w:rsidRPr="00545C56">
        <w:rPr>
          <w:rFonts w:ascii="Times New Roman" w:hAnsi="Times New Roman"/>
          <w:lang w:val="en-US"/>
        </w:rPr>
        <w:t>Leino</w:t>
      </w:r>
      <w:proofErr w:type="spellEnd"/>
      <w:r w:rsidRPr="00545C56">
        <w:rPr>
          <w:rFonts w:ascii="Times New Roman" w:hAnsi="Times New Roman"/>
          <w:lang w:val="en-US"/>
        </w:rPr>
        <w:t>-Sandberg</w:t>
      </w:r>
      <w:r w:rsidR="00ED2E33">
        <w:rPr>
          <w:rFonts w:ascii="Times New Roman" w:hAnsi="Times New Roman"/>
          <w:lang w:val="en-US"/>
        </w:rPr>
        <w:t xml:space="preserve"> and</w:t>
      </w:r>
      <w:r w:rsidRPr="00545C56">
        <w:rPr>
          <w:rFonts w:ascii="Times New Roman" w:hAnsi="Times New Roman"/>
          <w:lang w:val="en-US"/>
        </w:rPr>
        <w:t xml:space="preserve"> </w:t>
      </w:r>
      <w:proofErr w:type="spellStart"/>
      <w:r w:rsidRPr="00545C56">
        <w:rPr>
          <w:rFonts w:ascii="Times New Roman" w:hAnsi="Times New Roman"/>
          <w:lang w:val="en-US"/>
        </w:rPr>
        <w:t>Korkea-aho</w:t>
      </w:r>
      <w:proofErr w:type="spellEnd"/>
      <w:r w:rsidRPr="00545C56">
        <w:rPr>
          <w:rFonts w:ascii="Times New Roman" w:hAnsi="Times New Roman"/>
          <w:lang w:val="en-US"/>
        </w:rPr>
        <w:t xml:space="preserve"> (n </w:t>
      </w:r>
      <w:r w:rsidRPr="00545C56">
        <w:rPr>
          <w:rFonts w:ascii="Times New Roman" w:hAnsi="Times New Roman"/>
          <w:lang w:val="en-US"/>
        </w:rPr>
        <w:fldChar w:fldCharType="begin"/>
      </w:r>
      <w:r w:rsidRPr="00545C56">
        <w:rPr>
          <w:rFonts w:ascii="Times New Roman" w:hAnsi="Times New Roman"/>
          <w:lang w:val="en-US"/>
        </w:rPr>
        <w:instrText xml:space="preserve"> NOTEREF _Ref47713350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92</w:t>
      </w:r>
      <w:r w:rsidRPr="00545C56">
        <w:rPr>
          <w:rFonts w:ascii="Times New Roman" w:hAnsi="Times New Roman"/>
          <w:lang w:val="en-US"/>
        </w:rPr>
        <w:fldChar w:fldCharType="end"/>
      </w:r>
      <w:r w:rsidRPr="00545C56">
        <w:rPr>
          <w:rFonts w:ascii="Times New Roman" w:hAnsi="Times New Roman"/>
          <w:lang w:val="en-US"/>
        </w:rPr>
        <w:t>) 36.</w:t>
      </w:r>
    </w:p>
  </w:footnote>
  <w:footnote w:id="135">
    <w:p w14:paraId="22BFD0BA" w14:textId="0DD6EF04"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w:t>
      </w:r>
      <w:r w:rsidRPr="00545C56">
        <w:rPr>
          <w:rFonts w:ascii="Times New Roman" w:hAnsi="Times New Roman"/>
          <w:i/>
          <w:color w:val="000000"/>
          <w:lang w:val="en-GB"/>
        </w:rPr>
        <w:t>Wye Valley Action Association Ltd., R (on the application of) v Herefordshire Council</w:t>
      </w:r>
      <w:r w:rsidRPr="00545C56">
        <w:rPr>
          <w:rFonts w:ascii="Times New Roman" w:hAnsi="Times New Roman"/>
          <w:color w:val="000000"/>
          <w:lang w:val="en-GB"/>
        </w:rPr>
        <w:t xml:space="preserve"> [2011] EWCA </w:t>
      </w:r>
      <w:proofErr w:type="spellStart"/>
      <w:r w:rsidRPr="00545C56">
        <w:rPr>
          <w:rFonts w:ascii="Times New Roman" w:hAnsi="Times New Roman"/>
          <w:color w:val="000000"/>
          <w:lang w:val="en-GB"/>
        </w:rPr>
        <w:t>Civ</w:t>
      </w:r>
      <w:proofErr w:type="spellEnd"/>
      <w:r w:rsidRPr="00545C56">
        <w:rPr>
          <w:rFonts w:ascii="Times New Roman" w:hAnsi="Times New Roman"/>
          <w:color w:val="000000"/>
          <w:lang w:val="en-GB"/>
        </w:rPr>
        <w:t xml:space="preserve"> 20, 18.</w:t>
      </w:r>
    </w:p>
  </w:footnote>
  <w:footnote w:id="136">
    <w:p w14:paraId="2FDF4272" w14:textId="7FA08B05" w:rsidR="00CD1F3A" w:rsidRPr="00545C56" w:rsidRDefault="00CD1F3A" w:rsidP="002803C8">
      <w:pPr>
        <w:pStyle w:val="FootnoteText"/>
        <w:contextualSpacing/>
        <w:rPr>
          <w:rFonts w:ascii="Times New Roman" w:hAnsi="Times New Roman"/>
          <w:bCs/>
          <w:lang w:val="en-US"/>
        </w:rPr>
      </w:pPr>
      <w:r w:rsidRPr="00545C56">
        <w:rPr>
          <w:rStyle w:val="FootnoteReference"/>
          <w:rFonts w:ascii="Times New Roman" w:hAnsi="Times New Roman"/>
          <w:lang w:val="en-GB"/>
        </w:rPr>
        <w:footnoteRef/>
      </w:r>
      <w:r w:rsidRPr="00545C56">
        <w:rPr>
          <w:rFonts w:ascii="Times New Roman" w:hAnsi="Times New Roman"/>
          <w:bCs/>
          <w:lang w:val="fi-FI"/>
        </w:rPr>
        <w:t xml:space="preserve"> </w:t>
      </w:r>
      <w:proofErr w:type="spellStart"/>
      <w:r w:rsidRPr="00545C56">
        <w:rPr>
          <w:rFonts w:ascii="Times New Roman" w:hAnsi="Times New Roman"/>
          <w:bCs/>
          <w:lang w:val="fi-FI"/>
        </w:rPr>
        <w:t>Beijen</w:t>
      </w:r>
      <w:proofErr w:type="spellEnd"/>
      <w:r w:rsidRPr="00545C56">
        <w:rPr>
          <w:rFonts w:ascii="Times New Roman" w:hAnsi="Times New Roman"/>
          <w:bCs/>
          <w:lang w:val="fi-FI"/>
        </w:rPr>
        <w:t xml:space="preserve">, </w:t>
      </w:r>
      <w:r w:rsidRPr="00545C56">
        <w:rPr>
          <w:rFonts w:ascii="Times New Roman" w:hAnsi="Times New Roman"/>
          <w:color w:val="000000" w:themeColor="text1"/>
          <w:lang w:val="en-US"/>
        </w:rPr>
        <w:t>‘National report on the Netherlands’ in Eliantonio</w:t>
      </w:r>
      <w:r w:rsidR="00ED2E33">
        <w:rPr>
          <w:rFonts w:ascii="Times New Roman" w:hAnsi="Times New Roman"/>
          <w:color w:val="000000" w:themeColor="text1"/>
          <w:lang w:val="en-US"/>
        </w:rPr>
        <w:t xml:space="preserve"> and</w:t>
      </w:r>
      <w:r w:rsidRPr="00545C56">
        <w:rPr>
          <w:rFonts w:ascii="Times New Roman" w:hAnsi="Times New Roman"/>
          <w:color w:val="000000" w:themeColor="text1"/>
          <w:lang w:val="en-US"/>
        </w:rPr>
        <w:t xml:space="preserve"> </w:t>
      </w:r>
      <w:proofErr w:type="spellStart"/>
      <w:r w:rsidRPr="00545C56">
        <w:rPr>
          <w:rFonts w:ascii="Times New Roman" w:hAnsi="Times New Roman"/>
          <w:color w:val="000000" w:themeColor="text1"/>
          <w:lang w:val="en-US"/>
        </w:rPr>
        <w:t>Lisi</w:t>
      </w:r>
      <w:proofErr w:type="spellEnd"/>
      <w:r w:rsidRPr="00545C56">
        <w:rPr>
          <w:rFonts w:ascii="Times New Roman" w:hAnsi="Times New Roman"/>
          <w:color w:val="000000" w:themeColor="text1"/>
          <w:lang w:val="en-US"/>
        </w:rPr>
        <w:t xml:space="preserve">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_Ref47718090 \h </w:instrText>
      </w:r>
      <w:r w:rsidR="00545C56" w:rsidRPr="00545C56">
        <w:rPr>
          <w:rFonts w:ascii="Times New Roman" w:hAnsi="Times New Roman"/>
          <w:color w:val="000000" w:themeColor="text1"/>
          <w:lang w:val="en-US"/>
        </w:rPr>
        <w:instrText xml:space="preserve">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53</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107.</w:t>
      </w:r>
    </w:p>
  </w:footnote>
  <w:footnote w:id="137">
    <w:p w14:paraId="730FCBE0" w14:textId="4D0244B6"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w:t>
      </w:r>
      <w:proofErr w:type="spellStart"/>
      <w:r w:rsidRPr="00545C56">
        <w:rPr>
          <w:rFonts w:ascii="Times New Roman" w:hAnsi="Times New Roman"/>
          <w:color w:val="000000" w:themeColor="text1"/>
          <w:lang w:val="en-GB"/>
        </w:rPr>
        <w:t>Lisi</w:t>
      </w:r>
      <w:proofErr w:type="spellEnd"/>
      <w:r w:rsidRPr="00545C56">
        <w:rPr>
          <w:rFonts w:ascii="Times New Roman" w:hAnsi="Times New Roman"/>
          <w:color w:val="000000" w:themeColor="text1"/>
          <w:lang w:val="en-GB"/>
        </w:rPr>
        <w:t xml:space="preserve"> (n </w:t>
      </w:r>
      <w:r w:rsidRPr="00545C56">
        <w:rPr>
          <w:rFonts w:ascii="Times New Roman" w:hAnsi="Times New Roman"/>
          <w:color w:val="000000" w:themeColor="text1"/>
          <w:lang w:val="en-GB"/>
        </w:rPr>
        <w:fldChar w:fldCharType="begin"/>
      </w:r>
      <w:r w:rsidRPr="00545C56">
        <w:rPr>
          <w:rFonts w:ascii="Times New Roman" w:hAnsi="Times New Roman"/>
          <w:color w:val="000000" w:themeColor="text1"/>
          <w:lang w:val="en-GB"/>
        </w:rPr>
        <w:instrText xml:space="preserve"> NOTEREF _Ref47713251 \h  \* MERGEFORMAT </w:instrText>
      </w:r>
      <w:r w:rsidRPr="00545C56">
        <w:rPr>
          <w:rFonts w:ascii="Times New Roman" w:hAnsi="Times New Roman"/>
          <w:color w:val="000000" w:themeColor="text1"/>
          <w:lang w:val="en-GB"/>
        </w:rPr>
      </w:r>
      <w:r w:rsidRPr="00545C56">
        <w:rPr>
          <w:rFonts w:ascii="Times New Roman" w:hAnsi="Times New Roman"/>
          <w:color w:val="000000" w:themeColor="text1"/>
          <w:lang w:val="en-GB"/>
        </w:rPr>
        <w:fldChar w:fldCharType="separate"/>
      </w:r>
      <w:r w:rsidR="00CC3357">
        <w:rPr>
          <w:rFonts w:ascii="Times New Roman" w:hAnsi="Times New Roman"/>
          <w:color w:val="000000" w:themeColor="text1"/>
          <w:lang w:val="en-GB"/>
        </w:rPr>
        <w:t>96</w:t>
      </w:r>
      <w:r w:rsidRPr="00545C56">
        <w:rPr>
          <w:rFonts w:ascii="Times New Roman" w:hAnsi="Times New Roman"/>
          <w:color w:val="000000" w:themeColor="text1"/>
          <w:lang w:val="en-GB"/>
        </w:rPr>
        <w:fldChar w:fldCharType="end"/>
      </w:r>
      <w:r w:rsidRPr="00545C56">
        <w:rPr>
          <w:rFonts w:ascii="Times New Roman" w:hAnsi="Times New Roman"/>
          <w:color w:val="000000" w:themeColor="text1"/>
          <w:lang w:val="en-GB"/>
        </w:rPr>
        <w:t>) 46.</w:t>
      </w:r>
    </w:p>
  </w:footnote>
  <w:footnote w:id="138">
    <w:p w14:paraId="36EC256C" w14:textId="17002ECA"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w:t>
      </w:r>
      <w:proofErr w:type="spellStart"/>
      <w:r w:rsidRPr="00545C56">
        <w:rPr>
          <w:rFonts w:ascii="Times New Roman" w:hAnsi="Times New Roman"/>
          <w:lang w:val="en-US"/>
        </w:rPr>
        <w:t>Havu</w:t>
      </w:r>
      <w:proofErr w:type="spellEnd"/>
      <w:r w:rsidR="00ED2E33">
        <w:rPr>
          <w:rFonts w:ascii="Times New Roman" w:hAnsi="Times New Roman"/>
          <w:lang w:val="en-US"/>
        </w:rPr>
        <w:t xml:space="preserve"> and</w:t>
      </w:r>
      <w:r w:rsidRPr="00545C56">
        <w:rPr>
          <w:rFonts w:ascii="Times New Roman" w:hAnsi="Times New Roman"/>
          <w:lang w:val="en-US"/>
        </w:rPr>
        <w:t xml:space="preserve"> </w:t>
      </w:r>
      <w:proofErr w:type="spellStart"/>
      <w:r w:rsidRPr="00545C56">
        <w:rPr>
          <w:rFonts w:ascii="Times New Roman" w:hAnsi="Times New Roman"/>
          <w:lang w:val="en-US"/>
        </w:rPr>
        <w:t>Tarkkila</w:t>
      </w:r>
      <w:proofErr w:type="spellEnd"/>
      <w:r w:rsidRPr="00545C56">
        <w:rPr>
          <w:rFonts w:ascii="Times New Roman" w:hAnsi="Times New Roman"/>
          <w:lang w:val="en-US"/>
        </w:rPr>
        <w:t xml:space="preserve"> (n </w:t>
      </w:r>
      <w:r w:rsidRPr="00545C56">
        <w:rPr>
          <w:rFonts w:ascii="Times New Roman" w:hAnsi="Times New Roman"/>
          <w:lang w:val="en-US"/>
        </w:rPr>
        <w:fldChar w:fldCharType="begin"/>
      </w:r>
      <w:r w:rsidRPr="00545C56">
        <w:rPr>
          <w:rFonts w:ascii="Times New Roman" w:hAnsi="Times New Roman"/>
          <w:lang w:val="en-US"/>
        </w:rPr>
        <w:instrText xml:space="preserve"> NOTEREF _Ref47716926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115</w:t>
      </w:r>
      <w:r w:rsidRPr="00545C56">
        <w:rPr>
          <w:rFonts w:ascii="Times New Roman" w:hAnsi="Times New Roman"/>
          <w:lang w:val="en-US"/>
        </w:rPr>
        <w:fldChar w:fldCharType="end"/>
      </w:r>
      <w:r w:rsidRPr="00545C56">
        <w:rPr>
          <w:rFonts w:ascii="Times New Roman" w:hAnsi="Times New Roman"/>
          <w:lang w:val="en-US"/>
        </w:rPr>
        <w:t>) 47.</w:t>
      </w:r>
    </w:p>
  </w:footnote>
  <w:footnote w:id="139">
    <w:p w14:paraId="184D5F07" w14:textId="77C23F95"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w:t>
      </w:r>
      <w:r w:rsidRPr="00545C56">
        <w:rPr>
          <w:rFonts w:ascii="Times New Roman" w:hAnsi="Times New Roman"/>
          <w:i/>
          <w:iCs/>
          <w:lang w:val="en-US"/>
        </w:rPr>
        <w:t>Expedia</w:t>
      </w:r>
      <w:r w:rsidRPr="00545C56">
        <w:rPr>
          <w:rFonts w:ascii="Times New Roman" w:hAnsi="Times New Roman"/>
          <w:lang w:val="en-US"/>
        </w:rPr>
        <w:t xml:space="preserve"> (n 132) EU:</w:t>
      </w:r>
      <w:proofErr w:type="gramStart"/>
      <w:r w:rsidRPr="00545C56">
        <w:rPr>
          <w:rFonts w:ascii="Times New Roman" w:hAnsi="Times New Roman"/>
          <w:lang w:val="en-US"/>
        </w:rPr>
        <w:t>C:2012:544</w:t>
      </w:r>
      <w:proofErr w:type="gramEnd"/>
      <w:r w:rsidRPr="00545C56">
        <w:rPr>
          <w:rFonts w:ascii="Times New Roman" w:hAnsi="Times New Roman"/>
          <w:lang w:val="en-US"/>
        </w:rPr>
        <w:t xml:space="preserve">, Opinion of AG </w:t>
      </w:r>
      <w:proofErr w:type="spellStart"/>
      <w:r w:rsidRPr="00545C56">
        <w:rPr>
          <w:rFonts w:ascii="Times New Roman" w:hAnsi="Times New Roman"/>
          <w:lang w:val="en-US"/>
        </w:rPr>
        <w:t>Kokott</w:t>
      </w:r>
      <w:proofErr w:type="spellEnd"/>
      <w:r w:rsidRPr="00545C56">
        <w:rPr>
          <w:rFonts w:ascii="Times New Roman" w:hAnsi="Times New Roman"/>
          <w:lang w:val="en-US"/>
        </w:rPr>
        <w:t xml:space="preserve">, </w:t>
      </w:r>
      <w:proofErr w:type="spellStart"/>
      <w:r w:rsidRPr="00545C56">
        <w:rPr>
          <w:rFonts w:ascii="Times New Roman" w:hAnsi="Times New Roman"/>
          <w:lang w:val="en-US"/>
        </w:rPr>
        <w:t>fn</w:t>
      </w:r>
      <w:proofErr w:type="spellEnd"/>
      <w:r w:rsidRPr="00545C56">
        <w:rPr>
          <w:rFonts w:ascii="Times New Roman" w:hAnsi="Times New Roman"/>
          <w:lang w:val="en-US"/>
        </w:rPr>
        <w:t xml:space="preserve"> 40. </w:t>
      </w:r>
    </w:p>
  </w:footnote>
  <w:footnote w:id="140">
    <w:p w14:paraId="3F00CC33" w14:textId="1306B6D4" w:rsidR="00CD1F3A" w:rsidRPr="00545C56" w:rsidRDefault="00CD1F3A" w:rsidP="002803C8">
      <w:pPr>
        <w:pStyle w:val="FootnoteText"/>
        <w:contextualSpacing/>
        <w:rPr>
          <w:rFonts w:ascii="Times New Roman" w:hAnsi="Times New Roman"/>
        </w:rPr>
      </w:pPr>
      <w:r w:rsidRPr="00545C56">
        <w:rPr>
          <w:rStyle w:val="FootnoteReference"/>
          <w:rFonts w:ascii="Times New Roman" w:hAnsi="Times New Roman"/>
        </w:rPr>
        <w:footnoteRef/>
      </w:r>
      <w:r w:rsidRPr="00545C56">
        <w:rPr>
          <w:rFonts w:ascii="Times New Roman" w:hAnsi="Times New Roman"/>
        </w:rPr>
        <w:t xml:space="preserve"> </w:t>
      </w:r>
      <w:r w:rsidRPr="00545C56">
        <w:rPr>
          <w:rFonts w:ascii="Times New Roman" w:hAnsi="Times New Roman"/>
          <w:color w:val="000000" w:themeColor="text1"/>
        </w:rPr>
        <w:t>Autorité de la concurrence, ‘Communiqué du 16 mai 2011 relatif à la méthode de détermination des sanctions pécuniaires’</w:t>
      </w:r>
      <w:r w:rsidR="006707E9">
        <w:rPr>
          <w:rFonts w:ascii="Times New Roman" w:hAnsi="Times New Roman"/>
          <w:color w:val="000000" w:themeColor="text1"/>
        </w:rPr>
        <w:t>,</w:t>
      </w:r>
      <w:r w:rsidRPr="00545C56">
        <w:rPr>
          <w:rFonts w:ascii="Times New Roman" w:hAnsi="Times New Roman"/>
          <w:color w:val="000000" w:themeColor="text1"/>
        </w:rPr>
        <w:t xml:space="preserve"> www.autoritedelaconcurrence.fr.</w:t>
      </w:r>
    </w:p>
  </w:footnote>
  <w:footnote w:id="141">
    <w:p w14:paraId="6DBAB473" w14:textId="1B5B5D79" w:rsidR="00CD1F3A" w:rsidRPr="006707E9" w:rsidRDefault="00CD1F3A" w:rsidP="002803C8">
      <w:pPr>
        <w:pStyle w:val="FootnoteText"/>
        <w:contextualSpacing/>
        <w:rPr>
          <w:rFonts w:ascii="Times New Roman" w:hAnsi="Times New Roman"/>
          <w:color w:val="000000" w:themeColor="text1"/>
          <w:lang w:val="en-US"/>
        </w:rPr>
      </w:pPr>
      <w:r w:rsidRPr="00545C56">
        <w:rPr>
          <w:rStyle w:val="FootnoteReference"/>
          <w:rFonts w:ascii="Times New Roman" w:hAnsi="Times New Roman"/>
        </w:rPr>
        <w:footnoteRef/>
      </w:r>
      <w:r w:rsidRPr="00545C56">
        <w:rPr>
          <w:rFonts w:ascii="Times New Roman" w:hAnsi="Times New Roman"/>
          <w:lang w:val="en-US"/>
        </w:rPr>
        <w:t xml:space="preserve"> M Lamoureux</w:t>
      </w:r>
      <w:r w:rsidR="00ED2E33">
        <w:rPr>
          <w:rFonts w:ascii="Times New Roman" w:hAnsi="Times New Roman"/>
          <w:lang w:val="en-US"/>
        </w:rPr>
        <w:t xml:space="preserve"> and</w:t>
      </w:r>
      <w:r w:rsidRPr="00545C56">
        <w:rPr>
          <w:rFonts w:ascii="Times New Roman" w:hAnsi="Times New Roman"/>
          <w:lang w:val="en-US"/>
        </w:rPr>
        <w:t xml:space="preserve"> N Rubio, ‘National Report for France’, in </w:t>
      </w:r>
      <w:r w:rsidRPr="00545C56">
        <w:rPr>
          <w:rFonts w:ascii="Times New Roman" w:hAnsi="Times New Roman"/>
          <w:color w:val="000000" w:themeColor="text1"/>
          <w:lang w:val="en-US"/>
        </w:rPr>
        <w:t xml:space="preserve">Stefan (n </w:t>
      </w:r>
      <w:r w:rsidRPr="00545C56">
        <w:rPr>
          <w:rFonts w:ascii="Times New Roman" w:hAnsi="Times New Roman"/>
          <w:color w:val="000000" w:themeColor="text1"/>
          <w:lang w:val="en-US"/>
        </w:rPr>
        <w:fldChar w:fldCharType="begin"/>
      </w:r>
      <w:r w:rsidRPr="00545C56">
        <w:rPr>
          <w:rFonts w:ascii="Times New Roman" w:hAnsi="Times New Roman"/>
          <w:color w:val="000000" w:themeColor="text1"/>
          <w:lang w:val="en-US"/>
        </w:rPr>
        <w:instrText xml:space="preserve"> NOTEREF _Ref47706419 \h  \* MERGEFORMAT </w:instrText>
      </w:r>
      <w:r w:rsidRPr="00545C56">
        <w:rPr>
          <w:rFonts w:ascii="Times New Roman" w:hAnsi="Times New Roman"/>
          <w:color w:val="000000" w:themeColor="text1"/>
          <w:lang w:val="en-US"/>
        </w:rPr>
      </w:r>
      <w:r w:rsidRPr="00545C56">
        <w:rPr>
          <w:rFonts w:ascii="Times New Roman" w:hAnsi="Times New Roman"/>
          <w:color w:val="000000" w:themeColor="text1"/>
          <w:lang w:val="en-US"/>
        </w:rPr>
        <w:fldChar w:fldCharType="separate"/>
      </w:r>
      <w:r w:rsidR="00CC3357">
        <w:rPr>
          <w:rFonts w:ascii="Times New Roman" w:hAnsi="Times New Roman"/>
          <w:color w:val="000000" w:themeColor="text1"/>
          <w:lang w:val="en-US"/>
        </w:rPr>
        <w:t>44</w:t>
      </w:r>
      <w:r w:rsidRPr="00545C56">
        <w:rPr>
          <w:rFonts w:ascii="Times New Roman" w:hAnsi="Times New Roman"/>
          <w:color w:val="000000" w:themeColor="text1"/>
          <w:lang w:val="en-US"/>
        </w:rPr>
        <w:fldChar w:fldCharType="end"/>
      </w:r>
      <w:r w:rsidRPr="00545C56">
        <w:rPr>
          <w:rFonts w:ascii="Times New Roman" w:hAnsi="Times New Roman"/>
          <w:color w:val="000000" w:themeColor="text1"/>
          <w:lang w:val="en-US"/>
        </w:rPr>
        <w:t>) 53</w:t>
      </w:r>
      <w:r w:rsidR="006707E9">
        <w:rPr>
          <w:rFonts w:ascii="Times New Roman" w:hAnsi="Times New Roman"/>
          <w:color w:val="000000" w:themeColor="text1"/>
          <w:lang w:val="en-US"/>
        </w:rPr>
        <w:t>–</w:t>
      </w:r>
      <w:r w:rsidRPr="00545C56">
        <w:rPr>
          <w:rFonts w:ascii="Times New Roman" w:hAnsi="Times New Roman"/>
          <w:color w:val="000000" w:themeColor="text1"/>
          <w:lang w:val="en-US"/>
        </w:rPr>
        <w:t>54;</w:t>
      </w:r>
      <w:r w:rsidRPr="00545C56">
        <w:rPr>
          <w:rFonts w:ascii="Times New Roman" w:hAnsi="Times New Roman"/>
          <w:lang w:val="en-US"/>
        </w:rPr>
        <w:t xml:space="preserve"> </w:t>
      </w:r>
      <w:proofErr w:type="spellStart"/>
      <w:r w:rsidRPr="00545C56">
        <w:rPr>
          <w:rFonts w:ascii="Times New Roman" w:hAnsi="Times New Roman"/>
          <w:lang w:val="en-US"/>
        </w:rPr>
        <w:t>Korkea-aho</w:t>
      </w:r>
      <w:proofErr w:type="spellEnd"/>
      <w:r w:rsidRPr="00545C56">
        <w:rPr>
          <w:rFonts w:ascii="Times New Roman" w:hAnsi="Times New Roman"/>
          <w:lang w:val="en-US"/>
        </w:rPr>
        <w:t xml:space="preserve"> (n </w:t>
      </w:r>
      <w:r w:rsidRPr="00545C56">
        <w:rPr>
          <w:rFonts w:ascii="Times New Roman" w:hAnsi="Times New Roman"/>
          <w:lang w:val="en-US"/>
        </w:rPr>
        <w:fldChar w:fldCharType="begin"/>
      </w:r>
      <w:r w:rsidRPr="00545C56">
        <w:rPr>
          <w:rFonts w:ascii="Times New Roman" w:hAnsi="Times New Roman"/>
          <w:lang w:val="en-US"/>
        </w:rPr>
        <w:instrText xml:space="preserve"> NOTEREF _Ref47717296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74</w:t>
      </w:r>
      <w:r w:rsidRPr="00545C56">
        <w:rPr>
          <w:rFonts w:ascii="Times New Roman" w:hAnsi="Times New Roman"/>
          <w:lang w:val="en-US"/>
        </w:rPr>
        <w:fldChar w:fldCharType="end"/>
      </w:r>
      <w:r w:rsidRPr="00545C56">
        <w:rPr>
          <w:rFonts w:ascii="Times New Roman" w:hAnsi="Times New Roman"/>
          <w:lang w:val="en-US"/>
        </w:rPr>
        <w:t xml:space="preserve">) 28. </w:t>
      </w:r>
    </w:p>
  </w:footnote>
  <w:footnote w:id="142">
    <w:p w14:paraId="79E83675" w14:textId="55C11436"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Alberti</w:t>
      </w:r>
      <w:r w:rsidR="00ED2E33">
        <w:rPr>
          <w:rFonts w:ascii="Times New Roman" w:hAnsi="Times New Roman"/>
          <w:lang w:val="en-US"/>
        </w:rPr>
        <w:t xml:space="preserve"> and</w:t>
      </w:r>
      <w:r w:rsidRPr="00545C56">
        <w:rPr>
          <w:rFonts w:ascii="Times New Roman" w:hAnsi="Times New Roman"/>
          <w:lang w:val="en-US"/>
        </w:rPr>
        <w:t xml:space="preserve"> </w:t>
      </w:r>
      <w:proofErr w:type="spellStart"/>
      <w:r w:rsidRPr="00545C56">
        <w:rPr>
          <w:rFonts w:ascii="Times New Roman" w:hAnsi="Times New Roman"/>
          <w:lang w:val="en-US"/>
        </w:rPr>
        <w:t>Croci</w:t>
      </w:r>
      <w:proofErr w:type="spellEnd"/>
      <w:r w:rsidRPr="00545C56">
        <w:rPr>
          <w:rFonts w:ascii="Times New Roman" w:hAnsi="Times New Roman"/>
          <w:lang w:val="en-US"/>
        </w:rPr>
        <w:t xml:space="preserve"> (n </w:t>
      </w:r>
      <w:r w:rsidRPr="00545C56">
        <w:rPr>
          <w:rFonts w:ascii="Times New Roman" w:hAnsi="Times New Roman"/>
          <w:lang w:val="en-US"/>
        </w:rPr>
        <w:fldChar w:fldCharType="begin"/>
      </w:r>
      <w:r w:rsidRPr="00545C56">
        <w:rPr>
          <w:rFonts w:ascii="Times New Roman" w:hAnsi="Times New Roman"/>
          <w:lang w:val="en-US"/>
        </w:rPr>
        <w:instrText xml:space="preserve"> NOTEREF _Ref47715302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98</w:t>
      </w:r>
      <w:r w:rsidRPr="00545C56">
        <w:rPr>
          <w:rFonts w:ascii="Times New Roman" w:hAnsi="Times New Roman"/>
          <w:lang w:val="en-US"/>
        </w:rPr>
        <w:fldChar w:fldCharType="end"/>
      </w:r>
      <w:r w:rsidRPr="00545C56">
        <w:rPr>
          <w:rFonts w:ascii="Times New Roman" w:hAnsi="Times New Roman"/>
          <w:lang w:val="en-US"/>
        </w:rPr>
        <w:t>) 95.</w:t>
      </w:r>
    </w:p>
  </w:footnote>
  <w:footnote w:id="143">
    <w:p w14:paraId="188864D2" w14:textId="13E759F4"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hAnsi="Times New Roman"/>
        </w:rPr>
        <w:footnoteRef/>
      </w:r>
      <w:r w:rsidRPr="00545C56">
        <w:rPr>
          <w:rFonts w:ascii="Times New Roman" w:hAnsi="Times New Roman"/>
          <w:lang w:val="en-US"/>
        </w:rPr>
        <w:t xml:space="preserve"> J </w:t>
      </w:r>
      <w:proofErr w:type="spellStart"/>
      <w:r w:rsidRPr="00545C56">
        <w:rPr>
          <w:rFonts w:ascii="Times New Roman" w:hAnsi="Times New Roman"/>
          <w:lang w:val="en-US"/>
        </w:rPr>
        <w:t>Schemmel</w:t>
      </w:r>
      <w:proofErr w:type="spellEnd"/>
      <w:r w:rsidRPr="00545C56">
        <w:rPr>
          <w:rFonts w:ascii="Times New Roman" w:hAnsi="Times New Roman"/>
          <w:lang w:val="en-US"/>
        </w:rPr>
        <w:t xml:space="preserve">, ‘The ESA Guidelines: Soft Law and Subjectivity in the European Financial Market— Capturing the Administrative Influence’ (2016) 23 </w:t>
      </w:r>
      <w:r w:rsidRPr="00545C56">
        <w:rPr>
          <w:rFonts w:ascii="Times New Roman" w:hAnsi="Times New Roman"/>
          <w:i/>
          <w:lang w:val="en-US"/>
        </w:rPr>
        <w:t>Indiana Journal of Global Legal Studies</w:t>
      </w:r>
      <w:r w:rsidRPr="00545C56">
        <w:rPr>
          <w:rFonts w:ascii="Times New Roman" w:hAnsi="Times New Roman"/>
          <w:lang w:val="en-US"/>
        </w:rPr>
        <w:t xml:space="preserve"> 455, 464; M van </w:t>
      </w:r>
      <w:proofErr w:type="spellStart"/>
      <w:r w:rsidRPr="00545C56">
        <w:rPr>
          <w:rFonts w:ascii="Times New Roman" w:hAnsi="Times New Roman"/>
          <w:lang w:val="en-US"/>
        </w:rPr>
        <w:t>Rijsbergen</w:t>
      </w:r>
      <w:proofErr w:type="spellEnd"/>
      <w:r w:rsidRPr="00545C56">
        <w:rPr>
          <w:rFonts w:ascii="Times New Roman" w:hAnsi="Times New Roman"/>
          <w:lang w:val="en-US"/>
        </w:rPr>
        <w:t>, ‘EU agencies soft rule-making: Lessons learnt from the European Securities and Markets Authority’ Dissertation (2018 Utrecht University Repository) 195.</w:t>
      </w:r>
    </w:p>
  </w:footnote>
  <w:footnote w:id="144">
    <w:p w14:paraId="7503C772" w14:textId="3240AD61"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O Stefan</w:t>
      </w:r>
      <w:r w:rsidR="00ED2E33">
        <w:rPr>
          <w:rFonts w:ascii="Times New Roman" w:hAnsi="Times New Roman"/>
          <w:lang w:val="en-US"/>
        </w:rPr>
        <w:t xml:space="preserve"> and</w:t>
      </w:r>
      <w:r w:rsidRPr="00545C56">
        <w:rPr>
          <w:rFonts w:ascii="Times New Roman" w:hAnsi="Times New Roman"/>
          <w:lang w:val="en-US"/>
        </w:rPr>
        <w:t xml:space="preserve"> M Petri, ‘Too Weak to Be Controlled: Judicial review of ACER Soft Law’ (2018) 37 </w:t>
      </w:r>
      <w:r w:rsidRPr="00545C56">
        <w:rPr>
          <w:rFonts w:ascii="Times New Roman" w:hAnsi="Times New Roman"/>
          <w:i/>
          <w:lang w:val="en-US"/>
        </w:rPr>
        <w:t>Yearbook of European Law</w:t>
      </w:r>
      <w:r w:rsidRPr="00545C56">
        <w:rPr>
          <w:rFonts w:ascii="Times New Roman" w:hAnsi="Times New Roman"/>
          <w:lang w:val="en-US"/>
        </w:rPr>
        <w:t xml:space="preserve"> 525.</w:t>
      </w:r>
    </w:p>
  </w:footnote>
  <w:footnote w:id="145">
    <w:p w14:paraId="5C7E1A1E" w14:textId="77777777"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w:t>
      </w:r>
      <w:r w:rsidRPr="00545C56">
        <w:rPr>
          <w:rFonts w:ascii="Times New Roman" w:hAnsi="Times New Roman"/>
          <w:i/>
          <w:iCs/>
          <w:lang w:val="en-GB"/>
        </w:rPr>
        <w:t>Independent Media Support Ltd v Office of Communications</w:t>
      </w:r>
      <w:r w:rsidRPr="00545C56">
        <w:rPr>
          <w:rFonts w:ascii="Times New Roman" w:hAnsi="Times New Roman"/>
          <w:lang w:val="en-GB"/>
        </w:rPr>
        <w:t xml:space="preserve">, [2008] CAT 13.  </w:t>
      </w:r>
    </w:p>
  </w:footnote>
  <w:footnote w:id="146">
    <w:p w14:paraId="6CBCE0C4" w14:textId="19C6B8CA"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w:t>
      </w:r>
      <w:r w:rsidRPr="00545C56">
        <w:rPr>
          <w:rFonts w:ascii="Times New Roman" w:hAnsi="Times New Roman"/>
          <w:lang w:val="en-US"/>
        </w:rPr>
        <w:t>Expedia (n 132) EU:</w:t>
      </w:r>
      <w:proofErr w:type="gramStart"/>
      <w:r w:rsidRPr="00545C56">
        <w:rPr>
          <w:rFonts w:ascii="Times New Roman" w:hAnsi="Times New Roman"/>
          <w:lang w:val="en-US"/>
        </w:rPr>
        <w:t>C:2012:544</w:t>
      </w:r>
      <w:proofErr w:type="gramEnd"/>
      <w:r w:rsidRPr="00545C56">
        <w:rPr>
          <w:rFonts w:ascii="Times New Roman" w:hAnsi="Times New Roman"/>
          <w:lang w:val="en-US"/>
        </w:rPr>
        <w:t xml:space="preserve">, Opinion of AG </w:t>
      </w:r>
      <w:proofErr w:type="spellStart"/>
      <w:r w:rsidRPr="00545C56">
        <w:rPr>
          <w:rFonts w:ascii="Times New Roman" w:hAnsi="Times New Roman"/>
          <w:lang w:val="en-US"/>
        </w:rPr>
        <w:t>Kokott</w:t>
      </w:r>
      <w:proofErr w:type="spellEnd"/>
      <w:r w:rsidRPr="00545C56">
        <w:rPr>
          <w:rFonts w:ascii="Times New Roman" w:hAnsi="Times New Roman"/>
          <w:lang w:val="en-US"/>
        </w:rPr>
        <w:t xml:space="preserve">, </w:t>
      </w:r>
      <w:proofErr w:type="spellStart"/>
      <w:r w:rsidRPr="00545C56">
        <w:rPr>
          <w:rFonts w:ascii="Times New Roman" w:hAnsi="Times New Roman"/>
          <w:lang w:val="en-US"/>
        </w:rPr>
        <w:t>fn</w:t>
      </w:r>
      <w:proofErr w:type="spellEnd"/>
      <w:r w:rsidRPr="00545C56">
        <w:rPr>
          <w:rFonts w:ascii="Times New Roman" w:hAnsi="Times New Roman"/>
          <w:lang w:val="en-US"/>
        </w:rPr>
        <w:t xml:space="preserve"> 40. </w:t>
      </w:r>
    </w:p>
  </w:footnote>
  <w:footnote w:id="147">
    <w:p w14:paraId="2507A050" w14:textId="282871F2"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eastAsiaTheme="majorEastAsia" w:hAnsi="Times New Roman"/>
          <w:lang w:val="en-GB"/>
        </w:rPr>
        <w:footnoteRef/>
      </w:r>
      <w:r w:rsidRPr="00545C56">
        <w:rPr>
          <w:rFonts w:ascii="Times New Roman" w:hAnsi="Times New Roman"/>
          <w:lang w:val="en-GB"/>
        </w:rPr>
        <w:t xml:space="preserve"> </w:t>
      </w:r>
      <w:r w:rsidRPr="00545C56">
        <w:rPr>
          <w:rFonts w:ascii="Times New Roman" w:hAnsi="Times New Roman"/>
          <w:i/>
          <w:iCs/>
          <w:lang w:val="en-GB"/>
        </w:rPr>
        <w:t>MasterCard and others</w:t>
      </w:r>
      <w:r w:rsidRPr="00545C56">
        <w:rPr>
          <w:rFonts w:ascii="Times New Roman" w:hAnsi="Times New Roman"/>
          <w:lang w:val="en-GB"/>
        </w:rPr>
        <w:t xml:space="preserve"> [2018] EWCA 1536 (</w:t>
      </w:r>
      <w:proofErr w:type="spellStart"/>
      <w:r w:rsidRPr="00545C56">
        <w:rPr>
          <w:rFonts w:ascii="Times New Roman" w:hAnsi="Times New Roman"/>
          <w:lang w:val="en-GB"/>
        </w:rPr>
        <w:t>Civ</w:t>
      </w:r>
      <w:proofErr w:type="spellEnd"/>
      <w:r w:rsidRPr="00545C56">
        <w:rPr>
          <w:rFonts w:ascii="Times New Roman" w:hAnsi="Times New Roman"/>
          <w:lang w:val="en-GB"/>
        </w:rPr>
        <w:t>) [106].</w:t>
      </w:r>
    </w:p>
  </w:footnote>
  <w:footnote w:id="148">
    <w:p w14:paraId="33ABF4E8" w14:textId="4BBA0280" w:rsidR="00CD1F3A" w:rsidRPr="00545C56" w:rsidRDefault="00CD1F3A" w:rsidP="002803C8">
      <w:pPr>
        <w:pStyle w:val="FootnoteText"/>
        <w:contextualSpacing/>
        <w:rPr>
          <w:rFonts w:ascii="Times New Roman" w:hAnsi="Times New Roman"/>
          <w:bCs/>
          <w:highlight w:val="yellow"/>
          <w:lang w:val="fi-FI"/>
        </w:rPr>
      </w:pPr>
      <w:r w:rsidRPr="00545C56">
        <w:rPr>
          <w:rStyle w:val="FootnoteReference"/>
          <w:rFonts w:ascii="Times New Roman" w:hAnsi="Times New Roman"/>
        </w:rPr>
        <w:footnoteRef/>
      </w:r>
      <w:r w:rsidRPr="00545C56">
        <w:rPr>
          <w:rFonts w:ascii="Times New Roman" w:hAnsi="Times New Roman"/>
          <w:lang w:val="en-US"/>
        </w:rPr>
        <w:t xml:space="preserve"> </w:t>
      </w:r>
      <w:proofErr w:type="spellStart"/>
      <w:r w:rsidRPr="00545C56">
        <w:rPr>
          <w:rFonts w:ascii="Times New Roman" w:hAnsi="Times New Roman"/>
          <w:color w:val="000000" w:themeColor="text1"/>
          <w:lang w:val="en-US"/>
        </w:rPr>
        <w:t>Rošic</w:t>
      </w:r>
      <w:proofErr w:type="spellEnd"/>
      <w:r w:rsidRPr="00545C56">
        <w:rPr>
          <w:rFonts w:ascii="Times New Roman" w:hAnsi="Times New Roman"/>
          <w:color w:val="000000" w:themeColor="text1"/>
          <w:lang w:val="en-US"/>
        </w:rPr>
        <w:t xml:space="preserve"> </w:t>
      </w:r>
      <w:proofErr w:type="spellStart"/>
      <w:r w:rsidRPr="00545C56">
        <w:rPr>
          <w:rFonts w:ascii="Times New Roman" w:hAnsi="Times New Roman"/>
          <w:color w:val="000000" w:themeColor="text1"/>
          <w:lang w:val="en-US"/>
        </w:rPr>
        <w:t>Feguš</w:t>
      </w:r>
      <w:proofErr w:type="spellEnd"/>
      <w:r w:rsidRPr="00545C56">
        <w:rPr>
          <w:rFonts w:ascii="Times New Roman" w:hAnsi="Times New Roman"/>
          <w:color w:val="000000" w:themeColor="text1"/>
          <w:lang w:val="en-US"/>
        </w:rPr>
        <w:t xml:space="preserve"> </w:t>
      </w:r>
      <w:r w:rsidRPr="00545C56">
        <w:rPr>
          <w:rFonts w:ascii="Times New Roman" w:hAnsi="Times New Roman"/>
          <w:lang w:val="en-US"/>
        </w:rPr>
        <w:t xml:space="preserve">(n </w:t>
      </w:r>
      <w:r w:rsidRPr="00545C56">
        <w:rPr>
          <w:rFonts w:ascii="Times New Roman" w:hAnsi="Times New Roman"/>
          <w:lang w:val="en-US"/>
        </w:rPr>
        <w:fldChar w:fldCharType="begin"/>
      </w:r>
      <w:r w:rsidRPr="00545C56">
        <w:rPr>
          <w:rFonts w:ascii="Times New Roman" w:hAnsi="Times New Roman"/>
          <w:lang w:val="en-US"/>
        </w:rPr>
        <w:instrText xml:space="preserve"> NOTEREF _Ref47706419 \h  \* MERGEFORMAT </w:instrText>
      </w:r>
      <w:r w:rsidRPr="00545C56">
        <w:rPr>
          <w:rFonts w:ascii="Times New Roman" w:hAnsi="Times New Roman"/>
          <w:lang w:val="en-US"/>
        </w:rPr>
      </w:r>
      <w:r w:rsidRPr="00545C56">
        <w:rPr>
          <w:rFonts w:ascii="Times New Roman" w:hAnsi="Times New Roman"/>
          <w:lang w:val="en-US"/>
        </w:rPr>
        <w:fldChar w:fldCharType="separate"/>
      </w:r>
      <w:r w:rsidR="00CC3357">
        <w:rPr>
          <w:rFonts w:ascii="Times New Roman" w:hAnsi="Times New Roman"/>
          <w:lang w:val="en-US"/>
        </w:rPr>
        <w:t>44</w:t>
      </w:r>
      <w:r w:rsidRPr="00545C56">
        <w:rPr>
          <w:rFonts w:ascii="Times New Roman" w:hAnsi="Times New Roman"/>
          <w:lang w:val="en-US"/>
        </w:rPr>
        <w:fldChar w:fldCharType="end"/>
      </w:r>
      <w:r w:rsidRPr="00545C56">
        <w:rPr>
          <w:rFonts w:ascii="Times New Roman" w:hAnsi="Times New Roman"/>
          <w:lang w:val="en-US"/>
        </w:rPr>
        <w:t>),170</w:t>
      </w:r>
      <w:r w:rsidRPr="00545C56">
        <w:rPr>
          <w:rFonts w:ascii="Times New Roman" w:hAnsi="Times New Roman"/>
          <w:lang w:val="en-GB"/>
        </w:rPr>
        <w:t xml:space="preserve">, </w:t>
      </w:r>
      <w:proofErr w:type="spellStart"/>
      <w:r w:rsidRPr="00545C56">
        <w:rPr>
          <w:rFonts w:ascii="Times New Roman" w:hAnsi="Times New Roman"/>
          <w:lang w:val="en-GB"/>
        </w:rPr>
        <w:t>Korkea-aho</w:t>
      </w:r>
      <w:proofErr w:type="spellEnd"/>
      <w:r w:rsidRPr="00545C56">
        <w:rPr>
          <w:rFonts w:ascii="Times New Roman" w:hAnsi="Times New Roman"/>
          <w:lang w:val="en-GB"/>
        </w:rPr>
        <w:t xml:space="preserve"> (n </w:t>
      </w:r>
      <w:r w:rsidRPr="00545C56">
        <w:rPr>
          <w:rFonts w:ascii="Times New Roman" w:hAnsi="Times New Roman"/>
          <w:lang w:val="en-GB"/>
        </w:rPr>
        <w:fldChar w:fldCharType="begin"/>
      </w:r>
      <w:r w:rsidRPr="00545C56">
        <w:rPr>
          <w:rFonts w:ascii="Times New Roman" w:hAnsi="Times New Roman"/>
          <w:lang w:val="en-GB"/>
        </w:rPr>
        <w:instrText xml:space="preserve"> NOTEREF _Ref47717830 \h </w:instrText>
      </w:r>
      <w:r w:rsidR="00545C56" w:rsidRPr="00545C56">
        <w:rPr>
          <w:rFonts w:ascii="Times New Roman" w:hAnsi="Times New Roman"/>
          <w:lang w:val="en-GB"/>
        </w:rPr>
        <w:instrText xml:space="preserve"> \* MERGEFORMAT </w:instrText>
      </w:r>
      <w:r w:rsidRPr="00545C56">
        <w:rPr>
          <w:rFonts w:ascii="Times New Roman" w:hAnsi="Times New Roman"/>
          <w:lang w:val="en-GB"/>
        </w:rPr>
      </w:r>
      <w:r w:rsidRPr="00545C56">
        <w:rPr>
          <w:rFonts w:ascii="Times New Roman" w:hAnsi="Times New Roman"/>
          <w:lang w:val="en-GB"/>
        </w:rPr>
        <w:fldChar w:fldCharType="separate"/>
      </w:r>
      <w:r w:rsidR="00CC3357">
        <w:rPr>
          <w:rFonts w:ascii="Times New Roman" w:hAnsi="Times New Roman"/>
          <w:lang w:val="en-GB"/>
        </w:rPr>
        <w:t>91</w:t>
      </w:r>
      <w:r w:rsidRPr="00545C56">
        <w:rPr>
          <w:rFonts w:ascii="Times New Roman" w:hAnsi="Times New Roman"/>
          <w:lang w:val="en-GB"/>
        </w:rPr>
        <w:fldChar w:fldCharType="end"/>
      </w:r>
      <w:r w:rsidRPr="00545C56">
        <w:rPr>
          <w:rFonts w:ascii="Times New Roman" w:hAnsi="Times New Roman"/>
          <w:lang w:val="en-GB"/>
        </w:rPr>
        <w:t>)</w:t>
      </w:r>
      <w:r w:rsidRPr="00545C56">
        <w:rPr>
          <w:rFonts w:ascii="Times New Roman" w:hAnsi="Times New Roman"/>
          <w:bCs/>
          <w:lang w:val="en-US"/>
        </w:rPr>
        <w:t xml:space="preserve"> 33.</w:t>
      </w:r>
    </w:p>
  </w:footnote>
  <w:footnote w:id="149">
    <w:p w14:paraId="66DF347B" w14:textId="02ECD5CC"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hAnsi="Times New Roman"/>
          <w:lang w:val="en-GB"/>
        </w:rPr>
        <w:footnoteRef/>
      </w:r>
      <w:r w:rsidRPr="00545C56">
        <w:rPr>
          <w:rFonts w:ascii="Times New Roman" w:hAnsi="Times New Roman"/>
          <w:lang w:val="en-GB"/>
        </w:rPr>
        <w:t xml:space="preserve"> </w:t>
      </w:r>
      <w:r w:rsidRPr="00545C56">
        <w:rPr>
          <w:rFonts w:ascii="Times New Roman" w:hAnsi="Times New Roman"/>
          <w:i/>
          <w:iCs/>
          <w:lang w:val="en-GB"/>
        </w:rPr>
        <w:t>FCA v Da Vinci Invest Limited and others</w:t>
      </w:r>
      <w:r w:rsidRPr="00545C56">
        <w:rPr>
          <w:rFonts w:ascii="Times New Roman" w:hAnsi="Times New Roman"/>
          <w:lang w:val="en-GB"/>
        </w:rPr>
        <w:t xml:space="preserve">, [2015] EWHC 2401 (Ch). </w:t>
      </w:r>
    </w:p>
  </w:footnote>
  <w:footnote w:id="150">
    <w:p w14:paraId="2D7E10B4" w14:textId="39FEB35B" w:rsidR="00CD1F3A" w:rsidRPr="00545C56" w:rsidRDefault="00CD1F3A" w:rsidP="002803C8">
      <w:pPr>
        <w:pStyle w:val="FootnoteText"/>
        <w:contextualSpacing/>
        <w:rPr>
          <w:rFonts w:ascii="Times New Roman" w:hAnsi="Times New Roman"/>
          <w:lang w:val="en-GB"/>
        </w:rPr>
      </w:pPr>
      <w:r w:rsidRPr="00545C56">
        <w:rPr>
          <w:rStyle w:val="FootnoteReference"/>
          <w:rFonts w:ascii="Times New Roman" w:hAnsi="Times New Roman"/>
          <w:lang w:val="en-GB"/>
        </w:rPr>
        <w:footnoteRef/>
      </w:r>
      <w:r w:rsidRPr="00545C56">
        <w:rPr>
          <w:rFonts w:ascii="Times New Roman" w:hAnsi="Times New Roman"/>
          <w:lang w:val="en-GB"/>
        </w:rPr>
        <w:t xml:space="preserve"> N Moloney, </w:t>
      </w:r>
      <w:r w:rsidRPr="00545C56">
        <w:rPr>
          <w:rFonts w:ascii="Times New Roman" w:hAnsi="Times New Roman"/>
          <w:i/>
          <w:iCs/>
          <w:lang w:val="en-GB"/>
        </w:rPr>
        <w:t>EU securities and financial markets regulation</w:t>
      </w:r>
      <w:r w:rsidRPr="00545C56">
        <w:rPr>
          <w:rFonts w:ascii="Times New Roman" w:hAnsi="Times New Roman"/>
          <w:lang w:val="en-GB"/>
        </w:rPr>
        <w:t xml:space="preserve"> (3rd </w:t>
      </w:r>
      <w:proofErr w:type="spellStart"/>
      <w:r w:rsidRPr="00545C56">
        <w:rPr>
          <w:rFonts w:ascii="Times New Roman" w:hAnsi="Times New Roman"/>
          <w:lang w:val="en-GB"/>
        </w:rPr>
        <w:t>ed</w:t>
      </w:r>
      <w:r w:rsidR="00ED2E33">
        <w:rPr>
          <w:rFonts w:ascii="Times New Roman" w:hAnsi="Times New Roman"/>
          <w:lang w:val="en-GB"/>
        </w:rPr>
        <w:t>n</w:t>
      </w:r>
      <w:proofErr w:type="spellEnd"/>
      <w:r w:rsidRPr="00545C56">
        <w:rPr>
          <w:rFonts w:ascii="Times New Roman" w:hAnsi="Times New Roman"/>
          <w:lang w:val="en-GB"/>
        </w:rPr>
        <w:t xml:space="preserve">, Oxford, Oxford University Press, 2014) 950. </w:t>
      </w:r>
    </w:p>
  </w:footnote>
  <w:footnote w:id="151">
    <w:p w14:paraId="1D75B707" w14:textId="3174C806"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w:t>
      </w:r>
      <w:proofErr w:type="spellStart"/>
      <w:r w:rsidRPr="00545C56">
        <w:rPr>
          <w:rFonts w:ascii="Times New Roman" w:hAnsi="Times New Roman"/>
          <w:lang w:val="en-US"/>
        </w:rPr>
        <w:t>Korkea-aho</w:t>
      </w:r>
      <w:proofErr w:type="spellEnd"/>
      <w:r w:rsidR="00ED2E33">
        <w:rPr>
          <w:rFonts w:ascii="Times New Roman" w:hAnsi="Times New Roman"/>
          <w:lang w:val="en-US"/>
        </w:rPr>
        <w:t xml:space="preserve"> and</w:t>
      </w:r>
      <w:r w:rsidRPr="00545C56">
        <w:rPr>
          <w:rFonts w:ascii="Times New Roman" w:hAnsi="Times New Roman"/>
          <w:lang w:val="en-US"/>
        </w:rPr>
        <w:t xml:space="preserve"> </w:t>
      </w:r>
      <w:proofErr w:type="spellStart"/>
      <w:r w:rsidRPr="00545C56">
        <w:rPr>
          <w:rFonts w:ascii="Times New Roman" w:hAnsi="Times New Roman"/>
          <w:lang w:val="en-US"/>
        </w:rPr>
        <w:t>Hartlapp</w:t>
      </w:r>
      <w:proofErr w:type="spellEnd"/>
      <w:r w:rsidRPr="00545C56">
        <w:rPr>
          <w:rFonts w:ascii="Times New Roman" w:hAnsi="Times New Roman"/>
          <w:lang w:val="en-US"/>
        </w:rPr>
        <w:t xml:space="preserve"> this volume.</w:t>
      </w:r>
    </w:p>
  </w:footnote>
  <w:footnote w:id="152">
    <w:p w14:paraId="069A04E7" w14:textId="4880ECC8" w:rsidR="00CD1F3A" w:rsidRPr="00545C56" w:rsidRDefault="00CD1F3A" w:rsidP="002803C8">
      <w:pPr>
        <w:pStyle w:val="FootnoteText"/>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Gentile this volume.</w:t>
      </w:r>
    </w:p>
  </w:footnote>
  <w:footnote w:id="153">
    <w:p w14:paraId="7975B0DF" w14:textId="0B9DC939" w:rsidR="00CD1F3A" w:rsidRPr="00545C56" w:rsidRDefault="00CD1F3A" w:rsidP="002803C8">
      <w:pPr>
        <w:pStyle w:val="FootnoteText"/>
        <w:contextualSpacing/>
        <w:rPr>
          <w:rFonts w:ascii="Times New Roman" w:hAnsi="Times New Roman"/>
          <w:lang w:val="en-US"/>
        </w:rPr>
      </w:pPr>
      <w:r w:rsidRPr="00545C56">
        <w:rPr>
          <w:rStyle w:val="FootnoteReference"/>
          <w:rFonts w:ascii="Times New Roman" w:hAnsi="Times New Roman"/>
        </w:rPr>
        <w:footnoteRef/>
      </w:r>
      <w:r w:rsidRPr="00545C56">
        <w:rPr>
          <w:rFonts w:ascii="Times New Roman" w:hAnsi="Times New Roman"/>
          <w:lang w:val="en-US"/>
        </w:rPr>
        <w:t xml:space="preserve"> See the Recommendations of the </w:t>
      </w:r>
      <w:proofErr w:type="spellStart"/>
      <w:r w:rsidRPr="00545C56">
        <w:rPr>
          <w:rFonts w:ascii="Times New Roman" w:hAnsi="Times New Roman"/>
          <w:lang w:val="en-US"/>
        </w:rPr>
        <w:t>SoLaR</w:t>
      </w:r>
      <w:proofErr w:type="spellEnd"/>
      <w:r w:rsidRPr="00545C56">
        <w:rPr>
          <w:rFonts w:ascii="Times New Roman" w:hAnsi="Times New Roman"/>
          <w:lang w:val="en-US"/>
        </w:rPr>
        <w:t xml:space="preserve"> network</w:t>
      </w:r>
      <w:r w:rsidR="006707E9">
        <w:rPr>
          <w:rFonts w:ascii="Times New Roman" w:hAnsi="Times New Roman"/>
          <w:lang w:val="en-US"/>
        </w:rPr>
        <w:t xml:space="preserve"> </w:t>
      </w:r>
      <w:r w:rsidRPr="00545C56">
        <w:rPr>
          <w:rFonts w:ascii="Times New Roman" w:hAnsi="Times New Roman"/>
          <w:lang w:val="en-US"/>
        </w:rPr>
        <w:t>in the Introduction to this volume.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D188F"/>
    <w:multiLevelType w:val="hybridMultilevel"/>
    <w:tmpl w:val="77A20672"/>
    <w:lvl w:ilvl="0" w:tplc="E3CEFE76">
      <w:start w:val="297"/>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42C8232C"/>
    <w:multiLevelType w:val="hybridMultilevel"/>
    <w:tmpl w:val="27A4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D0B63"/>
    <w:multiLevelType w:val="hybridMultilevel"/>
    <w:tmpl w:val="F6885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F014660"/>
    <w:multiLevelType w:val="multilevel"/>
    <w:tmpl w:val="040C0027"/>
    <w:lvl w:ilvl="0">
      <w:start w:val="1"/>
      <w:numFmt w:val="upperRoman"/>
      <w:pStyle w:val="Heading1"/>
      <w:lvlText w:val="%1."/>
      <w:lvlJc w:val="left"/>
      <w:pPr>
        <w:ind w:left="567" w:firstLine="0"/>
      </w:pPr>
    </w:lvl>
    <w:lvl w:ilvl="1">
      <w:start w:val="1"/>
      <w:numFmt w:val="upperLetter"/>
      <w:pStyle w:val="Heading2"/>
      <w:lvlText w:val="%2."/>
      <w:lvlJc w:val="left"/>
      <w:pPr>
        <w:ind w:left="993"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3"/>
  </w:num>
  <w:num w:numId="2">
    <w:abstractNumId w:val="3"/>
  </w:num>
  <w:num w:numId="3">
    <w:abstractNumId w:val="3"/>
  </w:num>
  <w:num w:numId="4">
    <w:abstractNumId w:val="3"/>
  </w:num>
  <w:num w:numId="5">
    <w:abstractNumId w:val="3"/>
  </w:num>
  <w:num w:numId="6">
    <w:abstractNumId w:val="2"/>
  </w:num>
  <w:num w:numId="7">
    <w:abstractNumId w:val="3"/>
  </w:num>
  <w:num w:numId="8">
    <w:abstractNumId w:val="0"/>
  </w:num>
  <w:num w:numId="9">
    <w:abstractNumId w:val="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E3"/>
    <w:rsid w:val="00003931"/>
    <w:rsid w:val="00003D92"/>
    <w:rsid w:val="00007917"/>
    <w:rsid w:val="00007A4E"/>
    <w:rsid w:val="00012473"/>
    <w:rsid w:val="00024177"/>
    <w:rsid w:val="00025E99"/>
    <w:rsid w:val="00036D62"/>
    <w:rsid w:val="00041733"/>
    <w:rsid w:val="000437A0"/>
    <w:rsid w:val="000552E9"/>
    <w:rsid w:val="00056776"/>
    <w:rsid w:val="00056858"/>
    <w:rsid w:val="00062043"/>
    <w:rsid w:val="00064E89"/>
    <w:rsid w:val="000770A2"/>
    <w:rsid w:val="000773AD"/>
    <w:rsid w:val="00077D89"/>
    <w:rsid w:val="0008160D"/>
    <w:rsid w:val="00081EF6"/>
    <w:rsid w:val="0008293F"/>
    <w:rsid w:val="000865B1"/>
    <w:rsid w:val="0009465E"/>
    <w:rsid w:val="000960B0"/>
    <w:rsid w:val="000A43D1"/>
    <w:rsid w:val="000A4DA6"/>
    <w:rsid w:val="000A7DBC"/>
    <w:rsid w:val="000B146A"/>
    <w:rsid w:val="000B3FEE"/>
    <w:rsid w:val="000B46A4"/>
    <w:rsid w:val="000B475E"/>
    <w:rsid w:val="000C1CA4"/>
    <w:rsid w:val="000D21FF"/>
    <w:rsid w:val="000D30E7"/>
    <w:rsid w:val="000D5561"/>
    <w:rsid w:val="000D707F"/>
    <w:rsid w:val="000E0FEB"/>
    <w:rsid w:val="000F17E3"/>
    <w:rsid w:val="00102A50"/>
    <w:rsid w:val="001042DC"/>
    <w:rsid w:val="00120301"/>
    <w:rsid w:val="00131110"/>
    <w:rsid w:val="001351B1"/>
    <w:rsid w:val="001454FE"/>
    <w:rsid w:val="00150E85"/>
    <w:rsid w:val="001537B5"/>
    <w:rsid w:val="00153AA4"/>
    <w:rsid w:val="0016212A"/>
    <w:rsid w:val="00163B0A"/>
    <w:rsid w:val="00164B40"/>
    <w:rsid w:val="00167A2A"/>
    <w:rsid w:val="001767D4"/>
    <w:rsid w:val="00183136"/>
    <w:rsid w:val="00184C17"/>
    <w:rsid w:val="00185E98"/>
    <w:rsid w:val="00192BD8"/>
    <w:rsid w:val="00193354"/>
    <w:rsid w:val="00193B1F"/>
    <w:rsid w:val="0019703D"/>
    <w:rsid w:val="0019798A"/>
    <w:rsid w:val="001A12DE"/>
    <w:rsid w:val="001A4BD1"/>
    <w:rsid w:val="001A5B5F"/>
    <w:rsid w:val="001B1512"/>
    <w:rsid w:val="001B1BE6"/>
    <w:rsid w:val="001B2D17"/>
    <w:rsid w:val="001B2E3F"/>
    <w:rsid w:val="001B4A8C"/>
    <w:rsid w:val="001C5EA7"/>
    <w:rsid w:val="001C69B3"/>
    <w:rsid w:val="001E0AF0"/>
    <w:rsid w:val="001E0F53"/>
    <w:rsid w:val="001F72F6"/>
    <w:rsid w:val="002014BF"/>
    <w:rsid w:val="00201BC8"/>
    <w:rsid w:val="00204764"/>
    <w:rsid w:val="002218B4"/>
    <w:rsid w:val="00222B00"/>
    <w:rsid w:val="002244F5"/>
    <w:rsid w:val="00241D0B"/>
    <w:rsid w:val="002470BB"/>
    <w:rsid w:val="0025167D"/>
    <w:rsid w:val="002634D8"/>
    <w:rsid w:val="0026495A"/>
    <w:rsid w:val="00264EB6"/>
    <w:rsid w:val="00272F9B"/>
    <w:rsid w:val="002803C8"/>
    <w:rsid w:val="0028125B"/>
    <w:rsid w:val="00294E66"/>
    <w:rsid w:val="002A41AA"/>
    <w:rsid w:val="002B0B55"/>
    <w:rsid w:val="002B0EA2"/>
    <w:rsid w:val="002B1925"/>
    <w:rsid w:val="002C3191"/>
    <w:rsid w:val="002C4FEF"/>
    <w:rsid w:val="002D0B8B"/>
    <w:rsid w:val="002E10B7"/>
    <w:rsid w:val="002E1569"/>
    <w:rsid w:val="002F05AA"/>
    <w:rsid w:val="002F1FF5"/>
    <w:rsid w:val="002F3DB1"/>
    <w:rsid w:val="00302668"/>
    <w:rsid w:val="00303A8F"/>
    <w:rsid w:val="0031521D"/>
    <w:rsid w:val="003157FD"/>
    <w:rsid w:val="00316C84"/>
    <w:rsid w:val="00323523"/>
    <w:rsid w:val="003301B4"/>
    <w:rsid w:val="003377D0"/>
    <w:rsid w:val="00342323"/>
    <w:rsid w:val="003428E1"/>
    <w:rsid w:val="00343DAF"/>
    <w:rsid w:val="0035097A"/>
    <w:rsid w:val="00355C53"/>
    <w:rsid w:val="00355EF0"/>
    <w:rsid w:val="00365FD3"/>
    <w:rsid w:val="003808B5"/>
    <w:rsid w:val="00383BE0"/>
    <w:rsid w:val="00387120"/>
    <w:rsid w:val="0039001F"/>
    <w:rsid w:val="003904C9"/>
    <w:rsid w:val="00390B99"/>
    <w:rsid w:val="003916F9"/>
    <w:rsid w:val="00396EE7"/>
    <w:rsid w:val="003A228A"/>
    <w:rsid w:val="003A5EAC"/>
    <w:rsid w:val="003B132E"/>
    <w:rsid w:val="003B1A14"/>
    <w:rsid w:val="003B21A6"/>
    <w:rsid w:val="003B3A4D"/>
    <w:rsid w:val="003C004E"/>
    <w:rsid w:val="003C0DF7"/>
    <w:rsid w:val="003C14AA"/>
    <w:rsid w:val="003C178A"/>
    <w:rsid w:val="003C4A8B"/>
    <w:rsid w:val="003C4F38"/>
    <w:rsid w:val="003C78FD"/>
    <w:rsid w:val="003D28A0"/>
    <w:rsid w:val="003D3EC3"/>
    <w:rsid w:val="003E41BF"/>
    <w:rsid w:val="003E6916"/>
    <w:rsid w:val="003F1211"/>
    <w:rsid w:val="003F346A"/>
    <w:rsid w:val="003F3AA0"/>
    <w:rsid w:val="003F3F87"/>
    <w:rsid w:val="004028F9"/>
    <w:rsid w:val="004123CA"/>
    <w:rsid w:val="00412C08"/>
    <w:rsid w:val="004145E0"/>
    <w:rsid w:val="004221F9"/>
    <w:rsid w:val="00423786"/>
    <w:rsid w:val="0042634C"/>
    <w:rsid w:val="00426EC3"/>
    <w:rsid w:val="00436F50"/>
    <w:rsid w:val="00451266"/>
    <w:rsid w:val="0045343B"/>
    <w:rsid w:val="00455551"/>
    <w:rsid w:val="00455C63"/>
    <w:rsid w:val="004620A3"/>
    <w:rsid w:val="00462FF4"/>
    <w:rsid w:val="0046470C"/>
    <w:rsid w:val="00470A94"/>
    <w:rsid w:val="004724E7"/>
    <w:rsid w:val="0047502A"/>
    <w:rsid w:val="004809AA"/>
    <w:rsid w:val="004810E0"/>
    <w:rsid w:val="004832B8"/>
    <w:rsid w:val="00483F2C"/>
    <w:rsid w:val="00487E63"/>
    <w:rsid w:val="004925E0"/>
    <w:rsid w:val="004938E2"/>
    <w:rsid w:val="004A56DF"/>
    <w:rsid w:val="004C3491"/>
    <w:rsid w:val="004C4B9D"/>
    <w:rsid w:val="004D1886"/>
    <w:rsid w:val="004D20E4"/>
    <w:rsid w:val="004D7A9B"/>
    <w:rsid w:val="004E28B1"/>
    <w:rsid w:val="004E5A58"/>
    <w:rsid w:val="004E64BD"/>
    <w:rsid w:val="004F05A6"/>
    <w:rsid w:val="004F366F"/>
    <w:rsid w:val="004F3B1E"/>
    <w:rsid w:val="004F3C6E"/>
    <w:rsid w:val="00504437"/>
    <w:rsid w:val="00504FDA"/>
    <w:rsid w:val="00505A62"/>
    <w:rsid w:val="00505F8A"/>
    <w:rsid w:val="00510681"/>
    <w:rsid w:val="00510DA4"/>
    <w:rsid w:val="00514C9D"/>
    <w:rsid w:val="005173F3"/>
    <w:rsid w:val="0052609F"/>
    <w:rsid w:val="005276EC"/>
    <w:rsid w:val="00543D62"/>
    <w:rsid w:val="00545C56"/>
    <w:rsid w:val="00545F5F"/>
    <w:rsid w:val="00554C2E"/>
    <w:rsid w:val="00557ACA"/>
    <w:rsid w:val="00557F36"/>
    <w:rsid w:val="00561035"/>
    <w:rsid w:val="0056188D"/>
    <w:rsid w:val="00567047"/>
    <w:rsid w:val="00572EB9"/>
    <w:rsid w:val="00577405"/>
    <w:rsid w:val="00581AB2"/>
    <w:rsid w:val="00582D07"/>
    <w:rsid w:val="00593074"/>
    <w:rsid w:val="005A00AD"/>
    <w:rsid w:val="005A0CDD"/>
    <w:rsid w:val="005A1914"/>
    <w:rsid w:val="005A1CEE"/>
    <w:rsid w:val="005A36D1"/>
    <w:rsid w:val="005A6624"/>
    <w:rsid w:val="005B5CBD"/>
    <w:rsid w:val="005C5FFA"/>
    <w:rsid w:val="005D1FCD"/>
    <w:rsid w:val="005E0507"/>
    <w:rsid w:val="005E2B21"/>
    <w:rsid w:val="005E3F48"/>
    <w:rsid w:val="005F00B1"/>
    <w:rsid w:val="005F0220"/>
    <w:rsid w:val="005F0435"/>
    <w:rsid w:val="005F099F"/>
    <w:rsid w:val="005F2B72"/>
    <w:rsid w:val="005F5DF3"/>
    <w:rsid w:val="005F5F0E"/>
    <w:rsid w:val="006007E4"/>
    <w:rsid w:val="00601104"/>
    <w:rsid w:val="00612936"/>
    <w:rsid w:val="00625B23"/>
    <w:rsid w:val="00625F46"/>
    <w:rsid w:val="0063062F"/>
    <w:rsid w:val="0063094E"/>
    <w:rsid w:val="00630DA6"/>
    <w:rsid w:val="0063299C"/>
    <w:rsid w:val="006355E0"/>
    <w:rsid w:val="00641405"/>
    <w:rsid w:val="006414C2"/>
    <w:rsid w:val="00643CB9"/>
    <w:rsid w:val="006479D8"/>
    <w:rsid w:val="0065117C"/>
    <w:rsid w:val="00651E7A"/>
    <w:rsid w:val="00652949"/>
    <w:rsid w:val="00655E35"/>
    <w:rsid w:val="0066233E"/>
    <w:rsid w:val="0066434C"/>
    <w:rsid w:val="006700AF"/>
    <w:rsid w:val="006707E9"/>
    <w:rsid w:val="00670B17"/>
    <w:rsid w:val="00671867"/>
    <w:rsid w:val="00671C4E"/>
    <w:rsid w:val="00675D55"/>
    <w:rsid w:val="00676FC6"/>
    <w:rsid w:val="00685838"/>
    <w:rsid w:val="0068767E"/>
    <w:rsid w:val="006878A7"/>
    <w:rsid w:val="006878B2"/>
    <w:rsid w:val="006A0449"/>
    <w:rsid w:val="006B3E75"/>
    <w:rsid w:val="006B4AD7"/>
    <w:rsid w:val="006B714B"/>
    <w:rsid w:val="006C755F"/>
    <w:rsid w:val="006C76F3"/>
    <w:rsid w:val="006D01F3"/>
    <w:rsid w:val="006D5F53"/>
    <w:rsid w:val="006D69F9"/>
    <w:rsid w:val="006E2264"/>
    <w:rsid w:val="006F025A"/>
    <w:rsid w:val="006F29CD"/>
    <w:rsid w:val="006F3C53"/>
    <w:rsid w:val="006F508B"/>
    <w:rsid w:val="006F6F0B"/>
    <w:rsid w:val="0070498E"/>
    <w:rsid w:val="0070686E"/>
    <w:rsid w:val="007134A9"/>
    <w:rsid w:val="00714EDA"/>
    <w:rsid w:val="00717AE8"/>
    <w:rsid w:val="00717FE0"/>
    <w:rsid w:val="00720BA5"/>
    <w:rsid w:val="0072189A"/>
    <w:rsid w:val="00726A2C"/>
    <w:rsid w:val="007273B0"/>
    <w:rsid w:val="00731756"/>
    <w:rsid w:val="007317A9"/>
    <w:rsid w:val="007376C8"/>
    <w:rsid w:val="00742164"/>
    <w:rsid w:val="00743083"/>
    <w:rsid w:val="007454BA"/>
    <w:rsid w:val="00745A60"/>
    <w:rsid w:val="007542D7"/>
    <w:rsid w:val="00756654"/>
    <w:rsid w:val="00756D35"/>
    <w:rsid w:val="007616E0"/>
    <w:rsid w:val="00762DD5"/>
    <w:rsid w:val="00766034"/>
    <w:rsid w:val="00766946"/>
    <w:rsid w:val="0077122B"/>
    <w:rsid w:val="00771E51"/>
    <w:rsid w:val="00773B05"/>
    <w:rsid w:val="007818A0"/>
    <w:rsid w:val="007859D3"/>
    <w:rsid w:val="0078636C"/>
    <w:rsid w:val="0078643C"/>
    <w:rsid w:val="007948B4"/>
    <w:rsid w:val="00794928"/>
    <w:rsid w:val="00794EF6"/>
    <w:rsid w:val="00794F1C"/>
    <w:rsid w:val="007954D6"/>
    <w:rsid w:val="007962A7"/>
    <w:rsid w:val="007A0617"/>
    <w:rsid w:val="007A4DF3"/>
    <w:rsid w:val="007A7920"/>
    <w:rsid w:val="007B3839"/>
    <w:rsid w:val="007C137B"/>
    <w:rsid w:val="007C1C43"/>
    <w:rsid w:val="007C24B5"/>
    <w:rsid w:val="007C7833"/>
    <w:rsid w:val="007D282C"/>
    <w:rsid w:val="007D3C08"/>
    <w:rsid w:val="007D40C2"/>
    <w:rsid w:val="007D7A09"/>
    <w:rsid w:val="007E01C5"/>
    <w:rsid w:val="007E14EB"/>
    <w:rsid w:val="007E6E2C"/>
    <w:rsid w:val="007E7814"/>
    <w:rsid w:val="007F5F65"/>
    <w:rsid w:val="00801C25"/>
    <w:rsid w:val="00801FAE"/>
    <w:rsid w:val="00805D25"/>
    <w:rsid w:val="00807863"/>
    <w:rsid w:val="00810903"/>
    <w:rsid w:val="00815638"/>
    <w:rsid w:val="00816DB7"/>
    <w:rsid w:val="00820966"/>
    <w:rsid w:val="0083494F"/>
    <w:rsid w:val="00837F4C"/>
    <w:rsid w:val="00850F32"/>
    <w:rsid w:val="008513AB"/>
    <w:rsid w:val="00852325"/>
    <w:rsid w:val="00856134"/>
    <w:rsid w:val="00860EF6"/>
    <w:rsid w:val="00870484"/>
    <w:rsid w:val="008722C2"/>
    <w:rsid w:val="008727AD"/>
    <w:rsid w:val="0087323D"/>
    <w:rsid w:val="00873FD1"/>
    <w:rsid w:val="00882A68"/>
    <w:rsid w:val="00885825"/>
    <w:rsid w:val="00885B2D"/>
    <w:rsid w:val="008A20C5"/>
    <w:rsid w:val="008A45CE"/>
    <w:rsid w:val="008A4DB5"/>
    <w:rsid w:val="008A621E"/>
    <w:rsid w:val="008A6A4A"/>
    <w:rsid w:val="008B03C9"/>
    <w:rsid w:val="008D027D"/>
    <w:rsid w:val="008D1449"/>
    <w:rsid w:val="008D555E"/>
    <w:rsid w:val="008D5F6A"/>
    <w:rsid w:val="008D6E16"/>
    <w:rsid w:val="008F2A1B"/>
    <w:rsid w:val="008F2FD0"/>
    <w:rsid w:val="00907328"/>
    <w:rsid w:val="009112F2"/>
    <w:rsid w:val="00912D6A"/>
    <w:rsid w:val="0091451E"/>
    <w:rsid w:val="009178FE"/>
    <w:rsid w:val="00920959"/>
    <w:rsid w:val="0092242D"/>
    <w:rsid w:val="009436DF"/>
    <w:rsid w:val="009515F9"/>
    <w:rsid w:val="00954085"/>
    <w:rsid w:val="00954452"/>
    <w:rsid w:val="0095580D"/>
    <w:rsid w:val="00955EF1"/>
    <w:rsid w:val="0095686D"/>
    <w:rsid w:val="009605F6"/>
    <w:rsid w:val="00960ACD"/>
    <w:rsid w:val="009635EB"/>
    <w:rsid w:val="00971EDB"/>
    <w:rsid w:val="00976AAC"/>
    <w:rsid w:val="00977D27"/>
    <w:rsid w:val="009803BB"/>
    <w:rsid w:val="00980FCB"/>
    <w:rsid w:val="00983475"/>
    <w:rsid w:val="00983764"/>
    <w:rsid w:val="009875D8"/>
    <w:rsid w:val="00992B2E"/>
    <w:rsid w:val="00995849"/>
    <w:rsid w:val="00997A81"/>
    <w:rsid w:val="009B3226"/>
    <w:rsid w:val="009B5EBE"/>
    <w:rsid w:val="009C0649"/>
    <w:rsid w:val="009D536D"/>
    <w:rsid w:val="009F2C78"/>
    <w:rsid w:val="009F3A30"/>
    <w:rsid w:val="00A01CE2"/>
    <w:rsid w:val="00A141B0"/>
    <w:rsid w:val="00A15E7B"/>
    <w:rsid w:val="00A16B1D"/>
    <w:rsid w:val="00A218BB"/>
    <w:rsid w:val="00A3083C"/>
    <w:rsid w:val="00A3400C"/>
    <w:rsid w:val="00A414FC"/>
    <w:rsid w:val="00A41D80"/>
    <w:rsid w:val="00A43289"/>
    <w:rsid w:val="00A474C0"/>
    <w:rsid w:val="00A47F15"/>
    <w:rsid w:val="00A5167C"/>
    <w:rsid w:val="00A519AC"/>
    <w:rsid w:val="00A5385C"/>
    <w:rsid w:val="00A60B57"/>
    <w:rsid w:val="00A637DD"/>
    <w:rsid w:val="00A670F7"/>
    <w:rsid w:val="00A76122"/>
    <w:rsid w:val="00A87D20"/>
    <w:rsid w:val="00A94CD5"/>
    <w:rsid w:val="00AB65C1"/>
    <w:rsid w:val="00AC0CCC"/>
    <w:rsid w:val="00AC63D2"/>
    <w:rsid w:val="00AD1280"/>
    <w:rsid w:val="00AD226F"/>
    <w:rsid w:val="00AD4129"/>
    <w:rsid w:val="00AD79D7"/>
    <w:rsid w:val="00AE1391"/>
    <w:rsid w:val="00AF294B"/>
    <w:rsid w:val="00AF67AA"/>
    <w:rsid w:val="00B01D7B"/>
    <w:rsid w:val="00B12823"/>
    <w:rsid w:val="00B1746E"/>
    <w:rsid w:val="00B304E5"/>
    <w:rsid w:val="00B3099D"/>
    <w:rsid w:val="00B3119D"/>
    <w:rsid w:val="00B406F0"/>
    <w:rsid w:val="00B41F5B"/>
    <w:rsid w:val="00B45CF4"/>
    <w:rsid w:val="00B51BE2"/>
    <w:rsid w:val="00B53130"/>
    <w:rsid w:val="00B61B70"/>
    <w:rsid w:val="00B622C9"/>
    <w:rsid w:val="00B76EF6"/>
    <w:rsid w:val="00B77979"/>
    <w:rsid w:val="00B80F79"/>
    <w:rsid w:val="00B875F2"/>
    <w:rsid w:val="00B904AF"/>
    <w:rsid w:val="00B96952"/>
    <w:rsid w:val="00BA064D"/>
    <w:rsid w:val="00BA5754"/>
    <w:rsid w:val="00BA6423"/>
    <w:rsid w:val="00BB0CF9"/>
    <w:rsid w:val="00BB4B12"/>
    <w:rsid w:val="00BB5DDA"/>
    <w:rsid w:val="00BB68E4"/>
    <w:rsid w:val="00BB7BA3"/>
    <w:rsid w:val="00BC7042"/>
    <w:rsid w:val="00BD062E"/>
    <w:rsid w:val="00BD1CF5"/>
    <w:rsid w:val="00BD4B87"/>
    <w:rsid w:val="00BD5381"/>
    <w:rsid w:val="00BE5170"/>
    <w:rsid w:val="00BE5AA8"/>
    <w:rsid w:val="00BF4EF2"/>
    <w:rsid w:val="00BF7259"/>
    <w:rsid w:val="00C005F7"/>
    <w:rsid w:val="00C1215B"/>
    <w:rsid w:val="00C16729"/>
    <w:rsid w:val="00C2411D"/>
    <w:rsid w:val="00C26A29"/>
    <w:rsid w:val="00C274DF"/>
    <w:rsid w:val="00C27F92"/>
    <w:rsid w:val="00C36539"/>
    <w:rsid w:val="00C413C9"/>
    <w:rsid w:val="00C420D2"/>
    <w:rsid w:val="00C459FC"/>
    <w:rsid w:val="00C50A06"/>
    <w:rsid w:val="00C5166C"/>
    <w:rsid w:val="00C63990"/>
    <w:rsid w:val="00C67AC6"/>
    <w:rsid w:val="00C70819"/>
    <w:rsid w:val="00C734B8"/>
    <w:rsid w:val="00C73EA0"/>
    <w:rsid w:val="00C75658"/>
    <w:rsid w:val="00C816D3"/>
    <w:rsid w:val="00C926F8"/>
    <w:rsid w:val="00C94004"/>
    <w:rsid w:val="00C959A2"/>
    <w:rsid w:val="00CA1053"/>
    <w:rsid w:val="00CA2BA2"/>
    <w:rsid w:val="00CA4865"/>
    <w:rsid w:val="00CA49B9"/>
    <w:rsid w:val="00CA6995"/>
    <w:rsid w:val="00CC0301"/>
    <w:rsid w:val="00CC3357"/>
    <w:rsid w:val="00CD1F3A"/>
    <w:rsid w:val="00CD4DE5"/>
    <w:rsid w:val="00CD54B7"/>
    <w:rsid w:val="00CD6493"/>
    <w:rsid w:val="00CD7525"/>
    <w:rsid w:val="00CD7D16"/>
    <w:rsid w:val="00CE1310"/>
    <w:rsid w:val="00CE14E1"/>
    <w:rsid w:val="00D0072D"/>
    <w:rsid w:val="00D017C6"/>
    <w:rsid w:val="00D06000"/>
    <w:rsid w:val="00D076E5"/>
    <w:rsid w:val="00D22DCD"/>
    <w:rsid w:val="00D231FD"/>
    <w:rsid w:val="00D334CB"/>
    <w:rsid w:val="00D36FCF"/>
    <w:rsid w:val="00D4130E"/>
    <w:rsid w:val="00D414AE"/>
    <w:rsid w:val="00D45F8B"/>
    <w:rsid w:val="00D46EAD"/>
    <w:rsid w:val="00D512A3"/>
    <w:rsid w:val="00D56A88"/>
    <w:rsid w:val="00D571D2"/>
    <w:rsid w:val="00D61FC5"/>
    <w:rsid w:val="00D62570"/>
    <w:rsid w:val="00D66420"/>
    <w:rsid w:val="00D71B8A"/>
    <w:rsid w:val="00D7250A"/>
    <w:rsid w:val="00D7283E"/>
    <w:rsid w:val="00D76AAB"/>
    <w:rsid w:val="00D809C3"/>
    <w:rsid w:val="00D83F75"/>
    <w:rsid w:val="00D84C49"/>
    <w:rsid w:val="00D868F8"/>
    <w:rsid w:val="00D87ACB"/>
    <w:rsid w:val="00D90735"/>
    <w:rsid w:val="00D91BC8"/>
    <w:rsid w:val="00D949E0"/>
    <w:rsid w:val="00DA718E"/>
    <w:rsid w:val="00DB32A1"/>
    <w:rsid w:val="00DB6705"/>
    <w:rsid w:val="00DC00D0"/>
    <w:rsid w:val="00DC2745"/>
    <w:rsid w:val="00DC4F7E"/>
    <w:rsid w:val="00DC72D9"/>
    <w:rsid w:val="00DD15A0"/>
    <w:rsid w:val="00DD1A53"/>
    <w:rsid w:val="00DE5993"/>
    <w:rsid w:val="00DF78EB"/>
    <w:rsid w:val="00E10640"/>
    <w:rsid w:val="00E17A6F"/>
    <w:rsid w:val="00E17F27"/>
    <w:rsid w:val="00E26BE1"/>
    <w:rsid w:val="00E31B9C"/>
    <w:rsid w:val="00E353C9"/>
    <w:rsid w:val="00E37095"/>
    <w:rsid w:val="00E400AA"/>
    <w:rsid w:val="00E50FB4"/>
    <w:rsid w:val="00E543E8"/>
    <w:rsid w:val="00E604E6"/>
    <w:rsid w:val="00E64CF2"/>
    <w:rsid w:val="00E800DF"/>
    <w:rsid w:val="00E81986"/>
    <w:rsid w:val="00E83AD0"/>
    <w:rsid w:val="00E84515"/>
    <w:rsid w:val="00E92E86"/>
    <w:rsid w:val="00E93806"/>
    <w:rsid w:val="00EA3217"/>
    <w:rsid w:val="00EA35AF"/>
    <w:rsid w:val="00EA6514"/>
    <w:rsid w:val="00EB0359"/>
    <w:rsid w:val="00EB0573"/>
    <w:rsid w:val="00EB2FC3"/>
    <w:rsid w:val="00EB3988"/>
    <w:rsid w:val="00EC130E"/>
    <w:rsid w:val="00EC7838"/>
    <w:rsid w:val="00ED0CFB"/>
    <w:rsid w:val="00ED1982"/>
    <w:rsid w:val="00ED2E33"/>
    <w:rsid w:val="00EE08F3"/>
    <w:rsid w:val="00EE423C"/>
    <w:rsid w:val="00EF12CC"/>
    <w:rsid w:val="00EF1D6C"/>
    <w:rsid w:val="00EF2E38"/>
    <w:rsid w:val="00EF3482"/>
    <w:rsid w:val="00F0208A"/>
    <w:rsid w:val="00F03F56"/>
    <w:rsid w:val="00F0511E"/>
    <w:rsid w:val="00F200A2"/>
    <w:rsid w:val="00F31BED"/>
    <w:rsid w:val="00F32D7A"/>
    <w:rsid w:val="00F33F27"/>
    <w:rsid w:val="00F509EA"/>
    <w:rsid w:val="00F569D6"/>
    <w:rsid w:val="00F62506"/>
    <w:rsid w:val="00F66A12"/>
    <w:rsid w:val="00F6718F"/>
    <w:rsid w:val="00F67662"/>
    <w:rsid w:val="00F71037"/>
    <w:rsid w:val="00F71A8A"/>
    <w:rsid w:val="00F71C58"/>
    <w:rsid w:val="00F736AA"/>
    <w:rsid w:val="00F74AD6"/>
    <w:rsid w:val="00F758AD"/>
    <w:rsid w:val="00F9019C"/>
    <w:rsid w:val="00F9039B"/>
    <w:rsid w:val="00F90E42"/>
    <w:rsid w:val="00F96FED"/>
    <w:rsid w:val="00FA7537"/>
    <w:rsid w:val="00FB0472"/>
    <w:rsid w:val="00FB217E"/>
    <w:rsid w:val="00FB26A7"/>
    <w:rsid w:val="00FB3D5F"/>
    <w:rsid w:val="00FD09AD"/>
    <w:rsid w:val="00FD2809"/>
    <w:rsid w:val="00FD3C36"/>
    <w:rsid w:val="00FD4BD6"/>
    <w:rsid w:val="00FD4F07"/>
    <w:rsid w:val="00FE144B"/>
    <w:rsid w:val="00FF0D35"/>
    <w:rsid w:val="00FF1B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D8DD2"/>
  <w15:docId w15:val="{620B8684-2B85-0D48-807C-63D4F6CA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7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0573"/>
    <w:pPr>
      <w:keepNext/>
      <w:keepLines/>
      <w:numPr>
        <w:numId w:val="1"/>
      </w:numPr>
      <w:spacing w:before="48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2">
    <w:name w:val="heading 2"/>
    <w:basedOn w:val="Normal"/>
    <w:next w:val="Normal"/>
    <w:link w:val="Heading2Char"/>
    <w:uiPriority w:val="9"/>
    <w:unhideWhenUsed/>
    <w:qFormat/>
    <w:rsid w:val="00EB0573"/>
    <w:pPr>
      <w:keepNext/>
      <w:keepLines/>
      <w:numPr>
        <w:ilvl w:val="1"/>
        <w:numId w:val="1"/>
      </w:numPr>
      <w:spacing w:before="200" w:line="276" w:lineRule="auto"/>
      <w:outlineLvl w:val="1"/>
    </w:pPr>
    <w:rPr>
      <w:rFonts w:asciiTheme="majorHAnsi" w:eastAsiaTheme="majorEastAsia" w:hAnsiTheme="majorHAnsi" w:cstheme="majorBidi"/>
      <w:b/>
      <w:bCs/>
      <w:color w:val="4472C4" w:themeColor="accent1"/>
      <w:sz w:val="26"/>
      <w:szCs w:val="26"/>
      <w:lang w:eastAsia="en-GB"/>
    </w:rPr>
  </w:style>
  <w:style w:type="paragraph" w:styleId="Heading3">
    <w:name w:val="heading 3"/>
    <w:basedOn w:val="Normal"/>
    <w:next w:val="Normal"/>
    <w:link w:val="Heading3Char"/>
    <w:uiPriority w:val="9"/>
    <w:unhideWhenUsed/>
    <w:qFormat/>
    <w:rsid w:val="00EB0573"/>
    <w:pPr>
      <w:keepNext/>
      <w:keepLines/>
      <w:numPr>
        <w:ilvl w:val="2"/>
        <w:numId w:val="1"/>
      </w:numPr>
      <w:spacing w:before="200" w:line="276" w:lineRule="auto"/>
      <w:outlineLvl w:val="2"/>
    </w:pPr>
    <w:rPr>
      <w:rFonts w:asciiTheme="majorHAnsi" w:eastAsiaTheme="majorEastAsia" w:hAnsiTheme="majorHAnsi" w:cstheme="majorBidi"/>
      <w:b/>
      <w:bCs/>
      <w:color w:val="4472C4" w:themeColor="accent1"/>
      <w:sz w:val="22"/>
      <w:szCs w:val="22"/>
      <w:lang w:eastAsia="en-GB"/>
    </w:rPr>
  </w:style>
  <w:style w:type="paragraph" w:styleId="Heading4">
    <w:name w:val="heading 4"/>
    <w:basedOn w:val="Normal"/>
    <w:next w:val="Normal"/>
    <w:link w:val="Heading4Char"/>
    <w:uiPriority w:val="9"/>
    <w:semiHidden/>
    <w:unhideWhenUsed/>
    <w:qFormat/>
    <w:rsid w:val="00EB0573"/>
    <w:pPr>
      <w:keepNext/>
      <w:keepLines/>
      <w:numPr>
        <w:ilvl w:val="3"/>
        <w:numId w:val="1"/>
      </w:numPr>
      <w:spacing w:before="200" w:line="276" w:lineRule="auto"/>
      <w:outlineLvl w:val="3"/>
    </w:pPr>
    <w:rPr>
      <w:rFonts w:asciiTheme="majorHAnsi" w:eastAsiaTheme="majorEastAsia" w:hAnsiTheme="majorHAnsi" w:cstheme="majorBidi"/>
      <w:b/>
      <w:bCs/>
      <w:i/>
      <w:iCs/>
      <w:color w:val="4472C4" w:themeColor="accent1"/>
      <w:sz w:val="22"/>
      <w:szCs w:val="22"/>
      <w:lang w:eastAsia="en-GB"/>
    </w:rPr>
  </w:style>
  <w:style w:type="paragraph" w:styleId="Heading5">
    <w:name w:val="heading 5"/>
    <w:basedOn w:val="Normal"/>
    <w:next w:val="Normal"/>
    <w:link w:val="Heading5Char"/>
    <w:uiPriority w:val="9"/>
    <w:semiHidden/>
    <w:unhideWhenUsed/>
    <w:qFormat/>
    <w:rsid w:val="00EB0573"/>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sz w:val="22"/>
      <w:szCs w:val="22"/>
      <w:lang w:eastAsia="en-GB"/>
    </w:rPr>
  </w:style>
  <w:style w:type="paragraph" w:styleId="Heading6">
    <w:name w:val="heading 6"/>
    <w:basedOn w:val="Normal"/>
    <w:next w:val="Normal"/>
    <w:link w:val="Heading6Char"/>
    <w:uiPriority w:val="9"/>
    <w:semiHidden/>
    <w:unhideWhenUsed/>
    <w:qFormat/>
    <w:rsid w:val="00EB0573"/>
    <w:pPr>
      <w:keepNext/>
      <w:keepLines/>
      <w:numPr>
        <w:ilvl w:val="5"/>
        <w:numId w:val="1"/>
      </w:numPr>
      <w:spacing w:before="200" w:line="276" w:lineRule="auto"/>
      <w:outlineLvl w:val="5"/>
    </w:pPr>
    <w:rPr>
      <w:rFonts w:asciiTheme="majorHAnsi" w:eastAsiaTheme="majorEastAsia" w:hAnsiTheme="majorHAnsi" w:cstheme="majorBidi"/>
      <w:i/>
      <w:iCs/>
      <w:color w:val="1F3763" w:themeColor="accent1" w:themeShade="7F"/>
      <w:sz w:val="22"/>
      <w:szCs w:val="22"/>
      <w:lang w:eastAsia="en-GB"/>
    </w:rPr>
  </w:style>
  <w:style w:type="paragraph" w:styleId="Heading7">
    <w:name w:val="heading 7"/>
    <w:basedOn w:val="Normal"/>
    <w:next w:val="Normal"/>
    <w:link w:val="Heading7Char"/>
    <w:uiPriority w:val="9"/>
    <w:semiHidden/>
    <w:unhideWhenUsed/>
    <w:qFormat/>
    <w:rsid w:val="00EB0573"/>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lang w:eastAsia="en-GB"/>
    </w:rPr>
  </w:style>
  <w:style w:type="paragraph" w:styleId="Heading8">
    <w:name w:val="heading 8"/>
    <w:basedOn w:val="Normal"/>
    <w:next w:val="Normal"/>
    <w:link w:val="Heading8Char"/>
    <w:uiPriority w:val="9"/>
    <w:semiHidden/>
    <w:unhideWhenUsed/>
    <w:qFormat/>
    <w:rsid w:val="00EB0573"/>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rsid w:val="00EB0573"/>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573"/>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9"/>
    <w:rsid w:val="00EB0573"/>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uiPriority w:val="9"/>
    <w:rsid w:val="00EB0573"/>
    <w:rPr>
      <w:rFonts w:asciiTheme="majorHAnsi" w:eastAsiaTheme="majorEastAsia" w:hAnsiTheme="majorHAnsi" w:cstheme="majorBidi"/>
      <w:b/>
      <w:bCs/>
      <w:color w:val="4472C4" w:themeColor="accent1"/>
      <w:lang w:eastAsia="en-GB"/>
    </w:rPr>
  </w:style>
  <w:style w:type="character" w:customStyle="1" w:styleId="Heading4Char">
    <w:name w:val="Heading 4 Char"/>
    <w:basedOn w:val="DefaultParagraphFont"/>
    <w:link w:val="Heading4"/>
    <w:uiPriority w:val="9"/>
    <w:semiHidden/>
    <w:rsid w:val="00EB0573"/>
    <w:rPr>
      <w:rFonts w:asciiTheme="majorHAnsi" w:eastAsiaTheme="majorEastAsia" w:hAnsiTheme="majorHAnsi" w:cstheme="majorBidi"/>
      <w:b/>
      <w:bCs/>
      <w:i/>
      <w:iCs/>
      <w:color w:val="4472C4" w:themeColor="accent1"/>
      <w:lang w:eastAsia="en-GB"/>
    </w:rPr>
  </w:style>
  <w:style w:type="character" w:customStyle="1" w:styleId="Heading5Char">
    <w:name w:val="Heading 5 Char"/>
    <w:basedOn w:val="DefaultParagraphFont"/>
    <w:link w:val="Heading5"/>
    <w:uiPriority w:val="9"/>
    <w:semiHidden/>
    <w:rsid w:val="00EB0573"/>
    <w:rPr>
      <w:rFonts w:asciiTheme="majorHAnsi" w:eastAsiaTheme="majorEastAsia" w:hAnsiTheme="majorHAnsi" w:cstheme="majorBidi"/>
      <w:color w:val="1F3763" w:themeColor="accent1" w:themeShade="7F"/>
      <w:lang w:eastAsia="en-GB"/>
    </w:rPr>
  </w:style>
  <w:style w:type="character" w:customStyle="1" w:styleId="Heading6Char">
    <w:name w:val="Heading 6 Char"/>
    <w:basedOn w:val="DefaultParagraphFont"/>
    <w:link w:val="Heading6"/>
    <w:uiPriority w:val="9"/>
    <w:semiHidden/>
    <w:rsid w:val="00EB0573"/>
    <w:rPr>
      <w:rFonts w:asciiTheme="majorHAnsi" w:eastAsiaTheme="majorEastAsia" w:hAnsiTheme="majorHAnsi" w:cstheme="majorBidi"/>
      <w:i/>
      <w:iCs/>
      <w:color w:val="1F3763" w:themeColor="accent1" w:themeShade="7F"/>
      <w:lang w:eastAsia="en-GB"/>
    </w:rPr>
  </w:style>
  <w:style w:type="character" w:customStyle="1" w:styleId="Heading7Char">
    <w:name w:val="Heading 7 Char"/>
    <w:basedOn w:val="DefaultParagraphFont"/>
    <w:link w:val="Heading7"/>
    <w:uiPriority w:val="9"/>
    <w:semiHidden/>
    <w:rsid w:val="00EB0573"/>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EB0573"/>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EB0573"/>
    <w:rPr>
      <w:rFonts w:asciiTheme="majorHAnsi" w:eastAsiaTheme="majorEastAsia" w:hAnsiTheme="majorHAnsi" w:cstheme="majorBidi"/>
      <w:i/>
      <w:iCs/>
      <w:color w:val="404040" w:themeColor="text1" w:themeTint="BF"/>
      <w:sz w:val="20"/>
      <w:szCs w:val="20"/>
      <w:lang w:eastAsia="en-GB"/>
    </w:rPr>
  </w:style>
  <w:style w:type="character" w:styleId="Hyperlink">
    <w:name w:val="Hyperlink"/>
    <w:basedOn w:val="DefaultParagraphFont"/>
    <w:uiPriority w:val="99"/>
    <w:unhideWhenUsed/>
    <w:rsid w:val="00EB0573"/>
    <w:rPr>
      <w:color w:val="0563C1" w:themeColor="hyperlink"/>
      <w:u w:val="single"/>
    </w:rPr>
  </w:style>
  <w:style w:type="paragraph" w:styleId="FootnoteText">
    <w:name w:val="footnote text"/>
    <w:aliases w:val="Schriftart: 9 pt,Schriftart: 10 pt,Schriftart: 8 pt,fn,footnote text Char,footnote text Char Char"/>
    <w:basedOn w:val="Normal"/>
    <w:link w:val="FootnoteTextChar"/>
    <w:uiPriority w:val="99"/>
    <w:rsid w:val="00EB0573"/>
    <w:rPr>
      <w:rFonts w:ascii="Calibri" w:hAnsi="Calibri"/>
      <w:sz w:val="20"/>
      <w:szCs w:val="20"/>
      <w:lang w:val="fr-FR" w:eastAsia="en-GB"/>
    </w:rPr>
  </w:style>
  <w:style w:type="character" w:customStyle="1" w:styleId="FootnoteTextChar">
    <w:name w:val="Footnote Text Char"/>
    <w:aliases w:val="Schriftart: 9 pt Char,Schriftart: 10 pt Char,Schriftart: 8 pt Char,fn Char,footnote text Char Char1,footnote text Char Char Char"/>
    <w:basedOn w:val="DefaultParagraphFont"/>
    <w:link w:val="FootnoteText"/>
    <w:uiPriority w:val="99"/>
    <w:rsid w:val="00EB0573"/>
    <w:rPr>
      <w:rFonts w:ascii="Calibri" w:eastAsia="Times New Roman" w:hAnsi="Calibri" w:cs="Times New Roman"/>
      <w:sz w:val="20"/>
      <w:szCs w:val="20"/>
      <w:lang w:val="fr-FR" w:eastAsia="en-GB"/>
    </w:rPr>
  </w:style>
  <w:style w:type="character" w:styleId="FootnoteReference">
    <w:name w:val="footnote reference"/>
    <w:aliases w:val="Ref,de nota al pie,Footnote number,Nota a pie,fr,Footnote Refernece,Footnote Reference Superscript,Footnotes refss,Appel note de bas de p.,Footnote Reference Number,BVI fnr,callout,Fn Ref,RSC_WP (footnote reference),E FNZ"/>
    <w:uiPriority w:val="99"/>
    <w:qFormat/>
    <w:rsid w:val="00EB0573"/>
    <w:rPr>
      <w:rFonts w:cs="Times New Roman"/>
      <w:vertAlign w:val="superscript"/>
    </w:rPr>
  </w:style>
  <w:style w:type="paragraph" w:styleId="BalloonText">
    <w:name w:val="Balloon Text"/>
    <w:basedOn w:val="Normal"/>
    <w:link w:val="BalloonTextChar"/>
    <w:uiPriority w:val="99"/>
    <w:semiHidden/>
    <w:unhideWhenUsed/>
    <w:rsid w:val="00AD22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26F"/>
    <w:rPr>
      <w:rFonts w:ascii="Segoe UI" w:eastAsia="Times New Roman" w:hAnsi="Segoe UI" w:cs="Segoe UI"/>
      <w:sz w:val="18"/>
      <w:szCs w:val="18"/>
      <w:lang w:val="fi-FI"/>
    </w:rPr>
  </w:style>
  <w:style w:type="character" w:styleId="CommentReference">
    <w:name w:val="annotation reference"/>
    <w:basedOn w:val="DefaultParagraphFont"/>
    <w:uiPriority w:val="99"/>
    <w:semiHidden/>
    <w:unhideWhenUsed/>
    <w:rsid w:val="00AD226F"/>
    <w:rPr>
      <w:sz w:val="16"/>
      <w:szCs w:val="16"/>
    </w:rPr>
  </w:style>
  <w:style w:type="paragraph" w:styleId="CommentText">
    <w:name w:val="annotation text"/>
    <w:basedOn w:val="Normal"/>
    <w:link w:val="CommentTextChar"/>
    <w:uiPriority w:val="99"/>
    <w:semiHidden/>
    <w:unhideWhenUsed/>
    <w:rsid w:val="00AD226F"/>
    <w:rPr>
      <w:sz w:val="20"/>
      <w:szCs w:val="20"/>
    </w:rPr>
  </w:style>
  <w:style w:type="character" w:customStyle="1" w:styleId="CommentTextChar">
    <w:name w:val="Comment Text Char"/>
    <w:basedOn w:val="DefaultParagraphFont"/>
    <w:link w:val="CommentText"/>
    <w:uiPriority w:val="99"/>
    <w:semiHidden/>
    <w:rsid w:val="00AD226F"/>
    <w:rPr>
      <w:rFonts w:ascii="Times New Roman" w:eastAsia="Times New Roman" w:hAnsi="Times New Roman" w:cs="Times New Roman"/>
      <w:sz w:val="20"/>
      <w:szCs w:val="20"/>
      <w:lang w:val="fi-FI"/>
    </w:rPr>
  </w:style>
  <w:style w:type="paragraph" w:customStyle="1" w:styleId="Listparagraf1">
    <w:name w:val="Listă paragraf1"/>
    <w:basedOn w:val="Normal"/>
    <w:rsid w:val="00003D92"/>
    <w:pPr>
      <w:ind w:left="720"/>
      <w:contextualSpacing/>
    </w:pPr>
    <w:rPr>
      <w:rFonts w:ascii="Calibri" w:hAnsi="Calibri"/>
      <w:sz w:val="22"/>
      <w:szCs w:val="22"/>
      <w:lang w:eastAsia="en-GB"/>
    </w:rPr>
  </w:style>
  <w:style w:type="paragraph" w:styleId="ListParagraph">
    <w:name w:val="List Paragraph"/>
    <w:basedOn w:val="Normal"/>
    <w:uiPriority w:val="34"/>
    <w:qFormat/>
    <w:rsid w:val="00365FD3"/>
    <w:pPr>
      <w:ind w:left="720"/>
      <w:contextualSpacing/>
    </w:pPr>
  </w:style>
  <w:style w:type="paragraph" w:styleId="Header">
    <w:name w:val="header"/>
    <w:basedOn w:val="Normal"/>
    <w:link w:val="HeaderChar"/>
    <w:uiPriority w:val="99"/>
    <w:unhideWhenUsed/>
    <w:rsid w:val="00D36FCF"/>
    <w:pPr>
      <w:tabs>
        <w:tab w:val="center" w:pos="4513"/>
        <w:tab w:val="right" w:pos="9026"/>
      </w:tabs>
    </w:pPr>
  </w:style>
  <w:style w:type="character" w:customStyle="1" w:styleId="HeaderChar">
    <w:name w:val="Header Char"/>
    <w:basedOn w:val="DefaultParagraphFont"/>
    <w:link w:val="Header"/>
    <w:uiPriority w:val="99"/>
    <w:rsid w:val="00D36F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6FCF"/>
    <w:pPr>
      <w:tabs>
        <w:tab w:val="center" w:pos="4513"/>
        <w:tab w:val="right" w:pos="9026"/>
      </w:tabs>
    </w:pPr>
  </w:style>
  <w:style w:type="character" w:customStyle="1" w:styleId="FooterChar">
    <w:name w:val="Footer Char"/>
    <w:basedOn w:val="DefaultParagraphFont"/>
    <w:link w:val="Footer"/>
    <w:uiPriority w:val="99"/>
    <w:rsid w:val="00D36FC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12473"/>
    <w:rPr>
      <w:b/>
      <w:bCs/>
    </w:rPr>
  </w:style>
  <w:style w:type="character" w:customStyle="1" w:styleId="CommentSubjectChar">
    <w:name w:val="Comment Subject Char"/>
    <w:basedOn w:val="CommentTextChar"/>
    <w:link w:val="CommentSubject"/>
    <w:uiPriority w:val="99"/>
    <w:semiHidden/>
    <w:rsid w:val="00012473"/>
    <w:rPr>
      <w:rFonts w:ascii="Times New Roman" w:eastAsia="Times New Roman" w:hAnsi="Times New Roman" w:cs="Times New Roman"/>
      <w:b/>
      <w:bCs/>
      <w:sz w:val="20"/>
      <w:szCs w:val="20"/>
      <w:lang w:val="fi-FI"/>
    </w:rPr>
  </w:style>
  <w:style w:type="paragraph" w:styleId="NormalWeb">
    <w:name w:val="Normal (Web)"/>
    <w:basedOn w:val="Normal"/>
    <w:uiPriority w:val="99"/>
    <w:unhideWhenUsed/>
    <w:rsid w:val="00554C2E"/>
    <w:pPr>
      <w:spacing w:before="100" w:beforeAutospacing="1" w:after="100" w:afterAutospacing="1"/>
    </w:pPr>
    <w:rPr>
      <w:lang w:val="fr-FR" w:eastAsia="fr-FR"/>
    </w:rPr>
  </w:style>
  <w:style w:type="character" w:styleId="Emphasis">
    <w:name w:val="Emphasis"/>
    <w:basedOn w:val="DefaultParagraphFont"/>
    <w:uiPriority w:val="20"/>
    <w:qFormat/>
    <w:rsid w:val="00554C2E"/>
    <w:rPr>
      <w:i/>
      <w:iCs/>
    </w:rPr>
  </w:style>
  <w:style w:type="paragraph" w:customStyle="1" w:styleId="c01pointnumerotealtn">
    <w:name w:val="c01pointnumerotealtn"/>
    <w:basedOn w:val="Normal"/>
    <w:rsid w:val="000552E9"/>
    <w:pPr>
      <w:spacing w:before="100" w:beforeAutospacing="1" w:after="100" w:afterAutospacing="1"/>
    </w:pPr>
    <w:rPr>
      <w:lang w:val="fr-FR" w:eastAsia="fr-FR"/>
    </w:rPr>
  </w:style>
  <w:style w:type="character" w:customStyle="1" w:styleId="authors">
    <w:name w:val="authors"/>
    <w:basedOn w:val="DefaultParagraphFont"/>
    <w:rsid w:val="00BD062E"/>
  </w:style>
  <w:style w:type="character" w:customStyle="1" w:styleId="Date1">
    <w:name w:val="Date1"/>
    <w:basedOn w:val="DefaultParagraphFont"/>
    <w:rsid w:val="00BD062E"/>
  </w:style>
  <w:style w:type="character" w:customStyle="1" w:styleId="arttitle">
    <w:name w:val="art_title"/>
    <w:basedOn w:val="DefaultParagraphFont"/>
    <w:rsid w:val="00BD062E"/>
  </w:style>
  <w:style w:type="character" w:customStyle="1" w:styleId="serialtitle">
    <w:name w:val="serial_title"/>
    <w:basedOn w:val="DefaultParagraphFont"/>
    <w:rsid w:val="00BD062E"/>
  </w:style>
  <w:style w:type="character" w:styleId="FollowedHyperlink">
    <w:name w:val="FollowedHyperlink"/>
    <w:basedOn w:val="DefaultParagraphFont"/>
    <w:uiPriority w:val="99"/>
    <w:semiHidden/>
    <w:unhideWhenUsed/>
    <w:rsid w:val="00DE5993"/>
    <w:rPr>
      <w:color w:val="954F72" w:themeColor="followedHyperlink"/>
      <w:u w:val="single"/>
    </w:rPr>
  </w:style>
  <w:style w:type="character" w:customStyle="1" w:styleId="Ratkaisematonmaininta1">
    <w:name w:val="Ratkaisematon maininta1"/>
    <w:basedOn w:val="DefaultParagraphFont"/>
    <w:uiPriority w:val="99"/>
    <w:semiHidden/>
    <w:unhideWhenUsed/>
    <w:rsid w:val="008513AB"/>
    <w:rPr>
      <w:color w:val="605E5C"/>
      <w:shd w:val="clear" w:color="auto" w:fill="E1DFDD"/>
    </w:rPr>
  </w:style>
  <w:style w:type="character" w:customStyle="1" w:styleId="Ratkaisematonmaininta2">
    <w:name w:val="Ratkaisematon maininta2"/>
    <w:basedOn w:val="DefaultParagraphFont"/>
    <w:uiPriority w:val="99"/>
    <w:semiHidden/>
    <w:unhideWhenUsed/>
    <w:rsid w:val="00294E66"/>
    <w:rPr>
      <w:color w:val="605E5C"/>
      <w:shd w:val="clear" w:color="auto" w:fill="E1DFDD"/>
    </w:rPr>
  </w:style>
  <w:style w:type="character" w:styleId="UnresolvedMention">
    <w:name w:val="Unresolved Mention"/>
    <w:basedOn w:val="DefaultParagraphFont"/>
    <w:uiPriority w:val="99"/>
    <w:semiHidden/>
    <w:unhideWhenUsed/>
    <w:rsid w:val="0007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35">
      <w:bodyDiv w:val="1"/>
      <w:marLeft w:val="0"/>
      <w:marRight w:val="0"/>
      <w:marTop w:val="0"/>
      <w:marBottom w:val="0"/>
      <w:divBdr>
        <w:top w:val="none" w:sz="0" w:space="0" w:color="auto"/>
        <w:left w:val="none" w:sz="0" w:space="0" w:color="auto"/>
        <w:bottom w:val="none" w:sz="0" w:space="0" w:color="auto"/>
        <w:right w:val="none" w:sz="0" w:space="0" w:color="auto"/>
      </w:divBdr>
    </w:div>
    <w:div w:id="73825852">
      <w:bodyDiv w:val="1"/>
      <w:marLeft w:val="0"/>
      <w:marRight w:val="0"/>
      <w:marTop w:val="0"/>
      <w:marBottom w:val="0"/>
      <w:divBdr>
        <w:top w:val="none" w:sz="0" w:space="0" w:color="auto"/>
        <w:left w:val="none" w:sz="0" w:space="0" w:color="auto"/>
        <w:bottom w:val="none" w:sz="0" w:space="0" w:color="auto"/>
        <w:right w:val="none" w:sz="0" w:space="0" w:color="auto"/>
      </w:divBdr>
    </w:div>
    <w:div w:id="85274850">
      <w:bodyDiv w:val="1"/>
      <w:marLeft w:val="0"/>
      <w:marRight w:val="0"/>
      <w:marTop w:val="0"/>
      <w:marBottom w:val="0"/>
      <w:divBdr>
        <w:top w:val="none" w:sz="0" w:space="0" w:color="auto"/>
        <w:left w:val="none" w:sz="0" w:space="0" w:color="auto"/>
        <w:bottom w:val="none" w:sz="0" w:space="0" w:color="auto"/>
        <w:right w:val="none" w:sz="0" w:space="0" w:color="auto"/>
      </w:divBdr>
    </w:div>
    <w:div w:id="144662027">
      <w:bodyDiv w:val="1"/>
      <w:marLeft w:val="0"/>
      <w:marRight w:val="0"/>
      <w:marTop w:val="0"/>
      <w:marBottom w:val="0"/>
      <w:divBdr>
        <w:top w:val="none" w:sz="0" w:space="0" w:color="auto"/>
        <w:left w:val="none" w:sz="0" w:space="0" w:color="auto"/>
        <w:bottom w:val="none" w:sz="0" w:space="0" w:color="auto"/>
        <w:right w:val="none" w:sz="0" w:space="0" w:color="auto"/>
      </w:divBdr>
    </w:div>
    <w:div w:id="283274765">
      <w:bodyDiv w:val="1"/>
      <w:marLeft w:val="0"/>
      <w:marRight w:val="0"/>
      <w:marTop w:val="0"/>
      <w:marBottom w:val="0"/>
      <w:divBdr>
        <w:top w:val="none" w:sz="0" w:space="0" w:color="auto"/>
        <w:left w:val="none" w:sz="0" w:space="0" w:color="auto"/>
        <w:bottom w:val="none" w:sz="0" w:space="0" w:color="auto"/>
        <w:right w:val="none" w:sz="0" w:space="0" w:color="auto"/>
      </w:divBdr>
    </w:div>
    <w:div w:id="285044375">
      <w:bodyDiv w:val="1"/>
      <w:marLeft w:val="0"/>
      <w:marRight w:val="0"/>
      <w:marTop w:val="0"/>
      <w:marBottom w:val="0"/>
      <w:divBdr>
        <w:top w:val="none" w:sz="0" w:space="0" w:color="auto"/>
        <w:left w:val="none" w:sz="0" w:space="0" w:color="auto"/>
        <w:bottom w:val="none" w:sz="0" w:space="0" w:color="auto"/>
        <w:right w:val="none" w:sz="0" w:space="0" w:color="auto"/>
      </w:divBdr>
    </w:div>
    <w:div w:id="324939415">
      <w:bodyDiv w:val="1"/>
      <w:marLeft w:val="0"/>
      <w:marRight w:val="0"/>
      <w:marTop w:val="0"/>
      <w:marBottom w:val="0"/>
      <w:divBdr>
        <w:top w:val="none" w:sz="0" w:space="0" w:color="auto"/>
        <w:left w:val="none" w:sz="0" w:space="0" w:color="auto"/>
        <w:bottom w:val="none" w:sz="0" w:space="0" w:color="auto"/>
        <w:right w:val="none" w:sz="0" w:space="0" w:color="auto"/>
      </w:divBdr>
    </w:div>
    <w:div w:id="396321140">
      <w:bodyDiv w:val="1"/>
      <w:marLeft w:val="0"/>
      <w:marRight w:val="0"/>
      <w:marTop w:val="0"/>
      <w:marBottom w:val="0"/>
      <w:divBdr>
        <w:top w:val="none" w:sz="0" w:space="0" w:color="auto"/>
        <w:left w:val="none" w:sz="0" w:space="0" w:color="auto"/>
        <w:bottom w:val="none" w:sz="0" w:space="0" w:color="auto"/>
        <w:right w:val="none" w:sz="0" w:space="0" w:color="auto"/>
      </w:divBdr>
    </w:div>
    <w:div w:id="427122898">
      <w:bodyDiv w:val="1"/>
      <w:marLeft w:val="0"/>
      <w:marRight w:val="0"/>
      <w:marTop w:val="0"/>
      <w:marBottom w:val="0"/>
      <w:divBdr>
        <w:top w:val="none" w:sz="0" w:space="0" w:color="auto"/>
        <w:left w:val="none" w:sz="0" w:space="0" w:color="auto"/>
        <w:bottom w:val="none" w:sz="0" w:space="0" w:color="auto"/>
        <w:right w:val="none" w:sz="0" w:space="0" w:color="auto"/>
      </w:divBdr>
    </w:div>
    <w:div w:id="433673372">
      <w:bodyDiv w:val="1"/>
      <w:marLeft w:val="0"/>
      <w:marRight w:val="0"/>
      <w:marTop w:val="0"/>
      <w:marBottom w:val="0"/>
      <w:divBdr>
        <w:top w:val="none" w:sz="0" w:space="0" w:color="auto"/>
        <w:left w:val="none" w:sz="0" w:space="0" w:color="auto"/>
        <w:bottom w:val="none" w:sz="0" w:space="0" w:color="auto"/>
        <w:right w:val="none" w:sz="0" w:space="0" w:color="auto"/>
      </w:divBdr>
    </w:div>
    <w:div w:id="458957857">
      <w:bodyDiv w:val="1"/>
      <w:marLeft w:val="0"/>
      <w:marRight w:val="0"/>
      <w:marTop w:val="0"/>
      <w:marBottom w:val="0"/>
      <w:divBdr>
        <w:top w:val="none" w:sz="0" w:space="0" w:color="auto"/>
        <w:left w:val="none" w:sz="0" w:space="0" w:color="auto"/>
        <w:bottom w:val="none" w:sz="0" w:space="0" w:color="auto"/>
        <w:right w:val="none" w:sz="0" w:space="0" w:color="auto"/>
      </w:divBdr>
    </w:div>
    <w:div w:id="522862091">
      <w:bodyDiv w:val="1"/>
      <w:marLeft w:val="0"/>
      <w:marRight w:val="0"/>
      <w:marTop w:val="0"/>
      <w:marBottom w:val="0"/>
      <w:divBdr>
        <w:top w:val="none" w:sz="0" w:space="0" w:color="auto"/>
        <w:left w:val="none" w:sz="0" w:space="0" w:color="auto"/>
        <w:bottom w:val="none" w:sz="0" w:space="0" w:color="auto"/>
        <w:right w:val="none" w:sz="0" w:space="0" w:color="auto"/>
      </w:divBdr>
    </w:div>
    <w:div w:id="554583450">
      <w:bodyDiv w:val="1"/>
      <w:marLeft w:val="0"/>
      <w:marRight w:val="0"/>
      <w:marTop w:val="0"/>
      <w:marBottom w:val="0"/>
      <w:divBdr>
        <w:top w:val="none" w:sz="0" w:space="0" w:color="auto"/>
        <w:left w:val="none" w:sz="0" w:space="0" w:color="auto"/>
        <w:bottom w:val="none" w:sz="0" w:space="0" w:color="auto"/>
        <w:right w:val="none" w:sz="0" w:space="0" w:color="auto"/>
      </w:divBdr>
    </w:div>
    <w:div w:id="559556514">
      <w:bodyDiv w:val="1"/>
      <w:marLeft w:val="0"/>
      <w:marRight w:val="0"/>
      <w:marTop w:val="0"/>
      <w:marBottom w:val="0"/>
      <w:divBdr>
        <w:top w:val="none" w:sz="0" w:space="0" w:color="auto"/>
        <w:left w:val="none" w:sz="0" w:space="0" w:color="auto"/>
        <w:bottom w:val="none" w:sz="0" w:space="0" w:color="auto"/>
        <w:right w:val="none" w:sz="0" w:space="0" w:color="auto"/>
      </w:divBdr>
    </w:div>
    <w:div w:id="571887152">
      <w:bodyDiv w:val="1"/>
      <w:marLeft w:val="0"/>
      <w:marRight w:val="0"/>
      <w:marTop w:val="0"/>
      <w:marBottom w:val="0"/>
      <w:divBdr>
        <w:top w:val="none" w:sz="0" w:space="0" w:color="auto"/>
        <w:left w:val="none" w:sz="0" w:space="0" w:color="auto"/>
        <w:bottom w:val="none" w:sz="0" w:space="0" w:color="auto"/>
        <w:right w:val="none" w:sz="0" w:space="0" w:color="auto"/>
      </w:divBdr>
    </w:div>
    <w:div w:id="579170964">
      <w:bodyDiv w:val="1"/>
      <w:marLeft w:val="0"/>
      <w:marRight w:val="0"/>
      <w:marTop w:val="0"/>
      <w:marBottom w:val="0"/>
      <w:divBdr>
        <w:top w:val="none" w:sz="0" w:space="0" w:color="auto"/>
        <w:left w:val="none" w:sz="0" w:space="0" w:color="auto"/>
        <w:bottom w:val="none" w:sz="0" w:space="0" w:color="auto"/>
        <w:right w:val="none" w:sz="0" w:space="0" w:color="auto"/>
      </w:divBdr>
    </w:div>
    <w:div w:id="633950111">
      <w:bodyDiv w:val="1"/>
      <w:marLeft w:val="0"/>
      <w:marRight w:val="0"/>
      <w:marTop w:val="0"/>
      <w:marBottom w:val="0"/>
      <w:divBdr>
        <w:top w:val="none" w:sz="0" w:space="0" w:color="auto"/>
        <w:left w:val="none" w:sz="0" w:space="0" w:color="auto"/>
        <w:bottom w:val="none" w:sz="0" w:space="0" w:color="auto"/>
        <w:right w:val="none" w:sz="0" w:space="0" w:color="auto"/>
      </w:divBdr>
    </w:div>
    <w:div w:id="644816785">
      <w:bodyDiv w:val="1"/>
      <w:marLeft w:val="0"/>
      <w:marRight w:val="0"/>
      <w:marTop w:val="0"/>
      <w:marBottom w:val="0"/>
      <w:divBdr>
        <w:top w:val="none" w:sz="0" w:space="0" w:color="auto"/>
        <w:left w:val="none" w:sz="0" w:space="0" w:color="auto"/>
        <w:bottom w:val="none" w:sz="0" w:space="0" w:color="auto"/>
        <w:right w:val="none" w:sz="0" w:space="0" w:color="auto"/>
      </w:divBdr>
    </w:div>
    <w:div w:id="703288649">
      <w:bodyDiv w:val="1"/>
      <w:marLeft w:val="0"/>
      <w:marRight w:val="0"/>
      <w:marTop w:val="0"/>
      <w:marBottom w:val="0"/>
      <w:divBdr>
        <w:top w:val="none" w:sz="0" w:space="0" w:color="auto"/>
        <w:left w:val="none" w:sz="0" w:space="0" w:color="auto"/>
        <w:bottom w:val="none" w:sz="0" w:space="0" w:color="auto"/>
        <w:right w:val="none" w:sz="0" w:space="0" w:color="auto"/>
      </w:divBdr>
    </w:div>
    <w:div w:id="716391108">
      <w:bodyDiv w:val="1"/>
      <w:marLeft w:val="0"/>
      <w:marRight w:val="0"/>
      <w:marTop w:val="0"/>
      <w:marBottom w:val="0"/>
      <w:divBdr>
        <w:top w:val="none" w:sz="0" w:space="0" w:color="auto"/>
        <w:left w:val="none" w:sz="0" w:space="0" w:color="auto"/>
        <w:bottom w:val="none" w:sz="0" w:space="0" w:color="auto"/>
        <w:right w:val="none" w:sz="0" w:space="0" w:color="auto"/>
      </w:divBdr>
    </w:div>
    <w:div w:id="762993113">
      <w:bodyDiv w:val="1"/>
      <w:marLeft w:val="0"/>
      <w:marRight w:val="0"/>
      <w:marTop w:val="0"/>
      <w:marBottom w:val="0"/>
      <w:divBdr>
        <w:top w:val="none" w:sz="0" w:space="0" w:color="auto"/>
        <w:left w:val="none" w:sz="0" w:space="0" w:color="auto"/>
        <w:bottom w:val="none" w:sz="0" w:space="0" w:color="auto"/>
        <w:right w:val="none" w:sz="0" w:space="0" w:color="auto"/>
      </w:divBdr>
    </w:div>
    <w:div w:id="796989217">
      <w:bodyDiv w:val="1"/>
      <w:marLeft w:val="0"/>
      <w:marRight w:val="0"/>
      <w:marTop w:val="0"/>
      <w:marBottom w:val="0"/>
      <w:divBdr>
        <w:top w:val="none" w:sz="0" w:space="0" w:color="auto"/>
        <w:left w:val="none" w:sz="0" w:space="0" w:color="auto"/>
        <w:bottom w:val="none" w:sz="0" w:space="0" w:color="auto"/>
        <w:right w:val="none" w:sz="0" w:space="0" w:color="auto"/>
      </w:divBdr>
    </w:div>
    <w:div w:id="839344530">
      <w:bodyDiv w:val="1"/>
      <w:marLeft w:val="0"/>
      <w:marRight w:val="0"/>
      <w:marTop w:val="0"/>
      <w:marBottom w:val="0"/>
      <w:divBdr>
        <w:top w:val="none" w:sz="0" w:space="0" w:color="auto"/>
        <w:left w:val="none" w:sz="0" w:space="0" w:color="auto"/>
        <w:bottom w:val="none" w:sz="0" w:space="0" w:color="auto"/>
        <w:right w:val="none" w:sz="0" w:space="0" w:color="auto"/>
      </w:divBdr>
    </w:div>
    <w:div w:id="875391713">
      <w:bodyDiv w:val="1"/>
      <w:marLeft w:val="0"/>
      <w:marRight w:val="0"/>
      <w:marTop w:val="0"/>
      <w:marBottom w:val="0"/>
      <w:divBdr>
        <w:top w:val="none" w:sz="0" w:space="0" w:color="auto"/>
        <w:left w:val="none" w:sz="0" w:space="0" w:color="auto"/>
        <w:bottom w:val="none" w:sz="0" w:space="0" w:color="auto"/>
        <w:right w:val="none" w:sz="0" w:space="0" w:color="auto"/>
      </w:divBdr>
    </w:div>
    <w:div w:id="884028817">
      <w:bodyDiv w:val="1"/>
      <w:marLeft w:val="0"/>
      <w:marRight w:val="0"/>
      <w:marTop w:val="0"/>
      <w:marBottom w:val="0"/>
      <w:divBdr>
        <w:top w:val="none" w:sz="0" w:space="0" w:color="auto"/>
        <w:left w:val="none" w:sz="0" w:space="0" w:color="auto"/>
        <w:bottom w:val="none" w:sz="0" w:space="0" w:color="auto"/>
        <w:right w:val="none" w:sz="0" w:space="0" w:color="auto"/>
      </w:divBdr>
    </w:div>
    <w:div w:id="941109488">
      <w:bodyDiv w:val="1"/>
      <w:marLeft w:val="0"/>
      <w:marRight w:val="0"/>
      <w:marTop w:val="0"/>
      <w:marBottom w:val="0"/>
      <w:divBdr>
        <w:top w:val="none" w:sz="0" w:space="0" w:color="auto"/>
        <w:left w:val="none" w:sz="0" w:space="0" w:color="auto"/>
        <w:bottom w:val="none" w:sz="0" w:space="0" w:color="auto"/>
        <w:right w:val="none" w:sz="0" w:space="0" w:color="auto"/>
      </w:divBdr>
    </w:div>
    <w:div w:id="970475048">
      <w:bodyDiv w:val="1"/>
      <w:marLeft w:val="0"/>
      <w:marRight w:val="0"/>
      <w:marTop w:val="0"/>
      <w:marBottom w:val="0"/>
      <w:divBdr>
        <w:top w:val="none" w:sz="0" w:space="0" w:color="auto"/>
        <w:left w:val="none" w:sz="0" w:space="0" w:color="auto"/>
        <w:bottom w:val="none" w:sz="0" w:space="0" w:color="auto"/>
        <w:right w:val="none" w:sz="0" w:space="0" w:color="auto"/>
      </w:divBdr>
      <w:divsChild>
        <w:div w:id="835413351">
          <w:marLeft w:val="0"/>
          <w:marRight w:val="0"/>
          <w:marTop w:val="0"/>
          <w:marBottom w:val="0"/>
          <w:divBdr>
            <w:top w:val="none" w:sz="0" w:space="0" w:color="auto"/>
            <w:left w:val="none" w:sz="0" w:space="0" w:color="auto"/>
            <w:bottom w:val="none" w:sz="0" w:space="0" w:color="auto"/>
            <w:right w:val="none" w:sz="0" w:space="0" w:color="auto"/>
          </w:divBdr>
        </w:div>
        <w:div w:id="922491267">
          <w:marLeft w:val="0"/>
          <w:marRight w:val="0"/>
          <w:marTop w:val="0"/>
          <w:marBottom w:val="0"/>
          <w:divBdr>
            <w:top w:val="none" w:sz="0" w:space="0" w:color="auto"/>
            <w:left w:val="none" w:sz="0" w:space="0" w:color="auto"/>
            <w:bottom w:val="none" w:sz="0" w:space="0" w:color="auto"/>
            <w:right w:val="none" w:sz="0" w:space="0" w:color="auto"/>
          </w:divBdr>
        </w:div>
      </w:divsChild>
    </w:div>
    <w:div w:id="1061321767">
      <w:bodyDiv w:val="1"/>
      <w:marLeft w:val="0"/>
      <w:marRight w:val="0"/>
      <w:marTop w:val="0"/>
      <w:marBottom w:val="0"/>
      <w:divBdr>
        <w:top w:val="none" w:sz="0" w:space="0" w:color="auto"/>
        <w:left w:val="none" w:sz="0" w:space="0" w:color="auto"/>
        <w:bottom w:val="none" w:sz="0" w:space="0" w:color="auto"/>
        <w:right w:val="none" w:sz="0" w:space="0" w:color="auto"/>
      </w:divBdr>
    </w:div>
    <w:div w:id="1070662673">
      <w:bodyDiv w:val="1"/>
      <w:marLeft w:val="0"/>
      <w:marRight w:val="0"/>
      <w:marTop w:val="0"/>
      <w:marBottom w:val="0"/>
      <w:divBdr>
        <w:top w:val="none" w:sz="0" w:space="0" w:color="auto"/>
        <w:left w:val="none" w:sz="0" w:space="0" w:color="auto"/>
        <w:bottom w:val="none" w:sz="0" w:space="0" w:color="auto"/>
        <w:right w:val="none" w:sz="0" w:space="0" w:color="auto"/>
      </w:divBdr>
    </w:div>
    <w:div w:id="1094400322">
      <w:bodyDiv w:val="1"/>
      <w:marLeft w:val="0"/>
      <w:marRight w:val="0"/>
      <w:marTop w:val="0"/>
      <w:marBottom w:val="0"/>
      <w:divBdr>
        <w:top w:val="none" w:sz="0" w:space="0" w:color="auto"/>
        <w:left w:val="none" w:sz="0" w:space="0" w:color="auto"/>
        <w:bottom w:val="none" w:sz="0" w:space="0" w:color="auto"/>
        <w:right w:val="none" w:sz="0" w:space="0" w:color="auto"/>
      </w:divBdr>
    </w:div>
    <w:div w:id="1118261072">
      <w:bodyDiv w:val="1"/>
      <w:marLeft w:val="0"/>
      <w:marRight w:val="0"/>
      <w:marTop w:val="0"/>
      <w:marBottom w:val="0"/>
      <w:divBdr>
        <w:top w:val="none" w:sz="0" w:space="0" w:color="auto"/>
        <w:left w:val="none" w:sz="0" w:space="0" w:color="auto"/>
        <w:bottom w:val="none" w:sz="0" w:space="0" w:color="auto"/>
        <w:right w:val="none" w:sz="0" w:space="0" w:color="auto"/>
      </w:divBdr>
    </w:div>
    <w:div w:id="1244142140">
      <w:bodyDiv w:val="1"/>
      <w:marLeft w:val="0"/>
      <w:marRight w:val="0"/>
      <w:marTop w:val="0"/>
      <w:marBottom w:val="0"/>
      <w:divBdr>
        <w:top w:val="none" w:sz="0" w:space="0" w:color="auto"/>
        <w:left w:val="none" w:sz="0" w:space="0" w:color="auto"/>
        <w:bottom w:val="none" w:sz="0" w:space="0" w:color="auto"/>
        <w:right w:val="none" w:sz="0" w:space="0" w:color="auto"/>
      </w:divBdr>
    </w:div>
    <w:div w:id="1442140473">
      <w:bodyDiv w:val="1"/>
      <w:marLeft w:val="0"/>
      <w:marRight w:val="0"/>
      <w:marTop w:val="0"/>
      <w:marBottom w:val="0"/>
      <w:divBdr>
        <w:top w:val="none" w:sz="0" w:space="0" w:color="auto"/>
        <w:left w:val="none" w:sz="0" w:space="0" w:color="auto"/>
        <w:bottom w:val="none" w:sz="0" w:space="0" w:color="auto"/>
        <w:right w:val="none" w:sz="0" w:space="0" w:color="auto"/>
      </w:divBdr>
    </w:div>
    <w:div w:id="1607928799">
      <w:bodyDiv w:val="1"/>
      <w:marLeft w:val="0"/>
      <w:marRight w:val="0"/>
      <w:marTop w:val="0"/>
      <w:marBottom w:val="0"/>
      <w:divBdr>
        <w:top w:val="none" w:sz="0" w:space="0" w:color="auto"/>
        <w:left w:val="none" w:sz="0" w:space="0" w:color="auto"/>
        <w:bottom w:val="none" w:sz="0" w:space="0" w:color="auto"/>
        <w:right w:val="none" w:sz="0" w:space="0" w:color="auto"/>
      </w:divBdr>
    </w:div>
    <w:div w:id="1669747039">
      <w:bodyDiv w:val="1"/>
      <w:marLeft w:val="0"/>
      <w:marRight w:val="0"/>
      <w:marTop w:val="0"/>
      <w:marBottom w:val="0"/>
      <w:divBdr>
        <w:top w:val="none" w:sz="0" w:space="0" w:color="auto"/>
        <w:left w:val="none" w:sz="0" w:space="0" w:color="auto"/>
        <w:bottom w:val="none" w:sz="0" w:space="0" w:color="auto"/>
        <w:right w:val="none" w:sz="0" w:space="0" w:color="auto"/>
      </w:divBdr>
    </w:div>
    <w:div w:id="1811752567">
      <w:bodyDiv w:val="1"/>
      <w:marLeft w:val="0"/>
      <w:marRight w:val="0"/>
      <w:marTop w:val="0"/>
      <w:marBottom w:val="0"/>
      <w:divBdr>
        <w:top w:val="none" w:sz="0" w:space="0" w:color="auto"/>
        <w:left w:val="none" w:sz="0" w:space="0" w:color="auto"/>
        <w:bottom w:val="none" w:sz="0" w:space="0" w:color="auto"/>
        <w:right w:val="none" w:sz="0" w:space="0" w:color="auto"/>
      </w:divBdr>
    </w:div>
    <w:div w:id="1839073378">
      <w:bodyDiv w:val="1"/>
      <w:marLeft w:val="0"/>
      <w:marRight w:val="0"/>
      <w:marTop w:val="0"/>
      <w:marBottom w:val="0"/>
      <w:divBdr>
        <w:top w:val="none" w:sz="0" w:space="0" w:color="auto"/>
        <w:left w:val="none" w:sz="0" w:space="0" w:color="auto"/>
        <w:bottom w:val="none" w:sz="0" w:space="0" w:color="auto"/>
        <w:right w:val="none" w:sz="0" w:space="0" w:color="auto"/>
      </w:divBdr>
    </w:div>
    <w:div w:id="1856772908">
      <w:bodyDiv w:val="1"/>
      <w:marLeft w:val="0"/>
      <w:marRight w:val="0"/>
      <w:marTop w:val="0"/>
      <w:marBottom w:val="0"/>
      <w:divBdr>
        <w:top w:val="none" w:sz="0" w:space="0" w:color="auto"/>
        <w:left w:val="none" w:sz="0" w:space="0" w:color="auto"/>
        <w:bottom w:val="none" w:sz="0" w:space="0" w:color="auto"/>
        <w:right w:val="none" w:sz="0" w:space="0" w:color="auto"/>
      </w:divBdr>
    </w:div>
    <w:div w:id="1899590646">
      <w:bodyDiv w:val="1"/>
      <w:marLeft w:val="0"/>
      <w:marRight w:val="0"/>
      <w:marTop w:val="0"/>
      <w:marBottom w:val="0"/>
      <w:divBdr>
        <w:top w:val="none" w:sz="0" w:space="0" w:color="auto"/>
        <w:left w:val="none" w:sz="0" w:space="0" w:color="auto"/>
        <w:bottom w:val="none" w:sz="0" w:space="0" w:color="auto"/>
        <w:right w:val="none" w:sz="0" w:space="0" w:color="auto"/>
      </w:divBdr>
    </w:div>
    <w:div w:id="1900020241">
      <w:bodyDiv w:val="1"/>
      <w:marLeft w:val="0"/>
      <w:marRight w:val="0"/>
      <w:marTop w:val="0"/>
      <w:marBottom w:val="0"/>
      <w:divBdr>
        <w:top w:val="none" w:sz="0" w:space="0" w:color="auto"/>
        <w:left w:val="none" w:sz="0" w:space="0" w:color="auto"/>
        <w:bottom w:val="none" w:sz="0" w:space="0" w:color="auto"/>
        <w:right w:val="none" w:sz="0" w:space="0" w:color="auto"/>
      </w:divBdr>
    </w:div>
    <w:div w:id="1928420505">
      <w:bodyDiv w:val="1"/>
      <w:marLeft w:val="0"/>
      <w:marRight w:val="0"/>
      <w:marTop w:val="0"/>
      <w:marBottom w:val="0"/>
      <w:divBdr>
        <w:top w:val="none" w:sz="0" w:space="0" w:color="auto"/>
        <w:left w:val="none" w:sz="0" w:space="0" w:color="auto"/>
        <w:bottom w:val="none" w:sz="0" w:space="0" w:color="auto"/>
        <w:right w:val="none" w:sz="0" w:space="0" w:color="auto"/>
      </w:divBdr>
    </w:div>
    <w:div w:id="1937012532">
      <w:bodyDiv w:val="1"/>
      <w:marLeft w:val="0"/>
      <w:marRight w:val="0"/>
      <w:marTop w:val="0"/>
      <w:marBottom w:val="0"/>
      <w:divBdr>
        <w:top w:val="none" w:sz="0" w:space="0" w:color="auto"/>
        <w:left w:val="none" w:sz="0" w:space="0" w:color="auto"/>
        <w:bottom w:val="none" w:sz="0" w:space="0" w:color="auto"/>
        <w:right w:val="none" w:sz="0" w:space="0" w:color="auto"/>
      </w:divBdr>
    </w:div>
    <w:div w:id="1942451729">
      <w:bodyDiv w:val="1"/>
      <w:marLeft w:val="0"/>
      <w:marRight w:val="0"/>
      <w:marTop w:val="0"/>
      <w:marBottom w:val="0"/>
      <w:divBdr>
        <w:top w:val="none" w:sz="0" w:space="0" w:color="auto"/>
        <w:left w:val="none" w:sz="0" w:space="0" w:color="auto"/>
        <w:bottom w:val="none" w:sz="0" w:space="0" w:color="auto"/>
        <w:right w:val="none" w:sz="0" w:space="0" w:color="auto"/>
      </w:divBdr>
    </w:div>
    <w:div w:id="1963460322">
      <w:bodyDiv w:val="1"/>
      <w:marLeft w:val="0"/>
      <w:marRight w:val="0"/>
      <w:marTop w:val="0"/>
      <w:marBottom w:val="0"/>
      <w:divBdr>
        <w:top w:val="none" w:sz="0" w:space="0" w:color="auto"/>
        <w:left w:val="none" w:sz="0" w:space="0" w:color="auto"/>
        <w:bottom w:val="none" w:sz="0" w:space="0" w:color="auto"/>
        <w:right w:val="none" w:sz="0" w:space="0" w:color="auto"/>
      </w:divBdr>
    </w:div>
    <w:div w:id="1995797057">
      <w:bodyDiv w:val="1"/>
      <w:marLeft w:val="0"/>
      <w:marRight w:val="0"/>
      <w:marTop w:val="0"/>
      <w:marBottom w:val="0"/>
      <w:divBdr>
        <w:top w:val="none" w:sz="0" w:space="0" w:color="auto"/>
        <w:left w:val="none" w:sz="0" w:space="0" w:color="auto"/>
        <w:bottom w:val="none" w:sz="0" w:space="0" w:color="auto"/>
        <w:right w:val="none" w:sz="0" w:space="0" w:color="auto"/>
      </w:divBdr>
    </w:div>
    <w:div w:id="1999730451">
      <w:bodyDiv w:val="1"/>
      <w:marLeft w:val="0"/>
      <w:marRight w:val="0"/>
      <w:marTop w:val="0"/>
      <w:marBottom w:val="0"/>
      <w:divBdr>
        <w:top w:val="none" w:sz="0" w:space="0" w:color="auto"/>
        <w:left w:val="none" w:sz="0" w:space="0" w:color="auto"/>
        <w:bottom w:val="none" w:sz="0" w:space="0" w:color="auto"/>
        <w:right w:val="none" w:sz="0" w:space="0" w:color="auto"/>
      </w:divBdr>
    </w:div>
    <w:div w:id="20848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FF81-1AB0-6B4E-9D47-277B6402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6763</Words>
  <Characters>36120</Characters>
  <Application>Microsoft Office Word</Application>
  <DocSecurity>0</DocSecurity>
  <Lines>547</Lines>
  <Paragraphs>87</Paragraphs>
  <ScaleCrop>false</ScaleCrop>
  <HeadingPairs>
    <vt:vector size="6" baseType="variant">
      <vt:variant>
        <vt:lpstr>Otsikko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Oana</dc:creator>
  <cp:keywords/>
  <dc:description/>
  <cp:lastModifiedBy>Mariolina Eliantonio</cp:lastModifiedBy>
  <cp:revision>17</cp:revision>
  <dcterms:created xsi:type="dcterms:W3CDTF">2020-08-07T18:09:00Z</dcterms:created>
  <dcterms:modified xsi:type="dcterms:W3CDTF">2020-08-12T15:14:00Z</dcterms:modified>
</cp:coreProperties>
</file>